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0" w:firstLineChars="0"/>
        <w:jc w:val="center"/>
        <w:rPr>
          <w:rFonts w:hint="eastAsia" w:ascii="楷体" w:hAnsi="楷体" w:eastAsia="楷体" w:cs="楷体"/>
          <w:b/>
          <w:bCs/>
          <w:color w:val="000000"/>
          <w:szCs w:val="24"/>
          <w:lang w:val="en-US" w:eastAsia="zh-CN"/>
        </w:rPr>
      </w:pPr>
      <w:r>
        <w:rPr>
          <w:rFonts w:hint="eastAsia" w:ascii="楷体" w:hAnsi="楷体" w:eastAsia="楷体" w:cs="楷体"/>
          <w:b/>
          <w:bCs/>
          <w:color w:val="000000"/>
          <w:szCs w:val="24"/>
          <w:lang w:val="en-US" w:eastAsia="zh-CN"/>
        </w:rPr>
        <w:t xml:space="preserve"> </w:t>
      </w:r>
    </w:p>
    <w:p>
      <w:pPr>
        <w:snapToGrid w:val="0"/>
        <w:spacing w:before="100" w:beforeAutospacing="1" w:after="100" w:afterAutospacing="1" w:line="276" w:lineRule="auto"/>
        <w:ind w:left="0" w:leftChars="0" w:firstLine="0" w:firstLineChars="0"/>
        <w:jc w:val="center"/>
        <w:rPr>
          <w:rFonts w:ascii="楷体" w:hAnsi="楷体" w:eastAsia="楷体" w:cs="楷体"/>
          <w:color w:val="000000"/>
          <w:szCs w:val="24"/>
        </w:rPr>
      </w:pPr>
      <w:r>
        <w:rPr>
          <w:rFonts w:hint="eastAsia" w:ascii="楷体" w:hAnsi="楷体" w:eastAsia="楷体" w:cs="楷体"/>
          <w:b/>
          <w:bCs/>
          <w:color w:val="000000"/>
          <w:sz w:val="52"/>
          <w:szCs w:val="52"/>
          <w:lang w:eastAsia="zh-CN"/>
        </w:rPr>
        <w:t>嘉善技师学院（筹）购置培训教学仪器设备（电子电工实训室电源台实训设备）</w:t>
      </w:r>
    </w:p>
    <w:p>
      <w:pPr>
        <w:pStyle w:val="7"/>
        <w:rPr>
          <w:rFonts w:ascii="楷体" w:hAnsi="楷体" w:eastAsia="楷体" w:cs="楷体"/>
          <w:color w:val="000000"/>
          <w:szCs w:val="24"/>
        </w:rPr>
      </w:pPr>
    </w:p>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480"/>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项目编号：HZZX-2022-</w:t>
      </w:r>
      <w:r>
        <w:rPr>
          <w:rFonts w:hint="eastAsia" w:ascii="楷体" w:hAnsi="楷体" w:eastAsia="楷体" w:cs="楷体"/>
          <w:b/>
          <w:bCs/>
          <w:color w:val="000000"/>
          <w:sz w:val="30"/>
          <w:szCs w:val="30"/>
          <w:lang w:eastAsia="zh-CN"/>
        </w:rPr>
        <w:t>G78</w:t>
      </w:r>
    </w:p>
    <w:p>
      <w:pPr>
        <w:pStyle w:val="22"/>
        <w:snapToGrid w:val="0"/>
        <w:spacing w:beforeLines="0" w:afterLines="0" w:line="276" w:lineRule="auto"/>
        <w:ind w:left="2106" w:leftChars="250" w:hanging="1506" w:hangingChars="500"/>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嘉善技师学院（筹）购置培训教学仪器设备（电子电工实训室电源台实训设备）</w:t>
      </w: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嘉善技师学院（筹）</w:t>
      </w:r>
    </w:p>
    <w:p>
      <w:pPr>
        <w:pStyle w:val="22"/>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hint="eastAsia" w:ascii="楷体" w:hAnsi="楷体" w:eastAsia="楷体" w:cs="楷体"/>
          <w:b/>
          <w:bCs/>
          <w:w w:val="95"/>
          <w:sz w:val="30"/>
          <w:szCs w:val="30"/>
          <w:lang w:val="en-US" w:eastAsia="zh-CN"/>
        </w:rPr>
        <w:t>11</w:t>
      </w:r>
      <w:r>
        <w:rPr>
          <w:rFonts w:hint="eastAsia" w:ascii="楷体" w:hAnsi="楷体" w:eastAsia="楷体" w:cs="楷体"/>
          <w:b/>
          <w:bCs/>
          <w:w w:val="95"/>
          <w:sz w:val="30"/>
          <w:szCs w:val="30"/>
        </w:rPr>
        <w:t>月</w:t>
      </w:r>
    </w:p>
    <w:p>
      <w:pPr>
        <w:pStyle w:val="22"/>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pgBorders>
            <w:top w:val="none" w:sz="0" w:space="0"/>
            <w:left w:val="none" w:sz="0" w:space="0"/>
            <w:bottom w:val="none" w:sz="0" w:space="0"/>
            <w:right w:val="none" w:sz="0" w:space="0"/>
          </w:pgBorders>
          <w:cols w:space="720" w:num="1"/>
          <w:docGrid w:linePitch="381" w:charSpace="0"/>
        </w:sectPr>
      </w:pPr>
    </w:p>
    <w:p>
      <w:pPr>
        <w:pStyle w:val="90"/>
        <w:ind w:firstLine="723"/>
        <w:jc w:val="center"/>
        <w:rPr>
          <w:color w:val="000000"/>
          <w:sz w:val="36"/>
          <w:lang w:val="zh-CN"/>
        </w:rPr>
      </w:pPr>
      <w:bookmarkStart w:id="0" w:name="_Toc18407"/>
      <w:r>
        <w:rPr>
          <w:color w:val="000000"/>
          <w:sz w:val="36"/>
          <w:lang w:val="zh-CN"/>
        </w:rPr>
        <w:t>目录</w:t>
      </w:r>
      <w:bookmarkEnd w:id="0"/>
    </w:p>
    <w:p>
      <w:pPr>
        <w:ind w:firstLine="480"/>
      </w:pPr>
    </w:p>
    <w:p>
      <w:pPr>
        <w:pStyle w:val="28"/>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9"/>
      <w:bookmarkStart w:id="2" w:name="_Hlt43468558"/>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hint="eastAsia" w:ascii="宋体" w:hAnsi="宋体" w:eastAsia="宋体" w:cs="宋体"/>
          <w:sz w:val="24"/>
          <w:szCs w:val="24"/>
          <w:lang w:val="en-US" w:eastAsia="zh-CN"/>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4</w:t>
      </w:r>
      <w:bookmarkStart w:id="37" w:name="_GoBack"/>
      <w:bookmarkEnd w:id="37"/>
    </w:p>
    <w:p>
      <w:pPr>
        <w:pStyle w:val="21"/>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24</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27</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29</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29</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33</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35</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35</w:t>
      </w:r>
      <w:r>
        <w:rPr>
          <w:rFonts w:hint="eastAsia" w:ascii="宋体" w:hAnsi="宋体" w:cs="宋体"/>
          <w:szCs w:val="24"/>
        </w:rPr>
        <w:fldChar w:fldCharType="end"/>
      </w:r>
      <w:r>
        <w:rPr>
          <w:rFonts w:hint="eastAsia" w:ascii="宋体" w:hAnsi="宋体" w:cs="宋体"/>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51648"/>
      <w:bookmarkStart w:id="4" w:name="_Hlt42851647"/>
      <w:bookmarkStart w:id="5" w:name="_Hlt42864710"/>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40</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p>
    <w:p>
      <w:pPr>
        <w:pStyle w:val="35"/>
        <w:spacing w:line="300" w:lineRule="auto"/>
        <w:ind w:firstLine="643"/>
      </w:pPr>
      <w:bookmarkStart w:id="6" w:name="_Toc2795"/>
      <w:r>
        <w:rPr>
          <w:rFonts w:hint="eastAsia"/>
        </w:rPr>
        <w:t>第一章  公开招标采购公告</w:t>
      </w:r>
      <w:bookmarkEnd w:id="6"/>
    </w:p>
    <w:p>
      <w:pPr>
        <w:pStyle w:val="6"/>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lang w:eastAsia="zh-CN"/>
        </w:rPr>
        <w:t>嘉善技师学院（筹）购置培训教学仪器设备（电子电工实训室电源台实训设备）</w:t>
      </w:r>
      <w:r>
        <w:rPr>
          <w:rFonts w:hint="eastAsia" w:ascii="宋体" w:hAnsi="宋体" w:cs="宋体"/>
          <w:szCs w:val="24"/>
        </w:rPr>
        <w:t>招标项目的潜在投标人应在</w:t>
      </w:r>
      <w:r>
        <w:rPr>
          <w:rFonts w:hint="eastAsia" w:ascii="宋体" w:hAnsi="宋体" w:cs="宋体"/>
          <w:szCs w:val="24"/>
          <w:u w:val="single"/>
        </w:rPr>
        <w:t>政采云平台（</w:t>
      </w:r>
      <w:r>
        <w:rPr>
          <w:rStyle w:val="44"/>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hint="eastAsia" w:ascii="宋体" w:hAnsi="宋体" w:cs="宋体"/>
          <w:szCs w:val="24"/>
          <w:u w:val="single"/>
          <w:lang w:val="en-US" w:eastAsia="zh-CN"/>
        </w:rPr>
        <w:t>12月20日</w:t>
      </w:r>
      <w:r>
        <w:rPr>
          <w:rFonts w:hint="eastAsia" w:ascii="宋体" w:hAnsi="宋体" w:cs="宋体"/>
          <w:bCs/>
          <w:szCs w:val="24"/>
          <w:u w:val="single"/>
        </w:rPr>
        <w:t>14点</w:t>
      </w:r>
      <w:r>
        <w:rPr>
          <w:rFonts w:hint="eastAsia" w:ascii="宋体" w:hAnsi="宋体" w:cs="宋体"/>
          <w:bCs/>
          <w:szCs w:val="24"/>
          <w:u w:val="single"/>
          <w:lang w:val="en-US" w:eastAsia="zh-CN"/>
        </w:rPr>
        <w:t>0</w:t>
      </w:r>
      <w:r>
        <w:rPr>
          <w:rFonts w:hint="eastAsia" w:ascii="宋体" w:hAnsi="宋体" w:cs="宋体"/>
          <w:bCs/>
          <w:szCs w:val="24"/>
          <w:u w:val="single"/>
        </w:rPr>
        <w:t>0分</w:t>
      </w:r>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b/>
          <w:bCs/>
          <w:szCs w:val="24"/>
        </w:rPr>
      </w:pPr>
      <w:bookmarkStart w:id="7" w:name="_Toc28359079"/>
      <w:bookmarkStart w:id="8" w:name="_Toc28359002"/>
      <w:bookmarkStart w:id="9" w:name="_Toc35393621"/>
      <w:bookmarkStart w:id="10" w:name="_Toc35393790"/>
      <w:bookmarkStart w:id="11" w:name="_Hlk24379207"/>
      <w:r>
        <w:rPr>
          <w:rFonts w:hint="eastAsia"/>
          <w:b/>
          <w:bCs/>
          <w:szCs w:val="24"/>
        </w:rPr>
        <w:t>一、项目基本情况</w:t>
      </w:r>
      <w:bookmarkEnd w:id="7"/>
      <w:bookmarkEnd w:id="8"/>
      <w:bookmarkEnd w:id="9"/>
      <w:bookmarkEnd w:id="10"/>
    </w:p>
    <w:p>
      <w:pPr>
        <w:spacing w:line="300" w:lineRule="auto"/>
        <w:ind w:firstLine="480"/>
        <w:rPr>
          <w:rFonts w:hint="eastAsia" w:ascii="宋体" w:hAnsi="宋体" w:eastAsia="宋体" w:cs="宋体"/>
          <w:szCs w:val="24"/>
          <w:lang w:eastAsia="zh-CN"/>
        </w:rPr>
      </w:pPr>
      <w:r>
        <w:rPr>
          <w:rFonts w:hint="eastAsia" w:ascii="宋体" w:hAnsi="宋体" w:cs="宋体"/>
          <w:szCs w:val="24"/>
        </w:rPr>
        <w:t>项目编号：HZZX-2022-</w:t>
      </w:r>
      <w:r>
        <w:rPr>
          <w:rFonts w:hint="eastAsia" w:ascii="宋体" w:hAnsi="宋体" w:cs="宋体"/>
          <w:szCs w:val="24"/>
          <w:lang w:eastAsia="zh-CN"/>
        </w:rPr>
        <w:t>G78</w:t>
      </w:r>
    </w:p>
    <w:p>
      <w:pPr>
        <w:spacing w:line="300" w:lineRule="auto"/>
        <w:rPr>
          <w:rFonts w:hint="eastAsia" w:ascii="宋体" w:hAnsi="宋体" w:cs="宋体"/>
          <w:color w:val="auto"/>
          <w:szCs w:val="24"/>
          <w:lang w:eastAsia="zh-CN"/>
        </w:rPr>
      </w:pPr>
      <w:r>
        <w:rPr>
          <w:rFonts w:hint="eastAsia" w:ascii="宋体" w:hAnsi="宋体" w:cs="宋体"/>
          <w:szCs w:val="24"/>
        </w:rPr>
        <w:t>项目名称</w:t>
      </w:r>
      <w:r>
        <w:rPr>
          <w:rFonts w:hint="eastAsia" w:ascii="宋体" w:hAnsi="宋体" w:cs="宋体"/>
          <w:color w:val="auto"/>
          <w:szCs w:val="24"/>
        </w:rPr>
        <w:t>：</w:t>
      </w:r>
      <w:bookmarkEnd w:id="11"/>
      <w:r>
        <w:rPr>
          <w:rFonts w:hint="eastAsia" w:ascii="宋体" w:hAnsi="宋体" w:cs="宋体"/>
          <w:color w:val="auto"/>
          <w:szCs w:val="24"/>
        </w:rPr>
        <w:t>嘉善技师学院（筹）购置培训教学仪器设备（电子电工实训室电源台实训设备）</w:t>
      </w:r>
    </w:p>
    <w:p>
      <w:pPr>
        <w:spacing w:line="300" w:lineRule="auto"/>
        <w:ind w:firstLine="480"/>
        <w:rPr>
          <w:rFonts w:ascii="宋体" w:hAnsi="宋体" w:cs="宋体"/>
          <w:color w:val="auto"/>
          <w:szCs w:val="24"/>
        </w:rPr>
      </w:pPr>
      <w:r>
        <w:rPr>
          <w:rFonts w:hint="eastAsia" w:ascii="宋体" w:hAnsi="宋体" w:cs="宋体"/>
          <w:color w:val="auto"/>
          <w:szCs w:val="24"/>
        </w:rPr>
        <w:t>预算金额：</w:t>
      </w:r>
      <w:r>
        <w:rPr>
          <w:rFonts w:hint="eastAsia" w:ascii="宋体" w:hAnsi="宋体" w:cs="宋体"/>
          <w:color w:val="auto"/>
          <w:szCs w:val="24"/>
          <w:lang w:val="en-US" w:eastAsia="zh-CN"/>
        </w:rPr>
        <w:t>130.0</w:t>
      </w:r>
      <w:r>
        <w:rPr>
          <w:rFonts w:hint="eastAsia" w:ascii="宋体" w:hAnsi="宋体" w:cs="宋体"/>
          <w:color w:val="auto"/>
          <w:szCs w:val="24"/>
        </w:rPr>
        <w:t>0万元</w:t>
      </w:r>
    </w:p>
    <w:p>
      <w:pPr>
        <w:spacing w:line="300" w:lineRule="auto"/>
        <w:ind w:firstLine="480"/>
        <w:rPr>
          <w:rFonts w:ascii="宋体" w:hAnsi="宋体" w:cs="宋体"/>
          <w:color w:val="auto"/>
          <w:szCs w:val="24"/>
        </w:rPr>
      </w:pPr>
      <w:r>
        <w:rPr>
          <w:rFonts w:hint="eastAsia" w:ascii="宋体" w:hAnsi="宋体" w:cs="宋体"/>
          <w:color w:val="auto"/>
          <w:szCs w:val="24"/>
        </w:rPr>
        <w:t>最高限价（如有）：</w:t>
      </w:r>
      <w:r>
        <w:rPr>
          <w:rFonts w:hint="eastAsia" w:ascii="宋体" w:hAnsi="宋体" w:cs="宋体"/>
          <w:color w:val="auto"/>
          <w:szCs w:val="24"/>
          <w:lang w:val="en-US" w:eastAsia="zh-CN"/>
        </w:rPr>
        <w:t>129.8</w:t>
      </w:r>
      <w:r>
        <w:rPr>
          <w:rFonts w:hint="eastAsia" w:ascii="宋体" w:hAnsi="宋体" w:cs="宋体"/>
          <w:color w:val="auto"/>
          <w:szCs w:val="24"/>
        </w:rPr>
        <w:t>0万元</w:t>
      </w:r>
    </w:p>
    <w:p>
      <w:pPr>
        <w:spacing w:line="300" w:lineRule="auto"/>
        <w:ind w:firstLine="482"/>
        <w:rPr>
          <w:rFonts w:hint="eastAsia" w:ascii="宋体" w:hAnsi="宋体" w:eastAsia="宋体" w:cs="宋体"/>
          <w:b/>
          <w:bCs/>
          <w:szCs w:val="24"/>
          <w:lang w:eastAsia="zh-CN"/>
        </w:rPr>
      </w:pPr>
      <w:r>
        <w:rPr>
          <w:rFonts w:hint="eastAsia" w:ascii="宋体" w:hAnsi="宋体" w:cs="宋体"/>
          <w:b/>
          <w:bCs/>
          <w:szCs w:val="24"/>
        </w:rPr>
        <w:t>采购需求（概述）：</w:t>
      </w:r>
    </w:p>
    <w:tbl>
      <w:tblPr>
        <w:tblStyle w:val="38"/>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4597"/>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4597"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设备</w:t>
            </w:r>
            <w:r>
              <w:rPr>
                <w:rFonts w:hint="eastAsia" w:ascii="宋体" w:hAnsi="宋体" w:eastAsia="宋体" w:cs="宋体"/>
                <w:b/>
                <w:bCs w:val="0"/>
                <w:color w:val="auto"/>
                <w:sz w:val="24"/>
                <w:szCs w:val="24"/>
              </w:rPr>
              <w:t>名称</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数量</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4597"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sz w:val="24"/>
                <w:szCs w:val="24"/>
                <w:vertAlign w:val="baseline"/>
              </w:rPr>
              <w:t>电子电工实训室电源台实训设备</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52</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套</w:t>
            </w:r>
          </w:p>
        </w:tc>
      </w:tr>
    </w:tbl>
    <w:p>
      <w:pPr>
        <w:spacing w:line="300" w:lineRule="auto"/>
        <w:ind w:firstLine="482"/>
        <w:rPr>
          <w:rFonts w:hint="eastAsia" w:ascii="宋体" w:hAnsi="宋体" w:cs="宋体"/>
          <w:color w:val="auto"/>
          <w:szCs w:val="24"/>
          <w:highlight w:val="none"/>
        </w:rPr>
      </w:pPr>
      <w:r>
        <w:rPr>
          <w:rFonts w:hint="eastAsia" w:ascii="宋体" w:hAnsi="宋体" w:cs="宋体"/>
          <w:b/>
          <w:kern w:val="44"/>
          <w:szCs w:val="24"/>
          <w:lang w:val="zh-CN"/>
        </w:rPr>
        <w:t>备注：</w:t>
      </w:r>
      <w:r>
        <w:rPr>
          <w:rFonts w:hint="eastAsia" w:ascii="宋体" w:hAnsi="宋体" w:cs="宋体"/>
          <w:szCs w:val="24"/>
        </w:rPr>
        <w:t>政府</w:t>
      </w:r>
      <w:r>
        <w:rPr>
          <w:rFonts w:hint="eastAsia" w:ascii="宋体" w:hAnsi="宋体" w:cs="宋体"/>
          <w:color w:val="auto"/>
          <w:szCs w:val="24"/>
        </w:rPr>
        <w:t>采购计划编</w:t>
      </w:r>
      <w:r>
        <w:rPr>
          <w:rFonts w:hint="eastAsia" w:ascii="宋体" w:hAnsi="宋体" w:cs="宋体"/>
          <w:color w:val="auto"/>
          <w:szCs w:val="24"/>
          <w:highlight w:val="none"/>
        </w:rPr>
        <w:t>号：善财采确</w:t>
      </w:r>
      <w:r>
        <w:rPr>
          <w:rFonts w:hint="eastAsia" w:ascii="宋体" w:hAnsi="宋体" w:cs="宋体"/>
          <w:color w:val="auto"/>
          <w:szCs w:val="24"/>
          <w:highlight w:val="none"/>
          <w:lang w:val="en-US" w:eastAsia="zh-CN"/>
        </w:rPr>
        <w:t>临</w:t>
      </w:r>
      <w:r>
        <w:rPr>
          <w:rFonts w:hint="eastAsia" w:ascii="宋体" w:hAnsi="宋体" w:cs="宋体"/>
          <w:color w:val="auto"/>
          <w:szCs w:val="24"/>
          <w:highlight w:val="none"/>
        </w:rPr>
        <w:t>[2022]</w:t>
      </w:r>
      <w:r>
        <w:rPr>
          <w:rFonts w:hint="eastAsia" w:ascii="宋体" w:hAnsi="宋体" w:cs="宋体"/>
          <w:color w:val="auto"/>
          <w:szCs w:val="24"/>
          <w:highlight w:val="none"/>
          <w:lang w:val="en-US" w:eastAsia="zh-CN"/>
        </w:rPr>
        <w:t>6308</w:t>
      </w:r>
      <w:r>
        <w:rPr>
          <w:rFonts w:hint="eastAsia" w:ascii="宋体" w:hAnsi="宋体" w:cs="宋体"/>
          <w:color w:val="auto"/>
          <w:szCs w:val="24"/>
          <w:highlight w:val="none"/>
        </w:rPr>
        <w:t>号</w:t>
      </w:r>
    </w:p>
    <w:p>
      <w:pPr>
        <w:spacing w:line="300" w:lineRule="auto"/>
        <w:ind w:firstLine="482"/>
        <w:rPr>
          <w:rFonts w:ascii="宋体" w:hAnsi="宋体" w:cs="宋体"/>
          <w:b/>
          <w:bCs/>
          <w:color w:val="auto"/>
          <w:szCs w:val="24"/>
          <w:u w:val="single"/>
        </w:rPr>
      </w:pPr>
      <w:r>
        <w:rPr>
          <w:rFonts w:hint="eastAsia" w:ascii="宋体" w:hAnsi="宋体" w:cs="宋体"/>
          <w:b/>
          <w:bCs/>
          <w:szCs w:val="24"/>
        </w:rPr>
        <w:t>合同履行期限：</w:t>
      </w:r>
    </w:p>
    <w:p>
      <w:pPr>
        <w:pStyle w:val="7"/>
        <w:pageBreakBefore w:val="0"/>
        <w:kinsoku/>
        <w:wordWrap/>
        <w:overflowPunct/>
        <w:topLinePunct w:val="0"/>
        <w:bidi w:val="0"/>
        <w:spacing w:before="0" w:after="0" w:line="300" w:lineRule="auto"/>
        <w:ind w:firstLine="482" w:firstLineChars="200"/>
        <w:contextualSpacing/>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rPr>
        <w:t>交货期</w:t>
      </w:r>
      <w:r>
        <w:rPr>
          <w:rFonts w:hint="eastAsia" w:ascii="宋体" w:hAnsi="宋体" w:eastAsia="宋体" w:cs="宋体"/>
          <w:b w:val="0"/>
          <w:bCs w:val="0"/>
          <w:color w:val="auto"/>
          <w:sz w:val="24"/>
          <w:szCs w:val="24"/>
          <w:highlight w:val="none"/>
          <w:lang w:val="en-US" w:eastAsia="zh-CN"/>
        </w:rPr>
        <w:t>：合同签订后40日历天内送货到学校指定地点、完成安装调试，并协助采购人完成验收工作，由于供应商原因不能在此日期前供货验收的，由此造成的损失由供应商自行承担。</w:t>
      </w:r>
    </w:p>
    <w:p>
      <w:pPr>
        <w:pageBreakBefore w:val="0"/>
        <w:kinsoku/>
        <w:wordWrap/>
        <w:overflowPunct/>
        <w:topLinePunct w:val="0"/>
        <w:autoSpaceDE w:val="0"/>
        <w:autoSpaceDN w:val="0"/>
        <w:bidi w:val="0"/>
        <w:adjustRightInd w:val="0"/>
        <w:spacing w:line="300" w:lineRule="auto"/>
        <w:ind w:firstLine="472" w:firstLineChars="196"/>
        <w:textAlignment w:val="auto"/>
        <w:rPr>
          <w:rFonts w:hint="eastAsia" w:ascii="宋体" w:hAnsi="宋体"/>
          <w:color w:val="auto"/>
          <w:kern w:val="0"/>
          <w:sz w:val="24"/>
          <w:szCs w:val="24"/>
          <w:highlight w:val="none"/>
        </w:rPr>
      </w:pPr>
      <w:r>
        <w:rPr>
          <w:rFonts w:hint="eastAsia" w:ascii="宋体" w:hAnsi="宋体" w:cs="宋体"/>
          <w:b/>
          <w:bCs/>
          <w:color w:val="auto"/>
          <w:sz w:val="24"/>
          <w:szCs w:val="24"/>
          <w:highlight w:val="none"/>
        </w:rPr>
        <w:t>质保期及售后服务要求：</w:t>
      </w:r>
      <w:r>
        <w:rPr>
          <w:rFonts w:hint="eastAsia" w:ascii="宋体" w:hAnsi="宋体"/>
          <w:color w:val="auto"/>
          <w:kern w:val="0"/>
          <w:sz w:val="24"/>
          <w:szCs w:val="24"/>
          <w:highlight w:val="none"/>
        </w:rPr>
        <w:t>本项目质保期至少为</w:t>
      </w:r>
      <w:r>
        <w:rPr>
          <w:rFonts w:hint="eastAsia" w:ascii="宋体" w:hAnsi="宋体"/>
          <w:color w:val="auto"/>
          <w:kern w:val="0"/>
          <w:sz w:val="24"/>
          <w:szCs w:val="24"/>
          <w:highlight w:val="none"/>
          <w:lang w:val="en-US" w:eastAsia="zh-CN"/>
        </w:rPr>
        <w:t>2</w:t>
      </w:r>
      <w:r>
        <w:rPr>
          <w:rFonts w:hint="eastAsia" w:ascii="宋体" w:hAnsi="宋体"/>
          <w:color w:val="auto"/>
          <w:kern w:val="0"/>
          <w:sz w:val="24"/>
          <w:szCs w:val="24"/>
          <w:highlight w:val="none"/>
        </w:rPr>
        <w:t>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故障响应及修复：接到故障电话1小时内派技术人员远程支持，远程支持无法解决的问题24小时内上门解决问题。紧急问题在4个小时内解决。</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ascii="宋体" w:hAnsi="宋体"/>
          <w:color w:val="auto"/>
          <w:kern w:val="0"/>
          <w:sz w:val="24"/>
          <w:szCs w:val="24"/>
          <w:highlight w:val="none"/>
        </w:rPr>
        <w:t>要求免费提供配套的产品资料，包括产品安装使用手册、功能模块说明书、用户使用手册、帮助文档等。</w:t>
      </w:r>
    </w:p>
    <w:p>
      <w:pPr>
        <w:spacing w:line="300" w:lineRule="auto"/>
        <w:ind w:firstLine="482"/>
        <w:rPr>
          <w:rFonts w:ascii="宋体" w:hAnsi="宋体" w:cs="宋体"/>
          <w:b/>
          <w:bCs/>
          <w:color w:val="000000" w:themeColor="text1"/>
          <w:szCs w:val="24"/>
          <w14:textFill>
            <w14:solidFill>
              <w14:schemeClr w14:val="tx1"/>
            </w14:solidFill>
          </w14:textFill>
        </w:rPr>
      </w:pPr>
      <w:r>
        <w:rPr>
          <w:rFonts w:hint="eastAsia" w:ascii="宋体" w:hAnsi="宋体" w:cs="宋体"/>
          <w:b/>
          <w:bCs/>
          <w:color w:val="auto"/>
          <w:szCs w:val="24"/>
        </w:rPr>
        <w:t>本项目（否）接受联合体投标</w:t>
      </w:r>
      <w:r>
        <w:rPr>
          <w:rFonts w:hint="eastAsia" w:ascii="宋体" w:hAnsi="宋体" w:cs="宋体"/>
          <w:b/>
          <w:bCs/>
          <w:color w:val="000000" w:themeColor="text1"/>
          <w:szCs w:val="24"/>
          <w14:textFill>
            <w14:solidFill>
              <w14:schemeClr w14:val="tx1"/>
            </w14:solidFill>
          </w14:textFill>
        </w:rPr>
        <w:t>。</w:t>
      </w:r>
    </w:p>
    <w:p>
      <w:pPr>
        <w:spacing w:line="300" w:lineRule="auto"/>
        <w:ind w:firstLine="482"/>
        <w:rPr>
          <w:b/>
          <w:bCs/>
          <w:szCs w:val="24"/>
        </w:rPr>
      </w:pPr>
      <w:bookmarkStart w:id="12" w:name="_Toc28359003"/>
      <w:bookmarkStart w:id="13" w:name="_Toc35393791"/>
      <w:bookmarkStart w:id="14" w:name="_Toc35393622"/>
      <w:bookmarkStart w:id="15" w:name="_Toc28359080"/>
      <w:r>
        <w:rPr>
          <w:rFonts w:hint="eastAsia"/>
          <w:b/>
          <w:bCs/>
          <w:szCs w:val="24"/>
        </w:rPr>
        <w:t>二、申请人的资格要求：</w:t>
      </w:r>
      <w:bookmarkEnd w:id="12"/>
      <w:bookmarkEnd w:id="13"/>
      <w:bookmarkEnd w:id="14"/>
      <w:bookmarkEnd w:id="15"/>
    </w:p>
    <w:p>
      <w:pPr>
        <w:snapToGrid w:val="0"/>
        <w:spacing w:line="300" w:lineRule="auto"/>
        <w:ind w:firstLine="480"/>
        <w:contextualSpacing/>
        <w:rPr>
          <w:rFonts w:ascii="宋体" w:hAnsi="宋体" w:cs="宋体"/>
          <w:color w:val="auto"/>
          <w:szCs w:val="24"/>
        </w:rPr>
      </w:pPr>
      <w:bookmarkStart w:id="16" w:name="_Toc28359081"/>
      <w:bookmarkStart w:id="17" w:name="_Toc28359004"/>
      <w:r>
        <w:rPr>
          <w:rFonts w:hint="eastAsia" w:ascii="宋体" w:hAnsi="宋体" w:cs="宋体"/>
          <w:color w:val="auto"/>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firstLineChars="200"/>
        <w:contextualSpacing/>
        <w:rPr>
          <w:rFonts w:hint="eastAsia" w:ascii="宋体" w:hAnsi="宋体" w:eastAsia="宋体" w:cs="宋体"/>
          <w:color w:val="auto"/>
          <w:szCs w:val="24"/>
          <w:lang w:eastAsia="zh-CN"/>
        </w:rPr>
      </w:pPr>
      <w:r>
        <w:rPr>
          <w:rFonts w:hint="eastAsia" w:ascii="宋体" w:hAnsi="宋体" w:cs="宋体"/>
          <w:color w:val="auto"/>
          <w:szCs w:val="24"/>
        </w:rPr>
        <w:t>（</w:t>
      </w:r>
      <w:r>
        <w:rPr>
          <w:rFonts w:hint="eastAsia" w:ascii="宋体" w:hAnsi="宋体" w:cs="宋体"/>
          <w:color w:val="auto"/>
          <w:szCs w:val="24"/>
          <w:lang w:val="en-US" w:eastAsia="zh-CN"/>
        </w:rPr>
        <w:t>二</w:t>
      </w:r>
      <w:r>
        <w:rPr>
          <w:rFonts w:hint="eastAsia" w:ascii="宋体" w:hAnsi="宋体" w:cs="宋体"/>
          <w:color w:val="auto"/>
          <w:szCs w:val="24"/>
        </w:rPr>
        <w:t>）落实政府采购政策需满足的资格要求</w:t>
      </w:r>
      <w:r>
        <w:rPr>
          <w:rFonts w:hint="eastAsia" w:ascii="宋体" w:hAnsi="宋体" w:cs="宋体"/>
          <w:color w:val="auto"/>
          <w:szCs w:val="24"/>
          <w:lang w:eastAsia="zh-CN"/>
        </w:rPr>
        <w:t>：</w:t>
      </w:r>
      <w:r>
        <w:rPr>
          <w:rFonts w:hint="eastAsia" w:ascii="宋体" w:hAnsi="宋体" w:eastAsia="宋体" w:cs="宋体"/>
          <w:b/>
          <w:bCs/>
          <w:color w:val="auto"/>
          <w:kern w:val="0"/>
          <w:sz w:val="24"/>
        </w:rPr>
        <w:t>专</w:t>
      </w:r>
      <w:r>
        <w:rPr>
          <w:rFonts w:hint="eastAsia" w:ascii="宋体" w:hAnsi="宋体" w:eastAsia="宋体" w:cs="宋体"/>
          <w:b/>
          <w:bCs/>
          <w:color w:val="auto"/>
          <w:sz w:val="24"/>
        </w:rPr>
        <w:t>门面向中小企业</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货物全部由符合政策要求的中小企业制造，提供中小企业声明函</w:t>
      </w:r>
      <w:r>
        <w:rPr>
          <w:rFonts w:hint="eastAsia" w:ascii="宋体" w:hAnsi="宋体" w:cs="宋体"/>
          <w:b/>
          <w:bCs/>
          <w:color w:val="auto"/>
          <w:sz w:val="24"/>
          <w:highlight w:val="none"/>
        </w:rPr>
        <w:t>。</w:t>
      </w:r>
    </w:p>
    <w:p>
      <w:pPr>
        <w:snapToGrid w:val="0"/>
        <w:spacing w:line="300" w:lineRule="auto"/>
        <w:ind w:firstLine="480"/>
        <w:contextualSpacing/>
        <w:rPr>
          <w:rFonts w:ascii="宋体" w:hAnsi="宋体" w:cs="宋体"/>
          <w:b/>
          <w:bCs/>
          <w:strike/>
          <w:color w:val="auto"/>
          <w:szCs w:val="24"/>
        </w:rPr>
      </w:pPr>
      <w:r>
        <w:rPr>
          <w:rFonts w:hint="eastAsia" w:ascii="宋体" w:hAnsi="宋体" w:cs="宋体"/>
          <w:color w:val="auto"/>
          <w:szCs w:val="24"/>
        </w:rPr>
        <w:t>（</w:t>
      </w:r>
      <w:r>
        <w:rPr>
          <w:rFonts w:hint="eastAsia" w:ascii="宋体" w:hAnsi="宋体" w:cs="宋体"/>
          <w:color w:val="auto"/>
          <w:szCs w:val="24"/>
          <w:lang w:val="en-US" w:eastAsia="zh-CN"/>
        </w:rPr>
        <w:t>三</w:t>
      </w:r>
      <w:r>
        <w:rPr>
          <w:rFonts w:hint="eastAsia" w:ascii="宋体" w:hAnsi="宋体" w:cs="宋体"/>
          <w:color w:val="auto"/>
          <w:szCs w:val="24"/>
        </w:rPr>
        <w:t>）本项目的特定资格要求：无</w:t>
      </w:r>
    </w:p>
    <w:bookmarkEnd w:id="16"/>
    <w:bookmarkEnd w:id="17"/>
    <w:p>
      <w:pPr>
        <w:spacing w:line="300" w:lineRule="auto"/>
        <w:ind w:firstLine="482"/>
        <w:rPr>
          <w:b/>
          <w:bCs/>
          <w:szCs w:val="24"/>
        </w:rPr>
      </w:pPr>
      <w:bookmarkStart w:id="18" w:name="_Toc28359008"/>
      <w:bookmarkStart w:id="19" w:name="_Toc35393627"/>
      <w:bookmarkStart w:id="20" w:name="_Toc35393796"/>
      <w:bookmarkStart w:id="21" w:name="_Toc28359085"/>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hint="eastAsia" w:ascii="宋体" w:hAnsi="宋体" w:cs="宋体"/>
          <w:lang w:val="en-US" w:eastAsia="zh-CN"/>
        </w:rPr>
        <w:t>12月20日</w:t>
      </w:r>
      <w:r>
        <w:rPr>
          <w:rFonts w:hint="eastAsia" w:ascii="宋体" w:hAnsi="宋体" w:cs="宋体"/>
        </w:rPr>
        <w:t>，每天上午00:00至12:00，下午12:00至23:59（北京时间，线上获取法定节假日均可，线下获取文件法定节假日除外）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hint="eastAsia" w:ascii="宋体" w:hAnsi="宋体" w:cs="宋体"/>
          <w:szCs w:val="24"/>
          <w:lang w:val="en-US" w:eastAsia="zh-CN"/>
        </w:rPr>
        <w:t>12月20日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hint="eastAsia" w:ascii="宋体" w:hAnsi="宋体" w:cs="宋体"/>
          <w:szCs w:val="24"/>
          <w:lang w:val="en-US" w:eastAsia="zh-CN"/>
        </w:rPr>
        <w:t>12月20日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rPr>
        <w:t>。</w:t>
      </w:r>
    </w:p>
    <w:p>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hint="eastAsia" w:ascii="宋体" w:hAnsi="宋体" w:eastAsia="宋体" w:cs="宋体"/>
          <w:color w:val="000000"/>
          <w:szCs w:val="24"/>
          <w:lang w:eastAsia="zh-CN"/>
        </w:rPr>
      </w:pPr>
      <w:r>
        <w:rPr>
          <w:rFonts w:hint="eastAsia" w:ascii="宋体" w:hAnsi="宋体" w:cs="宋体"/>
          <w:color w:val="000000"/>
          <w:szCs w:val="24"/>
        </w:rPr>
        <w:t>1.采购人名称：</w:t>
      </w:r>
      <w:r>
        <w:rPr>
          <w:rFonts w:hint="eastAsia" w:ascii="宋体" w:hAnsi="宋体" w:cs="宋体"/>
          <w:color w:val="000000"/>
          <w:szCs w:val="24"/>
          <w:lang w:eastAsia="zh-CN"/>
        </w:rPr>
        <w:t>嘉善技师学院（筹）</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项目联系人：</w:t>
      </w:r>
      <w:r>
        <w:rPr>
          <w:rFonts w:hint="eastAsia" w:ascii="宋体" w:hAnsi="宋体" w:cs="宋体"/>
          <w:color w:val="auto"/>
          <w:szCs w:val="24"/>
          <w:lang w:val="en-US" w:eastAsia="zh-CN"/>
        </w:rPr>
        <w:t xml:space="preserve">冯玮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联系电话：15857312877</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地址：</w:t>
      </w:r>
      <w:r>
        <w:rPr>
          <w:rFonts w:hint="eastAsia" w:ascii="宋体" w:hAnsi="宋体" w:eastAsia="宋体" w:cs="宋体"/>
          <w:i w:val="0"/>
          <w:iCs w:val="0"/>
          <w:caps w:val="0"/>
          <w:color w:val="auto"/>
          <w:spacing w:val="0"/>
          <w:sz w:val="24"/>
          <w:szCs w:val="24"/>
          <w:shd w:val="clear" w:fill="FFFFFF"/>
        </w:rPr>
        <w:t>浙江省嘉善县罗星街道车站南路555号</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质疑答复联系人：顾一帆</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FF0000"/>
          <w:szCs w:val="24"/>
          <w:lang w:eastAsia="zh-CN"/>
        </w:rPr>
      </w:pPr>
      <w:r>
        <w:rPr>
          <w:rFonts w:hint="eastAsia" w:ascii="宋体" w:hAnsi="宋体" w:cs="宋体"/>
          <w:color w:val="auto"/>
          <w:szCs w:val="24"/>
        </w:rPr>
        <w:t>联系电话：13736848550</w:t>
      </w:r>
      <w:r>
        <w:rPr>
          <w:rFonts w:hint="eastAsia" w:ascii="宋体" w:hAnsi="宋体" w:cs="宋体"/>
          <w:color w:val="FF0000"/>
          <w:szCs w:val="24"/>
          <w:lang w:val="en-US" w:eastAsia="zh-CN"/>
        </w:rPr>
        <w:t xml:space="preserve"> </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2.采购代理机构名称：嘉兴市宏泽招标咨询有限公司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hint="eastAsia" w:ascii="宋体" w:hAnsi="宋体" w:cs="宋体"/>
          <w:color w:val="000000"/>
          <w:szCs w:val="24"/>
        </w:rPr>
      </w:pPr>
      <w:r>
        <w:rPr>
          <w:rFonts w:hint="eastAsia" w:ascii="宋体" w:hAnsi="宋体" w:cs="宋体"/>
          <w:color w:val="000000"/>
          <w:szCs w:val="24"/>
        </w:rPr>
        <w:t>地址：嘉善县解放东路318号</w:t>
      </w:r>
    </w:p>
    <w:p>
      <w:pPr>
        <w:pStyle w:val="37"/>
        <w:rPr>
          <w:rFonts w:hint="eastAsia" w:ascii="宋体" w:hAnsi="宋体" w:cs="宋体"/>
          <w:szCs w:val="24"/>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rPr>
          <w:rFonts w:hint="eastAsia" w:ascii="宋体" w:hAnsi="宋体" w:eastAsia="宋体" w:cs="宋体"/>
          <w:color w:val="000000"/>
          <w:szCs w:val="24"/>
          <w:lang w:val="en-US" w:eastAsia="zh-CN"/>
        </w:rPr>
        <w:sectPr>
          <w:footerReference r:id="rId11" w:type="default"/>
          <w:pgSz w:w="11906" w:h="16838"/>
          <w:pgMar w:top="1418" w:right="1077" w:bottom="1418" w:left="1077" w:header="851" w:footer="851" w:gutter="340"/>
          <w:pgBorders>
            <w:top w:val="none" w:sz="0" w:space="0"/>
            <w:left w:val="none" w:sz="0" w:space="0"/>
            <w:bottom w:val="none" w:sz="0" w:space="0"/>
            <w:right w:val="none" w:sz="0" w:space="0"/>
          </w:pgBorders>
          <w:pgNumType w:start="1"/>
          <w:cols w:space="720" w:num="1"/>
          <w:docGrid w:linePitch="381" w:charSpace="0"/>
        </w:sectPr>
      </w:pPr>
      <w:r>
        <w:rPr>
          <w:rFonts w:hint="eastAsia" w:ascii="宋体" w:hAnsi="宋体" w:eastAsia="宋体" w:cs="宋体"/>
          <w:color w:val="000000"/>
          <w:szCs w:val="24"/>
          <w:lang w:val="en-US" w:eastAsia="zh-CN"/>
        </w:rPr>
        <w:t>CA问题联系电话（人工）：汇信CA 400-888-4636；天谷CA 400-087-8198。</w:t>
      </w:r>
    </w:p>
    <w:p>
      <w:pPr>
        <w:pStyle w:val="35"/>
        <w:spacing w:before="0" w:after="0"/>
        <w:ind w:firstLine="643"/>
      </w:pPr>
      <w:bookmarkStart w:id="22" w:name="_Toc3327"/>
      <w:r>
        <w:rPr>
          <w:rFonts w:hint="eastAsia"/>
        </w:rPr>
        <w:t>第二章  采购需求</w:t>
      </w:r>
      <w:bookmarkEnd w:id="22"/>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编号：HZZX-2022-</w:t>
      </w:r>
      <w:r>
        <w:rPr>
          <w:rFonts w:hint="eastAsia" w:hAnsi="宋体" w:cs="宋体"/>
          <w:color w:val="000000"/>
          <w:sz w:val="24"/>
          <w:szCs w:val="24"/>
          <w:lang w:eastAsia="zh-CN"/>
        </w:rPr>
        <w:t>G78</w:t>
      </w:r>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嘉善技师学院（筹）</w:t>
      </w:r>
    </w:p>
    <w:p>
      <w:pPr>
        <w:pStyle w:val="22"/>
        <w:snapToGrid w:val="0"/>
        <w:spacing w:beforeLines="0" w:afterLines="0" w:line="300" w:lineRule="auto"/>
        <w:ind w:firstLine="48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bookmarkStart w:id="23" w:name="_Toc13254"/>
      <w:r>
        <w:rPr>
          <w:rFonts w:hint="eastAsia" w:hAnsi="宋体" w:cs="宋体"/>
          <w:sz w:val="24"/>
          <w:lang w:eastAsia="zh-CN"/>
        </w:rPr>
        <w:t>嘉善技师学院（筹）购置培训教学仪器设备（电子电工实训室电源台实训设备）</w:t>
      </w:r>
    </w:p>
    <w:p>
      <w:pPr>
        <w:pStyle w:val="22"/>
        <w:snapToGrid w:val="0"/>
        <w:spacing w:beforeLines="0" w:afterLines="0" w:line="300" w:lineRule="auto"/>
        <w:ind w:firstLine="482"/>
        <w:rPr>
          <w:rFonts w:hAnsi="宋体" w:cs="宋体"/>
          <w:b/>
          <w:bCs/>
          <w:color w:val="000000" w:themeColor="text1"/>
          <w:sz w:val="24"/>
          <w:szCs w:val="24"/>
          <w14:textFill>
            <w14:solidFill>
              <w14:schemeClr w14:val="tx1"/>
            </w14:solidFill>
          </w14:textFill>
        </w:rPr>
      </w:pPr>
    </w:p>
    <w:p>
      <w:pPr>
        <w:pStyle w:val="46"/>
        <w:spacing w:line="240" w:lineRule="auto"/>
        <w:ind w:left="0" w:leftChars="0" w:firstLine="482" w:firstLineChars="200"/>
        <w:rPr>
          <w:rFonts w:hint="default" w:eastAsia="宋体"/>
          <w:b/>
          <w:bCs/>
          <w:color w:val="auto"/>
          <w:highlight w:val="none"/>
          <w:lang w:val="en-US" w:eastAsia="zh-CN"/>
        </w:rPr>
      </w:pPr>
      <w:r>
        <w:rPr>
          <w:rFonts w:hint="eastAsia"/>
          <w:b/>
          <w:bCs/>
          <w:color w:val="auto"/>
          <w:highlight w:val="none"/>
          <w:lang w:val="en-US" w:eastAsia="zh-CN"/>
        </w:rPr>
        <w:t>一、采购清单</w:t>
      </w:r>
    </w:p>
    <w:tbl>
      <w:tblPr>
        <w:tblStyle w:val="38"/>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821"/>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4821"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设备</w:t>
            </w:r>
            <w:r>
              <w:rPr>
                <w:rFonts w:hint="eastAsia" w:ascii="宋体" w:hAnsi="宋体" w:eastAsia="宋体" w:cs="宋体"/>
                <w:b/>
                <w:bCs w:val="0"/>
                <w:color w:val="auto"/>
                <w:sz w:val="24"/>
                <w:szCs w:val="24"/>
              </w:rPr>
              <w:t>名称</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数量</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4821"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sz w:val="24"/>
                <w:szCs w:val="24"/>
                <w:vertAlign w:val="baseline"/>
              </w:rPr>
              <w:t>电子电工实训室电源台实训设备</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52</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套</w:t>
            </w:r>
          </w:p>
        </w:tc>
      </w:tr>
    </w:tbl>
    <w:p>
      <w:pPr>
        <w:pStyle w:val="22"/>
        <w:snapToGrid w:val="0"/>
        <w:spacing w:beforeLines="0" w:afterLines="0" w:line="300" w:lineRule="auto"/>
        <w:ind w:left="480" w:leftChars="200" w:firstLine="0" w:firstLineChars="0"/>
        <w:rPr>
          <w:rFonts w:hint="eastAsia" w:hAnsi="宋体" w:cs="宋体"/>
          <w:b/>
          <w:bCs/>
          <w:sz w:val="24"/>
          <w:szCs w:val="24"/>
        </w:rPr>
      </w:pPr>
    </w:p>
    <w:p>
      <w:pPr>
        <w:pStyle w:val="22"/>
        <w:snapToGrid w:val="0"/>
        <w:spacing w:beforeLines="0" w:afterLines="0" w:line="300" w:lineRule="auto"/>
        <w:ind w:left="480" w:leftChars="200" w:firstLine="0" w:firstLineChars="0"/>
        <w:rPr>
          <w:rFonts w:hAnsi="宋体" w:cs="宋体"/>
          <w:b/>
          <w:bCs/>
          <w:sz w:val="24"/>
          <w:szCs w:val="24"/>
        </w:rPr>
      </w:pPr>
      <w:r>
        <w:rPr>
          <w:rFonts w:hint="eastAsia" w:hAnsi="宋体" w:cs="宋体"/>
          <w:b/>
          <w:bCs/>
          <w:sz w:val="24"/>
          <w:szCs w:val="24"/>
        </w:rPr>
        <w:t>二、技术参数要求</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373"/>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blHeader/>
          <w:jc w:val="center"/>
        </w:trPr>
        <w:tc>
          <w:tcPr>
            <w:tcW w:w="567" w:type="dxa"/>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序号</w:t>
            </w:r>
          </w:p>
        </w:tc>
        <w:tc>
          <w:tcPr>
            <w:tcW w:w="1373" w:type="dxa"/>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val="en-US" w:eastAsia="zh-CN"/>
              </w:rPr>
              <w:t>设备</w:t>
            </w:r>
            <w:r>
              <w:rPr>
                <w:rFonts w:hint="eastAsia" w:ascii="宋体" w:hAnsi="宋体" w:eastAsia="宋体" w:cs="宋体"/>
                <w:b/>
                <w:bCs/>
                <w:color w:val="auto"/>
                <w:sz w:val="21"/>
                <w:szCs w:val="21"/>
                <w:highlight w:val="none"/>
                <w:vertAlign w:val="baseline"/>
                <w:lang w:eastAsia="zh-CN"/>
              </w:rPr>
              <w:t>名称</w:t>
            </w:r>
          </w:p>
        </w:tc>
        <w:tc>
          <w:tcPr>
            <w:tcW w:w="6565" w:type="dxa"/>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sz w:val="21"/>
                <w:szCs w:val="21"/>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1</w:t>
            </w:r>
          </w:p>
        </w:tc>
        <w:tc>
          <w:tcPr>
            <w:tcW w:w="1373" w:type="dxa"/>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电子电工实训室电源台实训设备</w:t>
            </w:r>
          </w:p>
        </w:tc>
        <w:tc>
          <w:tcPr>
            <w:tcW w:w="6565" w:type="dxa"/>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一、概述</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电子电工实训室电源台实训设备</w:t>
            </w:r>
            <w:r>
              <w:rPr>
                <w:rFonts w:hint="eastAsia" w:ascii="宋体" w:hAnsi="宋体" w:eastAsia="宋体" w:cs="宋体"/>
                <w:b w:val="0"/>
                <w:bCs w:val="0"/>
                <w:color w:val="auto"/>
                <w:sz w:val="21"/>
                <w:szCs w:val="21"/>
                <w:highlight w:val="none"/>
                <w:lang w:val="en-US" w:eastAsia="zh-CN"/>
              </w:rPr>
              <w:t>是根据教育部“振兴21世纪职业教育课程改革和教材建设规划”要求以及本校智能制造群的教学要求，结合生产实际和职业岗位的技能要求，符合职业学校的教学和实训要求的产品。该实训考核设备是按高等职业学校的机电设备安装与维修、机电技术应用、电气运行与控制、电气技术应用和电子电器应用与维修等专业和非电类专业的《电工技术》、《电工基本技能》、《电工技术基础》、《电工测量与仪表》、《电机与电气控制》、《PLC综合控制》、《电动机控制电路》、《电力拖动控制电路》、《电力拖动控制线路与技能训练》等相关专业模块的职业能力教学与实训，并兼顾了中等职业学校的教学要求,满足技能高考的要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2.实训产品设备制造商具有</w:t>
            </w:r>
            <w:r>
              <w:rPr>
                <w:rFonts w:hint="eastAsia" w:ascii="宋体" w:hAnsi="宋体" w:cs="宋体"/>
                <w:b w:val="0"/>
                <w:bCs w:val="0"/>
                <w:color w:val="auto"/>
                <w:sz w:val="21"/>
                <w:szCs w:val="21"/>
                <w:highlight w:val="none"/>
                <w:lang w:val="en-US" w:eastAsia="zh-CN"/>
              </w:rPr>
              <w:t>保险公司承保</w:t>
            </w:r>
            <w:r>
              <w:rPr>
                <w:rFonts w:hint="eastAsia" w:ascii="宋体" w:hAnsi="宋体" w:eastAsia="宋体" w:cs="宋体"/>
                <w:b w:val="0"/>
                <w:bCs w:val="0"/>
                <w:color w:val="auto"/>
                <w:sz w:val="21"/>
                <w:szCs w:val="21"/>
                <w:highlight w:val="none"/>
                <w:lang w:val="en-US" w:eastAsia="zh-CN"/>
              </w:rPr>
              <w:t>责任险。</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二、设备技术指标</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1.输入电压：三相四线制380V±10%  50HZ</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 工作环境：环境温度范围为-5℃～+40℃ 相对湿度＜85%（25℃）海拔＜4000m</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 装置容量：＜500VA</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 外形尺寸：大于等于1600mm ×750mm ×1200mm</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 输出电源具有短路保护，过载保护，漏电保护动作电流≤30mA。</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教师电源管理控制系统</w:t>
            </w:r>
            <w:r>
              <w:rPr>
                <w:rFonts w:hint="eastAsia" w:ascii="宋体" w:hAnsi="宋体" w:eastAsia="宋体" w:cs="宋体"/>
                <w:b w:val="0"/>
                <w:bCs w:val="0"/>
                <w:color w:val="auto"/>
                <w:sz w:val="21"/>
                <w:szCs w:val="21"/>
                <w:highlight w:val="none"/>
                <w:lang w:eastAsia="zh-CN"/>
              </w:rPr>
              <w:t>（实验室共享</w:t>
            </w:r>
            <w:r>
              <w:rPr>
                <w:rFonts w:hint="eastAsia" w:ascii="宋体" w:hAnsi="宋体" w:eastAsia="宋体" w:cs="宋体"/>
                <w:b w:val="0"/>
                <w:bCs w:val="0"/>
                <w:color w:val="auto"/>
                <w:sz w:val="21"/>
                <w:szCs w:val="21"/>
                <w:highlight w:val="none"/>
                <w:lang w:val="en-US" w:eastAsia="zh-CN"/>
              </w:rPr>
              <w:t>1套</w:t>
            </w:r>
            <w:r>
              <w:rPr>
                <w:rFonts w:hint="eastAsia" w:ascii="宋体" w:hAnsi="宋体" w:eastAsia="宋体" w:cs="宋体"/>
                <w:b w:val="0"/>
                <w:bCs w:val="0"/>
                <w:color w:val="auto"/>
                <w:sz w:val="21"/>
                <w:szCs w:val="21"/>
                <w:highlight w:val="none"/>
                <w:lang w:eastAsia="zh-CN"/>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教师可以无线控制</w:t>
            </w:r>
            <w:r>
              <w:rPr>
                <w:rFonts w:hint="eastAsia" w:ascii="宋体" w:hAnsi="宋体" w:eastAsia="宋体" w:cs="宋体"/>
                <w:b w:val="0"/>
                <w:bCs w:val="0"/>
                <w:color w:val="auto"/>
                <w:sz w:val="21"/>
                <w:szCs w:val="21"/>
                <w:highlight w:val="none"/>
                <w:lang w:eastAsia="zh-CN"/>
              </w:rPr>
              <w:t>终端</w:t>
            </w:r>
            <w:r>
              <w:rPr>
                <w:rFonts w:hint="eastAsia" w:ascii="宋体" w:hAnsi="宋体" w:eastAsia="宋体" w:cs="宋体"/>
                <w:b w:val="0"/>
                <w:bCs w:val="0"/>
                <w:color w:val="auto"/>
                <w:sz w:val="21"/>
                <w:szCs w:val="21"/>
                <w:highlight w:val="none"/>
              </w:rPr>
              <w:t>的总电源、直流稳压、恒流源、信号源、交流电源；</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采用无线控制：不需要实验室布线、可移动式控制终端；无线传输距离：&gt;20米；</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教师主控台采用大于等于7寸触摸屏或者手机APP或者平板APP无线控制；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教师可以控制无线</w:t>
            </w:r>
            <w:r>
              <w:rPr>
                <w:rFonts w:hint="eastAsia" w:ascii="宋体" w:hAnsi="宋体" w:eastAsia="宋体" w:cs="宋体"/>
                <w:b w:val="0"/>
                <w:bCs w:val="0"/>
                <w:color w:val="auto"/>
                <w:sz w:val="21"/>
                <w:szCs w:val="21"/>
                <w:highlight w:val="none"/>
                <w:lang w:eastAsia="zh-CN"/>
              </w:rPr>
              <w:t>终端</w:t>
            </w:r>
            <w:r>
              <w:rPr>
                <w:rFonts w:hint="eastAsia" w:ascii="宋体" w:hAnsi="宋体" w:eastAsia="宋体" w:cs="宋体"/>
                <w:b w:val="0"/>
                <w:bCs w:val="0"/>
                <w:color w:val="auto"/>
                <w:sz w:val="21"/>
                <w:szCs w:val="21"/>
                <w:highlight w:val="none"/>
              </w:rPr>
              <w:t>的总电源的启停，也可解除控制；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教师可以无线控制</w:t>
            </w:r>
            <w:r>
              <w:rPr>
                <w:rFonts w:hint="eastAsia" w:ascii="宋体" w:hAnsi="宋体" w:eastAsia="宋体" w:cs="宋体"/>
                <w:b w:val="0"/>
                <w:bCs w:val="0"/>
                <w:color w:val="auto"/>
                <w:sz w:val="21"/>
                <w:szCs w:val="21"/>
                <w:highlight w:val="none"/>
                <w:lang w:eastAsia="zh-CN"/>
              </w:rPr>
              <w:t>终端</w:t>
            </w:r>
            <w:r>
              <w:rPr>
                <w:rFonts w:hint="eastAsia" w:ascii="宋体" w:hAnsi="宋体" w:eastAsia="宋体" w:cs="宋体"/>
                <w:b w:val="0"/>
                <w:bCs w:val="0"/>
                <w:color w:val="auto"/>
                <w:sz w:val="21"/>
                <w:szCs w:val="21"/>
                <w:highlight w:val="none"/>
              </w:rPr>
              <w:t>的直流稳压电源的输出电压（0-30V输出可控，控制分辨率：0.1V，液晶显示输出大小可控）恒流源(0-5A输出可控）。也可解除控制；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教师可以无线控制</w:t>
            </w:r>
            <w:r>
              <w:rPr>
                <w:rFonts w:hint="eastAsia" w:ascii="宋体" w:hAnsi="宋体" w:eastAsia="宋体" w:cs="宋体"/>
                <w:b w:val="0"/>
                <w:bCs w:val="0"/>
                <w:color w:val="auto"/>
                <w:sz w:val="21"/>
                <w:szCs w:val="21"/>
                <w:highlight w:val="none"/>
                <w:lang w:eastAsia="zh-CN"/>
              </w:rPr>
              <w:t>终端</w:t>
            </w:r>
            <w:r>
              <w:rPr>
                <w:rFonts w:hint="eastAsia" w:ascii="宋体" w:hAnsi="宋体" w:eastAsia="宋体" w:cs="宋体"/>
                <w:b w:val="0"/>
                <w:bCs w:val="0"/>
                <w:color w:val="auto"/>
                <w:sz w:val="21"/>
                <w:szCs w:val="21"/>
                <w:highlight w:val="none"/>
              </w:rPr>
              <w:t>的信号源(频率1-2M可控，控制分辨率：1Hz,输出大小波形选择可控)等；</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教师可以无线控制</w:t>
            </w:r>
            <w:r>
              <w:rPr>
                <w:rFonts w:hint="eastAsia" w:ascii="宋体" w:hAnsi="宋体" w:eastAsia="宋体" w:cs="宋体"/>
                <w:b w:val="0"/>
                <w:bCs w:val="0"/>
                <w:color w:val="auto"/>
                <w:sz w:val="21"/>
                <w:szCs w:val="21"/>
                <w:highlight w:val="none"/>
                <w:lang w:eastAsia="zh-CN"/>
              </w:rPr>
              <w:t>终端</w:t>
            </w:r>
            <w:r>
              <w:rPr>
                <w:rFonts w:hint="eastAsia" w:ascii="宋体" w:hAnsi="宋体" w:eastAsia="宋体" w:cs="宋体"/>
                <w:b w:val="0"/>
                <w:bCs w:val="0"/>
                <w:color w:val="auto"/>
                <w:sz w:val="21"/>
                <w:szCs w:val="21"/>
                <w:highlight w:val="none"/>
              </w:rPr>
              <w:t>的交流电源（0-30V输出大小可控，控制分辨率：1V），也可解除控制；</w:t>
            </w:r>
          </w:p>
          <w:p>
            <w:pPr>
              <w:pageBreakBefore w:val="0"/>
              <w:kinsoku/>
              <w:wordWrap/>
              <w:overflowPunct/>
              <w:topLinePunct w:val="0"/>
              <w:autoSpaceDE/>
              <w:autoSpaceDN/>
              <w:bidi w:val="0"/>
              <w:spacing w:line="300" w:lineRule="auto"/>
              <w:ind w:firstLine="0" w:firstLineChars="0"/>
              <w:jc w:val="lef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为保证软硬件兼容性及软件升级需要，要求软件</w:t>
            </w:r>
            <w:r>
              <w:rPr>
                <w:rFonts w:hint="eastAsia" w:ascii="宋体" w:hAnsi="宋体" w:eastAsia="宋体" w:cs="宋体"/>
                <w:b w:val="0"/>
                <w:bCs w:val="0"/>
                <w:color w:val="auto"/>
                <w:sz w:val="21"/>
                <w:szCs w:val="21"/>
                <w:highlight w:val="none"/>
              </w:rPr>
              <w:t>与实训台</w:t>
            </w:r>
            <w:r>
              <w:rPr>
                <w:rFonts w:hint="eastAsia" w:ascii="宋体" w:hAnsi="宋体" w:eastAsia="宋体" w:cs="宋体"/>
                <w:b w:val="0"/>
                <w:bCs w:val="0"/>
                <w:color w:val="auto"/>
                <w:sz w:val="21"/>
                <w:szCs w:val="21"/>
                <w:highlight w:val="none"/>
                <w:lang w:val="en-US" w:eastAsia="zh-CN"/>
              </w:rPr>
              <w:t>硬件</w:t>
            </w:r>
            <w:r>
              <w:rPr>
                <w:rFonts w:hint="eastAsia" w:ascii="宋体" w:hAnsi="宋体" w:eastAsia="宋体" w:cs="宋体"/>
                <w:b w:val="0"/>
                <w:bCs w:val="0"/>
                <w:color w:val="auto"/>
                <w:sz w:val="21"/>
                <w:szCs w:val="21"/>
                <w:highlight w:val="none"/>
              </w:rPr>
              <w:t>为同一制造商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验收时提供产品第三方检测报告。</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三、 设备功能</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本实训装置</w:t>
            </w:r>
            <w:r>
              <w:rPr>
                <w:rFonts w:hint="eastAsia" w:ascii="宋体" w:hAnsi="宋体" w:cs="宋体"/>
                <w:b w:val="0"/>
                <w:bCs w:val="0"/>
                <w:color w:val="auto"/>
                <w:sz w:val="21"/>
                <w:szCs w:val="21"/>
                <w:highlight w:val="none"/>
                <w:lang w:val="en-US" w:eastAsia="zh-CN"/>
              </w:rPr>
              <w:t>要求包含</w:t>
            </w:r>
            <w:r>
              <w:rPr>
                <w:rFonts w:hint="eastAsia" w:ascii="宋体" w:hAnsi="宋体" w:eastAsia="宋体" w:cs="宋体"/>
                <w:b w:val="0"/>
                <w:bCs w:val="0"/>
                <w:color w:val="auto"/>
                <w:sz w:val="21"/>
                <w:szCs w:val="21"/>
                <w:highlight w:val="none"/>
              </w:rPr>
              <w:t>实验台、分体式铝合金电源模块</w:t>
            </w:r>
            <w:r>
              <w:rPr>
                <w:rFonts w:hint="eastAsia" w:ascii="宋体" w:hAnsi="宋体" w:eastAsia="宋体" w:cs="宋体"/>
                <w:b w:val="0"/>
                <w:bCs w:val="0"/>
                <w:color w:val="auto"/>
                <w:sz w:val="21"/>
                <w:szCs w:val="21"/>
                <w:highlight w:val="none"/>
                <w:lang w:val="en-US" w:eastAsia="zh-CN"/>
              </w:rPr>
              <w:t>、视频录制系统、信息管理控制系统</w:t>
            </w:r>
            <w:r>
              <w:rPr>
                <w:rFonts w:hint="eastAsia" w:ascii="宋体" w:hAnsi="宋体" w:eastAsia="宋体" w:cs="宋体"/>
                <w:b w:val="0"/>
                <w:bCs w:val="0"/>
                <w:color w:val="auto"/>
                <w:sz w:val="21"/>
                <w:szCs w:val="21"/>
                <w:highlight w:val="none"/>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实验台采用铝合金框架，立柱规格12CM*5CM，梯形形状设计，中间设有卡槽用于安装装饰条；下部支撑型材8CM*4CM，梯形形状设计，端头采用专用圆弧型ABS材质注塑成型；实验台底下设有方便移动的万向轮，在不需要移动时可自由调节脚垫进行固定。</w:t>
            </w:r>
            <w:r>
              <w:rPr>
                <w:rFonts w:hint="eastAsia" w:ascii="宋体" w:hAnsi="宋体" w:eastAsia="宋体" w:cs="宋体"/>
                <w:b/>
                <w:bCs/>
                <w:color w:val="auto"/>
                <w:sz w:val="21"/>
                <w:szCs w:val="21"/>
                <w:highlight w:val="none"/>
                <w:lang w:val="en-US" w:eastAsia="zh-CN"/>
              </w:rPr>
              <w:t>在投标文件中提供实物（立柱型材、支撑型材、端头盖）图片佐证。</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储藏柜：</w:t>
            </w:r>
            <w:r>
              <w:rPr>
                <w:rFonts w:hint="eastAsia" w:ascii="宋体" w:hAnsi="宋体" w:eastAsia="宋体" w:cs="宋体"/>
                <w:b w:val="0"/>
                <w:bCs w:val="0"/>
                <w:color w:val="auto"/>
                <w:sz w:val="21"/>
                <w:szCs w:val="21"/>
                <w:highlight w:val="none"/>
              </w:rPr>
              <w:t>实验桌下方设有钢制柜子（标准产品大于等于1400mm*</w:t>
            </w:r>
            <w:r>
              <w:rPr>
                <w:rFonts w:hint="eastAsia" w:ascii="宋体" w:hAnsi="宋体" w:eastAsia="宋体" w:cs="宋体"/>
                <w:b w:val="0"/>
                <w:bCs w:val="0"/>
                <w:color w:val="auto"/>
                <w:sz w:val="21"/>
                <w:szCs w:val="21"/>
                <w:highlight w:val="none"/>
                <w:lang w:val="en-US" w:eastAsia="zh-CN"/>
              </w:rPr>
              <w:t>50</w:t>
            </w:r>
            <w:r>
              <w:rPr>
                <w:rFonts w:hint="eastAsia" w:ascii="宋体" w:hAnsi="宋体" w:eastAsia="宋体" w:cs="宋体"/>
                <w:b w:val="0"/>
                <w:bCs w:val="0"/>
                <w:color w:val="auto"/>
                <w:sz w:val="21"/>
                <w:szCs w:val="21"/>
                <w:highlight w:val="none"/>
              </w:rPr>
              <w:t>0mm*450mm，按实际场地布置定制），静电喷塑烤漆工艺，不少于两种颜色搭配，柜子前部边角采用弧形设计，设有</w:t>
            </w:r>
            <w:r>
              <w:rPr>
                <w:rFonts w:hint="eastAsia" w:ascii="宋体" w:hAnsi="宋体" w:eastAsia="宋体" w:cs="宋体"/>
                <w:b w:val="0"/>
                <w:bCs w:val="0"/>
                <w:color w:val="auto"/>
                <w:sz w:val="21"/>
                <w:szCs w:val="21"/>
                <w:highlight w:val="none"/>
                <w:lang w:eastAsia="zh-CN"/>
              </w:rPr>
              <w:t>大于等于</w:t>
            </w:r>
            <w:r>
              <w:rPr>
                <w:rFonts w:hint="eastAsia" w:ascii="宋体" w:hAnsi="宋体" w:eastAsia="宋体" w:cs="宋体"/>
                <w:b w:val="0"/>
                <w:bCs w:val="0"/>
                <w:color w:val="auto"/>
                <w:sz w:val="21"/>
                <w:szCs w:val="21"/>
                <w:highlight w:val="none"/>
              </w:rPr>
              <w:t>2个柜子，</w:t>
            </w:r>
            <w:r>
              <w:rPr>
                <w:rFonts w:hint="eastAsia" w:ascii="宋体" w:hAnsi="宋体" w:eastAsia="宋体" w:cs="宋体"/>
                <w:b w:val="0"/>
                <w:bCs w:val="0"/>
                <w:color w:val="auto"/>
                <w:sz w:val="21"/>
                <w:szCs w:val="21"/>
                <w:highlight w:val="none"/>
                <w:lang w:eastAsia="zh-CN"/>
              </w:rPr>
              <w:t>左边用于放置网孔板、</w:t>
            </w:r>
            <w:r>
              <w:rPr>
                <w:rFonts w:hint="eastAsia" w:ascii="宋体" w:hAnsi="宋体" w:eastAsia="宋体" w:cs="宋体"/>
                <w:b w:val="0"/>
                <w:bCs w:val="0"/>
                <w:color w:val="auto"/>
                <w:sz w:val="21"/>
                <w:szCs w:val="21"/>
                <w:highlight w:val="none"/>
                <w:lang w:val="en-US" w:eastAsia="zh-CN"/>
              </w:rPr>
              <w:t>PLC实验箱、实训器材等。右边放置计算机、工具箱</w:t>
            </w:r>
            <w:r>
              <w:rPr>
                <w:rFonts w:hint="eastAsia" w:ascii="宋体" w:hAnsi="宋体" w:eastAsia="宋体" w:cs="宋体"/>
                <w:b w:val="0"/>
                <w:bCs w:val="0"/>
                <w:color w:val="auto"/>
                <w:sz w:val="21"/>
                <w:szCs w:val="21"/>
                <w:highlight w:val="none"/>
              </w:rPr>
              <w:t>。</w:t>
            </w:r>
            <w:r>
              <w:rPr>
                <w:rFonts w:hint="eastAsia" w:ascii="宋体" w:hAnsi="宋体" w:eastAsia="宋体" w:cs="宋体"/>
                <w:b/>
                <w:bCs/>
                <w:color w:val="auto"/>
                <w:sz w:val="21"/>
                <w:szCs w:val="21"/>
                <w:highlight w:val="none"/>
                <w:lang w:val="en-US" w:eastAsia="zh-CN"/>
              </w:rPr>
              <w:t>在投标文件中</w:t>
            </w:r>
            <w:r>
              <w:rPr>
                <w:rFonts w:hint="eastAsia" w:ascii="宋体" w:hAnsi="宋体" w:eastAsia="宋体" w:cs="宋体"/>
                <w:b/>
                <w:bCs/>
                <w:color w:val="auto"/>
                <w:sz w:val="21"/>
                <w:szCs w:val="21"/>
                <w:highlight w:val="none"/>
              </w:rPr>
              <w:t>提供图片</w:t>
            </w:r>
            <w:r>
              <w:rPr>
                <w:rFonts w:hint="eastAsia" w:ascii="宋体" w:hAnsi="宋体" w:eastAsia="宋体" w:cs="宋体"/>
                <w:b/>
                <w:bCs/>
                <w:color w:val="auto"/>
                <w:sz w:val="21"/>
                <w:szCs w:val="21"/>
                <w:highlight w:val="none"/>
                <w:lang w:eastAsia="zh-CN"/>
              </w:rPr>
              <w:t>佐证</w:t>
            </w:r>
            <w:r>
              <w:rPr>
                <w:rFonts w:hint="eastAsia" w:ascii="宋体" w:hAnsi="宋体" w:eastAsia="宋体" w:cs="宋体"/>
                <w:b/>
                <w:bCs/>
                <w:color w:val="auto"/>
                <w:sz w:val="21"/>
                <w:szCs w:val="21"/>
                <w:highlight w:val="none"/>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4.每套设备配2个单工位电源，每个单工位电源配置如下</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设有三相四线漏电保护器、4个保险丝座、4个指示灯、指针式仪表指示电压；三相四线380V市电输出，输出由组合开关进行控制；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）三相交流</w:t>
            </w:r>
            <w:r>
              <w:rPr>
                <w:rFonts w:hint="eastAsia" w:ascii="宋体" w:hAnsi="宋体" w:eastAsia="宋体" w:cs="宋体"/>
                <w:b w:val="0"/>
                <w:bCs w:val="0"/>
                <w:color w:val="auto"/>
                <w:sz w:val="21"/>
                <w:szCs w:val="21"/>
                <w:highlight w:val="none"/>
                <w:lang w:val="en-US" w:eastAsia="zh-CN"/>
              </w:rPr>
              <w:t>36V输出；</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（3）至少6组单相220V输出供外接仪器使用，</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（4）单相交流（</w:t>
            </w:r>
            <w:r>
              <w:rPr>
                <w:rFonts w:hint="eastAsia" w:ascii="宋体" w:hAnsi="宋体" w:eastAsia="宋体" w:cs="宋体"/>
                <w:b w:val="0"/>
                <w:bCs w:val="0"/>
                <w:color w:val="auto"/>
                <w:sz w:val="21"/>
                <w:szCs w:val="21"/>
                <w:highlight w:val="none"/>
              </w:rPr>
              <w:t>交流0、3V、6V、9V、12V等；电流表显示</w:t>
            </w:r>
            <w:r>
              <w:rPr>
                <w:rFonts w:hint="eastAsia" w:ascii="宋体" w:hAnsi="宋体" w:eastAsia="宋体" w:cs="宋体"/>
                <w:b w:val="0"/>
                <w:bCs w:val="0"/>
                <w:color w:val="auto"/>
                <w:sz w:val="21"/>
                <w:szCs w:val="21"/>
                <w:highlight w:val="none"/>
                <w:lang w:val="en-US" w:eastAsia="zh-CN"/>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（5）直流</w:t>
            </w:r>
            <w:r>
              <w:rPr>
                <w:rFonts w:hint="eastAsia" w:ascii="宋体" w:hAnsi="宋体" w:eastAsia="宋体" w:cs="宋体"/>
                <w:b w:val="0"/>
                <w:bCs w:val="0"/>
                <w:color w:val="auto"/>
                <w:sz w:val="21"/>
                <w:szCs w:val="21"/>
                <w:highlight w:val="none"/>
              </w:rPr>
              <w:t>0-30V/1.5A连续可调；自动继电器换档；</w:t>
            </w:r>
            <w:r>
              <w:rPr>
                <w:rFonts w:hint="eastAsia" w:ascii="宋体" w:hAnsi="宋体" w:eastAsia="宋体" w:cs="宋体"/>
                <w:b w:val="0"/>
                <w:bCs w:val="0"/>
                <w:color w:val="auto"/>
                <w:sz w:val="21"/>
                <w:szCs w:val="21"/>
                <w:highlight w:val="none"/>
                <w:lang w:eastAsia="zh-CN"/>
              </w:rPr>
              <w:t>数字</w:t>
            </w:r>
            <w:r>
              <w:rPr>
                <w:rFonts w:hint="eastAsia" w:ascii="宋体" w:hAnsi="宋体" w:eastAsia="宋体" w:cs="宋体"/>
                <w:b w:val="0"/>
                <w:bCs w:val="0"/>
                <w:color w:val="auto"/>
                <w:sz w:val="21"/>
                <w:szCs w:val="21"/>
                <w:highlight w:val="none"/>
              </w:rPr>
              <w:t>电压、</w:t>
            </w:r>
            <w:r>
              <w:rPr>
                <w:rFonts w:hint="eastAsia" w:ascii="宋体" w:hAnsi="宋体" w:eastAsia="宋体" w:cs="宋体"/>
                <w:b w:val="0"/>
                <w:bCs w:val="0"/>
                <w:color w:val="auto"/>
                <w:sz w:val="21"/>
                <w:szCs w:val="21"/>
                <w:highlight w:val="none"/>
                <w:lang w:eastAsia="zh-CN"/>
              </w:rPr>
              <w:t>数字</w:t>
            </w:r>
            <w:r>
              <w:rPr>
                <w:rFonts w:hint="eastAsia" w:ascii="宋体" w:hAnsi="宋体" w:eastAsia="宋体" w:cs="宋体"/>
                <w:b w:val="0"/>
                <w:bCs w:val="0"/>
                <w:color w:val="auto"/>
                <w:sz w:val="21"/>
                <w:szCs w:val="21"/>
                <w:highlight w:val="none"/>
              </w:rPr>
              <w:t>电流表显示；具有过载保护和自动恢复功能。</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（6）单相开关电源输出功率60W,输出电压5V/5.5A,输出12V/2A;﹣5V/0.5A,﹣12V/0.5A，固定电源.</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视频录制系统</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最高分辨率可达1920×1080 @ 30 fps,在该分辨率下可输出实时图像</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采用ROI.SVC等视频压缩技术,压缩比高,且处理非常灵活,超低码率</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码流平滑设置，适应不同场景下对图像质量.流畅性的不同要求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支持GBK字库，支持更多汉字及生僻字叠加</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支持OSD颜色自选</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采用高效红外灯,使用寿命长,照射距离可达20-3</w:t>
            </w:r>
            <w:r>
              <w:rPr>
                <w:rFonts w:hint="eastAsia" w:ascii="宋体" w:hAnsi="宋体" w:eastAsia="宋体" w:cs="宋体"/>
                <w:b w:val="0"/>
                <w:bCs w:val="0"/>
                <w:color w:val="auto"/>
                <w:sz w:val="21"/>
                <w:szCs w:val="21"/>
                <w:highlight w:val="none"/>
                <w:lang w:val="en-US" w:eastAsia="zh-CN"/>
              </w:rPr>
              <w:t>DDSD</w:t>
            </w:r>
            <w:r>
              <w:rPr>
                <w:rFonts w:hint="eastAsia" w:ascii="宋体" w:hAnsi="宋体" w:eastAsia="宋体" w:cs="宋体"/>
                <w:b w:val="0"/>
                <w:bCs w:val="0"/>
                <w:color w:val="auto"/>
                <w:sz w:val="21"/>
                <w:szCs w:val="21"/>
                <w:highlight w:val="none"/>
              </w:rPr>
              <w:t>大于32路H.265.H.264混合接入/320M接入/320M存储/256M转发/2U/8盘位/1个eSATA/Raid/2个HDMI.2个VGA，HDMI1支持4K，VGA1支持2K显示/报警16进4出（选配8出）/16路1080P或4路4K H.265.H.264混合解码/2个千兆网口/2个USB2.0，1个USB3.0/Smart 2.0/N+1热备/ANR/智能检索/浓缩播放/车牌检索/人脸检索/热度图/客流量统计/视频摘要回放/分时段回放/超高倍速回放/双系统备份/触控面板</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(7)每个教室配置1套硬盘录像机以及可视化系统。</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6.信息化终端，以及信息化显示支架（配置性能优于等于I7-10700,256G固态，16G内存，2G独显，23寸显示器）</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7.单套电工实训器材至少含以下配置清单</w:t>
            </w:r>
          </w:p>
          <w:tbl>
            <w:tblPr>
              <w:tblStyle w:val="3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1267"/>
              <w:gridCol w:w="437"/>
              <w:gridCol w:w="551"/>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序号</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名称</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单位</w:t>
                  </w:r>
                </w:p>
              </w:tc>
              <w:tc>
                <w:tcPr>
                  <w:tcW w:w="43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数量</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实操网孔板</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块</w:t>
                  </w:r>
                </w:p>
              </w:tc>
              <w:tc>
                <w:tcPr>
                  <w:tcW w:w="43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尺寸：</w:t>
                  </w:r>
                  <w:r>
                    <w:rPr>
                      <w:rFonts w:hint="eastAsia" w:ascii="宋体" w:hAnsi="宋体" w:eastAsia="宋体" w:cs="宋体"/>
                      <w:b w:val="0"/>
                      <w:bCs w:val="0"/>
                      <w:color w:val="auto"/>
                      <w:sz w:val="21"/>
                      <w:szCs w:val="21"/>
                      <w:highlight w:val="none"/>
                      <w:lang w:val="en-US" w:eastAsia="zh-CN"/>
                    </w:rPr>
                    <w:t>约550*600</w:t>
                  </w:r>
                  <w:r>
                    <w:rPr>
                      <w:rFonts w:hint="eastAsia" w:ascii="宋体" w:hAnsi="宋体" w:eastAsia="宋体" w:cs="宋体"/>
                      <w:color w:val="auto"/>
                      <w:sz w:val="21"/>
                      <w:szCs w:val="21"/>
                      <w:highlight w:val="none"/>
                    </w:rPr>
                    <w:t>（±5%）</w:t>
                  </w:r>
                  <w:r>
                    <w:rPr>
                      <w:rFonts w:hint="eastAsia" w:ascii="宋体" w:hAnsi="宋体" w:eastAsia="宋体" w:cs="宋体"/>
                      <w:b w:val="0"/>
                      <w:bCs w:val="0"/>
                      <w:color w:val="auto"/>
                      <w:sz w:val="21"/>
                      <w:szCs w:val="21"/>
                      <w:highlight w:val="none"/>
                    </w:rPr>
                    <w:t>；不锈钢材质，厚度1.2mm；冲有5*10mm条形孔，呈四竖三横排列，配有塑料卡扣，可用自攻螺丝直接安装电气元件；安装有不锈钢拉手。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空气开关带漏电保护器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DZ47SLE  D32  3P+N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熔断器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RT28-32A，3P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熔断器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RT28-32A，2P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圆通帽形熔断体</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RT28-32，10A熔体10*38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圆通帽形熔断体</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RT28-32，10A熔体10*38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黄色按钮开关</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NP4-11BN 一常开一常闭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红色按钮开关</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NP4-11BN 一常开一常闭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绿色按钮开关</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NP4-11BN 一常开一常闭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黑色按钮开关</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NP4-11BN 一常开一常闭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4位按钮盒</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XAL-B04C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热继电器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NR4-63 (6.3-10A)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热继电器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JRS2-63/F4-6.3A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14</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时间继电器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JSZ3F型, 线圈电压AC36V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时间继电器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JSZ3A型, 线圈电压AC36V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16</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时间继电器底座</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CZF08A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17</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交流接触器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CJX2-0912 AC36V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交流接触器辅助触点</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F4-22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19</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小型中间继电器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JZX-22F(D)/3Z  11脚-AC36V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小型中间继电器底座</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CZY11A    11脚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行程开关</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YBLX19-001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接线端子排</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TB-1512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23</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变压器</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24</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电阻</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300欧/50W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25</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卡扣</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500</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塑料卡扣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26</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二极管</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27</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实训电机</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个</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三相异步电动机 （</w:t>
                  </w:r>
                  <w:r>
                    <w:rPr>
                      <w:rFonts w:hint="eastAsia" w:ascii="宋体" w:hAnsi="宋体" w:eastAsia="宋体" w:cs="宋体"/>
                      <w:b w:val="0"/>
                      <w:bCs w:val="0"/>
                      <w:color w:val="auto"/>
                      <w:sz w:val="21"/>
                      <w:szCs w:val="21"/>
                      <w:highlight w:val="none"/>
                      <w:lang w:val="en-US" w:eastAsia="zh-CN"/>
                    </w:rPr>
                    <w:t>36</w:t>
                  </w:r>
                  <w:r>
                    <w:rPr>
                      <w:rFonts w:hint="eastAsia" w:ascii="宋体" w:hAnsi="宋体" w:eastAsia="宋体" w:cs="宋体"/>
                      <w:b w:val="0"/>
                      <w:bCs w:val="0"/>
                      <w:color w:val="auto"/>
                      <w:sz w:val="21"/>
                      <w:szCs w:val="21"/>
                      <w:highlight w:val="none"/>
                    </w:rPr>
                    <w:t>V）</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三相双速电机(36V)、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48"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28</w:t>
                  </w:r>
                </w:p>
              </w:tc>
              <w:tc>
                <w:tcPr>
                  <w:tcW w:w="1000"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工具箱套装</w:t>
                  </w:r>
                </w:p>
              </w:tc>
              <w:tc>
                <w:tcPr>
                  <w:tcW w:w="345" w:type="pct"/>
                  <w:noWrap w:val="0"/>
                  <w:vAlign w:val="center"/>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套</w:t>
                  </w:r>
                </w:p>
              </w:tc>
              <w:tc>
                <w:tcPr>
                  <w:tcW w:w="435" w:type="pct"/>
                  <w:noWrap w:val="0"/>
                  <w:vAlign w:val="top"/>
                </w:tcPr>
                <w:p>
                  <w:pPr>
                    <w:pageBreakBefore w:val="0"/>
                    <w:kinsoku/>
                    <w:wordWrap/>
                    <w:overflowPunct/>
                    <w:topLinePunct w:val="0"/>
                    <w:autoSpaceDE/>
                    <w:autoSpaceDN/>
                    <w:bidi w:val="0"/>
                    <w:spacing w:line="300" w:lineRule="auto"/>
                    <w:ind w:firstLine="0" w:firstLine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p>
              </w:tc>
              <w:tc>
                <w:tcPr>
                  <w:tcW w:w="2869" w:type="pct"/>
                  <w:noWrap w:val="0"/>
                  <w:vAlign w:val="center"/>
                </w:tcPr>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数显电烙铁+烙铁架+9V电池+吸锡器+5*100一字/十字螺丝刀+3*75-字/十字螺丝刀+直镊子+美工刀+氖泡电笔+撬棒+海绵+鳄鱼钳+剥线钳+平口钳+漆包线+松香+50g锡线+工具箱</w:t>
                  </w:r>
                </w:p>
              </w:tc>
            </w:tr>
          </w:tbl>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8.配套PLC实训箱</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PLC主机</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实训室</w:t>
            </w:r>
            <w:r>
              <w:rPr>
                <w:rFonts w:hint="eastAsia" w:ascii="宋体" w:hAnsi="宋体" w:cs="宋体"/>
                <w:b w:val="0"/>
                <w:bCs w:val="0"/>
                <w:color w:val="auto"/>
                <w:sz w:val="21"/>
                <w:szCs w:val="21"/>
                <w:highlight w:val="none"/>
                <w:lang w:val="en-US" w:eastAsia="zh-CN"/>
              </w:rPr>
              <w:t>其中</w:t>
            </w:r>
            <w:r>
              <w:rPr>
                <w:rFonts w:hint="eastAsia" w:ascii="宋体" w:hAnsi="宋体" w:eastAsia="宋体" w:cs="宋体"/>
                <w:b w:val="0"/>
                <w:bCs w:val="0"/>
                <w:color w:val="auto"/>
                <w:sz w:val="21"/>
                <w:szCs w:val="21"/>
                <w:highlight w:val="none"/>
                <w:lang w:val="en-US" w:eastAsia="zh-CN"/>
              </w:rPr>
              <w:t>51个PLC实训箱，配置性能不低于：</w:t>
            </w:r>
          </w:p>
          <w:p>
            <w:pPr>
              <w:pageBreakBefore w:val="0"/>
              <w:kinsoku/>
              <w:wordWrap/>
              <w:overflowPunct/>
              <w:topLinePunct w:val="0"/>
              <w:autoSpaceDE/>
              <w:autoSpaceDN/>
              <w:bidi w:val="0"/>
              <w:spacing w:line="300" w:lineRule="auto"/>
              <w:ind w:firstLine="0" w:firstLineChars="0"/>
              <w:jc w:val="lef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电源电压：AC100~240V</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电源电压允许范围：AC85~264V</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DC24V供给电源：400mA以下</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DC5V内置电源：500mA以下</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【输入规格】</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输入形式：漏型/源型</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输入点数：16</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输入的连接方式：拆装式端子排(M3螺丝)</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输入信号电压：AC电源型：DC24V ±10% DC电源型：DC16.8~28.8V</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输入阻抗:X000~X005(3.9KΩ) X006~X007(3.3KΩ)</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输入回路隔离：光耦隔离</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 xml:space="preserve"> 输入动作的显示：光耦驱动时面板上的LED灯亮</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【输出规格】</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输出种类：继电器</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输出点数：16</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输出的连接方式：拆装式端子排(M3螺丝)</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外部电源：AC240V以下</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最大电阻负载：2A/1点</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每个公共端的合计负载电流如下</w:t>
            </w:r>
            <w:r>
              <w:rPr>
                <w:rFonts w:hint="eastAsia" w:ascii="宋体" w:hAnsi="宋体" w:cs="宋体"/>
                <w:b w:val="0"/>
                <w:bCs w:val="0"/>
                <w:color w:val="auto"/>
                <w:sz w:val="21"/>
                <w:szCs w:val="21"/>
                <w:highlight w:val="none"/>
                <w:lang w:val="en-US" w:eastAsia="zh-CN"/>
              </w:rPr>
              <w:t>：</w:t>
            </w:r>
            <w:r>
              <w:rPr>
                <w:rFonts w:hint="default" w:ascii="宋体" w:hAnsi="宋体" w:eastAsia="宋体" w:cs="宋体"/>
                <w:b w:val="0"/>
                <w:bCs w:val="0"/>
                <w:color w:val="auto"/>
                <w:sz w:val="21"/>
                <w:szCs w:val="21"/>
                <w:highlight w:val="none"/>
                <w:lang w:val="en-US" w:eastAsia="zh-CN"/>
              </w:rPr>
              <w:br w:type="textWrapping"/>
            </w:r>
            <w:r>
              <w:rPr>
                <w:rFonts w:hint="eastAsia" w:ascii="宋体" w:hAnsi="宋体" w:eastAsia="宋体" w:cs="宋体"/>
                <w:b w:val="0"/>
                <w:bCs w:val="0"/>
                <w:color w:val="auto"/>
                <w:sz w:val="21"/>
                <w:szCs w:val="21"/>
                <w:highlight w:val="none"/>
                <w:lang w:val="en-US" w:eastAsia="zh-CN"/>
              </w:rPr>
              <w:t>①输出1点/1个公共端：2A以下</w:t>
            </w:r>
            <w:r>
              <w:rPr>
                <w:rFonts w:hint="eastAsia" w:ascii="宋体" w:hAnsi="宋体" w:eastAsia="宋体" w:cs="宋体"/>
                <w:b w:val="0"/>
                <w:bCs w:val="0"/>
                <w:color w:val="auto"/>
                <w:sz w:val="21"/>
                <w:szCs w:val="21"/>
                <w:highlight w:val="none"/>
                <w:lang w:val="en-US" w:eastAsia="zh-CN"/>
              </w:rPr>
              <w:br w:type="textWrapping"/>
            </w:r>
            <w:r>
              <w:rPr>
                <w:rFonts w:hint="eastAsia" w:ascii="宋体" w:hAnsi="宋体" w:eastAsia="宋体" w:cs="宋体"/>
                <w:b w:val="0"/>
                <w:bCs w:val="0"/>
                <w:color w:val="auto"/>
                <w:sz w:val="21"/>
                <w:szCs w:val="21"/>
                <w:highlight w:val="none"/>
                <w:lang w:val="en-US" w:eastAsia="zh-CN"/>
              </w:rPr>
              <w:t>②输出4点/1个公共端：8A以下</w:t>
            </w:r>
            <w:r>
              <w:rPr>
                <w:rFonts w:hint="eastAsia" w:ascii="宋体" w:hAnsi="宋体" w:eastAsia="宋体" w:cs="宋体"/>
                <w:b w:val="0"/>
                <w:bCs w:val="0"/>
                <w:color w:val="auto"/>
                <w:sz w:val="21"/>
                <w:szCs w:val="21"/>
                <w:highlight w:val="none"/>
                <w:lang w:val="en-US" w:eastAsia="zh-CN"/>
              </w:rPr>
              <w:br w:type="textWrapping"/>
            </w:r>
            <w:r>
              <w:rPr>
                <w:rFonts w:hint="eastAsia" w:ascii="宋体" w:hAnsi="宋体" w:eastAsia="宋体" w:cs="宋体"/>
                <w:b w:val="0"/>
                <w:bCs w:val="0"/>
                <w:color w:val="auto"/>
                <w:sz w:val="21"/>
                <w:szCs w:val="21"/>
                <w:highlight w:val="none"/>
                <w:lang w:val="en-US" w:eastAsia="zh-CN"/>
              </w:rPr>
              <w:t>③输出8点/1个公共端：8A以下</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最大感性负载：80VA</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 xml:space="preserve"> 回路隔离：机械隔离</w:t>
            </w:r>
            <w:r>
              <w:rPr>
                <w:rFonts w:hint="default" w:ascii="宋体" w:hAnsi="宋体" w:eastAsia="宋体" w:cs="宋体"/>
                <w:b w:val="0"/>
                <w:bCs w:val="0"/>
                <w:color w:val="auto"/>
                <w:sz w:val="21"/>
                <w:szCs w:val="21"/>
                <w:highlight w:val="none"/>
                <w:lang w:val="en-US" w:eastAsia="zh-CN"/>
              </w:rPr>
              <w:br w:type="textWrapping"/>
            </w:r>
            <w:r>
              <w:rPr>
                <w:rFonts w:hint="default" w:ascii="宋体" w:hAnsi="宋体" w:eastAsia="宋体" w:cs="宋体"/>
                <w:b w:val="0"/>
                <w:bCs w:val="0"/>
                <w:color w:val="auto"/>
                <w:sz w:val="21"/>
                <w:szCs w:val="21"/>
                <w:highlight w:val="none"/>
                <w:lang w:val="en-US" w:eastAsia="zh-CN"/>
              </w:rPr>
              <w:t>输出动作的显示：继电器线圈通电时面板上的LED灯亮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其中</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套PLC要求不低于</w:t>
            </w:r>
            <w:r>
              <w:rPr>
                <w:rFonts w:hint="eastAsia" w:ascii="宋体" w:hAnsi="宋体" w:eastAsia="宋体" w:cs="宋体"/>
                <w:b/>
                <w:bCs/>
                <w:color w:val="auto"/>
                <w:sz w:val="21"/>
                <w:szCs w:val="21"/>
                <w:highlight w:val="none"/>
                <w:lang w:val="en-US" w:eastAsia="zh-CN"/>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CPU 1214C， 紧凑型 CPU，DC/DC/继电器， 机载 I/O： 14 个 24V DC 数字输入；10 DO 继电器 2A； 2 AI 0-10V DC， 电源：直流 20.4-28.8V DC， 程序/数据存储器 100 KB</w:t>
            </w:r>
            <w:r>
              <w:rPr>
                <w:rFonts w:hint="eastAsia" w:ascii="宋体" w:hAnsi="宋体" w:cs="宋体"/>
                <w:b w:val="0"/>
                <w:bCs w:val="0"/>
                <w:color w:val="auto"/>
                <w:sz w:val="21"/>
                <w:szCs w:val="21"/>
                <w:highlight w:val="none"/>
                <w:lang w:val="en-US" w:eastAsia="zh-CN"/>
              </w:rPr>
              <w:t>。耗用电流（额定值）</w:t>
            </w:r>
            <w:r>
              <w:rPr>
                <w:rFonts w:hint="eastAsia" w:ascii="宋体" w:hAnsi="宋体" w:cs="宋体"/>
                <w:b w:val="0"/>
                <w:bCs w:val="0"/>
                <w:color w:val="auto"/>
                <w:sz w:val="21"/>
                <w:szCs w:val="21"/>
                <w:highlight w:val="none"/>
                <w:lang w:val="en-US" w:eastAsia="zh-CN"/>
              </w:rPr>
              <w:tab/>
            </w:r>
            <w:r>
              <w:rPr>
                <w:rFonts w:hint="eastAsia" w:ascii="宋体" w:hAnsi="宋体" w:cs="宋体"/>
                <w:b w:val="0"/>
                <w:bCs w:val="0"/>
                <w:color w:val="auto"/>
                <w:sz w:val="21"/>
                <w:szCs w:val="21"/>
                <w:highlight w:val="none"/>
                <w:lang w:val="en-US" w:eastAsia="zh-CN"/>
              </w:rPr>
              <w:t>500 mA; 仅 CPU耗用电流，较大值</w:t>
            </w:r>
            <w:r>
              <w:rPr>
                <w:rFonts w:hint="eastAsia" w:ascii="宋体" w:hAnsi="宋体" w:cs="宋体"/>
                <w:b w:val="0"/>
                <w:bCs w:val="0"/>
                <w:color w:val="auto"/>
                <w:sz w:val="21"/>
                <w:szCs w:val="21"/>
                <w:highlight w:val="none"/>
                <w:lang w:val="en-US" w:eastAsia="zh-CN"/>
              </w:rPr>
              <w:tab/>
            </w:r>
            <w:r>
              <w:rPr>
                <w:rFonts w:hint="eastAsia" w:ascii="宋体" w:hAnsi="宋体" w:cs="宋体"/>
                <w:b w:val="0"/>
                <w:bCs w:val="0"/>
                <w:color w:val="auto"/>
                <w:sz w:val="21"/>
                <w:szCs w:val="21"/>
                <w:highlight w:val="none"/>
                <w:lang w:val="en-US" w:eastAsia="zh-CN"/>
              </w:rPr>
              <w:t>1 500 mA; CPU 连同全部扩展模块接通电流，较大值</w:t>
            </w:r>
            <w:r>
              <w:rPr>
                <w:rFonts w:hint="eastAsia" w:ascii="宋体" w:hAnsi="宋体" w:cs="宋体"/>
                <w:b w:val="0"/>
                <w:bCs w:val="0"/>
                <w:color w:val="auto"/>
                <w:sz w:val="21"/>
                <w:szCs w:val="21"/>
                <w:highlight w:val="none"/>
                <w:lang w:val="en-US" w:eastAsia="zh-CN"/>
              </w:rPr>
              <w:tab/>
            </w:r>
            <w:r>
              <w:rPr>
                <w:rFonts w:hint="eastAsia" w:ascii="宋体" w:hAnsi="宋体" w:cs="宋体"/>
                <w:b w:val="0"/>
                <w:bCs w:val="0"/>
                <w:color w:val="auto"/>
                <w:sz w:val="21"/>
                <w:szCs w:val="21"/>
                <w:highlight w:val="none"/>
                <w:lang w:val="en-US" w:eastAsia="zh-CN"/>
              </w:rPr>
              <w:t>12 A; 28.8 V 时I2t</w:t>
            </w:r>
            <w:r>
              <w:rPr>
                <w:rFonts w:hint="eastAsia" w:ascii="宋体" w:hAnsi="宋体" w:cs="宋体"/>
                <w:b w:val="0"/>
                <w:bCs w:val="0"/>
                <w:color w:val="auto"/>
                <w:sz w:val="21"/>
                <w:szCs w:val="21"/>
                <w:highlight w:val="none"/>
                <w:lang w:val="en-US" w:eastAsia="zh-CN"/>
              </w:rPr>
              <w:tab/>
            </w:r>
            <w:r>
              <w:rPr>
                <w:rFonts w:hint="eastAsia" w:ascii="宋体" w:hAnsi="宋体" w:cs="宋体"/>
                <w:b w:val="0"/>
                <w:bCs w:val="0"/>
                <w:color w:val="auto"/>
                <w:sz w:val="21"/>
                <w:szCs w:val="21"/>
                <w:highlight w:val="none"/>
                <w:lang w:val="en-US" w:eastAsia="zh-CN"/>
              </w:rPr>
              <w:t>0.8 A2·s</w:t>
            </w:r>
            <w:r>
              <w:rPr>
                <w:rFonts w:hint="eastAsia" w:ascii="宋体" w:hAnsi="宋体" w:eastAsia="宋体" w:cs="宋体"/>
                <w:b w:val="0"/>
                <w:bCs w:val="0"/>
                <w:color w:val="auto"/>
                <w:sz w:val="21"/>
                <w:szCs w:val="21"/>
                <w:highlight w:val="none"/>
                <w:lang w:val="en-US" w:eastAsia="zh-CN"/>
              </w:rPr>
              <w:t>），功能上完全满足目前中高等院校的PlC教学要求。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采用模块化设计，包括PLC主机模块和</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rPr>
              <w:t>个实验模块。各模块间相互独立。在主机模块中，所有输入输出端口都</w:t>
            </w:r>
            <w:r>
              <w:rPr>
                <w:rFonts w:hint="eastAsia" w:ascii="宋体" w:hAnsi="宋体" w:eastAsia="宋体" w:cs="宋体"/>
                <w:b w:val="0"/>
                <w:bCs w:val="0"/>
                <w:color w:val="auto"/>
                <w:sz w:val="21"/>
                <w:szCs w:val="21"/>
                <w:highlight w:val="none"/>
                <w:lang w:eastAsia="zh-CN"/>
              </w:rPr>
              <w:t>引到</w:t>
            </w:r>
            <w:r>
              <w:rPr>
                <w:rFonts w:hint="eastAsia" w:ascii="宋体" w:hAnsi="宋体" w:eastAsia="宋体" w:cs="宋体"/>
                <w:b w:val="0"/>
                <w:bCs w:val="0"/>
                <w:color w:val="auto"/>
                <w:sz w:val="21"/>
                <w:szCs w:val="21"/>
                <w:highlight w:val="none"/>
              </w:rPr>
              <w:t>实验板上</w:t>
            </w:r>
            <w:r>
              <w:rPr>
                <w:rFonts w:hint="eastAsia" w:ascii="宋体" w:hAnsi="宋体" w:eastAsia="宋体" w:cs="宋体"/>
                <w:b w:val="0"/>
                <w:bCs w:val="0"/>
                <w:color w:val="auto"/>
                <w:sz w:val="21"/>
                <w:szCs w:val="21"/>
                <w:highlight w:val="none"/>
                <w:lang w:eastAsia="zh-CN"/>
              </w:rPr>
              <w:t>多功能实验接口上</w:t>
            </w:r>
            <w:r>
              <w:rPr>
                <w:rFonts w:hint="eastAsia" w:ascii="宋体" w:hAnsi="宋体" w:eastAsia="宋体" w:cs="宋体"/>
                <w:b w:val="0"/>
                <w:bCs w:val="0"/>
                <w:color w:val="auto"/>
                <w:sz w:val="21"/>
                <w:szCs w:val="21"/>
                <w:highlight w:val="none"/>
              </w:rPr>
              <w:t>，各实验模块都有独立的输入、输出、公共端，这样在实验时只需连接所用到的端口。用户可方便扩展自己的模块，也为以后实验系统的升级提供了保障。也可根据用户要求，更改不同的实验模块。</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实验项目由基本指令实验，常用功能指令实验、综合实验三部分组成。在实验项目设计开发中根据用户的要求和建议，使实验由简到难，从而达到一个循序渐进的学习过程。实验项目也充分贴近实际应用和教学大纲的要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在实验箱的设计中留出了所有的输入、输出、公共端子，用户可方便扩展自己的模块，以及以后实验系统的升级。</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 xml:space="preserve">配备MCGS工控组态软件，可直观地进行PLC的基本指令练习、多个PLC实际应用的模拟实验及实物实验，所有实验均有组态棒图进行动态跟踪，实验对象形象逼真，接近工业现场的实际应用，通过本装置的训练，使学生很快就能适应现场的实际操作。 </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实验项目丰富，扩展灵活，使用可靠，在教学活动或项目开发中易于使用和维护。</w:t>
            </w:r>
            <w:r>
              <w:rPr>
                <w:rFonts w:hint="eastAsia" w:ascii="宋体" w:hAnsi="宋体" w:eastAsia="宋体" w:cs="宋体"/>
                <w:b w:val="0"/>
                <w:bCs w:val="0"/>
                <w:color w:val="auto"/>
                <w:sz w:val="21"/>
                <w:szCs w:val="21"/>
                <w:highlight w:val="none"/>
                <w:lang w:eastAsia="zh-CN"/>
              </w:rPr>
              <w:t>在实验箱中预留</w:t>
            </w:r>
            <w:r>
              <w:rPr>
                <w:rFonts w:hint="eastAsia" w:ascii="宋体" w:hAnsi="宋体" w:eastAsia="宋体" w:cs="宋体"/>
                <w:b w:val="0"/>
                <w:bCs w:val="0"/>
                <w:color w:val="auto"/>
                <w:sz w:val="21"/>
                <w:szCs w:val="21"/>
                <w:highlight w:val="none"/>
                <w:lang w:val="en-US" w:eastAsia="zh-CN"/>
              </w:rPr>
              <w:t>7寸</w:t>
            </w:r>
            <w:r>
              <w:rPr>
                <w:rFonts w:hint="eastAsia" w:ascii="宋体" w:hAnsi="宋体" w:eastAsia="宋体" w:cs="宋体"/>
                <w:b w:val="0"/>
                <w:bCs w:val="0"/>
                <w:color w:val="auto"/>
                <w:sz w:val="21"/>
                <w:szCs w:val="21"/>
                <w:highlight w:val="none"/>
                <w:lang w:eastAsia="zh-CN"/>
              </w:rPr>
              <w:t>昆仑通泰触摸屏的位置。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技术性能</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①</w:t>
            </w:r>
            <w:r>
              <w:rPr>
                <w:rFonts w:hint="eastAsia" w:ascii="宋体" w:hAnsi="宋体" w:eastAsia="宋体" w:cs="宋体"/>
                <w:b w:val="0"/>
                <w:bCs w:val="0"/>
                <w:color w:val="auto"/>
                <w:sz w:val="21"/>
                <w:szCs w:val="21"/>
                <w:highlight w:val="none"/>
              </w:rPr>
              <w:t>输入电源：AC: 220V 50HZ ，有漏电保护开关</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工作环境温度：-10-55℃ 相对湿度&lt;85%(25℃)</w:t>
            </w:r>
            <w:r>
              <w:rPr>
                <w:rFonts w:hint="eastAsia" w:ascii="宋体" w:hAnsi="宋体" w:eastAsia="宋体" w:cs="宋体"/>
                <w:b w:val="0"/>
                <w:bCs w:val="0"/>
                <w:color w:val="auto"/>
                <w:sz w:val="21"/>
                <w:szCs w:val="21"/>
                <w:highlight w:val="none"/>
                <w:lang w:val="en-US" w:eastAsia="zh-CN"/>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8)实验模块：数码管实验（实物）、自动机械手、装配流水线、电机正反转、自动交通灯、自动售货机等</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9.配套PLC VR仿真软件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可进行缩放、拖动、旋转、恢复视角相机模式切换。</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支持选配沉浸式VR头盔连接，漫游场景观看和交互操作。</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选配输入输出采集板卡。供学生接线定义传感器和执行机构的IO分配。</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支持在线连接真实PLC与触摸屏，进行编程调试。</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支持连接</w:t>
            </w:r>
            <w:r>
              <w:rPr>
                <w:rFonts w:hint="eastAsia" w:ascii="宋体" w:hAnsi="宋体" w:eastAsia="宋体" w:cs="宋体"/>
                <w:b w:val="0"/>
                <w:bCs w:val="0"/>
                <w:strike w:val="0"/>
                <w:dstrike w:val="0"/>
                <w:color w:val="auto"/>
                <w:sz w:val="21"/>
                <w:szCs w:val="21"/>
                <w:highlight w:val="none"/>
              </w:rPr>
              <w:t>西门子</w:t>
            </w:r>
            <w:r>
              <w:rPr>
                <w:rFonts w:hint="eastAsia" w:ascii="宋体" w:hAnsi="宋体" w:eastAsia="宋体" w:cs="宋体"/>
                <w:b w:val="0"/>
                <w:bCs w:val="0"/>
                <w:strike w:val="0"/>
                <w:color w:val="auto"/>
                <w:sz w:val="21"/>
                <w:szCs w:val="21"/>
                <w:highlight w:val="none"/>
              </w:rPr>
              <w:t>P</w:t>
            </w:r>
            <w:r>
              <w:rPr>
                <w:rFonts w:hint="eastAsia" w:ascii="宋体" w:hAnsi="宋体" w:eastAsia="宋体" w:cs="宋体"/>
                <w:b w:val="0"/>
                <w:bCs w:val="0"/>
                <w:color w:val="auto"/>
                <w:sz w:val="21"/>
                <w:szCs w:val="21"/>
                <w:highlight w:val="none"/>
              </w:rPr>
              <w:t>LC官方编程软件（全集成自动化软件TIA Portal V14+官方仿真器PLCSIM V14）实时互联互通，实现虚拟在线调试。不需要真实PLC就可以实现程序的在线实时监控、调试、下载、上传等功能。可查看各种寄存器实时数据。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支持连接三菱品牌PLC：可以与对应官方编程软件（GX Works2）实时互联互通，实现虚拟在线调试。不需要真实PLC就可以实现程序的在线实时监控、调试、下载、上传等功能。可查看各种寄存器实时数据。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支持连接欧姆龙PLC编程软件CX-Programmer，可以与该官方编程软件实时互联互通，实现虚拟在线调试。不需要真实PLC就可以实现程序的在线实时监控、调试、下载、上传等功能。可查看各种寄存器实时数据。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支持连接台达plc编程软件WPLSoft，可以与该官方编程软件实时互联互通，实现虚拟在线调试。不需要真实PLC就可以实现程序的在线实时监控、调试、下载、上传等功能。可查看各种寄存器实时数据。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支持连接罗克韦尔PLC编程软件(Rockwell RSlogix)，可以与该官方编程软件实时互联互通，实现虚拟在线调试。不需要真实PLC就可以实现程序的在线实时监控、调试、下载、上传等功能。可查看各种寄存器实时数据。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支持各个部件的手动操作。包含各种传感器 有光电、光纤、电容、电感、磁性等。每个传感器都像真实传感器那样有感应区，并且带感应属性。只有物料的属性与传感器的感应属性一致才能被感应。包含各种执行机构有气动机械手、传送带、直流电机、交流电机等。每个机构的动作与真实机构一样且可以随意编程定义动作的执行顺序。物料和机构带有各种物理属性：重力，摩擦力，弹力，空气阻力，角阻力等。每种动作都可以支持手动操作:伸出，缩回，下降，上升，夹紧，松开等等。支持物料自动生成，可按照位置、种类随机生成。支持清空复位。</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支持离线自动演示，在线自动运行，在线手动运行多种工作模式。支持虚拟触摸屏人机界面与虚拟PLC的实时通讯调试，虚拟调试好的触摸屏工程文件可以直接下载到真实触摸屏，无需任何修改和调试，即可正常运行。</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可模拟真实物料的翻转，跌落，挤压，碰撞等效果。传感器输出方式多样化：开关量，模拟量，脉冲量等。支持单站式学习，每个模块都可以单独编程，也可整体编程。相当灵活。</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支持添加传感器，修改传感器，删除传感器。可以连接真实机构做监控模式，也可脱离真是机构做实训模式。支持传感器故障模拟，机构故障模拟等。支持机构动作的调速控制，传感器延时控制等。支持虚拟平台反向控制，可通过平台操作PLC等。支持通讯控制，可以不用连线也能达到实训编程的目的等。支持多种模式：数字孪生监控模式、半实物仿真实训模式、虚拟在线调试模式、软件在环模式、硬件在环模式等。虚拟在线调试模式可以和对应PLC品牌官方编程软件的仿真器实时连接，不需要真实PLC就可以实现程序的在线实时监控、调试、下载、上传等功能。虚拟调试好的程序可直接下载到真实PLC运行，无需任何调度和修改，即可正常运行。</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拟三维对象与虚拟PLC实时互联互通，支持执行PLC所有指令，包括基本指令、应用指令、高级指令。实现各种逻辑控制、脉冲定位控制、模拟量输出控制等。也可任意反馈PLC所需要的的各种传感器信号、开关量、模拟量、数字量、脉冲量等输入信号。</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拟调试就是虚拟现实技术在工业领域的应用，通过虚拟技术创建出物理制造环境的数字复制品，以用于测试和验证产品设计的合理性。例如，在计算机上模拟整个生产过程，包括机器人和自动化设备、PLC、变频器、电机等单元。像机器人单元模型创建完成就可以在虚拟世界中进行测试和验证。</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拟三维基础实验对象：刀库捷径选择系统、自动成型装配、数码管实验、自动洗衣机、自动机械手、装配流水线、水塔水位控制、邮件分拣控制、电视发射塔、自动送料小车、电机正反转、自动交通灯、自动冲压机、电梯控制、自动售货机等。与实物模块功能一致。</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拟三维综合实训对象：光机电一体化实训任务：软件安装有出料转盘、气动三轴机械手、传送带、分拣机构、传感器等组成。完成物料从转盘出料、检测、气动机械手抓取、移动、放置、传送带传送后通过分拣机构进行分拣，模拟自动化实训加工过程；基本配置：出料转盘1个；传送带1条；气动三轴机械手1个，带磁性配套开关接近开关（左右，前后，上下，夹紧松开）；推料气缸3个；光电传感器2个；光纤传感器1个；电容传感器1个；电感传感器1个；实训台架1台；报警指示灯1个；物料3种：白色塑料、金属、黑色塑料。</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strike w:val="0"/>
                <w:dstrike w:val="0"/>
                <w:color w:val="FF0000"/>
                <w:sz w:val="21"/>
                <w:szCs w:val="21"/>
                <w:highlight w:val="none"/>
              </w:rPr>
            </w:pPr>
            <w:r>
              <w:rPr>
                <w:rFonts w:hint="eastAsia" w:ascii="宋体" w:hAnsi="宋体" w:eastAsia="宋体" w:cs="宋体"/>
                <w:b w:val="0"/>
                <w:bCs w:val="0"/>
                <w:strike w:val="0"/>
                <w:dstrike w:val="0"/>
                <w:color w:val="auto"/>
                <w:sz w:val="21"/>
                <w:szCs w:val="21"/>
                <w:highlight w:val="none"/>
                <w:lang w:eastAsia="zh-CN"/>
              </w:rPr>
              <w:t>（</w:t>
            </w:r>
            <w:r>
              <w:rPr>
                <w:rFonts w:hint="eastAsia" w:ascii="宋体" w:hAnsi="宋体" w:cs="宋体"/>
                <w:b w:val="0"/>
                <w:bCs w:val="0"/>
                <w:strike w:val="0"/>
                <w:dstrike w:val="0"/>
                <w:color w:val="auto"/>
                <w:sz w:val="21"/>
                <w:szCs w:val="21"/>
                <w:highlight w:val="none"/>
                <w:lang w:val="en-US" w:eastAsia="zh-CN"/>
              </w:rPr>
              <w:t>17</w:t>
            </w:r>
            <w:r>
              <w:rPr>
                <w:rFonts w:hint="eastAsia" w:ascii="宋体" w:hAnsi="宋体" w:eastAsia="宋体" w:cs="宋体"/>
                <w:b w:val="0"/>
                <w:bCs w:val="0"/>
                <w:strike w:val="0"/>
                <w:dstrike w:val="0"/>
                <w:color w:val="auto"/>
                <w:sz w:val="21"/>
                <w:szCs w:val="21"/>
                <w:highlight w:val="none"/>
                <w:lang w:eastAsia="zh-CN"/>
              </w:rPr>
              <w:t>）</w:t>
            </w:r>
            <w:r>
              <w:rPr>
                <w:rFonts w:hint="eastAsia" w:ascii="宋体" w:hAnsi="宋体" w:eastAsia="宋体" w:cs="宋体"/>
                <w:b w:val="0"/>
                <w:bCs w:val="0"/>
                <w:strike w:val="0"/>
                <w:dstrike w:val="0"/>
                <w:color w:val="auto"/>
                <w:sz w:val="21"/>
                <w:szCs w:val="21"/>
                <w:highlight w:val="none"/>
              </w:rPr>
              <w:t>软件通过国家级软件检测机构检测，</w:t>
            </w:r>
            <w:r>
              <w:rPr>
                <w:rFonts w:hint="eastAsia" w:ascii="宋体" w:hAnsi="宋体" w:cs="宋体"/>
                <w:b w:val="0"/>
                <w:bCs w:val="0"/>
                <w:strike w:val="0"/>
                <w:dstrike w:val="0"/>
                <w:color w:val="auto"/>
                <w:sz w:val="21"/>
                <w:szCs w:val="21"/>
                <w:highlight w:val="none"/>
                <w:lang w:val="en-US" w:eastAsia="zh-CN"/>
              </w:rPr>
              <w:t>验收时</w:t>
            </w:r>
            <w:r>
              <w:rPr>
                <w:rFonts w:hint="eastAsia" w:ascii="宋体" w:hAnsi="宋体" w:eastAsia="宋体" w:cs="宋体"/>
                <w:b w:val="0"/>
                <w:bCs w:val="0"/>
                <w:strike w:val="0"/>
                <w:dstrike w:val="0"/>
                <w:color w:val="auto"/>
                <w:sz w:val="21"/>
                <w:szCs w:val="21"/>
                <w:highlight w:val="none"/>
              </w:rPr>
              <w:t>提供软件测试报告。</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lang w:val="en-US" w:eastAsia="zh-CN"/>
              </w:rPr>
            </w:pPr>
            <w:bookmarkStart w:id="24" w:name="_KBE-RJC01基于VR技术的机床电气3D虚实一体仿真软件"/>
            <w:r>
              <w:rPr>
                <w:rFonts w:hint="eastAsia" w:ascii="宋体" w:hAnsi="宋体" w:eastAsia="宋体" w:cs="宋体"/>
                <w:b w:val="0"/>
                <w:bCs w:val="0"/>
                <w:color w:val="auto"/>
                <w:sz w:val="21"/>
                <w:szCs w:val="21"/>
                <w:highlight w:val="none"/>
                <w:lang w:val="en-US" w:eastAsia="zh-CN"/>
              </w:rPr>
              <w:t>10.基于VR技术的机床运动3D虚实一体仿真软件</w:t>
            </w:r>
          </w:p>
          <w:bookmarkEnd w:id="24"/>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VR机床电气3D虚实一体化仿真平台是基于真实设备开发并且可以代替真实机构的一套模拟机床三维结构和运行轨迹的三维平台软硬件一体化系统。利用现在先进的VR三维软件仿真技术、微处理器数据采集技术</w:t>
            </w:r>
            <w:r>
              <w:rPr>
                <w:rFonts w:hint="eastAsia" w:ascii="宋体" w:hAnsi="宋体" w:eastAsia="宋体" w:cs="宋体"/>
                <w:b w:val="0"/>
                <w:bCs w:val="0"/>
                <w:color w:val="auto"/>
                <w:sz w:val="21"/>
                <w:szCs w:val="21"/>
                <w:highlight w:val="none"/>
                <w:lang w:eastAsia="zh-CN"/>
              </w:rPr>
              <w:t>（选配）</w:t>
            </w:r>
            <w:r>
              <w:rPr>
                <w:rFonts w:hint="eastAsia" w:ascii="宋体" w:hAnsi="宋体" w:eastAsia="宋体" w:cs="宋体"/>
                <w:b w:val="0"/>
                <w:bCs w:val="0"/>
                <w:color w:val="auto"/>
                <w:sz w:val="21"/>
                <w:szCs w:val="21"/>
                <w:highlight w:val="none"/>
              </w:rPr>
              <w:t>，在现有的常用机床电气故障考核装置上，加入三维机床仿真软件，将机床以三维模型的方式展现出来，与真实的机床几乎一致。通过数据采集控制板的传感器，采集机床电路输出的信号，控制对像如三相电动机、照明灯泡等信号，转换成计算机软件通讯所需的数据送给计算机软件，执行相应的机构模拟动作；软件模型产生的如行程开关、传感器等输出信号，传送给数据控制采集控制板，再转换成输出机床对应的开关信号等，反馈到机床电路中。实现由真实的机床电气控制虚拟的机床动作全过程。可实现如主轴正反转、刀具进给后退、到位后行程开关动作输出开关信号、电机缺相异常等实验现像。解决使用真实机床教学价格昂贵、教学不方便，普通机床电气故障考核装置价格便宜但不直观的缺点。</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备上所有的传感器和执行机构都能在该系统上真实的以三维立体方式反映出来。还包含了带真实物理属性的物料和机构。软件系统中的三维机构及传感器，通过数据采集输出板卡往外引出接口。学生可以通过机床电气电路，像控制真实机床那样对其接线和控制。接口输入输出定义完全开放，由学生完全自主定义。实训模型形直观，便于理解，软件模型控制，安全可靠无任何后顾之忧。</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软件配置包含了T68型卧式镗床、Z3050型摇臂钻床、M7120型平面磨床、CA6140卧式车床、X62W万能铣床、电动葫芦等机床模型及运动机构，并方便进行扩展升级。软件系统</w:t>
            </w:r>
            <w:r>
              <w:rPr>
                <w:rFonts w:hint="eastAsia" w:ascii="宋体" w:hAnsi="宋体" w:cs="宋体"/>
                <w:b w:val="0"/>
                <w:bCs w:val="0"/>
                <w:color w:val="auto"/>
                <w:sz w:val="21"/>
                <w:szCs w:val="21"/>
                <w:highlight w:val="none"/>
                <w:lang w:val="en-US" w:eastAsia="zh-CN"/>
              </w:rPr>
              <w:t>要求</w:t>
            </w:r>
            <w:r>
              <w:rPr>
                <w:rFonts w:hint="eastAsia" w:ascii="宋体" w:hAnsi="宋体" w:eastAsia="宋体" w:cs="宋体"/>
                <w:b w:val="0"/>
                <w:bCs w:val="0"/>
                <w:color w:val="auto"/>
                <w:sz w:val="21"/>
                <w:szCs w:val="21"/>
                <w:highlight w:val="none"/>
              </w:rPr>
              <w:t>应用多种类型的传感器，分别用于判断物体的运动位置、物体通过的状态、物体的颜色及材质等。可选配或自备VR眼镜，实施沉浸式教学，有效激发学生学习兴趣。</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产品要求：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①</w:t>
            </w:r>
            <w:r>
              <w:rPr>
                <w:rFonts w:hint="eastAsia" w:ascii="宋体" w:hAnsi="宋体" w:eastAsia="宋体" w:cs="宋体"/>
                <w:b w:val="0"/>
                <w:bCs w:val="0"/>
                <w:color w:val="auto"/>
                <w:sz w:val="21"/>
                <w:szCs w:val="21"/>
                <w:highlight w:val="none"/>
              </w:rPr>
              <w:t>形象直观：三维立体模型设计，与真实机构一模一样，可进行缩放、拖动、旋转、恢复视角等操作。特殊部件进行透明处理、放大处理、可视化处理、慢动作处理等，相比实物机构更加形象直观。</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②</w:t>
            </w:r>
            <w:r>
              <w:rPr>
                <w:rFonts w:hint="eastAsia" w:ascii="宋体" w:hAnsi="宋体" w:eastAsia="宋体" w:cs="宋体"/>
                <w:b w:val="0"/>
                <w:bCs w:val="0"/>
                <w:color w:val="auto"/>
                <w:sz w:val="21"/>
                <w:szCs w:val="21"/>
                <w:highlight w:val="none"/>
              </w:rPr>
              <w:t>安全可靠：通过三维仿真运行，在完成与真实机构相同实验的同时，避免了如人身触电安全事故、机械运行时碰撞夹手等安全事故；没有设备长时间运行造成的磨损、故障等；没有学生误操作造成的设备损坏等；是一台永无故障、永无安全事故的实验机构。</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③</w:t>
            </w:r>
            <w:r>
              <w:rPr>
                <w:rFonts w:hint="eastAsia" w:ascii="宋体" w:hAnsi="宋体" w:eastAsia="宋体" w:cs="宋体"/>
                <w:b w:val="0"/>
                <w:bCs w:val="0"/>
                <w:color w:val="auto"/>
                <w:sz w:val="21"/>
                <w:szCs w:val="21"/>
                <w:highlight w:val="none"/>
              </w:rPr>
              <w:t>扩展性强：只需通过软件定义，不需作硬件升级，可根据学校的需要扩展其他实验项目，不需增加硬件成本，不占用实验室空间；并支持学校进行个性化功能定制。</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④</w:t>
            </w:r>
            <w:r>
              <w:rPr>
                <w:rFonts w:hint="eastAsia" w:ascii="宋体" w:hAnsi="宋体" w:eastAsia="宋体" w:cs="宋体"/>
                <w:b w:val="0"/>
                <w:bCs w:val="0"/>
                <w:color w:val="auto"/>
                <w:sz w:val="21"/>
                <w:szCs w:val="21"/>
                <w:highlight w:val="none"/>
              </w:rPr>
              <w:t>虚实完美结合：通过软件模拟易于损坏的机构，模拟肉眼不方便观察的现像，模拟具有安全事故风险的机构。通过数据采集输出卡，与硬件PLC、单片机等实物相连，动手进行实际的连线、编程、调试，保证实验的真实性和体现感，锻炼学生的动手能力。解决在纯软件实验做完实验后无法进行真实的调试，从没接触过任硬件设备的虚幻感；同时避免纯硬件模拟实验现像的不直观问题；避免纯硬件真实模型实验机构成本高、易损坏、不直观、存在安全事故等问题。</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strike w:val="0"/>
                <w:dstrike w:val="0"/>
                <w:color w:val="auto"/>
                <w:sz w:val="21"/>
                <w:szCs w:val="21"/>
                <w:highlight w:val="none"/>
                <w:lang w:val="en-US" w:eastAsia="zh-CN"/>
              </w:rPr>
            </w:pPr>
            <w:r>
              <w:rPr>
                <w:rFonts w:hint="eastAsia" w:ascii="宋体" w:hAnsi="宋体" w:eastAsia="宋体" w:cs="宋体"/>
                <w:b w:val="0"/>
                <w:bCs w:val="0"/>
                <w:strike w:val="0"/>
                <w:dstrike w:val="0"/>
                <w:color w:val="auto"/>
                <w:sz w:val="21"/>
                <w:szCs w:val="21"/>
                <w:highlight w:val="none"/>
                <w:lang w:eastAsia="zh-CN"/>
              </w:rPr>
              <w:t>（</w:t>
            </w:r>
            <w:r>
              <w:rPr>
                <w:rFonts w:hint="eastAsia" w:ascii="宋体" w:hAnsi="宋体" w:eastAsia="宋体" w:cs="宋体"/>
                <w:b w:val="0"/>
                <w:bCs w:val="0"/>
                <w:strike w:val="0"/>
                <w:dstrike w:val="0"/>
                <w:color w:val="auto"/>
                <w:sz w:val="21"/>
                <w:szCs w:val="21"/>
                <w:highlight w:val="none"/>
                <w:lang w:val="en-US" w:eastAsia="zh-CN"/>
              </w:rPr>
              <w:t>5</w:t>
            </w:r>
            <w:r>
              <w:rPr>
                <w:rFonts w:hint="eastAsia" w:ascii="宋体" w:hAnsi="宋体" w:eastAsia="宋体" w:cs="宋体"/>
                <w:b w:val="0"/>
                <w:bCs w:val="0"/>
                <w:strike w:val="0"/>
                <w:dstrike w:val="0"/>
                <w:color w:val="auto"/>
                <w:sz w:val="21"/>
                <w:szCs w:val="21"/>
                <w:highlight w:val="none"/>
                <w:lang w:eastAsia="zh-CN"/>
              </w:rPr>
              <w:t>）</w:t>
            </w:r>
            <w:r>
              <w:rPr>
                <w:rFonts w:hint="eastAsia" w:ascii="宋体" w:hAnsi="宋体" w:eastAsia="宋体" w:cs="宋体"/>
                <w:b w:val="0"/>
                <w:bCs w:val="0"/>
                <w:strike w:val="0"/>
                <w:dstrike w:val="0"/>
                <w:color w:val="auto"/>
                <w:sz w:val="21"/>
                <w:szCs w:val="21"/>
                <w:highlight w:val="none"/>
              </w:rPr>
              <w:t>软件通过国家级软件检测机构检测，</w:t>
            </w:r>
            <w:r>
              <w:rPr>
                <w:rFonts w:hint="eastAsia" w:ascii="宋体" w:hAnsi="宋体" w:cs="宋体"/>
                <w:b w:val="0"/>
                <w:bCs w:val="0"/>
                <w:strike w:val="0"/>
                <w:dstrike w:val="0"/>
                <w:color w:val="auto"/>
                <w:sz w:val="21"/>
                <w:szCs w:val="21"/>
                <w:highlight w:val="none"/>
                <w:lang w:val="en-US" w:eastAsia="zh-CN"/>
              </w:rPr>
              <w:t>验收时</w:t>
            </w:r>
            <w:r>
              <w:rPr>
                <w:rFonts w:hint="eastAsia" w:ascii="宋体" w:hAnsi="宋体" w:eastAsia="宋体" w:cs="宋体"/>
                <w:b w:val="0"/>
                <w:bCs w:val="0"/>
                <w:strike w:val="0"/>
                <w:dstrike w:val="0"/>
                <w:color w:val="auto"/>
                <w:sz w:val="21"/>
                <w:szCs w:val="21"/>
                <w:highlight w:val="none"/>
              </w:rPr>
              <w:t>提供软件测试报告。</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电气智能诊断虚实一体化实训系统</w:t>
            </w:r>
            <w:r>
              <w:rPr>
                <w:rFonts w:hint="eastAsia" w:ascii="宋体" w:hAnsi="宋体" w:eastAsia="宋体" w:cs="宋体"/>
                <w:b w:val="0"/>
                <w:bCs w:val="0"/>
                <w:color w:val="auto"/>
                <w:sz w:val="21"/>
                <w:szCs w:val="21"/>
                <w:highlight w:val="none"/>
                <w:lang w:eastAsia="zh-CN"/>
              </w:rPr>
              <w:t>（实验室共享</w:t>
            </w:r>
            <w:r>
              <w:rPr>
                <w:rFonts w:hint="eastAsia" w:ascii="宋体" w:hAnsi="宋体" w:eastAsia="宋体" w:cs="宋体"/>
                <w:b w:val="0"/>
                <w:bCs w:val="0"/>
                <w:color w:val="auto"/>
                <w:sz w:val="21"/>
                <w:szCs w:val="21"/>
                <w:highlight w:val="none"/>
                <w:lang w:val="en-US" w:eastAsia="zh-CN"/>
              </w:rPr>
              <w:t>1套</w:t>
            </w:r>
            <w:r>
              <w:rPr>
                <w:rFonts w:hint="eastAsia" w:ascii="宋体" w:hAnsi="宋体" w:eastAsia="宋体" w:cs="宋体"/>
                <w:b w:val="0"/>
                <w:bCs w:val="0"/>
                <w:color w:val="auto"/>
                <w:sz w:val="21"/>
                <w:szCs w:val="21"/>
                <w:highlight w:val="none"/>
                <w:lang w:eastAsia="zh-CN"/>
              </w:rPr>
              <w:t>）</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系统组成：</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三维电气数字孪生软件，虚拟电气实训箱，嵌入式诊断仪带触摸屏（带诊断接口）</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系统参数</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软件包含二维元件和三维器件：三相漏电保护器3个，热继电器2个，行程开关2个，交流接触器7个，时间继电器1个，多路转换开关1个，制动电阻3个，制动二极管1个，按钮7个，指示灯4个，保险丝3个，三相电机2个，速度继电器2个。</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软件采用无线WIFI或者局域网组网的方式，基于服务器/客户端架构，支持1对1，1对N检测，可以选择已连接的客户端进行同步检测。</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软件包含4个区分别是：二维元件库，三维元件库，二维原理图绘制区，三维元件库，三维器件实训接线区。界面支持三维透视模式和正交模式针对不同使用场景。界面视角可以任意放大、缩小、平移、可一键复位初始视角。原理图绘制与电气线路连接可以选择导线的颜色，直径等外观参数。软件含走线线槽，导线的方向和路径可以任意规划。绘制好的导线可以选中查看两端的接线柱、支持单一删除、一键删除、清除选中。接线完成后，可以启动运行虚拟通电验证，按下按钮和开关等器件可以观看电机和指示灯等负载的运行效果。电机支持正反转，缺相故障演示。定时器器件支持虚拟设置时间 器件带指针表盘调节旋钮，带通电指示和动作指示，当前时间和设置时间同时显示。每个可通电器件都带有通电指示，其中交流接触器等器件带测试按钮与实物测试按钮效果相同。软件包含万用表可进行任意两个接线柱之间的电压测试。</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绘制完成的实验线路可以保存到本地文件中，也可打开之前保存的实验文件一键快速生成实验导线，可以直接启动运行进行原理仿真和验证。</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启动运行虚拟通电后，每个接线柱都具有电平指示不同的电平的颜色不一样分别是U,V,W,N对应黄、绿、红、蓝可快速分析线路的电气逻辑是否正确。二维原理图绘制包含鼠标拖动、按键平移、元件复位等工具可对元件库的器件进行任意拖动、平移、90度倍数旋转、也可以对元器件多选，进行四个方向整体平移组成不同的实验电路图。二维原理图绘制区支持单个选中复位，也支持一键全部复位。二维导线可以任意绘制、删除、选择颜色。二维原理图可以同步生成三维电气控制线路，同步的线路自动按照线槽布局采用最短路径规划到导线相连的接线柱。</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三维电气线路可以同步到二维原理图绘制区中，同步的线路自动按照二维元件的位置采用合适的路径规划。启动运行后，二维器件的状态同步展示对应三维器件的状态，每个二维器件都有对应的动画效果。二维器件对应的接线柱同步展示电平指示与三维器件实时同步，以便用户从二维原理图的角度快速分析对应的电气逻辑状态。</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电气线路数字孪生：软件采用TCP/IP通讯方式通过嵌入式智能诊断仪的线路诊断接口连接到实物的电气实训挂箱就可以实时同步检测实物挂箱的接线并同步生成三维电气线路图和二维电气原理图。三维线路图根据线槽自动以最优路径规划，二维原理图根据绘制区的器件布局实时自动生成二维原理图，二维器件位置发生变化后线路图也会根据器件位置实时调整。用户在实时同步的过程中任然可以随意调整二维元器件的位置。</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电气线路增强现实仿真：</w:t>
            </w:r>
            <w:r>
              <w:rPr>
                <w:rFonts w:hint="eastAsia" w:ascii="宋体" w:hAnsi="宋体" w:cs="宋体"/>
                <w:b w:val="0"/>
                <w:bCs w:val="0"/>
                <w:color w:val="auto"/>
                <w:sz w:val="21"/>
                <w:szCs w:val="21"/>
                <w:highlight w:val="none"/>
                <w:lang w:val="en-US" w:eastAsia="zh-CN"/>
              </w:rPr>
              <w:t>设有</w:t>
            </w:r>
            <w:r>
              <w:rPr>
                <w:rFonts w:hint="eastAsia" w:ascii="宋体" w:hAnsi="宋体" w:eastAsia="宋体" w:cs="宋体"/>
                <w:b w:val="0"/>
                <w:bCs w:val="0"/>
                <w:color w:val="auto"/>
                <w:sz w:val="21"/>
                <w:szCs w:val="21"/>
                <w:highlight w:val="none"/>
              </w:rPr>
              <w:t>实物电气挂箱</w:t>
            </w:r>
            <w:r>
              <w:rPr>
                <w:rFonts w:hint="eastAsia" w:ascii="宋体" w:hAnsi="宋体" w:cs="宋体"/>
                <w:b w:val="0"/>
                <w:bCs w:val="0"/>
                <w:color w:val="auto"/>
                <w:sz w:val="21"/>
                <w:szCs w:val="21"/>
                <w:highlight w:val="none"/>
                <w:lang w:val="en-US" w:eastAsia="zh-CN"/>
              </w:rPr>
              <w:t>通讯接口，为之后升级作准备。升级</w:t>
            </w:r>
            <w:r>
              <w:rPr>
                <w:rFonts w:hint="eastAsia" w:ascii="宋体" w:hAnsi="宋体" w:eastAsia="宋体" w:cs="宋体"/>
                <w:b w:val="0"/>
                <w:bCs w:val="0"/>
                <w:color w:val="auto"/>
                <w:sz w:val="21"/>
                <w:szCs w:val="21"/>
                <w:highlight w:val="none"/>
              </w:rPr>
              <w:t>之后，可以直接在软件中进行虚拟通电验证实物的接线逻辑。实物挂箱不需要通电就可以直接验证线路的正确性。如果实物挂箱有的个别器件没有，但是又想完成整个实验，我们可以在软件中进行二次连接线路到虚拟的三维器件以达到增强现实仿真的目的，也就是一部分实物、一部分虚拟进行整体联合仿真。</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智能电气线路诊断：最多可以检测150个节点的电气线路系统，可以监测出电气线路的断路故障以及短路故障，及各种线路逻辑错误。实物挂箱可以任意接线，都可以同步到软件中进行虚拟通电分析和调试。虚拟通电分析正确后断开诊断仪，实物挂箱就可以直接真实通电且动作逻辑与虚拟通电验证的结果一致。</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拟电气实训箱：包含15个电气控制实验所用到的所有器件。器件虚拟化以原理图符号展示，每个电气符号的接线端子全部引到面板上。分别采用快速插接端子和真实线槽布线的器件端子，用户可以快速用导线连接出一个实验电路，然后连接到软件进行虚拟通电很分析。相比纯虚拟仿真增加动手实物接线的环节，理论与动手的结合训练产品。省去真实通电的步骤。</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智能诊断仪：采用高性能单片机配套触摸屏和诊断接口内置专用检测诊断算法，内置WIFI协议与软件通讯。</w:t>
            </w:r>
          </w:p>
          <w:p>
            <w:pPr>
              <w:pageBreakBefore w:val="0"/>
              <w:kinsoku/>
              <w:wordWrap/>
              <w:overflowPunct/>
              <w:topLinePunct w:val="0"/>
              <w:autoSpaceDE/>
              <w:autoSpaceDN/>
              <w:bidi w:val="0"/>
              <w:spacing w:line="300" w:lineRule="auto"/>
              <w:ind w:firstLine="0" w:firstLineChars="0"/>
              <w:jc w:val="left"/>
              <w:textAlignment w:val="auto"/>
              <w:rPr>
                <w:rFonts w:hint="eastAsia" w:ascii="宋体" w:hAnsi="宋体" w:eastAsia="宋体" w:cs="宋体"/>
                <w:b w:val="0"/>
                <w:bCs w:val="0"/>
                <w:strike w:val="0"/>
                <w:dstrike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strike w:val="0"/>
                <w:dstrike w:val="0"/>
                <w:color w:val="auto"/>
                <w:sz w:val="21"/>
                <w:szCs w:val="21"/>
                <w:highlight w:val="none"/>
              </w:rPr>
              <w:t>电路智能诊断系统与整个实训台为同一制造商</w:t>
            </w:r>
            <w:r>
              <w:rPr>
                <w:rFonts w:hint="eastAsia" w:ascii="宋体" w:hAnsi="宋体" w:cs="宋体"/>
                <w:b w:val="0"/>
                <w:bCs w:val="0"/>
                <w:strike w:val="0"/>
                <w:dstrike w:val="0"/>
                <w:color w:val="auto"/>
                <w:sz w:val="21"/>
                <w:szCs w:val="21"/>
                <w:highlight w:val="none"/>
                <w:lang w:val="en-US" w:eastAsia="zh-CN"/>
              </w:rPr>
              <w:t>。</w:t>
            </w:r>
          </w:p>
          <w:p>
            <w:pPr>
              <w:pStyle w:val="118"/>
              <w:pageBreakBefore w:val="0"/>
              <w:kinsoku/>
              <w:wordWrap/>
              <w:overflowPunct/>
              <w:topLinePunct w:val="0"/>
              <w:autoSpaceDE/>
              <w:autoSpaceDN/>
              <w:bidi w:val="0"/>
              <w:spacing w:line="300" w:lineRule="auto"/>
              <w:ind w:left="0" w:leftChars="0"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12.数字孪生仿真系统（实验室共享1套）</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设备功能与结构</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①</w:t>
            </w:r>
            <w:r>
              <w:rPr>
                <w:rFonts w:hint="eastAsia" w:ascii="宋体" w:hAnsi="宋体" w:eastAsia="宋体" w:cs="宋体"/>
                <w:b w:val="0"/>
                <w:bCs w:val="0"/>
                <w:color w:val="auto"/>
                <w:sz w:val="21"/>
                <w:szCs w:val="21"/>
                <w:highlight w:val="none"/>
              </w:rPr>
              <w:t>信息化虚拟仿真上位机，可交互式安装演示程序及软件接口实现与下位机通讯。采用软件建模及上位机界面设计，通过USB通讯与下位机的连接，实现上位机的虚拟仿真。</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②</w:t>
            </w:r>
            <w:r>
              <w:rPr>
                <w:rFonts w:hint="eastAsia" w:ascii="宋体" w:hAnsi="宋体" w:eastAsia="宋体" w:cs="宋体"/>
                <w:b w:val="0"/>
                <w:bCs w:val="0"/>
                <w:color w:val="auto"/>
                <w:sz w:val="21"/>
                <w:szCs w:val="21"/>
                <w:highlight w:val="none"/>
              </w:rPr>
              <w:t>仿真模型完全按真实设备实训模型比例设计，运行机构演示动作功能和I/O连接控制都完全一样，学生将PLC控制程序下载到PLC中，3D仿真模型和仿真数据驱动器取代实物设备受PLC程序控制并反馈相关的传感器信号。</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③</w:t>
            </w:r>
            <w:r>
              <w:rPr>
                <w:rFonts w:hint="eastAsia" w:ascii="宋体" w:hAnsi="宋体" w:eastAsia="宋体" w:cs="宋体"/>
                <w:b w:val="0"/>
                <w:bCs w:val="0"/>
                <w:color w:val="auto"/>
                <w:sz w:val="21"/>
                <w:szCs w:val="21"/>
                <w:highlight w:val="none"/>
              </w:rPr>
              <w:t>仿真数据驱动器通过IO输入端采集颗粒上料单元模型、加盖拧盖单元模型、检测分拣单元模型、6轴机器人模型、入仓单元模型的输出控制信息，将输出控制信息通过USB通信传送给上位机仿真模型</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④</w:t>
            </w:r>
            <w:r>
              <w:rPr>
                <w:rFonts w:hint="eastAsia" w:ascii="宋体" w:hAnsi="宋体" w:eastAsia="宋体" w:cs="宋体"/>
                <w:b w:val="0"/>
                <w:bCs w:val="0"/>
                <w:color w:val="auto"/>
                <w:sz w:val="21"/>
                <w:szCs w:val="21"/>
                <w:highlight w:val="none"/>
              </w:rPr>
              <w:t>仿真模型接收数据后驱动3D模型运行，运行中机构对应的传感器等信息通过仿真驱动器IO输出端输出到PLC及自动化控制系统的输入端。</w:t>
            </w:r>
          </w:p>
          <w:p>
            <w:pPr>
              <w:pageBreakBefore w:val="0"/>
              <w:kinsoku/>
              <w:wordWrap/>
              <w:overflowPunct/>
              <w:topLinePunct w:val="0"/>
              <w:autoSpaceDE/>
              <w:autoSpaceDN/>
              <w:bidi w:val="0"/>
              <w:spacing w:line="300" w:lineRule="auto"/>
              <w:ind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⑤</w:t>
            </w:r>
            <w:r>
              <w:rPr>
                <w:rFonts w:hint="eastAsia" w:ascii="宋体" w:hAnsi="宋体" w:eastAsia="宋体" w:cs="宋体"/>
                <w:b w:val="0"/>
                <w:bCs w:val="0"/>
                <w:color w:val="auto"/>
                <w:sz w:val="21"/>
                <w:szCs w:val="21"/>
                <w:highlight w:val="none"/>
              </w:rPr>
              <w:t>仿真系统支持扩展包括光机电一体化物料运输分拣生产线模型、交通灯模型的仿真教学。</w:t>
            </w:r>
          </w:p>
          <w:p>
            <w:pPr>
              <w:pageBreakBefore w:val="0"/>
              <w:kinsoku/>
              <w:wordWrap/>
              <w:overflowPunct/>
              <w:topLinePunct w:val="0"/>
              <w:autoSpaceDE/>
              <w:autoSpaceDN/>
              <w:bidi w:val="0"/>
              <w:spacing w:line="300" w:lineRule="auto"/>
              <w:ind w:firstLine="0" w:firstLineChars="0"/>
              <w:textAlignment w:val="auto"/>
              <w:rPr>
                <w:rFonts w:hint="eastAsia"/>
              </w:rPr>
            </w:pPr>
            <w:r>
              <w:rPr>
                <w:rFonts w:hint="eastAsia" w:ascii="宋体" w:hAnsi="宋体" w:eastAsia="宋体" w:cs="宋体"/>
                <w:b w:val="0"/>
                <w:bCs w:val="0"/>
                <w:color w:val="auto"/>
                <w:sz w:val="21"/>
                <w:szCs w:val="21"/>
                <w:highlight w:val="none"/>
                <w:lang w:val="en-US" w:eastAsia="zh-CN"/>
              </w:rPr>
              <w:t>⑥</w:t>
            </w:r>
            <w:r>
              <w:rPr>
                <w:rFonts w:hint="eastAsia" w:ascii="宋体" w:hAnsi="宋体" w:eastAsia="宋体" w:cs="宋体"/>
                <w:b w:val="0"/>
                <w:bCs w:val="0"/>
                <w:color w:val="auto"/>
                <w:sz w:val="21"/>
                <w:szCs w:val="21"/>
                <w:highlight w:val="none"/>
              </w:rPr>
              <w:t>兼容</w:t>
            </w:r>
            <w:r>
              <w:rPr>
                <w:rFonts w:hint="eastAsia" w:ascii="宋体" w:hAnsi="宋体" w:eastAsia="宋体" w:cs="宋体"/>
                <w:b w:val="0"/>
                <w:bCs w:val="0"/>
                <w:strike w:val="0"/>
                <w:dstrike w:val="0"/>
                <w:color w:val="auto"/>
                <w:sz w:val="21"/>
                <w:szCs w:val="21"/>
                <w:highlight w:val="none"/>
              </w:rPr>
              <w:t>西门子、三菱、汇川等</w:t>
            </w:r>
            <w:r>
              <w:rPr>
                <w:rFonts w:hint="eastAsia" w:ascii="宋体" w:hAnsi="宋体" w:eastAsia="宋体" w:cs="宋体"/>
                <w:b w:val="0"/>
                <w:bCs w:val="0"/>
                <w:color w:val="auto"/>
                <w:sz w:val="21"/>
                <w:szCs w:val="21"/>
                <w:highlight w:val="none"/>
              </w:rPr>
              <w:t>所有PLC，兼容PNP、NPN、高电平、低电平等所有接线方式，兼容智能制造、自动化、工业机器人、数控机床等各种模型。</w:t>
            </w:r>
          </w:p>
          <w:p>
            <w:pPr>
              <w:pStyle w:val="7"/>
              <w:pageBreakBefore w:val="0"/>
              <w:widowControl/>
              <w:numPr>
                <w:ilvl w:val="0"/>
                <w:numId w:val="0"/>
              </w:numPr>
              <w:tabs>
                <w:tab w:val="left" w:pos="540"/>
              </w:tabs>
              <w:kinsoku/>
              <w:wordWrap/>
              <w:overflowPunct/>
              <w:topLinePunct w:val="0"/>
              <w:autoSpaceDE/>
              <w:autoSpaceDN/>
              <w:bidi w:val="0"/>
              <w:spacing w:before="0" w:after="0" w:line="300" w:lineRule="auto"/>
              <w:ind w:leftChars="-150" w:right="0" w:rightChars="0" w:firstLine="0" w:firstLineChars="0"/>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lang w:eastAsia="zh-CN"/>
              </w:rPr>
              <w:t>二</w:t>
            </w:r>
            <w:r>
              <w:rPr>
                <w:rFonts w:hint="eastAsia" w:ascii="宋体" w:hAnsi="宋体" w:eastAsia="宋体" w:cs="宋体"/>
                <w:b w:val="0"/>
                <w:bCs w:val="0"/>
                <w:color w:val="auto"/>
                <w:kern w:val="2"/>
                <w:sz w:val="21"/>
                <w:szCs w:val="21"/>
                <w:highlight w:val="none"/>
                <w:lang w:val="en-US" w:eastAsia="zh-CN"/>
              </w:rPr>
              <w:t xml:space="preserve">  ⑦</w:t>
            </w:r>
            <w:r>
              <w:rPr>
                <w:rFonts w:hint="eastAsia" w:ascii="宋体" w:hAnsi="宋体" w:eastAsia="宋体" w:cs="宋体"/>
                <w:b w:val="0"/>
                <w:bCs w:val="0"/>
                <w:color w:val="auto"/>
                <w:kern w:val="2"/>
                <w:sz w:val="21"/>
                <w:szCs w:val="21"/>
                <w:highlight w:val="none"/>
              </w:rPr>
              <w:t>设备配置详细</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57" w:type="dxa"/>
                <w:bottom w:w="0" w:type="dxa"/>
                <w:right w:w="57" w:type="dxa"/>
              </w:tblCellMar>
            </w:tblPr>
            <w:tblGrid>
              <w:gridCol w:w="521"/>
              <w:gridCol w:w="1111"/>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475" w:hRule="atLeast"/>
                <w:tblHeader/>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设备名称</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340" w:hRule="atLeast"/>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仿真驱动器主机</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电源：DC24V，≤200mA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数字I/O： 8路输入、8路输出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模拟I/O： 2路输入4-20mA 2路输出4-20mA/0-10V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状态指示：电源指示、I/O状态指示、通讯状态指示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通讯接口：RS485、以太网、wifi、USB</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通讯协议：自定义孪生协议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通讯波特率：115200</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嵌入式系统：内置μC/OS-III嵌入式系统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控制芯片：ARM Cortex-M3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340" w:hRule="atLeast"/>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仿真驱动器扩展3</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电源：DC24V，≤300mA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输入端口：2路高速脉冲输入，16路开关量输入</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输出端口：16路开关量输出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连接方式：接线端子排、37Pin快速插头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状态指示：电源指示、I/O状态指示、通讯状态指示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通讯接口：RS485</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I/O扩展：32路40Pin快速插头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嵌入式统：内置μC/OS-III嵌入式系统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控制芯片：ARM Cortex-M3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340" w:hRule="atLeast"/>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仿真驱动器扩展3外设</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电源:DC24V，≤300mA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输入端口：16路开关量输入</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输出端口：16路开关量输出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连接方式：接线端子排、37Pin快速插头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状态指示：电源指示、I/O状态指示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外设输入：32路40Pin快速插头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340" w:hRule="atLeast"/>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仿真软件</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该3D仿真模型软件基于Unity3D开发平台创建，具有画面精致细腻生动逼真，机构动作演示流畅等优点， </w:t>
                  </w:r>
                  <w:r>
                    <w:rPr>
                      <w:rFonts w:hint="eastAsia" w:ascii="宋体" w:hAnsi="宋体" w:eastAsia="宋体" w:cs="宋体"/>
                      <w:sz w:val="21"/>
                      <w:szCs w:val="21"/>
                    </w:rPr>
                    <w:t>Unity虚拟仿真系统在Unity3D虚拟现实引擎里进行搭建，虚拟仿真系统通过接口与PLC数据传输，实现虚拟载体与实物的孪生动作效果，包含：</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颗粒上料单元仿真模型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加盖拧盖单元仿真模型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检测分拣单元仿真模型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机器人工作站仿真模型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仓库单元仿真模型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340" w:hRule="atLeast"/>
                <w:jc w:val="center"/>
              </w:trPr>
              <w:tc>
                <w:tcPr>
                  <w:tcW w:w="412"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76"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培训资源包</w:t>
                  </w:r>
                </w:p>
              </w:tc>
              <w:tc>
                <w:tcPr>
                  <w:tcW w:w="3710"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设备使用说明书</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系统概述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软件简介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主要功能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硬件配置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软件参数</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使用说明</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仿真实训项目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光机电一体化物料运输分拣任务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上料送料机构仿真控制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机械手搬运机构仿真控制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物料传送和分拣机构仿真控制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自动化生产线颗粒上料单元任务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颗粒物料上料机构仿真控制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颗粒物料分拣机构仿真控制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颗粒物料填装机构仿真控制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自动化生产线加盖拧盖单元任务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塑料透明瓶加盖机构仿真控制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塑料透明瓶拧盖机构仿真控制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自动化生产线检测分拣单元任务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拧盖回归反射检测机构仿真控制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填装颗料检测机构仿真控制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良品分拣机构仿真控制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自动化生产线机器人搬运单元任务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瓶子装盒机构仿真控制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包装盒装盖机构仿真控制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包装盒贴标机构仿真控制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自动化生产线智能仓储单元任务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两轴伺服堆垛机构仿真控制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弧形立体仓库机构仿真控制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器件手册（电子版）</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《颗粒上料单元原理图》</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《加盖打盖单元原理图》</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《检测分拣单元原理图》</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《6轴机器人单元原理图》</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《成品入仓单元原理图》</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实训项目示例程序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《颗粒上料单元运行程序实例》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《加盖打盖单元运行程序实例》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《检测分拣单元运行程序实例》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《6轴机器人单元运行程序实例》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《成品入仓单元运行程序实例》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13.每26套实验台共享</w:t>
            </w:r>
            <w:r>
              <w:rPr>
                <w:rFonts w:hint="eastAsia" w:ascii="宋体" w:hAnsi="宋体" w:eastAsia="宋体" w:cs="宋体"/>
                <w:color w:val="auto"/>
                <w:sz w:val="21"/>
                <w:szCs w:val="21"/>
                <w:lang w:val="en-US" w:eastAsia="zh-CN"/>
              </w:rPr>
              <w:t>1套智慧黑板，参数</w:t>
            </w:r>
            <w:r>
              <w:rPr>
                <w:rFonts w:hint="eastAsia" w:ascii="宋体" w:hAnsi="宋体" w:eastAsia="宋体" w:cs="宋体"/>
                <w:sz w:val="21"/>
                <w:szCs w:val="21"/>
                <w:lang w:val="en-US" w:eastAsia="zh-CN"/>
              </w:rPr>
              <w:t>如下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（1）显示要求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①显示尺寸（屏幕对角线）：≥86英寸。</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②液</w:t>
            </w:r>
            <w:r>
              <w:rPr>
                <w:rFonts w:hint="eastAsia" w:ascii="宋体" w:hAnsi="宋体" w:eastAsia="宋体" w:cs="宋体"/>
                <w:color w:val="auto"/>
                <w:sz w:val="21"/>
                <w:szCs w:val="21"/>
                <w:lang w:val="en-US" w:eastAsia="zh-CN"/>
              </w:rPr>
              <w:t>晶面板：A 规屏及以上；分辨率：3840×2160；屏幕比例：16:9。（验收时提供国家认可实验室提供的检测报告）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③具有防蓝光及防眩光功能。（验收时提供国家认可实验室提供的检测报告）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④表面钢化玻璃硬度不低于9H，雾度范围2%-5%，透光率不低于92%。（提供国家认可实验室提供的检测报告）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（2）结构要求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①产品正面显示为三块拼接而成。整机厚度≤60mm。（验收时提供国家认可实验室提供的检测报告）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②电源接口在设备上部，黑板背面无线缆、接头裸露。（验收时提供国家认可实验室提供的检测报告）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③书写支持：作为普通黑板使用时支持普通粉笔、无尘粉笔和白板水性笔书写，作为显示屏时支持手指或书写笔触控书写。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④扬声器在黑板两侧上方前置，方向朝前，功率≥2×15W。（验收时提供国家认可实验室提供的检测报告）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⑤智慧黑板前置接口至少包含 HDMI IN*1， USB TOUCH*1，USB 2.0*3，前置按键需采用电容式按键，至少包含整机电源、信号源、比例调节、节能、还原、主页、返回和菜单。（验收时提供国家认可实验室提供的检测报告）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⑥外部接口至少包含 HDMI IN*1，USB 2.0*3，USB TOUCH*1，MIC*1，Earphone*1,LAN IN*1,VGA*1,AUDIO*1,RS232*1。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⑦电源板、主板模块化设计，可不拆除智慧黑板主体，分别进行整体插拔。（验收时提供国家认可实验室提供的检测报告）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⑧贴合方式要求：零贴合黑板，反光大幅减少，显示效果更好，机身薄 。可视角度要求 ≥178°。</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（3）触摸系统要求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①产品采用电容触控技术，同时触控点数≥20点。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②响应速度：响应速度≤8ms。</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（4）功能要求: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①WINDOWS、安卓版双操作系统，支持查看系统信息，系统自带电子说明书。</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②板载安卓版本≥8.0，RAM≥2G，Flash≥16G。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③在安卓系统下能够实现白板书写、Office软件使用、媒体播放、网页浏览等功能。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④整机在任意通道下，通过手势在下方任意位置调出中控便捷菜单。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⑤整机具有全通道快捷菜单，能够根据需要停放在屏幕任意位置，菜单条目能够进行功能自定义。（验收时提供国家认可实验室提供的检测报告）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⑥整机具有温度监控保护功能，能够根据温度变化显示不同的颜色。</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⑦遥控器具备电视遥控功能和电脑键盘常用的F1-F12功能键及Alt+F4、Alt+Tab、Space、Enter、Windows等快捷按键。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⑧可自动识别信号源，并且可供用户选择是否切换输入信号源画面。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⑨在节能黑屏状态下，可以正常输出音频内容，实现单独听功能。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⑩整机支持信号源通道重</w:t>
            </w:r>
            <w:r>
              <w:rPr>
                <w:rFonts w:hint="eastAsia" w:ascii="宋体" w:hAnsi="宋体" w:eastAsia="宋体" w:cs="宋体"/>
                <w:color w:val="auto"/>
                <w:sz w:val="21"/>
                <w:szCs w:val="21"/>
                <w:lang w:val="en-US" w:eastAsia="zh-CN"/>
              </w:rPr>
              <w:t>新命名功能。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⑪支持智能手势识别功能，在任意信号源下五指按压屏幕任意位置可以随时打开、关闭屏幕画面。（验收时提供国家认可实验室提供的检测报告）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⑫系统具备定时开关机功能。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⑬≥3套主题风格用户可随意切换。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⑭支持将OPS屏幕下移一半。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⑮系统自带录屏功能。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⑯通过前置触摸按键对画面实现一键切换屏幕分辨率，调整画面显示比例。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⑰具备系统自检功能，包括对CPU、温度、RTC、网络状态、触摸框、OPS、感光等功能检测。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⑱具备PC投屏、手机（Android系统和IOS系统）投屏功能。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⑲支持一条网线给Andriod，OPS,外接设备同时上网。</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⑳支持前置触摸按键将OPS系统还原功能。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fill="FFFFFF"/>
              </w:rPr>
              <w:t>㉑</w:t>
            </w:r>
            <w:r>
              <w:rPr>
                <w:rFonts w:hint="eastAsia" w:ascii="宋体" w:hAnsi="宋体" w:eastAsia="宋体" w:cs="宋体"/>
                <w:sz w:val="21"/>
                <w:szCs w:val="21"/>
                <w:lang w:val="en-US" w:eastAsia="zh-CN"/>
              </w:rPr>
              <w:t>支持前置触摸按键使系统进入节能状态。</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333333"/>
                <w:spacing w:val="0"/>
                <w:sz w:val="21"/>
                <w:szCs w:val="21"/>
                <w:shd w:val="clear" w:fill="FFFFFF"/>
              </w:rPr>
              <w:t>㉒</w:t>
            </w:r>
            <w:r>
              <w:rPr>
                <w:rFonts w:hint="eastAsia" w:ascii="宋体" w:hAnsi="宋体" w:eastAsia="宋体" w:cs="宋体"/>
                <w:sz w:val="21"/>
                <w:szCs w:val="21"/>
                <w:lang w:val="en-US" w:eastAsia="zh-CN"/>
              </w:rPr>
              <w:t>前置开关键可以实现节能、</w:t>
            </w:r>
            <w:r>
              <w:rPr>
                <w:rFonts w:hint="eastAsia" w:ascii="宋体" w:hAnsi="宋体" w:eastAsia="宋体" w:cs="宋体"/>
                <w:color w:val="auto"/>
                <w:sz w:val="21"/>
                <w:szCs w:val="21"/>
                <w:lang w:val="en-US" w:eastAsia="zh-CN"/>
              </w:rPr>
              <w:t>开关OPS电脑、开关一体机功能。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㉓</w:t>
            </w:r>
            <w:r>
              <w:rPr>
                <w:rFonts w:hint="eastAsia" w:ascii="宋体" w:hAnsi="宋体" w:eastAsia="宋体" w:cs="宋体"/>
                <w:color w:val="auto"/>
                <w:sz w:val="21"/>
                <w:szCs w:val="21"/>
                <w:lang w:val="en-US" w:eastAsia="zh-CN"/>
              </w:rPr>
              <w:t>具备五指息屏、三指跟随功能。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㉔</w:t>
            </w:r>
            <w:r>
              <w:rPr>
                <w:rFonts w:hint="eastAsia" w:ascii="宋体" w:hAnsi="宋体" w:eastAsia="宋体" w:cs="宋体"/>
                <w:color w:val="auto"/>
                <w:sz w:val="21"/>
                <w:szCs w:val="21"/>
                <w:lang w:val="en-US" w:eastAsia="zh-CN"/>
              </w:rPr>
              <w:t>具备全通道减滤蓝光护眼功能。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（5）配置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①CPU不低于Intel Core I5 8400,内存容量≥8G，固态硬盘容量≥128G。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②模块化OPS主机采用插拔式结构，标准80pin接口。（验收时提供国家认可实验室提供的检测报告）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③接口：DP*1,HDMI*1,VGA*1,RJ45*2,UBS2.0*3,UBS3.0*3,RS232*1。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（6）白板软件：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①注册登录：可通过注册登录系统，还可以用 USB key 进行身份快速识别登录。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②存储同步：老师联网登录后即可获取云课件，可将修改内容实时保存至云端。</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语文学科工具：包括成语词典、古代诗词、朗读文字工具。成语词典工具，可根据关键字模糊查找成语，解析成语含义，朗读成语，标注拼音；古代诗词工具，可根据题目、作者查找诗词；朗读文字工具，在朗读面板里输入一段要朗读的文字进行朗读，可调整朗读语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④手写识别工具：可识别手写的汉字、英文、数字。可将识别出的文字作为文字卡片插入课件使用。汉字卡片有含义解释，拼音标注，还可以将汉字作为偏旁部首进行组字。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⑤数学学科工具：可描绘数学函数曲线，函数可自定义编辑；可描绘贝塞尔曲线；可添加平面图形和立体图形。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⑥英语学科工具：包含英语词典、英文四线三格，英语词典 可根据单词查询音标和解释，并可以插入课件进行朗读， 可将英文四线三格插入课件进行自定义编辑。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⑦化学学科工具：可一键配平化学方程式、离子方程式；提供元素周期表工具，点击元素可查看详情。</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⑧历史学科工具：提供历史朝代表，包括朝代名称、起讫年代、都城、都城现在所在地、开国皇帝、详细介绍。</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⑨红包奖励：为增加课堂趣味性，教师可对学生发放红包奖励，红包奖励可随机抽取，可自定义奖励内容，如一支铅笔、一个笔记本等。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⑩视频剪辑：无需借助视频剪辑工具，可对插入的视频进行剪辑，剪辑后可保存至本地，也可以插入课件。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⑪视频打点：在视频进度条任意位置设置多个开始播放节点。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⑫学生点名：可对学生进行随机点名，支持手动模式和自动模式。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⑬音频录制：可录制音频文件，文件可插入课件，也可保存到本地，方便老师备课做课文朗诵。</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⑭常用图形：所有图形均可依宽等边、依高等边设置尺寸，填充颜色，修改边框颜色粗细，设置图形透明度，可备注文字，文字可修改颜色和大小。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⑮精选图片：包含多种精选图片，可插入课件使用。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⑯计时工具：包括倒计时、秒表、指针式和数字式时钟工具。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⑰函数曲线颜色种类：可设置不少于10种函数曲线颜色，包含黑色、红色、绿色、蓝色、橙色、浅绿、浅蓝、紫色、灰色、深灰。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⑱视频打点数量：可在视频文件中进行打点操作，不少于10个点。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⑲常用图形种类：提供不少于46种常用图形，可添加图形到课件中。</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⑳精选图片数量：提供不少于20张精选图片，可将图片添加到课件中。</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㉑悬浮按钮：授课时，应用工具可最小化成悬浮按钮至于屏幕右侧。</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㉒</w:t>
            </w:r>
            <w:r>
              <w:rPr>
                <w:rFonts w:hint="eastAsia" w:ascii="宋体" w:hAnsi="宋体" w:eastAsia="宋体" w:cs="宋体"/>
                <w:color w:val="auto"/>
                <w:sz w:val="21"/>
                <w:szCs w:val="21"/>
                <w:lang w:val="en-US" w:eastAsia="zh-CN"/>
              </w:rPr>
              <w:t>软件自带悬浮工具：悬浮工具可拖动至任意位置，工具包括：打开我的电脑、控制面板、自带软键盘、视频展台。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auto"/>
                <w:spacing w:val="0"/>
                <w:sz w:val="21"/>
                <w:szCs w:val="21"/>
                <w:shd w:val="clear" w:fill="FFFFFF"/>
              </w:rPr>
              <w:t>㉓</w:t>
            </w:r>
            <w:r>
              <w:rPr>
                <w:rFonts w:hint="eastAsia" w:ascii="宋体" w:hAnsi="宋体" w:eastAsia="宋体" w:cs="宋体"/>
                <w:color w:val="auto"/>
                <w:sz w:val="21"/>
                <w:szCs w:val="21"/>
                <w:lang w:val="en-US" w:eastAsia="zh-CN"/>
              </w:rPr>
              <w:t>我的班级：以Excel文件批</w:t>
            </w:r>
            <w:r>
              <w:rPr>
                <w:rFonts w:hint="eastAsia" w:ascii="宋体" w:hAnsi="宋体" w:eastAsia="宋体" w:cs="宋体"/>
                <w:sz w:val="21"/>
                <w:szCs w:val="21"/>
                <w:lang w:val="en-US" w:eastAsia="zh-CN"/>
              </w:rPr>
              <w:t>量导入、导出班级学生名单。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0"/>
                <w:sz w:val="21"/>
                <w:szCs w:val="21"/>
                <w:shd w:val="clear" w:fill="FFFFFF"/>
              </w:rPr>
              <w:t>㉔</w:t>
            </w:r>
            <w:r>
              <w:rPr>
                <w:rFonts w:hint="eastAsia" w:ascii="宋体" w:hAnsi="宋体" w:eastAsia="宋体" w:cs="宋体"/>
                <w:sz w:val="21"/>
                <w:szCs w:val="21"/>
                <w:lang w:val="en-US" w:eastAsia="zh-CN"/>
              </w:rPr>
              <w:t>新版本更新提醒：可自动获取新版本信息，提醒用户是否更新。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333333"/>
                <w:spacing w:val="0"/>
                <w:sz w:val="21"/>
                <w:szCs w:val="21"/>
                <w:shd w:val="clear" w:fill="FFFFFF"/>
              </w:rPr>
              <w:t>㉕</w:t>
            </w:r>
            <w:r>
              <w:rPr>
                <w:rFonts w:hint="eastAsia" w:ascii="宋体" w:hAnsi="宋体" w:eastAsia="宋体" w:cs="宋体"/>
                <w:sz w:val="21"/>
                <w:szCs w:val="21"/>
                <w:lang w:val="en-US" w:eastAsia="zh-CN"/>
              </w:rPr>
              <w:t>课件打印：可选择横向、纵向打印，可选择每页包含的课件页数、打印</w:t>
            </w:r>
            <w:r>
              <w:rPr>
                <w:rFonts w:hint="eastAsia" w:ascii="宋体" w:hAnsi="宋体" w:eastAsia="宋体" w:cs="宋体"/>
                <w:color w:val="auto"/>
                <w:sz w:val="21"/>
                <w:szCs w:val="21"/>
                <w:lang w:val="en-US" w:eastAsia="zh-CN"/>
              </w:rPr>
              <w:t>份数等。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㉖</w:t>
            </w:r>
            <w:r>
              <w:rPr>
                <w:rFonts w:hint="eastAsia" w:ascii="宋体" w:hAnsi="宋体" w:eastAsia="宋体" w:cs="宋体"/>
                <w:color w:val="auto"/>
                <w:sz w:val="21"/>
                <w:szCs w:val="21"/>
                <w:lang w:val="en-US" w:eastAsia="zh-CN"/>
              </w:rPr>
              <w:t>为保证兼容性及配套性使用性的要求，白板软件须与智慧黑板为同一厂家。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（7）教学辅助软件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①自动开启程序系统：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用户可对所要定时开启的应用程序、文件等进行自动开启，同时可设置开启的时间，可精确到分钟。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7.1.1可通过添加指定文件或应用，以及对所选应用启动时间节点的编辑，达到按照预设的时间，完成对所需软件的定时开启。</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7.1.2可对程序列表中的计划任务进行任意添加、移除、开始、停止等操作，无数量限制。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7.1.3在计算机系统启动完成时自动按照预设好的计划进行工作。</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7.1.4计划任务可以在计算机之间传递和复制，即可自动实现不同计算机同步开启相应的文件。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②文件监测系统：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用户对所要监测的应用程序、文件操作进行实时监控并记录，同时对文件操作的方式、时间、和操作后的改变状态进行记录。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7.2.1可自行选择所要监控的目录,进行实时监测。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7.2.2显示所监测文件的目录及文件的详细信息。</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7.2.3可创建文件，删除文件，开启/关闭监测功能。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7.2.4显示用户对监测程序/文件（包括自行安装的娱乐软件）的操作记录，可按操作时间、操作类型、内容等进行列表展示，可一键清空监测日志。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7.2.5可设置系统的开机监测，最小化运行。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7.2.6可设置监测文件数量。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③演示文稿助手软件：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软件要求：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7.3.1软件可以与Microsoft Office PowerPoint、WPS Office配合使用，在文档调至播放状态时软件自动启动并运行。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7.3.2在文档播放状态下，屏幕左下/右下侧显示翻页按钮，屏幕中底部显示选择、画笔、橡皮擦、放大镜、板中板功能。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7.3.3支持在文档播放状态下预览文档的缩略图，文档的跳页展示。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7.3.4支持对文档播放页面进行标注，支持标注墨迹的原稿显示并保存。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7.3.5支持对文档播放页面局部放大，放大区域及放大倍数可随意调节。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7.3.6支持在文档播放状态下任意调出板中板，且支持批注、局部擦除、一键清屏、任意增加白板页面等功能。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④语音对话互动软件：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通过语音关键词可实现软硬件的控制、资源搜索、文档控制、人机对话、自定义对话等功能。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7.4.1可通过关键词等语音指令，唤醒互动软件。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7.4.2软件启动后，右下角显示语音助手的卡通人物形象。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7.4.3可通过语音指令调整系统音量到指定值。</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7.4.4可通过语音对话打开ppt、word、excel、txt等文件，并可执行窗口最大化、最小化、播放ppt、关闭窗口等语音指令。</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7.4.5可实现根据语音指令，将词语、短语、句子进行中译英、英译中的翻译。</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7.4.6可将语音输入直接转换成对应的英文、中文、数字等，并根据语速和停顿自动添加相应的标点符号。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7.4.7可通过语音指令搜索指定的资源网站，打开对应的资源，精确到学段、年级、学科、上下册、课程名称。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7.4.8可通过反馈窗口实时查看麦克风检测、网络延迟情况、语音指令识别情况。</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7.4.9可设置开机启动自动运行。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⑤为保证兼容性及配套性使用性的要求，辅助教学软件须与智慧黑板为同一厂家</w:t>
            </w:r>
            <w:r>
              <w:rPr>
                <w:rFonts w:hint="eastAsia" w:ascii="宋体" w:hAnsi="宋体" w:eastAsia="宋体" w:cs="宋体"/>
                <w:strike w:val="0"/>
                <w:dstrike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szCs w:val="21"/>
                <w:highlight w:val="none"/>
                <w:vertAlign w:val="baseline"/>
                <w:lang w:val="en-US" w:eastAsia="zh-CN"/>
              </w:rPr>
            </w:pPr>
            <w:r>
              <w:rPr>
                <w:rFonts w:hint="eastAsia" w:ascii="宋体" w:hAnsi="宋体" w:eastAsia="宋体" w:cs="宋体"/>
                <w:color w:val="auto"/>
                <w:sz w:val="21"/>
                <w:szCs w:val="21"/>
                <w:lang w:val="en-US" w:eastAsia="zh-CN"/>
              </w:rPr>
              <w:t>⑥辅助教学软件所有功能在验收时需提供国家认可实验室提供的检测报告。</w:t>
            </w:r>
          </w:p>
        </w:tc>
      </w:tr>
    </w:tbl>
    <w:p>
      <w:pPr>
        <w:pStyle w:val="22"/>
        <w:snapToGrid w:val="0"/>
        <w:spacing w:beforeLines="0" w:afterLines="0" w:line="300" w:lineRule="auto"/>
        <w:ind w:left="480" w:leftChars="200" w:firstLine="0" w:firstLineChars="0"/>
        <w:rPr>
          <w:rFonts w:hAnsi="宋体" w:cs="宋体"/>
          <w:b/>
          <w:bCs/>
          <w:sz w:val="24"/>
          <w:szCs w:val="24"/>
        </w:rPr>
      </w:pPr>
    </w:p>
    <w:p>
      <w:pPr>
        <w:bidi w:val="0"/>
        <w:rPr>
          <w:rFonts w:hint="eastAsia" w:ascii="宋体" w:hAnsi="宋体" w:eastAsia="宋体" w:cs="宋体"/>
          <w:b/>
          <w:bCs/>
          <w:color w:val="auto"/>
          <w:highlight w:val="none"/>
          <w:lang w:val="en-US" w:eastAsia="zh-CN"/>
        </w:rPr>
      </w:pPr>
      <w:r>
        <w:rPr>
          <w:rFonts w:hint="eastAsia" w:ascii="宋体" w:hAnsi="宋体" w:eastAsia="宋体" w:cs="宋体"/>
          <w:b/>
          <w:bCs/>
          <w:color w:val="auto"/>
          <w:sz w:val="24"/>
          <w:szCs w:val="24"/>
        </w:rPr>
        <w:t>注：</w:t>
      </w:r>
      <w:r>
        <w:rPr>
          <w:rFonts w:hint="eastAsia" w:ascii="宋体" w:hAnsi="宋体" w:eastAsia="宋体" w:cs="宋体"/>
          <w:b/>
          <w:bCs/>
          <w:color w:val="auto"/>
          <w:sz w:val="24"/>
          <w:szCs w:val="24"/>
          <w:lang w:val="en-GB"/>
        </w:rPr>
        <w:t>除采购文件推荐的品牌外，欢迎其他能满足本项目技术需求且性能与所推荐的品牌相当的产品参加，但应在投标文件中提供所投品牌与推荐的品牌相当的证明材料。</w:t>
      </w:r>
      <w:r>
        <w:rPr>
          <w:rFonts w:hint="eastAsia" w:ascii="宋体" w:hAnsi="宋体" w:eastAsia="宋体" w:cs="宋体"/>
          <w:b/>
          <w:bCs/>
          <w:color w:val="auto"/>
          <w:sz w:val="24"/>
          <w:szCs w:val="24"/>
          <w:highlight w:val="none"/>
        </w:rPr>
        <w:t>所有推荐的品牌均为中国制造。</w:t>
      </w:r>
      <w:r>
        <w:rPr>
          <w:rFonts w:hint="eastAsia" w:ascii="宋体" w:hAnsi="宋体" w:eastAsia="宋体" w:cs="宋体"/>
          <w:b/>
          <w:bCs/>
          <w:color w:val="auto"/>
          <w:highlight w:val="none"/>
          <w:lang w:val="en-US" w:eastAsia="zh-CN"/>
        </w:rPr>
        <w:br w:type="textWrapping"/>
      </w:r>
    </w:p>
    <w:p>
      <w:pPr>
        <w:rPr>
          <w:rFonts w:hint="eastAsia"/>
          <w:b/>
          <w:bCs/>
          <w:color w:val="auto"/>
          <w:highlight w:val="none"/>
          <w:lang w:val="en-US" w:eastAsia="zh-CN"/>
        </w:rPr>
      </w:pPr>
      <w:r>
        <w:rPr>
          <w:rFonts w:hint="eastAsia"/>
          <w:b/>
          <w:bCs/>
          <w:color w:val="auto"/>
          <w:highlight w:val="none"/>
          <w:lang w:val="en-US" w:eastAsia="zh-CN"/>
        </w:rPr>
        <w:br w:type="page"/>
      </w:r>
    </w:p>
    <w:p>
      <w:pPr>
        <w:pStyle w:val="2"/>
        <w:rPr>
          <w:rFonts w:hint="eastAsia"/>
          <w:lang w:val="en-US" w:eastAsia="zh-CN"/>
        </w:rPr>
      </w:pPr>
    </w:p>
    <w:p>
      <w:pPr>
        <w:bidi w:val="0"/>
        <w:rPr>
          <w:b/>
          <w:bCs/>
          <w:color w:val="auto"/>
          <w:highlight w:val="none"/>
        </w:rPr>
      </w:pPr>
      <w:r>
        <w:rPr>
          <w:rFonts w:hint="eastAsia"/>
          <w:b/>
          <w:bCs/>
          <w:color w:val="auto"/>
          <w:highlight w:val="none"/>
          <w:lang w:val="en-US" w:eastAsia="zh-CN"/>
        </w:rPr>
        <w:t>三</w:t>
      </w:r>
      <w:r>
        <w:rPr>
          <w:rFonts w:hint="eastAsia"/>
          <w:b/>
          <w:bCs/>
          <w:color w:val="auto"/>
          <w:highlight w:val="none"/>
        </w:rPr>
        <w:t>、商务要求表</w:t>
      </w:r>
    </w:p>
    <w:tbl>
      <w:tblPr>
        <w:tblStyle w:val="38"/>
        <w:tblW w:w="9370"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945"/>
        <w:gridCol w:w="742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16" w:hRule="atLeast"/>
        </w:trPr>
        <w:tc>
          <w:tcPr>
            <w:tcW w:w="1945"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质保期及售后服务要求</w:t>
            </w:r>
          </w:p>
        </w:tc>
        <w:tc>
          <w:tcPr>
            <w:tcW w:w="7425" w:type="dxa"/>
            <w:tcBorders>
              <w:left w:val="nil"/>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本项目质保期至少</w:t>
            </w:r>
            <w:r>
              <w:rPr>
                <w:rFonts w:hint="eastAsia" w:ascii="宋体" w:hAnsi="宋体" w:eastAsia="宋体" w:cs="宋体"/>
                <w:b w:val="0"/>
                <w:bCs w:val="0"/>
                <w:color w:val="auto"/>
                <w:kern w:val="0"/>
                <w:sz w:val="24"/>
                <w:szCs w:val="24"/>
                <w:highlight w:val="none"/>
              </w:rPr>
              <w:t>为</w:t>
            </w:r>
            <w:r>
              <w:rPr>
                <w:rFonts w:hint="eastAsia" w:ascii="宋体" w:hAnsi="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年</w:t>
            </w:r>
            <w:r>
              <w:rPr>
                <w:rFonts w:hint="eastAsia" w:ascii="宋体" w:hAnsi="宋体" w:eastAsia="宋体" w:cs="宋体"/>
                <w:color w:val="auto"/>
                <w:kern w:val="0"/>
                <w:sz w:val="24"/>
                <w:szCs w:val="24"/>
                <w:highlight w:val="none"/>
              </w:rPr>
              <w:t>，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keepNext w:val="0"/>
              <w:keepLines w:val="0"/>
              <w:pageBreakBefore w:val="0"/>
              <w:widowControl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故障响应及修复：接到故障电话1小时内派技术人员远程支持，远程支持无法解决的问题24小时内上门解决问题。紧急问题在4个小时内解决。</w:t>
            </w:r>
          </w:p>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要求免费提供配套的产品资料，包括产品安装使用手册、功能模块说明书、用户使用手册、帮助文档等。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7"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交货期</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lang w:val="en-US" w:eastAsia="zh-CN"/>
              </w:rPr>
              <w:t>合同签订后</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0日历天内送货到学校指定地点、完成安装调试，并协助采购人完成验收工作，由于供应商原因不能在此日期前供货验收的，由此造成的损失由供应商自行承担</w:t>
            </w:r>
            <w:r>
              <w:rPr>
                <w:rFonts w:hint="eastAsia" w:ascii="宋体" w:hAnsi="宋体" w:cs="宋体"/>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培训要求</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供应商须对采购方技术人员进行设备操作培训，保证使用方人员能够熟练掌握各种设备常规使用方法，以及小故障的判断与解决。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验收</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产品须符合国际或国家通用标准，满足采购文件技术参数部分所规定的全部功能。原装配件是指与主机同一品牌的配件或出厂即已经安装的配件。如出现质量问题或系假冒伪劣产品，供方负责包退、包换，因此而涉及的全部违约责任和费用由供应方承担；</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．安装标准：符合我国国家有关技术规范要求和技术标准；</w:t>
            </w:r>
          </w:p>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采购人验收时若发现中标单位提供的设备参数、软件功能与投标响应文件描述不相符，采购人有权解除合同并要求中标人赔偿损失。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其他要求</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rPr>
              <w:t>如投标人是代理商，投标时无法提供</w:t>
            </w:r>
            <w:r>
              <w:rPr>
                <w:rFonts w:hint="eastAsia" w:ascii="宋体" w:hAnsi="宋体" w:cs="宋体"/>
                <w:b/>
                <w:bCs/>
                <w:color w:val="auto"/>
                <w:sz w:val="24"/>
                <w:szCs w:val="24"/>
                <w:lang w:val="en-US" w:eastAsia="zh-CN"/>
              </w:rPr>
              <w:t>本项目设备</w:t>
            </w:r>
            <w:r>
              <w:rPr>
                <w:rFonts w:hint="eastAsia" w:ascii="宋体" w:hAnsi="宋体" w:cs="宋体"/>
                <w:b/>
                <w:bCs/>
                <w:color w:val="auto"/>
                <w:sz w:val="24"/>
                <w:szCs w:val="24"/>
              </w:rPr>
              <w:t>原厂商针对本项目的授权书的，在中标后须在签订合同前提供原厂商针对本项目的授权书和售后服务承诺函，否则视作自动放弃中标资格、承担相应法律责任并承担由此带来的一切损失</w:t>
            </w:r>
            <w:r>
              <w:rPr>
                <w:rFonts w:hint="eastAsia" w:ascii="宋体" w:hAnsi="宋体" w:cs="宋体"/>
                <w:b/>
                <w:bCs/>
                <w:color w:val="auto"/>
                <w:sz w:val="24"/>
                <w:szCs w:val="24"/>
                <w:lang w:eastAsia="zh-CN"/>
              </w:rPr>
              <w:t>。</w:t>
            </w:r>
          </w:p>
        </w:tc>
      </w:tr>
    </w:tbl>
    <w:p>
      <w:pPr>
        <w:pStyle w:val="22"/>
        <w:snapToGrid w:val="0"/>
        <w:spacing w:beforeLines="0" w:afterLines="0" w:line="300" w:lineRule="auto"/>
        <w:ind w:firstLine="482"/>
        <w:rPr>
          <w:rFonts w:hint="eastAsia" w:hAnsi="宋体" w:cs="宋体"/>
          <w:b/>
          <w:sz w:val="24"/>
          <w:szCs w:val="24"/>
          <w:lang w:val="en-GB"/>
        </w:rPr>
      </w:pPr>
    </w:p>
    <w:p>
      <w:pPr>
        <w:pStyle w:val="35"/>
        <w:ind w:firstLine="643"/>
      </w:pPr>
      <w:r>
        <w:rPr>
          <w:rFonts w:hint="eastAsia"/>
        </w:rPr>
        <w:br w:type="page"/>
      </w:r>
      <w:r>
        <w:rPr>
          <w:rFonts w:hint="eastAsia"/>
        </w:rPr>
        <w:t>第三章  投标人须知</w:t>
      </w:r>
      <w:bookmarkEnd w:id="23"/>
    </w:p>
    <w:p>
      <w:pPr>
        <w:pStyle w:val="8"/>
        <w:spacing w:before="0" w:after="0" w:line="240" w:lineRule="auto"/>
        <w:ind w:firstLine="755" w:firstLineChars="235"/>
        <w:jc w:val="center"/>
        <w:rPr>
          <w:rFonts w:ascii="宋体" w:hAnsi="宋体" w:cs="宋体"/>
        </w:rPr>
      </w:pPr>
      <w:bookmarkStart w:id="25" w:name="_Toc16637"/>
      <w:r>
        <w:rPr>
          <w:rFonts w:hint="eastAsia" w:ascii="宋体" w:hAnsi="宋体" w:cs="宋体"/>
        </w:rPr>
        <w:t>一、前附表</w:t>
      </w:r>
      <w:bookmarkEnd w:id="25"/>
    </w:p>
    <w:tbl>
      <w:tblPr>
        <w:tblStyle w:val="38"/>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嘉善技师学院（筹）购置培训教学仪器设备（电子电工实训室电源台实训设备）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b/>
                <w:bCs/>
                <w:szCs w:val="24"/>
              </w:rPr>
              <w:t>投标人自行踏勘，所产生的费用由投标人自行承担。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12月20日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12月20日</w:t>
            </w:r>
            <w:r>
              <w:rPr>
                <w:rFonts w:hint="eastAsia" w:ascii="宋体" w:hAnsi="宋体" w:cs="宋体"/>
                <w:b/>
                <w:szCs w:val="24"/>
              </w:rPr>
              <w:t>1</w:t>
            </w:r>
            <w:r>
              <w:rPr>
                <w:rFonts w:hint="eastAsia" w:ascii="宋体" w:hAnsi="宋体" w:cs="宋体"/>
                <w:b/>
                <w:szCs w:val="24"/>
                <w:lang w:val="en-US" w:eastAsia="zh-CN"/>
              </w:rPr>
              <w:t>4</w:t>
            </w:r>
            <w:r>
              <w:rPr>
                <w:rFonts w:hint="eastAsia" w:ascii="宋体" w:hAnsi="宋体" w:cs="宋体"/>
                <w:b/>
                <w:szCs w:val="24"/>
              </w:rPr>
              <w:t>：</w:t>
            </w:r>
            <w:r>
              <w:rPr>
                <w:rFonts w:hint="eastAsia" w:ascii="宋体" w:hAnsi="宋体" w:cs="宋体"/>
                <w:b/>
                <w:szCs w:val="24"/>
                <w:lang w:val="en-US" w:eastAsia="zh-CN"/>
              </w:rPr>
              <w:t>3</w:t>
            </w:r>
            <w:r>
              <w:rPr>
                <w:rFonts w:hint="eastAsia" w:ascii="宋体" w:hAnsi="宋体" w:cs="宋体"/>
                <w:b/>
                <w:szCs w:val="24"/>
              </w:rPr>
              <w:t>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rPr>
              <w:t>本项目政府采购合同将于签订之日起2个工作日内发布于</w:t>
            </w:r>
            <w:r>
              <w:rPr>
                <w:rFonts w:hint="eastAsia" w:ascii="宋体" w:hAnsi="宋体" w:cs="宋体"/>
                <w:szCs w:val="24"/>
              </w:rPr>
              <w:t>浙江政府采购网(</w:t>
            </w:r>
            <w:r>
              <w:fldChar w:fldCharType="begin"/>
            </w:r>
            <w:r>
              <w:instrText xml:space="preserve"> HYPERLINK "http://zfcg.czt.zj.gov.cn/" </w:instrText>
            </w:r>
            <w:r>
              <w:fldChar w:fldCharType="separate"/>
            </w:r>
            <w:r>
              <w:rPr>
                <w:rStyle w:val="44"/>
                <w:rFonts w:ascii="宋体" w:hAnsi="宋体" w:cs="宋体"/>
                <w:color w:val="auto"/>
                <w:szCs w:val="24"/>
              </w:rPr>
              <w:t>http://zfcg.czt.zj.gov.cn/</w:t>
            </w:r>
            <w:r>
              <w:rPr>
                <w:rStyle w:val="44"/>
                <w:rFonts w:ascii="宋体" w:hAnsi="宋体" w:cs="宋体"/>
                <w:color w:val="auto"/>
                <w:szCs w:val="24"/>
              </w:rPr>
              <w:fldChar w:fldCharType="end"/>
            </w:r>
            <w:r>
              <w:rPr>
                <w:rFonts w:hint="eastAsia" w:ascii="宋体" w:hAnsi="宋体" w:cs="宋体"/>
                <w:szCs w:val="24"/>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本项目预算价为人民币</w:t>
            </w:r>
            <w:r>
              <w:rPr>
                <w:rFonts w:hint="eastAsia" w:ascii="宋体" w:hAnsi="宋体" w:cs="宋体"/>
                <w:color w:val="auto"/>
                <w:szCs w:val="24"/>
                <w:lang w:val="en-US" w:eastAsia="zh-CN"/>
              </w:rPr>
              <w:t>130.0</w:t>
            </w:r>
            <w:r>
              <w:rPr>
                <w:rFonts w:hint="eastAsia" w:ascii="宋体" w:hAnsi="宋体" w:cs="宋体"/>
                <w:color w:val="auto"/>
                <w:szCs w:val="24"/>
              </w:rPr>
              <w:t>0万元，采购上限价为人民币</w:t>
            </w:r>
            <w:r>
              <w:rPr>
                <w:rFonts w:hint="eastAsia" w:ascii="宋体" w:hAnsi="宋体" w:cs="宋体"/>
                <w:color w:val="auto"/>
                <w:szCs w:val="24"/>
                <w:lang w:val="en-US" w:eastAsia="zh-CN"/>
              </w:rPr>
              <w:t>129.80</w:t>
            </w:r>
            <w:r>
              <w:rPr>
                <w:rFonts w:hint="eastAsia" w:ascii="宋体" w:hAnsi="宋体" w:cs="宋体"/>
                <w:color w:val="auto"/>
                <w:szCs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lang w:val="en-US" w:eastAsia="zh-CN"/>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auto"/>
                <w:szCs w:val="24"/>
              </w:rPr>
            </w:pPr>
            <w:r>
              <w:rPr>
                <w:rFonts w:hint="eastAsia" w:ascii="宋体" w:hAnsi="宋体" w:cs="宋体"/>
                <w:color w:val="auto"/>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highlight w:val="none"/>
              </w:rPr>
            </w:pPr>
            <w:r>
              <w:rPr>
                <w:rFonts w:hint="eastAsia" w:ascii="宋体" w:hAnsi="宋体" w:cs="宋体"/>
                <w:color w:val="auto"/>
                <w:szCs w:val="24"/>
                <w:highlight w:val="none"/>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highlight w:val="none"/>
              </w:rPr>
            </w:pPr>
            <w:r>
              <w:rPr>
                <w:rFonts w:hint="eastAsia" w:ascii="宋体" w:hAnsi="宋体" w:cs="宋体"/>
                <w:color w:val="auto"/>
                <w:szCs w:val="24"/>
                <w:highlight w:val="none"/>
              </w:rPr>
              <w:t>合同生效以及具备实施条件后7个工作日内支付项目合同总金额的40%作为预付款，</w:t>
            </w:r>
            <w:r>
              <w:rPr>
                <w:rFonts w:hint="eastAsia" w:hAnsi="宋体"/>
                <w:color w:val="auto"/>
                <w:sz w:val="24"/>
                <w:highlight w:val="none"/>
              </w:rPr>
              <w:t>货到安装调试完毕，经采购人验收合格且正常运行后一个月内付清</w:t>
            </w:r>
            <w:r>
              <w:rPr>
                <w:rFonts w:hint="eastAsia" w:hAnsi="宋体"/>
                <w:color w:val="auto"/>
                <w:sz w:val="24"/>
                <w:highlight w:val="none"/>
                <w:lang w:val="en-US" w:eastAsia="zh-CN"/>
              </w:rPr>
              <w:t>余款</w:t>
            </w:r>
            <w:r>
              <w:rPr>
                <w:rFonts w:hint="eastAsia"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36" w:type="dxa"/>
            <w:vMerge w:val="restart"/>
            <w:tcBorders>
              <w:top w:val="single" w:color="auto" w:sz="4" w:space="0"/>
              <w:left w:val="single" w:color="auto" w:sz="4" w:space="0"/>
              <w:right w:val="single" w:color="auto" w:sz="4" w:space="0"/>
            </w:tcBorders>
            <w:vAlign w:val="center"/>
          </w:tcPr>
          <w:p>
            <w:pPr>
              <w:snapToGrid w:val="0"/>
              <w:spacing w:line="300" w:lineRule="auto"/>
              <w:ind w:firstLine="0" w:firstLineChars="0"/>
              <w:rPr>
                <w:rFonts w:ascii="宋体" w:hAnsi="宋体" w:cs="宋体"/>
                <w:color w:val="auto"/>
                <w:szCs w:val="24"/>
              </w:rPr>
            </w:pPr>
            <w:r>
              <w:rPr>
                <w:rFonts w:hint="eastAsia" w:ascii="宋体" w:hAnsi="宋体" w:cs="宋体"/>
                <w:color w:val="auto"/>
                <w:szCs w:val="24"/>
              </w:rPr>
              <w:t>招标代理服务费</w:t>
            </w:r>
          </w:p>
        </w:tc>
        <w:tc>
          <w:tcPr>
            <w:tcW w:w="7060" w:type="dxa"/>
            <w:tcBorders>
              <w:top w:val="single" w:color="auto" w:sz="4" w:space="0"/>
              <w:left w:val="single" w:color="auto" w:sz="4" w:space="0"/>
              <w:bottom w:val="single" w:color="auto" w:sz="4" w:space="0"/>
            </w:tcBorders>
            <w:vAlign w:val="center"/>
          </w:tcPr>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本项目招标代理服务费由中标单位支付。</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b/>
                <w:color w:val="auto"/>
              </w:rPr>
              <w:t>本项目为货物招标，招标代理服务费按国家收费标准下浮25%收取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招标代理服务费收费标准参照</w:t>
            </w:r>
            <w:r>
              <w:rPr>
                <w:rFonts w:hint="eastAsia" w:ascii="宋体" w:hAnsi="宋体" w:cs="宋体"/>
                <w:color w:val="auto"/>
                <w:szCs w:val="24"/>
              </w:rPr>
              <w:t>《关于降低部分建设项目收费标准规范收费行为等有关问题的通知》（发改价格[2011]534号）</w:t>
            </w:r>
            <w:r>
              <w:rPr>
                <w:rFonts w:hint="eastAsia" w:ascii="宋体" w:hAnsi="宋体" w:cs="宋体"/>
                <w:color w:val="auto"/>
              </w:rPr>
              <w:t>，服务类型为货物招标，具体如下：</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100-500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500-1000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0.8%</w:t>
                  </w:r>
                </w:p>
              </w:tc>
            </w:tr>
          </w:tbl>
          <w:p>
            <w:pPr>
              <w:snapToGrid w:val="0"/>
              <w:spacing w:line="300" w:lineRule="auto"/>
              <w:ind w:left="0" w:leftChars="0" w:firstLine="0" w:firstLineChars="0"/>
              <w:rPr>
                <w:rFonts w:ascii="宋体" w:hAnsi="宋体" w:cs="宋体"/>
                <w:color w:val="auto"/>
                <w:szCs w:val="24"/>
              </w:rPr>
            </w:pPr>
            <w:r>
              <w:rPr>
                <w:rFonts w:hint="eastAsia" w:ascii="宋体" w:hAnsi="宋体" w:cs="宋体"/>
                <w:color w:val="auto"/>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vAlign w:val="center"/>
          </w:tcPr>
          <w:p>
            <w:pPr>
              <w:snapToGrid w:val="0"/>
              <w:ind w:firstLine="480"/>
              <w:jc w:val="center"/>
              <w:rPr>
                <w:rFonts w:ascii="宋体" w:hAnsi="宋体" w:cs="宋体"/>
                <w:color w:val="000000"/>
                <w:szCs w:val="24"/>
              </w:rPr>
            </w:pPr>
          </w:p>
        </w:tc>
        <w:tc>
          <w:tcPr>
            <w:tcW w:w="1936" w:type="dxa"/>
            <w:vMerge w:val="continue"/>
            <w:tcBorders>
              <w:left w:val="single" w:color="auto" w:sz="4" w:space="0"/>
              <w:bottom w:val="single" w:color="auto" w:sz="4" w:space="0"/>
              <w:right w:val="single" w:color="auto" w:sz="4" w:space="0"/>
            </w:tcBorders>
            <w:vAlign w:val="center"/>
          </w:tcPr>
          <w:p>
            <w:pPr>
              <w:snapToGrid w:val="0"/>
              <w:spacing w:line="300" w:lineRule="auto"/>
              <w:ind w:firstLine="480"/>
              <w:rPr>
                <w:rFonts w:ascii="宋体" w:hAnsi="宋体" w:cs="宋体"/>
                <w:color w:val="000000"/>
                <w:szCs w:val="24"/>
              </w:rPr>
            </w:pP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300"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300"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300"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pacing w:line="300" w:lineRule="auto"/>
              <w:ind w:firstLine="0" w:firstLineChars="0"/>
              <w:contextualSpacing/>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8"/>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6" w:name="_Toc17106"/>
      <w:r>
        <w:rPr>
          <w:rFonts w:hint="eastAsia" w:ascii="宋体" w:hAnsi="宋体" w:cs="宋体"/>
        </w:rPr>
        <w:t>二、总  则</w:t>
      </w:r>
      <w:bookmarkEnd w:id="26"/>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嘉善技师学院（筹）购置培训教学仪器设备（电子电工实训室电源台实训设备）</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lang w:eastAsia="zh-CN"/>
        </w:rPr>
        <w:t>嘉善技师学院（筹）</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1.本项目不允许转包。</w:t>
      </w:r>
    </w:p>
    <w:p>
      <w:pPr>
        <w:snapToGrid w:val="0"/>
        <w:ind w:firstLine="48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本项目</w:t>
      </w:r>
      <w:r>
        <w:rPr>
          <w:rFonts w:hint="eastAsia" w:ascii="宋体" w:hAnsi="宋体" w:cs="宋体"/>
          <w:color w:val="000000" w:themeColor="text1"/>
          <w:kern w:val="0"/>
          <w:szCs w:val="24"/>
          <w14:textFill>
            <w14:solidFill>
              <w14:schemeClr w14:val="tx1"/>
            </w14:solidFill>
          </w14:textFill>
        </w:rPr>
        <w:t>若要分包须征得采购人书面同意</w:t>
      </w:r>
      <w:r>
        <w:rPr>
          <w:rFonts w:hint="eastAsia" w:ascii="宋体" w:hAnsi="宋体" w:cs="宋体"/>
          <w:color w:val="000000" w:themeColor="text1"/>
          <w:kern w:val="0"/>
          <w14:textFill>
            <w14:solidFill>
              <w14:schemeClr w14:val="tx1"/>
            </w14:solidFill>
          </w14:textFill>
        </w:rPr>
        <w:t>。</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2"/>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2"/>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22"/>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22"/>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22"/>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22"/>
        <w:snapToGrid w:val="0"/>
        <w:spacing w:beforeLines="0" w:afterLines="0" w:line="300" w:lineRule="auto"/>
        <w:ind w:firstLine="602"/>
        <w:jc w:val="center"/>
        <w:rPr>
          <w:rFonts w:hAnsi="宋体" w:cs="宋体"/>
          <w:b/>
          <w:bCs/>
          <w:color w:val="000000"/>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7" w:name="_Toc31835"/>
      <w:r>
        <w:rPr>
          <w:rFonts w:hint="eastAsia" w:ascii="宋体" w:hAnsi="宋体" w:cs="宋体"/>
        </w:rPr>
        <w:t>三、采购文件</w:t>
      </w:r>
      <w:bookmarkEnd w:id="27"/>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11"/>
        <w:widowControl w:val="0"/>
        <w:snapToGrid w:val="0"/>
        <w:spacing w:afterLines="0" w:line="300" w:lineRule="auto"/>
        <w:ind w:left="0" w:firstLine="482"/>
        <w:jc w:val="both"/>
        <w:rPr>
          <w:rFonts w:ascii="宋体" w:hAnsi="宋体" w:cs="宋体"/>
          <w:b/>
          <w:bCs/>
          <w:color w:val="000000"/>
        </w:rPr>
      </w:pPr>
      <w:r>
        <w:rPr>
          <w:rFonts w:hint="eastAsia" w:ascii="宋体" w:hAnsi="宋体" w:cs="宋体"/>
          <w:b/>
          <w:bCs/>
          <w:color w:val="000000"/>
          <w:kern w:val="2"/>
        </w:rPr>
        <w:t>（三）采购文件的澄清与修改</w:t>
      </w:r>
      <w:r>
        <w:rPr>
          <w:rFonts w:hint="eastAsia" w:ascii="宋体" w:hAnsi="宋体" w:cs="宋体"/>
          <w:b/>
          <w:bCs/>
          <w:color w:val="000000"/>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8" w:name="_Toc8281"/>
      <w:r>
        <w:rPr>
          <w:rFonts w:hint="eastAsia" w:ascii="宋体" w:hAnsi="宋体" w:cs="宋体"/>
        </w:rPr>
        <w:t>四、投标文件的编制</w:t>
      </w:r>
      <w:bookmarkEnd w:id="28"/>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hint="eastAsia" w:ascii="宋体" w:hAnsi="宋体" w:cs="宋体"/>
          <w:szCs w:val="24"/>
        </w:rPr>
      </w:pPr>
      <w:r>
        <w:rPr>
          <w:rFonts w:hint="eastAsia" w:ascii="宋体" w:hAnsi="宋体" w:cs="宋体"/>
          <w:szCs w:val="24"/>
        </w:rPr>
        <w:t>（6）商务偏离表（格式见第六章）；</w:t>
      </w:r>
    </w:p>
    <w:p>
      <w:pPr>
        <w:pStyle w:val="113"/>
        <w:spacing w:line="300" w:lineRule="auto"/>
        <w:ind w:firstLine="480"/>
        <w:rPr>
          <w:rFonts w:hint="eastAsia" w:ascii="宋体" w:hAnsi="宋体" w:cs="宋体"/>
          <w:szCs w:val="24"/>
          <w:lang w:eastAsia="zh-CN"/>
        </w:rPr>
      </w:pPr>
      <w:r>
        <w:rPr>
          <w:rFonts w:hint="eastAsia" w:ascii="宋体" w:hAnsi="宋体" w:cs="宋体"/>
          <w:color w:val="auto"/>
          <w:szCs w:val="24"/>
          <w:lang w:eastAsia="zh-CN"/>
        </w:rPr>
        <w:t>（</w:t>
      </w:r>
      <w:r>
        <w:rPr>
          <w:rFonts w:hint="eastAsia" w:ascii="宋体" w:hAnsi="宋体" w:cs="宋体"/>
          <w:color w:val="auto"/>
          <w:szCs w:val="24"/>
          <w:lang w:val="en-US" w:eastAsia="zh-CN"/>
        </w:rPr>
        <w:t>7</w:t>
      </w:r>
      <w:r>
        <w:rPr>
          <w:rFonts w:hint="eastAsia" w:ascii="宋体" w:hAnsi="宋体" w:cs="宋体"/>
          <w:color w:val="auto"/>
          <w:szCs w:val="24"/>
          <w:lang w:eastAsia="zh-CN"/>
        </w:rPr>
        <w:t>）</w:t>
      </w:r>
      <w:r>
        <w:rPr>
          <w:rFonts w:hint="eastAsia" w:ascii="宋体" w:hAnsi="宋体" w:cs="宋体"/>
          <w:szCs w:val="24"/>
        </w:rPr>
        <w:t>相关</w:t>
      </w:r>
      <w:r>
        <w:rPr>
          <w:rFonts w:hint="eastAsia" w:ascii="宋体" w:hAnsi="宋体" w:cs="宋体"/>
          <w:szCs w:val="24"/>
          <w:lang w:val="en-US" w:eastAsia="zh-CN"/>
        </w:rPr>
        <w:t>认证</w:t>
      </w:r>
      <w:r>
        <w:rPr>
          <w:rFonts w:hint="eastAsia" w:ascii="宋体" w:hAnsi="宋体" w:cs="宋体"/>
          <w:szCs w:val="24"/>
        </w:rPr>
        <w:t>（如有）</w:t>
      </w:r>
      <w:r>
        <w:rPr>
          <w:rFonts w:hint="eastAsia" w:ascii="宋体" w:hAnsi="宋体" w:cs="宋体"/>
          <w:szCs w:val="24"/>
          <w:lang w:eastAsia="zh-CN"/>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9</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hint="eastAsia" w:ascii="宋体" w:hAnsi="宋体" w:cs="宋体"/>
          <w:szCs w:val="24"/>
          <w:lang w:val="en-US" w:eastAsia="zh-CN"/>
        </w:rPr>
        <w:t>10</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8" w:lineRule="auto"/>
        <w:ind w:firstLine="480"/>
        <w:contextualSpacing/>
        <w:jc w:val="left"/>
        <w:rPr>
          <w:rFonts w:hint="eastAsia"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hint="eastAsia" w:ascii="宋体" w:hAnsi="宋体" w:cs="宋体"/>
          <w:szCs w:val="24"/>
        </w:rPr>
      </w:pPr>
      <w:r>
        <w:rPr>
          <w:rFonts w:hint="eastAsia" w:ascii="宋体" w:hAnsi="宋体" w:cs="宋体"/>
          <w:szCs w:val="24"/>
        </w:rPr>
        <w:t>（3）</w:t>
      </w:r>
      <w:r>
        <w:rPr>
          <w:rFonts w:hint="eastAsia" w:ascii="宋体" w:hAnsi="宋体" w:cs="宋体"/>
          <w:sz w:val="24"/>
          <w:szCs w:val="24"/>
          <w:lang w:val="en-US" w:eastAsia="zh-CN"/>
        </w:rPr>
        <w:t>项目组织实施方案</w:t>
      </w:r>
      <w:r>
        <w:rPr>
          <w:rFonts w:hint="eastAsia" w:ascii="宋体" w:hAnsi="宋体" w:cs="宋体"/>
          <w:szCs w:val="24"/>
        </w:rPr>
        <w:t>；</w:t>
      </w:r>
    </w:p>
    <w:p>
      <w:pPr>
        <w:snapToGrid w:val="0"/>
        <w:spacing w:line="308"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bCs/>
          <w:szCs w:val="24"/>
          <w:highlight w:val="none"/>
        </w:rPr>
        <w:t>供货、安装、调试和验收方案</w:t>
      </w:r>
      <w:r>
        <w:rPr>
          <w:rFonts w:hint="eastAsia" w:ascii="宋体" w:hAnsi="宋体" w:cs="宋体"/>
          <w:szCs w:val="24"/>
        </w:rPr>
        <w:t>；</w:t>
      </w:r>
    </w:p>
    <w:p>
      <w:pPr>
        <w:snapToGrid w:val="0"/>
        <w:spacing w:line="308" w:lineRule="auto"/>
        <w:ind w:firstLine="480"/>
        <w:contextualSpacing/>
        <w:jc w:val="left"/>
        <w:rPr>
          <w:rFonts w:hint="eastAsia" w:ascii="宋体" w:hAnsi="宋体" w:cs="宋体"/>
          <w:szCs w:val="24"/>
        </w:rPr>
      </w:pPr>
      <w:r>
        <w:rPr>
          <w:rFonts w:hint="eastAsia" w:ascii="宋体" w:hAnsi="宋体" w:cs="宋体"/>
          <w:color w:val="0C0C0C"/>
          <w:szCs w:val="24"/>
        </w:rPr>
        <w:t>（</w:t>
      </w:r>
      <w:r>
        <w:rPr>
          <w:rFonts w:hint="eastAsia" w:ascii="宋体" w:hAnsi="宋体" w:cs="宋体"/>
          <w:color w:val="0C0C0C"/>
          <w:szCs w:val="24"/>
          <w:lang w:val="en-US" w:eastAsia="zh-CN"/>
        </w:rPr>
        <w:t>5</w:t>
      </w:r>
      <w:r>
        <w:rPr>
          <w:rFonts w:hint="eastAsia" w:ascii="宋体" w:hAnsi="宋体" w:cs="宋体"/>
          <w:color w:val="0C0C0C"/>
          <w:szCs w:val="24"/>
        </w:rPr>
        <w:t>）</w:t>
      </w:r>
      <w:r>
        <w:rPr>
          <w:rFonts w:hint="eastAsia" w:ascii="宋体" w:hAnsi="宋体" w:eastAsia="宋体" w:cs="宋体"/>
          <w:color w:val="auto"/>
          <w:sz w:val="24"/>
          <w:szCs w:val="24"/>
        </w:rPr>
        <w:t>培训方案</w:t>
      </w:r>
      <w:r>
        <w:rPr>
          <w:rFonts w:hint="eastAsia" w:ascii="宋体" w:hAnsi="宋体" w:cs="宋体"/>
          <w:szCs w:val="24"/>
        </w:rPr>
        <w:t>；</w:t>
      </w:r>
    </w:p>
    <w:p>
      <w:pPr>
        <w:snapToGrid w:val="0"/>
        <w:spacing w:line="308" w:lineRule="auto"/>
        <w:ind w:firstLine="480"/>
        <w:contextualSpacing/>
        <w:jc w:val="left"/>
        <w:rPr>
          <w:rFonts w:hint="eastAsia" w:ascii="宋体" w:hAnsi="宋体" w:eastAsia="宋体" w:cs="宋体"/>
          <w:szCs w:val="24"/>
          <w:highlight w:val="yellow"/>
          <w:lang w:eastAsia="zh-CN"/>
        </w:rPr>
      </w:pPr>
      <w:r>
        <w:rPr>
          <w:rFonts w:hint="eastAsia" w:ascii="宋体" w:hAnsi="宋体" w:cs="宋体"/>
          <w:szCs w:val="24"/>
          <w:lang w:eastAsia="zh-CN"/>
        </w:rPr>
        <w:t>（</w:t>
      </w:r>
      <w:r>
        <w:rPr>
          <w:rFonts w:hint="eastAsia" w:ascii="宋体" w:hAnsi="宋体" w:cs="宋体"/>
          <w:szCs w:val="24"/>
          <w:lang w:val="en-US" w:eastAsia="zh-CN"/>
        </w:rPr>
        <w:t>6</w:t>
      </w:r>
      <w:r>
        <w:rPr>
          <w:rFonts w:hint="eastAsia" w:ascii="宋体" w:hAnsi="宋体" w:cs="宋体"/>
          <w:szCs w:val="24"/>
          <w:lang w:eastAsia="zh-CN"/>
        </w:rPr>
        <w:t>）</w:t>
      </w:r>
      <w:r>
        <w:rPr>
          <w:rFonts w:hint="eastAsia" w:ascii="宋体" w:hAnsi="宋体" w:eastAsia="宋体" w:cs="宋体"/>
          <w:sz w:val="24"/>
          <w:szCs w:val="24"/>
          <w:highlight w:val="none"/>
        </w:rPr>
        <w:t>售后服务方案</w:t>
      </w:r>
      <w:r>
        <w:rPr>
          <w:rFonts w:hint="eastAsia" w:ascii="宋体" w:hAnsi="宋体" w:eastAsia="宋体" w:cs="宋体"/>
          <w:sz w:val="24"/>
          <w:szCs w:val="24"/>
          <w:highlight w:val="none"/>
          <w:lang w:eastAsia="zh-CN"/>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7</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）投标人需要说明的其他事项。</w:t>
      </w:r>
    </w:p>
    <w:p>
      <w:pPr>
        <w:pStyle w:val="33"/>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残疾人福利性单位声明函、同类项目业绩表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w:t>
      </w:r>
      <w:r>
        <w:rPr>
          <w:rFonts w:hint="eastAsia" w:ascii="宋体" w:hAnsi="宋体" w:cs="宋体"/>
          <w:kern w:val="0"/>
          <w:sz w:val="24"/>
        </w:rPr>
        <w:t>（网址：</w:t>
      </w:r>
      <w:r>
        <w:rPr>
          <w:rFonts w:hint="eastAsia" w:ascii="宋体" w:hAnsi="宋体" w:cs="宋体"/>
          <w:kern w:val="0"/>
          <w:sz w:val="24"/>
        </w:rPr>
        <w:fldChar w:fldCharType="begin"/>
      </w:r>
      <w:r>
        <w:rPr>
          <w:rFonts w:hint="eastAsia" w:ascii="宋体" w:hAnsi="宋体" w:cs="宋体"/>
          <w:kern w:val="0"/>
          <w:sz w:val="24"/>
        </w:rPr>
        <w:instrText xml:space="preserve"> HYPERLINK "https://help.zcygov.cn/web/site_2/2018/12-28/2573.html）及本招标文件规定的格式和顺序编制电子投标文件并进行关联定位。" </w:instrText>
      </w:r>
      <w:r>
        <w:rPr>
          <w:rFonts w:hint="eastAsia" w:ascii="宋体" w:hAnsi="宋体" w:cs="宋体"/>
          <w:kern w:val="0"/>
          <w:sz w:val="24"/>
        </w:rPr>
        <w:fldChar w:fldCharType="separate"/>
      </w:r>
      <w:r>
        <w:rPr>
          <w:rFonts w:hint="eastAsia" w:ascii="宋体" w:hAnsi="宋体" w:cs="宋体"/>
          <w:kern w:val="0"/>
          <w:sz w:val="24"/>
          <w:szCs w:val="22"/>
        </w:rPr>
        <w:fldChar w:fldCharType="begin"/>
      </w:r>
      <w:r>
        <w:rPr>
          <w:rStyle w:val="44"/>
          <w:rFonts w:hint="eastAsia" w:ascii="宋体" w:hAnsi="宋体" w:cs="宋体"/>
          <w:color w:val="auto"/>
          <w:kern w:val="0"/>
          <w:sz w:val="24"/>
          <w:szCs w:val="22"/>
        </w:rPr>
        <w:instrText xml:space="preserve"> HYPERLINK "https://service.zcygov.cn/" \l "/knowledges/CW1EtGwBFdiHxlNd6I3m/6IMVAG0BFdiHxlNdQ8Na" </w:instrText>
      </w:r>
      <w:r>
        <w:rPr>
          <w:rFonts w:hint="eastAsia" w:ascii="宋体" w:hAnsi="宋体" w:cs="宋体"/>
          <w:kern w:val="0"/>
          <w:sz w:val="24"/>
          <w:szCs w:val="22"/>
        </w:rPr>
        <w:fldChar w:fldCharType="separate"/>
      </w:r>
      <w:r>
        <w:rPr>
          <w:rStyle w:val="44"/>
          <w:rFonts w:hint="eastAsia" w:ascii="宋体" w:hAnsi="宋体" w:cs="宋体"/>
          <w:color w:val="auto"/>
          <w:kern w:val="0"/>
          <w:sz w:val="24"/>
          <w:szCs w:val="22"/>
        </w:rPr>
        <w:t>https://service.zcygov.cn/#/knowledges/CW1EtGwBFdiHxlNd6I3m/6IMVAG0BFdiHxlNdQ8Na</w:t>
      </w:r>
      <w:r>
        <w:rPr>
          <w:rFonts w:hint="eastAsia" w:ascii="宋体" w:hAnsi="宋体" w:cs="宋体"/>
          <w:kern w:val="0"/>
          <w:sz w:val="24"/>
          <w:szCs w:val="22"/>
        </w:rPr>
        <w:fldChar w:fldCharType="end"/>
      </w:r>
      <w:r>
        <w:rPr>
          <w:rStyle w:val="44"/>
          <w:rFonts w:hint="eastAsia" w:ascii="宋体" w:hAnsi="宋体" w:cs="宋体"/>
          <w:color w:val="auto"/>
          <w:kern w:val="0"/>
          <w:sz w:val="24"/>
        </w:rPr>
        <w:t>）及本</w:t>
      </w:r>
      <w:r>
        <w:rPr>
          <w:rStyle w:val="44"/>
          <w:rFonts w:hint="eastAsia" w:ascii="宋体" w:hAnsi="宋体" w:cs="宋体"/>
          <w:color w:val="auto"/>
          <w:kern w:val="0"/>
          <w:sz w:val="24"/>
          <w:lang w:val="en-US" w:eastAsia="zh-CN"/>
        </w:rPr>
        <w:t>招标</w:t>
      </w:r>
      <w:r>
        <w:rPr>
          <w:rStyle w:val="44"/>
          <w:rFonts w:hint="eastAsia" w:ascii="宋体" w:hAnsi="宋体" w:cs="宋体"/>
          <w:color w:val="auto"/>
          <w:kern w:val="0"/>
          <w:sz w:val="24"/>
        </w:rPr>
        <w:t>文件规定的格式和顺序编制电子响应文件并进行关联定位。</w:t>
      </w:r>
      <w:r>
        <w:rPr>
          <w:rFonts w:hint="eastAsia" w:ascii="宋体" w:hAnsi="宋体" w:cs="宋体"/>
          <w:kern w:val="0"/>
          <w:sz w:val="24"/>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hint="eastAsia" w:ascii="新宋体" w:hAnsi="新宋体" w:eastAsia="新宋体" w:cs="Courier New"/>
          <w:szCs w:val="21"/>
          <w:lang w:val="en-US" w:eastAsia="zh-CN"/>
        </w:rPr>
        <w:t>12月20日</w:t>
      </w:r>
      <w:r>
        <w:rPr>
          <w:rFonts w:hint="eastAsia" w:ascii="新宋体" w:hAnsi="新宋体" w:eastAsia="新宋体" w:cs="Courier New"/>
          <w:szCs w:val="21"/>
        </w:rPr>
        <w:t>14</w:t>
      </w:r>
      <w:r>
        <w:rPr>
          <w:rFonts w:ascii="新宋体" w:hAnsi="新宋体" w:eastAsia="新宋体" w:cs="Courier New"/>
          <w:szCs w:val="21"/>
        </w:rPr>
        <w:t>：</w:t>
      </w:r>
      <w:r>
        <w:rPr>
          <w:rFonts w:hint="eastAsia" w:ascii="新宋体" w:hAnsi="新宋体" w:eastAsia="新宋体" w:cs="Courier New"/>
          <w:szCs w:val="21"/>
          <w:lang w:val="en-US" w:eastAsia="zh-CN"/>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22"/>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hint="eastAsia" w:ascii="宋体" w:hAnsi="宋体" w:cs="宋体"/>
          <w:szCs w:val="24"/>
          <w:lang w:val="en-US" w:eastAsia="zh-CN"/>
        </w:rPr>
        <w:t>12月20日</w:t>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0前）供应商可以登录“政采云”平台，用“项目采购-开标评标”功能进行解密投标文件。若供应商在规定时间内（2022年</w:t>
      </w:r>
      <w:r>
        <w:rPr>
          <w:rFonts w:hint="eastAsia" w:ascii="宋体" w:hAnsi="宋体" w:cs="宋体"/>
          <w:szCs w:val="24"/>
          <w:lang w:val="en-US" w:eastAsia="zh-CN"/>
        </w:rPr>
        <w:t>12月  20日</w:t>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0前）无法解密或解密失败，将导致投标无效或失败。</w:t>
      </w:r>
    </w:p>
    <w:p>
      <w:pPr>
        <w:pStyle w:val="22"/>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12月20日</w:t>
      </w:r>
      <w:r>
        <w:rPr>
          <w:rFonts w:hint="eastAsia" w:hAnsi="宋体"/>
          <w:b/>
          <w:sz w:val="24"/>
          <w:szCs w:val="24"/>
        </w:rPr>
        <w:t>14</w:t>
      </w:r>
      <w:r>
        <w:rPr>
          <w:rFonts w:hAnsi="宋体"/>
          <w:b/>
          <w:sz w:val="24"/>
          <w:szCs w:val="24"/>
        </w:rPr>
        <w:t>:</w:t>
      </w:r>
      <w:r>
        <w:rPr>
          <w:rFonts w:hint="eastAsia" w:hAnsi="宋体"/>
          <w:b/>
          <w:sz w:val="24"/>
          <w:szCs w:val="24"/>
          <w:lang w:val="en-US" w:eastAsia="zh-CN"/>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11"/>
        <w:widowControl w:val="0"/>
        <w:snapToGrid w:val="0"/>
        <w:spacing w:afterLines="0" w:line="300" w:lineRule="auto"/>
        <w:ind w:left="0" w:firstLine="482"/>
        <w:jc w:val="both"/>
        <w:rPr>
          <w:rFonts w:ascii="宋体" w:hAnsi="宋体" w:cs="宋体"/>
          <w:b/>
          <w:bCs/>
        </w:rPr>
      </w:pPr>
      <w:r>
        <w:rPr>
          <w:rFonts w:hint="eastAsia" w:ascii="宋体" w:hAnsi="宋体" w:cs="宋体"/>
          <w:b/>
          <w:bCs/>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11"/>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11"/>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7"/>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7"/>
        <w:snapToGrid w:val="0"/>
        <w:spacing w:line="300" w:lineRule="auto"/>
        <w:ind w:firstLine="472" w:firstLineChars="196"/>
        <w:rPr>
          <w:rFonts w:ascii="宋体" w:hAnsi="宋体" w:cs="宋体"/>
          <w:b/>
          <w:bCs/>
          <w:color w:val="000000"/>
        </w:rPr>
      </w:pPr>
    </w:p>
    <w:p>
      <w:pPr>
        <w:pStyle w:val="8"/>
        <w:spacing w:before="0" w:after="0" w:line="300" w:lineRule="auto"/>
        <w:ind w:firstLine="643"/>
        <w:jc w:val="center"/>
        <w:rPr>
          <w:rFonts w:ascii="宋体" w:hAnsi="宋体" w:cs="宋体"/>
        </w:rPr>
      </w:pPr>
      <w:bookmarkStart w:id="29" w:name="_五、开标"/>
      <w:bookmarkEnd w:id="29"/>
      <w:bookmarkStart w:id="30" w:name="_Toc22916"/>
      <w:r>
        <w:rPr>
          <w:rFonts w:hint="eastAsia" w:ascii="宋体" w:hAnsi="宋体" w:cs="宋体"/>
        </w:rPr>
        <w:t>五、开标</w:t>
      </w:r>
      <w:bookmarkEnd w:id="30"/>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(一)采购代理机构职责</w:t>
      </w:r>
    </w:p>
    <w:p>
      <w:pPr>
        <w:pStyle w:val="17"/>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7"/>
        <w:snapToGrid w:val="0"/>
        <w:spacing w:line="300" w:lineRule="auto"/>
        <w:ind w:firstLine="480"/>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7"/>
        <w:snapToGrid w:val="0"/>
        <w:spacing w:line="300" w:lineRule="auto"/>
        <w:ind w:firstLine="480"/>
        <w:rPr>
          <w:rFonts w:ascii="宋体" w:hAnsi="宋体" w:cs="宋体"/>
        </w:rPr>
      </w:pPr>
      <w:r>
        <w:rPr>
          <w:rFonts w:hint="eastAsia" w:ascii="宋体" w:hAnsi="宋体" w:cs="宋体"/>
        </w:rPr>
        <w:t>2.宣布评标纪律；</w:t>
      </w:r>
    </w:p>
    <w:p>
      <w:pPr>
        <w:pStyle w:val="17"/>
        <w:snapToGrid w:val="0"/>
        <w:spacing w:line="300" w:lineRule="auto"/>
        <w:ind w:firstLine="480"/>
        <w:rPr>
          <w:rFonts w:ascii="宋体" w:hAnsi="宋体" w:cs="宋体"/>
        </w:rPr>
      </w:pPr>
      <w:r>
        <w:rPr>
          <w:rFonts w:hint="eastAsia" w:ascii="宋体" w:hAnsi="宋体" w:cs="宋体"/>
        </w:rPr>
        <w:t>3.公布投标人名单，告知评审专家应当回避的情形；</w:t>
      </w:r>
    </w:p>
    <w:p>
      <w:pPr>
        <w:pStyle w:val="17"/>
        <w:snapToGrid w:val="0"/>
        <w:spacing w:line="300" w:lineRule="auto"/>
        <w:ind w:firstLine="480"/>
        <w:rPr>
          <w:rFonts w:ascii="宋体" w:hAnsi="宋体" w:cs="宋体"/>
        </w:rPr>
      </w:pPr>
      <w:r>
        <w:rPr>
          <w:rFonts w:hint="eastAsia" w:ascii="宋体" w:hAnsi="宋体" w:cs="宋体"/>
        </w:rPr>
        <w:t>4.组织评标委员会推选评标组长，采购人代表不得担任组长；</w:t>
      </w:r>
    </w:p>
    <w:p>
      <w:pPr>
        <w:pStyle w:val="17"/>
        <w:snapToGrid w:val="0"/>
        <w:spacing w:line="300" w:lineRule="auto"/>
        <w:ind w:firstLine="480"/>
        <w:rPr>
          <w:rFonts w:ascii="宋体" w:hAnsi="宋体" w:cs="宋体"/>
        </w:rPr>
      </w:pPr>
      <w:r>
        <w:rPr>
          <w:rFonts w:hint="eastAsia" w:ascii="宋体" w:hAnsi="宋体" w:cs="宋体"/>
        </w:rPr>
        <w:t>5.在评标期间采取必要的通讯管理措施，保证评标活动不受外界干扰；</w:t>
      </w:r>
    </w:p>
    <w:p>
      <w:pPr>
        <w:pStyle w:val="17"/>
        <w:snapToGrid w:val="0"/>
        <w:spacing w:line="300" w:lineRule="auto"/>
        <w:ind w:firstLine="480"/>
        <w:rPr>
          <w:rFonts w:ascii="宋体" w:hAnsi="宋体" w:cs="宋体"/>
        </w:rPr>
      </w:pPr>
      <w:r>
        <w:rPr>
          <w:rFonts w:hint="eastAsia" w:ascii="宋体" w:hAnsi="宋体" w:cs="宋体"/>
        </w:rPr>
        <w:t>6.根据评标委员会的要求介绍政府采购相关政策法规、招标文件；</w:t>
      </w:r>
    </w:p>
    <w:p>
      <w:pPr>
        <w:pStyle w:val="17"/>
        <w:snapToGrid w:val="0"/>
        <w:spacing w:line="300" w:lineRule="auto"/>
        <w:ind w:firstLine="480"/>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7"/>
        <w:snapToGrid w:val="0"/>
        <w:spacing w:line="300" w:lineRule="auto"/>
        <w:ind w:firstLine="480"/>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7"/>
        <w:snapToGrid w:val="0"/>
        <w:spacing w:line="300" w:lineRule="auto"/>
        <w:ind w:firstLine="480"/>
        <w:rPr>
          <w:rFonts w:ascii="宋体" w:hAnsi="宋体" w:cs="宋体"/>
        </w:rPr>
      </w:pPr>
      <w:r>
        <w:rPr>
          <w:rFonts w:hint="eastAsia" w:ascii="宋体" w:hAnsi="宋体" w:cs="宋体"/>
        </w:rPr>
        <w:t>9.处理与评标有关的其他事项。</w:t>
      </w:r>
    </w:p>
    <w:p>
      <w:pPr>
        <w:pStyle w:val="17"/>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7"/>
        <w:snapToGrid w:val="0"/>
        <w:spacing w:line="480" w:lineRule="exact"/>
        <w:ind w:firstLine="472" w:firstLineChars="196"/>
        <w:rPr>
          <w:rFonts w:hAnsi="宋体"/>
          <w:b/>
          <w:bCs/>
        </w:rPr>
      </w:pPr>
      <w:r>
        <w:rPr>
          <w:rFonts w:hint="eastAsia" w:hAnsi="宋体"/>
          <w:b/>
          <w:bCs/>
        </w:rPr>
        <w:t>（三）电子开评标及评审程序</w:t>
      </w:r>
    </w:p>
    <w:p>
      <w:pPr>
        <w:pStyle w:val="17"/>
        <w:snapToGrid w:val="0"/>
        <w:spacing w:line="480" w:lineRule="exact"/>
        <w:ind w:firstLine="470" w:firstLineChars="196"/>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7"/>
        <w:snapToGrid w:val="0"/>
        <w:spacing w:line="480" w:lineRule="exact"/>
        <w:ind w:firstLine="470" w:firstLineChars="196"/>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7"/>
        <w:snapToGrid w:val="0"/>
        <w:spacing w:line="480" w:lineRule="exact"/>
        <w:ind w:firstLine="470" w:firstLineChars="196"/>
        <w:rPr>
          <w:rFonts w:ascii="宋体" w:hAnsi="宋体" w:cs="宋体"/>
        </w:rPr>
      </w:pPr>
      <w:r>
        <w:rPr>
          <w:rFonts w:hint="eastAsia" w:ascii="宋体" w:hAnsi="宋体" w:cs="宋体"/>
        </w:rPr>
        <w:t>3.评标委员会对报价文件进行评审；</w:t>
      </w:r>
    </w:p>
    <w:p>
      <w:pPr>
        <w:pStyle w:val="17"/>
        <w:snapToGrid w:val="0"/>
        <w:spacing w:line="480" w:lineRule="exact"/>
        <w:ind w:firstLine="470" w:firstLineChars="196"/>
        <w:rPr>
          <w:rFonts w:ascii="宋体" w:hAnsi="宋体" w:cs="宋体"/>
        </w:rPr>
      </w:pPr>
      <w:r>
        <w:rPr>
          <w:rFonts w:hint="eastAsia" w:ascii="宋体" w:hAnsi="宋体" w:cs="宋体"/>
        </w:rPr>
        <w:t>4.在系统上公布评审结果。</w:t>
      </w:r>
    </w:p>
    <w:p>
      <w:pPr>
        <w:pStyle w:val="22"/>
        <w:snapToGrid w:val="0"/>
        <w:spacing w:beforeLines="0" w:afterLines="0" w:line="300" w:lineRule="auto"/>
        <w:ind w:firstLine="602"/>
        <w:jc w:val="center"/>
        <w:rPr>
          <w:rFonts w:hAnsi="宋体" w:cs="宋体"/>
          <w:b/>
          <w:bCs/>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1" w:name="_Toc14788"/>
      <w:r>
        <w:rPr>
          <w:rFonts w:hint="eastAsia" w:ascii="宋体" w:hAnsi="宋体" w:cs="宋体"/>
        </w:rPr>
        <w:t>六、评标</w:t>
      </w:r>
      <w:bookmarkEnd w:id="31"/>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（三）评标程序</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采购人可以在评标前说明项目背景和采购需求，说明内容不得含有歧视性、倾向性意见，不得超出招标文件所述范围。说明应当提交书面材料，并随采购文件一并存档。</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具体评标程序详见第四章评标办法。</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szCs w:val="24"/>
        </w:rPr>
      </w:pPr>
      <w:r>
        <w:rPr>
          <w:rFonts w:hint="eastAsia" w:ascii="宋体" w:hAnsi="宋体"/>
          <w:b/>
          <w:szCs w:val="24"/>
        </w:rPr>
        <w:t>（五）澄清问题的形式</w:t>
      </w:r>
    </w:p>
    <w:p>
      <w:pPr>
        <w:spacing w:line="480" w:lineRule="exact"/>
        <w:ind w:firstLine="480"/>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2"/>
        <w:tabs>
          <w:tab w:val="left" w:pos="0"/>
        </w:tabs>
        <w:spacing w:beforeLines="0" w:afterLines="0" w:line="480" w:lineRule="exact"/>
        <w:ind w:firstLine="480"/>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2" w:name="_Toc17457"/>
      <w:r>
        <w:rPr>
          <w:rFonts w:hint="eastAsia" w:ascii="宋体" w:hAnsi="宋体" w:cs="宋体"/>
        </w:rPr>
        <w:t>七、定标</w:t>
      </w:r>
      <w:bookmarkEnd w:id="32"/>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3" w:name="_Toc30738"/>
      <w:r>
        <w:rPr>
          <w:rFonts w:hint="eastAsia" w:ascii="宋体" w:hAnsi="宋体" w:cs="宋体"/>
        </w:rPr>
        <w:t>八、合同授予</w:t>
      </w:r>
      <w:bookmarkEnd w:id="33"/>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（二）履约保证金</w:t>
      </w:r>
    </w:p>
    <w:p>
      <w:pPr>
        <w:snapToGrid w:val="0"/>
        <w:spacing w:line="300" w:lineRule="auto"/>
        <w:ind w:firstLine="480"/>
        <w:rPr>
          <w:rFonts w:ascii="宋体" w:hAnsi="宋体" w:cs="宋体"/>
          <w:color w:val="auto"/>
          <w:szCs w:val="24"/>
        </w:rPr>
      </w:pPr>
      <w:r>
        <w:rPr>
          <w:rFonts w:hint="eastAsia" w:ascii="宋体" w:hAnsi="宋体" w:cs="宋体"/>
          <w:color w:val="auto"/>
          <w:szCs w:val="24"/>
        </w:rPr>
        <w:t>1．</w:t>
      </w:r>
      <w:r>
        <w:rPr>
          <w:rFonts w:hint="eastAsia" w:ascii="宋体" w:hAnsi="宋体" w:cs="宋体"/>
          <w:color w:val="auto"/>
          <w:lang w:val="en-US" w:eastAsia="zh-CN"/>
        </w:rPr>
        <w:t>本项目不设置履约保证金</w:t>
      </w:r>
      <w:r>
        <w:rPr>
          <w:rFonts w:hint="eastAsia" w:ascii="宋体" w:hAnsi="宋体" w:cs="宋体"/>
          <w:color w:val="auto"/>
          <w:szCs w:val="24"/>
        </w:rPr>
        <w:t>。</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2．签订合同后，如中标人不按双方签订合同约定履约，则按实际损失赔偿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5"/>
        <w:ind w:firstLine="723"/>
        <w:rPr>
          <w:sz w:val="36"/>
          <w:szCs w:val="36"/>
        </w:rPr>
      </w:pPr>
      <w:bookmarkStart w:id="34" w:name="_Toc9447"/>
      <w:r>
        <w:rPr>
          <w:rFonts w:hint="eastAsia"/>
          <w:sz w:val="36"/>
          <w:szCs w:val="36"/>
        </w:rPr>
        <w:t>第四章  评标办法</w:t>
      </w:r>
      <w:bookmarkEnd w:id="34"/>
    </w:p>
    <w:p>
      <w:pPr>
        <w:pStyle w:val="22"/>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嘉善技师学院（筹）购置培训教学仪器设备（电子电工实训室电源台实训设备）</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嘉善技师学院（筹）购置培训教学仪器设备（电子电工实训室电源台实训设备）</w:t>
      </w:r>
      <w:r>
        <w:rPr>
          <w:rFonts w:hint="eastAsia" w:ascii="宋体" w:hAnsi="宋体" w:cs="宋体"/>
          <w:color w:val="000000"/>
          <w:szCs w:val="24"/>
        </w:rPr>
        <w:t>政府采购项目的评标。</w:t>
      </w:r>
    </w:p>
    <w:p>
      <w:pPr>
        <w:pStyle w:val="24"/>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4"/>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7"/>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7"/>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7"/>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7"/>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7"/>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7"/>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7"/>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7"/>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7"/>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7"/>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7"/>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7"/>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7"/>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4"/>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color w:val="auto"/>
          <w:szCs w:val="24"/>
        </w:rPr>
      </w:pPr>
      <w:r>
        <w:rPr>
          <w:rFonts w:hint="eastAsia" w:ascii="宋体" w:hAnsi="宋体" w:cs="宋体"/>
          <w:color w:val="000000"/>
          <w:szCs w:val="24"/>
          <w:lang w:val="en-US" w:eastAsia="zh-CN"/>
        </w:rPr>
        <w:t>2</w:t>
      </w:r>
      <w:r>
        <w:rPr>
          <w:rFonts w:hint="eastAsia" w:ascii="宋体" w:hAnsi="宋体" w:cs="宋体"/>
          <w:color w:val="000000"/>
          <w:szCs w:val="24"/>
        </w:rPr>
        <w:t>.投标人的投标报价超过采购上限价的，其投标无效。评标委员会认为投标人的报价明显低于其他通过符合性审查投标人的报价，有可能影响产品质量或者不能诚信履约的，应当要求其在评标现场合理的</w:t>
      </w:r>
      <w:r>
        <w:rPr>
          <w:rFonts w:hint="eastAsia" w:ascii="宋体" w:hAnsi="宋体" w:cs="宋体"/>
          <w:color w:val="auto"/>
          <w:szCs w:val="24"/>
        </w:rPr>
        <w:t>时间内提供书面说明，必要时提交相关证明材料；投标人不能证明其报价合理性的，评标委员会应当将其作为无效投标处理。</w:t>
      </w:r>
    </w:p>
    <w:p>
      <w:pPr>
        <w:spacing w:line="300" w:lineRule="auto"/>
        <w:ind w:firstLine="569" w:firstLineChars="236"/>
        <w:rPr>
          <w:rFonts w:hint="eastAsia" w:ascii="宋体" w:hAnsi="宋体" w:cs="宋体"/>
          <w:b/>
          <w:color w:val="auto"/>
          <w:szCs w:val="24"/>
        </w:rPr>
      </w:pPr>
      <w:r>
        <w:rPr>
          <w:rFonts w:hint="eastAsia" w:ascii="宋体" w:hAnsi="宋体" w:cs="宋体"/>
          <w:b/>
          <w:color w:val="auto"/>
          <w:szCs w:val="24"/>
          <w:lang w:val="en-US" w:eastAsia="zh-CN"/>
        </w:rPr>
        <w:t>3</w:t>
      </w:r>
      <w:r>
        <w:rPr>
          <w:rFonts w:hint="eastAsia" w:ascii="宋体" w:hAnsi="宋体" w:cs="宋体"/>
          <w:b/>
          <w:color w:val="auto"/>
          <w:szCs w:val="24"/>
        </w:rPr>
        <w:t>.本项目采购上限价为人民币</w:t>
      </w:r>
      <w:r>
        <w:rPr>
          <w:rFonts w:hint="eastAsia" w:ascii="宋体" w:hAnsi="宋体" w:cs="宋体"/>
          <w:b/>
          <w:color w:val="auto"/>
          <w:szCs w:val="24"/>
          <w:lang w:val="en-US" w:eastAsia="zh-CN"/>
        </w:rPr>
        <w:t>壹佰贰</w:t>
      </w:r>
      <w:r>
        <w:rPr>
          <w:rFonts w:hint="eastAsia" w:ascii="宋体" w:hAnsi="宋体" w:cs="宋体"/>
          <w:b/>
          <w:color w:val="auto"/>
          <w:szCs w:val="24"/>
        </w:rPr>
        <w:t>拾</w:t>
      </w:r>
      <w:r>
        <w:rPr>
          <w:rFonts w:hint="eastAsia" w:ascii="宋体" w:hAnsi="宋体" w:cs="宋体"/>
          <w:b/>
          <w:color w:val="auto"/>
          <w:szCs w:val="24"/>
          <w:lang w:val="en-US" w:eastAsia="zh-CN"/>
        </w:rPr>
        <w:t>玖万捌仟</w:t>
      </w:r>
      <w:r>
        <w:rPr>
          <w:rFonts w:hint="eastAsia" w:ascii="宋体" w:hAnsi="宋体" w:cs="宋体"/>
          <w:b/>
          <w:color w:val="auto"/>
          <w:szCs w:val="24"/>
        </w:rPr>
        <w:t>元整（¥</w:t>
      </w:r>
      <w:r>
        <w:rPr>
          <w:rFonts w:hint="eastAsia" w:ascii="宋体" w:hAnsi="宋体" w:cs="宋体"/>
          <w:b/>
          <w:color w:val="auto"/>
          <w:szCs w:val="24"/>
          <w:lang w:val="en-US" w:eastAsia="zh-CN"/>
        </w:rPr>
        <w:t>1298</w:t>
      </w:r>
      <w:r>
        <w:rPr>
          <w:rFonts w:hint="eastAsia" w:ascii="宋体" w:hAnsi="宋体" w:cs="宋体"/>
          <w:b/>
          <w:color w:val="auto"/>
          <w:szCs w:val="24"/>
        </w:rPr>
        <w:t>000.00元）。</w:t>
      </w:r>
    </w:p>
    <w:p>
      <w:pPr>
        <w:pStyle w:val="47"/>
        <w:rPr>
          <w:color w:val="auto"/>
        </w:rPr>
      </w:pPr>
    </w:p>
    <w:p>
      <w:pPr>
        <w:spacing w:line="300" w:lineRule="auto"/>
        <w:ind w:firstLine="569" w:firstLineChars="236"/>
        <w:rPr>
          <w:rFonts w:ascii="宋体" w:hAnsi="宋体" w:cs="宋体"/>
          <w:b/>
          <w:color w:val="auto"/>
          <w:szCs w:val="24"/>
        </w:rPr>
      </w:pPr>
      <w:r>
        <w:rPr>
          <w:rFonts w:hint="eastAsia" w:ascii="宋体" w:hAnsi="宋体" w:cs="宋体"/>
          <w:b/>
          <w:color w:val="auto"/>
          <w:szCs w:val="24"/>
        </w:rPr>
        <w:t>（二）技术商务资信分（70分）</w:t>
      </w:r>
    </w:p>
    <w:tbl>
      <w:tblPr>
        <w:tblStyle w:val="3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39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技术分</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61</w:t>
            </w:r>
            <w:r>
              <w:rPr>
                <w:rFonts w:hint="eastAsia" w:ascii="宋体" w:hAnsi="宋体" w:eastAsia="宋体" w:cs="宋体"/>
                <w:color w:val="auto"/>
                <w:sz w:val="24"/>
                <w:szCs w:val="24"/>
              </w:rPr>
              <w:t>分）</w:t>
            </w: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宋体" w:hAnsi="宋体" w:eastAsia="宋体" w:cs="宋体"/>
                <w:color w:val="auto"/>
                <w:sz w:val="24"/>
                <w:szCs w:val="24"/>
              </w:rPr>
            </w:pPr>
            <w:r>
              <w:rPr>
                <w:rFonts w:hint="eastAsia" w:ascii="宋体" w:hAnsi="宋体" w:cs="宋体"/>
                <w:szCs w:val="21"/>
              </w:rPr>
              <w:t>技术参数响应程度（</w:t>
            </w:r>
            <w:r>
              <w:rPr>
                <w:rFonts w:hint="eastAsia" w:ascii="宋体" w:hAnsi="宋体" w:cs="宋体"/>
                <w:szCs w:val="21"/>
                <w:lang w:val="en-US" w:eastAsia="zh-CN"/>
              </w:rPr>
              <w:t>30</w:t>
            </w:r>
            <w:r>
              <w:rPr>
                <w:rFonts w:hint="eastAsia" w:ascii="宋体" w:hAnsi="宋体" w:cs="宋体"/>
                <w:szCs w:val="21"/>
              </w:rPr>
              <w:t>分）</w:t>
            </w:r>
          </w:p>
        </w:tc>
        <w:tc>
          <w:tcPr>
            <w:tcW w:w="6945" w:type="dxa"/>
            <w:tcBorders>
              <w:top w:val="single" w:color="auto" w:sz="4" w:space="0"/>
              <w:left w:val="single" w:color="auto" w:sz="4" w:space="0"/>
              <w:bottom w:val="single" w:color="auto" w:sz="4" w:space="0"/>
              <w:right w:val="single" w:color="auto" w:sz="4" w:space="0"/>
            </w:tcBorders>
            <w:vAlign w:val="center"/>
          </w:tcPr>
          <w:p>
            <w:pPr>
              <w:pStyle w:val="2"/>
              <w:spacing w:after="0" w:line="300" w:lineRule="auto"/>
              <w:ind w:firstLine="0" w:firstLineChars="0"/>
              <w:contextualSpacing/>
              <w:rPr>
                <w:rFonts w:hint="eastAsia" w:ascii="宋体" w:hAnsi="宋体" w:cs="宋体"/>
                <w:color w:val="auto"/>
                <w:szCs w:val="21"/>
              </w:rPr>
            </w:pPr>
            <w:r>
              <w:rPr>
                <w:rFonts w:hint="eastAsia" w:ascii="宋体" w:hAnsi="宋体" w:eastAsia="宋体"/>
                <w:color w:val="auto"/>
              </w:rPr>
              <w:t>根据投标人所投产品技术参数</w:t>
            </w:r>
            <w:r>
              <w:rPr>
                <w:rFonts w:hint="eastAsia" w:ascii="宋体" w:hAnsi="宋体" w:eastAsia="宋体"/>
                <w:color w:val="auto"/>
                <w:lang w:val="en-US" w:eastAsia="zh-CN"/>
              </w:rPr>
              <w:t>打分，以</w:t>
            </w:r>
            <w:r>
              <w:rPr>
                <w:rFonts w:hint="eastAsia" w:ascii="宋体" w:hAnsi="宋体" w:eastAsia="宋体"/>
                <w:color w:val="auto"/>
              </w:rPr>
              <w:t>招标文件的技术要求为基准，完全满足招标文件技术规格、参数及要求的，得</w:t>
            </w:r>
            <w:r>
              <w:rPr>
                <w:rFonts w:hint="eastAsia" w:ascii="宋体" w:hAnsi="宋体"/>
                <w:color w:val="auto"/>
                <w:lang w:val="en-US" w:eastAsia="zh-CN"/>
              </w:rPr>
              <w:t>30</w:t>
            </w:r>
            <w:r>
              <w:rPr>
                <w:rFonts w:hint="eastAsia" w:ascii="宋体" w:hAnsi="宋体" w:eastAsia="宋体"/>
                <w:color w:val="auto"/>
              </w:rPr>
              <w:t>分；</w:t>
            </w:r>
            <w:r>
              <w:rPr>
                <w:rFonts w:hint="eastAsia" w:ascii="宋体" w:hAnsi="宋体" w:cs="宋体"/>
                <w:color w:val="auto"/>
                <w:szCs w:val="21"/>
              </w:rPr>
              <w:t>技术参数负偏离或缺漏项的每项扣</w:t>
            </w:r>
            <w:r>
              <w:rPr>
                <w:rFonts w:hint="eastAsia" w:ascii="宋体" w:hAnsi="宋体" w:cs="宋体"/>
                <w:color w:val="auto"/>
                <w:szCs w:val="21"/>
                <w:lang w:val="en-US" w:eastAsia="zh-CN"/>
              </w:rPr>
              <w:t>2</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扣完为止。</w:t>
            </w:r>
          </w:p>
          <w:p>
            <w:pPr>
              <w:pStyle w:val="2"/>
              <w:spacing w:after="0" w:line="300" w:lineRule="auto"/>
              <w:ind w:firstLine="0" w:firstLineChars="0"/>
              <w:contextualSpacing/>
              <w:rPr>
                <w:rFonts w:hint="eastAsia" w:ascii="宋体" w:hAnsi="宋体" w:eastAsia="宋体" w:cs="宋体"/>
                <w:color w:val="auto"/>
                <w:sz w:val="24"/>
                <w:szCs w:val="24"/>
              </w:rPr>
            </w:pPr>
            <w:r>
              <w:rPr>
                <w:rFonts w:hint="eastAsia" w:ascii="宋体" w:hAnsi="宋体" w:cs="宋体"/>
              </w:rPr>
              <w:t>注：</w:t>
            </w:r>
            <w:r>
              <w:rPr>
                <w:rFonts w:hint="eastAsia" w:ascii="宋体" w:hAnsi="宋体" w:cs="宋体"/>
                <w:szCs w:val="21"/>
              </w:rPr>
              <w:t>采购需求中要求</w:t>
            </w:r>
            <w:r>
              <w:rPr>
                <w:rFonts w:hint="eastAsia" w:ascii="宋体" w:hAnsi="宋体" w:cs="宋体"/>
                <w:szCs w:val="21"/>
                <w:lang w:val="en-US" w:eastAsia="zh-CN"/>
              </w:rPr>
              <w:t>在投标文件中</w:t>
            </w:r>
            <w:r>
              <w:rPr>
                <w:rFonts w:hint="eastAsia" w:ascii="宋体" w:hAnsi="宋体" w:cs="宋体"/>
                <w:szCs w:val="21"/>
              </w:rPr>
              <w:t>提供证明材料的技术参数，投标文件中必须提供相应的证明材料，未提供视作负偏离。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00" w:lineRule="auto"/>
              <w:ind w:firstLine="0" w:firstLineChars="0"/>
              <w:jc w:val="center"/>
              <w:rPr>
                <w:rFonts w:hint="eastAsia" w:ascii="宋体" w:hAnsi="宋体" w:eastAsia="宋体" w:cs="宋体"/>
                <w:color w:val="auto"/>
                <w:kern w:val="2"/>
                <w:sz w:val="24"/>
                <w:szCs w:val="24"/>
                <w:lang w:val="en-US" w:eastAsia="zh-CN" w:bidi="ar-SA"/>
              </w:rPr>
            </w:pPr>
            <w:r>
              <w:rPr>
                <w:rFonts w:hint="eastAsia" w:ascii="微软雅黑" w:hAnsi="微软雅黑" w:cs="宋体"/>
                <w:sz w:val="24"/>
                <w:szCs w:val="24"/>
                <w:lang w:val="zh-CN"/>
              </w:rPr>
              <w:t>投标产品整体配置水平</w:t>
            </w:r>
            <w:r>
              <w:rPr>
                <w:rFonts w:hint="eastAsia" w:ascii="宋体" w:hAnsi="宋体" w:cs="宋体"/>
                <w:szCs w:val="24"/>
                <w:lang w:val="zh-CN"/>
              </w:rPr>
              <w:t>（</w:t>
            </w:r>
            <w:r>
              <w:rPr>
                <w:rFonts w:hint="eastAsia" w:ascii="宋体" w:hAnsi="宋体" w:cs="宋体"/>
                <w:szCs w:val="24"/>
                <w:lang w:val="en-US" w:eastAsia="zh-CN"/>
              </w:rPr>
              <w:t>6</w:t>
            </w:r>
            <w:r>
              <w:rPr>
                <w:rFonts w:hint="eastAsia" w:ascii="宋体" w:hAnsi="宋体" w:cs="宋体"/>
                <w:szCs w:val="24"/>
              </w:rPr>
              <w:t>分</w:t>
            </w:r>
            <w:r>
              <w:rPr>
                <w:rFonts w:hint="eastAsia" w:ascii="宋体" w:hAnsi="宋体" w:cs="宋体"/>
                <w:szCs w:val="24"/>
                <w:lang w:val="zh-CN"/>
              </w:rPr>
              <w:t>）</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rPr>
              <w:t>根据投标人在投标文件中提供的产品的总体性能水平、安全性、可靠性、稳定性、制作工艺先进行产品设计及技术</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投标人针对所投产品</w:t>
            </w:r>
            <w:r>
              <w:rPr>
                <w:rFonts w:hint="eastAsia" w:ascii="宋体" w:hAnsi="宋体" w:eastAsia="宋体" w:cs="宋体"/>
                <w:color w:val="auto"/>
                <w:sz w:val="24"/>
                <w:szCs w:val="24"/>
                <w:highlight w:val="none"/>
                <w:lang w:val="en-US" w:eastAsia="zh-CN"/>
              </w:rPr>
              <w:t>技术佐证材料</w:t>
            </w:r>
            <w:r>
              <w:rPr>
                <w:rFonts w:hint="eastAsia" w:ascii="宋体" w:hAnsi="宋体" w:eastAsia="宋体" w:cs="宋体"/>
                <w:color w:val="auto"/>
                <w:sz w:val="24"/>
                <w:szCs w:val="24"/>
                <w:highlight w:val="none"/>
              </w:rPr>
              <w:t>等方面打分，主要部件</w:t>
            </w:r>
            <w:r>
              <w:rPr>
                <w:rFonts w:hint="eastAsia" w:ascii="宋体" w:hAnsi="宋体" w:cs="宋体"/>
                <w:color w:val="auto"/>
                <w:sz w:val="24"/>
                <w:szCs w:val="24"/>
                <w:highlight w:val="none"/>
                <w:lang w:val="en-US" w:eastAsia="zh-CN"/>
              </w:rPr>
              <w:t>的整体</w:t>
            </w:r>
            <w:r>
              <w:rPr>
                <w:rFonts w:hint="eastAsia" w:ascii="宋体" w:hAnsi="宋体" w:eastAsia="宋体" w:cs="宋体"/>
                <w:color w:val="auto"/>
                <w:sz w:val="24"/>
                <w:szCs w:val="24"/>
                <w:highlight w:val="none"/>
              </w:rPr>
              <w:t>配置好、性能水平高的得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分，主要部件配置可行、性能水平一般的得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4.9</w:t>
            </w:r>
            <w:r>
              <w:rPr>
                <w:rFonts w:hint="eastAsia" w:ascii="宋体" w:hAnsi="宋体" w:eastAsia="宋体" w:cs="宋体"/>
                <w:color w:val="auto"/>
                <w:sz w:val="24"/>
                <w:szCs w:val="24"/>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zh-CN" w:eastAsia="zh-CN" w:bidi="ar-SA"/>
              </w:rPr>
            </w:pPr>
            <w:r>
              <w:rPr>
                <w:rFonts w:hint="eastAsia" w:ascii="宋体" w:hAnsi="宋体" w:cs="宋体"/>
                <w:color w:val="auto"/>
                <w:sz w:val="24"/>
                <w:szCs w:val="24"/>
                <w:lang w:val="en-US" w:eastAsia="zh-CN"/>
              </w:rPr>
              <w:t>项目组织实施方案（6分）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eastAsia="宋体" w:cs="宋体"/>
                <w:color w:val="auto"/>
                <w:kern w:val="0"/>
                <w:sz w:val="24"/>
                <w:szCs w:val="24"/>
              </w:rPr>
              <w:t>根</w:t>
            </w:r>
            <w:r>
              <w:rPr>
                <w:rFonts w:hint="eastAsia" w:ascii="宋体" w:hAnsi="Times New Roman" w:eastAsia="宋体" w:cs="宋体"/>
                <w:color w:val="auto"/>
                <w:kern w:val="0"/>
                <w:sz w:val="24"/>
                <w:szCs w:val="24"/>
                <w:lang w:val="en-US" w:eastAsia="zh-CN"/>
              </w:rPr>
              <w:t>据投标人针对本次项目提出的具体组织实施方案，包括详细组织实施方案的完整性、合理性、科学性，安装阶段沟通机制以及为保障项目顺利实施的各项措施（如质量保证、工期保证等）</w:t>
            </w:r>
            <w:r>
              <w:rPr>
                <w:rFonts w:hint="eastAsia" w:ascii="宋体" w:eastAsia="宋体" w:cs="宋体"/>
                <w:color w:val="auto"/>
                <w:kern w:val="0"/>
                <w:sz w:val="24"/>
                <w:szCs w:val="24"/>
                <w:lang w:val="en-US" w:eastAsia="zh-CN"/>
              </w:rPr>
              <w:t>等内容进行打分，</w:t>
            </w:r>
            <w:r>
              <w:rPr>
                <w:rFonts w:hint="eastAsia" w:ascii="宋体" w:hAnsi="宋体" w:eastAsia="宋体" w:cs="宋体"/>
                <w:color w:val="auto"/>
                <w:sz w:val="24"/>
                <w:szCs w:val="24"/>
              </w:rPr>
              <w:t>同时满足全面、科学、合理的得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分；满足部分要求的得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4.9</w:t>
            </w:r>
            <w:r>
              <w:rPr>
                <w:rFonts w:hint="eastAsia" w:ascii="宋体" w:hAnsi="宋体" w:eastAsia="宋体" w:cs="宋体"/>
                <w:color w:val="auto"/>
                <w:sz w:val="24"/>
                <w:szCs w:val="24"/>
              </w:rPr>
              <w:t>分；针对性不强、内容模式化</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宋体" w:hAnsi="宋体" w:eastAsia="宋体" w:cs="宋体"/>
                <w:kern w:val="2"/>
                <w:sz w:val="24"/>
                <w:szCs w:val="21"/>
                <w:highlight w:val="none"/>
                <w:lang w:val="en-US" w:eastAsia="zh-CN" w:bidi="ar-SA"/>
              </w:rPr>
            </w:pPr>
            <w:r>
              <w:rPr>
                <w:rFonts w:hint="eastAsia" w:ascii="宋体" w:hAnsi="宋体" w:cs="宋体"/>
                <w:bCs/>
                <w:szCs w:val="24"/>
                <w:highlight w:val="none"/>
              </w:rPr>
              <w:t>供货、安装、调试和验收方案（</w:t>
            </w:r>
            <w:r>
              <w:rPr>
                <w:rFonts w:hint="eastAsia" w:ascii="宋体" w:hAnsi="宋体" w:cs="宋体"/>
                <w:bCs/>
                <w:szCs w:val="24"/>
                <w:highlight w:val="none"/>
                <w:lang w:val="en-US" w:eastAsia="zh-CN"/>
              </w:rPr>
              <w:t>6</w:t>
            </w:r>
            <w:r>
              <w:rPr>
                <w:rFonts w:hint="eastAsia" w:ascii="宋体" w:hAnsi="宋体" w:cs="宋体"/>
                <w:bCs/>
                <w:szCs w:val="24"/>
                <w:highlight w:val="none"/>
              </w:rPr>
              <w:t>分）</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hint="eastAsia" w:ascii="宋体" w:hAnsi="宋体" w:eastAsia="宋体" w:cs="宋体"/>
                <w:kern w:val="2"/>
                <w:sz w:val="24"/>
                <w:szCs w:val="21"/>
                <w:highlight w:val="none"/>
                <w:lang w:val="en-US" w:eastAsia="zh-CN" w:bidi="ar-SA"/>
              </w:rPr>
            </w:pPr>
            <w:r>
              <w:rPr>
                <w:rFonts w:hint="eastAsia" w:ascii="宋体" w:hAnsi="宋体" w:cs="宋体"/>
                <w:bCs/>
                <w:szCs w:val="24"/>
                <w:highlight w:val="none"/>
              </w:rPr>
              <w:t>根据投标人提供的供货、安装、调试和验收方案打分，</w:t>
            </w:r>
            <w:r>
              <w:rPr>
                <w:rFonts w:hint="eastAsia" w:ascii="宋体" w:hAnsi="宋体" w:cs="宋体"/>
                <w:bCs/>
                <w:szCs w:val="24"/>
                <w:highlight w:val="none"/>
                <w:lang w:val="en-US" w:eastAsia="zh-CN"/>
              </w:rPr>
              <w:t>4</w:t>
            </w:r>
            <w:r>
              <w:rPr>
                <w:rFonts w:ascii="宋体" w:hAnsi="宋体" w:cs="宋体"/>
                <w:bCs/>
                <w:szCs w:val="24"/>
                <w:highlight w:val="none"/>
              </w:rPr>
              <w:t>-</w:t>
            </w:r>
            <w:r>
              <w:rPr>
                <w:rFonts w:hint="eastAsia" w:ascii="宋体" w:hAnsi="宋体" w:cs="宋体"/>
                <w:bCs/>
                <w:szCs w:val="24"/>
                <w:highlight w:val="none"/>
                <w:lang w:val="en-US" w:eastAsia="zh-CN"/>
              </w:rPr>
              <w:t>6</w:t>
            </w:r>
            <w:r>
              <w:rPr>
                <w:rFonts w:hint="eastAsia" w:ascii="宋体" w:hAnsi="宋体" w:cs="宋体"/>
                <w:bCs/>
                <w:szCs w:val="24"/>
                <w:highlight w:val="none"/>
              </w:rPr>
              <w:t>分，无方案或方案不可行不得分。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培训方案（</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lang w:val="en-US" w:eastAsia="zh-CN"/>
              </w:rPr>
              <w:t>根据投标人针对本项目提供操作培训和维护培训及提供其他形式培训的情况，具体至培训目的、时间、地点、内容、频次、培训</w:t>
            </w:r>
            <w:r>
              <w:rPr>
                <w:rFonts w:hint="eastAsia" w:ascii="宋体" w:hAnsi="宋体" w:cs="宋体"/>
                <w:color w:val="auto"/>
                <w:lang w:val="en-US" w:eastAsia="zh-CN"/>
              </w:rPr>
              <w:t>人员</w:t>
            </w:r>
            <w:r>
              <w:rPr>
                <w:rFonts w:hint="eastAsia" w:ascii="宋体" w:hAnsi="宋体" w:eastAsia="宋体" w:cs="宋体"/>
                <w:color w:val="auto"/>
                <w:lang w:val="en-US" w:eastAsia="zh-CN"/>
              </w:rPr>
              <w:t>专业、是否达到培训预期目的评价标准、考核形式、与用户定期联系培训方式、方法等，完整、合理的得5-6分，略有缺陷的得4-4.9分，不合理或未表述不得分。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after="60" w:afterLines="25" w:line="300" w:lineRule="auto"/>
              <w:ind w:firstLine="0" w:firstLineChars="0"/>
              <w:jc w:val="left"/>
              <w:rPr>
                <w:rFonts w:hint="eastAsia" w:ascii="宋体" w:hAnsi="宋体" w:eastAsia="宋体" w:cs="宋体"/>
                <w:color w:val="auto"/>
                <w:sz w:val="24"/>
                <w:szCs w:val="24"/>
                <w:highlight w:val="none"/>
              </w:rPr>
            </w:pPr>
            <w:r>
              <w:rPr>
                <w:rFonts w:hint="eastAsia" w:ascii="宋体" w:hAnsi="宋体" w:cs="宋体"/>
                <w:color w:val="auto"/>
                <w:kern w:val="0"/>
                <w:sz w:val="24"/>
                <w:szCs w:val="24"/>
              </w:rPr>
              <w:t>根据投标人</w:t>
            </w:r>
            <w:r>
              <w:rPr>
                <w:rFonts w:hint="eastAsia" w:ascii="宋体" w:hAnsi="宋体" w:cs="宋体"/>
                <w:color w:val="auto"/>
                <w:kern w:val="0"/>
                <w:sz w:val="24"/>
                <w:szCs w:val="24"/>
                <w:lang w:val="en-US" w:eastAsia="zh-CN"/>
              </w:rPr>
              <w:t>针对</w:t>
            </w:r>
            <w:r>
              <w:rPr>
                <w:rFonts w:hint="eastAsia" w:ascii="宋体" w:hAnsi="宋体" w:cs="宋体"/>
                <w:color w:val="auto"/>
                <w:kern w:val="0"/>
                <w:sz w:val="24"/>
                <w:szCs w:val="24"/>
              </w:rPr>
              <w:t>本顶目设置维修队伍的配备、计划安排、优惠承诺等情况合理性，售后故障响应组织架构和响应时间的可行性方案，以及对本项目售后服务承诺的范围和完善程度(包括保修年限，保修部件范围，保修、服务标准，故障响应修复时间方式及保障措施等)</w:t>
            </w:r>
            <w:r>
              <w:rPr>
                <w:rFonts w:hint="eastAsia" w:ascii="宋体" w:hAnsi="宋体" w:cs="宋体"/>
                <w:color w:val="auto"/>
                <w:kern w:val="0"/>
                <w:sz w:val="24"/>
                <w:szCs w:val="24"/>
                <w:lang w:val="en-US" w:eastAsia="zh-CN"/>
              </w:rPr>
              <w:t>，</w:t>
            </w:r>
            <w:r>
              <w:rPr>
                <w:rFonts w:hint="eastAsia" w:ascii="宋体" w:hAnsi="宋体" w:cs="宋体"/>
                <w:color w:val="auto"/>
                <w:kern w:val="0"/>
                <w:sz w:val="24"/>
                <w:szCs w:val="24"/>
              </w:rPr>
              <w:t>售</w:t>
            </w:r>
            <w:r>
              <w:rPr>
                <w:rFonts w:hint="eastAsia" w:ascii="宋体" w:hAnsi="宋体" w:eastAsia="宋体" w:cs="宋体"/>
                <w:color w:val="auto"/>
                <w:sz w:val="24"/>
                <w:szCs w:val="24"/>
              </w:rPr>
              <w:t>后服务承诺的范围全面完善的得</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，承诺范围不够全面但基本可行的得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r>
              <w:rPr>
                <w:rFonts w:hint="eastAsia" w:ascii="宋体" w:hAnsi="宋体" w:eastAsia="宋体" w:cs="宋体"/>
                <w:sz w:val="24"/>
                <w:szCs w:val="24"/>
              </w:rPr>
              <w:t>商务资信分</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9</w:t>
            </w:r>
            <w:r>
              <w:rPr>
                <w:rFonts w:hint="eastAsia" w:ascii="宋体" w:hAnsi="宋体" w:eastAsia="宋体" w:cs="宋体"/>
                <w:sz w:val="24"/>
                <w:szCs w:val="24"/>
              </w:rPr>
              <w:t>分）</w:t>
            </w: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诚信分</w:t>
            </w:r>
          </w:p>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相关认证</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或投标产品制造商</w:t>
            </w:r>
            <w:r>
              <w:rPr>
                <w:rFonts w:hint="eastAsia" w:ascii="宋体" w:hAnsi="宋体" w:eastAsia="宋体" w:cs="宋体"/>
                <w:color w:val="auto"/>
                <w:sz w:val="24"/>
                <w:szCs w:val="24"/>
              </w:rPr>
              <w:t>具有有效期内的ISO质量管理体系认证证书、ISO环境管理体系认证证书、ISO职业健康安全管理体系认证证书的每项得1分。最高得3分。</w:t>
            </w:r>
          </w:p>
          <w:p>
            <w:pPr>
              <w:keepNext w:val="0"/>
              <w:keepLines w:val="0"/>
              <w:pageBreakBefore w:val="0"/>
              <w:widowControl/>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注：</w:t>
            </w:r>
            <w:r>
              <w:rPr>
                <w:rFonts w:hint="eastAsia" w:ascii="宋体" w:hAnsi="宋体" w:cs="宋体"/>
                <w:color w:val="auto"/>
                <w:szCs w:val="24"/>
              </w:rPr>
              <w:t>需在资信商务及技术文件中</w:t>
            </w:r>
            <w:r>
              <w:rPr>
                <w:rFonts w:hint="eastAsia" w:ascii="宋体" w:hAnsi="宋体" w:cs="宋体"/>
                <w:color w:val="auto"/>
                <w:szCs w:val="24"/>
                <w:lang w:val="zh-CN"/>
              </w:rPr>
              <w:t>提供证书</w:t>
            </w:r>
            <w:r>
              <w:rPr>
                <w:rFonts w:hint="eastAsia" w:ascii="宋体" w:hAnsi="宋体" w:cs="宋体"/>
                <w:color w:val="auto"/>
                <w:szCs w:val="24"/>
              </w:rPr>
              <w:t>扫描件</w:t>
            </w:r>
            <w:r>
              <w:rPr>
                <w:rFonts w:hint="eastAsia" w:ascii="宋体" w:hAnsi="宋体" w:cs="宋体"/>
                <w:color w:val="auto"/>
                <w:szCs w:val="24"/>
                <w:lang w:val="zh-CN"/>
              </w:rPr>
              <w:t>并加盖投标</w:t>
            </w:r>
            <w:r>
              <w:rPr>
                <w:rFonts w:hint="eastAsia" w:ascii="宋体" w:hAnsi="宋体" w:cs="宋体"/>
                <w:color w:val="auto"/>
                <w:szCs w:val="24"/>
              </w:rPr>
              <w:t>单位CA</w:t>
            </w:r>
            <w:r>
              <w:rPr>
                <w:rFonts w:hint="eastAsia" w:ascii="宋体" w:hAnsi="宋体" w:cs="宋体"/>
                <w:color w:val="auto"/>
                <w:szCs w:val="24"/>
                <w:lang w:val="zh-CN"/>
              </w:rPr>
              <w:t>公章，</w:t>
            </w:r>
            <w:r>
              <w:rPr>
                <w:rFonts w:hint="eastAsia" w:ascii="宋体" w:hAnsi="宋体" w:cs="宋体"/>
                <w:color w:val="auto"/>
                <w:szCs w:val="24"/>
              </w:rPr>
              <w:t>未</w:t>
            </w:r>
            <w:r>
              <w:rPr>
                <w:rFonts w:hint="eastAsia" w:ascii="宋体" w:hAnsi="宋体" w:cs="宋体"/>
                <w:color w:val="auto"/>
                <w:szCs w:val="24"/>
                <w:lang w:val="zh-CN"/>
              </w:rPr>
              <w:t>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业绩（3分）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投标人自20</w:t>
            </w: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年1月1日</w:t>
            </w:r>
            <w:r>
              <w:rPr>
                <w:rFonts w:hint="eastAsia" w:ascii="宋体" w:hAnsi="宋体" w:eastAsia="宋体" w:cs="宋体"/>
                <w:bCs/>
                <w:color w:val="auto"/>
                <w:sz w:val="24"/>
                <w:szCs w:val="24"/>
                <w:highlight w:val="none"/>
              </w:rPr>
              <w:t>（以合同签订时间为准）以来，承担过的</w:t>
            </w:r>
            <w:r>
              <w:rPr>
                <w:rFonts w:hint="eastAsia" w:ascii="宋体" w:hAnsi="宋体" w:eastAsia="宋体" w:cs="宋体"/>
                <w:bCs/>
                <w:color w:val="auto"/>
                <w:sz w:val="24"/>
                <w:szCs w:val="24"/>
                <w:highlight w:val="none"/>
                <w:lang w:val="en-US" w:eastAsia="zh-CN"/>
              </w:rPr>
              <w:t>同类</w:t>
            </w:r>
            <w:r>
              <w:rPr>
                <w:rFonts w:hint="eastAsia" w:ascii="宋体" w:hAnsi="宋体" w:eastAsia="宋体" w:cs="宋体"/>
                <w:bCs/>
                <w:color w:val="auto"/>
                <w:sz w:val="24"/>
                <w:szCs w:val="24"/>
                <w:highlight w:val="none"/>
              </w:rPr>
              <w:t>项目业绩</w:t>
            </w:r>
            <w:r>
              <w:rPr>
                <w:rFonts w:hint="eastAsia" w:ascii="宋体" w:hAnsi="宋体" w:eastAsia="宋体" w:cs="宋体"/>
                <w:color w:val="auto"/>
                <w:sz w:val="24"/>
                <w:szCs w:val="24"/>
                <w:highlight w:val="none"/>
              </w:rPr>
              <w:t>，每个得1分，最多得3分</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lang w:val="en-US" w:eastAsia="zh-CN"/>
              </w:rPr>
              <w:t>注：</w:t>
            </w:r>
            <w:r>
              <w:rPr>
                <w:rFonts w:hint="eastAsia" w:ascii="宋体" w:hAnsi="宋体" w:eastAsia="宋体" w:cs="宋体"/>
                <w:b/>
                <w:bCs/>
                <w:color w:val="auto"/>
                <w:sz w:val="24"/>
                <w:szCs w:val="24"/>
                <w:highlight w:val="none"/>
              </w:rPr>
              <w:t>资</w:t>
            </w:r>
            <w:r>
              <w:rPr>
                <w:rFonts w:hint="eastAsia" w:ascii="宋体" w:hAnsi="宋体" w:eastAsia="宋体" w:cs="宋体"/>
                <w:b/>
                <w:color w:val="auto"/>
                <w:sz w:val="24"/>
                <w:szCs w:val="24"/>
                <w:highlight w:val="none"/>
              </w:rPr>
              <w:t>信商务及技术文件中</w:t>
            </w:r>
            <w:r>
              <w:rPr>
                <w:rFonts w:hint="eastAsia" w:ascii="宋体" w:hAnsi="宋体" w:cs="宋体"/>
                <w:b/>
                <w:color w:val="auto"/>
                <w:sz w:val="24"/>
                <w:szCs w:val="24"/>
                <w:highlight w:val="none"/>
                <w:lang w:val="en-US" w:eastAsia="zh-CN"/>
              </w:rPr>
              <w:t>同时</w:t>
            </w:r>
            <w:r>
              <w:rPr>
                <w:rFonts w:hint="eastAsia" w:ascii="宋体" w:hAnsi="宋体" w:eastAsia="宋体" w:cs="宋体"/>
                <w:b/>
                <w:color w:val="auto"/>
                <w:sz w:val="24"/>
                <w:szCs w:val="24"/>
                <w:highlight w:val="none"/>
              </w:rPr>
              <w:t>提供项目合同</w:t>
            </w:r>
            <w:r>
              <w:rPr>
                <w:rFonts w:hint="eastAsia" w:ascii="宋体" w:hAnsi="宋体" w:cs="宋体"/>
                <w:b/>
                <w:color w:val="auto"/>
                <w:sz w:val="24"/>
                <w:szCs w:val="24"/>
                <w:highlight w:val="none"/>
                <w:lang w:val="en-US" w:eastAsia="zh-CN"/>
              </w:rPr>
              <w:t>和验收合格证明材料</w:t>
            </w:r>
            <w:r>
              <w:rPr>
                <w:rFonts w:hint="eastAsia" w:ascii="宋体" w:hAnsi="宋体" w:eastAsia="宋体" w:cs="宋体"/>
                <w:b/>
                <w:color w:val="auto"/>
                <w:sz w:val="24"/>
                <w:szCs w:val="24"/>
                <w:highlight w:val="none"/>
              </w:rPr>
              <w:t>扫描件并加盖投标人CA公章，否则不得分。</w:t>
            </w:r>
          </w:p>
        </w:tc>
      </w:tr>
    </w:tbl>
    <w:p>
      <w:pPr>
        <w:pStyle w:val="97"/>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7"/>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2.投标文件中应提供有关证明材料扫描件并加盖CA公章。</w:t>
      </w:r>
    </w:p>
    <w:p>
      <w:pPr>
        <w:pStyle w:val="97"/>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7"/>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footerReference r:id="rId12" w:type="default"/>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5"/>
        <w:ind w:firstLine="723"/>
        <w:rPr>
          <w:color w:val="000000"/>
          <w:sz w:val="36"/>
          <w:szCs w:val="36"/>
        </w:rPr>
      </w:pPr>
      <w:bookmarkStart w:id="35" w:name="_Toc16174"/>
      <w:r>
        <w:rPr>
          <w:rFonts w:hint="eastAsia"/>
          <w:color w:val="000000"/>
          <w:sz w:val="36"/>
          <w:szCs w:val="36"/>
        </w:rPr>
        <w:t xml:space="preserve">第五章  </w:t>
      </w:r>
      <w:r>
        <w:rPr>
          <w:rFonts w:hint="eastAsia"/>
          <w:sz w:val="36"/>
          <w:szCs w:val="36"/>
        </w:rPr>
        <w:t>嘉善县政府采购合同</w:t>
      </w:r>
      <w:bookmarkEnd w:id="35"/>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政府采购计划（预算）确认书编号：</w:t>
      </w:r>
      <w:r>
        <w:rPr>
          <w:rFonts w:hint="eastAsia" w:ascii="宋体" w:hAnsi="宋体" w:cs="宋体"/>
          <w:color w:val="auto"/>
          <w:szCs w:val="24"/>
        </w:rPr>
        <w:t>善财采确</w:t>
      </w:r>
      <w:r>
        <w:rPr>
          <w:rFonts w:hint="eastAsia" w:ascii="宋体" w:hAnsi="宋体" w:cs="宋体"/>
          <w:color w:val="auto"/>
          <w:szCs w:val="24"/>
          <w:lang w:val="en-US" w:eastAsia="zh-CN"/>
        </w:rPr>
        <w:t>临</w:t>
      </w:r>
      <w:r>
        <w:rPr>
          <w:rFonts w:hint="eastAsia" w:ascii="宋体" w:hAnsi="宋体" w:cs="宋体"/>
          <w:color w:val="auto"/>
          <w:szCs w:val="24"/>
        </w:rPr>
        <w:t>[2022]</w:t>
      </w:r>
      <w:r>
        <w:rPr>
          <w:rFonts w:hint="eastAsia" w:ascii="宋体" w:hAnsi="宋体" w:cs="宋体"/>
          <w:color w:val="auto"/>
          <w:szCs w:val="24"/>
          <w:lang w:val="en-US" w:eastAsia="zh-CN"/>
        </w:rPr>
        <w:t>6308</w:t>
      </w:r>
      <w:r>
        <w:rPr>
          <w:rFonts w:hint="eastAsia" w:ascii="宋体" w:hAnsi="宋体" w:cs="宋体"/>
          <w:color w:val="auto"/>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130.0</w:t>
      </w:r>
      <w:r>
        <w:rPr>
          <w:rFonts w:hint="eastAsia" w:ascii="宋体" w:hAnsi="宋体" w:cs="宋体"/>
          <w:kern w:val="0"/>
        </w:rPr>
        <w:t>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嘉善技师学院（筹）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w:t>
      </w:r>
      <w:r>
        <w:rPr>
          <w:rFonts w:hint="eastAsia" w:ascii="宋体" w:hAnsi="宋体" w:cs="宋体"/>
          <w:color w:val="000000"/>
          <w:kern w:val="0"/>
          <w:u w:val="single"/>
          <w:lang w:eastAsia="zh-CN"/>
        </w:rPr>
        <w:t>G78</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lang w:eastAsia="zh-CN"/>
        </w:rPr>
        <w:t>嘉善技师学院（筹）购置培训教学仪器设备（电子电工实训室电源台实训设备）</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lang w:eastAsia="zh-CN"/>
        </w:rPr>
        <w:t>嘉善技师学院（筹）购置培训教学仪器设备（电子电工实训室电源台实训设备）</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color w:val="auto"/>
          <w:kern w:val="0"/>
        </w:rPr>
      </w:pPr>
      <w:r>
        <w:rPr>
          <w:rFonts w:hint="eastAsia" w:ascii="宋体" w:hAnsi="宋体" w:cs="宋体"/>
          <w:kern w:val="0"/>
        </w:rPr>
        <w:t>（1）一次性付</w:t>
      </w:r>
      <w:r>
        <w:rPr>
          <w:rFonts w:hint="eastAsia" w:ascii="宋体" w:hAnsi="宋体" w:cs="宋体"/>
          <w:color w:val="auto"/>
          <w:kern w:val="0"/>
        </w:rPr>
        <w:t>款：</w:t>
      </w:r>
      <w:r>
        <w:rPr>
          <w:rFonts w:hint="eastAsia" w:ascii="宋体" w:hAnsi="宋体"/>
          <w:color w:val="auto"/>
        </w:rPr>
        <w:t>/。</w:t>
      </w:r>
    </w:p>
    <w:p>
      <w:pPr>
        <w:snapToGrid w:val="0"/>
        <w:spacing w:line="300" w:lineRule="auto"/>
        <w:ind w:firstLine="480"/>
        <w:contextualSpacing/>
        <w:rPr>
          <w:rFonts w:ascii="宋体" w:hAnsi="宋体" w:cs="宋体"/>
          <w:b/>
          <w:color w:val="auto"/>
          <w:kern w:val="0"/>
          <w:u w:val="single"/>
        </w:rPr>
      </w:pPr>
      <w:r>
        <w:rPr>
          <w:rFonts w:hint="eastAsia" w:ascii="宋体" w:hAnsi="宋体" w:cs="宋体"/>
          <w:color w:val="auto"/>
          <w:kern w:val="0"/>
        </w:rPr>
        <w:t>（2）分期付款：</w:t>
      </w:r>
      <w:r>
        <w:rPr>
          <w:rFonts w:hint="eastAsia" w:ascii="宋体" w:hAnsi="宋体" w:cs="宋体"/>
          <w:color w:val="auto"/>
          <w:szCs w:val="24"/>
          <w:highlight w:val="none"/>
        </w:rPr>
        <w:t>合同生效以及具备实施条件后7个工作日内支付项目合同总金额的40%作为预付款，</w:t>
      </w:r>
      <w:r>
        <w:rPr>
          <w:rFonts w:hint="eastAsia" w:hAnsi="宋体"/>
          <w:color w:val="auto"/>
          <w:sz w:val="24"/>
          <w:highlight w:val="none"/>
        </w:rPr>
        <w:t>货到安装调试完毕，经采购人验收合格且正常运行后一个月内付清</w:t>
      </w:r>
      <w:r>
        <w:rPr>
          <w:rFonts w:hint="eastAsia" w:hAnsi="宋体"/>
          <w:color w:val="auto"/>
          <w:sz w:val="24"/>
          <w:highlight w:val="none"/>
          <w:lang w:val="en-US" w:eastAsia="zh-CN"/>
        </w:rPr>
        <w:t>余款</w:t>
      </w:r>
      <w:r>
        <w:rPr>
          <w:rFonts w:hint="eastAsia" w:hAnsi="宋体"/>
          <w:color w:val="auto"/>
          <w:sz w:val="24"/>
          <w:highlight w:val="none"/>
        </w:rPr>
        <w:t>。</w:t>
      </w:r>
    </w:p>
    <w:p>
      <w:pPr>
        <w:ind w:firstLine="482"/>
        <w:rPr>
          <w:rFonts w:ascii="宋体" w:hAnsi="宋体" w:cs="宋体"/>
          <w:b/>
          <w:color w:val="auto"/>
          <w:kern w:val="0"/>
        </w:rPr>
      </w:pPr>
      <w:r>
        <w:rPr>
          <w:rFonts w:hint="eastAsia" w:ascii="宋体" w:hAnsi="宋体" w:cs="宋体"/>
          <w:b/>
          <w:color w:val="auto"/>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按以下第</w:t>
      </w:r>
      <w:r>
        <w:rPr>
          <w:rFonts w:hint="eastAsia" w:ascii="宋体" w:hAnsi="宋体" w:cs="宋体"/>
          <w:color w:val="auto"/>
          <w:kern w:val="0"/>
          <w:u w:val="single"/>
        </w:rPr>
        <w:t xml:space="preserve">   </w:t>
      </w:r>
      <w:r>
        <w:rPr>
          <w:rFonts w:hint="eastAsia" w:ascii="宋体" w:hAnsi="宋体" w:cs="宋体"/>
          <w:color w:val="auto"/>
          <w:kern w:val="0"/>
          <w:u w:val="single"/>
          <w:lang w:val="en-US" w:eastAsia="zh-CN"/>
        </w:rPr>
        <w:t>2</w:t>
      </w:r>
      <w:r>
        <w:rPr>
          <w:rFonts w:hint="eastAsia" w:ascii="宋体" w:hAnsi="宋体" w:cs="宋体"/>
          <w:color w:val="auto"/>
          <w:kern w:val="0"/>
          <w:u w:val="single"/>
        </w:rPr>
        <w:t xml:space="preserve">   </w:t>
      </w:r>
      <w:r>
        <w:rPr>
          <w:rFonts w:hint="eastAsia" w:ascii="宋体" w:hAnsi="宋体" w:cs="宋体"/>
          <w:color w:val="auto"/>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w:t>
      </w:r>
      <w:r>
        <w:rPr>
          <w:rFonts w:hint="eastAsia" w:ascii="宋体" w:hAnsi="宋体" w:cs="宋体"/>
          <w:color w:val="000000"/>
          <w:kern w:val="0"/>
        </w:rPr>
        <w:t>本项目设置履约保证金，乙方应于</w:t>
      </w:r>
      <w:r>
        <w:rPr>
          <w:rFonts w:hint="eastAsia" w:ascii="宋体" w:hAnsi="宋体" w:cs="宋体"/>
          <w:szCs w:val="24"/>
          <w:u w:val="single"/>
          <w:lang w:val="en-US" w:eastAsia="zh-CN"/>
        </w:rPr>
        <w:t>/</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lang w:val="en-US" w:eastAsia="zh-CN"/>
        </w:rPr>
        <w:t>/</w:t>
      </w:r>
      <w:r>
        <w:rPr>
          <w:rFonts w:hint="eastAsia" w:ascii="宋体" w:hAnsi="宋体" w:cs="宋体"/>
          <w:color w:val="000000"/>
          <w:kern w:val="0"/>
        </w:rPr>
        <w:t>元，履约保证金在</w:t>
      </w:r>
      <w:r>
        <w:rPr>
          <w:rFonts w:hint="eastAsia" w:ascii="宋体" w:hAnsi="宋体" w:cs="宋体"/>
          <w:kern w:val="0"/>
          <w:szCs w:val="24"/>
          <w:lang w:val="en-US" w:eastAsia="zh-CN"/>
        </w:rPr>
        <w:t>项目验收合格</w:t>
      </w:r>
      <w:r>
        <w:rPr>
          <w:rFonts w:hint="eastAsia" w:ascii="宋体" w:hAnsi="宋体" w:cs="宋体"/>
          <w:kern w:val="0"/>
          <w:szCs w:val="24"/>
        </w:rPr>
        <w:t>后</w:t>
      </w:r>
      <w:r>
        <w:rPr>
          <w:rFonts w:hint="eastAsia" w:ascii="宋体" w:hAnsi="宋体" w:cs="宋体"/>
          <w:szCs w:val="24"/>
        </w:rPr>
        <w:t>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bCs/>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kern w:val="0"/>
          <w:sz w:val="24"/>
          <w:szCs w:val="24"/>
        </w:rPr>
        <w:t>交货期：</w:t>
      </w:r>
      <w:r>
        <w:rPr>
          <w:rFonts w:hint="eastAsia" w:ascii="宋体" w:hAnsi="宋体" w:eastAsia="宋体" w:cs="宋体"/>
          <w:b w:val="0"/>
          <w:bCs w:val="0"/>
          <w:color w:val="auto"/>
          <w:sz w:val="24"/>
          <w:szCs w:val="24"/>
          <w:highlight w:val="none"/>
          <w:lang w:val="en-US" w:eastAsia="zh-CN"/>
        </w:rPr>
        <w:t>合同签订后</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CN"/>
        </w:rPr>
        <w:t>日历天内送货到学校指定地点、完成安装调试，并协助</w:t>
      </w:r>
      <w:r>
        <w:rPr>
          <w:rFonts w:hint="eastAsia" w:ascii="宋体" w:hAnsi="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lang w:val="en-US" w:eastAsia="zh-CN"/>
        </w:rPr>
        <w:t>完成验收工作，由于</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原因不能在此日期前供货验收的，由此造成的损失由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自行承担</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70" w:firstLineChars="196"/>
        <w:rPr>
          <w:rFonts w:hint="eastAsia" w:ascii="宋体" w:hAnsi="宋体" w:eastAsia="宋体" w:cs="宋体"/>
          <w:kern w:val="0"/>
          <w:sz w:val="24"/>
          <w:szCs w:val="24"/>
        </w:rPr>
      </w:pPr>
      <w:r>
        <w:rPr>
          <w:rFonts w:hint="eastAsia" w:ascii="宋体" w:hAnsi="宋体" w:eastAsia="宋体" w:cs="宋体"/>
          <w:color w:val="000000"/>
          <w:sz w:val="24"/>
          <w:szCs w:val="24"/>
        </w:rPr>
        <w:t>质保期：</w:t>
      </w:r>
      <w:r>
        <w:rPr>
          <w:rFonts w:hint="eastAsia" w:ascii="宋体" w:hAnsi="宋体" w:eastAsia="宋体" w:cs="宋体"/>
          <w:kern w:val="0"/>
          <w:sz w:val="24"/>
          <w:szCs w:val="24"/>
        </w:rPr>
        <w:t>质保期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rPr>
        <w:t>故障响应及修复</w:t>
      </w:r>
      <w:r>
        <w:rPr>
          <w:rFonts w:hint="eastAsia" w:ascii="宋体" w:hAnsi="宋体" w:eastAsia="宋体" w:cs="宋体"/>
          <w:kern w:val="0"/>
          <w:sz w:val="24"/>
          <w:szCs w:val="24"/>
          <w:highlight w:val="none"/>
        </w:rPr>
        <w:t>：接到故障电话1小时内派技术人员远程支持，远程支持无法解决的问题24小时内上门解决问题。紧急问题在4个小时内解决。</w:t>
      </w:r>
    </w:p>
    <w:p>
      <w:pPr>
        <w:autoSpaceDE w:val="0"/>
        <w:autoSpaceDN w:val="0"/>
        <w:adjustRightIn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highlight w:val="none"/>
        </w:rPr>
        <w:t>要求免费提供配套的产品资料</w:t>
      </w:r>
      <w:r>
        <w:rPr>
          <w:rFonts w:hint="eastAsia" w:ascii="宋体" w:hAnsi="宋体" w:eastAsia="宋体" w:cs="宋体"/>
          <w:kern w:val="0"/>
          <w:sz w:val="24"/>
          <w:szCs w:val="24"/>
        </w:rPr>
        <w:t>，包括产品安装使用手册、功能模块说明书、用户使用手册、帮助文档等。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lang w:eastAsia="zh-CN"/>
        </w:rPr>
        <w:t>嘉善技师学院（筹）购置培训教学仪器设备（电子电工实训室电源台实训设备）</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1.本项目不允许转包。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r>
        <w:rPr>
          <w:rFonts w:ascii="宋体" w:hAnsi="宋体" w:cs="宋体"/>
          <w:color w:val="000000" w:themeColor="text1"/>
          <w:szCs w:val="24"/>
          <w14:textFill>
            <w14:solidFill>
              <w14:schemeClr w14:val="tx1"/>
            </w14:solidFill>
          </w14:textFill>
        </w:rPr>
        <w:t>本项目</w:t>
      </w:r>
      <w:r>
        <w:rPr>
          <w:rFonts w:hint="eastAsia" w:ascii="宋体" w:hAnsi="宋体" w:cs="宋体"/>
          <w:color w:val="000000" w:themeColor="text1"/>
          <w:szCs w:val="24"/>
          <w14:textFill>
            <w14:solidFill>
              <w14:schemeClr w14:val="tx1"/>
            </w14:solidFill>
          </w14:textFill>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keepNext w:val="0"/>
        <w:keepLines w:val="0"/>
        <w:pageBreakBefore w:val="0"/>
        <w:widowControl w:val="0"/>
        <w:kinsoku/>
        <w:wordWrap/>
        <w:overflowPunct/>
        <w:topLinePunct w:val="0"/>
        <w:autoSpaceDE/>
        <w:autoSpaceDN/>
        <w:bidi w:val="0"/>
        <w:adjustRightInd/>
        <w:snapToGrid/>
        <w:ind w:firstLine="482"/>
        <w:textAlignment w:val="auto"/>
        <w:rPr>
          <w:rFonts w:ascii="宋体" w:hAnsi="宋体" w:cs="宋体"/>
          <w:b/>
          <w:bCs/>
          <w:kern w:val="0"/>
        </w:rPr>
      </w:pPr>
      <w:r>
        <w:rPr>
          <w:rFonts w:hint="eastAsia" w:ascii="宋体" w:hAnsi="宋体" w:cs="宋体"/>
          <w:b/>
          <w:bCs/>
          <w:kern w:val="0"/>
        </w:rPr>
        <w:t>第一条 违约责任</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rPr>
      </w:pPr>
      <w:r>
        <w:rPr>
          <w:rFonts w:hint="eastAsia" w:ascii="宋体" w:hAnsi="宋体" w:cs="宋体"/>
          <w:szCs w:val="24"/>
        </w:rPr>
        <w:t>签订合同后，如</w:t>
      </w:r>
      <w:r>
        <w:rPr>
          <w:rFonts w:hint="eastAsia" w:ascii="宋体" w:hAnsi="宋体" w:cs="宋体"/>
          <w:szCs w:val="24"/>
          <w:lang w:val="en-US" w:eastAsia="zh-CN"/>
        </w:rPr>
        <w:t>乙方</w:t>
      </w:r>
      <w:r>
        <w:rPr>
          <w:rFonts w:hint="eastAsia" w:ascii="宋体" w:hAnsi="宋体" w:cs="宋体"/>
          <w:szCs w:val="24"/>
        </w:rPr>
        <w:t>不按双方签订合同约定履约，则按实际损失赔偿</w:t>
      </w:r>
      <w:r>
        <w:rPr>
          <w:rFonts w:hint="eastAsia" w:ascii="宋体" w:hAnsi="宋体" w:cs="宋体"/>
          <w:szCs w:val="24"/>
          <w:lang w:val="en-US" w:eastAsia="zh-CN"/>
        </w:rPr>
        <w:t>甲方</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ind w:firstLine="482"/>
        <w:textAlignment w:val="auto"/>
        <w:rPr>
          <w:rFonts w:hint="eastAsia" w:ascii="宋体" w:hAnsi="宋体"/>
          <w:b/>
        </w:rPr>
      </w:pPr>
      <w:r>
        <w:rPr>
          <w:rFonts w:hint="eastAsia" w:ascii="宋体" w:hAnsi="宋体"/>
          <w:b/>
        </w:rPr>
        <w:t>第</w:t>
      </w:r>
      <w:r>
        <w:rPr>
          <w:rFonts w:hint="eastAsia" w:ascii="宋体" w:hAnsi="宋体"/>
          <w:b/>
          <w:lang w:val="en-US" w:eastAsia="zh-CN"/>
        </w:rPr>
        <w:t>二</w:t>
      </w:r>
      <w:r>
        <w:rPr>
          <w:rFonts w:hint="eastAsia" w:ascii="宋体" w:hAnsi="宋体"/>
          <w:b/>
        </w:rPr>
        <w:t>条 不可抗力事件处理</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ascii="宋体" w:hAnsi="宋体" w:cs="宋体"/>
        </w:rPr>
        <w:t>1</w:t>
      </w:r>
      <w:r>
        <w:rPr>
          <w:rFonts w:hint="eastAsia" w:ascii="宋体" w:hAnsi="宋体" w:cs="宋体"/>
          <w:lang w:val="en-US" w:eastAsia="zh-CN"/>
        </w:rPr>
        <w:t>.</w:t>
      </w:r>
      <w:r>
        <w:rPr>
          <w:rFonts w:hint="eastAsia" w:ascii="宋体" w:hAnsi="宋体" w:cs="宋体"/>
        </w:rPr>
        <w:t>在合同有效期内，任何一方因不可抗力事件导致不能履行合同的，合同履行期可延长，其延长期与不可抗力影响期相同。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ascii="宋体" w:hAnsi="宋体" w:cs="宋体"/>
        </w:rPr>
        <w:t>2</w:t>
      </w:r>
      <w:r>
        <w:rPr>
          <w:rFonts w:hint="eastAsia" w:ascii="宋体" w:hAnsi="宋体" w:cs="宋体"/>
          <w:lang w:val="en-US" w:eastAsia="zh-CN"/>
        </w:rPr>
        <w:t>.</w:t>
      </w:r>
      <w:r>
        <w:rPr>
          <w:rFonts w:hint="eastAsia" w:ascii="宋体" w:hAnsi="宋体" w:cs="宋体"/>
        </w:rPr>
        <w:t>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cs="宋体"/>
        </w:rPr>
      </w:pPr>
      <w:r>
        <w:rPr>
          <w:rFonts w:ascii="宋体" w:hAnsi="宋体" w:cs="宋体"/>
        </w:rPr>
        <w:t>3</w:t>
      </w:r>
      <w:r>
        <w:rPr>
          <w:rFonts w:hint="eastAsia" w:ascii="宋体" w:hAnsi="宋体" w:cs="宋体"/>
          <w:lang w:val="en-US" w:eastAsia="zh-CN"/>
        </w:rPr>
        <w:t>.</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ind w:firstLine="482"/>
        <w:textAlignment w:val="auto"/>
        <w:rPr>
          <w:rFonts w:ascii="宋体" w:hAnsi="宋体" w:cs="宋体"/>
          <w:b/>
          <w:bCs/>
          <w:kern w:val="0"/>
        </w:rPr>
      </w:pPr>
      <w:r>
        <w:rPr>
          <w:rFonts w:hint="eastAsia" w:ascii="宋体" w:hAnsi="宋体" w:cs="宋体"/>
          <w:b/>
          <w:bCs/>
          <w:kern w:val="0"/>
        </w:rPr>
        <w:t>第</w:t>
      </w:r>
      <w:r>
        <w:rPr>
          <w:rFonts w:hint="eastAsia" w:ascii="宋体" w:hAnsi="宋体" w:cs="宋体"/>
          <w:b/>
          <w:bCs/>
          <w:kern w:val="0"/>
          <w:lang w:val="en-US" w:eastAsia="zh-CN"/>
        </w:rPr>
        <w:t>三</w:t>
      </w:r>
      <w:r>
        <w:rPr>
          <w:rFonts w:hint="eastAsia" w:ascii="宋体" w:hAnsi="宋体" w:cs="宋体"/>
          <w:b/>
          <w:bCs/>
          <w:kern w:val="0"/>
        </w:rPr>
        <w:t>条 合同有效期</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22"/>
        <w:wordWrap w:val="0"/>
        <w:snapToGrid w:val="0"/>
        <w:spacing w:before="120" w:after="120" w:line="300" w:lineRule="auto"/>
        <w:ind w:right="480" w:firstLine="3480" w:firstLineChars="1450"/>
        <w:rPr>
          <w:rFonts w:hAnsi="宋体" w:cs="宋体"/>
          <w:sz w:val="24"/>
          <w:szCs w:val="24"/>
        </w:rPr>
      </w:pPr>
      <w:r>
        <w:rPr>
          <w:rFonts w:hint="eastAsia" w:hAnsi="宋体" w:cs="宋体"/>
          <w:sz w:val="24"/>
          <w:szCs w:val="24"/>
        </w:rPr>
        <w:t>签约地点：</w:t>
      </w:r>
    </w:p>
    <w:p>
      <w:pPr>
        <w:pStyle w:val="22"/>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p>
    <w:tbl>
      <w:tblPr>
        <w:tblStyle w:val="38"/>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22"/>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pgBorders>
            <w:top w:val="none" w:sz="0" w:space="0"/>
            <w:left w:val="none" w:sz="0" w:space="0"/>
            <w:bottom w:val="none" w:sz="0" w:space="0"/>
            <w:right w:val="none" w:sz="0" w:space="0"/>
          </w:pgBorders>
          <w:cols w:space="720" w:num="1"/>
          <w:docGrid w:linePitch="381" w:charSpace="0"/>
        </w:sectPr>
      </w:pPr>
    </w:p>
    <w:p>
      <w:pPr>
        <w:pStyle w:val="22"/>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22"/>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22"/>
        <w:wordWrap w:val="0"/>
        <w:snapToGrid w:val="0"/>
        <w:spacing w:before="120" w:after="120" w:line="300" w:lineRule="auto"/>
        <w:ind w:right="480" w:firstLine="420"/>
        <w:rPr>
          <w:rFonts w:hAnsi="宋体" w:cs="宋体"/>
          <w:color w:val="000000"/>
        </w:rPr>
      </w:pPr>
    </w:p>
    <w:p>
      <w:pPr>
        <w:pStyle w:val="35"/>
        <w:ind w:firstLine="643"/>
      </w:pPr>
      <w:bookmarkStart w:id="36" w:name="_Toc1672"/>
      <w:r>
        <w:rPr>
          <w:rFonts w:hint="eastAsia"/>
        </w:rPr>
        <w:t>第六章  投标文件格式</w:t>
      </w:r>
      <w:bookmarkEnd w:id="36"/>
    </w:p>
    <w:p>
      <w:pPr>
        <w:pStyle w:val="22"/>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嘉善技师学院（筹）购置培训教学仪器设备（电子电工实训室电源台实训设备）</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G78</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嘉善技师学院（筹）购置培训教学仪器设备（电子电工实训室电源台实训设备）</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G78</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7</w:t>
            </w:r>
          </w:p>
        </w:tc>
        <w:tc>
          <w:tcPr>
            <w:tcW w:w="5595" w:type="dxa"/>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rPr>
              <w:t>中小企业声明函或监狱和戒毒企业企业证明材料或残疾人福利性单位声明函（格式见第六章）</w:t>
            </w:r>
          </w:p>
        </w:tc>
        <w:tc>
          <w:tcPr>
            <w:tcW w:w="1886" w:type="dxa"/>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widowControl/>
        <w:ind w:firstLine="480"/>
        <w:jc w:val="left"/>
        <w:rPr>
          <w:rFonts w:ascii="宋体" w:hAnsi="宋体"/>
          <w:b/>
          <w:color w:val="FF0000"/>
          <w:szCs w:val="24"/>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275" w:firstLineChars="98"/>
        <w:jc w:val="center"/>
        <w:rPr>
          <w:rFonts w:hint="eastAsia" w:ascii="宋体" w:hAnsi="宋体" w:cs="宋体"/>
          <w:b/>
          <w:bCs/>
          <w:sz w:val="28"/>
          <w:szCs w:val="28"/>
        </w:rPr>
      </w:pPr>
      <w:r>
        <w:rPr>
          <w:rFonts w:hint="eastAsia" w:ascii="宋体" w:hAnsi="宋体" w:cs="宋体"/>
          <w:b/>
          <w:bCs/>
          <w:sz w:val="28"/>
          <w:szCs w:val="28"/>
        </w:rPr>
        <w:t>中小企业声明函（货物）</w:t>
      </w:r>
    </w:p>
    <w:p>
      <w:pPr>
        <w:keepNext w:val="0"/>
        <w:keepLines w:val="0"/>
        <w:pageBreakBefore w:val="0"/>
        <w:widowControl/>
        <w:kinsoku/>
        <w:wordWrap/>
        <w:overflowPunct/>
        <w:topLinePunct w:val="0"/>
        <w:bidi w:val="0"/>
        <w:adjustRightInd/>
        <w:snapToGrid/>
        <w:spacing w:line="300" w:lineRule="auto"/>
        <w:ind w:firstLine="480"/>
        <w:jc w:val="left"/>
        <w:textAlignment w:val="auto"/>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嘉善技师学院（筹）</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szCs w:val="24"/>
          <w:u w:val="single"/>
          <w:lang w:eastAsia="zh-CN"/>
        </w:rPr>
        <w:t>嘉善技师学院（筹）购置培训教学仪器设备（电子电工实训室电源台实训设备）</w:t>
      </w:r>
      <w:r>
        <w:rPr>
          <w:rFonts w:hint="eastAsia" w:ascii="宋体" w:hAnsi="宋体" w:cs="宋体"/>
          <w:szCs w:val="24"/>
          <w:u w:val="single"/>
        </w:rPr>
        <w:t>）</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5"/>
        <w:keepNext w:val="0"/>
        <w:keepLines w:val="0"/>
        <w:pageBreakBefore w:val="0"/>
        <w:tabs>
          <w:tab w:val="left" w:pos="1243"/>
        </w:tabs>
        <w:kinsoku/>
        <w:wordWrap/>
        <w:overflowPunct/>
        <w:topLinePunct w:val="0"/>
        <w:autoSpaceDE w:val="0"/>
        <w:autoSpaceDN w:val="0"/>
        <w:bidi w:val="0"/>
        <w:adjustRightInd/>
        <w:snapToGrid/>
        <w:spacing w:line="300" w:lineRule="auto"/>
        <w:textAlignment w:val="auto"/>
        <w:rPr>
          <w:rFonts w:hint="eastAsia" w:ascii="宋体" w:hAnsi="宋体" w:cs="宋体"/>
          <w:sz w:val="24"/>
          <w:szCs w:val="24"/>
        </w:rPr>
      </w:pPr>
      <w:r>
        <w:rPr>
          <w:rFonts w:hint="eastAsia" w:ascii="宋体" w:hAnsi="宋体" w:cs="宋体"/>
          <w:sz w:val="24"/>
          <w:szCs w:val="24"/>
          <w:u w:val="single"/>
        </w:rPr>
        <w:t>（</w:t>
      </w:r>
      <w:r>
        <w:rPr>
          <w:rFonts w:hint="eastAsia" w:ascii="宋体" w:hAnsi="宋体" w:cs="宋体"/>
          <w:sz w:val="24"/>
          <w:szCs w:val="24"/>
          <w:u w:val="single"/>
          <w:lang w:eastAsia="zh-CN"/>
        </w:rPr>
        <w:t>电子电工实训室电源台实训设备</w:t>
      </w:r>
      <w:r>
        <w:rPr>
          <w:rFonts w:hint="eastAsia" w:ascii="宋体" w:hAnsi="宋体" w:cs="宋体"/>
          <w:sz w:val="24"/>
          <w:szCs w:val="24"/>
          <w:u w:val="single"/>
        </w:rPr>
        <w:t>）</w:t>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（制造业）</w:t>
      </w:r>
      <w:r>
        <w:rPr>
          <w:rFonts w:hint="eastAsia" w:ascii="宋体" w:hAnsi="宋体" w:cs="宋体"/>
          <w:sz w:val="24"/>
          <w:szCs w:val="24"/>
          <w:u w:val="none"/>
          <w:shd w:val="clear" w:color="auto" w:fill="FFFFFF"/>
          <w:lang w:val="en-US" w:eastAsia="zh-CN"/>
        </w:rPr>
        <w:t>；制造商为（</w:t>
      </w:r>
      <w:r>
        <w:rPr>
          <w:rFonts w:hint="eastAsia" w:ascii="宋体" w:hAnsi="宋体" w:cs="宋体"/>
          <w:b w:val="0"/>
          <w:bCs w:val="0"/>
          <w:sz w:val="24"/>
          <w:szCs w:val="24"/>
          <w:u w:val="single"/>
          <w:shd w:val="clear" w:color="auto" w:fill="FFFFFF"/>
          <w:lang w:val="en-US" w:eastAsia="zh-CN"/>
        </w:rPr>
        <w:t>企业名称</w:t>
      </w:r>
      <w:r>
        <w:rPr>
          <w:rFonts w:hint="eastAsia" w:ascii="宋体" w:hAnsi="宋体" w:cs="宋体"/>
          <w:i w:val="0"/>
          <w:iCs w:val="0"/>
          <w:sz w:val="24"/>
          <w:szCs w:val="24"/>
          <w:u w:val="none"/>
          <w:shd w:val="clear" w:color="auto" w:fill="FFFFFF"/>
          <w:lang w:val="en-US" w:eastAsia="zh-CN"/>
        </w:rPr>
        <w:t>），从业人员</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人，营业收入为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万元，资产总额为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w:t>
      </w:r>
      <w:r>
        <w:rPr>
          <w:rFonts w:hint="eastAsia" w:ascii="宋体" w:hAnsi="宋体" w:cs="宋体"/>
          <w:sz w:val="24"/>
          <w:szCs w:val="24"/>
          <w:u w:val="none"/>
          <w:shd w:val="clear" w:color="auto" w:fill="FFFFFF"/>
          <w:lang w:val="en-US" w:eastAsia="zh-CN"/>
        </w:rPr>
        <w:fldChar w:fldCharType="begin"/>
      </w:r>
      <w:r>
        <w:rPr>
          <w:rFonts w:hint="eastAsia" w:ascii="宋体" w:hAnsi="宋体" w:cs="宋体"/>
          <w:sz w:val="24"/>
          <w:szCs w:val="24"/>
          <w:u w:val="none"/>
          <w:shd w:val="clear" w:color="auto" w:fill="FFFFFF"/>
          <w:lang w:val="en-US" w:eastAsia="zh-CN"/>
        </w:rPr>
        <w:instrText xml:space="preserve"> HYPERLINK \l "_bookmark1" </w:instrText>
      </w:r>
      <w:r>
        <w:rPr>
          <w:rFonts w:hint="eastAsia" w:ascii="宋体" w:hAnsi="宋体" w:cs="宋体"/>
          <w:sz w:val="24"/>
          <w:szCs w:val="24"/>
          <w:u w:val="none"/>
          <w:shd w:val="clear" w:color="auto" w:fill="FFFFFF"/>
          <w:lang w:val="en-US" w:eastAsia="zh-CN"/>
        </w:rPr>
        <w:fldChar w:fldCharType="separate"/>
      </w:r>
      <w:r>
        <w:rPr>
          <w:rFonts w:hint="eastAsia" w:ascii="宋体" w:hAnsi="宋体" w:cs="宋体"/>
          <w:sz w:val="24"/>
          <w:szCs w:val="24"/>
          <w:u w:val="none"/>
          <w:shd w:val="clear" w:color="auto" w:fill="FFFFFF"/>
          <w:lang w:val="en-US" w:eastAsia="zh-CN"/>
        </w:rPr>
        <w:t>1</w:t>
      </w:r>
      <w:r>
        <w:rPr>
          <w:rFonts w:hint="eastAsia" w:ascii="宋体" w:hAnsi="宋体" w:cs="宋体"/>
          <w:sz w:val="24"/>
          <w:szCs w:val="24"/>
          <w:u w:val="none"/>
          <w:shd w:val="clear" w:color="auto" w:fill="FFFFFF"/>
          <w:lang w:val="en-US" w:eastAsia="zh-CN"/>
        </w:rPr>
        <w:fldChar w:fldCharType="end"/>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 xml:space="preserve">   （中型企业/小型企业/微型企业）</w:t>
      </w:r>
      <w:r>
        <w:rPr>
          <w:rFonts w:hint="eastAsia" w:ascii="宋体" w:hAnsi="宋体" w:cs="宋体"/>
          <w:sz w:val="24"/>
          <w:szCs w:val="24"/>
        </w:rPr>
        <w:t>。</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hint="eastAsia" w:ascii="宋体" w:hAnsi="宋体" w:cs="宋体"/>
          <w:sz w:val="24"/>
          <w:szCs w:val="24"/>
        </w:rPr>
      </w:pPr>
      <w:r>
        <w:rPr>
          <w:rFonts w:hint="eastAsia" w:ascii="宋体" w:hAnsi="宋体" w:cs="宋体"/>
          <w:color w:val="000000"/>
        </w:rPr>
        <w:t>.......</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2"/>
        <w:keepNext w:val="0"/>
        <w:keepLines w:val="0"/>
        <w:pageBreakBefore w:val="0"/>
        <w:kinsoku/>
        <w:wordWrap/>
        <w:overflowPunct/>
        <w:topLinePunct w:val="0"/>
        <w:autoSpaceDE w:val="0"/>
        <w:autoSpaceDN w:val="0"/>
        <w:bidi w:val="0"/>
        <w:adjustRightInd/>
        <w:snapToGrid/>
        <w:spacing w:line="300" w:lineRule="auto"/>
        <w:ind w:right="-54" w:firstLine="480"/>
        <w:textAlignment w:val="auto"/>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2"/>
        <w:keepNext w:val="0"/>
        <w:keepLines w:val="0"/>
        <w:pageBreakBefore w:val="0"/>
        <w:kinsoku/>
        <w:wordWrap/>
        <w:overflowPunct/>
        <w:topLinePunct w:val="0"/>
        <w:autoSpaceDE w:val="0"/>
        <w:autoSpaceDN w:val="0"/>
        <w:bidi w:val="0"/>
        <w:adjustRightInd/>
        <w:snapToGrid/>
        <w:spacing w:before="29" w:line="300" w:lineRule="auto"/>
        <w:ind w:left="4060" w:right="-54" w:firstLine="480"/>
        <w:textAlignment w:val="auto"/>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2"/>
        <w:keepNext w:val="0"/>
        <w:keepLines w:val="0"/>
        <w:pageBreakBefore w:val="0"/>
        <w:kinsoku/>
        <w:wordWrap/>
        <w:overflowPunct/>
        <w:topLinePunct w:val="0"/>
        <w:autoSpaceDE w:val="0"/>
        <w:autoSpaceDN w:val="0"/>
        <w:bidi w:val="0"/>
        <w:adjustRightInd/>
        <w:snapToGrid/>
        <w:spacing w:before="29" w:line="300" w:lineRule="auto"/>
        <w:ind w:left="4060" w:right="-54" w:firstLine="480"/>
        <w:textAlignment w:val="auto"/>
        <w:rPr>
          <w:rFonts w:ascii="宋体" w:hAnsi="宋体" w:cs="宋体"/>
          <w:color w:val="000000"/>
        </w:rPr>
      </w:pPr>
      <w:r>
        <w:rPr>
          <w:rFonts w:hint="eastAsia" w:ascii="宋体" w:hAnsi="宋体" w:cs="宋体"/>
          <w:color w:val="000000"/>
        </w:rPr>
        <w:t>日期：___________</w:t>
      </w:r>
    </w:p>
    <w:p>
      <w:pPr>
        <w:keepNext w:val="0"/>
        <w:keepLines w:val="0"/>
        <w:pageBreakBefore w:val="0"/>
        <w:kinsoku/>
        <w:wordWrap/>
        <w:overflowPunct/>
        <w:topLinePunct w:val="0"/>
        <w:bidi w:val="0"/>
        <w:adjustRightInd/>
        <w:snapToGrid/>
        <w:spacing w:line="300" w:lineRule="auto"/>
        <w:ind w:firstLine="480"/>
        <w:jc w:val="left"/>
        <w:textAlignment w:val="auto"/>
        <w:rPr>
          <w:rFonts w:ascii="宋体" w:hAnsi="宋体" w:cs="宋体"/>
          <w:szCs w:val="24"/>
        </w:rPr>
      </w:pPr>
      <w:r>
        <w:rPr>
          <w:rFonts w:hint="eastAsia" w:ascii="宋体" w:hAnsi="宋体" w:cs="宋体"/>
          <w:szCs w:val="24"/>
        </w:rPr>
        <w:t>注：1.从业人员、营业收入、资产总额填报上一年度数据，无上一年度数据的新成立企业可不填报。</w:t>
      </w:r>
    </w:p>
    <w:p>
      <w:pPr>
        <w:keepNext w:val="0"/>
        <w:keepLines w:val="0"/>
        <w:pageBreakBefore w:val="0"/>
        <w:numPr>
          <w:ilvl w:val="0"/>
          <w:numId w:val="1"/>
        </w:numPr>
        <w:kinsoku/>
        <w:wordWrap/>
        <w:overflowPunct/>
        <w:topLinePunct w:val="0"/>
        <w:bidi w:val="0"/>
        <w:adjustRightInd/>
        <w:snapToGrid/>
        <w:spacing w:line="300" w:lineRule="auto"/>
        <w:ind w:firstLine="482"/>
        <w:jc w:val="left"/>
        <w:textAlignment w:val="auto"/>
        <w:rPr>
          <w:rFonts w:hint="eastAsia" w:ascii="宋体" w:hAnsi="宋体" w:cs="宋体"/>
          <w:b/>
          <w:bCs/>
          <w:color w:val="auto"/>
          <w:sz w:val="24"/>
          <w:szCs w:val="24"/>
        </w:rPr>
      </w:pPr>
      <w:r>
        <w:rPr>
          <w:rFonts w:hint="eastAsia" w:ascii="宋体" w:hAnsi="宋体" w:cs="宋体"/>
          <w:b/>
          <w:bCs/>
          <w:color w:val="auto"/>
          <w:sz w:val="24"/>
          <w:szCs w:val="24"/>
        </w:rPr>
        <w:t>本采购标的对应的所属行业：</w:t>
      </w:r>
      <w:r>
        <w:rPr>
          <w:rFonts w:hint="eastAsia" w:ascii="宋体" w:hAnsi="宋体" w:cs="宋体"/>
          <w:b/>
          <w:bCs/>
          <w:szCs w:val="24"/>
        </w:rPr>
        <w:t>制造业</w:t>
      </w:r>
    </w:p>
    <w:p>
      <w:pPr>
        <w:keepNext w:val="0"/>
        <w:keepLines w:val="0"/>
        <w:pageBreakBefore w:val="0"/>
        <w:numPr>
          <w:ilvl w:val="0"/>
          <w:numId w:val="0"/>
        </w:numPr>
        <w:kinsoku/>
        <w:wordWrap/>
        <w:overflowPunct/>
        <w:topLinePunct w:val="0"/>
        <w:bidi w:val="0"/>
        <w:adjustRightInd/>
        <w:snapToGrid/>
        <w:spacing w:line="300" w:lineRule="auto"/>
        <w:ind w:firstLine="482" w:firstLineChars="200"/>
        <w:jc w:val="left"/>
        <w:textAlignment w:val="auto"/>
        <w:rPr>
          <w:rFonts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.符合《关于促进残疾人就业政府采购政策的通知》（财库〔2017〕141号）规定的条件并提供《残疾人福利性单位声明函》的残疾人福利性单位视同小型、微型企业；</w:t>
      </w:r>
    </w:p>
    <w:p>
      <w:pPr>
        <w:keepNext w:val="0"/>
        <w:keepLines w:val="0"/>
        <w:pageBreakBefore w:val="0"/>
        <w:kinsoku/>
        <w:wordWrap/>
        <w:overflowPunct/>
        <w:topLinePunct w:val="0"/>
        <w:bidi w:val="0"/>
        <w:adjustRightInd/>
        <w:snapToGrid/>
        <w:spacing w:line="300" w:lineRule="auto"/>
        <w:ind w:firstLine="482"/>
        <w:jc w:val="left"/>
        <w:textAlignment w:val="auto"/>
        <w:rPr>
          <w:rFonts w:ascii="宋体" w:hAnsi="宋体" w:cs="宋体"/>
          <w:b/>
          <w:bCs/>
          <w:szCs w:val="24"/>
        </w:rPr>
      </w:pPr>
      <w:r>
        <w:rPr>
          <w:rFonts w:hint="eastAsia" w:ascii="宋体" w:hAnsi="宋体" w:cs="宋体"/>
          <w:b/>
          <w:bCs/>
          <w:szCs w:val="24"/>
          <w:lang w:val="en-US" w:eastAsia="zh-CN"/>
        </w:rPr>
        <w:t>4</w:t>
      </w:r>
      <w:r>
        <w:rPr>
          <w:rFonts w:hint="eastAsia" w:ascii="宋体" w:hAnsi="宋体" w:cs="宋体"/>
          <w:b/>
          <w:bCs/>
          <w:szCs w:val="24"/>
        </w:rPr>
        <w:t>.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kinsoku/>
        <w:wordWrap/>
        <w:overflowPunct/>
        <w:topLinePunct w:val="0"/>
        <w:bidi w:val="0"/>
        <w:adjustRightInd/>
        <w:snapToGrid/>
        <w:spacing w:line="300" w:lineRule="auto"/>
        <w:ind w:firstLine="480"/>
        <w:textAlignment w:val="auto"/>
        <w:rPr>
          <w:rFonts w:ascii="宋体" w:hAnsi="宋体" w:cs="宋体"/>
          <w:color w:val="000000"/>
          <w:szCs w:val="24"/>
        </w:rPr>
        <w:sectPr>
          <w:headerReference r:id="rId13" w:type="default"/>
          <w:pgSz w:w="11906" w:h="16838"/>
          <w:pgMar w:top="1418" w:right="1077" w:bottom="1418" w:left="1077" w:header="851" w:footer="992" w:gutter="340"/>
          <w:pgBorders>
            <w:top w:val="none" w:sz="0" w:space="0"/>
            <w:left w:val="none" w:sz="0" w:space="0"/>
            <w:bottom w:val="none" w:sz="0" w:space="0"/>
            <w:right w:val="none" w:sz="0" w:space="0"/>
          </w:pgBorders>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275" w:firstLineChars="98"/>
        <w:jc w:val="center"/>
        <w:rPr>
          <w:rFonts w:ascii="宋体" w:hAnsi="宋体" w:cs="宋体"/>
          <w:b/>
          <w:bCs/>
          <w:color w:val="000000"/>
          <w:sz w:val="32"/>
          <w:szCs w:val="32"/>
        </w:rPr>
      </w:pPr>
      <w:r>
        <w:rPr>
          <w:rFonts w:hint="eastAsia" w:ascii="宋体" w:hAnsi="宋体" w:cs="宋体"/>
          <w:b/>
          <w:bCs/>
          <w:color w:val="000000"/>
          <w:sz w:val="28"/>
          <w:szCs w:val="28"/>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szCs w:val="24"/>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ind w:firstLine="480"/>
        <w:rPr>
          <w:rFonts w:ascii="宋体" w:hAnsi="宋体"/>
        </w:rPr>
      </w:pPr>
      <w:r>
        <w:rPr>
          <w:rFonts w:hint="eastAsia" w:ascii="宋体" w:hAnsi="宋体"/>
        </w:rPr>
        <w:br w:type="page"/>
      </w:r>
    </w:p>
    <w:p>
      <w:pPr>
        <w:pStyle w:val="37"/>
        <w:ind w:firstLine="643"/>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28"/>
          <w:szCs w:val="28"/>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u w:val="single"/>
        </w:rPr>
      </w:pPr>
      <w:r>
        <w:rPr>
          <w:rFonts w:hint="eastAsia" w:ascii="宋体" w:hAnsi="宋体" w:cs="宋体"/>
          <w:color w:val="000000"/>
          <w:szCs w:val="24"/>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color w:val="000000"/>
          <w:szCs w:val="24"/>
        </w:rPr>
        <w:t>________________________________________________________________________________________________________________________________________________________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2"/>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sz w:val="28"/>
          <w:szCs w:val="28"/>
        </w:rPr>
      </w:pPr>
      <w:r>
        <w:rPr>
          <w:rFonts w:hint="eastAsia" w:ascii="宋体" w:hAnsi="宋体" w:cs="宋体"/>
          <w:b/>
          <w:color w:val="000000"/>
          <w:sz w:val="28"/>
          <w:szCs w:val="28"/>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3"/>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28"/>
          <w:szCs w:val="28"/>
        </w:rPr>
      </w:pPr>
      <w:r>
        <w:rPr>
          <w:rFonts w:hint="eastAsia" w:ascii="宋体" w:hAnsi="宋体" w:cs="宋体"/>
          <w:b/>
          <w:bCs/>
          <w:sz w:val="28"/>
          <w:szCs w:val="28"/>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嘉善技师学院（筹）购置培训教学仪器设备（电子电工实训室电源台实训设备）</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被授权人身份证号码：______________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8"/>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28"/>
          <w:szCs w:val="28"/>
        </w:rPr>
      </w:pPr>
      <w:r>
        <w:rPr>
          <w:rFonts w:hint="eastAsia" w:ascii="宋体" w:hAnsi="宋体" w:cs="宋体"/>
          <w:b/>
          <w:color w:val="000000"/>
          <w:sz w:val="28"/>
          <w:szCs w:val="28"/>
        </w:rPr>
        <w:t>投标人基本情况表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4" w:type="default"/>
          <w:pgSz w:w="11906" w:h="16838"/>
          <w:pgMar w:top="1418" w:right="1077" w:bottom="1418" w:left="1077" w:header="851" w:footer="992" w:gutter="340"/>
          <w:pgBorders>
            <w:top w:val="none" w:sz="0" w:space="0"/>
            <w:left w:val="none" w:sz="0" w:space="0"/>
            <w:bottom w:val="none" w:sz="0" w:space="0"/>
            <w:right w:val="none" w:sz="0" w:space="0"/>
          </w:pgBorders>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28"/>
          <w:szCs w:val="28"/>
        </w:rPr>
        <w:t>商务偏离表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95"/>
        <w:gridCol w:w="1348"/>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序号</w:t>
            </w:r>
          </w:p>
        </w:tc>
        <w:tc>
          <w:tcPr>
            <w:tcW w:w="1995" w:type="dxa"/>
            <w:vAlign w:val="center"/>
          </w:tcPr>
          <w:p>
            <w:pPr>
              <w:ind w:firstLine="0" w:firstLineChars="0"/>
              <w:jc w:val="center"/>
              <w:rPr>
                <w:rFonts w:ascii="宋体" w:hAnsi="宋体" w:cs="宋体"/>
              </w:rPr>
            </w:pPr>
            <w:r>
              <w:rPr>
                <w:rFonts w:hint="eastAsia" w:ascii="宋体" w:hAnsi="宋体" w:cs="宋体"/>
              </w:rPr>
              <w:t>内容</w:t>
            </w:r>
          </w:p>
        </w:tc>
        <w:tc>
          <w:tcPr>
            <w:tcW w:w="1348" w:type="dxa"/>
            <w:vAlign w:val="center"/>
          </w:tcPr>
          <w:p>
            <w:pPr>
              <w:ind w:firstLine="0" w:firstLineChars="0"/>
              <w:jc w:val="center"/>
              <w:rPr>
                <w:rFonts w:ascii="宋体" w:hAnsi="宋体" w:cs="宋体"/>
              </w:rPr>
            </w:pPr>
            <w:r>
              <w:rPr>
                <w:rFonts w:hint="eastAsia" w:ascii="宋体" w:hAnsi="宋体" w:cs="宋体"/>
              </w:rPr>
              <w:t>采购文件商务要求</w:t>
            </w:r>
          </w:p>
        </w:tc>
        <w:tc>
          <w:tcPr>
            <w:tcW w:w="1363" w:type="dxa"/>
            <w:vAlign w:val="center"/>
          </w:tcPr>
          <w:p>
            <w:pPr>
              <w:ind w:firstLine="0" w:firstLineChars="0"/>
              <w:jc w:val="center"/>
              <w:rPr>
                <w:rFonts w:ascii="宋体" w:hAnsi="宋体" w:cs="宋体"/>
              </w:rPr>
            </w:pPr>
            <w:r>
              <w:rPr>
                <w:rFonts w:hint="eastAsia" w:ascii="宋体" w:hAnsi="宋体" w:cs="宋体"/>
              </w:rPr>
              <w:t>投标文件</w:t>
            </w:r>
          </w:p>
          <w:p>
            <w:pPr>
              <w:ind w:firstLine="0" w:firstLineChars="0"/>
              <w:jc w:val="center"/>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1</w:t>
            </w:r>
          </w:p>
        </w:tc>
        <w:tc>
          <w:tcPr>
            <w:tcW w:w="1995" w:type="dxa"/>
            <w:vAlign w:val="center"/>
          </w:tcPr>
          <w:p>
            <w:pPr>
              <w:snapToGrid w:val="0"/>
              <w:spacing w:before="100" w:beforeAutospacing="1" w:after="100" w:afterAutospacing="1" w:line="300" w:lineRule="auto"/>
              <w:ind w:firstLine="0" w:firstLine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质保期及售后服务要求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2</w:t>
            </w:r>
          </w:p>
        </w:tc>
        <w:tc>
          <w:tcPr>
            <w:tcW w:w="1995" w:type="dxa"/>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sz w:val="24"/>
                <w:szCs w:val="24"/>
                <w:highlight w:val="none"/>
              </w:rPr>
              <w:t>交货期</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3</w:t>
            </w:r>
          </w:p>
        </w:tc>
        <w:tc>
          <w:tcPr>
            <w:tcW w:w="1995" w:type="dxa"/>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培训要求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4</w:t>
            </w:r>
          </w:p>
        </w:tc>
        <w:tc>
          <w:tcPr>
            <w:tcW w:w="1995" w:type="dxa"/>
            <w:vAlign w:val="center"/>
          </w:tcPr>
          <w:p>
            <w:pPr>
              <w:keepNext w:val="0"/>
              <w:keepLines w:val="0"/>
              <w:pageBreakBefore w:val="0"/>
              <w:kinsoku/>
              <w:wordWrap/>
              <w:overflowPunct/>
              <w:topLinePunct w:val="0"/>
              <w:bidi w:val="0"/>
              <w:spacing w:line="300" w:lineRule="auto"/>
              <w:ind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验收</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5</w:t>
            </w:r>
          </w:p>
        </w:tc>
        <w:tc>
          <w:tcPr>
            <w:tcW w:w="1995" w:type="dxa"/>
            <w:vAlign w:val="center"/>
          </w:tcPr>
          <w:p>
            <w:pPr>
              <w:keepNext w:val="0"/>
              <w:keepLines w:val="0"/>
              <w:pageBreakBefore w:val="0"/>
              <w:kinsoku/>
              <w:wordWrap/>
              <w:overflowPunct/>
              <w:topLinePunct w:val="0"/>
              <w:bidi w:val="0"/>
              <w:spacing w:line="300" w:lineRule="auto"/>
              <w:ind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其他要求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rPr>
                <w:rFonts w:ascii="宋体" w:hAnsi="宋体" w:cs="宋体"/>
              </w:rPr>
            </w:pPr>
            <w:r>
              <w:rPr>
                <w:rFonts w:hint="eastAsia" w:ascii="宋体" w:hAnsi="宋体" w:cs="宋体"/>
              </w:rPr>
              <w:t>..</w:t>
            </w:r>
          </w:p>
        </w:tc>
        <w:tc>
          <w:tcPr>
            <w:tcW w:w="1995" w:type="dxa"/>
            <w:vAlign w:val="center"/>
          </w:tcPr>
          <w:p>
            <w:pPr>
              <w:ind w:firstLine="0" w:firstLineChars="0"/>
              <w:rPr>
                <w:rFonts w:ascii="宋体" w:hAnsi="宋体" w:cs="宋体"/>
              </w:rPr>
            </w:pP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spacing w:line="380" w:lineRule="exact"/>
        <w:ind w:firstLine="602"/>
        <w:jc w:val="center"/>
        <w:rPr>
          <w:rFonts w:ascii="宋体" w:hAnsi="宋体" w:cs="宋体"/>
          <w:b/>
          <w:sz w:val="28"/>
          <w:szCs w:val="28"/>
        </w:rPr>
      </w:pPr>
      <w:r>
        <w:rPr>
          <w:rFonts w:hint="eastAsia" w:ascii="宋体" w:hAnsi="宋体" w:cs="宋体"/>
          <w:b/>
          <w:sz w:val="28"/>
          <w:szCs w:val="28"/>
        </w:rPr>
        <w:t>同类项目业绩表</w:t>
      </w:r>
    </w:p>
    <w:p>
      <w:pPr>
        <w:spacing w:line="380" w:lineRule="exact"/>
        <w:ind w:firstLine="480"/>
        <w:rPr>
          <w:rFonts w:ascii="宋体" w:hAnsi="宋体" w:cs="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bCs/>
          <w:szCs w:val="21"/>
        </w:rPr>
        <w:t>项目合同</w:t>
      </w:r>
      <w:r>
        <w:rPr>
          <w:rFonts w:hint="eastAsia" w:ascii="宋体" w:hAnsi="宋体" w:cs="宋体"/>
          <w:bCs/>
          <w:szCs w:val="21"/>
          <w:lang w:val="en-US" w:eastAsia="zh-CN"/>
        </w:rPr>
        <w:t>和验收合格证明材料</w:t>
      </w:r>
      <w:r>
        <w:rPr>
          <w:rFonts w:hint="eastAsia" w:ascii="宋体" w:hAnsi="宋体" w:cs="宋体"/>
          <w:bCs/>
          <w:szCs w:val="21"/>
        </w:rPr>
        <w:t>扫描件</w:t>
      </w:r>
      <w:r>
        <w:rPr>
          <w:rFonts w:hint="eastAsia" w:ascii="宋体" w:hAnsi="宋体" w:cs="宋体"/>
          <w:szCs w:val="24"/>
        </w:rPr>
        <w:t>并加盖投标人</w:t>
      </w:r>
      <w:r>
        <w:rPr>
          <w:rFonts w:hint="eastAsia" w:ascii="宋体" w:hAnsi="宋体" w:cs="宋体"/>
          <w:szCs w:val="24"/>
          <w:lang w:val="en-US" w:eastAsia="zh-CN"/>
        </w:rPr>
        <w:t>CA</w:t>
      </w:r>
      <w:r>
        <w:rPr>
          <w:rFonts w:hint="eastAsia" w:ascii="宋体" w:hAnsi="宋体" w:cs="宋体"/>
          <w:szCs w:val="24"/>
        </w:rPr>
        <w:t>公章。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ascii="宋体" w:hAnsi="宋体" w:cs="宋体"/>
          <w:b/>
          <w:bCs/>
          <w:sz w:val="28"/>
          <w:szCs w:val="28"/>
        </w:rPr>
      </w:pPr>
      <w:r>
        <w:rPr>
          <w:rFonts w:hint="eastAsia" w:ascii="宋体" w:hAnsi="宋体" w:cs="宋体"/>
          <w:b/>
          <w:bCs/>
          <w:sz w:val="28"/>
          <w:szCs w:val="28"/>
        </w:rPr>
        <w:t>技术偏离表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2560" w:firstLineChars="850"/>
        <w:contextualSpacing/>
        <w:rPr>
          <w:rFonts w:hint="eastAsia"/>
          <w:b/>
          <w:sz w:val="30"/>
          <w:szCs w:val="30"/>
        </w:rPr>
        <w:sectPr>
          <w:pgSz w:w="11906" w:h="16838"/>
          <w:pgMar w:top="1418" w:right="1077" w:bottom="1418" w:left="1077" w:header="851" w:footer="992" w:gutter="340"/>
          <w:pgBorders>
            <w:top w:val="none" w:sz="0" w:space="0"/>
            <w:left w:val="none" w:sz="0" w:space="0"/>
            <w:bottom w:val="none" w:sz="0" w:space="0"/>
            <w:right w:val="none" w:sz="0" w:space="0"/>
          </w:pgBorders>
          <w:cols w:space="720" w:num="1"/>
          <w:docGrid w:linePitch="381" w:charSpace="0"/>
        </w:sectPr>
      </w:pPr>
      <w:r>
        <w:rPr>
          <w:rFonts w:hint="eastAsia"/>
          <w:b/>
          <w:sz w:val="30"/>
          <w:szCs w:val="30"/>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十</w:t>
      </w:r>
      <w:r>
        <w:rPr>
          <w:rFonts w:hint="eastAsia" w:ascii="宋体" w:hAnsi="宋体" w:cs="宋体"/>
          <w:b/>
          <w:bCs/>
          <w:color w:val="000000"/>
          <w:sz w:val="32"/>
          <w:szCs w:val="32"/>
          <w:lang w:val="en-US" w:eastAsia="zh-CN"/>
        </w:rPr>
        <w:t>三</w:t>
      </w:r>
      <w:r>
        <w:rPr>
          <w:rFonts w:hint="eastAsia" w:ascii="宋体" w:hAnsi="宋体" w:cs="宋体"/>
          <w:b/>
          <w:bCs/>
          <w:color w:val="000000"/>
          <w:sz w:val="32"/>
          <w:szCs w:val="32"/>
        </w:rPr>
        <w:t>、投标函格式</w:t>
      </w:r>
    </w:p>
    <w:p>
      <w:pPr>
        <w:snapToGrid w:val="0"/>
        <w:spacing w:before="100" w:beforeAutospacing="1" w:after="100" w:afterAutospacing="1" w:line="276" w:lineRule="auto"/>
        <w:ind w:firstLine="602"/>
        <w:jc w:val="center"/>
        <w:rPr>
          <w:rFonts w:ascii="宋体" w:hAnsi="宋体" w:cs="宋体"/>
          <w:b/>
          <w:bCs/>
          <w:color w:val="000000"/>
          <w:sz w:val="28"/>
          <w:szCs w:val="28"/>
        </w:rPr>
      </w:pPr>
      <w:r>
        <w:rPr>
          <w:rFonts w:hint="eastAsia" w:ascii="宋体" w:hAnsi="宋体" w:cs="宋体"/>
          <w:b/>
          <w:bCs/>
          <w:color w:val="000000"/>
          <w:sz w:val="28"/>
          <w:szCs w:val="28"/>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职务：______________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银行帐号：______________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四</w:t>
      </w:r>
      <w:r>
        <w:rPr>
          <w:rFonts w:hint="eastAsia" w:ascii="宋体" w:hAnsi="宋体" w:cs="宋体"/>
          <w:b/>
          <w:bCs/>
          <w:sz w:val="32"/>
          <w:szCs w:val="32"/>
        </w:rPr>
        <w:t>、开标一览表格式</w:t>
      </w:r>
    </w:p>
    <w:p>
      <w:pPr>
        <w:snapToGrid w:val="0"/>
        <w:spacing w:before="100" w:beforeAutospacing="1" w:after="100" w:afterAutospacing="1" w:line="276" w:lineRule="auto"/>
        <w:ind w:firstLine="643"/>
        <w:jc w:val="center"/>
        <w:rPr>
          <w:rFonts w:ascii="宋体" w:hAnsi="宋体" w:cs="宋体"/>
          <w:b/>
          <w:bCs/>
          <w:color w:val="000000"/>
          <w:sz w:val="28"/>
          <w:szCs w:val="28"/>
        </w:rPr>
      </w:pPr>
      <w:r>
        <w:rPr>
          <w:rFonts w:hint="eastAsia" w:ascii="宋体" w:hAnsi="宋体" w:cs="宋体"/>
          <w:b/>
          <w:bCs/>
          <w:color w:val="000000"/>
          <w:sz w:val="28"/>
          <w:szCs w:val="28"/>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hint="eastAsia" w:ascii="宋体" w:hAnsi="宋体" w:eastAsia="宋体" w:cs="宋体"/>
                <w:b/>
                <w:color w:val="000000"/>
                <w:szCs w:val="24"/>
                <w:lang w:eastAsia="zh-CN"/>
              </w:rPr>
            </w:pPr>
            <w:r>
              <w:rPr>
                <w:rFonts w:hint="eastAsia" w:ascii="宋体" w:hAnsi="宋体"/>
                <w:b/>
                <w:szCs w:val="24"/>
                <w:lang w:eastAsia="zh-CN"/>
              </w:rPr>
              <w:t>嘉善技师学院（筹）购置培训教学仪器设备（电子电工实训室电源台实训设备）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hint="eastAsia" w:ascii="宋体" w:hAnsi="宋体" w:eastAsia="宋体"/>
                <w:b/>
                <w:szCs w:val="24"/>
                <w:lang w:eastAsia="zh-CN"/>
              </w:rPr>
            </w:pPr>
            <w:r>
              <w:rPr>
                <w:rFonts w:hint="eastAsia" w:ascii="宋体" w:hAnsi="宋体"/>
                <w:b/>
                <w:szCs w:val="24"/>
              </w:rPr>
              <w:t>交货</w:t>
            </w:r>
            <w:r>
              <w:rPr>
                <w:rFonts w:hint="eastAsia" w:ascii="宋体" w:hAnsi="宋体"/>
                <w:b/>
                <w:szCs w:val="24"/>
                <w:lang w:val="en-US" w:eastAsia="zh-CN"/>
              </w:rPr>
              <w:t>期</w:t>
            </w:r>
          </w:p>
        </w:tc>
        <w:tc>
          <w:tcPr>
            <w:tcW w:w="6852" w:type="dxa"/>
            <w:vAlign w:val="center"/>
          </w:tcPr>
          <w:p>
            <w:pPr>
              <w:spacing w:line="520" w:lineRule="exact"/>
              <w:ind w:firstLine="0" w:firstLineChars="0"/>
              <w:rPr>
                <w:rFonts w:ascii="宋体" w:hAnsi="宋体"/>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5" w:type="default"/>
          <w:pgSz w:w="11906" w:h="16838"/>
          <w:pgMar w:top="1418" w:right="1077" w:bottom="1418" w:left="1077" w:header="851" w:footer="851" w:gutter="340"/>
          <w:pgBorders>
            <w:top w:val="none" w:sz="0" w:space="0"/>
            <w:left w:val="none" w:sz="0" w:space="0"/>
            <w:bottom w:val="none" w:sz="0" w:space="0"/>
            <w:right w:val="none" w:sz="0" w:space="0"/>
          </w:pgBorders>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五</w:t>
      </w:r>
      <w:r>
        <w:rPr>
          <w:rFonts w:hint="eastAsia" w:ascii="宋体" w:hAnsi="宋体" w:cs="宋体"/>
          <w:b/>
          <w:bCs/>
          <w:sz w:val="32"/>
          <w:szCs w:val="32"/>
        </w:rPr>
        <w:t>、投标报价明细表格式</w:t>
      </w:r>
    </w:p>
    <w:p>
      <w:pPr>
        <w:pStyle w:val="22"/>
        <w:snapToGrid w:val="0"/>
        <w:spacing w:beforeLines="0" w:afterLines="0" w:line="300" w:lineRule="auto"/>
        <w:ind w:firstLine="0" w:firstLineChars="0"/>
        <w:contextualSpacing/>
        <w:jc w:val="center"/>
        <w:rPr>
          <w:rFonts w:hAnsi="宋体" w:cs="宋体"/>
          <w:b/>
          <w:bCs/>
          <w:sz w:val="28"/>
          <w:szCs w:val="28"/>
        </w:rPr>
      </w:pPr>
      <w:r>
        <w:rPr>
          <w:rFonts w:hint="eastAsia" w:hAnsi="宋体" w:cs="宋体"/>
          <w:b/>
          <w:bCs/>
          <w:sz w:val="28"/>
          <w:szCs w:val="28"/>
        </w:rPr>
        <w:t>投标报价明细表</w:t>
      </w:r>
    </w:p>
    <w:p>
      <w:pPr>
        <w:pStyle w:val="22"/>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8"/>
        <w:tblW w:w="9684" w:type="dxa"/>
        <w:tblInd w:w="1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756"/>
        <w:gridCol w:w="810"/>
        <w:gridCol w:w="1500"/>
        <w:gridCol w:w="570"/>
        <w:gridCol w:w="675"/>
        <w:gridCol w:w="645"/>
        <w:gridCol w:w="690"/>
        <w:gridCol w:w="1200"/>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48"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r>
              <w:rPr>
                <w:rFonts w:hint="eastAsia" w:ascii="宋体" w:hAnsi="宋体" w:cs="宋体"/>
                <w:color w:val="auto"/>
              </w:rPr>
              <w:t>序号</w:t>
            </w:r>
          </w:p>
        </w:tc>
        <w:tc>
          <w:tcPr>
            <w:tcW w:w="1756"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产品名称</w:t>
            </w:r>
          </w:p>
        </w:tc>
        <w:tc>
          <w:tcPr>
            <w:tcW w:w="810" w:type="dxa"/>
            <w:vMerge w:val="restart"/>
            <w:tcBorders>
              <w:top w:val="single" w:color="auto" w:sz="4" w:space="0"/>
              <w:left w:val="single" w:color="auto" w:sz="4" w:space="0"/>
              <w:right w:val="single" w:color="auto" w:sz="4" w:space="0"/>
            </w:tcBorders>
            <w:vAlign w:val="center"/>
          </w:tcPr>
          <w:p>
            <w:pPr>
              <w:pStyle w:val="88"/>
              <w:ind w:firstLine="0" w:firstLineChars="0"/>
              <w:jc w:val="center"/>
              <w:rPr>
                <w:rFonts w:cs="宋体"/>
                <w:color w:val="auto"/>
              </w:rPr>
            </w:pPr>
            <w:r>
              <w:rPr>
                <w:rFonts w:hint="eastAsia" w:cs="宋体"/>
                <w:color w:val="auto"/>
              </w:rPr>
              <w:t>品牌</w:t>
            </w:r>
          </w:p>
        </w:tc>
        <w:tc>
          <w:tcPr>
            <w:tcW w:w="150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rPr>
            </w:pPr>
            <w:r>
              <w:rPr>
                <w:rFonts w:hint="eastAsia" w:ascii="宋体" w:hAnsi="宋体" w:cs="宋体"/>
                <w:color w:val="auto"/>
              </w:rPr>
              <w:t>规格型号（技术性能）</w:t>
            </w:r>
          </w:p>
        </w:tc>
        <w:tc>
          <w:tcPr>
            <w:tcW w:w="57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数量</w:t>
            </w:r>
          </w:p>
        </w:tc>
        <w:tc>
          <w:tcPr>
            <w:tcW w:w="675"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r>
              <w:rPr>
                <w:rFonts w:hint="eastAsia" w:ascii="宋体" w:hAnsi="宋体" w:cs="宋体"/>
                <w:color w:val="auto"/>
              </w:rPr>
              <w:t>单位</w:t>
            </w:r>
          </w:p>
        </w:tc>
        <w:tc>
          <w:tcPr>
            <w:tcW w:w="645"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单价</w:t>
            </w:r>
          </w:p>
        </w:tc>
        <w:tc>
          <w:tcPr>
            <w:tcW w:w="69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金额</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548"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hint="eastAsia" w:ascii="宋体" w:hAnsi="宋体" w:cs="宋体"/>
                <w:color w:val="auto"/>
              </w:rPr>
            </w:pPr>
          </w:p>
        </w:tc>
        <w:tc>
          <w:tcPr>
            <w:tcW w:w="175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810" w:type="dxa"/>
            <w:vMerge w:val="continue"/>
            <w:tcBorders>
              <w:left w:val="single" w:color="auto" w:sz="4" w:space="0"/>
              <w:bottom w:val="single" w:color="auto" w:sz="4" w:space="0"/>
              <w:right w:val="single" w:color="auto" w:sz="4" w:space="0"/>
            </w:tcBorders>
            <w:vAlign w:val="center"/>
          </w:tcPr>
          <w:p>
            <w:pPr>
              <w:pStyle w:val="88"/>
              <w:ind w:firstLine="0" w:firstLineChars="0"/>
              <w:jc w:val="center"/>
              <w:rPr>
                <w:rFonts w:hint="eastAsia" w:cs="宋体"/>
                <w:color w:val="auto"/>
              </w:rPr>
            </w:pPr>
          </w:p>
        </w:tc>
        <w:tc>
          <w:tcPr>
            <w:tcW w:w="150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57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75"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45"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9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是否中小微企业</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eastAsia="宋体" w:cs="宋体"/>
                <w:color w:val="auto"/>
                <w:spacing w:val="20"/>
                <w:szCs w:val="20"/>
                <w:lang w:val="en-US" w:eastAsia="zh-CN"/>
              </w:rPr>
            </w:pPr>
            <w:r>
              <w:rPr>
                <w:rFonts w:hint="eastAsia" w:ascii="宋体" w:hAnsi="宋体" w:cs="宋体"/>
                <w:color w:val="auto"/>
                <w:spacing w:val="20"/>
                <w:szCs w:val="20"/>
                <w:lang w:val="en-US" w:eastAsia="zh-CN"/>
              </w:rPr>
              <w:t>1</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left"/>
              <w:rPr>
                <w:rFonts w:hint="eastAsia" w:ascii="宋体" w:hAnsi="宋体" w:eastAsia="宋体" w:cs="宋体"/>
                <w:b w:val="0"/>
                <w:bCs/>
                <w:color w:val="auto"/>
                <w:kern w:val="2"/>
                <w:sz w:val="24"/>
                <w:szCs w:val="24"/>
                <w:lang w:val="en-US" w:eastAsia="zh-CN" w:bidi="ar-SA"/>
              </w:rPr>
            </w:pPr>
            <w:r>
              <w:rPr>
                <w:rFonts w:hint="eastAsia" w:ascii="宋体" w:hAnsi="宋体" w:eastAsia="宋体" w:cs="宋体"/>
                <w:sz w:val="24"/>
                <w:szCs w:val="24"/>
                <w:vertAlign w:val="baseline"/>
              </w:rPr>
              <w:t>电子电工实训室电源台实训设备</w:t>
            </w:r>
          </w:p>
        </w:tc>
        <w:tc>
          <w:tcPr>
            <w:tcW w:w="81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5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default"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52</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default" w:ascii="宋体" w:hAnsi="宋体" w:eastAsia="宋体" w:cs="宋体"/>
                <w:b w:val="0"/>
                <w:bCs/>
                <w:color w:val="auto"/>
                <w:kern w:val="2"/>
                <w:sz w:val="24"/>
                <w:szCs w:val="24"/>
                <w:lang w:val="en-US" w:eastAsia="zh-CN" w:bidi="ar-SA"/>
              </w:rPr>
            </w:pPr>
            <w:r>
              <w:rPr>
                <w:rFonts w:hint="eastAsia" w:ascii="宋体" w:hAnsi="宋体" w:cs="宋体"/>
                <w:b w:val="0"/>
                <w:bCs/>
                <w:color w:val="auto"/>
                <w:kern w:val="2"/>
                <w:sz w:val="24"/>
                <w:szCs w:val="24"/>
                <w:lang w:val="en-US" w:eastAsia="zh-CN" w:bidi="ar-SA"/>
              </w:rPr>
              <w:t>套</w:t>
            </w:r>
          </w:p>
        </w:tc>
        <w:tc>
          <w:tcPr>
            <w:tcW w:w="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6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04"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spacing w:val="20"/>
              </w:rPr>
              <w:t>投  标 总  价</w:t>
            </w:r>
          </w:p>
        </w:tc>
        <w:tc>
          <w:tcPr>
            <w:tcW w:w="6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r>
    </w:tbl>
    <w:p>
      <w:pPr>
        <w:spacing w:line="276" w:lineRule="auto"/>
        <w:ind w:firstLine="480"/>
        <w:rPr>
          <w:rFonts w:ascii="宋体" w:hAnsi="宋体" w:cs="宋体"/>
          <w:color w:val="auto"/>
        </w:rPr>
      </w:pPr>
      <w:r>
        <w:rPr>
          <w:rFonts w:hint="eastAsia" w:ascii="宋体" w:hAnsi="宋体" w:cs="宋体"/>
          <w:color w:val="auto"/>
        </w:rPr>
        <w:t>注：1.投标报价是履行合同的最终价格，应包括完成项目所需货款、标准附件、</w:t>
      </w:r>
      <w:r>
        <w:rPr>
          <w:rFonts w:hint="eastAsia" w:ascii="宋体" w:hAnsi="宋体" w:cs="宋体"/>
          <w:color w:val="auto"/>
          <w:lang w:val="zh-CN"/>
        </w:rPr>
        <w:t>备品备件、人员费用、专用工具、包装、运输、装卸、保险、</w:t>
      </w:r>
      <w:r>
        <w:rPr>
          <w:rFonts w:hint="eastAsia" w:ascii="宋体" w:hAnsi="宋体" w:cs="宋体"/>
          <w:color w:val="auto"/>
        </w:rPr>
        <w:t>货到就位以及安装、调试、验收、培训、保修、税金、利润、招标代理服务费等一切费用。</w:t>
      </w:r>
    </w:p>
    <w:p>
      <w:pPr>
        <w:tabs>
          <w:tab w:val="left" w:pos="1418"/>
        </w:tabs>
        <w:snapToGrid w:val="0"/>
        <w:spacing w:line="276" w:lineRule="auto"/>
        <w:ind w:firstLine="560"/>
        <w:rPr>
          <w:rFonts w:ascii="宋体" w:hAnsi="宋体" w:cs="宋体"/>
          <w:color w:val="auto"/>
        </w:rPr>
      </w:pPr>
      <w:r>
        <w:rPr>
          <w:rFonts w:hint="eastAsia" w:ascii="宋体" w:hAnsi="宋体" w:cs="宋体"/>
          <w:color w:val="auto"/>
          <w:spacing w:val="20"/>
          <w:szCs w:val="20"/>
        </w:rPr>
        <w:t>2.</w:t>
      </w:r>
      <w:r>
        <w:rPr>
          <w:rFonts w:hint="eastAsia" w:ascii="宋体" w:hAnsi="宋体" w:cs="宋体"/>
          <w:color w:val="auto"/>
        </w:rPr>
        <w:t>“投标报价明细表”为多页的，每页均需加盖投标人公章。</w:t>
      </w:r>
    </w:p>
    <w:p>
      <w:pPr>
        <w:spacing w:line="276" w:lineRule="auto"/>
        <w:ind w:firstLine="560"/>
        <w:rPr>
          <w:rFonts w:ascii="宋体" w:hAnsi="宋体" w:cs="宋体"/>
          <w:color w:val="auto"/>
        </w:rPr>
      </w:pPr>
      <w:r>
        <w:rPr>
          <w:rFonts w:hint="eastAsia" w:ascii="宋体" w:hAnsi="宋体" w:cs="宋体"/>
          <w:color w:val="auto"/>
          <w:spacing w:val="20"/>
        </w:rPr>
        <w:t>3.</w:t>
      </w:r>
      <w:r>
        <w:rPr>
          <w:rFonts w:hint="eastAsia" w:ascii="宋体" w:hAnsi="宋体" w:cs="宋体"/>
          <w:color w:val="auto"/>
        </w:rPr>
        <w:t>投标报价明细表所填内容按采购需求为准。漏报的视同已包含在投标总价内。有重大缺项的将作无效标处理。</w:t>
      </w:r>
    </w:p>
    <w:p>
      <w:pPr>
        <w:spacing w:line="276" w:lineRule="auto"/>
        <w:ind w:firstLine="480"/>
        <w:rPr>
          <w:rFonts w:hint="eastAsia" w:ascii="宋体" w:hAnsi="宋体" w:cs="宋体"/>
          <w:color w:val="auto"/>
        </w:rPr>
      </w:pPr>
      <w:r>
        <w:rPr>
          <w:rFonts w:hint="eastAsia" w:ascii="宋体" w:hAnsi="宋体" w:cs="宋体"/>
          <w:color w:val="auto"/>
        </w:rPr>
        <w:t>4.本表中“投标总价”应与“开标一览表”中的投标总价一致。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103"/>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w:t>
      </w:r>
      <w:r>
        <w:rPr>
          <w:rFonts w:hint="eastAsia" w:hAnsi="宋体" w:eastAsia="宋体" w:cs="宋体"/>
          <w:b/>
          <w:bCs/>
          <w:color w:val="000000"/>
          <w:sz w:val="28"/>
          <w:szCs w:val="28"/>
          <w:lang w:val="en-US" w:eastAsia="zh-CN"/>
        </w:rPr>
        <w:t>六</w:t>
      </w:r>
      <w:r>
        <w:rPr>
          <w:rFonts w:hAnsi="宋体" w:eastAsia="宋体" w:cs="宋体"/>
          <w:b/>
          <w:bCs/>
          <w:color w:val="000000"/>
          <w:sz w:val="28"/>
          <w:szCs w:val="28"/>
        </w:rPr>
        <w:t>、政府采购活动现场确认声明书</w:t>
      </w:r>
    </w:p>
    <w:p>
      <w:pPr>
        <w:pStyle w:val="103"/>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12月20日</w:t>
      </w:r>
      <w:r>
        <w:rPr>
          <w:rFonts w:hAnsi="宋体" w:eastAsia="宋体" w:cs="宋体"/>
          <w:sz w:val="24"/>
          <w:szCs w:val="24"/>
        </w:rPr>
        <w:t>下午解密完成后填写并将扫描件发送至</w:t>
      </w:r>
      <w:r>
        <w:rPr>
          <w:rFonts w:hAnsi="宋体" w:eastAsia="宋体" w:cs="宋体"/>
          <w:color w:val="000000"/>
          <w:sz w:val="24"/>
          <w:szCs w:val="24"/>
        </w:rPr>
        <w:t>采购代理机构邮箱（1192873557@qq.com），不需要制作在投标文件中）</w:t>
      </w:r>
    </w:p>
    <w:p>
      <w:pPr>
        <w:pStyle w:val="103"/>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22"/>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嘉善技师学院（筹）购置培训教学仪器设备（电子电工实训室电源台实训设备）</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w:t>
      </w:r>
      <w:r>
        <w:rPr>
          <w:rFonts w:hint="eastAsia" w:hAnsi="宋体" w:cs="宋体"/>
          <w:color w:val="000000"/>
          <w:spacing w:val="6"/>
          <w:sz w:val="24"/>
          <w:szCs w:val="24"/>
          <w:u w:val="single"/>
          <w:lang w:eastAsia="zh-CN"/>
        </w:rPr>
        <w:t>G78</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3"/>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3"/>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3"/>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3"/>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3"/>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3"/>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3"/>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6" w:type="default"/>
      <w:pgSz w:w="11906" w:h="16838"/>
      <w:pgMar w:top="1418" w:right="1077" w:bottom="1418" w:left="1077" w:header="851" w:footer="992" w:gutter="340"/>
      <w:pgBorders>
        <w:top w:val="none" w:sz="0" w:space="0"/>
        <w:left w:val="none" w:sz="0" w:space="0"/>
        <w:bottom w:val="none" w:sz="0" w:space="0"/>
        <w:right w:val="none" w:sz="0" w:space="0"/>
      </w:pgBorders>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30204"/>
    <w:charset w:val="00"/>
    <w:family w:val="swiss"/>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C5LvNAQAAm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ZC5Lv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20</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20</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contextualSpacing/>
      <w:jc w:val="left"/>
    </w:pPr>
    <w:r>
      <w:rPr>
        <w:rFonts w:hint="eastAsia" w:ascii="宋体" w:hAnsi="宋体" w:cs="宋体"/>
        <w:lang w:eastAsia="zh-CN"/>
      </w:rPr>
      <w:t>嘉善技师学院（筹）购置培训教学仪器设备（电子电工实训室电源台实训设备）公开招标采购文件</w:t>
    </w:r>
    <w:r>
      <w:rPr>
        <w:rFonts w:hint="eastAsia" w:ascii="宋体" w:hAnsi="宋体" w:cs="宋体"/>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嘉善技师学院（筹）购置培训教学仪器设备（电子电工实训室电源台实训设备）公开招标采购文件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嘉善技师学院（筹）购置培训教学仪器设备（电子电工实训室电源台实训设备）</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嘉善技师学院（筹）购置培训教学仪器设备（电子电工实训室电源台实训设备）</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嘉善技师学院（筹）购置培训教学仪器设备（电子电工实训室电源台实训设备）</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09F10"/>
    <w:multiLevelType w:val="singleLevel"/>
    <w:tmpl w:val="9D209F10"/>
    <w:lvl w:ilvl="0" w:tentative="0">
      <w:start w:val="2"/>
      <w:numFmt w:val="decimal"/>
      <w:lvlText w:val="%1."/>
      <w:lvlJc w:val="left"/>
      <w:pPr>
        <w:tabs>
          <w:tab w:val="left" w:pos="312"/>
        </w:tabs>
      </w:p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YzllNjE3YzI3ZjU5ZWE4NTRiZWY0YmU1Y2QwOTEifQ=="/>
  </w:docVars>
  <w:rsids>
    <w:rsidRoot w:val="00524E3B"/>
    <w:rsid w:val="000004EF"/>
    <w:rsid w:val="000005F8"/>
    <w:rsid w:val="00000922"/>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630F"/>
    <w:rsid w:val="0002126C"/>
    <w:rsid w:val="000214F7"/>
    <w:rsid w:val="00021794"/>
    <w:rsid w:val="00021BE0"/>
    <w:rsid w:val="00021D5C"/>
    <w:rsid w:val="00021DC7"/>
    <w:rsid w:val="000222A9"/>
    <w:rsid w:val="0002338A"/>
    <w:rsid w:val="0002349B"/>
    <w:rsid w:val="0002382C"/>
    <w:rsid w:val="00023FA6"/>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18"/>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59EF"/>
    <w:rsid w:val="0006634B"/>
    <w:rsid w:val="000663E7"/>
    <w:rsid w:val="00066562"/>
    <w:rsid w:val="00066D6B"/>
    <w:rsid w:val="00066DD5"/>
    <w:rsid w:val="00067641"/>
    <w:rsid w:val="0007013F"/>
    <w:rsid w:val="000701F4"/>
    <w:rsid w:val="0007087F"/>
    <w:rsid w:val="00070EFB"/>
    <w:rsid w:val="0007146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8A6"/>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614"/>
    <w:rsid w:val="00086B15"/>
    <w:rsid w:val="00087342"/>
    <w:rsid w:val="00087684"/>
    <w:rsid w:val="0008769B"/>
    <w:rsid w:val="000876BA"/>
    <w:rsid w:val="0008785E"/>
    <w:rsid w:val="0009022F"/>
    <w:rsid w:val="00090422"/>
    <w:rsid w:val="0009046D"/>
    <w:rsid w:val="00090D95"/>
    <w:rsid w:val="000910B4"/>
    <w:rsid w:val="000912FB"/>
    <w:rsid w:val="00091B90"/>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21"/>
    <w:rsid w:val="000A3255"/>
    <w:rsid w:val="000A3887"/>
    <w:rsid w:val="000A41B2"/>
    <w:rsid w:val="000A44E0"/>
    <w:rsid w:val="000A44F0"/>
    <w:rsid w:val="000A4572"/>
    <w:rsid w:val="000A4FDB"/>
    <w:rsid w:val="000A6758"/>
    <w:rsid w:val="000A6DFA"/>
    <w:rsid w:val="000A6FB9"/>
    <w:rsid w:val="000A74A9"/>
    <w:rsid w:val="000A7A05"/>
    <w:rsid w:val="000A7CBC"/>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2A21"/>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FE4"/>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C4B"/>
    <w:rsid w:val="0012372D"/>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728"/>
    <w:rsid w:val="0013790C"/>
    <w:rsid w:val="00140981"/>
    <w:rsid w:val="00140CB3"/>
    <w:rsid w:val="00140FBF"/>
    <w:rsid w:val="00141970"/>
    <w:rsid w:val="00141C4A"/>
    <w:rsid w:val="00142511"/>
    <w:rsid w:val="001427ED"/>
    <w:rsid w:val="00142A67"/>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9B2"/>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E7A"/>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8F"/>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2DA7"/>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94D"/>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11F"/>
    <w:rsid w:val="001B5844"/>
    <w:rsid w:val="001B58E2"/>
    <w:rsid w:val="001B5CDD"/>
    <w:rsid w:val="001B5D13"/>
    <w:rsid w:val="001B5DE8"/>
    <w:rsid w:val="001B5F19"/>
    <w:rsid w:val="001B64D4"/>
    <w:rsid w:val="001B6795"/>
    <w:rsid w:val="001B68BF"/>
    <w:rsid w:val="001B6943"/>
    <w:rsid w:val="001B6E0F"/>
    <w:rsid w:val="001B7A59"/>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AD4"/>
    <w:rsid w:val="00205F9E"/>
    <w:rsid w:val="00206C14"/>
    <w:rsid w:val="00206D72"/>
    <w:rsid w:val="0020736A"/>
    <w:rsid w:val="00207A27"/>
    <w:rsid w:val="00210629"/>
    <w:rsid w:val="002106F6"/>
    <w:rsid w:val="00210797"/>
    <w:rsid w:val="00211157"/>
    <w:rsid w:val="00211485"/>
    <w:rsid w:val="00211BF6"/>
    <w:rsid w:val="00211FA8"/>
    <w:rsid w:val="0021358A"/>
    <w:rsid w:val="00213EDF"/>
    <w:rsid w:val="002140B6"/>
    <w:rsid w:val="0021417F"/>
    <w:rsid w:val="00215244"/>
    <w:rsid w:val="00215513"/>
    <w:rsid w:val="00215B0C"/>
    <w:rsid w:val="00215E6A"/>
    <w:rsid w:val="00215FD6"/>
    <w:rsid w:val="002169DC"/>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290"/>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96A"/>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6CB"/>
    <w:rsid w:val="002857DD"/>
    <w:rsid w:val="00286C47"/>
    <w:rsid w:val="002870BE"/>
    <w:rsid w:val="00287349"/>
    <w:rsid w:val="00287572"/>
    <w:rsid w:val="00290093"/>
    <w:rsid w:val="00290240"/>
    <w:rsid w:val="00290ABD"/>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6B4"/>
    <w:rsid w:val="002A2BA9"/>
    <w:rsid w:val="002A3D31"/>
    <w:rsid w:val="002A40F6"/>
    <w:rsid w:val="002A4A59"/>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8A"/>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0BD"/>
    <w:rsid w:val="002C4C82"/>
    <w:rsid w:val="002C4EC2"/>
    <w:rsid w:val="002C51C0"/>
    <w:rsid w:val="002C5560"/>
    <w:rsid w:val="002C6614"/>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7C1"/>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1B4D"/>
    <w:rsid w:val="00342271"/>
    <w:rsid w:val="003425DE"/>
    <w:rsid w:val="0034283B"/>
    <w:rsid w:val="00342D41"/>
    <w:rsid w:val="00343317"/>
    <w:rsid w:val="00343754"/>
    <w:rsid w:val="0034375B"/>
    <w:rsid w:val="003437B2"/>
    <w:rsid w:val="003438AD"/>
    <w:rsid w:val="00343C75"/>
    <w:rsid w:val="00343E9B"/>
    <w:rsid w:val="00344094"/>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1D3"/>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2AA1"/>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682"/>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104"/>
    <w:rsid w:val="00390695"/>
    <w:rsid w:val="00390870"/>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3D97"/>
    <w:rsid w:val="003948A2"/>
    <w:rsid w:val="003948AA"/>
    <w:rsid w:val="0039495E"/>
    <w:rsid w:val="00395284"/>
    <w:rsid w:val="003953AE"/>
    <w:rsid w:val="003955A6"/>
    <w:rsid w:val="00395B42"/>
    <w:rsid w:val="00395D93"/>
    <w:rsid w:val="00396353"/>
    <w:rsid w:val="00396BC6"/>
    <w:rsid w:val="00397055"/>
    <w:rsid w:val="003976D7"/>
    <w:rsid w:val="003978DB"/>
    <w:rsid w:val="00397C2B"/>
    <w:rsid w:val="00397DB3"/>
    <w:rsid w:val="003A0599"/>
    <w:rsid w:val="003A079C"/>
    <w:rsid w:val="003A0EBF"/>
    <w:rsid w:val="003A1657"/>
    <w:rsid w:val="003A1EC8"/>
    <w:rsid w:val="003A2501"/>
    <w:rsid w:val="003A262B"/>
    <w:rsid w:val="003A3A0A"/>
    <w:rsid w:val="003A3F15"/>
    <w:rsid w:val="003A414F"/>
    <w:rsid w:val="003A4B05"/>
    <w:rsid w:val="003A4BB9"/>
    <w:rsid w:val="003A5235"/>
    <w:rsid w:val="003A54D2"/>
    <w:rsid w:val="003A5A51"/>
    <w:rsid w:val="003A6240"/>
    <w:rsid w:val="003A6EAE"/>
    <w:rsid w:val="003A76B0"/>
    <w:rsid w:val="003A7D51"/>
    <w:rsid w:val="003B0533"/>
    <w:rsid w:val="003B08D7"/>
    <w:rsid w:val="003B109A"/>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0A8"/>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288D"/>
    <w:rsid w:val="003F3273"/>
    <w:rsid w:val="003F3329"/>
    <w:rsid w:val="003F3647"/>
    <w:rsid w:val="003F4632"/>
    <w:rsid w:val="003F4AFA"/>
    <w:rsid w:val="003F578F"/>
    <w:rsid w:val="003F5B16"/>
    <w:rsid w:val="003F5F5D"/>
    <w:rsid w:val="003F609D"/>
    <w:rsid w:val="003F61F5"/>
    <w:rsid w:val="003F642D"/>
    <w:rsid w:val="003F70F5"/>
    <w:rsid w:val="003F7ADE"/>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22A"/>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1485"/>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D0"/>
    <w:rsid w:val="004B26F5"/>
    <w:rsid w:val="004B2A38"/>
    <w:rsid w:val="004B2E5D"/>
    <w:rsid w:val="004B31A8"/>
    <w:rsid w:val="004B3208"/>
    <w:rsid w:val="004B3439"/>
    <w:rsid w:val="004B3823"/>
    <w:rsid w:val="004B4153"/>
    <w:rsid w:val="004B41DB"/>
    <w:rsid w:val="004B41F1"/>
    <w:rsid w:val="004B430F"/>
    <w:rsid w:val="004B433A"/>
    <w:rsid w:val="004B48BA"/>
    <w:rsid w:val="004B4EDE"/>
    <w:rsid w:val="004B5364"/>
    <w:rsid w:val="004B5D94"/>
    <w:rsid w:val="004B6A2C"/>
    <w:rsid w:val="004B6EC5"/>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3BE"/>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0CE"/>
    <w:rsid w:val="0050173E"/>
    <w:rsid w:val="0050216D"/>
    <w:rsid w:val="00502D8F"/>
    <w:rsid w:val="00502E7C"/>
    <w:rsid w:val="00502F34"/>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09BD"/>
    <w:rsid w:val="005210B8"/>
    <w:rsid w:val="00521C6C"/>
    <w:rsid w:val="00521E65"/>
    <w:rsid w:val="005222ED"/>
    <w:rsid w:val="005225E8"/>
    <w:rsid w:val="00522A36"/>
    <w:rsid w:val="00522C6F"/>
    <w:rsid w:val="0052308F"/>
    <w:rsid w:val="00523375"/>
    <w:rsid w:val="00523F45"/>
    <w:rsid w:val="00523FDD"/>
    <w:rsid w:val="00524126"/>
    <w:rsid w:val="005241F8"/>
    <w:rsid w:val="00524E3B"/>
    <w:rsid w:val="00524F0D"/>
    <w:rsid w:val="005258C4"/>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44B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36E"/>
    <w:rsid w:val="0056170D"/>
    <w:rsid w:val="00562512"/>
    <w:rsid w:val="00562588"/>
    <w:rsid w:val="00562639"/>
    <w:rsid w:val="00562A61"/>
    <w:rsid w:val="00563166"/>
    <w:rsid w:val="00563D1A"/>
    <w:rsid w:val="00564212"/>
    <w:rsid w:val="00564340"/>
    <w:rsid w:val="00564762"/>
    <w:rsid w:val="005648C9"/>
    <w:rsid w:val="0056498D"/>
    <w:rsid w:val="005649DB"/>
    <w:rsid w:val="00564A73"/>
    <w:rsid w:val="00564B13"/>
    <w:rsid w:val="00564B31"/>
    <w:rsid w:val="00564F33"/>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C92"/>
    <w:rsid w:val="00574ED8"/>
    <w:rsid w:val="005750C1"/>
    <w:rsid w:val="005753BB"/>
    <w:rsid w:val="005754DD"/>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86534"/>
    <w:rsid w:val="00590606"/>
    <w:rsid w:val="005913B5"/>
    <w:rsid w:val="0059154D"/>
    <w:rsid w:val="00592443"/>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3F36"/>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283"/>
    <w:rsid w:val="005A78DB"/>
    <w:rsid w:val="005B02B9"/>
    <w:rsid w:val="005B0337"/>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5AF9"/>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2C4A"/>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87D"/>
    <w:rsid w:val="005F0944"/>
    <w:rsid w:val="005F0CB5"/>
    <w:rsid w:val="005F1412"/>
    <w:rsid w:val="005F1849"/>
    <w:rsid w:val="005F1C67"/>
    <w:rsid w:val="005F1C8E"/>
    <w:rsid w:val="005F20CB"/>
    <w:rsid w:val="005F2336"/>
    <w:rsid w:val="005F275F"/>
    <w:rsid w:val="005F2D63"/>
    <w:rsid w:val="005F3415"/>
    <w:rsid w:val="005F34E0"/>
    <w:rsid w:val="005F4508"/>
    <w:rsid w:val="005F4871"/>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1B8"/>
    <w:rsid w:val="00602A8B"/>
    <w:rsid w:val="00603739"/>
    <w:rsid w:val="0060392D"/>
    <w:rsid w:val="006045D9"/>
    <w:rsid w:val="0060479C"/>
    <w:rsid w:val="006048D6"/>
    <w:rsid w:val="00604A08"/>
    <w:rsid w:val="0060577F"/>
    <w:rsid w:val="00606571"/>
    <w:rsid w:val="0060707E"/>
    <w:rsid w:val="00607B8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D19"/>
    <w:rsid w:val="00624F0B"/>
    <w:rsid w:val="0062533B"/>
    <w:rsid w:val="00625CA1"/>
    <w:rsid w:val="00626269"/>
    <w:rsid w:val="00626590"/>
    <w:rsid w:val="006268BA"/>
    <w:rsid w:val="0062797C"/>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905"/>
    <w:rsid w:val="006B4C04"/>
    <w:rsid w:val="006B4F0A"/>
    <w:rsid w:val="006B509E"/>
    <w:rsid w:val="006B5799"/>
    <w:rsid w:val="006B634A"/>
    <w:rsid w:val="006B6469"/>
    <w:rsid w:val="006B649A"/>
    <w:rsid w:val="006B672E"/>
    <w:rsid w:val="006B6CA1"/>
    <w:rsid w:val="006B6D2D"/>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93C"/>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EEE"/>
    <w:rsid w:val="006E0F81"/>
    <w:rsid w:val="006E0FDA"/>
    <w:rsid w:val="006E18F1"/>
    <w:rsid w:val="006E191D"/>
    <w:rsid w:val="006E1C14"/>
    <w:rsid w:val="006E1D07"/>
    <w:rsid w:val="006E1D14"/>
    <w:rsid w:val="006E1F7B"/>
    <w:rsid w:val="006E1F86"/>
    <w:rsid w:val="006E27D2"/>
    <w:rsid w:val="006E2B24"/>
    <w:rsid w:val="006E36CD"/>
    <w:rsid w:val="006E3A54"/>
    <w:rsid w:val="006E3FA6"/>
    <w:rsid w:val="006E4C10"/>
    <w:rsid w:val="006E5589"/>
    <w:rsid w:val="006E5AEB"/>
    <w:rsid w:val="006E5D0D"/>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C04"/>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9C6"/>
    <w:rsid w:val="00706F76"/>
    <w:rsid w:val="00707013"/>
    <w:rsid w:val="0070730B"/>
    <w:rsid w:val="0070786A"/>
    <w:rsid w:val="00707A90"/>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3AF"/>
    <w:rsid w:val="0074581B"/>
    <w:rsid w:val="00745AB7"/>
    <w:rsid w:val="007464BD"/>
    <w:rsid w:val="007476C0"/>
    <w:rsid w:val="0074797A"/>
    <w:rsid w:val="00750186"/>
    <w:rsid w:val="00750794"/>
    <w:rsid w:val="00750BFF"/>
    <w:rsid w:val="00750E65"/>
    <w:rsid w:val="00750FDE"/>
    <w:rsid w:val="00751176"/>
    <w:rsid w:val="0075199F"/>
    <w:rsid w:val="007519EB"/>
    <w:rsid w:val="00751C6A"/>
    <w:rsid w:val="0075214D"/>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0EB3"/>
    <w:rsid w:val="00761549"/>
    <w:rsid w:val="00761CB9"/>
    <w:rsid w:val="007623D8"/>
    <w:rsid w:val="0076264B"/>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DA7"/>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8A0"/>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4F9"/>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BCE"/>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96C"/>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5ECB"/>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D6F"/>
    <w:rsid w:val="008140C7"/>
    <w:rsid w:val="0081463D"/>
    <w:rsid w:val="00814B70"/>
    <w:rsid w:val="00814C6E"/>
    <w:rsid w:val="00814CFE"/>
    <w:rsid w:val="00815230"/>
    <w:rsid w:val="00815255"/>
    <w:rsid w:val="0081528C"/>
    <w:rsid w:val="00815594"/>
    <w:rsid w:val="00815632"/>
    <w:rsid w:val="00815775"/>
    <w:rsid w:val="00815D58"/>
    <w:rsid w:val="008165DF"/>
    <w:rsid w:val="00816789"/>
    <w:rsid w:val="00816839"/>
    <w:rsid w:val="00816A22"/>
    <w:rsid w:val="00816BFE"/>
    <w:rsid w:val="00816F9E"/>
    <w:rsid w:val="00817006"/>
    <w:rsid w:val="00817569"/>
    <w:rsid w:val="008178E0"/>
    <w:rsid w:val="00820315"/>
    <w:rsid w:val="0082048E"/>
    <w:rsid w:val="0082059C"/>
    <w:rsid w:val="0082079B"/>
    <w:rsid w:val="00820B09"/>
    <w:rsid w:val="00821792"/>
    <w:rsid w:val="00821A7A"/>
    <w:rsid w:val="00821E47"/>
    <w:rsid w:val="00822109"/>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702"/>
    <w:rsid w:val="008359E7"/>
    <w:rsid w:val="00836027"/>
    <w:rsid w:val="00836250"/>
    <w:rsid w:val="00836EC1"/>
    <w:rsid w:val="00836F3C"/>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46006"/>
    <w:rsid w:val="008512DB"/>
    <w:rsid w:val="008513E3"/>
    <w:rsid w:val="008515B4"/>
    <w:rsid w:val="0085197D"/>
    <w:rsid w:val="00851C4B"/>
    <w:rsid w:val="008520F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07A"/>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B8E"/>
    <w:rsid w:val="008A3CE8"/>
    <w:rsid w:val="008A43B0"/>
    <w:rsid w:val="008A4593"/>
    <w:rsid w:val="008A47E8"/>
    <w:rsid w:val="008A4B42"/>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31F"/>
    <w:rsid w:val="008D384C"/>
    <w:rsid w:val="008D3E49"/>
    <w:rsid w:val="008D4262"/>
    <w:rsid w:val="008D42DC"/>
    <w:rsid w:val="008D4795"/>
    <w:rsid w:val="008D47C7"/>
    <w:rsid w:val="008D4AA9"/>
    <w:rsid w:val="008D542E"/>
    <w:rsid w:val="008D6238"/>
    <w:rsid w:val="008D6C20"/>
    <w:rsid w:val="008D6D23"/>
    <w:rsid w:val="008D742F"/>
    <w:rsid w:val="008D7ECD"/>
    <w:rsid w:val="008E02B4"/>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19CF"/>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623"/>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2EE"/>
    <w:rsid w:val="009B238E"/>
    <w:rsid w:val="009B2589"/>
    <w:rsid w:val="009B29F5"/>
    <w:rsid w:val="009B2A03"/>
    <w:rsid w:val="009B306E"/>
    <w:rsid w:val="009B419C"/>
    <w:rsid w:val="009B4713"/>
    <w:rsid w:val="009B4755"/>
    <w:rsid w:val="009B4A43"/>
    <w:rsid w:val="009B4B3F"/>
    <w:rsid w:val="009B4B60"/>
    <w:rsid w:val="009B53A3"/>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B72"/>
    <w:rsid w:val="009D0D56"/>
    <w:rsid w:val="009D0E10"/>
    <w:rsid w:val="009D11F2"/>
    <w:rsid w:val="009D163F"/>
    <w:rsid w:val="009D187F"/>
    <w:rsid w:val="009D1AF6"/>
    <w:rsid w:val="009D1D2C"/>
    <w:rsid w:val="009D1F0F"/>
    <w:rsid w:val="009D302E"/>
    <w:rsid w:val="009D3A0F"/>
    <w:rsid w:val="009D503E"/>
    <w:rsid w:val="009D5150"/>
    <w:rsid w:val="009D52E1"/>
    <w:rsid w:val="009D5BA9"/>
    <w:rsid w:val="009D72BA"/>
    <w:rsid w:val="009D748F"/>
    <w:rsid w:val="009D777F"/>
    <w:rsid w:val="009D7D71"/>
    <w:rsid w:val="009D7E5B"/>
    <w:rsid w:val="009E0002"/>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53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C9D"/>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3FA5"/>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683"/>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6BE"/>
    <w:rsid w:val="00A447C5"/>
    <w:rsid w:val="00A4589C"/>
    <w:rsid w:val="00A45912"/>
    <w:rsid w:val="00A459FF"/>
    <w:rsid w:val="00A45AA4"/>
    <w:rsid w:val="00A45D19"/>
    <w:rsid w:val="00A45E5C"/>
    <w:rsid w:val="00A465F5"/>
    <w:rsid w:val="00A466D2"/>
    <w:rsid w:val="00A4686D"/>
    <w:rsid w:val="00A4703D"/>
    <w:rsid w:val="00A47304"/>
    <w:rsid w:val="00A47712"/>
    <w:rsid w:val="00A50282"/>
    <w:rsid w:val="00A51449"/>
    <w:rsid w:val="00A5181B"/>
    <w:rsid w:val="00A519E7"/>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344C"/>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479"/>
    <w:rsid w:val="00B02AA9"/>
    <w:rsid w:val="00B02CD9"/>
    <w:rsid w:val="00B03218"/>
    <w:rsid w:val="00B033E0"/>
    <w:rsid w:val="00B04A15"/>
    <w:rsid w:val="00B04C4F"/>
    <w:rsid w:val="00B04D27"/>
    <w:rsid w:val="00B04F32"/>
    <w:rsid w:val="00B0559B"/>
    <w:rsid w:val="00B05AD4"/>
    <w:rsid w:val="00B05F51"/>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4E6"/>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3A8"/>
    <w:rsid w:val="00BC4AF3"/>
    <w:rsid w:val="00BC510B"/>
    <w:rsid w:val="00BC69DC"/>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18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498D"/>
    <w:rsid w:val="00C150DC"/>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183"/>
    <w:rsid w:val="00C3567D"/>
    <w:rsid w:val="00C36207"/>
    <w:rsid w:val="00C3695C"/>
    <w:rsid w:val="00C36AAB"/>
    <w:rsid w:val="00C36C30"/>
    <w:rsid w:val="00C36D06"/>
    <w:rsid w:val="00C37036"/>
    <w:rsid w:val="00C3758E"/>
    <w:rsid w:val="00C379CB"/>
    <w:rsid w:val="00C37AD7"/>
    <w:rsid w:val="00C37E56"/>
    <w:rsid w:val="00C4078B"/>
    <w:rsid w:val="00C409F8"/>
    <w:rsid w:val="00C40C25"/>
    <w:rsid w:val="00C41236"/>
    <w:rsid w:val="00C41A16"/>
    <w:rsid w:val="00C4222B"/>
    <w:rsid w:val="00C42712"/>
    <w:rsid w:val="00C4278A"/>
    <w:rsid w:val="00C42A77"/>
    <w:rsid w:val="00C42D7B"/>
    <w:rsid w:val="00C43031"/>
    <w:rsid w:val="00C43061"/>
    <w:rsid w:val="00C432ED"/>
    <w:rsid w:val="00C43434"/>
    <w:rsid w:val="00C43514"/>
    <w:rsid w:val="00C437D6"/>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5F1F"/>
    <w:rsid w:val="00C561FC"/>
    <w:rsid w:val="00C562D9"/>
    <w:rsid w:val="00C56C9A"/>
    <w:rsid w:val="00C56CBF"/>
    <w:rsid w:val="00C56D9A"/>
    <w:rsid w:val="00C56DE8"/>
    <w:rsid w:val="00C576D6"/>
    <w:rsid w:val="00C57E33"/>
    <w:rsid w:val="00C6030C"/>
    <w:rsid w:val="00C605C1"/>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893"/>
    <w:rsid w:val="00C72FC5"/>
    <w:rsid w:val="00C73045"/>
    <w:rsid w:val="00C7367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5C32"/>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DD1"/>
    <w:rsid w:val="00CB48DE"/>
    <w:rsid w:val="00CB4A1F"/>
    <w:rsid w:val="00CB4A50"/>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1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030"/>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96F"/>
    <w:rsid w:val="00D50F15"/>
    <w:rsid w:val="00D512F4"/>
    <w:rsid w:val="00D51365"/>
    <w:rsid w:val="00D5147E"/>
    <w:rsid w:val="00D51995"/>
    <w:rsid w:val="00D52DE3"/>
    <w:rsid w:val="00D53B1A"/>
    <w:rsid w:val="00D56059"/>
    <w:rsid w:val="00D560FE"/>
    <w:rsid w:val="00D56850"/>
    <w:rsid w:val="00D5698A"/>
    <w:rsid w:val="00D5730F"/>
    <w:rsid w:val="00D57AC1"/>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0E05"/>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1CA9"/>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3F89"/>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2ED"/>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396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38E"/>
    <w:rsid w:val="00E625D8"/>
    <w:rsid w:val="00E63300"/>
    <w:rsid w:val="00E63AA5"/>
    <w:rsid w:val="00E63B2F"/>
    <w:rsid w:val="00E63DDD"/>
    <w:rsid w:val="00E641C4"/>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0E23"/>
    <w:rsid w:val="00E811B2"/>
    <w:rsid w:val="00E81726"/>
    <w:rsid w:val="00E83770"/>
    <w:rsid w:val="00E83B69"/>
    <w:rsid w:val="00E83EF0"/>
    <w:rsid w:val="00E83F9F"/>
    <w:rsid w:val="00E84644"/>
    <w:rsid w:val="00E84792"/>
    <w:rsid w:val="00E84FFD"/>
    <w:rsid w:val="00E851C1"/>
    <w:rsid w:val="00E8544C"/>
    <w:rsid w:val="00E85995"/>
    <w:rsid w:val="00E8599D"/>
    <w:rsid w:val="00E8625E"/>
    <w:rsid w:val="00E86561"/>
    <w:rsid w:val="00E86601"/>
    <w:rsid w:val="00E87263"/>
    <w:rsid w:val="00E87A33"/>
    <w:rsid w:val="00E87B8E"/>
    <w:rsid w:val="00E908AC"/>
    <w:rsid w:val="00E90C78"/>
    <w:rsid w:val="00E91047"/>
    <w:rsid w:val="00E91D5C"/>
    <w:rsid w:val="00E92424"/>
    <w:rsid w:val="00E927ED"/>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3BB5"/>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5C8C"/>
    <w:rsid w:val="00EB63AA"/>
    <w:rsid w:val="00EB6928"/>
    <w:rsid w:val="00EB6A68"/>
    <w:rsid w:val="00EB6B7D"/>
    <w:rsid w:val="00EB6BE3"/>
    <w:rsid w:val="00EB797F"/>
    <w:rsid w:val="00EB7BFB"/>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926"/>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2C9"/>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736"/>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39B"/>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FD5"/>
    <w:rsid w:val="00FF219C"/>
    <w:rsid w:val="00FF21E6"/>
    <w:rsid w:val="00FF2663"/>
    <w:rsid w:val="00FF270E"/>
    <w:rsid w:val="00FF2C5C"/>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386EC7"/>
    <w:rsid w:val="016D3329"/>
    <w:rsid w:val="01700DB5"/>
    <w:rsid w:val="01890DEC"/>
    <w:rsid w:val="01AC6C80"/>
    <w:rsid w:val="01C359E0"/>
    <w:rsid w:val="01D17056"/>
    <w:rsid w:val="01D45093"/>
    <w:rsid w:val="01D867AF"/>
    <w:rsid w:val="01E22C9F"/>
    <w:rsid w:val="01E51D28"/>
    <w:rsid w:val="01FA0C29"/>
    <w:rsid w:val="025074AA"/>
    <w:rsid w:val="02906A2E"/>
    <w:rsid w:val="02D358B6"/>
    <w:rsid w:val="02E87294"/>
    <w:rsid w:val="02EA3D4F"/>
    <w:rsid w:val="0305345B"/>
    <w:rsid w:val="032F66E9"/>
    <w:rsid w:val="03360276"/>
    <w:rsid w:val="038A0A36"/>
    <w:rsid w:val="038B4C21"/>
    <w:rsid w:val="03A530EE"/>
    <w:rsid w:val="03AB0E87"/>
    <w:rsid w:val="03B17F9E"/>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437C23"/>
    <w:rsid w:val="056C2F6B"/>
    <w:rsid w:val="05780245"/>
    <w:rsid w:val="057D3FDA"/>
    <w:rsid w:val="05B46917"/>
    <w:rsid w:val="05C52E2E"/>
    <w:rsid w:val="05D11DD1"/>
    <w:rsid w:val="05D12069"/>
    <w:rsid w:val="05D843C4"/>
    <w:rsid w:val="05DC5D8F"/>
    <w:rsid w:val="05F17AD2"/>
    <w:rsid w:val="05F50713"/>
    <w:rsid w:val="05F7184A"/>
    <w:rsid w:val="05FF330F"/>
    <w:rsid w:val="06055537"/>
    <w:rsid w:val="06146BE2"/>
    <w:rsid w:val="061C13DD"/>
    <w:rsid w:val="064F2805"/>
    <w:rsid w:val="06607C0F"/>
    <w:rsid w:val="06935D11"/>
    <w:rsid w:val="06AE5E70"/>
    <w:rsid w:val="06D73364"/>
    <w:rsid w:val="06E0388A"/>
    <w:rsid w:val="07516E99"/>
    <w:rsid w:val="075B52B1"/>
    <w:rsid w:val="077D762E"/>
    <w:rsid w:val="0784238D"/>
    <w:rsid w:val="078D1E52"/>
    <w:rsid w:val="07AB1CDC"/>
    <w:rsid w:val="07AC1AA3"/>
    <w:rsid w:val="07C808C8"/>
    <w:rsid w:val="07CC4C58"/>
    <w:rsid w:val="07E24397"/>
    <w:rsid w:val="08007B64"/>
    <w:rsid w:val="0816261C"/>
    <w:rsid w:val="083245C7"/>
    <w:rsid w:val="084412F4"/>
    <w:rsid w:val="086F06C6"/>
    <w:rsid w:val="087679C6"/>
    <w:rsid w:val="08CB697C"/>
    <w:rsid w:val="08E67B94"/>
    <w:rsid w:val="08EB5F92"/>
    <w:rsid w:val="090F0736"/>
    <w:rsid w:val="092C3DD0"/>
    <w:rsid w:val="09345980"/>
    <w:rsid w:val="093B3D23"/>
    <w:rsid w:val="09476E41"/>
    <w:rsid w:val="094F5AEA"/>
    <w:rsid w:val="098B6E4F"/>
    <w:rsid w:val="09BE6273"/>
    <w:rsid w:val="09DE3EF3"/>
    <w:rsid w:val="09EF19D3"/>
    <w:rsid w:val="09FA094E"/>
    <w:rsid w:val="0A155AE0"/>
    <w:rsid w:val="0A1C03B9"/>
    <w:rsid w:val="0A1D5803"/>
    <w:rsid w:val="0A5D3A76"/>
    <w:rsid w:val="0A6D0068"/>
    <w:rsid w:val="0A80786B"/>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C116A04"/>
    <w:rsid w:val="0C163DE3"/>
    <w:rsid w:val="0C38391C"/>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EEB7078"/>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30136"/>
    <w:rsid w:val="103403E8"/>
    <w:rsid w:val="104A3065"/>
    <w:rsid w:val="10790AA3"/>
    <w:rsid w:val="10964EF8"/>
    <w:rsid w:val="10B0393A"/>
    <w:rsid w:val="10C46432"/>
    <w:rsid w:val="10D86C00"/>
    <w:rsid w:val="10DF695A"/>
    <w:rsid w:val="1109680C"/>
    <w:rsid w:val="112355EC"/>
    <w:rsid w:val="113147B9"/>
    <w:rsid w:val="11885720"/>
    <w:rsid w:val="119A267F"/>
    <w:rsid w:val="11AD2466"/>
    <w:rsid w:val="11B30F31"/>
    <w:rsid w:val="11B33EF7"/>
    <w:rsid w:val="11BF41A1"/>
    <w:rsid w:val="11C85CC6"/>
    <w:rsid w:val="11D34CF9"/>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CF716E"/>
    <w:rsid w:val="13D369E3"/>
    <w:rsid w:val="13D50411"/>
    <w:rsid w:val="13E64BE3"/>
    <w:rsid w:val="140A1D14"/>
    <w:rsid w:val="146870E8"/>
    <w:rsid w:val="147A7419"/>
    <w:rsid w:val="148D2D4C"/>
    <w:rsid w:val="14C55FF0"/>
    <w:rsid w:val="151D5144"/>
    <w:rsid w:val="152B60A2"/>
    <w:rsid w:val="152E5EA1"/>
    <w:rsid w:val="15342CB2"/>
    <w:rsid w:val="153704C4"/>
    <w:rsid w:val="15677C9D"/>
    <w:rsid w:val="157C74D9"/>
    <w:rsid w:val="15841854"/>
    <w:rsid w:val="15A64FE6"/>
    <w:rsid w:val="15DC48B8"/>
    <w:rsid w:val="15FD388C"/>
    <w:rsid w:val="1638282C"/>
    <w:rsid w:val="16393F3A"/>
    <w:rsid w:val="166B702A"/>
    <w:rsid w:val="169029A3"/>
    <w:rsid w:val="16B742C5"/>
    <w:rsid w:val="16BA20C3"/>
    <w:rsid w:val="16C53A03"/>
    <w:rsid w:val="16F723A3"/>
    <w:rsid w:val="16F77E06"/>
    <w:rsid w:val="1702140C"/>
    <w:rsid w:val="17175B41"/>
    <w:rsid w:val="173739FB"/>
    <w:rsid w:val="1765171B"/>
    <w:rsid w:val="176E561B"/>
    <w:rsid w:val="17747C3D"/>
    <w:rsid w:val="177C39A7"/>
    <w:rsid w:val="178B0116"/>
    <w:rsid w:val="17977A78"/>
    <w:rsid w:val="17B5323C"/>
    <w:rsid w:val="17B607F9"/>
    <w:rsid w:val="17B76382"/>
    <w:rsid w:val="17B936E1"/>
    <w:rsid w:val="17C67D1F"/>
    <w:rsid w:val="17D45DF7"/>
    <w:rsid w:val="180F0BBA"/>
    <w:rsid w:val="18170A63"/>
    <w:rsid w:val="183414F1"/>
    <w:rsid w:val="184C0855"/>
    <w:rsid w:val="186F473B"/>
    <w:rsid w:val="18D26527"/>
    <w:rsid w:val="19211619"/>
    <w:rsid w:val="19264A04"/>
    <w:rsid w:val="19326A25"/>
    <w:rsid w:val="193A691F"/>
    <w:rsid w:val="19572B4C"/>
    <w:rsid w:val="195D3688"/>
    <w:rsid w:val="198527A8"/>
    <w:rsid w:val="19AB5A4D"/>
    <w:rsid w:val="19B2076C"/>
    <w:rsid w:val="19C35AB3"/>
    <w:rsid w:val="19FF7081"/>
    <w:rsid w:val="1A0E48E2"/>
    <w:rsid w:val="1A217672"/>
    <w:rsid w:val="1A2D7F71"/>
    <w:rsid w:val="1A2E248C"/>
    <w:rsid w:val="1A427322"/>
    <w:rsid w:val="1A476C0F"/>
    <w:rsid w:val="1A72093E"/>
    <w:rsid w:val="1A7672D6"/>
    <w:rsid w:val="1A792CB9"/>
    <w:rsid w:val="1ABD556D"/>
    <w:rsid w:val="1ABE4616"/>
    <w:rsid w:val="1AD746F8"/>
    <w:rsid w:val="1AE244B8"/>
    <w:rsid w:val="1AEB42E1"/>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CF91F10"/>
    <w:rsid w:val="1D0A51CC"/>
    <w:rsid w:val="1D1F6E65"/>
    <w:rsid w:val="1D4E76BA"/>
    <w:rsid w:val="1D52159B"/>
    <w:rsid w:val="1D72118C"/>
    <w:rsid w:val="1D8C71A4"/>
    <w:rsid w:val="1DAA4ED3"/>
    <w:rsid w:val="1DB04E78"/>
    <w:rsid w:val="1DE5260B"/>
    <w:rsid w:val="1DF84F0F"/>
    <w:rsid w:val="1E156B3F"/>
    <w:rsid w:val="1E426463"/>
    <w:rsid w:val="1E4271AA"/>
    <w:rsid w:val="1E4D738F"/>
    <w:rsid w:val="1E694D8D"/>
    <w:rsid w:val="1E713DF6"/>
    <w:rsid w:val="1E7458FA"/>
    <w:rsid w:val="1E812E67"/>
    <w:rsid w:val="1E835238"/>
    <w:rsid w:val="1E8A1C67"/>
    <w:rsid w:val="1EBA0BD2"/>
    <w:rsid w:val="1ECA3890"/>
    <w:rsid w:val="1EF36406"/>
    <w:rsid w:val="1EF84EEB"/>
    <w:rsid w:val="1F042DEE"/>
    <w:rsid w:val="1F217946"/>
    <w:rsid w:val="1F2A3348"/>
    <w:rsid w:val="1F6577E7"/>
    <w:rsid w:val="1F7472AE"/>
    <w:rsid w:val="1FC65F5C"/>
    <w:rsid w:val="1FD026C3"/>
    <w:rsid w:val="1FEC6832"/>
    <w:rsid w:val="1FF03786"/>
    <w:rsid w:val="203C12D0"/>
    <w:rsid w:val="20436B38"/>
    <w:rsid w:val="2066127D"/>
    <w:rsid w:val="20676B1C"/>
    <w:rsid w:val="2087013C"/>
    <w:rsid w:val="208820D8"/>
    <w:rsid w:val="20A97D3D"/>
    <w:rsid w:val="20B679DB"/>
    <w:rsid w:val="20BE31A2"/>
    <w:rsid w:val="20EB452E"/>
    <w:rsid w:val="20FC03B3"/>
    <w:rsid w:val="21017637"/>
    <w:rsid w:val="210B5C07"/>
    <w:rsid w:val="212E630D"/>
    <w:rsid w:val="218A5930"/>
    <w:rsid w:val="21941472"/>
    <w:rsid w:val="21C94DFE"/>
    <w:rsid w:val="21F27C05"/>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BA5A96"/>
    <w:rsid w:val="24C26DBE"/>
    <w:rsid w:val="24E664E2"/>
    <w:rsid w:val="24E92140"/>
    <w:rsid w:val="24FF6673"/>
    <w:rsid w:val="25032944"/>
    <w:rsid w:val="25253588"/>
    <w:rsid w:val="252D2F1C"/>
    <w:rsid w:val="25333F20"/>
    <w:rsid w:val="25455AC6"/>
    <w:rsid w:val="25486AFC"/>
    <w:rsid w:val="25836B10"/>
    <w:rsid w:val="2591501C"/>
    <w:rsid w:val="25B05F47"/>
    <w:rsid w:val="25B51205"/>
    <w:rsid w:val="25E02651"/>
    <w:rsid w:val="25E17B67"/>
    <w:rsid w:val="25EC3DE7"/>
    <w:rsid w:val="2642495F"/>
    <w:rsid w:val="26967BCA"/>
    <w:rsid w:val="26A70543"/>
    <w:rsid w:val="26B422CD"/>
    <w:rsid w:val="26D43F07"/>
    <w:rsid w:val="26ED7CAC"/>
    <w:rsid w:val="26F42018"/>
    <w:rsid w:val="271514CB"/>
    <w:rsid w:val="27157B02"/>
    <w:rsid w:val="271A3471"/>
    <w:rsid w:val="272D5744"/>
    <w:rsid w:val="272F7A19"/>
    <w:rsid w:val="27426FB7"/>
    <w:rsid w:val="275B4005"/>
    <w:rsid w:val="2760668F"/>
    <w:rsid w:val="277631B9"/>
    <w:rsid w:val="279E773F"/>
    <w:rsid w:val="279F35CF"/>
    <w:rsid w:val="27BD648A"/>
    <w:rsid w:val="27CF7BC1"/>
    <w:rsid w:val="27D21953"/>
    <w:rsid w:val="27DD4219"/>
    <w:rsid w:val="27ED2E35"/>
    <w:rsid w:val="27F379B4"/>
    <w:rsid w:val="27FD20A3"/>
    <w:rsid w:val="280855FA"/>
    <w:rsid w:val="281A3FEF"/>
    <w:rsid w:val="282F0269"/>
    <w:rsid w:val="2837711A"/>
    <w:rsid w:val="285C7F14"/>
    <w:rsid w:val="28733F45"/>
    <w:rsid w:val="28883B3E"/>
    <w:rsid w:val="288D3E4E"/>
    <w:rsid w:val="28926F00"/>
    <w:rsid w:val="28AF3D9F"/>
    <w:rsid w:val="28B655A4"/>
    <w:rsid w:val="28C51846"/>
    <w:rsid w:val="28DA31DD"/>
    <w:rsid w:val="290A2815"/>
    <w:rsid w:val="291D0FC6"/>
    <w:rsid w:val="292444AB"/>
    <w:rsid w:val="292D49D8"/>
    <w:rsid w:val="293E0BFC"/>
    <w:rsid w:val="297325D4"/>
    <w:rsid w:val="29787A45"/>
    <w:rsid w:val="297F3939"/>
    <w:rsid w:val="2988434F"/>
    <w:rsid w:val="29B200F9"/>
    <w:rsid w:val="29C3792D"/>
    <w:rsid w:val="29C40E68"/>
    <w:rsid w:val="29D24E8A"/>
    <w:rsid w:val="2A0442B7"/>
    <w:rsid w:val="2A1F0193"/>
    <w:rsid w:val="2A30157C"/>
    <w:rsid w:val="2A3D5428"/>
    <w:rsid w:val="2A3E4665"/>
    <w:rsid w:val="2A423BE6"/>
    <w:rsid w:val="2A444FA7"/>
    <w:rsid w:val="2A8D0B59"/>
    <w:rsid w:val="2AB148A4"/>
    <w:rsid w:val="2AB87CB7"/>
    <w:rsid w:val="2AC059AD"/>
    <w:rsid w:val="2AD411AD"/>
    <w:rsid w:val="2B1B4747"/>
    <w:rsid w:val="2B2C3C1C"/>
    <w:rsid w:val="2B9D095C"/>
    <w:rsid w:val="2BA26207"/>
    <w:rsid w:val="2BB86B45"/>
    <w:rsid w:val="2BC27E49"/>
    <w:rsid w:val="2BC27FDB"/>
    <w:rsid w:val="2BCB495C"/>
    <w:rsid w:val="2BDA73BA"/>
    <w:rsid w:val="2BDE4F3E"/>
    <w:rsid w:val="2BDE5DDC"/>
    <w:rsid w:val="2BE55FA7"/>
    <w:rsid w:val="2BEB30D7"/>
    <w:rsid w:val="2BF104A7"/>
    <w:rsid w:val="2BF82335"/>
    <w:rsid w:val="2C303803"/>
    <w:rsid w:val="2C423E46"/>
    <w:rsid w:val="2C523EA6"/>
    <w:rsid w:val="2C6B1434"/>
    <w:rsid w:val="2C6C31F6"/>
    <w:rsid w:val="2C6E5C2B"/>
    <w:rsid w:val="2C756248"/>
    <w:rsid w:val="2C7B5D55"/>
    <w:rsid w:val="2C8349FD"/>
    <w:rsid w:val="2C8621FE"/>
    <w:rsid w:val="2C9B36E8"/>
    <w:rsid w:val="2CB978D7"/>
    <w:rsid w:val="2CDB77F5"/>
    <w:rsid w:val="2CE91F2F"/>
    <w:rsid w:val="2CF55A62"/>
    <w:rsid w:val="2CFB7713"/>
    <w:rsid w:val="2D102BB9"/>
    <w:rsid w:val="2D113EE6"/>
    <w:rsid w:val="2D144117"/>
    <w:rsid w:val="2D265909"/>
    <w:rsid w:val="2D6B6D78"/>
    <w:rsid w:val="2D9F55ED"/>
    <w:rsid w:val="2DC546BE"/>
    <w:rsid w:val="2DD336EC"/>
    <w:rsid w:val="2DDC305C"/>
    <w:rsid w:val="2DDD2AEF"/>
    <w:rsid w:val="2DDD2F9D"/>
    <w:rsid w:val="2DFF47C9"/>
    <w:rsid w:val="2E087536"/>
    <w:rsid w:val="2E0A19D1"/>
    <w:rsid w:val="2E404529"/>
    <w:rsid w:val="2E5262DE"/>
    <w:rsid w:val="2E8A2E34"/>
    <w:rsid w:val="2EA026D0"/>
    <w:rsid w:val="2EA12AD6"/>
    <w:rsid w:val="2EA817F3"/>
    <w:rsid w:val="2EA8737F"/>
    <w:rsid w:val="2EC05711"/>
    <w:rsid w:val="2EDA2698"/>
    <w:rsid w:val="2F016D4D"/>
    <w:rsid w:val="2F0B500D"/>
    <w:rsid w:val="2F150591"/>
    <w:rsid w:val="2F4B4CFE"/>
    <w:rsid w:val="2F7827A0"/>
    <w:rsid w:val="2F8B6AC3"/>
    <w:rsid w:val="2F8D3501"/>
    <w:rsid w:val="2F906ACD"/>
    <w:rsid w:val="2F9F64AB"/>
    <w:rsid w:val="2FAE097B"/>
    <w:rsid w:val="2FDE2016"/>
    <w:rsid w:val="30022B09"/>
    <w:rsid w:val="302973B8"/>
    <w:rsid w:val="302C3166"/>
    <w:rsid w:val="308264F5"/>
    <w:rsid w:val="3087356E"/>
    <w:rsid w:val="308A506E"/>
    <w:rsid w:val="30D1233E"/>
    <w:rsid w:val="30DA427D"/>
    <w:rsid w:val="30FB13FB"/>
    <w:rsid w:val="310F24B7"/>
    <w:rsid w:val="31107923"/>
    <w:rsid w:val="31260E58"/>
    <w:rsid w:val="31601805"/>
    <w:rsid w:val="316B4DCB"/>
    <w:rsid w:val="317348EE"/>
    <w:rsid w:val="31927E60"/>
    <w:rsid w:val="319A3263"/>
    <w:rsid w:val="31A8144E"/>
    <w:rsid w:val="31A94B75"/>
    <w:rsid w:val="31D343FE"/>
    <w:rsid w:val="31DA58A8"/>
    <w:rsid w:val="31F008FB"/>
    <w:rsid w:val="323158B1"/>
    <w:rsid w:val="324F3411"/>
    <w:rsid w:val="32552F74"/>
    <w:rsid w:val="327A27D0"/>
    <w:rsid w:val="32840341"/>
    <w:rsid w:val="3297595C"/>
    <w:rsid w:val="329B0615"/>
    <w:rsid w:val="32BD07AC"/>
    <w:rsid w:val="32BD5557"/>
    <w:rsid w:val="32F94358"/>
    <w:rsid w:val="33004825"/>
    <w:rsid w:val="332F0B57"/>
    <w:rsid w:val="333577A1"/>
    <w:rsid w:val="33555178"/>
    <w:rsid w:val="336828E9"/>
    <w:rsid w:val="336F0DF4"/>
    <w:rsid w:val="339B3875"/>
    <w:rsid w:val="33BC3FE1"/>
    <w:rsid w:val="33BE0869"/>
    <w:rsid w:val="33D001EE"/>
    <w:rsid w:val="33D81ABB"/>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115DE"/>
    <w:rsid w:val="35366B03"/>
    <w:rsid w:val="35382B67"/>
    <w:rsid w:val="35413A65"/>
    <w:rsid w:val="35453DC9"/>
    <w:rsid w:val="35502F57"/>
    <w:rsid w:val="355F239F"/>
    <w:rsid w:val="35841669"/>
    <w:rsid w:val="35942138"/>
    <w:rsid w:val="35C3613B"/>
    <w:rsid w:val="35C65168"/>
    <w:rsid w:val="35DB2F74"/>
    <w:rsid w:val="36105B3F"/>
    <w:rsid w:val="36282054"/>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BA6518"/>
    <w:rsid w:val="37C21647"/>
    <w:rsid w:val="37FE466F"/>
    <w:rsid w:val="38491B3C"/>
    <w:rsid w:val="387C1BDE"/>
    <w:rsid w:val="3881572F"/>
    <w:rsid w:val="388D0AE0"/>
    <w:rsid w:val="38A55F51"/>
    <w:rsid w:val="38C71B6D"/>
    <w:rsid w:val="38EA6549"/>
    <w:rsid w:val="390B450A"/>
    <w:rsid w:val="39154E19"/>
    <w:rsid w:val="3917287F"/>
    <w:rsid w:val="394634C4"/>
    <w:rsid w:val="394B0481"/>
    <w:rsid w:val="39561F96"/>
    <w:rsid w:val="39622DAE"/>
    <w:rsid w:val="39804D6A"/>
    <w:rsid w:val="3985224C"/>
    <w:rsid w:val="39925970"/>
    <w:rsid w:val="399E5CC2"/>
    <w:rsid w:val="39A52A9C"/>
    <w:rsid w:val="39CB0C32"/>
    <w:rsid w:val="3A4F7703"/>
    <w:rsid w:val="3A5D31CE"/>
    <w:rsid w:val="3A963F52"/>
    <w:rsid w:val="3AB431AA"/>
    <w:rsid w:val="3ABB1BB9"/>
    <w:rsid w:val="3AC7454D"/>
    <w:rsid w:val="3ADA1BAD"/>
    <w:rsid w:val="3AF44B4C"/>
    <w:rsid w:val="3B1D0171"/>
    <w:rsid w:val="3B2163D1"/>
    <w:rsid w:val="3B241DA1"/>
    <w:rsid w:val="3B8F6A4B"/>
    <w:rsid w:val="3B922359"/>
    <w:rsid w:val="3BAC1BCF"/>
    <w:rsid w:val="3BDB3FC9"/>
    <w:rsid w:val="3BE40231"/>
    <w:rsid w:val="3C153334"/>
    <w:rsid w:val="3C454C24"/>
    <w:rsid w:val="3C4F04BB"/>
    <w:rsid w:val="3C5B0AFA"/>
    <w:rsid w:val="3C6D4F97"/>
    <w:rsid w:val="3C76498D"/>
    <w:rsid w:val="3C7D0B51"/>
    <w:rsid w:val="3C98759B"/>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834E4"/>
    <w:rsid w:val="3EBE6B05"/>
    <w:rsid w:val="3ED97F08"/>
    <w:rsid w:val="3EDE672E"/>
    <w:rsid w:val="3EDE7D2F"/>
    <w:rsid w:val="3EE7560E"/>
    <w:rsid w:val="3EF3621C"/>
    <w:rsid w:val="3EFF24F6"/>
    <w:rsid w:val="3F1A40D3"/>
    <w:rsid w:val="3F27216B"/>
    <w:rsid w:val="3F3C376F"/>
    <w:rsid w:val="3F5162D0"/>
    <w:rsid w:val="3F6430E7"/>
    <w:rsid w:val="3FAC2C4B"/>
    <w:rsid w:val="3FC11171"/>
    <w:rsid w:val="3FC52402"/>
    <w:rsid w:val="3FC6798A"/>
    <w:rsid w:val="3FCF2079"/>
    <w:rsid w:val="3FD51A42"/>
    <w:rsid w:val="3FE82B80"/>
    <w:rsid w:val="3FEA4181"/>
    <w:rsid w:val="3FEB0EF5"/>
    <w:rsid w:val="4000041E"/>
    <w:rsid w:val="40132525"/>
    <w:rsid w:val="4029142E"/>
    <w:rsid w:val="403A3AEF"/>
    <w:rsid w:val="404D657A"/>
    <w:rsid w:val="404F6057"/>
    <w:rsid w:val="407409AE"/>
    <w:rsid w:val="408B30C7"/>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F0145A"/>
    <w:rsid w:val="41F71F92"/>
    <w:rsid w:val="422369D2"/>
    <w:rsid w:val="426A7ED0"/>
    <w:rsid w:val="4285159C"/>
    <w:rsid w:val="4285755C"/>
    <w:rsid w:val="429217D3"/>
    <w:rsid w:val="42A24789"/>
    <w:rsid w:val="42C30F55"/>
    <w:rsid w:val="42CE286D"/>
    <w:rsid w:val="42E263B2"/>
    <w:rsid w:val="42E672C9"/>
    <w:rsid w:val="42F35F03"/>
    <w:rsid w:val="430538E7"/>
    <w:rsid w:val="43287DD0"/>
    <w:rsid w:val="432F6282"/>
    <w:rsid w:val="435247BD"/>
    <w:rsid w:val="436B215F"/>
    <w:rsid w:val="437F1B4B"/>
    <w:rsid w:val="43810DB0"/>
    <w:rsid w:val="43C24E27"/>
    <w:rsid w:val="43CF1632"/>
    <w:rsid w:val="43D14A7A"/>
    <w:rsid w:val="43D456A0"/>
    <w:rsid w:val="43D8251B"/>
    <w:rsid w:val="43DA29B1"/>
    <w:rsid w:val="43EE213F"/>
    <w:rsid w:val="43F323CE"/>
    <w:rsid w:val="440B249A"/>
    <w:rsid w:val="44281D9A"/>
    <w:rsid w:val="44502957"/>
    <w:rsid w:val="447875A3"/>
    <w:rsid w:val="448F2CD7"/>
    <w:rsid w:val="449A71A0"/>
    <w:rsid w:val="44A668B8"/>
    <w:rsid w:val="44B3389B"/>
    <w:rsid w:val="44B9640E"/>
    <w:rsid w:val="44E51ABD"/>
    <w:rsid w:val="44FB10C8"/>
    <w:rsid w:val="44FC0906"/>
    <w:rsid w:val="45042613"/>
    <w:rsid w:val="45164373"/>
    <w:rsid w:val="45413196"/>
    <w:rsid w:val="45413869"/>
    <w:rsid w:val="457B63BA"/>
    <w:rsid w:val="459950F8"/>
    <w:rsid w:val="459B0CE9"/>
    <w:rsid w:val="45C35E78"/>
    <w:rsid w:val="45EE0CEB"/>
    <w:rsid w:val="45F64B7F"/>
    <w:rsid w:val="45FF6070"/>
    <w:rsid w:val="462130F8"/>
    <w:rsid w:val="462946BC"/>
    <w:rsid w:val="462C487D"/>
    <w:rsid w:val="463740A9"/>
    <w:rsid w:val="46473997"/>
    <w:rsid w:val="46503D2B"/>
    <w:rsid w:val="46644AC6"/>
    <w:rsid w:val="467950D1"/>
    <w:rsid w:val="4689676F"/>
    <w:rsid w:val="46A15423"/>
    <w:rsid w:val="46AA555C"/>
    <w:rsid w:val="46F952EF"/>
    <w:rsid w:val="471C7BBC"/>
    <w:rsid w:val="471D7B5D"/>
    <w:rsid w:val="471F637D"/>
    <w:rsid w:val="472455AE"/>
    <w:rsid w:val="4730080C"/>
    <w:rsid w:val="473C2076"/>
    <w:rsid w:val="474833BA"/>
    <w:rsid w:val="475734F9"/>
    <w:rsid w:val="47712A1C"/>
    <w:rsid w:val="47824940"/>
    <w:rsid w:val="47A602C9"/>
    <w:rsid w:val="47C12A39"/>
    <w:rsid w:val="47D809A2"/>
    <w:rsid w:val="47E83F78"/>
    <w:rsid w:val="47F20E02"/>
    <w:rsid w:val="480E15E3"/>
    <w:rsid w:val="48244FBC"/>
    <w:rsid w:val="48344057"/>
    <w:rsid w:val="483C20D3"/>
    <w:rsid w:val="484A42F6"/>
    <w:rsid w:val="484B0320"/>
    <w:rsid w:val="484E5CBC"/>
    <w:rsid w:val="486368FF"/>
    <w:rsid w:val="48682174"/>
    <w:rsid w:val="48743010"/>
    <w:rsid w:val="489D706D"/>
    <w:rsid w:val="48A2602D"/>
    <w:rsid w:val="48AB73B6"/>
    <w:rsid w:val="48C626B1"/>
    <w:rsid w:val="48D306A1"/>
    <w:rsid w:val="494653E2"/>
    <w:rsid w:val="4968395A"/>
    <w:rsid w:val="497A0F95"/>
    <w:rsid w:val="498003A3"/>
    <w:rsid w:val="49865916"/>
    <w:rsid w:val="498B1443"/>
    <w:rsid w:val="4997589C"/>
    <w:rsid w:val="49A168DB"/>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EE87C57"/>
    <w:rsid w:val="4F2A5C04"/>
    <w:rsid w:val="4F384AE7"/>
    <w:rsid w:val="4F425A9E"/>
    <w:rsid w:val="4F563276"/>
    <w:rsid w:val="4F6F01EF"/>
    <w:rsid w:val="4F963A1F"/>
    <w:rsid w:val="4FAB2261"/>
    <w:rsid w:val="4FC84D09"/>
    <w:rsid w:val="4FC85AA4"/>
    <w:rsid w:val="4FD444A3"/>
    <w:rsid w:val="4FD8345A"/>
    <w:rsid w:val="4FE94FD4"/>
    <w:rsid w:val="4FEE15B4"/>
    <w:rsid w:val="50037723"/>
    <w:rsid w:val="5006663D"/>
    <w:rsid w:val="50106568"/>
    <w:rsid w:val="501A7051"/>
    <w:rsid w:val="502839A0"/>
    <w:rsid w:val="50570BD8"/>
    <w:rsid w:val="505E61FB"/>
    <w:rsid w:val="50651E52"/>
    <w:rsid w:val="506C4EAE"/>
    <w:rsid w:val="50744682"/>
    <w:rsid w:val="50753CC1"/>
    <w:rsid w:val="50934066"/>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7E1B3C"/>
    <w:rsid w:val="528672BE"/>
    <w:rsid w:val="528D18A0"/>
    <w:rsid w:val="52C55B5C"/>
    <w:rsid w:val="52D23681"/>
    <w:rsid w:val="52F93B9B"/>
    <w:rsid w:val="530243FB"/>
    <w:rsid w:val="530D2C13"/>
    <w:rsid w:val="535B5D4C"/>
    <w:rsid w:val="53656C55"/>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8A5361"/>
    <w:rsid w:val="558D5599"/>
    <w:rsid w:val="55A85294"/>
    <w:rsid w:val="55D51417"/>
    <w:rsid w:val="55DE1F1A"/>
    <w:rsid w:val="5610122D"/>
    <w:rsid w:val="56160288"/>
    <w:rsid w:val="5628664A"/>
    <w:rsid w:val="562B67B1"/>
    <w:rsid w:val="563C5040"/>
    <w:rsid w:val="5654125A"/>
    <w:rsid w:val="566C5A93"/>
    <w:rsid w:val="566E2566"/>
    <w:rsid w:val="56822CF4"/>
    <w:rsid w:val="568E5E60"/>
    <w:rsid w:val="56AF3844"/>
    <w:rsid w:val="56B874D0"/>
    <w:rsid w:val="56C45121"/>
    <w:rsid w:val="56D92559"/>
    <w:rsid w:val="56E0464E"/>
    <w:rsid w:val="56EA2AD6"/>
    <w:rsid w:val="56EF57DA"/>
    <w:rsid w:val="56FE7492"/>
    <w:rsid w:val="5715210F"/>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A3D86"/>
    <w:rsid w:val="57FF0A89"/>
    <w:rsid w:val="58276F3B"/>
    <w:rsid w:val="58356142"/>
    <w:rsid w:val="583A75B5"/>
    <w:rsid w:val="583B2948"/>
    <w:rsid w:val="583D735C"/>
    <w:rsid w:val="584138AE"/>
    <w:rsid w:val="584938F8"/>
    <w:rsid w:val="584B0036"/>
    <w:rsid w:val="5876698B"/>
    <w:rsid w:val="587D6765"/>
    <w:rsid w:val="58874498"/>
    <w:rsid w:val="58960D98"/>
    <w:rsid w:val="589D6A03"/>
    <w:rsid w:val="58A41922"/>
    <w:rsid w:val="58B60DFB"/>
    <w:rsid w:val="590B1FC3"/>
    <w:rsid w:val="59526646"/>
    <w:rsid w:val="595F0DAA"/>
    <w:rsid w:val="59683016"/>
    <w:rsid w:val="59D112FE"/>
    <w:rsid w:val="59F6399F"/>
    <w:rsid w:val="5A0E4CCA"/>
    <w:rsid w:val="5A2D6EF5"/>
    <w:rsid w:val="5A6B568E"/>
    <w:rsid w:val="5A934734"/>
    <w:rsid w:val="5A952392"/>
    <w:rsid w:val="5AB91B43"/>
    <w:rsid w:val="5AC271F7"/>
    <w:rsid w:val="5AC638AA"/>
    <w:rsid w:val="5ACB747D"/>
    <w:rsid w:val="5AEB217F"/>
    <w:rsid w:val="5B0000F2"/>
    <w:rsid w:val="5B0D0CCA"/>
    <w:rsid w:val="5B2034EA"/>
    <w:rsid w:val="5B9779A7"/>
    <w:rsid w:val="5B9F2544"/>
    <w:rsid w:val="5BB34F83"/>
    <w:rsid w:val="5BB90117"/>
    <w:rsid w:val="5BD41255"/>
    <w:rsid w:val="5C1A5FEB"/>
    <w:rsid w:val="5C4715C5"/>
    <w:rsid w:val="5C57044F"/>
    <w:rsid w:val="5C73411C"/>
    <w:rsid w:val="5C9C1F8A"/>
    <w:rsid w:val="5CC31912"/>
    <w:rsid w:val="5CD87FCE"/>
    <w:rsid w:val="5CE21CAF"/>
    <w:rsid w:val="5CE450FE"/>
    <w:rsid w:val="5CE8554B"/>
    <w:rsid w:val="5CEE3424"/>
    <w:rsid w:val="5CFE752C"/>
    <w:rsid w:val="5D017424"/>
    <w:rsid w:val="5D34581D"/>
    <w:rsid w:val="5D3503EA"/>
    <w:rsid w:val="5D442CD9"/>
    <w:rsid w:val="5D507202"/>
    <w:rsid w:val="5D6F347F"/>
    <w:rsid w:val="5D715265"/>
    <w:rsid w:val="5D85579C"/>
    <w:rsid w:val="5D97555B"/>
    <w:rsid w:val="5D9B549E"/>
    <w:rsid w:val="5DA07512"/>
    <w:rsid w:val="5DDE158C"/>
    <w:rsid w:val="5DE2034D"/>
    <w:rsid w:val="5DE2243A"/>
    <w:rsid w:val="5DF16612"/>
    <w:rsid w:val="5E01163E"/>
    <w:rsid w:val="5E0C16C2"/>
    <w:rsid w:val="5E2362AB"/>
    <w:rsid w:val="5E460C00"/>
    <w:rsid w:val="5E4B280C"/>
    <w:rsid w:val="5E6462ED"/>
    <w:rsid w:val="5E9E419B"/>
    <w:rsid w:val="5EB053AB"/>
    <w:rsid w:val="5EB77BF4"/>
    <w:rsid w:val="5EBE2D47"/>
    <w:rsid w:val="5EF70725"/>
    <w:rsid w:val="5F116334"/>
    <w:rsid w:val="5F167628"/>
    <w:rsid w:val="5F187367"/>
    <w:rsid w:val="5F460512"/>
    <w:rsid w:val="5F4D40ED"/>
    <w:rsid w:val="5F5B6097"/>
    <w:rsid w:val="5F672E5B"/>
    <w:rsid w:val="5F704C52"/>
    <w:rsid w:val="5F8435C6"/>
    <w:rsid w:val="5F914006"/>
    <w:rsid w:val="5FBB3692"/>
    <w:rsid w:val="5FBD1A76"/>
    <w:rsid w:val="5FC001C5"/>
    <w:rsid w:val="5FCC4A9B"/>
    <w:rsid w:val="5FCF0476"/>
    <w:rsid w:val="5FDD542D"/>
    <w:rsid w:val="5FE343FF"/>
    <w:rsid w:val="5FFE3AF2"/>
    <w:rsid w:val="603E133A"/>
    <w:rsid w:val="60440EA7"/>
    <w:rsid w:val="609D2B3A"/>
    <w:rsid w:val="60A63145"/>
    <w:rsid w:val="60B13425"/>
    <w:rsid w:val="60BA7212"/>
    <w:rsid w:val="60C80A52"/>
    <w:rsid w:val="60E370E1"/>
    <w:rsid w:val="6115743B"/>
    <w:rsid w:val="6181590D"/>
    <w:rsid w:val="61882537"/>
    <w:rsid w:val="619854B0"/>
    <w:rsid w:val="61C10180"/>
    <w:rsid w:val="61DF65A1"/>
    <w:rsid w:val="620879B6"/>
    <w:rsid w:val="62165B70"/>
    <w:rsid w:val="624A6D69"/>
    <w:rsid w:val="62511E62"/>
    <w:rsid w:val="625D6EB4"/>
    <w:rsid w:val="62A60AF3"/>
    <w:rsid w:val="62F404E6"/>
    <w:rsid w:val="6300329D"/>
    <w:rsid w:val="631A0AF4"/>
    <w:rsid w:val="63357CF9"/>
    <w:rsid w:val="633C3E81"/>
    <w:rsid w:val="63417443"/>
    <w:rsid w:val="634718F8"/>
    <w:rsid w:val="6351493F"/>
    <w:rsid w:val="63C6655A"/>
    <w:rsid w:val="63CA5038"/>
    <w:rsid w:val="63DF412E"/>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32064B"/>
    <w:rsid w:val="65400C77"/>
    <w:rsid w:val="655D7F43"/>
    <w:rsid w:val="657D6AE7"/>
    <w:rsid w:val="65935C2B"/>
    <w:rsid w:val="65A643DB"/>
    <w:rsid w:val="65AB0FF3"/>
    <w:rsid w:val="65AD4FE1"/>
    <w:rsid w:val="65B64924"/>
    <w:rsid w:val="65CD72D9"/>
    <w:rsid w:val="66154489"/>
    <w:rsid w:val="66234A68"/>
    <w:rsid w:val="662B4B5B"/>
    <w:rsid w:val="66524C20"/>
    <w:rsid w:val="666B40AB"/>
    <w:rsid w:val="66AF05D0"/>
    <w:rsid w:val="66CC4B63"/>
    <w:rsid w:val="66DD782D"/>
    <w:rsid w:val="66E71594"/>
    <w:rsid w:val="671C19A2"/>
    <w:rsid w:val="67361909"/>
    <w:rsid w:val="673D11D9"/>
    <w:rsid w:val="6761151E"/>
    <w:rsid w:val="67777A7E"/>
    <w:rsid w:val="6779514F"/>
    <w:rsid w:val="67915CC9"/>
    <w:rsid w:val="67937A78"/>
    <w:rsid w:val="67AC67D9"/>
    <w:rsid w:val="67B505D6"/>
    <w:rsid w:val="67C646E4"/>
    <w:rsid w:val="67CE19EE"/>
    <w:rsid w:val="67CF78E2"/>
    <w:rsid w:val="67D65FBA"/>
    <w:rsid w:val="67FF38D2"/>
    <w:rsid w:val="68061691"/>
    <w:rsid w:val="68203D10"/>
    <w:rsid w:val="683728A9"/>
    <w:rsid w:val="68407CCF"/>
    <w:rsid w:val="68454692"/>
    <w:rsid w:val="68492CF6"/>
    <w:rsid w:val="688F6694"/>
    <w:rsid w:val="68C046B7"/>
    <w:rsid w:val="68E424F2"/>
    <w:rsid w:val="68EB0259"/>
    <w:rsid w:val="691E73F0"/>
    <w:rsid w:val="69283B12"/>
    <w:rsid w:val="694170DA"/>
    <w:rsid w:val="69431305"/>
    <w:rsid w:val="69451A1A"/>
    <w:rsid w:val="69B66B69"/>
    <w:rsid w:val="69D5604B"/>
    <w:rsid w:val="69FE44F1"/>
    <w:rsid w:val="69FF65C7"/>
    <w:rsid w:val="6A400F60"/>
    <w:rsid w:val="6A574423"/>
    <w:rsid w:val="6A576D32"/>
    <w:rsid w:val="6AB37558"/>
    <w:rsid w:val="6AB8557D"/>
    <w:rsid w:val="6ABD2874"/>
    <w:rsid w:val="6AD631B3"/>
    <w:rsid w:val="6ADF3C04"/>
    <w:rsid w:val="6AF13EB3"/>
    <w:rsid w:val="6AF9354E"/>
    <w:rsid w:val="6B161C09"/>
    <w:rsid w:val="6B1718A3"/>
    <w:rsid w:val="6B2527AA"/>
    <w:rsid w:val="6B3E0AFB"/>
    <w:rsid w:val="6B5E68AE"/>
    <w:rsid w:val="6B88227B"/>
    <w:rsid w:val="6B8F3DAE"/>
    <w:rsid w:val="6B9136FA"/>
    <w:rsid w:val="6B9F3DD3"/>
    <w:rsid w:val="6BB9397F"/>
    <w:rsid w:val="6BB97F4C"/>
    <w:rsid w:val="6BCD0996"/>
    <w:rsid w:val="6C095FFD"/>
    <w:rsid w:val="6C2A4C7C"/>
    <w:rsid w:val="6C3C26F7"/>
    <w:rsid w:val="6C4F292A"/>
    <w:rsid w:val="6C784968"/>
    <w:rsid w:val="6C9F70F4"/>
    <w:rsid w:val="6CC36FD4"/>
    <w:rsid w:val="6CD67939"/>
    <w:rsid w:val="6CE16A99"/>
    <w:rsid w:val="6D062D75"/>
    <w:rsid w:val="6D077A1E"/>
    <w:rsid w:val="6D132BAE"/>
    <w:rsid w:val="6D1B154C"/>
    <w:rsid w:val="6D4C39E0"/>
    <w:rsid w:val="6DBA30A2"/>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739E6"/>
    <w:rsid w:val="708C2304"/>
    <w:rsid w:val="70A53478"/>
    <w:rsid w:val="70B22275"/>
    <w:rsid w:val="70B23373"/>
    <w:rsid w:val="70DB1BC1"/>
    <w:rsid w:val="70E41B98"/>
    <w:rsid w:val="71397F1F"/>
    <w:rsid w:val="713F2AFD"/>
    <w:rsid w:val="71694E27"/>
    <w:rsid w:val="71952910"/>
    <w:rsid w:val="71981217"/>
    <w:rsid w:val="71AB1B77"/>
    <w:rsid w:val="71B84ACA"/>
    <w:rsid w:val="71BC32BD"/>
    <w:rsid w:val="71D17C92"/>
    <w:rsid w:val="71DC6DEC"/>
    <w:rsid w:val="71FE0FF4"/>
    <w:rsid w:val="720D62FA"/>
    <w:rsid w:val="72104444"/>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CE54AA"/>
    <w:rsid w:val="73D971D9"/>
    <w:rsid w:val="73DA0609"/>
    <w:rsid w:val="73EC23AD"/>
    <w:rsid w:val="74063A0F"/>
    <w:rsid w:val="74085DBE"/>
    <w:rsid w:val="740C668D"/>
    <w:rsid w:val="7419604D"/>
    <w:rsid w:val="741B029F"/>
    <w:rsid w:val="741D3F96"/>
    <w:rsid w:val="7422753E"/>
    <w:rsid w:val="74275EEF"/>
    <w:rsid w:val="74311C74"/>
    <w:rsid w:val="743A3238"/>
    <w:rsid w:val="74417D9A"/>
    <w:rsid w:val="7442265A"/>
    <w:rsid w:val="744D4194"/>
    <w:rsid w:val="747A6B56"/>
    <w:rsid w:val="74A130CB"/>
    <w:rsid w:val="74A847D8"/>
    <w:rsid w:val="74BF79E8"/>
    <w:rsid w:val="74CD7D3E"/>
    <w:rsid w:val="74E46DE7"/>
    <w:rsid w:val="74EC5BC2"/>
    <w:rsid w:val="74FF1F41"/>
    <w:rsid w:val="75186034"/>
    <w:rsid w:val="7546513A"/>
    <w:rsid w:val="75642786"/>
    <w:rsid w:val="756E76CB"/>
    <w:rsid w:val="757D1402"/>
    <w:rsid w:val="75C625B2"/>
    <w:rsid w:val="75E73449"/>
    <w:rsid w:val="75F760D0"/>
    <w:rsid w:val="75FF1C9D"/>
    <w:rsid w:val="761651E1"/>
    <w:rsid w:val="76193CFE"/>
    <w:rsid w:val="762761CC"/>
    <w:rsid w:val="764B5B94"/>
    <w:rsid w:val="765D278B"/>
    <w:rsid w:val="765D642D"/>
    <w:rsid w:val="76796A38"/>
    <w:rsid w:val="76814719"/>
    <w:rsid w:val="76911430"/>
    <w:rsid w:val="76C43B6A"/>
    <w:rsid w:val="76C84BB4"/>
    <w:rsid w:val="76DC70E2"/>
    <w:rsid w:val="770F655C"/>
    <w:rsid w:val="77387F4E"/>
    <w:rsid w:val="77420C0F"/>
    <w:rsid w:val="774775C9"/>
    <w:rsid w:val="77944A0C"/>
    <w:rsid w:val="77D07F79"/>
    <w:rsid w:val="77DC2A8A"/>
    <w:rsid w:val="77DC410A"/>
    <w:rsid w:val="77EF1EFC"/>
    <w:rsid w:val="78082EA5"/>
    <w:rsid w:val="78191973"/>
    <w:rsid w:val="783A2570"/>
    <w:rsid w:val="785C0E4F"/>
    <w:rsid w:val="785D0C51"/>
    <w:rsid w:val="787A2FA2"/>
    <w:rsid w:val="789F729D"/>
    <w:rsid w:val="78A332F6"/>
    <w:rsid w:val="78AC2C1A"/>
    <w:rsid w:val="78BA77AD"/>
    <w:rsid w:val="78D76289"/>
    <w:rsid w:val="78FA6091"/>
    <w:rsid w:val="78FE02F9"/>
    <w:rsid w:val="7918120A"/>
    <w:rsid w:val="791D484E"/>
    <w:rsid w:val="792B7ADB"/>
    <w:rsid w:val="795D07AE"/>
    <w:rsid w:val="79673907"/>
    <w:rsid w:val="7972455A"/>
    <w:rsid w:val="79843AB5"/>
    <w:rsid w:val="79F556E7"/>
    <w:rsid w:val="79FA5EC6"/>
    <w:rsid w:val="79FD3647"/>
    <w:rsid w:val="7A1B6439"/>
    <w:rsid w:val="7A3D4FF8"/>
    <w:rsid w:val="7A62009D"/>
    <w:rsid w:val="7A6816FC"/>
    <w:rsid w:val="7A707A0C"/>
    <w:rsid w:val="7A7F1012"/>
    <w:rsid w:val="7A991F5F"/>
    <w:rsid w:val="7AA95331"/>
    <w:rsid w:val="7AC34054"/>
    <w:rsid w:val="7AD41BFE"/>
    <w:rsid w:val="7AE101C7"/>
    <w:rsid w:val="7AE57976"/>
    <w:rsid w:val="7B244E36"/>
    <w:rsid w:val="7B274214"/>
    <w:rsid w:val="7B333296"/>
    <w:rsid w:val="7B5529ED"/>
    <w:rsid w:val="7B716015"/>
    <w:rsid w:val="7B83131D"/>
    <w:rsid w:val="7B856539"/>
    <w:rsid w:val="7BA557B9"/>
    <w:rsid w:val="7BA7367B"/>
    <w:rsid w:val="7BB10658"/>
    <w:rsid w:val="7BBC0A78"/>
    <w:rsid w:val="7BDD4B02"/>
    <w:rsid w:val="7C1E1019"/>
    <w:rsid w:val="7C5B1B71"/>
    <w:rsid w:val="7C6F7FEF"/>
    <w:rsid w:val="7C916D05"/>
    <w:rsid w:val="7CC952AA"/>
    <w:rsid w:val="7CD62495"/>
    <w:rsid w:val="7CE64F77"/>
    <w:rsid w:val="7CF02947"/>
    <w:rsid w:val="7D032647"/>
    <w:rsid w:val="7D312C84"/>
    <w:rsid w:val="7D553317"/>
    <w:rsid w:val="7D5B4CA8"/>
    <w:rsid w:val="7D5D566D"/>
    <w:rsid w:val="7D8A7BB3"/>
    <w:rsid w:val="7DBD1C4E"/>
    <w:rsid w:val="7DE33872"/>
    <w:rsid w:val="7E024E93"/>
    <w:rsid w:val="7E025E1B"/>
    <w:rsid w:val="7E351709"/>
    <w:rsid w:val="7E4A2CB2"/>
    <w:rsid w:val="7E653615"/>
    <w:rsid w:val="7E7D50EC"/>
    <w:rsid w:val="7E8B43F6"/>
    <w:rsid w:val="7EB77ECD"/>
    <w:rsid w:val="7EC11809"/>
    <w:rsid w:val="7EDC3C5E"/>
    <w:rsid w:val="7F0B6E9D"/>
    <w:rsid w:val="7F271E86"/>
    <w:rsid w:val="7F745F2F"/>
    <w:rsid w:val="7F7B15F0"/>
    <w:rsid w:val="7F8C2962"/>
    <w:rsid w:val="7FA919BF"/>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6">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69"/>
    <w:qFormat/>
    <w:uiPriority w:val="99"/>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51"/>
    <w:qFormat/>
    <w:uiPriority w:val="99"/>
    <w:pPr>
      <w:keepNext/>
      <w:keepLines/>
      <w:spacing w:before="260" w:after="260" w:line="416" w:lineRule="auto"/>
      <w:outlineLvl w:val="2"/>
    </w:pPr>
    <w:rPr>
      <w:b/>
      <w:bCs/>
      <w:sz w:val="32"/>
      <w:szCs w:val="32"/>
    </w:rPr>
  </w:style>
  <w:style w:type="paragraph" w:styleId="9">
    <w:name w:val="heading 4"/>
    <w:basedOn w:val="1"/>
    <w:next w:val="1"/>
    <w:link w:val="48"/>
    <w:qFormat/>
    <w:uiPriority w:val="0"/>
    <w:pPr>
      <w:keepNext/>
      <w:keepLines/>
      <w:spacing w:before="280" w:after="290" w:line="376" w:lineRule="auto"/>
      <w:outlineLvl w:val="3"/>
    </w:pPr>
    <w:rPr>
      <w:rFonts w:ascii="Cambria" w:hAnsi="Cambria"/>
      <w:b/>
      <w:bCs/>
      <w:sz w:val="28"/>
    </w:rPr>
  </w:style>
  <w:style w:type="paragraph" w:styleId="10">
    <w:name w:val="heading 6"/>
    <w:basedOn w:val="1"/>
    <w:next w:val="1"/>
    <w:qFormat/>
    <w:uiPriority w:val="0"/>
    <w:pPr>
      <w:keepNext/>
      <w:jc w:val="center"/>
      <w:outlineLvl w:val="5"/>
    </w:pPr>
    <w:rPr>
      <w:color w:val="000000"/>
      <w:sz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0"/>
    <w:qFormat/>
    <w:uiPriority w:val="99"/>
    <w:pPr>
      <w:spacing w:after="120"/>
    </w:pPr>
    <w:rPr>
      <w:kern w:val="0"/>
      <w:szCs w:val="24"/>
    </w:rPr>
  </w:style>
  <w:style w:type="paragraph" w:customStyle="1" w:styleId="3">
    <w:name w:val="Default"/>
    <w:next w:val="4"/>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styleId="4">
    <w:name w:val="footer"/>
    <w:basedOn w:val="1"/>
    <w:next w:val="5"/>
    <w:link w:val="52"/>
    <w:qFormat/>
    <w:uiPriority w:val="99"/>
    <w:pPr>
      <w:tabs>
        <w:tab w:val="center" w:pos="4153"/>
        <w:tab w:val="right" w:pos="8306"/>
      </w:tabs>
      <w:snapToGrid w:val="0"/>
      <w:jc w:val="left"/>
    </w:pPr>
    <w:rPr>
      <w:sz w:val="18"/>
      <w:szCs w:val="18"/>
    </w:rPr>
  </w:style>
  <w:style w:type="paragraph" w:styleId="5">
    <w:name w:val="toc 2"/>
    <w:basedOn w:val="1"/>
    <w:next w:val="1"/>
    <w:qFormat/>
    <w:uiPriority w:val="39"/>
    <w:pPr>
      <w:ind w:left="420" w:leftChars="200"/>
    </w:pPr>
  </w:style>
  <w:style w:type="paragraph" w:styleId="11">
    <w:name w:val="List Number"/>
    <w:basedOn w:val="1"/>
    <w:semiHidden/>
    <w:qFormat/>
    <w:uiPriority w:val="99"/>
    <w:pPr>
      <w:widowControl/>
      <w:tabs>
        <w:tab w:val="left" w:pos="900"/>
      </w:tabs>
      <w:spacing w:afterLines="50"/>
      <w:ind w:left="900" w:hanging="720"/>
      <w:jc w:val="left"/>
    </w:pPr>
    <w:rPr>
      <w:kern w:val="0"/>
      <w:szCs w:val="24"/>
    </w:rPr>
  </w:style>
  <w:style w:type="paragraph" w:styleId="12">
    <w:name w:val="Normal Indent"/>
    <w:basedOn w:val="1"/>
    <w:next w:val="1"/>
    <w:link w:val="67"/>
    <w:qFormat/>
    <w:uiPriority w:val="0"/>
    <w:pPr>
      <w:ind w:firstLine="420"/>
    </w:pPr>
    <w:rPr>
      <w:sz w:val="21"/>
      <w:szCs w:val="21"/>
    </w:rPr>
  </w:style>
  <w:style w:type="paragraph" w:styleId="13">
    <w:name w:val="caption"/>
    <w:basedOn w:val="1"/>
    <w:next w:val="1"/>
    <w:qFormat/>
    <w:uiPriority w:val="99"/>
    <w:pPr>
      <w:spacing w:before="152" w:after="160"/>
    </w:pPr>
    <w:rPr>
      <w:rFonts w:ascii="Arial" w:hAnsi="Arial" w:eastAsia="黑体" w:cs="Arial"/>
      <w:sz w:val="20"/>
      <w:szCs w:val="20"/>
    </w:rPr>
  </w:style>
  <w:style w:type="paragraph" w:styleId="14">
    <w:name w:val="Document Map"/>
    <w:basedOn w:val="1"/>
    <w:link w:val="74"/>
    <w:semiHidden/>
    <w:qFormat/>
    <w:uiPriority w:val="99"/>
    <w:rPr>
      <w:rFonts w:ascii="宋体"/>
      <w:sz w:val="18"/>
      <w:szCs w:val="18"/>
    </w:rPr>
  </w:style>
  <w:style w:type="paragraph" w:styleId="15">
    <w:name w:val="annotation text"/>
    <w:basedOn w:val="1"/>
    <w:link w:val="50"/>
    <w:semiHidden/>
    <w:qFormat/>
    <w:locked/>
    <w:uiPriority w:val="0"/>
    <w:pPr>
      <w:jc w:val="left"/>
    </w:pPr>
    <w:rPr>
      <w:sz w:val="21"/>
      <w:szCs w:val="22"/>
    </w:rPr>
  </w:style>
  <w:style w:type="paragraph" w:styleId="16">
    <w:name w:val="Body Text 3"/>
    <w:basedOn w:val="1"/>
    <w:link w:val="63"/>
    <w:semiHidden/>
    <w:qFormat/>
    <w:uiPriority w:val="99"/>
    <w:pPr>
      <w:snapToGrid w:val="0"/>
      <w:spacing w:before="50" w:after="50"/>
    </w:pPr>
    <w:rPr>
      <w:kern w:val="0"/>
      <w:sz w:val="16"/>
      <w:szCs w:val="16"/>
    </w:rPr>
  </w:style>
  <w:style w:type="paragraph" w:styleId="17">
    <w:name w:val="Body Text Indent"/>
    <w:basedOn w:val="1"/>
    <w:next w:val="1"/>
    <w:link w:val="72"/>
    <w:qFormat/>
    <w:uiPriority w:val="99"/>
    <w:pPr>
      <w:spacing w:line="200" w:lineRule="atLeast"/>
      <w:ind w:firstLine="301"/>
    </w:pPr>
    <w:rPr>
      <w:kern w:val="0"/>
      <w:szCs w:val="24"/>
    </w:rPr>
  </w:style>
  <w:style w:type="paragraph" w:styleId="18">
    <w:name w:val="List Number 3"/>
    <w:basedOn w:val="1"/>
    <w:semiHidden/>
    <w:qFormat/>
    <w:uiPriority w:val="99"/>
    <w:pPr>
      <w:tabs>
        <w:tab w:val="left" w:pos="1480"/>
      </w:tabs>
      <w:ind w:left="720" w:leftChars="400" w:hanging="200" w:hangingChars="200"/>
    </w:pPr>
    <w:rPr>
      <w:sz w:val="21"/>
      <w:szCs w:val="21"/>
    </w:rPr>
  </w:style>
  <w:style w:type="paragraph" w:styleId="19">
    <w:name w:val="List 2"/>
    <w:basedOn w:val="1"/>
    <w:semiHidden/>
    <w:qFormat/>
    <w:uiPriority w:val="99"/>
    <w:pPr>
      <w:ind w:left="200" w:leftChars="200" w:hanging="200" w:hangingChars="200"/>
    </w:pPr>
  </w:style>
  <w:style w:type="paragraph" w:styleId="20">
    <w:name w:val="Block Text"/>
    <w:basedOn w:val="1"/>
    <w:qFormat/>
    <w:locked/>
    <w:uiPriority w:val="0"/>
    <w:pPr>
      <w:adjustRightInd w:val="0"/>
      <w:ind w:left="420" w:right="33"/>
      <w:jc w:val="left"/>
      <w:textAlignment w:val="baseline"/>
    </w:pPr>
    <w:rPr>
      <w:kern w:val="0"/>
      <w:szCs w:val="20"/>
    </w:rPr>
  </w:style>
  <w:style w:type="paragraph" w:styleId="21">
    <w:name w:val="toc 3"/>
    <w:basedOn w:val="1"/>
    <w:next w:val="1"/>
    <w:qFormat/>
    <w:uiPriority w:val="39"/>
    <w:pPr>
      <w:ind w:left="840" w:leftChars="400"/>
    </w:pPr>
  </w:style>
  <w:style w:type="paragraph" w:styleId="22">
    <w:name w:val="Plain Text"/>
    <w:basedOn w:val="1"/>
    <w:next w:val="1"/>
    <w:link w:val="65"/>
    <w:qFormat/>
    <w:uiPriority w:val="0"/>
    <w:pPr>
      <w:spacing w:beforeLines="50" w:afterLines="50" w:line="400" w:lineRule="atLeast"/>
    </w:pPr>
    <w:rPr>
      <w:rFonts w:ascii="宋体" w:hAnsi="Courier New"/>
      <w:kern w:val="0"/>
      <w:sz w:val="21"/>
      <w:szCs w:val="21"/>
    </w:rPr>
  </w:style>
  <w:style w:type="paragraph" w:styleId="23">
    <w:name w:val="Date"/>
    <w:basedOn w:val="1"/>
    <w:next w:val="1"/>
    <w:link w:val="71"/>
    <w:qFormat/>
    <w:uiPriority w:val="99"/>
    <w:pPr>
      <w:ind w:left="2500" w:leftChars="2500"/>
    </w:pPr>
    <w:rPr>
      <w:kern w:val="0"/>
      <w:szCs w:val="24"/>
    </w:rPr>
  </w:style>
  <w:style w:type="paragraph" w:styleId="24">
    <w:name w:val="Body Text Indent 2"/>
    <w:basedOn w:val="1"/>
    <w:next w:val="25"/>
    <w:link w:val="49"/>
    <w:semiHidden/>
    <w:qFormat/>
    <w:uiPriority w:val="99"/>
    <w:pPr>
      <w:snapToGrid w:val="0"/>
      <w:ind w:firstLine="542" w:firstLineChars="225"/>
    </w:pPr>
    <w:rPr>
      <w:rFonts w:ascii="仿宋_GB2312" w:hAnsi="宋体"/>
      <w:b/>
      <w:bCs/>
      <w:color w:val="000000"/>
      <w:szCs w:val="24"/>
    </w:rPr>
  </w:style>
  <w:style w:type="paragraph" w:styleId="25">
    <w:name w:val="Body Text First Indent 2"/>
    <w:basedOn w:val="17"/>
    <w:link w:val="56"/>
    <w:unhideWhenUsed/>
    <w:qFormat/>
    <w:locked/>
    <w:uiPriority w:val="99"/>
    <w:pPr>
      <w:spacing w:after="120" w:line="360" w:lineRule="auto"/>
      <w:ind w:left="420" w:leftChars="200" w:firstLine="420"/>
    </w:pPr>
    <w:rPr>
      <w:kern w:val="2"/>
      <w:szCs w:val="28"/>
    </w:rPr>
  </w:style>
  <w:style w:type="paragraph" w:styleId="26">
    <w:name w:val="Balloon Text"/>
    <w:basedOn w:val="1"/>
    <w:link w:val="68"/>
    <w:qFormat/>
    <w:uiPriority w:val="0"/>
    <w:rPr>
      <w:sz w:val="18"/>
      <w:szCs w:val="18"/>
    </w:rPr>
  </w:style>
  <w:style w:type="paragraph" w:styleId="27">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sz w:val="21"/>
      <w:szCs w:val="21"/>
    </w:rPr>
  </w:style>
  <w:style w:type="paragraph" w:styleId="29">
    <w:name w:val="Subtitle"/>
    <w:basedOn w:val="1"/>
    <w:next w:val="1"/>
    <w:link w:val="59"/>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semiHidden/>
    <w:qFormat/>
    <w:uiPriority w:val="99"/>
    <w:pPr>
      <w:ind w:left="200" w:hanging="200" w:hangingChars="200"/>
    </w:pPr>
  </w:style>
  <w:style w:type="paragraph" w:styleId="31">
    <w:name w:val="toc 6"/>
    <w:basedOn w:val="1"/>
    <w:next w:val="1"/>
    <w:unhideWhenUsed/>
    <w:qFormat/>
    <w:uiPriority w:val="39"/>
    <w:pPr>
      <w:ind w:left="1049"/>
      <w:jc w:val="left"/>
    </w:pPr>
    <w:rPr>
      <w:rFonts w:ascii="Calibri" w:hAnsi="Calibri" w:cs="Calibri"/>
      <w:szCs w:val="18"/>
    </w:rPr>
  </w:style>
  <w:style w:type="paragraph" w:styleId="32">
    <w:name w:val="Body Text Indent 3"/>
    <w:basedOn w:val="1"/>
    <w:link w:val="75"/>
    <w:qFormat/>
    <w:uiPriority w:val="99"/>
    <w:pPr>
      <w:spacing w:after="120"/>
      <w:ind w:left="420" w:leftChars="200"/>
    </w:pPr>
    <w:rPr>
      <w:sz w:val="16"/>
      <w:szCs w:val="16"/>
    </w:rPr>
  </w:style>
  <w:style w:type="paragraph" w:styleId="33">
    <w:name w:val="Body Text 2"/>
    <w:basedOn w:val="1"/>
    <w:link w:val="64"/>
    <w:semiHidden/>
    <w:qFormat/>
    <w:uiPriority w:val="99"/>
    <w:pPr>
      <w:widowControl/>
      <w:snapToGrid w:val="0"/>
      <w:spacing w:before="50" w:afterLines="50" w:line="400" w:lineRule="atLeast"/>
      <w:jc w:val="left"/>
    </w:pPr>
    <w:rPr>
      <w:kern w:val="0"/>
      <w:szCs w:val="24"/>
    </w:rPr>
  </w:style>
  <w:style w:type="paragraph" w:styleId="34">
    <w:name w:val="Normal (Web)"/>
    <w:basedOn w:val="1"/>
    <w:unhideWhenUsed/>
    <w:qFormat/>
    <w:locked/>
    <w:uiPriority w:val="0"/>
  </w:style>
  <w:style w:type="paragraph" w:styleId="35">
    <w:name w:val="Title"/>
    <w:basedOn w:val="1"/>
    <w:next w:val="1"/>
    <w:link w:val="61"/>
    <w:qFormat/>
    <w:uiPriority w:val="0"/>
    <w:pPr>
      <w:spacing w:before="240" w:after="60"/>
      <w:jc w:val="center"/>
      <w:outlineLvl w:val="0"/>
    </w:pPr>
    <w:rPr>
      <w:rFonts w:ascii="Cambria" w:hAnsi="Cambria"/>
      <w:b/>
      <w:bCs/>
      <w:sz w:val="32"/>
      <w:szCs w:val="32"/>
    </w:rPr>
  </w:style>
  <w:style w:type="paragraph" w:styleId="36">
    <w:name w:val="annotation subject"/>
    <w:basedOn w:val="15"/>
    <w:next w:val="15"/>
    <w:semiHidden/>
    <w:qFormat/>
    <w:locked/>
    <w:uiPriority w:val="0"/>
    <w:rPr>
      <w:b/>
      <w:bCs/>
      <w:sz w:val="28"/>
      <w:szCs w:val="28"/>
    </w:rPr>
  </w:style>
  <w:style w:type="paragraph" w:styleId="37">
    <w:name w:val="Body Text First Indent"/>
    <w:basedOn w:val="2"/>
    <w:next w:val="1"/>
    <w:qFormat/>
    <w:locked/>
    <w:uiPriority w:val="0"/>
    <w:pPr>
      <w:ind w:firstLine="420"/>
    </w:pPr>
    <w:rPr>
      <w:rFonts w:eastAsia="楷体_GB2312"/>
      <w:b/>
      <w:bCs/>
      <w:sz w:val="32"/>
      <w:szCs w:val="20"/>
    </w:rPr>
  </w:style>
  <w:style w:type="table" w:styleId="39">
    <w:name w:val="Table Grid"/>
    <w:basedOn w:val="3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qFormat/>
    <w:uiPriority w:val="0"/>
    <w:rPr>
      <w:b/>
    </w:rPr>
  </w:style>
  <w:style w:type="character" w:styleId="42">
    <w:name w:val="page number"/>
    <w:basedOn w:val="40"/>
    <w:qFormat/>
    <w:locked/>
    <w:uiPriority w:val="0"/>
  </w:style>
  <w:style w:type="character" w:styleId="43">
    <w:name w:val="line number"/>
    <w:semiHidden/>
    <w:qFormat/>
    <w:uiPriority w:val="99"/>
    <w:rPr>
      <w:rFonts w:cs="Times New Roman"/>
    </w:rPr>
  </w:style>
  <w:style w:type="character" w:styleId="44">
    <w:name w:val="Hyperlink"/>
    <w:qFormat/>
    <w:uiPriority w:val="99"/>
    <w:rPr>
      <w:rFonts w:cs="Times New Roman"/>
      <w:color w:val="0000FF"/>
      <w:u w:val="single"/>
    </w:rPr>
  </w:style>
  <w:style w:type="character" w:styleId="45">
    <w:name w:val="annotation reference"/>
    <w:semiHidden/>
    <w:qFormat/>
    <w:locked/>
    <w:uiPriority w:val="0"/>
    <w:rPr>
      <w:sz w:val="21"/>
      <w:szCs w:val="21"/>
    </w:rPr>
  </w:style>
  <w:style w:type="paragraph" w:customStyle="1" w:styleId="46">
    <w:name w:val="标准正文"/>
    <w:basedOn w:val="1"/>
    <w:qFormat/>
    <w:uiPriority w:val="0"/>
    <w:pPr>
      <w:tabs>
        <w:tab w:val="left" w:pos="780"/>
      </w:tabs>
      <w:ind w:left="200" w:leftChars="200"/>
    </w:pPr>
  </w:style>
  <w:style w:type="paragraph" w:customStyle="1" w:styleId="47">
    <w:name w:val="[Normal]"/>
    <w:qFormat/>
    <w:uiPriority w:val="0"/>
    <w:rPr>
      <w:rFonts w:ascii="宋体" w:hAnsi="宋体" w:eastAsia="宋体" w:cs="Times New Roman"/>
      <w:sz w:val="24"/>
      <w:lang w:val="en-US" w:eastAsia="en-US" w:bidi="ar-SA"/>
    </w:rPr>
  </w:style>
  <w:style w:type="character" w:customStyle="1" w:styleId="48">
    <w:name w:val="标题 4 字符"/>
    <w:link w:val="9"/>
    <w:semiHidden/>
    <w:qFormat/>
    <w:uiPriority w:val="0"/>
    <w:rPr>
      <w:rFonts w:ascii="Cambria" w:hAnsi="Cambria" w:eastAsia="宋体" w:cs="Times New Roman"/>
      <w:b/>
      <w:bCs/>
      <w:kern w:val="2"/>
      <w:sz w:val="28"/>
      <w:szCs w:val="28"/>
    </w:rPr>
  </w:style>
  <w:style w:type="character" w:customStyle="1" w:styleId="49">
    <w:name w:val="正文文本缩进 2 字符"/>
    <w:link w:val="24"/>
    <w:semiHidden/>
    <w:qFormat/>
    <w:locked/>
    <w:uiPriority w:val="99"/>
    <w:rPr>
      <w:rFonts w:ascii="仿宋_GB2312" w:hAnsi="宋体" w:cs="仿宋_GB2312"/>
      <w:b/>
      <w:bCs/>
      <w:color w:val="000000"/>
      <w:kern w:val="2"/>
      <w:sz w:val="24"/>
      <w:szCs w:val="24"/>
    </w:rPr>
  </w:style>
  <w:style w:type="character" w:customStyle="1" w:styleId="50">
    <w:name w:val="批注文字 字符"/>
    <w:link w:val="15"/>
    <w:semiHidden/>
    <w:qFormat/>
    <w:uiPriority w:val="0"/>
    <w:rPr>
      <w:kern w:val="2"/>
      <w:sz w:val="21"/>
      <w:szCs w:val="22"/>
    </w:rPr>
  </w:style>
  <w:style w:type="character" w:customStyle="1" w:styleId="51">
    <w:name w:val="标题 3 字符"/>
    <w:link w:val="8"/>
    <w:semiHidden/>
    <w:qFormat/>
    <w:locked/>
    <w:uiPriority w:val="99"/>
    <w:rPr>
      <w:rFonts w:cs="Times New Roman"/>
      <w:b/>
      <w:bCs/>
      <w:kern w:val="2"/>
      <w:sz w:val="32"/>
      <w:szCs w:val="32"/>
    </w:rPr>
  </w:style>
  <w:style w:type="character" w:customStyle="1" w:styleId="52">
    <w:name w:val="页脚 字符"/>
    <w:link w:val="4"/>
    <w:qFormat/>
    <w:locked/>
    <w:uiPriority w:val="99"/>
    <w:rPr>
      <w:rFonts w:cs="Times New Roman"/>
      <w:kern w:val="2"/>
      <w:sz w:val="18"/>
      <w:szCs w:val="18"/>
    </w:rPr>
  </w:style>
  <w:style w:type="character" w:customStyle="1" w:styleId="53">
    <w:name w:val="font01"/>
    <w:qFormat/>
    <w:uiPriority w:val="0"/>
    <w:rPr>
      <w:rFonts w:hint="eastAsia" w:ascii="宋体" w:hAnsi="宋体" w:eastAsia="宋体" w:cs="宋体"/>
      <w:color w:val="000000"/>
      <w:sz w:val="24"/>
      <w:szCs w:val="24"/>
      <w:u w:val="none"/>
    </w:rPr>
  </w:style>
  <w:style w:type="character" w:customStyle="1" w:styleId="54">
    <w:name w:val="正文2 Char Char"/>
    <w:link w:val="55"/>
    <w:qFormat/>
    <w:uiPriority w:val="0"/>
    <w:rPr>
      <w:kern w:val="2"/>
      <w:sz w:val="24"/>
    </w:rPr>
  </w:style>
  <w:style w:type="paragraph" w:customStyle="1" w:styleId="55">
    <w:name w:val="正文2"/>
    <w:basedOn w:val="1"/>
    <w:link w:val="54"/>
    <w:qFormat/>
    <w:uiPriority w:val="0"/>
    <w:pPr>
      <w:spacing w:before="156"/>
      <w:ind w:firstLine="510"/>
    </w:pPr>
    <w:rPr>
      <w:szCs w:val="20"/>
    </w:rPr>
  </w:style>
  <w:style w:type="character" w:customStyle="1" w:styleId="56">
    <w:name w:val="正文首行缩进 2 字符"/>
    <w:link w:val="25"/>
    <w:qFormat/>
    <w:uiPriority w:val="99"/>
    <w:rPr>
      <w:rFonts w:cs="Times New Roman"/>
      <w:kern w:val="2"/>
      <w:sz w:val="24"/>
      <w:szCs w:val="28"/>
    </w:rPr>
  </w:style>
  <w:style w:type="character" w:customStyle="1" w:styleId="57">
    <w:name w:val="纯文本 Char2"/>
    <w:qFormat/>
    <w:uiPriority w:val="0"/>
    <w:rPr>
      <w:rFonts w:ascii="宋体" w:hAnsi="Courier New"/>
      <w:kern w:val="2"/>
      <w:sz w:val="24"/>
      <w:szCs w:val="24"/>
    </w:rPr>
  </w:style>
  <w:style w:type="character" w:customStyle="1" w:styleId="58">
    <w:name w:val="页眉 字符"/>
    <w:link w:val="27"/>
    <w:qFormat/>
    <w:locked/>
    <w:uiPriority w:val="99"/>
    <w:rPr>
      <w:rFonts w:cs="Times New Roman"/>
      <w:kern w:val="2"/>
      <w:sz w:val="18"/>
      <w:szCs w:val="18"/>
    </w:rPr>
  </w:style>
  <w:style w:type="character" w:customStyle="1" w:styleId="59">
    <w:name w:val="副标题 字符"/>
    <w:link w:val="29"/>
    <w:qFormat/>
    <w:uiPriority w:val="0"/>
    <w:rPr>
      <w:rFonts w:ascii="Cambria" w:hAnsi="Cambria" w:cs="Times New Roman"/>
      <w:b/>
      <w:bCs/>
      <w:kern w:val="28"/>
      <w:sz w:val="32"/>
      <w:szCs w:val="32"/>
    </w:rPr>
  </w:style>
  <w:style w:type="character" w:customStyle="1" w:styleId="60">
    <w:name w:val="正文文本 字符"/>
    <w:link w:val="2"/>
    <w:semiHidden/>
    <w:qFormat/>
    <w:locked/>
    <w:uiPriority w:val="99"/>
    <w:rPr>
      <w:rFonts w:cs="Times New Roman"/>
      <w:sz w:val="24"/>
      <w:szCs w:val="24"/>
    </w:rPr>
  </w:style>
  <w:style w:type="character" w:customStyle="1" w:styleId="61">
    <w:name w:val="标题 字符"/>
    <w:link w:val="35"/>
    <w:qFormat/>
    <w:uiPriority w:val="0"/>
    <w:rPr>
      <w:rFonts w:ascii="Cambria" w:hAnsi="Cambria" w:cs="Times New Roman"/>
      <w:b/>
      <w:bCs/>
      <w:kern w:val="2"/>
      <w:sz w:val="32"/>
      <w:szCs w:val="32"/>
    </w:rPr>
  </w:style>
  <w:style w:type="character" w:customStyle="1" w:styleId="62">
    <w:name w:val="标题 1 字符"/>
    <w:link w:val="6"/>
    <w:qFormat/>
    <w:locked/>
    <w:uiPriority w:val="9"/>
    <w:rPr>
      <w:rFonts w:cs="Times New Roman"/>
      <w:b/>
      <w:bCs/>
      <w:kern w:val="44"/>
      <w:sz w:val="44"/>
      <w:szCs w:val="44"/>
    </w:rPr>
  </w:style>
  <w:style w:type="character" w:customStyle="1" w:styleId="63">
    <w:name w:val="正文文本 3 字符"/>
    <w:link w:val="16"/>
    <w:semiHidden/>
    <w:qFormat/>
    <w:locked/>
    <w:uiPriority w:val="99"/>
    <w:rPr>
      <w:rFonts w:cs="Times New Roman"/>
      <w:sz w:val="16"/>
      <w:szCs w:val="16"/>
    </w:rPr>
  </w:style>
  <w:style w:type="character" w:customStyle="1" w:styleId="64">
    <w:name w:val="正文文本 2 字符"/>
    <w:link w:val="33"/>
    <w:semiHidden/>
    <w:qFormat/>
    <w:locked/>
    <w:uiPriority w:val="99"/>
    <w:rPr>
      <w:rFonts w:cs="Times New Roman"/>
      <w:sz w:val="24"/>
      <w:szCs w:val="24"/>
    </w:rPr>
  </w:style>
  <w:style w:type="character" w:customStyle="1" w:styleId="65">
    <w:name w:val="纯文本 字符"/>
    <w:link w:val="22"/>
    <w:qFormat/>
    <w:locked/>
    <w:uiPriority w:val="0"/>
    <w:rPr>
      <w:rFonts w:ascii="宋体" w:hAnsi="Courier New" w:cs="宋体"/>
      <w:sz w:val="21"/>
      <w:szCs w:val="21"/>
    </w:rPr>
  </w:style>
  <w:style w:type="character" w:customStyle="1" w:styleId="66">
    <w:name w:val="so-ask-best"/>
    <w:basedOn w:val="40"/>
    <w:qFormat/>
    <w:uiPriority w:val="0"/>
  </w:style>
  <w:style w:type="character" w:customStyle="1" w:styleId="67">
    <w:name w:val="正文缩进 字符"/>
    <w:link w:val="12"/>
    <w:qFormat/>
    <w:uiPriority w:val="0"/>
    <w:rPr>
      <w:kern w:val="2"/>
      <w:sz w:val="21"/>
      <w:szCs w:val="21"/>
    </w:rPr>
  </w:style>
  <w:style w:type="character" w:customStyle="1" w:styleId="68">
    <w:name w:val="批注框文本 字符"/>
    <w:link w:val="26"/>
    <w:qFormat/>
    <w:locked/>
    <w:uiPriority w:val="0"/>
    <w:rPr>
      <w:rFonts w:cs="Times New Roman"/>
      <w:kern w:val="2"/>
      <w:sz w:val="18"/>
      <w:szCs w:val="18"/>
    </w:rPr>
  </w:style>
  <w:style w:type="character" w:customStyle="1" w:styleId="69">
    <w:name w:val="标题 2 字符"/>
    <w:link w:val="7"/>
    <w:qFormat/>
    <w:locked/>
    <w:uiPriority w:val="99"/>
    <w:rPr>
      <w:rFonts w:ascii="Arial" w:hAnsi="Arial" w:eastAsia="黑体" w:cs="Arial"/>
      <w:b/>
      <w:bCs/>
      <w:kern w:val="2"/>
      <w:sz w:val="32"/>
      <w:szCs w:val="32"/>
    </w:rPr>
  </w:style>
  <w:style w:type="character" w:customStyle="1" w:styleId="70">
    <w:name w:val="纯文本 Char1"/>
    <w:qFormat/>
    <w:uiPriority w:val="0"/>
    <w:rPr>
      <w:rFonts w:ascii="宋体" w:hAnsi="Courier New"/>
      <w:sz w:val="24"/>
      <w:szCs w:val="24"/>
    </w:rPr>
  </w:style>
  <w:style w:type="character" w:customStyle="1" w:styleId="71">
    <w:name w:val="日期 字符"/>
    <w:link w:val="23"/>
    <w:semiHidden/>
    <w:qFormat/>
    <w:locked/>
    <w:uiPriority w:val="99"/>
    <w:rPr>
      <w:rFonts w:cs="Times New Roman"/>
      <w:sz w:val="24"/>
      <w:szCs w:val="24"/>
    </w:rPr>
  </w:style>
  <w:style w:type="character" w:customStyle="1" w:styleId="72">
    <w:name w:val="正文文本缩进 字符"/>
    <w:link w:val="17"/>
    <w:semiHidden/>
    <w:qFormat/>
    <w:locked/>
    <w:uiPriority w:val="99"/>
    <w:rPr>
      <w:rFonts w:cs="Times New Roman"/>
      <w:sz w:val="24"/>
      <w:szCs w:val="24"/>
    </w:rPr>
  </w:style>
  <w:style w:type="character" w:customStyle="1" w:styleId="73">
    <w:name w:val="op-map-singlepoint-info-right1"/>
    <w:basedOn w:val="40"/>
    <w:qFormat/>
    <w:uiPriority w:val="0"/>
  </w:style>
  <w:style w:type="character" w:customStyle="1" w:styleId="74">
    <w:name w:val="文档结构图 字符"/>
    <w:link w:val="14"/>
    <w:semiHidden/>
    <w:qFormat/>
    <w:locked/>
    <w:uiPriority w:val="99"/>
    <w:rPr>
      <w:rFonts w:ascii="宋体" w:cs="宋体"/>
      <w:kern w:val="2"/>
      <w:sz w:val="18"/>
      <w:szCs w:val="18"/>
    </w:rPr>
  </w:style>
  <w:style w:type="character" w:customStyle="1" w:styleId="75">
    <w:name w:val="正文文本缩进 3 字符"/>
    <w:link w:val="32"/>
    <w:qFormat/>
    <w:locked/>
    <w:uiPriority w:val="99"/>
    <w:rPr>
      <w:rFonts w:cs="Times New Roman"/>
      <w:kern w:val="2"/>
      <w:sz w:val="16"/>
      <w:szCs w:val="16"/>
    </w:rPr>
  </w:style>
  <w:style w:type="character" w:customStyle="1" w:styleId="76">
    <w:name w:val="font21"/>
    <w:qFormat/>
    <w:uiPriority w:val="0"/>
    <w:rPr>
      <w:rFonts w:hint="eastAsia" w:ascii="宋体" w:hAnsi="宋体" w:eastAsia="宋体" w:cs="宋体"/>
      <w:color w:val="FF0000"/>
      <w:sz w:val="24"/>
      <w:szCs w:val="24"/>
      <w:u w:val="none"/>
    </w:rPr>
  </w:style>
  <w:style w:type="paragraph" w:customStyle="1" w:styleId="77">
    <w:name w:val="BZ_正文"/>
    <w:basedOn w:val="1"/>
    <w:qFormat/>
    <w:uiPriority w:val="0"/>
    <w:rPr>
      <w:szCs w:val="24"/>
    </w:rPr>
  </w:style>
  <w:style w:type="paragraph" w:customStyle="1" w:styleId="78">
    <w:name w:val="列出段落1"/>
    <w:basedOn w:val="1"/>
    <w:qFormat/>
    <w:uiPriority w:val="99"/>
    <w:pPr>
      <w:ind w:firstLine="420"/>
    </w:pPr>
  </w:style>
  <w:style w:type="paragraph" w:customStyle="1" w:styleId="79">
    <w:name w:val="正文段"/>
    <w:basedOn w:val="1"/>
    <w:qFormat/>
    <w:uiPriority w:val="99"/>
    <w:pPr>
      <w:widowControl/>
      <w:snapToGrid w:val="0"/>
      <w:spacing w:afterLines="50"/>
    </w:pPr>
    <w:rPr>
      <w:kern w:val="0"/>
      <w:szCs w:val="24"/>
    </w:rPr>
  </w:style>
  <w:style w:type="paragraph" w:customStyle="1" w:styleId="80">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81">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2">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3">
    <w:name w:val="表格正文"/>
    <w:basedOn w:val="1"/>
    <w:qFormat/>
    <w:uiPriority w:val="0"/>
    <w:rPr>
      <w:rFonts w:ascii="宋体" w:hAnsi="宋体"/>
      <w:kern w:val="0"/>
      <w:sz w:val="21"/>
      <w:szCs w:val="20"/>
    </w:rPr>
  </w:style>
  <w:style w:type="paragraph" w:customStyle="1" w:styleId="84">
    <w:name w:val="Char Char4 Char Char Char Char Char Char Char Char"/>
    <w:basedOn w:val="1"/>
    <w:qFormat/>
    <w:uiPriority w:val="0"/>
    <w:rPr>
      <w:sz w:val="21"/>
      <w:szCs w:val="20"/>
    </w:rPr>
  </w:style>
  <w:style w:type="paragraph" w:customStyle="1" w:styleId="85">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6">
    <w:name w:val="Char Char Char Char Char Char Char Char Char Char Char Char Char Char Char Char"/>
    <w:basedOn w:val="1"/>
    <w:qFormat/>
    <w:uiPriority w:val="99"/>
    <w:rPr>
      <w:sz w:val="21"/>
      <w:szCs w:val="21"/>
    </w:rPr>
  </w:style>
  <w:style w:type="paragraph" w:customStyle="1" w:styleId="87">
    <w:name w:val="正文1"/>
    <w:basedOn w:val="1"/>
    <w:qFormat/>
    <w:uiPriority w:val="0"/>
    <w:pPr>
      <w:tabs>
        <w:tab w:val="left" w:pos="0"/>
      </w:tabs>
    </w:pPr>
    <w:rPr>
      <w:rFonts w:ascii="Arial" w:hAnsi="Arial" w:eastAsia="仿宋_GB2312" w:cs="Arial"/>
      <w:b/>
      <w:szCs w:val="24"/>
    </w:rPr>
  </w:style>
  <w:style w:type="paragraph" w:customStyle="1" w:styleId="88">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9">
    <w:name w:val="Char Char3 Char Char"/>
    <w:basedOn w:val="1"/>
    <w:qFormat/>
    <w:uiPriority w:val="0"/>
    <w:rPr>
      <w:sz w:val="21"/>
      <w:szCs w:val="22"/>
    </w:rPr>
  </w:style>
  <w:style w:type="paragraph" w:customStyle="1" w:styleId="90">
    <w:name w:val="_Style 84"/>
    <w:basedOn w:val="6"/>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1">
    <w:name w:val="Char2"/>
    <w:basedOn w:val="1"/>
    <w:qFormat/>
    <w:uiPriority w:val="99"/>
    <w:rPr>
      <w:rFonts w:ascii="仿宋_GB2312" w:eastAsia="仿宋_GB2312" w:cs="仿宋_GB2312"/>
      <w:b/>
      <w:bCs/>
      <w:sz w:val="32"/>
      <w:szCs w:val="32"/>
    </w:rPr>
  </w:style>
  <w:style w:type="paragraph" w:customStyle="1" w:styleId="92">
    <w:name w:val="默认段落字体 Para Char Char Char Char Char Char Char Char Char1 Char Char Char Char"/>
    <w:basedOn w:val="1"/>
    <w:qFormat/>
    <w:uiPriority w:val="0"/>
    <w:rPr>
      <w:rFonts w:ascii="Tahoma" w:hAnsi="Tahoma" w:cs="Tahoma"/>
      <w:szCs w:val="24"/>
    </w:rPr>
  </w:style>
  <w:style w:type="paragraph" w:customStyle="1" w:styleId="93">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4">
    <w:name w:val="_Style 2"/>
    <w:basedOn w:val="1"/>
    <w:qFormat/>
    <w:uiPriority w:val="0"/>
    <w:pPr>
      <w:ind w:firstLine="420"/>
    </w:pPr>
    <w:rPr>
      <w:rFonts w:ascii="Calibri" w:hAnsi="Calibri"/>
      <w:szCs w:val="22"/>
    </w:rPr>
  </w:style>
  <w:style w:type="paragraph" w:customStyle="1" w:styleId="95">
    <w:name w:val="Char1"/>
    <w:basedOn w:val="1"/>
    <w:qFormat/>
    <w:uiPriority w:val="0"/>
    <w:pPr>
      <w:spacing w:line="380" w:lineRule="exact"/>
      <w:jc w:val="center"/>
      <w:outlineLvl w:val="1"/>
    </w:pPr>
    <w:rPr>
      <w:rFonts w:ascii="宋体" w:hAnsi="宋体"/>
      <w:b/>
      <w:bCs/>
      <w:sz w:val="30"/>
      <w:szCs w:val="30"/>
    </w:rPr>
  </w:style>
  <w:style w:type="paragraph" w:customStyle="1" w:styleId="96">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7">
    <w:name w:val="p0"/>
    <w:basedOn w:val="1"/>
    <w:qFormat/>
    <w:uiPriority w:val="99"/>
    <w:pPr>
      <w:widowControl/>
    </w:pPr>
    <w:rPr>
      <w:kern w:val="0"/>
      <w:sz w:val="21"/>
      <w:szCs w:val="21"/>
    </w:rPr>
  </w:style>
  <w:style w:type="paragraph" w:customStyle="1" w:styleId="98">
    <w:name w:val="列出段落11"/>
    <w:basedOn w:val="1"/>
    <w:qFormat/>
    <w:uiPriority w:val="34"/>
    <w:pPr>
      <w:ind w:firstLine="420"/>
    </w:pPr>
    <w:rPr>
      <w:rFonts w:ascii="Calibri" w:hAnsi="Calibri"/>
      <w:sz w:val="21"/>
      <w:szCs w:val="22"/>
    </w:rPr>
  </w:style>
  <w:style w:type="paragraph" w:customStyle="1" w:styleId="99">
    <w:name w:val="Char Char Char Char Char Char Char Char Char"/>
    <w:basedOn w:val="1"/>
    <w:qFormat/>
    <w:uiPriority w:val="0"/>
    <w:pPr>
      <w:widowControl/>
      <w:spacing w:after="160" w:line="240" w:lineRule="exact"/>
      <w:jc w:val="left"/>
    </w:pPr>
    <w:rPr>
      <w:sz w:val="21"/>
      <w:szCs w:val="20"/>
    </w:rPr>
  </w:style>
  <w:style w:type="paragraph" w:customStyle="1" w:styleId="100">
    <w:name w:val="标书正文"/>
    <w:basedOn w:val="1"/>
    <w:qFormat/>
    <w:uiPriority w:val="0"/>
    <w:pPr>
      <w:widowControl/>
    </w:pPr>
    <w:rPr>
      <w:rFonts w:ascii="宋体" w:hAnsi="宋体"/>
      <w:color w:val="000000"/>
      <w:kern w:val="0"/>
      <w:szCs w:val="24"/>
    </w:rPr>
  </w:style>
  <w:style w:type="paragraph" w:customStyle="1" w:styleId="101">
    <w:name w:val="Char Char Char Char Char Char"/>
    <w:basedOn w:val="1"/>
    <w:qFormat/>
    <w:uiPriority w:val="99"/>
    <w:rPr>
      <w:rFonts w:ascii="Tahoma" w:hAnsi="Tahoma" w:cs="Tahoma"/>
      <w:szCs w:val="24"/>
    </w:rPr>
  </w:style>
  <w:style w:type="paragraph" w:customStyle="1" w:styleId="102">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3">
    <w:name w:val="纯文本1"/>
    <w:basedOn w:val="93"/>
    <w:qFormat/>
    <w:uiPriority w:val="0"/>
    <w:pPr>
      <w:adjustRightInd w:val="0"/>
      <w:textAlignment w:val="baseline"/>
    </w:pPr>
    <w:rPr>
      <w:rFonts w:ascii="宋体" w:hAnsi="Courier New" w:eastAsia="楷体_GB2312"/>
      <w:sz w:val="26"/>
      <w:szCs w:val="20"/>
    </w:rPr>
  </w:style>
  <w:style w:type="paragraph" w:customStyle="1" w:styleId="104">
    <w:name w:val="Char"/>
    <w:basedOn w:val="1"/>
    <w:qFormat/>
    <w:uiPriority w:val="99"/>
    <w:rPr>
      <w:rFonts w:ascii="仿宋_GB2312" w:eastAsia="仿宋_GB2312" w:cs="仿宋_GB2312"/>
      <w:b/>
      <w:bCs/>
      <w:sz w:val="32"/>
      <w:szCs w:val="32"/>
    </w:rPr>
  </w:style>
  <w:style w:type="paragraph" w:styleId="105">
    <w:name w:val="List Paragraph"/>
    <w:basedOn w:val="1"/>
    <w:qFormat/>
    <w:uiPriority w:val="34"/>
    <w:pPr>
      <w:ind w:firstLine="420"/>
    </w:pPr>
    <w:rPr>
      <w:sz w:val="21"/>
      <w:szCs w:val="21"/>
    </w:rPr>
  </w:style>
  <w:style w:type="paragraph" w:customStyle="1" w:styleId="106">
    <w:name w:val="Char Char Char Char Char Char Char1 Char"/>
    <w:basedOn w:val="1"/>
    <w:qFormat/>
    <w:uiPriority w:val="0"/>
    <w:rPr>
      <w:rFonts w:ascii="Tahoma" w:hAnsi="Tahoma"/>
      <w:szCs w:val="20"/>
    </w:rPr>
  </w:style>
  <w:style w:type="paragraph" w:customStyle="1" w:styleId="107">
    <w:name w:val="首行缩进"/>
    <w:basedOn w:val="1"/>
    <w:qFormat/>
    <w:uiPriority w:val="0"/>
    <w:rPr>
      <w:lang w:val="zh-CN"/>
    </w:rPr>
  </w:style>
  <w:style w:type="paragraph" w:customStyle="1" w:styleId="108">
    <w:name w:val="Table Paragraph"/>
    <w:basedOn w:val="1"/>
    <w:qFormat/>
    <w:uiPriority w:val="1"/>
  </w:style>
  <w:style w:type="table" w:customStyle="1" w:styleId="10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10">
    <w:name w:val="表"/>
    <w:basedOn w:val="1"/>
    <w:next w:val="1"/>
    <w:qFormat/>
    <w:uiPriority w:val="0"/>
    <w:pPr>
      <w:spacing w:line="240" w:lineRule="auto"/>
      <w:ind w:firstLine="0" w:firstLineChars="0"/>
      <w:jc w:val="center"/>
    </w:pPr>
  </w:style>
  <w:style w:type="paragraph" w:customStyle="1" w:styleId="111">
    <w:name w:val="表 靠左"/>
    <w:basedOn w:val="1"/>
    <w:qFormat/>
    <w:uiPriority w:val="0"/>
    <w:pPr>
      <w:spacing w:line="240" w:lineRule="auto"/>
      <w:ind w:firstLine="0" w:firstLineChars="0"/>
    </w:pPr>
    <w:rPr>
      <w:rFonts w:asciiTheme="minorEastAsia" w:hAnsiTheme="minorEastAsia" w:eastAsiaTheme="minorEastAsia"/>
    </w:rPr>
  </w:style>
  <w:style w:type="paragraph" w:customStyle="1" w:styleId="112">
    <w:name w:val="_Style 3"/>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3">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14">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115">
    <w:name w:val="font11"/>
    <w:qFormat/>
    <w:uiPriority w:val="0"/>
    <w:rPr>
      <w:rFonts w:hint="default" w:ascii="Times New Roman" w:hAnsi="Times New Roman" w:cs="Times New Roman"/>
      <w:color w:val="000000"/>
      <w:sz w:val="22"/>
      <w:szCs w:val="22"/>
      <w:u w:val="none"/>
    </w:rPr>
  </w:style>
  <w:style w:type="paragraph" w:customStyle="1" w:styleId="116">
    <w:name w:val="小标题"/>
    <w:basedOn w:val="1"/>
    <w:qFormat/>
    <w:uiPriority w:val="0"/>
    <w:pPr>
      <w:keepNext w:val="0"/>
      <w:keepLines w:val="0"/>
      <w:widowControl w:val="0"/>
      <w:suppressLineNumbers w:val="0"/>
      <w:spacing w:line="360" w:lineRule="auto"/>
      <w:ind w:left="1260" w:hanging="420"/>
      <w:jc w:val="left"/>
    </w:pPr>
    <w:rPr>
      <w:rFonts w:hint="eastAsia" w:ascii="宋体" w:hAnsi="宋体" w:eastAsia="宋体" w:cs="Times New Roman"/>
      <w:b/>
      <w:kern w:val="2"/>
      <w:sz w:val="24"/>
      <w:szCs w:val="24"/>
      <w:lang w:val="en-US" w:eastAsia="zh-CN" w:bidi="ar"/>
    </w:rPr>
  </w:style>
  <w:style w:type="paragraph" w:customStyle="1" w:styleId="117">
    <w:name w:val="自动更正"/>
    <w:qFormat/>
    <w:uiPriority w:val="99"/>
    <w:pPr>
      <w:widowControl w:val="0"/>
    </w:pPr>
    <w:rPr>
      <w:rFonts w:ascii="Times New Roman" w:hAnsi="Times New Roman" w:eastAsia="宋体" w:cs="Times New Roman"/>
      <w:kern w:val="2"/>
      <w:sz w:val="24"/>
      <w:szCs w:val="24"/>
      <w:lang w:val="en-US" w:eastAsia="zh-CN" w:bidi="ar-SA"/>
    </w:rPr>
  </w:style>
  <w:style w:type="paragraph" w:customStyle="1" w:styleId="118">
    <w:name w:val="章正文"/>
    <w:basedOn w:val="1"/>
    <w:qFormat/>
    <w:uiPriority w:val="99"/>
    <w:pPr>
      <w:spacing w:beforeLines="50" w:after="120" w:line="300" w:lineRule="auto"/>
      <w:ind w:firstLine="480"/>
    </w:pPr>
    <w:rPr>
      <w:rFonts w:ascii="Helvetica" w:hAnsi="Helvetica"/>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38012</Words>
  <Characters>43296</Characters>
  <Lines>256</Lines>
  <Paragraphs>72</Paragraphs>
  <TotalTime>34</TotalTime>
  <ScaleCrop>false</ScaleCrop>
  <LinksUpToDate>false</LinksUpToDate>
  <CharactersWithSpaces>45733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2022-10-26T07:03:00Z</cp:lastPrinted>
  <dcterms:modified xsi:type="dcterms:W3CDTF">2022-11-28T09:09:47Z</dcterms:modified>
  <dc:title>浙江省政府采购招标文件</dc:title>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