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color w:val="auto"/>
          <w:sz w:val="24"/>
        </w:rPr>
      </w:pPr>
    </w:p>
    <w:p>
      <w:pPr>
        <w:pStyle w:val="23"/>
        <w:rPr>
          <w:color w:val="auto"/>
        </w:rPr>
      </w:pPr>
    </w:p>
    <w:p>
      <w:pPr>
        <w:spacing w:line="1160" w:lineRule="exact"/>
        <w:jc w:val="center"/>
        <w:rPr>
          <w:rFonts w:hint="eastAsia" w:ascii="宋体" w:hAnsi="宋体"/>
          <w:b/>
          <w:color w:val="auto"/>
          <w:sz w:val="52"/>
          <w:szCs w:val="52"/>
          <w:lang w:eastAsia="zh-CN"/>
        </w:rPr>
      </w:pPr>
      <w:bookmarkStart w:id="0" w:name="_Hlt67893495"/>
      <w:bookmarkEnd w:id="0"/>
      <w:r>
        <w:rPr>
          <w:rFonts w:hint="eastAsia" w:ascii="宋体" w:hAnsi="宋体"/>
          <w:b/>
          <w:color w:val="auto"/>
          <w:sz w:val="52"/>
          <w:szCs w:val="52"/>
          <w:lang w:eastAsia="zh-CN"/>
        </w:rPr>
        <w:t>浙江师范大学附属嘉善实验学校</w:t>
      </w:r>
    </w:p>
    <w:p>
      <w:pPr>
        <w:spacing w:line="1160" w:lineRule="exact"/>
        <w:jc w:val="center"/>
        <w:rPr>
          <w:rFonts w:ascii="宋体" w:hAnsi="宋体"/>
          <w:b/>
          <w:color w:val="auto"/>
          <w:sz w:val="52"/>
          <w:szCs w:val="52"/>
        </w:rPr>
      </w:pPr>
      <w:r>
        <w:rPr>
          <w:rFonts w:hint="eastAsia" w:ascii="宋体" w:hAnsi="宋体"/>
          <w:b/>
          <w:color w:val="auto"/>
          <w:sz w:val="52"/>
          <w:szCs w:val="52"/>
          <w:lang w:eastAsia="zh-CN"/>
        </w:rPr>
        <w:t>亭桥小学图书采购</w:t>
      </w:r>
      <w:r>
        <w:rPr>
          <w:rFonts w:hint="eastAsia" w:ascii="宋体" w:hAnsi="宋体"/>
          <w:b/>
          <w:color w:val="auto"/>
          <w:sz w:val="52"/>
          <w:szCs w:val="52"/>
        </w:rPr>
        <w:t>项目</w:t>
      </w:r>
    </w:p>
    <w:p>
      <w:pPr>
        <w:spacing w:beforeLines="50"/>
        <w:rPr>
          <w:rFonts w:ascii="宋体" w:hAnsi="宋体"/>
          <w:color w:val="auto"/>
          <w:sz w:val="72"/>
          <w:szCs w:val="72"/>
        </w:rPr>
      </w:pPr>
    </w:p>
    <w:p>
      <w:pPr>
        <w:spacing w:beforeLines="50"/>
        <w:jc w:val="center"/>
        <w:rPr>
          <w:rFonts w:ascii="宋体" w:hAnsi="宋体"/>
          <w:color w:val="auto"/>
          <w:sz w:val="72"/>
          <w:szCs w:val="72"/>
        </w:rPr>
      </w:pPr>
      <w:r>
        <w:rPr>
          <w:rFonts w:hint="eastAsia" w:ascii="宋体" w:hAnsi="宋体"/>
          <w:color w:val="auto"/>
          <w:sz w:val="72"/>
          <w:szCs w:val="72"/>
        </w:rPr>
        <w:t>公开招标文件</w:t>
      </w:r>
    </w:p>
    <w:p>
      <w:pPr>
        <w:pStyle w:val="23"/>
        <w:jc w:val="center"/>
        <w:rPr>
          <w:color w:val="auto"/>
        </w:rPr>
      </w:pPr>
    </w:p>
    <w:p>
      <w:pPr>
        <w:pStyle w:val="24"/>
        <w:rPr>
          <w:color w:val="auto"/>
        </w:rPr>
      </w:pPr>
    </w:p>
    <w:p>
      <w:pPr>
        <w:snapToGrid w:val="0"/>
        <w:spacing w:beforeLines="50" w:line="360" w:lineRule="auto"/>
        <w:jc w:val="center"/>
        <w:rPr>
          <w:rFonts w:ascii="宋体" w:hAnsi="宋体"/>
          <w:color w:val="auto"/>
          <w:sz w:val="30"/>
          <w:szCs w:val="72"/>
        </w:rPr>
      </w:pPr>
    </w:p>
    <w:p>
      <w:pPr>
        <w:snapToGrid w:val="0"/>
        <w:spacing w:beforeLines="50" w:line="360" w:lineRule="auto"/>
        <w:rPr>
          <w:rFonts w:ascii="宋体" w:hAnsi="宋体"/>
          <w:color w:val="auto"/>
          <w:sz w:val="30"/>
          <w:szCs w:val="72"/>
        </w:rPr>
      </w:pPr>
    </w:p>
    <w:p>
      <w:pPr>
        <w:pStyle w:val="33"/>
        <w:snapToGrid w:val="0"/>
        <w:spacing w:line="360" w:lineRule="auto"/>
        <w:rPr>
          <w:b/>
          <w:color w:val="auto"/>
          <w:sz w:val="30"/>
          <w:szCs w:val="30"/>
        </w:rPr>
      </w:pPr>
      <w:r>
        <w:rPr>
          <w:b/>
          <w:color w:val="auto"/>
          <w:sz w:val="30"/>
          <w:szCs w:val="30"/>
        </w:rPr>
        <w:t>项目编号：</w:t>
      </w:r>
      <w:r>
        <w:rPr>
          <w:rFonts w:hint="eastAsia" w:hAnsi="宋体"/>
          <w:b/>
          <w:color w:val="auto"/>
          <w:sz w:val="30"/>
          <w:szCs w:val="48"/>
          <w:lang w:eastAsia="zh-CN"/>
        </w:rPr>
        <w:t>JSCG2022031</w:t>
      </w:r>
      <w:r>
        <w:rPr>
          <w:rFonts w:hint="eastAsia" w:hAnsi="宋体"/>
          <w:b/>
          <w:color w:val="auto"/>
          <w:sz w:val="30"/>
          <w:szCs w:val="48"/>
        </w:rPr>
        <w:t>(G)</w:t>
      </w:r>
    </w:p>
    <w:p>
      <w:pPr>
        <w:pStyle w:val="33"/>
        <w:snapToGrid w:val="0"/>
        <w:spacing w:line="360" w:lineRule="auto"/>
        <w:rPr>
          <w:b/>
          <w:color w:val="auto"/>
          <w:sz w:val="30"/>
          <w:szCs w:val="30"/>
        </w:rPr>
      </w:pPr>
      <w:r>
        <w:rPr>
          <w:rFonts w:hint="eastAsia"/>
          <w:b/>
          <w:color w:val="auto"/>
          <w:sz w:val="30"/>
          <w:szCs w:val="30"/>
        </w:rPr>
        <w:t>项目名称：</w:t>
      </w:r>
      <w:r>
        <w:rPr>
          <w:rFonts w:hint="eastAsia"/>
          <w:b/>
          <w:color w:val="auto"/>
          <w:sz w:val="30"/>
          <w:szCs w:val="30"/>
          <w:lang w:eastAsia="zh-CN"/>
        </w:rPr>
        <w:t>浙江师范大学附属嘉善实验学校亭桥小学图书采购</w:t>
      </w:r>
      <w:r>
        <w:rPr>
          <w:rFonts w:hint="eastAsia"/>
          <w:b/>
          <w:color w:val="auto"/>
          <w:sz w:val="30"/>
          <w:szCs w:val="30"/>
        </w:rPr>
        <w:t>项目</w:t>
      </w:r>
    </w:p>
    <w:p>
      <w:pPr>
        <w:pStyle w:val="33"/>
        <w:snapToGrid w:val="0"/>
        <w:spacing w:line="360" w:lineRule="auto"/>
        <w:rPr>
          <w:rFonts w:hint="eastAsia" w:hAnsi="宋体" w:eastAsia="宋体"/>
          <w:b/>
          <w:color w:val="auto"/>
          <w:sz w:val="30"/>
          <w:szCs w:val="30"/>
          <w:lang w:eastAsia="zh-CN"/>
        </w:rPr>
      </w:pPr>
      <w:r>
        <w:rPr>
          <w:b/>
          <w:color w:val="auto"/>
          <w:sz w:val="30"/>
          <w:szCs w:val="30"/>
        </w:rPr>
        <w:t>采购人：</w:t>
      </w:r>
      <w:r>
        <w:rPr>
          <w:rFonts w:hint="eastAsia"/>
          <w:b/>
          <w:color w:val="auto"/>
          <w:sz w:val="30"/>
          <w:szCs w:val="30"/>
          <w:lang w:eastAsia="zh-CN"/>
        </w:rPr>
        <w:t>浙江师范大学附属嘉善实验学校亭桥小学</w:t>
      </w:r>
    </w:p>
    <w:p>
      <w:pPr>
        <w:pStyle w:val="33"/>
        <w:snapToGrid w:val="0"/>
        <w:spacing w:line="360" w:lineRule="auto"/>
        <w:rPr>
          <w:rFonts w:hAnsi="宋体"/>
          <w:b/>
          <w:bCs/>
          <w:color w:val="auto"/>
          <w:sz w:val="30"/>
          <w:szCs w:val="30"/>
        </w:rPr>
      </w:pPr>
      <w:r>
        <w:rPr>
          <w:rFonts w:hint="eastAsia"/>
          <w:b/>
          <w:color w:val="auto"/>
          <w:sz w:val="30"/>
          <w:szCs w:val="30"/>
        </w:rPr>
        <w:t>采购组织</w:t>
      </w:r>
      <w:r>
        <w:rPr>
          <w:b/>
          <w:color w:val="auto"/>
          <w:sz w:val="30"/>
          <w:szCs w:val="30"/>
        </w:rPr>
        <w:t>机构：</w:t>
      </w:r>
      <w:r>
        <w:rPr>
          <w:rFonts w:hint="eastAsia" w:hAnsi="宋体"/>
          <w:b/>
          <w:color w:val="auto"/>
          <w:sz w:val="30"/>
          <w:szCs w:val="48"/>
        </w:rPr>
        <w:t>嘉善县公共资源交易中心</w:t>
      </w:r>
    </w:p>
    <w:p>
      <w:pPr>
        <w:pStyle w:val="33"/>
        <w:snapToGrid w:val="0"/>
        <w:spacing w:line="360" w:lineRule="auto"/>
        <w:rPr>
          <w:rFonts w:hAnsi="宋体"/>
          <w:b/>
          <w:bCs/>
          <w:color w:val="auto"/>
          <w:w w:val="95"/>
          <w:sz w:val="30"/>
          <w:szCs w:val="30"/>
        </w:rPr>
      </w:pPr>
    </w:p>
    <w:p>
      <w:pPr>
        <w:rPr>
          <w:color w:val="auto"/>
        </w:rPr>
      </w:pPr>
    </w:p>
    <w:p>
      <w:pPr>
        <w:snapToGrid w:val="0"/>
        <w:spacing w:beforeLines="50" w:line="360" w:lineRule="auto"/>
        <w:ind w:left="384" w:leftChars="183" w:firstLine="4599" w:firstLineChars="1607"/>
        <w:rPr>
          <w:rFonts w:ascii="宋体" w:hAnsi="宋体"/>
          <w:b/>
          <w:bCs/>
          <w:color w:val="auto"/>
          <w:w w:val="95"/>
          <w:sz w:val="30"/>
          <w:szCs w:val="30"/>
        </w:rPr>
      </w:pPr>
    </w:p>
    <w:p>
      <w:pPr>
        <w:pStyle w:val="24"/>
        <w:rPr>
          <w:rFonts w:hAnsi="宋体"/>
          <w:b/>
          <w:bCs/>
          <w:color w:val="auto"/>
          <w:w w:val="95"/>
          <w:sz w:val="30"/>
          <w:szCs w:val="30"/>
        </w:rPr>
      </w:pPr>
    </w:p>
    <w:p>
      <w:pPr>
        <w:rPr>
          <w:color w:val="auto"/>
        </w:rPr>
      </w:pPr>
    </w:p>
    <w:p>
      <w:pPr>
        <w:rPr>
          <w:color w:val="auto"/>
        </w:rPr>
      </w:pPr>
    </w:p>
    <w:p>
      <w:pPr>
        <w:spacing w:line="360" w:lineRule="auto"/>
        <w:jc w:val="right"/>
        <w:rPr>
          <w:rFonts w:ascii="仿宋" w:hAnsi="仿宋" w:eastAsia="仿宋" w:cs="仿宋_GB2312"/>
          <w:color w:val="auto"/>
          <w:sz w:val="24"/>
        </w:rPr>
      </w:pPr>
      <w:r>
        <w:rPr>
          <w:rFonts w:hint="eastAsia" w:ascii="宋体" w:hAnsi="宋体"/>
          <w:b/>
          <w:bCs/>
          <w:color w:val="auto"/>
          <w:w w:val="95"/>
          <w:sz w:val="30"/>
          <w:szCs w:val="30"/>
        </w:rPr>
        <w:t>2022年</w:t>
      </w:r>
      <w:r>
        <w:rPr>
          <w:rFonts w:hint="eastAsia" w:ascii="宋体" w:hAnsi="宋体"/>
          <w:b/>
          <w:bCs/>
          <w:color w:val="auto"/>
          <w:w w:val="95"/>
          <w:sz w:val="30"/>
          <w:szCs w:val="30"/>
          <w:lang w:val="en-US" w:eastAsia="zh-CN"/>
        </w:rPr>
        <w:t>7</w:t>
      </w:r>
      <w:r>
        <w:rPr>
          <w:rFonts w:hint="eastAsia" w:ascii="宋体" w:hAnsi="宋体"/>
          <w:b/>
          <w:bCs/>
          <w:color w:val="auto"/>
          <w:w w:val="95"/>
          <w:sz w:val="30"/>
          <w:szCs w:val="30"/>
        </w:rPr>
        <w:t>月</w:t>
      </w:r>
      <w:r>
        <w:rPr>
          <w:rFonts w:hint="eastAsia" w:ascii="宋体" w:hAnsi="宋体"/>
          <w:b/>
          <w:bCs/>
          <w:color w:val="auto"/>
          <w:w w:val="95"/>
          <w:sz w:val="30"/>
          <w:szCs w:val="30"/>
          <w:lang w:val="en-US" w:eastAsia="zh-CN"/>
        </w:rPr>
        <w:t>22</w:t>
      </w:r>
      <w:bookmarkStart w:id="97" w:name="_GoBack"/>
      <w:bookmarkEnd w:id="97"/>
      <w:r>
        <w:rPr>
          <w:rFonts w:hint="eastAsia" w:ascii="宋体" w:hAnsi="宋体"/>
          <w:b/>
          <w:bCs/>
          <w:color w:val="auto"/>
          <w:w w:val="95"/>
          <w:sz w:val="30"/>
          <w:szCs w:val="30"/>
        </w:rPr>
        <w:t>日</w:t>
      </w:r>
    </w:p>
    <w:p>
      <w:pPr>
        <w:spacing w:line="360" w:lineRule="auto"/>
        <w:jc w:val="center"/>
        <w:rPr>
          <w:rFonts w:ascii="仿宋" w:hAnsi="仿宋" w:eastAsia="仿宋" w:cs="仿宋_GB2312"/>
          <w:color w:val="auto"/>
          <w:sz w:val="24"/>
        </w:rPr>
      </w:pPr>
    </w:p>
    <w:p>
      <w:pPr>
        <w:pStyle w:val="23"/>
        <w:rPr>
          <w:color w:val="auto"/>
        </w:rPr>
      </w:pPr>
    </w:p>
    <w:p>
      <w:pPr>
        <w:pStyle w:val="24"/>
        <w:rPr>
          <w:color w:val="auto"/>
        </w:rPr>
      </w:pPr>
    </w:p>
    <w:p>
      <w:pPr>
        <w:rPr>
          <w:color w:val="auto"/>
        </w:rPr>
      </w:pPr>
    </w:p>
    <w:p>
      <w:pPr>
        <w:pStyle w:val="24"/>
        <w:rPr>
          <w:rFonts w:ascii="仿宋" w:hAnsi="仿宋" w:eastAsia="仿宋" w:cs="仿宋_GB2312"/>
          <w:color w:val="auto"/>
        </w:rPr>
      </w:pPr>
    </w:p>
    <w:p>
      <w:pPr>
        <w:rPr>
          <w:rFonts w:ascii="仿宋" w:hAnsi="仿宋" w:eastAsia="仿宋" w:cs="仿宋_GB2312"/>
          <w:color w:val="auto"/>
          <w:sz w:val="24"/>
        </w:rPr>
      </w:pPr>
    </w:p>
    <w:p>
      <w:pPr>
        <w:pStyle w:val="33"/>
        <w:spacing w:line="600" w:lineRule="exact"/>
        <w:jc w:val="center"/>
        <w:rPr>
          <w:rFonts w:ascii="创艺简标宋" w:hAnsi="宋体" w:eastAsia="创艺简标宋"/>
          <w:b/>
          <w:color w:val="auto"/>
          <w:sz w:val="44"/>
          <w:szCs w:val="44"/>
        </w:rPr>
      </w:pPr>
      <w:bookmarkStart w:id="1" w:name="_Hlt91233176"/>
      <w:bookmarkEnd w:id="1"/>
      <w:bookmarkStart w:id="2" w:name="_Toc91899869"/>
      <w:r>
        <w:rPr>
          <w:rFonts w:hint="eastAsia" w:ascii="创艺简标宋" w:hAnsi="宋体" w:eastAsia="创艺简标宋"/>
          <w:b/>
          <w:color w:val="auto"/>
          <w:sz w:val="44"/>
          <w:szCs w:val="44"/>
        </w:rPr>
        <w:t>目    录</w:t>
      </w:r>
    </w:p>
    <w:p>
      <w:pPr>
        <w:pStyle w:val="33"/>
        <w:tabs>
          <w:tab w:val="left" w:pos="6645"/>
        </w:tabs>
        <w:spacing w:line="600" w:lineRule="exact"/>
        <w:jc w:val="left"/>
        <w:rPr>
          <w:rFonts w:ascii="创艺简标宋" w:hAnsi="宋体" w:eastAsia="创艺简标宋"/>
          <w:b/>
          <w:color w:val="auto"/>
          <w:sz w:val="44"/>
          <w:szCs w:val="44"/>
        </w:rPr>
      </w:pPr>
      <w:r>
        <w:rPr>
          <w:rFonts w:ascii="创艺简标宋" w:hAnsi="宋体" w:eastAsia="创艺简标宋"/>
          <w:b/>
          <w:color w:val="auto"/>
          <w:sz w:val="44"/>
          <w:szCs w:val="44"/>
        </w:rPr>
        <w:tab/>
      </w:r>
    </w:p>
    <w:p>
      <w:pPr>
        <w:pStyle w:val="43"/>
        <w:tabs>
          <w:tab w:val="right" w:leader="dot" w:pos="8834"/>
        </w:tabs>
        <w:spacing w:line="480" w:lineRule="auto"/>
        <w:rPr>
          <w:b/>
          <w:color w:val="auto"/>
          <w:sz w:val="32"/>
          <w:szCs w:val="32"/>
        </w:rPr>
      </w:pPr>
      <w:r>
        <w:rPr>
          <w:b/>
          <w:color w:val="auto"/>
          <w:sz w:val="32"/>
          <w:szCs w:val="32"/>
        </w:rPr>
        <w:fldChar w:fldCharType="begin"/>
      </w:r>
      <w:r>
        <w:rPr>
          <w:b/>
          <w:color w:val="auto"/>
          <w:sz w:val="32"/>
          <w:szCs w:val="32"/>
        </w:rPr>
        <w:instrText xml:space="preserve"> TOC \o "1-1" \h \z \u </w:instrText>
      </w:r>
      <w:r>
        <w:rPr>
          <w:b/>
          <w:color w:val="auto"/>
          <w:sz w:val="32"/>
          <w:szCs w:val="32"/>
        </w:rPr>
        <w:fldChar w:fldCharType="separate"/>
      </w:r>
      <w:r>
        <w:rPr>
          <w:color w:val="auto"/>
        </w:rPr>
        <w:fldChar w:fldCharType="begin"/>
      </w:r>
      <w:r>
        <w:rPr>
          <w:color w:val="auto"/>
        </w:rPr>
        <w:instrText xml:space="preserve"> HYPERLINK \l "_Toc406402981" </w:instrText>
      </w:r>
      <w:r>
        <w:rPr>
          <w:color w:val="auto"/>
        </w:rPr>
        <w:fldChar w:fldCharType="separate"/>
      </w:r>
      <w:r>
        <w:rPr>
          <w:rStyle w:val="76"/>
          <w:rFonts w:hint="eastAsia"/>
          <w:b/>
          <w:color w:val="auto"/>
          <w:sz w:val="32"/>
          <w:szCs w:val="32"/>
        </w:rPr>
        <w:t>第一章</w:t>
      </w:r>
      <w:r>
        <w:rPr>
          <w:rStyle w:val="76"/>
          <w:b/>
          <w:color w:val="auto"/>
          <w:sz w:val="32"/>
          <w:szCs w:val="32"/>
        </w:rPr>
        <w:t xml:space="preserve">  </w:t>
      </w:r>
      <w:r>
        <w:rPr>
          <w:rStyle w:val="76"/>
          <w:rFonts w:hint="eastAsia"/>
          <w:b/>
          <w:color w:val="auto"/>
          <w:sz w:val="32"/>
          <w:szCs w:val="32"/>
        </w:rPr>
        <w:t>公开招标采购公告</w:t>
      </w:r>
      <w:r>
        <w:rPr>
          <w:b/>
          <w:color w:val="auto"/>
          <w:sz w:val="32"/>
          <w:szCs w:val="32"/>
        </w:rPr>
        <w:tab/>
      </w:r>
      <w:r>
        <w:rPr>
          <w:rFonts w:hint="eastAsia"/>
          <w:b/>
          <w:color w:val="auto"/>
          <w:sz w:val="32"/>
          <w:szCs w:val="32"/>
        </w:rPr>
        <w:t>3</w:t>
      </w:r>
      <w:r>
        <w:rPr>
          <w:rFonts w:hint="eastAsia"/>
          <w:b/>
          <w:color w:val="auto"/>
          <w:sz w:val="32"/>
          <w:szCs w:val="32"/>
        </w:rPr>
        <w:fldChar w:fldCharType="end"/>
      </w:r>
    </w:p>
    <w:p>
      <w:pPr>
        <w:pStyle w:val="43"/>
        <w:tabs>
          <w:tab w:val="right" w:leader="dot" w:pos="8834"/>
        </w:tabs>
        <w:spacing w:line="480" w:lineRule="auto"/>
        <w:rPr>
          <w:b/>
          <w:color w:val="auto"/>
          <w:sz w:val="32"/>
          <w:szCs w:val="32"/>
        </w:rPr>
      </w:pPr>
      <w:r>
        <w:rPr>
          <w:color w:val="auto"/>
        </w:rPr>
        <w:fldChar w:fldCharType="begin"/>
      </w:r>
      <w:r>
        <w:rPr>
          <w:color w:val="auto"/>
        </w:rPr>
        <w:instrText xml:space="preserve"> HYPERLINK \l "_Toc406402982" </w:instrText>
      </w:r>
      <w:r>
        <w:rPr>
          <w:color w:val="auto"/>
        </w:rPr>
        <w:fldChar w:fldCharType="separate"/>
      </w:r>
      <w:r>
        <w:rPr>
          <w:rStyle w:val="76"/>
          <w:rFonts w:hint="eastAsia"/>
          <w:b/>
          <w:color w:val="auto"/>
          <w:sz w:val="32"/>
          <w:szCs w:val="32"/>
        </w:rPr>
        <w:t>第二章</w:t>
      </w:r>
      <w:r>
        <w:rPr>
          <w:rStyle w:val="76"/>
          <w:b/>
          <w:color w:val="auto"/>
          <w:sz w:val="32"/>
          <w:szCs w:val="32"/>
        </w:rPr>
        <w:t xml:space="preserve">  </w:t>
      </w:r>
      <w:r>
        <w:rPr>
          <w:rStyle w:val="76"/>
          <w:rFonts w:hint="eastAsia"/>
          <w:b/>
          <w:color w:val="auto"/>
          <w:sz w:val="32"/>
          <w:szCs w:val="32"/>
        </w:rPr>
        <w:t>招标需求</w:t>
      </w:r>
      <w:r>
        <w:rPr>
          <w:b/>
          <w:color w:val="auto"/>
          <w:sz w:val="32"/>
          <w:szCs w:val="32"/>
        </w:rPr>
        <w:tab/>
      </w:r>
      <w:r>
        <w:rPr>
          <w:rFonts w:hint="eastAsia"/>
          <w:b/>
          <w:color w:val="auto"/>
          <w:sz w:val="32"/>
          <w:szCs w:val="32"/>
        </w:rPr>
        <w:t>7</w:t>
      </w:r>
      <w:r>
        <w:rPr>
          <w:rFonts w:hint="eastAsia"/>
          <w:b/>
          <w:color w:val="auto"/>
          <w:sz w:val="32"/>
          <w:szCs w:val="32"/>
        </w:rPr>
        <w:fldChar w:fldCharType="end"/>
      </w:r>
    </w:p>
    <w:p>
      <w:pPr>
        <w:pStyle w:val="43"/>
        <w:tabs>
          <w:tab w:val="right" w:leader="dot" w:pos="8834"/>
        </w:tabs>
        <w:spacing w:line="480" w:lineRule="auto"/>
        <w:rPr>
          <w:rFonts w:hint="default" w:eastAsia="宋体"/>
          <w:b/>
          <w:color w:val="auto"/>
          <w:sz w:val="32"/>
          <w:szCs w:val="32"/>
          <w:lang w:val="en-US" w:eastAsia="zh-CN"/>
        </w:rPr>
      </w:pPr>
      <w:r>
        <w:rPr>
          <w:color w:val="auto"/>
        </w:rPr>
        <w:fldChar w:fldCharType="begin"/>
      </w:r>
      <w:r>
        <w:rPr>
          <w:color w:val="auto"/>
        </w:rPr>
        <w:instrText xml:space="preserve"> HYPERLINK \l "_Toc406402986" </w:instrText>
      </w:r>
      <w:r>
        <w:rPr>
          <w:color w:val="auto"/>
        </w:rPr>
        <w:fldChar w:fldCharType="separate"/>
      </w:r>
      <w:r>
        <w:rPr>
          <w:rStyle w:val="76"/>
          <w:rFonts w:hint="eastAsia"/>
          <w:b/>
          <w:color w:val="auto"/>
          <w:sz w:val="32"/>
          <w:szCs w:val="32"/>
        </w:rPr>
        <w:t>第三章</w:t>
      </w:r>
      <w:r>
        <w:rPr>
          <w:rStyle w:val="76"/>
          <w:b/>
          <w:color w:val="auto"/>
          <w:sz w:val="32"/>
          <w:szCs w:val="32"/>
        </w:rPr>
        <w:t xml:space="preserve">  </w:t>
      </w:r>
      <w:r>
        <w:rPr>
          <w:rStyle w:val="76"/>
          <w:rFonts w:hint="eastAsia"/>
          <w:b/>
          <w:color w:val="auto"/>
          <w:sz w:val="32"/>
          <w:szCs w:val="32"/>
        </w:rPr>
        <w:t>投标人须知</w:t>
      </w:r>
      <w:r>
        <w:rPr>
          <w:b/>
          <w:color w:val="auto"/>
          <w:sz w:val="32"/>
          <w:szCs w:val="32"/>
        </w:rPr>
        <w:tab/>
      </w:r>
      <w:r>
        <w:rPr>
          <w:b/>
          <w:color w:val="auto"/>
          <w:sz w:val="32"/>
          <w:szCs w:val="32"/>
        </w:rPr>
        <w:fldChar w:fldCharType="end"/>
      </w:r>
      <w:r>
        <w:rPr>
          <w:rFonts w:hint="eastAsia"/>
          <w:b/>
          <w:color w:val="auto"/>
          <w:sz w:val="32"/>
          <w:szCs w:val="32"/>
          <w:lang w:val="en-US" w:eastAsia="zh-CN"/>
        </w:rPr>
        <w:t>10</w:t>
      </w:r>
    </w:p>
    <w:p>
      <w:pPr>
        <w:pStyle w:val="43"/>
        <w:tabs>
          <w:tab w:val="right" w:leader="dot" w:pos="8834"/>
        </w:tabs>
        <w:spacing w:line="480" w:lineRule="auto"/>
        <w:rPr>
          <w:rFonts w:hint="eastAsia" w:eastAsia="宋体"/>
          <w:b/>
          <w:color w:val="auto"/>
          <w:sz w:val="32"/>
          <w:szCs w:val="32"/>
          <w:lang w:val="en-US" w:eastAsia="zh-CN"/>
        </w:rPr>
      </w:pPr>
      <w:r>
        <w:rPr>
          <w:color w:val="auto"/>
        </w:rPr>
        <w:fldChar w:fldCharType="begin"/>
      </w:r>
      <w:r>
        <w:rPr>
          <w:color w:val="auto"/>
        </w:rPr>
        <w:instrText xml:space="preserve"> HYPERLINK \l "_Toc406402996" </w:instrText>
      </w:r>
      <w:r>
        <w:rPr>
          <w:color w:val="auto"/>
        </w:rPr>
        <w:fldChar w:fldCharType="separate"/>
      </w:r>
      <w:r>
        <w:rPr>
          <w:rStyle w:val="76"/>
          <w:rFonts w:hint="eastAsia"/>
          <w:b/>
          <w:color w:val="auto"/>
          <w:sz w:val="32"/>
          <w:szCs w:val="32"/>
        </w:rPr>
        <w:t xml:space="preserve">第四章 </w:t>
      </w:r>
      <w:r>
        <w:rPr>
          <w:rStyle w:val="76"/>
          <w:b/>
          <w:color w:val="auto"/>
          <w:sz w:val="32"/>
          <w:szCs w:val="32"/>
        </w:rPr>
        <w:t xml:space="preserve"> </w:t>
      </w:r>
      <w:r>
        <w:rPr>
          <w:rStyle w:val="76"/>
          <w:rFonts w:hint="eastAsia"/>
          <w:b/>
          <w:color w:val="auto"/>
          <w:sz w:val="32"/>
          <w:szCs w:val="32"/>
        </w:rPr>
        <w:t>评标办法及评分标准</w:t>
      </w:r>
      <w:r>
        <w:rPr>
          <w:b/>
          <w:color w:val="auto"/>
          <w:sz w:val="32"/>
          <w:szCs w:val="32"/>
        </w:rPr>
        <w:tab/>
      </w:r>
      <w:r>
        <w:rPr>
          <w:rFonts w:hint="eastAsia"/>
          <w:b/>
          <w:color w:val="auto"/>
          <w:sz w:val="32"/>
          <w:szCs w:val="32"/>
          <w:lang w:val="en-US" w:eastAsia="zh-CN"/>
        </w:rPr>
        <w:t>24</w:t>
      </w:r>
      <w:r>
        <w:rPr>
          <w:rFonts w:hint="eastAsia"/>
          <w:b/>
          <w:color w:val="auto"/>
          <w:sz w:val="32"/>
          <w:szCs w:val="32"/>
        </w:rPr>
        <w:fldChar w:fldCharType="end"/>
      </w:r>
    </w:p>
    <w:p>
      <w:pPr>
        <w:pStyle w:val="43"/>
        <w:tabs>
          <w:tab w:val="right" w:leader="dot" w:pos="8834"/>
        </w:tabs>
        <w:spacing w:line="480" w:lineRule="auto"/>
        <w:rPr>
          <w:rFonts w:hint="default" w:eastAsia="宋体"/>
          <w:b/>
          <w:color w:val="auto"/>
          <w:sz w:val="32"/>
          <w:szCs w:val="32"/>
          <w:lang w:val="en-US" w:eastAsia="zh-CN"/>
        </w:rPr>
      </w:pPr>
      <w:r>
        <w:rPr>
          <w:color w:val="auto"/>
        </w:rPr>
        <w:fldChar w:fldCharType="begin"/>
      </w:r>
      <w:r>
        <w:rPr>
          <w:color w:val="auto"/>
        </w:rPr>
        <w:instrText xml:space="preserve"> HYPERLINK \l "_Toc406402998" </w:instrText>
      </w:r>
      <w:r>
        <w:rPr>
          <w:color w:val="auto"/>
        </w:rPr>
        <w:fldChar w:fldCharType="separate"/>
      </w:r>
      <w:r>
        <w:rPr>
          <w:rStyle w:val="76"/>
          <w:rFonts w:hint="eastAsia"/>
          <w:b/>
          <w:color w:val="auto"/>
          <w:sz w:val="32"/>
          <w:szCs w:val="32"/>
        </w:rPr>
        <w:t>第五章</w:t>
      </w:r>
      <w:r>
        <w:rPr>
          <w:rStyle w:val="76"/>
          <w:b/>
          <w:color w:val="auto"/>
          <w:sz w:val="32"/>
          <w:szCs w:val="32"/>
        </w:rPr>
        <w:t xml:space="preserve">  </w:t>
      </w:r>
      <w:r>
        <w:rPr>
          <w:rStyle w:val="76"/>
          <w:rFonts w:hint="eastAsia"/>
          <w:b/>
          <w:color w:val="auto"/>
          <w:sz w:val="32"/>
          <w:szCs w:val="32"/>
        </w:rPr>
        <w:t>嘉善县政府采购合同（</w:t>
      </w:r>
      <w:bookmarkStart w:id="3" w:name="_Hlt497308216"/>
      <w:r>
        <w:rPr>
          <w:rStyle w:val="76"/>
          <w:rFonts w:hint="eastAsia"/>
          <w:b/>
          <w:color w:val="auto"/>
          <w:sz w:val="32"/>
          <w:szCs w:val="32"/>
        </w:rPr>
        <w:t>指</w:t>
      </w:r>
      <w:bookmarkEnd w:id="3"/>
      <w:bookmarkStart w:id="4" w:name="_Hlt497308220"/>
      <w:r>
        <w:rPr>
          <w:rStyle w:val="76"/>
          <w:rFonts w:hint="eastAsia"/>
          <w:b/>
          <w:color w:val="auto"/>
          <w:sz w:val="32"/>
          <w:szCs w:val="32"/>
        </w:rPr>
        <w:t>引</w:t>
      </w:r>
      <w:bookmarkEnd w:id="4"/>
      <w:r>
        <w:rPr>
          <w:rStyle w:val="76"/>
          <w:rFonts w:hint="eastAsia"/>
          <w:b/>
          <w:color w:val="auto"/>
          <w:sz w:val="32"/>
          <w:szCs w:val="32"/>
        </w:rPr>
        <w:t>）</w:t>
      </w:r>
      <w:bookmarkStart w:id="5" w:name="_Hlt497308212"/>
      <w:bookmarkStart w:id="6" w:name="_Hlt497308213"/>
      <w:r>
        <w:rPr>
          <w:b/>
          <w:color w:val="auto"/>
          <w:sz w:val="32"/>
          <w:szCs w:val="32"/>
        </w:rPr>
        <w:tab/>
      </w:r>
      <w:bookmarkEnd w:id="5"/>
      <w:bookmarkEnd w:id="6"/>
      <w:r>
        <w:rPr>
          <w:rFonts w:hint="eastAsia"/>
          <w:b/>
          <w:color w:val="auto"/>
          <w:sz w:val="32"/>
          <w:szCs w:val="32"/>
        </w:rPr>
        <w:fldChar w:fldCharType="end"/>
      </w:r>
      <w:r>
        <w:rPr>
          <w:rFonts w:hint="eastAsia"/>
          <w:b/>
          <w:color w:val="auto"/>
          <w:sz w:val="32"/>
          <w:szCs w:val="32"/>
          <w:lang w:val="en-US" w:eastAsia="zh-CN"/>
        </w:rPr>
        <w:t>27</w:t>
      </w:r>
    </w:p>
    <w:p>
      <w:pPr>
        <w:pStyle w:val="43"/>
        <w:tabs>
          <w:tab w:val="right" w:leader="dot" w:pos="8834"/>
        </w:tabs>
        <w:spacing w:line="480" w:lineRule="auto"/>
        <w:rPr>
          <w:b/>
          <w:color w:val="auto"/>
          <w:sz w:val="32"/>
          <w:szCs w:val="32"/>
        </w:rPr>
      </w:pPr>
      <w:r>
        <w:rPr>
          <w:color w:val="auto"/>
        </w:rPr>
        <w:fldChar w:fldCharType="begin"/>
      </w:r>
      <w:r>
        <w:rPr>
          <w:color w:val="auto"/>
        </w:rPr>
        <w:instrText xml:space="preserve"> HYPERLINK \l "_Toc406403000" </w:instrText>
      </w:r>
      <w:r>
        <w:rPr>
          <w:color w:val="auto"/>
        </w:rPr>
        <w:fldChar w:fldCharType="separate"/>
      </w:r>
      <w:r>
        <w:rPr>
          <w:rStyle w:val="76"/>
          <w:rFonts w:hint="eastAsia"/>
          <w:b/>
          <w:color w:val="auto"/>
          <w:sz w:val="32"/>
          <w:szCs w:val="32"/>
        </w:rPr>
        <w:t>第六章　投标文件格式</w:t>
      </w:r>
      <w:r>
        <w:rPr>
          <w:b/>
          <w:color w:val="auto"/>
          <w:sz w:val="32"/>
          <w:szCs w:val="32"/>
        </w:rPr>
        <w:tab/>
      </w:r>
      <w:r>
        <w:rPr>
          <w:b/>
          <w:color w:val="auto"/>
          <w:sz w:val="32"/>
          <w:szCs w:val="32"/>
        </w:rPr>
        <w:fldChar w:fldCharType="end"/>
      </w:r>
      <w:r>
        <w:rPr>
          <w:rFonts w:hint="eastAsia"/>
          <w:b/>
          <w:color w:val="auto"/>
          <w:sz w:val="32"/>
          <w:szCs w:val="32"/>
          <w:lang w:val="en-US" w:eastAsia="zh-CN"/>
        </w:rPr>
        <w:t>30</w:t>
      </w:r>
    </w:p>
    <w:p>
      <w:pPr>
        <w:pStyle w:val="43"/>
        <w:tabs>
          <w:tab w:val="right" w:leader="dot" w:pos="8834"/>
        </w:tabs>
        <w:spacing w:line="480" w:lineRule="auto"/>
        <w:rPr>
          <w:b/>
          <w:color w:val="auto"/>
          <w:sz w:val="32"/>
          <w:szCs w:val="32"/>
        </w:rPr>
      </w:pPr>
    </w:p>
    <w:p>
      <w:pPr>
        <w:spacing w:line="360" w:lineRule="auto"/>
        <w:ind w:firstLine="480" w:firstLineChars="229"/>
        <w:rPr>
          <w:rFonts w:ascii="仿宋" w:hAnsi="仿宋" w:eastAsia="仿宋" w:cs="仿宋_GB2312"/>
          <w:color w:val="auto"/>
          <w:sz w:val="24"/>
        </w:rPr>
      </w:pPr>
      <w:r>
        <w:rPr>
          <w:color w:val="auto"/>
          <w:szCs w:val="32"/>
        </w:rPr>
        <w:fldChar w:fldCharType="end"/>
      </w: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7" w:name="第一部分"/>
      <w:r>
        <w:rPr>
          <w:rFonts w:ascii="仿宋" w:hAnsi="仿宋" w:eastAsia="仿宋" w:cs="仿宋_GB2312"/>
          <w:b/>
          <w:color w:val="auto"/>
          <w:sz w:val="36"/>
          <w:szCs w:val="36"/>
        </w:rPr>
        <w:br w:type="page"/>
      </w:r>
      <w:bookmarkEnd w:id="2"/>
      <w:bookmarkEnd w:id="7"/>
      <w:bookmarkStart w:id="8" w:name="_Hlt74649545"/>
      <w:bookmarkEnd w:id="8"/>
      <w:bookmarkStart w:id="9" w:name="_Hlt74729822"/>
      <w:bookmarkEnd w:id="9"/>
      <w:bookmarkStart w:id="10" w:name="_Hlt74707423"/>
      <w:bookmarkEnd w:id="10"/>
      <w:bookmarkStart w:id="11" w:name="_Hlt74728647"/>
      <w:bookmarkEnd w:id="11"/>
      <w:bookmarkStart w:id="12" w:name="第二部分"/>
      <w:bookmarkStart w:id="13" w:name="_Toc91899870"/>
      <w:bookmarkStart w:id="14" w:name="_Toc91899871"/>
      <w:r>
        <w:rPr>
          <w:rFonts w:hint="eastAsia" w:ascii="仿宋" w:hAnsi="仿宋" w:eastAsia="仿宋" w:cs="仿宋_GB2312"/>
          <w:b/>
          <w:color w:val="auto"/>
          <w:sz w:val="36"/>
          <w:szCs w:val="20"/>
        </w:rPr>
        <w:t>第一章</w:t>
      </w:r>
      <w:r>
        <w:rPr>
          <w:rFonts w:ascii="仿宋" w:hAnsi="仿宋" w:eastAsia="仿宋" w:cs="仿宋_GB2312"/>
          <w:b/>
          <w:color w:val="auto"/>
          <w:sz w:val="36"/>
          <w:szCs w:val="20"/>
        </w:rPr>
        <w:t xml:space="preserve"> </w:t>
      </w:r>
      <w:r>
        <w:rPr>
          <w:rFonts w:hint="eastAsia" w:ascii="仿宋" w:hAnsi="仿宋" w:eastAsia="仿宋" w:cs="仿宋_GB2312"/>
          <w:b/>
          <w:color w:val="auto"/>
          <w:sz w:val="36"/>
          <w:szCs w:val="20"/>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rPr>
        <w:t>（</w:t>
      </w:r>
      <w:r>
        <w:rPr>
          <w:rFonts w:hint="eastAsia" w:ascii="仿宋_GB2312" w:hAnsi="仿宋" w:eastAsia="仿宋_GB2312" w:cs="仿宋_GB2312"/>
          <w:color w:val="auto"/>
          <w:sz w:val="24"/>
          <w:u w:val="single"/>
          <w:lang w:eastAsia="zh-CN"/>
        </w:rPr>
        <w:t>浙江师范大学附属嘉善实验学校亭桥小学图书采购</w:t>
      </w:r>
      <w:r>
        <w:rPr>
          <w:rFonts w:hint="eastAsia" w:ascii="仿宋_GB2312" w:hAnsi="仿宋" w:eastAsia="仿宋_GB2312" w:cs="仿宋_GB2312"/>
          <w:color w:val="auto"/>
          <w:sz w:val="24"/>
          <w:u w:val="single"/>
        </w:rPr>
        <w:t>项目）</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lang w:eastAsia="zh-CN"/>
        </w:rPr>
        <w:t>2022年8月12日</w:t>
      </w:r>
      <w:r>
        <w:rPr>
          <w:rFonts w:hint="eastAsia" w:ascii="仿宋_GB2312" w:hAnsi="仿宋" w:eastAsia="仿宋_GB2312"/>
          <w:color w:val="auto"/>
          <w:sz w:val="24"/>
          <w:u w:val="single"/>
        </w:rPr>
        <w:t>9点30分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b/>
          <w:color w:val="auto"/>
          <w:sz w:val="24"/>
        </w:rPr>
        <w:t>项目编号：</w:t>
      </w:r>
      <w:r>
        <w:rPr>
          <w:rFonts w:hint="eastAsia" w:ascii="仿宋_GB2312" w:hAnsi="仿宋" w:eastAsia="仿宋_GB2312"/>
          <w:b/>
          <w:color w:val="auto"/>
          <w:sz w:val="24"/>
          <w:lang w:eastAsia="zh-CN"/>
        </w:rPr>
        <w:t>JSCG2022031</w:t>
      </w:r>
      <w:r>
        <w:rPr>
          <w:rFonts w:hint="eastAsia" w:ascii="仿宋_GB2312" w:hAnsi="仿宋" w:eastAsia="仿宋_GB2312"/>
          <w:b/>
          <w:color w:val="auto"/>
          <w:sz w:val="24"/>
        </w:rPr>
        <w:t>(G)</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项目名称：</w:t>
      </w:r>
      <w:r>
        <w:rPr>
          <w:rFonts w:hint="eastAsia" w:ascii="仿宋_GB2312" w:hAnsi="仿宋" w:eastAsia="仿宋_GB2312"/>
          <w:b/>
          <w:color w:val="auto"/>
          <w:sz w:val="24"/>
          <w:lang w:eastAsia="zh-CN"/>
        </w:rPr>
        <w:t>浙江师范大学附属嘉善实验学校亭桥小学图书采购</w:t>
      </w:r>
      <w:r>
        <w:rPr>
          <w:rFonts w:hint="eastAsia" w:ascii="仿宋_GB2312" w:hAnsi="仿宋" w:eastAsia="仿宋_GB2312"/>
          <w:b/>
          <w:color w:val="auto"/>
          <w:sz w:val="24"/>
        </w:rPr>
        <w:t>项目</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ascii="仿宋_GB2312" w:hAnsi="仿宋" w:eastAsia="仿宋_GB2312"/>
          <w:b/>
          <w:color w:val="auto"/>
          <w:sz w:val="24"/>
        </w:rPr>
        <w:t xml:space="preserve"> 预算金额（元）：</w:t>
      </w:r>
      <w:r>
        <w:rPr>
          <w:rFonts w:hint="eastAsia" w:ascii="仿宋_GB2312" w:hAnsi="仿宋" w:eastAsia="仿宋_GB2312"/>
          <w:b/>
          <w:color w:val="auto"/>
          <w:sz w:val="24"/>
          <w:lang w:val="en-US" w:eastAsia="zh-CN"/>
        </w:rPr>
        <w:t>800000</w:t>
      </w:r>
      <w:r>
        <w:rPr>
          <w:rFonts w:ascii="仿宋_GB2312" w:hAnsi="仿宋" w:eastAsia="仿宋_GB2312"/>
          <w:color w:val="auto"/>
          <w:sz w:val="24"/>
        </w:rPr>
        <w:t xml:space="preserve"> </w:t>
      </w:r>
      <w:r>
        <w:rPr>
          <w:rFonts w:hint="eastAsia" w:ascii="仿宋_GB2312" w:hAnsi="仿宋" w:eastAsia="仿宋_GB2312"/>
          <w:color w:val="auto"/>
          <w:sz w:val="24"/>
        </w:rPr>
        <w:t xml:space="preserve"> </w:t>
      </w:r>
    </w:p>
    <w:p>
      <w:pPr>
        <w:tabs>
          <w:tab w:val="left" w:pos="6049"/>
        </w:tabs>
        <w:spacing w:line="360" w:lineRule="auto"/>
        <w:ind w:firstLine="480"/>
        <w:rPr>
          <w:rFonts w:hint="eastAsia" w:ascii="仿宋_GB2312" w:hAnsi="仿宋" w:eastAsia="仿宋_GB2312"/>
          <w:color w:val="auto"/>
          <w:sz w:val="24"/>
          <w:lang w:eastAsia="zh-CN"/>
        </w:rPr>
      </w:pPr>
      <w:r>
        <w:rPr>
          <w:rFonts w:hint="eastAsia" w:ascii="仿宋_GB2312" w:hAnsi="仿宋" w:eastAsia="仿宋_GB2312"/>
          <w:b/>
          <w:color w:val="auto"/>
          <w:sz w:val="24"/>
        </w:rPr>
        <w:t>最高限价（元）：</w:t>
      </w:r>
      <w:r>
        <w:rPr>
          <w:rFonts w:ascii="仿宋_GB2312" w:hAnsi="仿宋" w:eastAsia="仿宋_GB2312"/>
          <w:color w:val="auto"/>
          <w:sz w:val="24"/>
        </w:rPr>
        <w:t xml:space="preserve"> </w:t>
      </w:r>
      <w:r>
        <w:rPr>
          <w:rFonts w:hint="eastAsia" w:ascii="仿宋_GB2312" w:hAnsi="仿宋" w:eastAsia="仿宋_GB2312"/>
          <w:color w:val="auto"/>
          <w:sz w:val="24"/>
        </w:rPr>
        <w:t xml:space="preserve">无 </w:t>
      </w:r>
      <w:r>
        <w:rPr>
          <w:rFonts w:hint="eastAsia" w:ascii="仿宋_GB2312" w:hAnsi="仿宋" w:eastAsia="仿宋_GB2312"/>
          <w:color w:val="auto"/>
          <w:sz w:val="24"/>
          <w:lang w:eastAsia="zh-CN"/>
        </w:rPr>
        <w:tab/>
      </w:r>
    </w:p>
    <w:p>
      <w:pPr>
        <w:pStyle w:val="5"/>
        <w:keepNext w:val="0"/>
        <w:keepLines w:val="0"/>
        <w:pageBreakBefore w:val="0"/>
        <w:kinsoku/>
        <w:wordWrap/>
        <w:overflowPunct/>
        <w:topLinePunct w:val="0"/>
        <w:autoSpaceDE/>
        <w:autoSpaceDN/>
        <w:bidi w:val="0"/>
        <w:adjustRightInd w:val="0"/>
        <w:spacing w:line="360" w:lineRule="auto"/>
        <w:ind w:firstLine="480"/>
        <w:textAlignment w:val="auto"/>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lang w:eastAsia="zh-CN"/>
        </w:rPr>
        <w:t>浙江师范大学附属嘉善实验学校亭桥小学图书采购</w:t>
      </w:r>
      <w:r>
        <w:rPr>
          <w:rFonts w:hint="eastAsia" w:ascii="仿宋_GB2312" w:hAnsi="仿宋" w:eastAsia="仿宋_GB2312"/>
          <w:bCs/>
          <w:snapToGrid/>
          <w:color w:val="auto"/>
          <w:kern w:val="2"/>
          <w:sz w:val="24"/>
          <w:szCs w:val="24"/>
        </w:rPr>
        <w:t>项目）主要内容：</w:t>
      </w:r>
      <w:r>
        <w:rPr>
          <w:rFonts w:hint="eastAsia" w:ascii="仿宋_GB2312" w:hAnsi="仿宋" w:eastAsia="仿宋_GB2312"/>
          <w:bCs/>
          <w:snapToGrid/>
          <w:color w:val="auto"/>
          <w:kern w:val="2"/>
          <w:sz w:val="24"/>
          <w:szCs w:val="24"/>
          <w:lang w:eastAsia="zh-CN"/>
        </w:rPr>
        <w:t>图书</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详见招标文件第二章招标需求。</w:t>
      </w:r>
    </w:p>
    <w:p>
      <w:pPr>
        <w:pStyle w:val="129"/>
        <w:keepNext w:val="0"/>
        <w:keepLines w:val="0"/>
        <w:pageBreakBefore w:val="0"/>
        <w:kinsoku/>
        <w:wordWrap/>
        <w:overflowPunct/>
        <w:topLinePunct w:val="0"/>
        <w:autoSpaceDE/>
        <w:autoSpaceDN/>
        <w:bidi w:val="0"/>
        <w:adjustRightInd w:val="0"/>
        <w:spacing w:before="0"/>
        <w:ind w:firstLine="482"/>
        <w:textAlignment w:val="auto"/>
        <w:outlineLvl w:val="2"/>
        <w:rPr>
          <w:rFonts w:ascii="仿宋_GB2312" w:hAnsi="仿宋" w:eastAsia="仿宋_GB2312"/>
          <w:color w:val="auto"/>
        </w:rPr>
      </w:pPr>
      <w:r>
        <w:rPr>
          <w:rFonts w:hint="eastAsia" w:ascii="仿宋_GB2312" w:hAnsi="仿宋" w:eastAsia="仿宋_GB2312"/>
          <w:b/>
          <w:color w:val="auto"/>
        </w:rPr>
        <w:t>合同履约期限：签订合同后</w:t>
      </w:r>
      <w:r>
        <w:rPr>
          <w:rFonts w:hint="eastAsia" w:ascii="仿宋_GB2312" w:hAnsi="仿宋" w:eastAsia="仿宋_GB2312"/>
          <w:b/>
          <w:color w:val="auto"/>
          <w:lang w:val="en-US" w:eastAsia="zh-CN"/>
        </w:rPr>
        <w:t>3</w:t>
      </w:r>
      <w:r>
        <w:rPr>
          <w:rFonts w:hint="eastAsia" w:ascii="仿宋_GB2312" w:hAnsi="仿宋" w:eastAsia="仿宋_GB2312"/>
          <w:b/>
          <w:color w:val="auto"/>
        </w:rPr>
        <w:t>0天内完成图书配送、加工、编目、上架等全部工作，交付采购单位验收。</w:t>
      </w:r>
    </w:p>
    <w:p>
      <w:pPr>
        <w:pStyle w:val="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02470430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00FE"/>
          </w:r>
        </w:sdtContent>
      </w:sdt>
      <w:sdt>
        <w:sdtPr>
          <w:rPr>
            <w:rFonts w:hint="eastAsia" w:ascii="仿宋_GB2312" w:hAnsi="仿宋" w:eastAsia="仿宋_GB2312" w:cs="Arial"/>
            <w:color w:val="auto"/>
            <w:kern w:val="0"/>
            <w:sz w:val="24"/>
          </w:rPr>
          <w:id w:val="1928616923"/>
        </w:sdtPr>
        <w:sdtEndPr>
          <w:rPr>
            <w:rFonts w:hint="eastAsia" w:ascii="仿宋_GB2312" w:hAnsi="仿宋" w:eastAsia="仿宋_GB2312" w:cs="Arial"/>
            <w:color w:val="auto"/>
            <w:kern w:val="0"/>
            <w:sz w:val="24"/>
          </w:rPr>
        </w:sdtEndPr>
        <w:sdtContent/>
      </w:sdt>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02470430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00A8"/>
          </w:r>
        </w:sdtContent>
      </w:sdt>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00A8"/>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2141025358"/>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rPr>
      </w:pPr>
      <w:sdt>
        <w:sdtPr>
          <w:rPr>
            <w:rFonts w:hint="eastAsia" w:ascii="仿宋_GB2312" w:hAnsi="仿宋" w:eastAsia="仿宋_GB2312" w:cs="Arial"/>
            <w:color w:val="auto"/>
            <w:kern w:val="0"/>
            <w:sz w:val="24"/>
          </w:rPr>
          <w:id w:val="-1985607795"/>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sdt>
        <w:sdtPr>
          <w:rPr>
            <w:rFonts w:hint="eastAsia" w:ascii="仿宋_GB2312" w:hAnsi="仿宋" w:eastAsia="仿宋_GB2312" w:cs="Arial"/>
            <w:color w:val="auto"/>
            <w:kern w:val="0"/>
            <w:sz w:val="24"/>
          </w:rPr>
          <w:id w:val="34630645"/>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3.本项目的特定资格要求：无</w:t>
      </w:r>
      <w:r>
        <w:rPr>
          <w:rFonts w:ascii="仿宋_GB2312" w:hAnsi="仿宋" w:eastAsia="仿宋_GB2312" w:cs="仿宋_GB2312"/>
          <w:color w:val="auto"/>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lang w:eastAsia="zh-CN"/>
        </w:rPr>
        <w:t>2022年8月12日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_GB2312" w:hAnsi="仿宋" w:eastAsia="仿宋_GB2312"/>
          <w:color w:val="auto"/>
          <w:sz w:val="24"/>
          <w:u w:val="single"/>
          <w:lang w:eastAsia="zh-CN"/>
        </w:rPr>
        <w:t>2022年8月12日</w:t>
      </w:r>
      <w:r>
        <w:rPr>
          <w:rFonts w:hint="eastAsia" w:ascii="仿宋_GB2312" w:hAnsi="仿宋" w:eastAsia="仿宋_GB2312"/>
          <w:color w:val="auto"/>
          <w:sz w:val="24"/>
          <w:u w:val="single"/>
        </w:rPr>
        <w:t>9点30分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lang w:eastAsia="zh-CN"/>
        </w:rPr>
        <w:t>2022年8月12日</w:t>
      </w:r>
      <w:r>
        <w:rPr>
          <w:rFonts w:hint="eastAsia" w:ascii="仿宋_GB2312" w:hAnsi="仿宋" w:eastAsia="仿宋_GB2312"/>
          <w:color w:val="auto"/>
          <w:sz w:val="24"/>
          <w:u w:val="single"/>
        </w:rPr>
        <w:t>9点30分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4.其他事项：</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rPr>
        <w:t>【地址：</w:t>
      </w:r>
      <w:r>
        <w:rPr>
          <w:rFonts w:hint="eastAsia" w:ascii="仿宋_GB2312" w:hAnsi="仿宋" w:eastAsia="仿宋_GB2312"/>
          <w:color w:val="auto"/>
          <w:sz w:val="24"/>
        </w:rPr>
        <w:t>嘉善县魏塘街道环北西路261-263号嘉善县公共资源交易中心</w:t>
      </w:r>
      <w:r>
        <w:rPr>
          <w:rFonts w:hint="eastAsia" w:ascii="仿宋_GB2312" w:hAnsi="仿宋" w:eastAsia="仿宋_GB2312" w:cs="仿宋_GB2312"/>
          <w:color w:val="auto"/>
          <w:sz w:val="24"/>
        </w:rPr>
        <w:t>；收件人：陆俊余；电话：0573-84129502；快递寄出同时，项目被授权代表须以邮件方式将快递单号、项目名称、公司名称、被授权代表姓名及联系方式等内容（邮件格式为：项目编号+快递单号+公司名称+被授权代表姓名及联系方式）发送至集中采购机构联系人邮箱(330292078@qq.com)。如供应商选择快递费到付，集中采购机构将拒签。】</w:t>
      </w:r>
      <w:r>
        <w:rPr>
          <w:rFonts w:ascii="仿宋_GB2312" w:hAnsi="仿宋" w:eastAsia="仿宋_GB2312" w:cs="仿宋_GB2312"/>
          <w:color w:val="auto"/>
          <w:sz w:val="24"/>
        </w:rPr>
        <w:t>备份投标文件的制作、存储、密封详见招标文件第</w:t>
      </w:r>
      <w:r>
        <w:rPr>
          <w:rFonts w:hint="eastAsia" w:ascii="仿宋_GB2312" w:hAnsi="仿宋" w:eastAsia="仿宋_GB2312" w:cs="仿宋_GB2312"/>
          <w:color w:val="auto"/>
          <w:sz w:val="24"/>
        </w:rPr>
        <w:t>三章</w:t>
      </w:r>
      <w:r>
        <w:rPr>
          <w:rFonts w:ascii="仿宋_GB2312" w:hAnsi="仿宋" w:eastAsia="仿宋_GB2312" w:cs="仿宋_GB2312"/>
          <w:color w:val="auto"/>
          <w:sz w:val="24"/>
        </w:rPr>
        <w:t>—“备份投标文件”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七、对本次招标提出询问，请按以下方式联系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lang w:eastAsia="zh-CN"/>
        </w:rPr>
        <w:t>浙江师范大学附属嘉善实验学校亭桥小学</w:t>
      </w:r>
      <w:r>
        <w:rPr>
          <w:rFonts w:ascii="仿宋_GB2312" w:hAnsi="仿宋" w:eastAsia="仿宋_GB2312"/>
          <w:color w:val="auto"/>
          <w:sz w:val="24"/>
        </w:rPr>
        <w:t xml:space="preserve"> </w:t>
      </w:r>
    </w:p>
    <w:p>
      <w:pPr>
        <w:spacing w:line="360" w:lineRule="auto"/>
        <w:rPr>
          <w:rFonts w:ascii="仿宋_GB2312" w:hAnsi="仿宋" w:eastAsia="仿宋_GB2312"/>
          <w:sz w:val="24"/>
        </w:rPr>
      </w:pPr>
      <w:r>
        <w:rPr>
          <w:rFonts w:ascii="仿宋_GB2312" w:hAnsi="仿宋" w:eastAsia="仿宋_GB2312"/>
          <w:color w:val="auto"/>
          <w:sz w:val="24"/>
        </w:rPr>
        <w:t xml:space="preserve">    </w:t>
      </w:r>
      <w:r>
        <w:rPr>
          <w:rFonts w:ascii="仿宋_GB2312" w:hAnsi="仿宋" w:eastAsia="仿宋_GB2312"/>
          <w:sz w:val="24"/>
        </w:rPr>
        <w:t>地    址：</w:t>
      </w:r>
      <w:r>
        <w:rPr>
          <w:rFonts w:hint="eastAsia" w:ascii="仿宋_GB2312" w:hAnsi="仿宋" w:eastAsia="仿宋_GB2312"/>
          <w:sz w:val="24"/>
        </w:rPr>
        <w:t>嘉善县罗星街道士升路</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项目联系人（询问）：金剑杰</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15957338981</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lang w:eastAsia="zh-CN"/>
        </w:rPr>
        <w:t>夏红梅</w:t>
      </w:r>
      <w:r>
        <w:rPr>
          <w:rFonts w:hint="eastAsia" w:ascii="仿宋" w:hAnsi="仿宋" w:eastAsia="仿宋"/>
          <w:sz w:val="24"/>
        </w:rPr>
        <w:t xml:space="preserve"> </w:t>
      </w:r>
    </w:p>
    <w:p>
      <w:pPr>
        <w:spacing w:line="360" w:lineRule="auto"/>
        <w:ind w:firstLine="480"/>
        <w:rPr>
          <w:rFonts w:hint="eastAsia" w:ascii="仿宋_GB2312" w:hAnsi="仿宋" w:eastAsia="仿宋_GB2312"/>
          <w:color w:val="auto"/>
          <w:sz w:val="24"/>
        </w:rPr>
      </w:pPr>
      <w:r>
        <w:rPr>
          <w:rFonts w:ascii="仿宋_GB2312" w:hAnsi="仿宋" w:eastAsia="仿宋_GB2312"/>
          <w:sz w:val="24"/>
        </w:rPr>
        <w:t>质疑联系方式：</w:t>
      </w:r>
      <w:r>
        <w:rPr>
          <w:rFonts w:hint="eastAsia" w:ascii="仿宋_GB2312" w:hAnsi="仿宋" w:eastAsia="仿宋_GB2312"/>
          <w:sz w:val="24"/>
        </w:rPr>
        <w:t>15068308052</w:t>
      </w:r>
    </w:p>
    <w:p>
      <w:pPr>
        <w:spacing w:line="360" w:lineRule="auto"/>
        <w:ind w:firstLine="480"/>
        <w:rPr>
          <w:rFonts w:ascii="仿宋_GB2312" w:hAnsi="仿宋" w:eastAsia="仿宋_GB2312"/>
          <w:color w:val="auto"/>
          <w:sz w:val="24"/>
        </w:rPr>
      </w:pPr>
      <w:r>
        <w:rPr>
          <w:rFonts w:ascii="仿宋_GB2312" w:hAnsi="仿宋" w:eastAsia="仿宋_GB2312"/>
          <w:color w:val="auto"/>
          <w:sz w:val="24"/>
        </w:rPr>
        <w:t xml:space="preserve">2.采购代理机构信息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称：嘉善县公共资源交易中心</w:t>
      </w:r>
    </w:p>
    <w:p>
      <w:pPr>
        <w:spacing w:line="360" w:lineRule="auto"/>
        <w:ind w:firstLine="480"/>
        <w:rPr>
          <w:rFonts w:ascii="仿宋_GB2312" w:hAnsi="仿宋" w:eastAsia="仿宋"/>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址：嘉善县魏塘街道环北西路261-263号</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传    真：</w:t>
      </w:r>
      <w:r>
        <w:rPr>
          <w:rFonts w:hint="eastAsia" w:ascii="仿宋_GB2312" w:hAnsi="仿宋" w:eastAsia="仿宋_GB2312"/>
          <w:color w:val="auto"/>
          <w:sz w:val="24"/>
        </w:rPr>
        <w:t>0573-84129636</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_GB2312" w:hAnsi="仿宋" w:eastAsia="仿宋_GB2312"/>
          <w:color w:val="auto"/>
          <w:sz w:val="24"/>
        </w:rPr>
        <w:t>陆先生</w:t>
      </w:r>
      <w:r>
        <w:rPr>
          <w:rFonts w:hint="eastAsia" w:ascii="仿宋" w:hAnsi="仿宋" w:eastAsia="仿宋"/>
          <w:color w:val="auto"/>
          <w:sz w:val="24"/>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 xml:space="preserve">0573-84129502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rPr>
        <w:t>任女士</w:t>
      </w:r>
      <w:r>
        <w:rPr>
          <w:rFonts w:hint="eastAsia" w:ascii="仿宋" w:hAnsi="仿宋" w:eastAsia="仿宋"/>
          <w:color w:val="auto"/>
          <w:sz w:val="24"/>
        </w:rPr>
        <w:t xml:space="preserve"> </w:t>
      </w:r>
      <w:r>
        <w:rPr>
          <w:rFonts w:ascii="仿宋_GB2312" w:hAnsi="仿宋" w:eastAsia="仿宋_GB2312"/>
          <w:color w:val="auto"/>
          <w:sz w:val="24"/>
        </w:rPr>
        <w:t xml:space="preserve">            </w:t>
      </w:r>
    </w:p>
    <w:p>
      <w:pPr>
        <w:spacing w:line="360" w:lineRule="auto"/>
        <w:rPr>
          <w:rFonts w:ascii="仿宋" w:hAnsi="仿宋" w:eastAsia="仿宋"/>
          <w:color w:val="auto"/>
          <w:sz w:val="24"/>
        </w:rPr>
      </w:pPr>
      <w:r>
        <w:rPr>
          <w:rFonts w:ascii="仿宋_GB2312" w:hAnsi="仿宋" w:eastAsia="仿宋_GB2312"/>
          <w:color w:val="auto"/>
          <w:sz w:val="24"/>
        </w:rPr>
        <w:t xml:space="preserve">    质疑联系方式：</w:t>
      </w:r>
      <w:r>
        <w:rPr>
          <w:rFonts w:hint="eastAsia" w:ascii="仿宋_GB2312" w:hAnsi="仿宋" w:eastAsia="仿宋_GB2312"/>
          <w:color w:val="auto"/>
          <w:sz w:val="24"/>
        </w:rPr>
        <w:t>0573-84601761</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rPr>
        <w:t>嘉善县财政局</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地    址：</w:t>
      </w:r>
      <w:r>
        <w:rPr>
          <w:rFonts w:hint="eastAsia" w:ascii="仿宋_GB2312" w:hAnsi="仿宋" w:eastAsia="仿宋_GB2312"/>
          <w:color w:val="auto"/>
          <w:sz w:val="24"/>
        </w:rPr>
        <w:t xml:space="preserve">嘉善县解放东路318号 </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  传    真：</w:t>
      </w:r>
      <w:r>
        <w:rPr>
          <w:rFonts w:hint="eastAsia" w:ascii="仿宋_GB2312" w:hAnsi="仿宋" w:eastAsia="仿宋_GB2312"/>
          <w:color w:val="auto"/>
          <w:sz w:val="24"/>
        </w:rPr>
        <w:t xml:space="preserve">0573-84122528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联系人 ：</w:t>
      </w:r>
      <w:r>
        <w:rPr>
          <w:rFonts w:hint="eastAsia" w:ascii="仿宋_GB2312" w:hAnsi="仿宋" w:eastAsia="仿宋_GB2312"/>
          <w:color w:val="auto"/>
          <w:sz w:val="24"/>
        </w:rPr>
        <w:t xml:space="preserve">刘先生 </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监督投诉电话：</w:t>
      </w:r>
      <w:r>
        <w:rPr>
          <w:rFonts w:hint="eastAsia" w:ascii="仿宋_GB2312" w:hAnsi="仿宋" w:eastAsia="仿宋_GB2312"/>
          <w:color w:val="auto"/>
          <w:sz w:val="24"/>
        </w:rPr>
        <w:t xml:space="preserve">0573-84122310 </w:t>
      </w: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sz w:val="24"/>
        </w:rPr>
        <w:t>注：本采购项目，中标单位与采购人签订的政府采购合同适用于嘉兴市政府采购贷款政策，简称“政采贷”，具体内容可参阅政府采购贷款流程：http://hn.jxzbtb.cn/zxfw/005012/20181016/7e541bf4-ad29-4286-ace8-d12c1b2c54fc.html</w:t>
      </w:r>
      <w:r>
        <w:rPr>
          <w:rFonts w:hint="eastAsia" w:ascii="仿宋_GB2312" w:hAnsi="仿宋" w:eastAsia="仿宋_GB2312"/>
          <w:sz w:val="24"/>
          <w:lang w:eastAsia="zh-CN"/>
        </w:rPr>
        <w:t>。</w:t>
      </w: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r>
        <w:rPr>
          <w:rFonts w:ascii="仿宋_GB2312" w:hAnsi="仿宋" w:eastAsia="仿宋_GB2312"/>
          <w:color w:val="auto"/>
          <w:sz w:val="24"/>
        </w:rPr>
        <w:t>。</w:t>
      </w:r>
    </w:p>
    <w:p>
      <w:pPr>
        <w:tabs>
          <w:tab w:val="right" w:pos="8590"/>
        </w:tabs>
        <w:spacing w:line="360" w:lineRule="auto"/>
        <w:ind w:firstLine="480" w:firstLineChars="200"/>
        <w:rPr>
          <w:rFonts w:ascii="仿宋" w:hAnsi="仿宋" w:eastAsia="仿宋" w:cs="仿宋_GB2312"/>
          <w:b/>
          <w:color w:val="auto"/>
          <w:sz w:val="36"/>
          <w:szCs w:val="20"/>
        </w:rPr>
        <w:sectPr>
          <w:footerReference r:id="rId6" w:type="first"/>
          <w:headerReference r:id="rId3" w:type="default"/>
          <w:footerReference r:id="rId4"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r>
        <w:rPr>
          <w:rFonts w:hint="eastAsia" w:ascii="仿宋_GB2312" w:hAnsi="仿宋" w:eastAsia="仿宋_GB2312"/>
          <w:color w:val="auto"/>
          <w:sz w:val="24"/>
          <w:lang w:eastAsia="zh-CN"/>
        </w:rPr>
        <w:tab/>
      </w:r>
      <w:r>
        <w:rPr>
          <w:rFonts w:ascii="仿宋" w:hAnsi="仿宋" w:eastAsia="仿宋" w:cs="仿宋_GB2312"/>
          <w:color w:val="auto"/>
          <w:sz w:val="24"/>
        </w:rPr>
        <w:t xml:space="preserve">                          </w:t>
      </w:r>
    </w:p>
    <w:p>
      <w:pPr>
        <w:numPr>
          <w:ilvl w:val="0"/>
          <w:numId w:val="1"/>
        </w:numPr>
        <w:adjustRightInd/>
        <w:spacing w:line="360" w:lineRule="auto"/>
        <w:jc w:val="center"/>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招标需求</w:t>
      </w:r>
    </w:p>
    <w:p>
      <w:pPr>
        <w:spacing w:line="360" w:lineRule="auto"/>
        <w:ind w:right="-512"/>
        <w:rPr>
          <w:rFonts w:ascii="宋体" w:hAnsi="宋体" w:cs="宋体"/>
          <w:sz w:val="24"/>
        </w:rPr>
      </w:pPr>
      <w:r>
        <w:rPr>
          <w:rFonts w:hint="eastAsia" w:ascii="宋体" w:hAnsi="宋体" w:cs="宋体"/>
          <w:sz w:val="24"/>
        </w:rPr>
        <w:t>一、项目总体需求：本次共采购41860册图书</w:t>
      </w:r>
      <w:r>
        <w:rPr>
          <w:rFonts w:hint="eastAsia" w:ascii="宋体" w:hAnsi="宋体" w:cs="宋体"/>
          <w:bCs/>
          <w:sz w:val="24"/>
        </w:rPr>
        <w:t>（具体清单详见附件）</w:t>
      </w:r>
      <w:r>
        <w:rPr>
          <w:rFonts w:hint="eastAsia" w:ascii="宋体" w:hAnsi="宋体" w:cs="宋体"/>
          <w:sz w:val="24"/>
        </w:rPr>
        <w:t>，并完成所有图书配送、加工、编目、上架等全部工作。</w:t>
      </w:r>
    </w:p>
    <w:p>
      <w:pPr>
        <w:spacing w:line="360" w:lineRule="auto"/>
        <w:rPr>
          <w:rFonts w:ascii="宋体" w:hAnsi="宋体" w:cs="宋体"/>
          <w:sz w:val="24"/>
        </w:rPr>
      </w:pPr>
      <w:r>
        <w:rPr>
          <w:rFonts w:hint="eastAsia" w:ascii="宋体" w:hAnsi="宋体" w:cs="宋体"/>
          <w:sz w:val="24"/>
        </w:rPr>
        <w:t>二、采购项目参数要求</w:t>
      </w:r>
    </w:p>
    <w:p>
      <w:pPr>
        <w:spacing w:line="360" w:lineRule="auto"/>
        <w:ind w:firstLine="480" w:firstLineChars="200"/>
        <w:rPr>
          <w:rFonts w:ascii="宋体" w:hAnsi="宋体" w:cs="宋体"/>
          <w:bCs/>
          <w:sz w:val="24"/>
        </w:rPr>
      </w:pPr>
      <w:r>
        <w:rPr>
          <w:rFonts w:hint="eastAsia" w:ascii="宋体" w:hAnsi="宋体" w:cs="宋体"/>
          <w:bCs/>
          <w:sz w:val="24"/>
        </w:rPr>
        <w:t>（一）投标人必须严格按清单配货，不得供应清单以外的图书，采购方有权对图书清单进行部分调整或到投标人提供现采基地进行选品采购，投标人如有缺货品种需提出更换的，必须经采购单位同意，由投标人提供现采基地，采购单位安排专人，现场进行选品采购，更换品种不得超过目录20%。</w:t>
      </w:r>
    </w:p>
    <w:p>
      <w:pPr>
        <w:spacing w:line="360" w:lineRule="auto"/>
        <w:ind w:firstLine="480" w:firstLineChars="200"/>
        <w:rPr>
          <w:rFonts w:ascii="宋体" w:hAnsi="宋体" w:cs="宋体"/>
          <w:bCs/>
          <w:sz w:val="24"/>
        </w:rPr>
      </w:pPr>
      <w:r>
        <w:rPr>
          <w:rFonts w:hint="eastAsia" w:ascii="宋体" w:hAnsi="宋体" w:cs="宋体"/>
          <w:bCs/>
          <w:sz w:val="24"/>
        </w:rPr>
        <w:t>（二）具体要求</w:t>
      </w:r>
    </w:p>
    <w:p>
      <w:pPr>
        <w:spacing w:line="360" w:lineRule="auto"/>
        <w:ind w:firstLine="480"/>
        <w:rPr>
          <w:rFonts w:ascii="宋体" w:hAnsi="宋体" w:cs="宋体"/>
          <w:sz w:val="24"/>
        </w:rPr>
      </w:pPr>
      <w:r>
        <w:rPr>
          <w:rFonts w:hint="eastAsia" w:ascii="宋体" w:hAnsi="宋体" w:cs="宋体"/>
          <w:sz w:val="24"/>
        </w:rPr>
        <w:t>1、本次采购图书采取采购单位提供书目订单和部分调整、缺货品种现场采购的预定方式，中标人需严格按清单书目和预定数量配货，并提供现场采购基地。</w:t>
      </w:r>
    </w:p>
    <w:p>
      <w:pPr>
        <w:spacing w:line="360" w:lineRule="auto"/>
        <w:ind w:firstLine="480"/>
        <w:rPr>
          <w:rFonts w:ascii="宋体" w:hAnsi="宋体" w:cs="宋体"/>
          <w:sz w:val="24"/>
        </w:rPr>
      </w:pPr>
      <w:r>
        <w:rPr>
          <w:rFonts w:hint="eastAsia" w:ascii="宋体" w:hAnsi="宋体" w:cs="宋体"/>
          <w:sz w:val="24"/>
        </w:rPr>
        <w:t>2、投标人必须保证所供图书全部为正版书，假一赔十，并承担由此造成的一切后果。</w:t>
      </w:r>
    </w:p>
    <w:p>
      <w:pPr>
        <w:spacing w:line="360" w:lineRule="auto"/>
        <w:ind w:firstLine="480"/>
        <w:rPr>
          <w:rFonts w:ascii="宋体" w:hAnsi="宋体" w:cs="宋体"/>
          <w:sz w:val="24"/>
        </w:rPr>
      </w:pPr>
      <w:r>
        <w:rPr>
          <w:rFonts w:hint="eastAsia" w:ascii="宋体" w:hAnsi="宋体" w:cs="宋体"/>
          <w:sz w:val="24"/>
        </w:rPr>
        <w:t xml:space="preserve">3、对有印刷、装订等质量问题和多订、重订的图书进行免费调换或退货。 </w:t>
      </w:r>
    </w:p>
    <w:p>
      <w:pPr>
        <w:spacing w:line="360" w:lineRule="auto"/>
        <w:ind w:firstLine="480"/>
        <w:rPr>
          <w:rFonts w:ascii="宋体" w:hAnsi="宋体" w:cs="宋体"/>
          <w:sz w:val="24"/>
        </w:rPr>
      </w:pPr>
      <w:r>
        <w:rPr>
          <w:rFonts w:hint="eastAsia" w:ascii="宋体" w:hAnsi="宋体" w:cs="宋体"/>
          <w:sz w:val="24"/>
        </w:rPr>
        <w:t>4、所供图书中如果有多卷册书，应按分册数量计算品种数。多卷册书必须配齐所有卷册才能发货，否则一律退货。</w:t>
      </w:r>
    </w:p>
    <w:p>
      <w:pPr>
        <w:spacing w:line="360" w:lineRule="auto"/>
        <w:ind w:firstLine="480"/>
        <w:rPr>
          <w:rFonts w:ascii="宋体" w:hAnsi="宋体" w:cs="宋体"/>
          <w:sz w:val="24"/>
        </w:rPr>
      </w:pPr>
      <w:r>
        <w:rPr>
          <w:rFonts w:hint="eastAsia" w:ascii="宋体" w:hAnsi="宋体" w:cs="宋体"/>
          <w:sz w:val="24"/>
        </w:rPr>
        <w:t>5、到货验收后，如有缺页、错装、污损和磁盘损坏等情况，投标人应无条件于七个工作日内调换。</w:t>
      </w:r>
    </w:p>
    <w:p>
      <w:pPr>
        <w:spacing w:line="360" w:lineRule="auto"/>
        <w:ind w:firstLine="480"/>
        <w:rPr>
          <w:rFonts w:ascii="宋体" w:hAnsi="宋体" w:cs="宋体"/>
          <w:sz w:val="24"/>
        </w:rPr>
      </w:pPr>
      <w:r>
        <w:rPr>
          <w:rFonts w:hint="eastAsia" w:ascii="宋体" w:hAnsi="宋体" w:cs="宋体"/>
          <w:sz w:val="24"/>
        </w:rPr>
        <w:t>6、杜绝盗版书。一经发现出现盗版书及于订单不符的资料即认定投标人先行毁约，采购单位可终止合同，没收保证金。</w:t>
      </w:r>
    </w:p>
    <w:p>
      <w:pPr>
        <w:spacing w:line="360" w:lineRule="auto"/>
        <w:ind w:firstLine="480"/>
        <w:rPr>
          <w:rFonts w:ascii="宋体" w:hAnsi="宋体" w:cs="宋体"/>
          <w:sz w:val="24"/>
        </w:rPr>
      </w:pPr>
      <w:r>
        <w:rPr>
          <w:rFonts w:hint="eastAsia" w:ascii="宋体" w:hAnsi="宋体" w:cs="宋体"/>
          <w:sz w:val="24"/>
        </w:rPr>
        <w:t>7、凡采购单位提出特别要求，需优先购买最近正式出版的图书，到货率应达到100% 。</w:t>
      </w:r>
    </w:p>
    <w:p>
      <w:pPr>
        <w:pStyle w:val="61"/>
        <w:ind w:left="0" w:leftChars="0" w:firstLine="480"/>
        <w:rPr>
          <w:rFonts w:cs="宋体"/>
          <w:sz w:val="24"/>
        </w:rPr>
      </w:pPr>
      <w:r>
        <w:rPr>
          <w:rFonts w:hint="eastAsia" w:cs="宋体"/>
          <w:sz w:val="24"/>
        </w:rPr>
        <w:t>8、中标的图书供应商在图书质保期内每年须向采购方提供二次“名师入校讲座”活动。</w:t>
      </w:r>
    </w:p>
    <w:p>
      <w:pPr>
        <w:spacing w:line="360" w:lineRule="auto"/>
        <w:ind w:firstLine="480"/>
        <w:rPr>
          <w:rFonts w:ascii="宋体" w:hAnsi="宋体" w:cs="宋体"/>
          <w:bCs/>
          <w:sz w:val="24"/>
        </w:rPr>
      </w:pPr>
      <w:r>
        <w:rPr>
          <w:rFonts w:hint="eastAsia" w:ascii="宋体" w:hAnsi="宋体" w:cs="宋体"/>
          <w:bCs/>
          <w:sz w:val="24"/>
        </w:rPr>
        <w:t xml:space="preserve">（三）加工项目及有关注意事项 </w:t>
      </w:r>
    </w:p>
    <w:p>
      <w:pPr>
        <w:spacing w:line="360" w:lineRule="auto"/>
        <w:ind w:firstLine="480"/>
        <w:rPr>
          <w:rFonts w:ascii="宋体" w:hAnsi="宋体" w:cs="宋体"/>
          <w:sz w:val="24"/>
        </w:rPr>
      </w:pPr>
      <w:r>
        <w:rPr>
          <w:rFonts w:hint="eastAsia" w:ascii="宋体" w:hAnsi="宋体" w:cs="宋体"/>
          <w:sz w:val="24"/>
        </w:rPr>
        <w:t>为满足数字图书馆和自助借还系统的要求，本批采购图书应用无线射频识别技术进行加工，即采取在图书上粘贴RFID标签的形式进行数据写入及分类处理。RFID标签是一种带有天线、存储器与控制系统的无源低电集成电路产品，可在其中的存储晶片中多次写入并读取图书及电子媒体的基本资料，用于图书和多媒体光盘资料的标签辨识。</w:t>
      </w:r>
    </w:p>
    <w:p>
      <w:pPr>
        <w:spacing w:line="360" w:lineRule="auto"/>
        <w:ind w:firstLine="480"/>
        <w:rPr>
          <w:rFonts w:ascii="宋体" w:hAnsi="宋体" w:cs="宋体"/>
          <w:sz w:val="24"/>
        </w:rPr>
      </w:pPr>
      <w:r>
        <w:rPr>
          <w:rFonts w:hint="eastAsia" w:ascii="宋体" w:hAnsi="宋体" w:cs="宋体"/>
          <w:sz w:val="24"/>
        </w:rPr>
        <w:t>1、本批采购的每本图书需在固定位置(如封底内侧)粘贴专用RFID标签。（RFID标签由采购单位提供，投标人按要求负责粘贴加工。）</w:t>
      </w:r>
    </w:p>
    <w:p>
      <w:pPr>
        <w:spacing w:line="360" w:lineRule="auto"/>
        <w:ind w:firstLine="480"/>
        <w:rPr>
          <w:rFonts w:ascii="宋体" w:hAnsi="宋体" w:cs="宋体"/>
          <w:sz w:val="24"/>
        </w:rPr>
      </w:pPr>
      <w:r>
        <w:rPr>
          <w:rFonts w:hint="eastAsia" w:ascii="宋体" w:hAnsi="宋体" w:cs="宋体"/>
          <w:sz w:val="24"/>
        </w:rPr>
        <w:t>2、投标人须将采购的每本图书相关信息、数据准确写入RFID标签，录入学校图书馆业务管理系统，满足图书自助借还功能要求。</w:t>
      </w:r>
    </w:p>
    <w:p>
      <w:pPr>
        <w:spacing w:line="360" w:lineRule="auto"/>
        <w:ind w:firstLine="480"/>
        <w:rPr>
          <w:rFonts w:ascii="宋体" w:hAnsi="宋体" w:cs="宋体"/>
          <w:sz w:val="24"/>
        </w:rPr>
      </w:pPr>
      <w:r>
        <w:rPr>
          <w:rFonts w:hint="eastAsia" w:ascii="宋体" w:hAnsi="宋体" w:cs="宋体"/>
          <w:sz w:val="24"/>
        </w:rPr>
        <w:t>3、投标人须在每本书书名页中下位置（如果有文字或图像时，可适当调整位置，不要压盖文字和图像）粘贴1张条形码（条形码由投标人提供，样式报采购单位认可），并负责对条形码进行识别转换后，将条码号写入本书RFID标签。</w:t>
      </w:r>
    </w:p>
    <w:p>
      <w:pPr>
        <w:spacing w:line="360" w:lineRule="auto"/>
        <w:ind w:firstLine="480"/>
        <w:rPr>
          <w:rFonts w:ascii="宋体" w:hAnsi="宋体" w:cs="宋体"/>
          <w:sz w:val="24"/>
        </w:rPr>
      </w:pPr>
      <w:r>
        <w:rPr>
          <w:rFonts w:hint="eastAsia" w:ascii="宋体" w:hAnsi="宋体" w:cs="宋体"/>
          <w:sz w:val="24"/>
        </w:rPr>
        <w:t>4投标人须在每册书上书名页（上端中间空白处）盖1个学校图书馆藏书章，在每册书上骑缝（上端中间处）盖1个学校藏书章（藏书章由采购单位提供，投标人负责加盖）。每册书倒数第2页（上端中间空白处）盖1个学校图书馆藏书章。</w:t>
      </w:r>
    </w:p>
    <w:p>
      <w:pPr>
        <w:spacing w:line="360" w:lineRule="auto"/>
        <w:ind w:firstLine="480"/>
        <w:rPr>
          <w:rFonts w:ascii="宋体" w:hAnsi="宋体" w:cs="宋体"/>
          <w:sz w:val="24"/>
        </w:rPr>
      </w:pPr>
      <w:r>
        <w:rPr>
          <w:rFonts w:hint="eastAsia" w:ascii="宋体" w:hAnsi="宋体" w:cs="宋体"/>
          <w:sz w:val="24"/>
        </w:rPr>
        <w:t>5、打登录号：1本书打2个。在书名页和最后一页（封底不算）右上角空白位置各印1个登录号。每册书的登录号必须与条码号一致。</w:t>
      </w:r>
    </w:p>
    <w:p>
      <w:pPr>
        <w:spacing w:line="360" w:lineRule="auto"/>
        <w:ind w:firstLine="480"/>
        <w:rPr>
          <w:rFonts w:ascii="宋体" w:hAnsi="宋体" w:cs="宋体"/>
          <w:sz w:val="24"/>
        </w:rPr>
      </w:pPr>
      <w:r>
        <w:rPr>
          <w:rFonts w:hint="eastAsia" w:ascii="宋体" w:hAnsi="宋体" w:cs="宋体"/>
          <w:sz w:val="24"/>
        </w:rPr>
        <w:t>6、分类：确定索书号，并将索书号写在书名页右上角。</w:t>
      </w:r>
    </w:p>
    <w:p>
      <w:pPr>
        <w:spacing w:line="360" w:lineRule="auto"/>
        <w:ind w:firstLine="480"/>
        <w:rPr>
          <w:rFonts w:ascii="宋体" w:hAnsi="宋体" w:cs="宋体"/>
          <w:sz w:val="24"/>
        </w:rPr>
      </w:pPr>
      <w:r>
        <w:rPr>
          <w:rFonts w:hint="eastAsia" w:ascii="宋体" w:hAnsi="宋体" w:cs="宋体"/>
          <w:sz w:val="24"/>
        </w:rPr>
        <w:t>7、打印、粘贴书标并覆膜：书标由投标人提供，贴在书脊处，书标底端距书脊底面3cm处，一律竖贴，自上而下阅读；粘贴时注意不要将折角横截于数字或字母中间，影响识别效果；凡会影响到书脊的卷册数时，书标可横贴或下移，同时应保证书标的质量，如果出现脱落应及时补上；书标覆膜，透明、粘性好，附在书标上层。</w:t>
      </w:r>
    </w:p>
    <w:p>
      <w:pPr>
        <w:spacing w:line="360" w:lineRule="auto"/>
        <w:ind w:firstLine="480"/>
        <w:rPr>
          <w:rFonts w:ascii="宋体" w:hAnsi="宋体" w:cs="宋体"/>
          <w:sz w:val="24"/>
        </w:rPr>
      </w:pPr>
      <w:r>
        <w:rPr>
          <w:rFonts w:hint="eastAsia" w:ascii="宋体" w:hAnsi="宋体" w:cs="宋体"/>
          <w:sz w:val="24"/>
        </w:rPr>
        <w:t>8、MARC编目：必须严格按照嘉善县图书馆要求操作。要求随书提供CALIS格式编目MARC数据，数据配送率必须达100%。</w:t>
      </w:r>
    </w:p>
    <w:p>
      <w:pPr>
        <w:spacing w:line="360" w:lineRule="auto"/>
        <w:ind w:firstLine="480"/>
        <w:rPr>
          <w:rFonts w:ascii="宋体" w:hAnsi="宋体" w:cs="宋体"/>
          <w:sz w:val="24"/>
        </w:rPr>
      </w:pPr>
      <w:r>
        <w:rPr>
          <w:rFonts w:hint="eastAsia" w:ascii="宋体" w:hAnsi="宋体" w:cs="宋体"/>
          <w:sz w:val="24"/>
        </w:rPr>
        <w:t>9、扫条形码：将每册书上的条形码扫入嘉善县亭桥小学图书管理系统中。</w:t>
      </w:r>
    </w:p>
    <w:p>
      <w:pPr>
        <w:spacing w:line="360" w:lineRule="auto"/>
        <w:ind w:firstLine="480"/>
        <w:rPr>
          <w:rFonts w:ascii="宋体" w:hAnsi="宋体" w:cs="宋体"/>
          <w:sz w:val="24"/>
        </w:rPr>
      </w:pPr>
      <w:r>
        <w:rPr>
          <w:rFonts w:hint="eastAsia" w:ascii="宋体" w:hAnsi="宋体" w:cs="宋体"/>
          <w:sz w:val="24"/>
        </w:rPr>
        <w:t>10、加工随书附盘。</w:t>
      </w:r>
    </w:p>
    <w:p>
      <w:pPr>
        <w:spacing w:line="360" w:lineRule="auto"/>
        <w:ind w:firstLine="480"/>
        <w:rPr>
          <w:rFonts w:ascii="宋体" w:hAnsi="宋体" w:cs="宋体"/>
          <w:sz w:val="24"/>
        </w:rPr>
      </w:pPr>
      <w:r>
        <w:rPr>
          <w:rFonts w:hint="eastAsia" w:ascii="宋体" w:hAnsi="宋体" w:cs="宋体"/>
          <w:sz w:val="24"/>
        </w:rPr>
        <w:t>11、注意事项：</w:t>
      </w:r>
    </w:p>
    <w:p>
      <w:pPr>
        <w:spacing w:line="360" w:lineRule="auto"/>
        <w:ind w:firstLine="480" w:firstLineChars="200"/>
        <w:rPr>
          <w:rFonts w:ascii="宋体" w:hAnsi="宋体" w:cs="宋体"/>
          <w:sz w:val="24"/>
        </w:rPr>
      </w:pPr>
      <w:r>
        <w:rPr>
          <w:rFonts w:hint="eastAsia" w:ascii="宋体" w:hAnsi="宋体" w:cs="宋体"/>
          <w:sz w:val="24"/>
        </w:rPr>
        <w:t>（1）图书加工期内需配备常驻学校加工服务人员不少于6人，因当前疫情发生频次明显增加，本土病例多点并发，疫情情况比较复杂，要求入住学校编码加工、上架排架及后期服务人员需持有48小时内核酸阴性证明。</w:t>
      </w:r>
    </w:p>
    <w:p>
      <w:pPr>
        <w:spacing w:line="360" w:lineRule="auto"/>
        <w:ind w:firstLine="480" w:firstLineChars="200"/>
        <w:rPr>
          <w:rFonts w:ascii="宋体" w:hAnsi="宋体" w:cs="宋体"/>
          <w:sz w:val="24"/>
        </w:rPr>
      </w:pPr>
      <w:r>
        <w:rPr>
          <w:rFonts w:hint="eastAsia" w:ascii="宋体" w:hAnsi="宋体" w:cs="宋体"/>
          <w:sz w:val="24"/>
        </w:rPr>
        <w:t>（2）必须严格按照图书加工规范化要求加工图书，凡有任何一项不符合要求，投标人必须重新加工，返工所发生的交通、食宿费用自理。</w:t>
      </w:r>
    </w:p>
    <w:p>
      <w:pPr>
        <w:pStyle w:val="61"/>
        <w:ind w:left="0" w:leftChars="0" w:firstLine="480"/>
        <w:rPr>
          <w:rFonts w:cs="宋体"/>
          <w:sz w:val="24"/>
        </w:rPr>
      </w:pPr>
      <w:r>
        <w:rPr>
          <w:rFonts w:hint="eastAsia" w:cs="宋体"/>
          <w:sz w:val="24"/>
        </w:rPr>
        <w:t>（3）为保证加工质量，图书供应商派出的加工人员要求队伍稳定，负责分编等数据加工处理人员固定，工作人员应遵守学校的规章制度，在图书馆工作期间发生的人身、财产、安全等责任事故由图书供应商承担。</w:t>
      </w:r>
    </w:p>
    <w:p>
      <w:pPr>
        <w:spacing w:line="360" w:lineRule="auto"/>
        <w:ind w:firstLine="480" w:firstLineChars="200"/>
        <w:rPr>
          <w:rFonts w:ascii="宋体" w:hAnsi="宋体" w:cs="宋体"/>
          <w:sz w:val="24"/>
        </w:rPr>
      </w:pPr>
      <w:r>
        <w:rPr>
          <w:rFonts w:hint="eastAsia" w:ascii="宋体" w:hAnsi="宋体" w:cs="宋体"/>
          <w:sz w:val="24"/>
        </w:rPr>
        <w:t>（4）每批书加工好后，须先将该批书的MARC数据以CALIS格式发给采购人，再送书。配发的编目MARC数据出现数量上的遗漏时，必须及时补发。同时应保证MARC数据的差错率、发书差错率低于4‰。</w:t>
      </w:r>
    </w:p>
    <w:p>
      <w:pPr>
        <w:spacing w:line="360" w:lineRule="auto"/>
        <w:ind w:firstLine="480" w:firstLineChars="200"/>
        <w:rPr>
          <w:rFonts w:ascii="宋体" w:hAnsi="宋体" w:cs="宋体"/>
          <w:sz w:val="24"/>
        </w:rPr>
      </w:pPr>
      <w:r>
        <w:rPr>
          <w:rFonts w:hint="eastAsia" w:ascii="宋体" w:hAnsi="宋体" w:cs="宋体"/>
          <w:sz w:val="24"/>
        </w:rPr>
        <w:t>（5）采购单位发现本批图书缺页、错页、污损，无论加工与否，投标人均须无条件调换。</w:t>
      </w:r>
    </w:p>
    <w:p>
      <w:pPr>
        <w:spacing w:line="360" w:lineRule="auto"/>
        <w:ind w:firstLine="480" w:firstLineChars="200"/>
        <w:rPr>
          <w:rFonts w:ascii="宋体" w:hAnsi="宋体" w:cs="宋体"/>
          <w:sz w:val="24"/>
        </w:rPr>
      </w:pPr>
      <w:r>
        <w:rPr>
          <w:rFonts w:hint="eastAsia" w:ascii="宋体" w:hAnsi="宋体" w:cs="宋体"/>
          <w:sz w:val="24"/>
        </w:rPr>
        <w:t>（6）送书要求：</w:t>
      </w:r>
    </w:p>
    <w:p>
      <w:pPr>
        <w:spacing w:line="360" w:lineRule="auto"/>
        <w:ind w:firstLine="480"/>
        <w:rPr>
          <w:rFonts w:ascii="宋体" w:hAnsi="宋体" w:cs="宋体"/>
          <w:sz w:val="24"/>
        </w:rPr>
      </w:pPr>
      <w:r>
        <w:rPr>
          <w:rFonts w:hint="eastAsia" w:ascii="宋体" w:hAnsi="宋体" w:cs="宋体"/>
          <w:sz w:val="24"/>
        </w:rPr>
        <w:t>每批书要求同种书必须在同一包，提供一份电子版（EXCEL）的图书清单（包括总清单、分清单），每批书的起止登录号，除了有一份纸质总清单（清单中需写明该批书的起止登录号）外，每包书里必须附上该包书的包清单，一式三份。同时应保证到书清单的清晰、明了、有序，便于验收、查对，送书时间必须与采购方事先联系，并按约定时间准时送到，不得有误。</w:t>
      </w:r>
    </w:p>
    <w:p>
      <w:pPr>
        <w:spacing w:line="360" w:lineRule="auto"/>
        <w:ind w:firstLine="480"/>
        <w:rPr>
          <w:rFonts w:ascii="宋体" w:hAnsi="宋体" w:cs="宋体"/>
          <w:bCs/>
          <w:sz w:val="24"/>
        </w:rPr>
      </w:pPr>
      <w:r>
        <w:rPr>
          <w:rFonts w:hint="eastAsia" w:ascii="宋体" w:hAnsi="宋体" w:cs="宋体"/>
          <w:bCs/>
          <w:sz w:val="24"/>
        </w:rPr>
        <w:t>（四）其他要求</w:t>
      </w:r>
    </w:p>
    <w:p>
      <w:pPr>
        <w:spacing w:line="360" w:lineRule="auto"/>
        <w:ind w:firstLine="480"/>
        <w:rPr>
          <w:rFonts w:ascii="宋体" w:hAnsi="宋体" w:cs="宋体"/>
          <w:sz w:val="24"/>
        </w:rPr>
      </w:pPr>
      <w:r>
        <w:rPr>
          <w:rFonts w:hint="eastAsia" w:ascii="宋体" w:hAnsi="宋体" w:cs="宋体"/>
          <w:sz w:val="24"/>
        </w:rPr>
        <w:t>1、投标方需根据采购方要求完成所采购图书信息录入工作，实现计算机借阅管理，并满足读者自助借阅、移动式清点、安全防盗等功能要求。</w:t>
      </w:r>
    </w:p>
    <w:p>
      <w:pPr>
        <w:spacing w:line="360" w:lineRule="auto"/>
        <w:ind w:firstLine="480"/>
        <w:rPr>
          <w:rFonts w:ascii="宋体" w:hAnsi="宋体" w:cs="宋体"/>
          <w:sz w:val="24"/>
        </w:rPr>
      </w:pPr>
      <w:r>
        <w:rPr>
          <w:rFonts w:hint="eastAsia" w:ascii="宋体" w:hAnsi="宋体" w:cs="宋体"/>
          <w:sz w:val="24"/>
        </w:rPr>
        <w:t>2、采购方保留对部分书目微调（不超过10%）的权利。</w:t>
      </w:r>
    </w:p>
    <w:p>
      <w:pPr>
        <w:spacing w:line="360" w:lineRule="auto"/>
        <w:rPr>
          <w:rFonts w:ascii="宋体" w:hAnsi="宋体" w:cs="宋体"/>
          <w:sz w:val="24"/>
        </w:rPr>
      </w:pPr>
      <w:r>
        <w:rPr>
          <w:rFonts w:hint="eastAsia" w:ascii="宋体" w:hAnsi="宋体" w:cs="宋体"/>
          <w:sz w:val="24"/>
        </w:rPr>
        <w:t>三、交货时间</w:t>
      </w:r>
    </w:p>
    <w:p>
      <w:pPr>
        <w:spacing w:line="360" w:lineRule="auto"/>
        <w:ind w:firstLine="480"/>
        <w:rPr>
          <w:rFonts w:ascii="宋体" w:hAnsi="宋体" w:cs="宋体"/>
          <w:sz w:val="24"/>
        </w:rPr>
      </w:pPr>
      <w:r>
        <w:rPr>
          <w:rFonts w:hint="eastAsia" w:ascii="宋体" w:hAnsi="宋体" w:cs="宋体"/>
          <w:sz w:val="24"/>
        </w:rPr>
        <w:t>1、交货时间：签订合同后30天内完成图书配送、加工、编目、上架等全部工作，交付采购单位验收。每延期交付1天将扣除合同款总额的1%作为滞纳金，投标人延期交付15天以上的，采购单位有权中止合同并通报政府采购中心没收其投标保证金。</w:t>
      </w:r>
    </w:p>
    <w:p>
      <w:pPr>
        <w:spacing w:line="360" w:lineRule="auto"/>
        <w:rPr>
          <w:rFonts w:ascii="宋体" w:hAnsi="宋体" w:cs="宋体"/>
          <w:sz w:val="24"/>
        </w:rPr>
      </w:pPr>
      <w:r>
        <w:rPr>
          <w:rFonts w:hint="eastAsia" w:ascii="宋体" w:hAnsi="宋体" w:cs="宋体"/>
          <w:sz w:val="24"/>
        </w:rPr>
        <w:t>四、售后服务要求</w:t>
      </w:r>
    </w:p>
    <w:p>
      <w:pPr>
        <w:spacing w:line="360" w:lineRule="auto"/>
        <w:ind w:firstLine="480"/>
        <w:rPr>
          <w:rFonts w:ascii="宋体" w:hAnsi="宋体" w:cs="宋体"/>
          <w:sz w:val="24"/>
        </w:rPr>
      </w:pPr>
      <w:r>
        <w:rPr>
          <w:rFonts w:hint="eastAsia" w:ascii="宋体" w:hAnsi="宋体" w:cs="宋体"/>
          <w:sz w:val="24"/>
        </w:rPr>
        <w:t>1、售后服务期为5年，5年内发现所采购图书存在缺页、错页、污损等质量问题，投标人负责无条件调换。</w:t>
      </w:r>
    </w:p>
    <w:p>
      <w:pPr>
        <w:spacing w:line="360" w:lineRule="auto"/>
        <w:ind w:firstLine="480"/>
        <w:rPr>
          <w:rFonts w:ascii="宋体" w:hAnsi="宋体" w:cs="宋体"/>
          <w:sz w:val="24"/>
        </w:rPr>
      </w:pPr>
      <w:r>
        <w:rPr>
          <w:rFonts w:hint="eastAsia" w:ascii="宋体" w:hAnsi="宋体" w:cs="宋体"/>
          <w:sz w:val="24"/>
        </w:rPr>
        <w:t>2、必须严格保证图书质量，绝对不允许盗版、盗印图书的出现。如发现一律作退货处理，所产生损失由投标人负责。</w:t>
      </w:r>
    </w:p>
    <w:p>
      <w:pPr>
        <w:pStyle w:val="33"/>
        <w:pageBreakBefore w:val="0"/>
        <w:widowControl w:val="0"/>
        <w:kinsoku/>
        <w:topLinePunct w:val="0"/>
        <w:bidi w:val="0"/>
        <w:snapToGrid w:val="0"/>
        <w:spacing w:before="120" w:after="120" w:line="360" w:lineRule="auto"/>
        <w:textAlignment w:val="auto"/>
        <w:outlineLvl w:val="0"/>
        <w:rPr>
          <w:rFonts w:hint="eastAsia" w:ascii="宋体" w:hAnsi="宋体" w:eastAsia="宋体" w:cs="宋体"/>
          <w:b/>
          <w:bCs/>
          <w:color w:val="auto"/>
          <w:sz w:val="24"/>
          <w:szCs w:val="24"/>
        </w:rPr>
      </w:pPr>
    </w:p>
    <w:p>
      <w:pPr>
        <w:pStyle w:val="33"/>
        <w:pageBreakBefore w:val="0"/>
        <w:widowControl w:val="0"/>
        <w:kinsoku/>
        <w:topLinePunct w:val="0"/>
        <w:bidi w:val="0"/>
        <w:snapToGrid w:val="0"/>
        <w:spacing w:before="120" w:after="120" w:line="360" w:lineRule="auto"/>
        <w:textAlignment w:val="auto"/>
        <w:outlineLvl w:val="0"/>
        <w:rPr>
          <w:rFonts w:hAnsi="宋体" w:cs="宋体"/>
          <w:b/>
          <w:bCs/>
          <w:color w:val="auto"/>
        </w:rPr>
      </w:pPr>
      <w:r>
        <w:rPr>
          <w:rFonts w:hint="eastAsia" w:ascii="宋体" w:hAnsi="宋体" w:eastAsia="宋体" w:cs="宋体"/>
          <w:b/>
          <w:bCs/>
          <w:color w:val="auto"/>
          <w:sz w:val="24"/>
          <w:szCs w:val="24"/>
        </w:rPr>
        <w:t>附件：图书书目清单</w:t>
      </w:r>
    </w:p>
    <w:p>
      <w:pPr>
        <w:rPr>
          <w:rFonts w:hAnsi="宋体" w:cs="宋体"/>
          <w:color w:val="auto"/>
        </w:rPr>
      </w:pPr>
    </w:p>
    <w:p>
      <w:pPr>
        <w:pStyle w:val="23"/>
        <w:rPr>
          <w:rFonts w:hAnsi="宋体" w:cs="宋体"/>
          <w:color w:val="auto"/>
        </w:rPr>
      </w:pPr>
    </w:p>
    <w:p>
      <w:pPr>
        <w:pStyle w:val="24"/>
        <w:rPr>
          <w:rFonts w:hAnsi="宋体" w:cs="宋体"/>
          <w:color w:val="auto"/>
        </w:rPr>
      </w:pPr>
    </w:p>
    <w:p>
      <w:pPr>
        <w:rPr>
          <w:color w:val="auto"/>
        </w:rPr>
      </w:pPr>
    </w:p>
    <w:p>
      <w:pPr>
        <w:pStyle w:val="24"/>
        <w:ind w:left="630" w:firstLine="0"/>
        <w:rPr>
          <w:rFonts w:hAnsi="宋体" w:cs="宋体"/>
          <w:b/>
          <w:bCs/>
          <w:color w:val="auto"/>
          <w:sz w:val="28"/>
          <w:szCs w:val="28"/>
          <w:lang w:val="en-US"/>
        </w:rPr>
      </w:pPr>
    </w:p>
    <w:p>
      <w:pPr>
        <w:rPr>
          <w:rFonts w:hAnsi="宋体" w:cs="宋体"/>
          <w:b/>
          <w:bCs/>
          <w:color w:val="auto"/>
          <w:sz w:val="28"/>
          <w:szCs w:val="28"/>
          <w:lang w:val="en-US"/>
        </w:rPr>
      </w:pPr>
    </w:p>
    <w:p>
      <w:pPr>
        <w:pStyle w:val="23"/>
        <w:rPr>
          <w:rFonts w:hAnsi="宋体" w:cs="宋体"/>
          <w:b/>
          <w:bCs/>
          <w:color w:val="auto"/>
          <w:sz w:val="28"/>
          <w:szCs w:val="28"/>
          <w:lang w:val="en-US"/>
        </w:rPr>
      </w:pPr>
    </w:p>
    <w:p>
      <w:pPr>
        <w:rPr>
          <w:rFonts w:hAnsi="宋体" w:cs="宋体"/>
          <w:b/>
          <w:bCs/>
          <w:color w:val="auto"/>
          <w:sz w:val="28"/>
          <w:szCs w:val="28"/>
          <w:lang w:val="en-US"/>
        </w:rPr>
      </w:pPr>
    </w:p>
    <w:p>
      <w:pPr>
        <w:pStyle w:val="2"/>
        <w:rPr>
          <w:lang w:val="en-US"/>
        </w:rPr>
      </w:pPr>
    </w:p>
    <w:p>
      <w:pPr>
        <w:pStyle w:val="24"/>
        <w:rPr>
          <w:lang w:val="en-US"/>
        </w:rPr>
      </w:pPr>
    </w:p>
    <w:p>
      <w:pPr>
        <w:tabs>
          <w:tab w:val="left" w:pos="3767"/>
          <w:tab w:val="center" w:pos="4535"/>
        </w:tabs>
        <w:jc w:val="center"/>
        <w:rPr>
          <w:rFonts w:ascii="仿宋" w:hAnsi="仿宋" w:eastAsia="仿宋" w:cs="仿宋_GB2312"/>
          <w:b/>
          <w:color w:val="auto"/>
          <w:sz w:val="36"/>
          <w:szCs w:val="20"/>
        </w:rPr>
      </w:pPr>
      <w:r>
        <w:rPr>
          <w:rFonts w:hint="eastAsia" w:ascii="仿宋" w:hAnsi="仿宋" w:eastAsia="仿宋" w:cs="仿宋_GB2312"/>
          <w:b/>
          <w:color w:val="auto"/>
          <w:sz w:val="36"/>
          <w:szCs w:val="20"/>
        </w:rPr>
        <w:t>第</w:t>
      </w:r>
      <w:bookmarkEnd w:id="12"/>
      <w:r>
        <w:rPr>
          <w:rFonts w:hint="eastAsia" w:ascii="仿宋" w:hAnsi="仿宋" w:eastAsia="仿宋" w:cs="仿宋_GB2312"/>
          <w:b/>
          <w:color w:val="auto"/>
          <w:sz w:val="36"/>
          <w:szCs w:val="20"/>
        </w:rPr>
        <w:t>三章</w:t>
      </w:r>
      <w:r>
        <w:rPr>
          <w:rFonts w:ascii="仿宋" w:hAnsi="仿宋" w:eastAsia="仿宋" w:cs="仿宋_GB2312"/>
          <w:b/>
          <w:color w:val="auto"/>
          <w:sz w:val="36"/>
          <w:szCs w:val="20"/>
        </w:rPr>
        <w:t xml:space="preserve"> 投标人须知</w:t>
      </w:r>
      <w:bookmarkEnd w:id="13"/>
    </w:p>
    <w:bookmarkEnd w:id="14"/>
    <w:p>
      <w:pPr>
        <w:wordWrap w:val="0"/>
        <w:overflowPunct w:val="0"/>
        <w:autoSpaceDE w:val="0"/>
        <w:autoSpaceDN w:val="0"/>
        <w:adjustRightInd/>
        <w:spacing w:beforeLines="100" w:afterLines="100" w:line="360" w:lineRule="atLeast"/>
        <w:jc w:val="center"/>
        <w:rPr>
          <w:rFonts w:ascii="宋体" w:hAnsi="宋体" w:cs="宋体"/>
          <w:b/>
          <w:bCs/>
          <w:color w:val="auto"/>
          <w:sz w:val="28"/>
          <w:szCs w:val="28"/>
        </w:rPr>
      </w:pPr>
      <w:bookmarkStart w:id="15" w:name="_Toc91899903"/>
      <w:bookmarkStart w:id="16" w:name="_Toc164416483"/>
      <w:bookmarkStart w:id="17" w:name="第三部分"/>
      <w:r>
        <w:rPr>
          <w:rFonts w:hint="eastAsia" w:ascii="宋体" w:hAnsi="宋体" w:cs="宋体"/>
          <w:b/>
          <w:bCs/>
          <w:color w:val="auto"/>
          <w:sz w:val="28"/>
          <w:szCs w:val="28"/>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shd w:val="clear" w:color="auto" w:fill="FFFFFF"/>
        </w:rPr>
      </w:pPr>
      <w:r>
        <w:rPr>
          <w:rFonts w:hint="eastAsia" w:ascii="宋体" w:hAnsi="宋体" w:cs="宋体"/>
          <w:color w:val="auto"/>
          <w:sz w:val="24"/>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rPr>
      </w:pPr>
      <w:r>
        <w:rPr>
          <w:rFonts w:hint="eastAsia" w:ascii="宋体" w:hAnsi="宋体" w:cs="宋体"/>
          <w:color w:val="auto"/>
          <w:sz w:val="24"/>
        </w:rPr>
        <w:t>　1.集中采购机构按照招标文件规定的时间通过电子交易平台组织开标、开启投标文件，所有供应商均应当准时在线参加，直至评审结束。</w:t>
      </w:r>
    </w:p>
    <w:p>
      <w:pPr>
        <w:pStyle w:val="58"/>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rPr>
      </w:pPr>
      <w:r>
        <w:rPr>
          <w:rFonts w:hint="eastAsia" w:cs="宋体"/>
          <w:color w:val="auto"/>
          <w:kern w:val="2"/>
        </w:rPr>
        <w:t>　2.采购过程中出现以下情形，导致电子交易平台无法正常运行，或者无法保证电子交易的公平、公正和安全时，集中采购机构可中止电子交易活动：</w:t>
      </w:r>
    </w:p>
    <w:p>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rPr>
      </w:pPr>
      <w:r>
        <w:rPr>
          <w:rFonts w:hint="eastAsia" w:cs="宋体"/>
          <w:color w:val="auto"/>
          <w:kern w:val="2"/>
        </w:rPr>
        <w:t>（一）电子交易平台发生故障而无法登录访问的； </w:t>
      </w:r>
    </w:p>
    <w:p>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rPr>
      </w:pPr>
      <w:r>
        <w:rPr>
          <w:rFonts w:hint="eastAsia" w:cs="宋体"/>
          <w:color w:val="auto"/>
          <w:kern w:val="2"/>
        </w:rPr>
        <w:t>（二）电子交易平台应用或数据库出现错误，不能进行正常操作的；</w:t>
      </w:r>
    </w:p>
    <w:p>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rPr>
      </w:pPr>
      <w:r>
        <w:rPr>
          <w:rFonts w:hint="eastAsia" w:cs="宋体"/>
          <w:color w:val="auto"/>
          <w:kern w:val="2"/>
        </w:rPr>
        <w:t>（三）电子交易平台发现严重安全漏洞，有潜在泄密危险的；</w:t>
      </w:r>
    </w:p>
    <w:p>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rPr>
      </w:pPr>
      <w:r>
        <w:rPr>
          <w:rFonts w:hint="eastAsia" w:cs="宋体"/>
          <w:color w:val="auto"/>
          <w:kern w:val="2"/>
        </w:rPr>
        <w:t>（四）病毒发作导致不能进行正常操作的； </w:t>
      </w:r>
    </w:p>
    <w:p>
      <w:pPr>
        <w:pStyle w:val="58"/>
        <w:widowControl w:val="0"/>
        <w:wordWrap w:val="0"/>
        <w:overflowPunct w:val="0"/>
        <w:autoSpaceDE w:val="0"/>
        <w:autoSpaceDN w:val="0"/>
        <w:adjustRightInd/>
        <w:spacing w:before="0" w:beforeAutospacing="0" w:after="0" w:afterAutospacing="0" w:line="400" w:lineRule="exact"/>
        <w:ind w:firstLine="645"/>
        <w:rPr>
          <w:rFonts w:cs="宋体"/>
          <w:color w:val="auto"/>
          <w:kern w:val="2"/>
        </w:rPr>
      </w:pPr>
      <w:r>
        <w:rPr>
          <w:rFonts w:hint="eastAsia" w:cs="宋体"/>
          <w:color w:val="auto"/>
          <w:kern w:val="2"/>
        </w:rPr>
        <w:t>（五）其他无法保证电子交易的公平、公正和安全的情况。</w:t>
      </w:r>
    </w:p>
    <w:p>
      <w:pPr>
        <w:pStyle w:val="58"/>
        <w:widowControl w:val="0"/>
        <w:wordWrap w:val="0"/>
        <w:overflowPunct w:val="0"/>
        <w:autoSpaceDE w:val="0"/>
        <w:autoSpaceDN w:val="0"/>
        <w:adjustRightInd/>
        <w:spacing w:before="0" w:beforeAutospacing="0" w:after="0" w:afterAutospacing="0" w:line="400" w:lineRule="exact"/>
        <w:ind w:firstLine="480"/>
        <w:rPr>
          <w:rFonts w:cs="宋体"/>
          <w:color w:val="auto"/>
          <w:kern w:val="2"/>
        </w:rPr>
      </w:pPr>
      <w:r>
        <w:rPr>
          <w:rFonts w:hint="eastAsia" w:cs="宋体"/>
          <w:color w:val="auto"/>
          <w:kern w:val="2"/>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58"/>
        <w:widowControl w:val="0"/>
        <w:wordWrap w:val="0"/>
        <w:overflowPunct w:val="0"/>
        <w:autoSpaceDE w:val="0"/>
        <w:autoSpaceDN w:val="0"/>
        <w:adjustRightInd/>
        <w:spacing w:before="0" w:beforeAutospacing="0" w:after="0" w:afterAutospacing="0" w:line="400" w:lineRule="exact"/>
        <w:ind w:firstLine="480"/>
        <w:rPr>
          <w:rFonts w:cs="宋体"/>
          <w:color w:val="auto"/>
          <w:shd w:val="clear" w:color="auto" w:fill="FFFFFF"/>
        </w:rPr>
      </w:pPr>
      <w:r>
        <w:rPr>
          <w:rFonts w:hint="eastAsia" w:cs="宋体"/>
          <w:color w:val="auto"/>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4"/>
        <w:wordWrap w:val="0"/>
        <w:overflowPunct w:val="0"/>
        <w:adjustRightInd/>
        <w:spacing w:line="400" w:lineRule="exact"/>
        <w:ind w:firstLine="487"/>
        <w:rPr>
          <w:rFonts w:hAnsi="宋体" w:cs="宋体"/>
          <w:color w:val="auto"/>
          <w:kern w:val="0"/>
          <w:shd w:val="clear" w:color="auto" w:fill="FFFFFF"/>
        </w:rPr>
      </w:pPr>
      <w:r>
        <w:rPr>
          <w:rFonts w:hint="eastAsia" w:hAnsi="宋体" w:cs="宋体"/>
          <w:color w:val="auto"/>
          <w:kern w:val="0"/>
          <w:szCs w:val="24"/>
          <w:shd w:val="clear" w:color="auto" w:fill="FFFFFF"/>
          <w:lang w:val="en-US"/>
        </w:rPr>
        <w:t>4</w:t>
      </w:r>
      <w:r>
        <w:rPr>
          <w:rFonts w:hint="eastAsia" w:hAnsi="宋体" w:cs="宋体"/>
          <w:color w:val="auto"/>
          <w:kern w:val="0"/>
          <w:szCs w:val="24"/>
          <w:shd w:val="clear" w:color="auto" w:fill="FFFFFF"/>
        </w:rPr>
        <w:t>.供应商须在集中采购代理机构宣布评审结束、产生中标候选人前时刻关注，配合专家组工作，如有询标（澄清、质疑），在约定时间内（具体时间以询标函上规定的时间为准备）通过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shd w:val="clear" w:color="auto" w:fill="FFFFFF"/>
          <w:lang w:val="en-US"/>
        </w:rPr>
        <w:t>CA</w:t>
      </w:r>
      <w:r>
        <w:rPr>
          <w:rFonts w:hint="eastAsia" w:hAnsi="宋体" w:cs="宋体"/>
          <w:color w:val="auto"/>
          <w:kern w:val="0"/>
          <w:szCs w:val="24"/>
          <w:shd w:val="clear" w:color="auto" w:fill="FFFFFF"/>
        </w:rPr>
        <w:t>进行回复。未按要求回复的，视为放弃澄清。</w:t>
      </w:r>
      <w:r>
        <w:rPr>
          <w:rFonts w:hint="eastAsia" w:hAnsi="宋体" w:cs="宋体"/>
          <w:color w:val="auto"/>
          <w:kern w:val="0"/>
          <w:shd w:val="clear" w:color="auto" w:fill="FFFFFF"/>
        </w:rPr>
        <w:br w:type="textWrapping"/>
      </w:r>
    </w:p>
    <w:p>
      <w:pPr>
        <w:pStyle w:val="24"/>
        <w:wordWrap w:val="0"/>
        <w:overflowPunct w:val="0"/>
        <w:adjustRightInd/>
        <w:spacing w:beforeLines="10"/>
        <w:ind w:firstLine="487"/>
        <w:rPr>
          <w:rFonts w:hAnsi="宋体" w:cs="宋体"/>
          <w:color w:val="auto"/>
          <w:kern w:val="0"/>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rPr>
      </w:pPr>
      <w:r>
        <w:rPr>
          <w:rFonts w:hint="eastAsia" w:ascii="宋体" w:hAnsi="宋体" w:cs="宋体"/>
          <w:b/>
          <w:bCs/>
          <w:color w:val="auto"/>
          <w:sz w:val="28"/>
        </w:rPr>
        <w:t>前附表</w:t>
      </w:r>
    </w:p>
    <w:tbl>
      <w:tblPr>
        <w:tblStyle w:val="62"/>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Lines="10" w:afterLines="10" w:line="400" w:lineRule="exact"/>
              <w:jc w:val="center"/>
              <w:rPr>
                <w:rFonts w:ascii="宋体" w:hAnsi="宋体" w:cs="宋体"/>
                <w:b/>
                <w:color w:val="auto"/>
                <w:sz w:val="24"/>
              </w:rPr>
            </w:pPr>
            <w:r>
              <w:rPr>
                <w:rFonts w:hint="eastAsia" w:ascii="宋体" w:hAnsi="宋体" w:cs="宋体"/>
                <w:b/>
                <w:color w:val="auto"/>
                <w:sz w:val="24"/>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Lines="10" w:afterLines="10" w:line="400" w:lineRule="exact"/>
              <w:jc w:val="center"/>
              <w:rPr>
                <w:rFonts w:ascii="宋体" w:hAnsi="宋体" w:cs="宋体"/>
                <w:b/>
                <w:color w:val="auto"/>
                <w:sz w:val="24"/>
              </w:rPr>
            </w:pPr>
            <w:r>
              <w:rPr>
                <w:rFonts w:hint="eastAsia" w:ascii="宋体" w:hAnsi="宋体" w:cs="宋体"/>
                <w:b/>
                <w:color w:val="auto"/>
                <w:sz w:val="24"/>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w:t>
            </w:r>
          </w:p>
        </w:tc>
        <w:tc>
          <w:tcPr>
            <w:tcW w:w="8399" w:type="dxa"/>
            <w:tcBorders>
              <w:top w:val="single" w:color="auto" w:sz="4" w:space="0"/>
              <w:left w:val="nil"/>
              <w:bottom w:val="single" w:color="auto" w:sz="4" w:space="0"/>
              <w:right w:val="single" w:color="auto" w:sz="4" w:space="0"/>
            </w:tcBorders>
            <w:vAlign w:val="center"/>
          </w:tcPr>
          <w:p>
            <w:pPr>
              <w:pStyle w:val="33"/>
              <w:wordWrap w:val="0"/>
              <w:overflowPunct w:val="0"/>
              <w:autoSpaceDE w:val="0"/>
              <w:autoSpaceDN w:val="0"/>
              <w:adjustRightInd/>
              <w:snapToGrid w:val="0"/>
              <w:spacing w:beforeLines="10" w:afterLines="10" w:line="400" w:lineRule="exact"/>
              <w:rPr>
                <w:rFonts w:hAnsi="宋体" w:cs="宋体"/>
                <w:color w:val="auto"/>
                <w:sz w:val="24"/>
                <w:szCs w:val="24"/>
              </w:rPr>
            </w:pPr>
            <w:r>
              <w:rPr>
                <w:rFonts w:hint="eastAsia" w:hAnsi="宋体" w:cs="宋体"/>
                <w:color w:val="auto"/>
                <w:sz w:val="24"/>
                <w:szCs w:val="24"/>
              </w:rPr>
              <w:t xml:space="preserve">    项目名称：</w:t>
            </w:r>
            <w:r>
              <w:rPr>
                <w:rFonts w:hint="eastAsia" w:hAnsi="宋体" w:cs="宋体"/>
                <w:color w:val="auto"/>
                <w:sz w:val="24"/>
                <w:szCs w:val="24"/>
                <w:lang w:eastAsia="zh-CN"/>
              </w:rPr>
              <w:t>浙江师范大学附属嘉善实验学校亭桥小学图书采购</w:t>
            </w:r>
            <w:r>
              <w:rPr>
                <w:rFonts w:hint="eastAsia" w:hAnsi="宋体" w:cs="宋体"/>
                <w:color w:val="auto"/>
                <w:sz w:val="24"/>
                <w:szCs w:val="24"/>
              </w:rPr>
              <w:t>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3</w:t>
            </w:r>
          </w:p>
        </w:tc>
        <w:tc>
          <w:tcPr>
            <w:tcW w:w="8399" w:type="dxa"/>
            <w:tcBorders>
              <w:top w:val="single" w:color="auto" w:sz="4" w:space="0"/>
              <w:left w:val="nil"/>
              <w:bottom w:val="single" w:color="auto" w:sz="4" w:space="0"/>
              <w:right w:val="single" w:color="auto" w:sz="4" w:space="0"/>
            </w:tcBorders>
            <w:vAlign w:val="center"/>
          </w:tcPr>
          <w:p>
            <w:pPr>
              <w:pStyle w:val="58"/>
              <w:widowControl w:val="0"/>
              <w:overflowPunct w:val="0"/>
              <w:topLinePunct/>
              <w:autoSpaceDE w:val="0"/>
              <w:autoSpaceDN w:val="0"/>
              <w:spacing w:beforeLines="10" w:beforeAutospacing="0" w:afterLines="10" w:afterAutospacing="0" w:line="400" w:lineRule="exact"/>
              <w:ind w:firstLine="480" w:firstLineChars="200"/>
              <w:rPr>
                <w:rFonts w:cs="宋体"/>
                <w:color w:val="auto"/>
              </w:rPr>
            </w:pPr>
            <w:r>
              <w:rPr>
                <w:rFonts w:hint="eastAsia" w:cs="宋体"/>
                <w:color w:val="auto"/>
              </w:rPr>
              <w:t>项目预算：</w:t>
            </w:r>
            <w:r>
              <w:rPr>
                <w:rFonts w:hint="eastAsia" w:cs="宋体"/>
                <w:color w:val="auto"/>
                <w:lang w:val="en-US" w:eastAsia="zh-CN"/>
              </w:rPr>
              <w:t>80</w:t>
            </w:r>
            <w:r>
              <w:rPr>
                <w:rFonts w:hint="eastAsia" w:cs="宋体"/>
                <w:color w:val="auto"/>
              </w:rPr>
              <w:t>万元。</w:t>
            </w:r>
          </w:p>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投标报价及费用：</w:t>
            </w:r>
          </w:p>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1.本项目投标应以人民币报价；</w:t>
            </w:r>
          </w:p>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bCs/>
                <w:color w:val="auto"/>
                <w:sz w:val="24"/>
              </w:rPr>
            </w:pPr>
            <w:r>
              <w:rPr>
                <w:rFonts w:hint="eastAsia" w:ascii="宋体" w:hAnsi="宋体" w:cs="宋体"/>
                <w:bCs/>
                <w:color w:val="auto"/>
                <w:sz w:val="24"/>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Lines="10" w:afterLines="10" w:line="400" w:lineRule="exact"/>
              <w:rPr>
                <w:rFonts w:ascii="宋体" w:hAnsi="宋体" w:cs="宋体"/>
                <w:bCs/>
                <w:color w:val="auto"/>
                <w:sz w:val="24"/>
              </w:rPr>
            </w:pPr>
            <w:r>
              <w:rPr>
                <w:rFonts w:hint="eastAsia" w:ascii="宋体" w:hAnsi="宋体" w:cs="宋体"/>
                <w:bCs/>
                <w:color w:val="auto"/>
                <w:sz w:val="24"/>
              </w:rPr>
              <w:t xml:space="preserve">    路径：用户中心——项目采购——获取采购文件管理。</w:t>
            </w:r>
          </w:p>
          <w:p>
            <w:pPr>
              <w:wordWrap w:val="0"/>
              <w:overflowPunct w:val="0"/>
              <w:autoSpaceDE w:val="0"/>
              <w:autoSpaceDN w:val="0"/>
              <w:snapToGrid w:val="0"/>
              <w:spacing w:beforeLines="10" w:afterLines="10" w:line="400" w:lineRule="exact"/>
              <w:rPr>
                <w:rFonts w:ascii="宋体" w:hAnsi="宋体" w:cs="宋体"/>
                <w:bCs/>
                <w:color w:val="auto"/>
                <w:sz w:val="24"/>
              </w:rPr>
            </w:pPr>
            <w:r>
              <w:rPr>
                <w:rFonts w:hint="eastAsia" w:ascii="宋体" w:hAnsi="宋体" w:cs="宋体"/>
                <w:bCs/>
                <w:color w:val="auto"/>
                <w:sz w:val="24"/>
              </w:rPr>
              <w:t xml:space="preserve">    在“已获取”的状态下，供应商可下载查看招标文件。</w:t>
            </w:r>
          </w:p>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bCs/>
                <w:color w:val="auto"/>
                <w:sz w:val="24"/>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Lines="10" w:afterLines="10" w:line="400" w:lineRule="exact"/>
              <w:rPr>
                <w:rFonts w:ascii="宋体" w:hAnsi="宋体" w:cs="宋体"/>
                <w:color w:val="auto"/>
                <w:sz w:val="24"/>
              </w:rPr>
            </w:pPr>
            <w:r>
              <w:rPr>
                <w:rFonts w:hint="eastAsia" w:ascii="宋体" w:hAnsi="宋体" w:cs="宋体"/>
                <w:color w:val="auto"/>
                <w:sz w:val="24"/>
              </w:rPr>
              <w:t xml:space="preserve">    投标文件形式、制作及组成：</w:t>
            </w:r>
          </w:p>
          <w:p>
            <w:pPr>
              <w:wordWrap w:val="0"/>
              <w:overflowPunct w:val="0"/>
              <w:autoSpaceDE w:val="0"/>
              <w:autoSpaceDN w:val="0"/>
              <w:snapToGrid w:val="0"/>
              <w:spacing w:beforeLines="10" w:afterLines="10" w:line="400" w:lineRule="exact"/>
              <w:rPr>
                <w:rFonts w:ascii="宋体" w:hAnsi="宋体" w:cs="宋体"/>
                <w:color w:val="auto"/>
                <w:kern w:val="0"/>
                <w:sz w:val="24"/>
              </w:rPr>
            </w:pPr>
            <w:r>
              <w:rPr>
                <w:rFonts w:hint="eastAsia" w:ascii="宋体" w:hAnsi="宋体" w:cs="宋体"/>
                <w:color w:val="auto"/>
                <w:kern w:val="0"/>
                <w:sz w:val="24"/>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投标截止时间：</w:t>
            </w:r>
            <w:r>
              <w:rPr>
                <w:rFonts w:hint="eastAsia" w:ascii="仿宋_GB2312" w:hAnsi="仿宋" w:eastAsia="仿宋_GB2312"/>
                <w:color w:val="auto"/>
                <w:sz w:val="24"/>
                <w:u w:val="single"/>
                <w:lang w:eastAsia="zh-CN"/>
              </w:rPr>
              <w:t>2022年8月12日</w:t>
            </w:r>
            <w:r>
              <w:rPr>
                <w:rFonts w:hint="eastAsia" w:ascii="仿宋_GB2312" w:hAnsi="仿宋" w:eastAsia="仿宋_GB2312"/>
                <w:color w:val="auto"/>
                <w:sz w:val="24"/>
                <w:u w:val="single"/>
              </w:rPr>
              <w:t>9点30分</w:t>
            </w:r>
            <w:r>
              <w:rPr>
                <w:rFonts w:hint="eastAsia" w:ascii="仿宋_GB2312" w:hAnsi="仿宋" w:eastAsia="仿宋_GB2312"/>
                <w:bCs/>
                <w:color w:val="auto"/>
                <w:sz w:val="24"/>
                <w:u w:val="single"/>
              </w:rPr>
              <w:t xml:space="preserve"> </w:t>
            </w:r>
          </w:p>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b/>
                <w:bCs/>
                <w:color w:val="auto"/>
                <w:kern w:val="0"/>
                <w:sz w:val="24"/>
              </w:rPr>
              <w:t xml:space="preserve">    </w:t>
            </w:r>
            <w:r>
              <w:rPr>
                <w:rFonts w:hint="eastAsia" w:ascii="宋体" w:hAnsi="宋体" w:cs="宋体"/>
                <w:color w:val="auto"/>
                <w:kern w:val="0"/>
                <w:sz w:val="24"/>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开标时间：</w:t>
            </w:r>
            <w:r>
              <w:rPr>
                <w:rFonts w:hint="eastAsia" w:ascii="仿宋_GB2312" w:hAnsi="仿宋" w:eastAsia="仿宋_GB2312"/>
                <w:color w:val="auto"/>
                <w:sz w:val="24"/>
                <w:u w:val="single"/>
                <w:lang w:eastAsia="zh-CN"/>
              </w:rPr>
              <w:t>2022年8月12日</w:t>
            </w:r>
            <w:r>
              <w:rPr>
                <w:rFonts w:hint="eastAsia" w:ascii="仿宋_GB2312" w:hAnsi="仿宋" w:eastAsia="仿宋_GB2312"/>
                <w:color w:val="auto"/>
                <w:sz w:val="24"/>
                <w:u w:val="single"/>
              </w:rPr>
              <w:t>9点30分</w:t>
            </w:r>
            <w:r>
              <w:rPr>
                <w:rFonts w:hint="eastAsia" w:ascii="仿宋_GB2312" w:hAnsi="仿宋" w:eastAsia="仿宋_GB2312"/>
                <w:bCs/>
                <w:color w:val="auto"/>
                <w:sz w:val="24"/>
                <w:u w:val="single"/>
              </w:rPr>
              <w:t xml:space="preserve"> </w:t>
            </w:r>
          </w:p>
          <w:p>
            <w:pPr>
              <w:wordWrap w:val="0"/>
              <w:overflowPunct w:val="0"/>
              <w:autoSpaceDE w:val="0"/>
              <w:autoSpaceDN w:val="0"/>
              <w:snapToGrid w:val="0"/>
              <w:spacing w:beforeLines="10" w:afterLines="10" w:line="400" w:lineRule="exact"/>
              <w:rPr>
                <w:rFonts w:ascii="宋体" w:hAnsi="宋体" w:cs="宋体"/>
                <w:color w:val="auto"/>
                <w:sz w:val="24"/>
                <w:shd w:val="clear" w:color="auto" w:fill="FFFFFF"/>
              </w:rPr>
            </w:pPr>
            <w:r>
              <w:rPr>
                <w:rFonts w:hint="eastAsia" w:ascii="宋体" w:hAnsi="宋体" w:cs="宋体"/>
                <w:color w:val="auto"/>
                <w:sz w:val="24"/>
              </w:rPr>
              <w:t xml:space="preserve">    开标地点：政采云平台（https://www.zcygov.cn/）</w:t>
            </w:r>
          </w:p>
          <w:p>
            <w:pPr>
              <w:wordWrap w:val="0"/>
              <w:overflowPunct w:val="0"/>
              <w:autoSpaceDE w:val="0"/>
              <w:autoSpaceDN w:val="0"/>
              <w:snapToGrid w:val="0"/>
              <w:spacing w:beforeLines="10" w:afterLines="10" w:line="400" w:lineRule="exact"/>
              <w:rPr>
                <w:rFonts w:ascii="宋体" w:hAnsi="宋体" w:cs="宋体"/>
                <w:b/>
                <w:color w:val="auto"/>
                <w:sz w:val="24"/>
              </w:rPr>
            </w:pPr>
            <w:r>
              <w:rPr>
                <w:rFonts w:hint="eastAsia" w:ascii="宋体" w:hAnsi="宋体" w:cs="宋体"/>
                <w:b/>
                <w:bCs/>
                <w:color w:val="auto"/>
                <w:sz w:val="24"/>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textAlignment w:val="bottom"/>
              <w:rPr>
                <w:rFonts w:ascii="宋体" w:hAnsi="宋体" w:cs="宋体"/>
                <w:color w:val="auto"/>
                <w:sz w:val="24"/>
              </w:rPr>
            </w:pPr>
            <w:r>
              <w:rPr>
                <w:rFonts w:hint="eastAsia" w:ascii="宋体" w:hAnsi="宋体" w:cs="宋体"/>
                <w:color w:val="auto"/>
                <w:sz w:val="24"/>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textAlignment w:val="bottom"/>
              <w:rPr>
                <w:rFonts w:ascii="宋体" w:hAnsi="宋体" w:cs="宋体"/>
                <w:color w:val="auto"/>
                <w:sz w:val="24"/>
              </w:rPr>
            </w:pPr>
            <w:r>
              <w:rPr>
                <w:rFonts w:hint="eastAsia" w:ascii="宋体" w:hAnsi="宋体" w:cs="宋体"/>
                <w:color w:val="auto"/>
                <w:sz w:val="24"/>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textAlignment w:val="bottom"/>
              <w:rPr>
                <w:rFonts w:ascii="宋体" w:hAnsi="宋体" w:cs="宋体"/>
                <w:color w:val="auto"/>
                <w:sz w:val="24"/>
              </w:rPr>
            </w:pPr>
            <w:r>
              <w:rPr>
                <w:rFonts w:hint="eastAsia" w:ascii="宋体" w:hAnsi="宋体" w:cs="宋体"/>
                <w:color w:val="auto"/>
                <w:sz w:val="24"/>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履约保证金:</w:t>
            </w:r>
            <w:r>
              <w:rPr>
                <w:rFonts w:hint="eastAsia" w:ascii="宋体" w:hAnsi="宋体" w:cs="宋体"/>
                <w:color w:val="auto"/>
                <w:sz w:val="24"/>
                <w:lang w:val="en-US" w:eastAsia="zh-CN"/>
              </w:rPr>
              <w:t>无</w:t>
            </w:r>
            <w:r>
              <w:rPr>
                <w:rFonts w:hint="eastAsia" w:ascii="宋体" w:hAnsi="宋体" w:cs="宋体"/>
                <w:color w:val="auto"/>
                <w:sz w:val="24"/>
              </w:rPr>
              <w:t>。</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付款方式：合同生效以及具备实施条件后7个工作日内支付合同金额的50%，验收合格且收到发票后7个工作日内支付至合同金额的100%。</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投标文件有效期：</w:t>
            </w:r>
            <w:r>
              <w:rPr>
                <w:rFonts w:hint="eastAsia" w:ascii="宋体" w:hAnsi="宋体" w:cs="宋体"/>
                <w:color w:val="auto"/>
                <w:sz w:val="24"/>
                <w:u w:val="single"/>
              </w:rPr>
              <w:t xml:space="preserve"> 90 </w:t>
            </w:r>
            <w:r>
              <w:rPr>
                <w:rFonts w:hint="eastAsia" w:ascii="宋体" w:hAnsi="宋体" w:cs="宋体"/>
                <w:color w:val="auto"/>
                <w:sz w:val="24"/>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18</w:t>
            </w:r>
          </w:p>
        </w:tc>
        <w:tc>
          <w:tcPr>
            <w:tcW w:w="8399" w:type="dxa"/>
            <w:tcBorders>
              <w:top w:val="single" w:color="auto" w:sz="4" w:space="0"/>
              <w:left w:val="nil"/>
              <w:bottom w:val="single" w:color="auto" w:sz="4" w:space="0"/>
              <w:right w:val="single" w:color="auto" w:sz="4" w:space="0"/>
            </w:tcBorders>
            <w:vAlign w:val="center"/>
          </w:tcPr>
          <w:p>
            <w:pPr>
              <w:pStyle w:val="33"/>
              <w:wordWrap w:val="0"/>
              <w:overflowPunct w:val="0"/>
              <w:autoSpaceDE w:val="0"/>
              <w:autoSpaceDN w:val="0"/>
              <w:snapToGrid w:val="0"/>
              <w:spacing w:beforeLines="10" w:afterLines="10" w:line="400" w:lineRule="exact"/>
              <w:rPr>
                <w:rFonts w:hAnsi="宋体" w:cs="宋体"/>
                <w:color w:val="auto"/>
                <w:sz w:val="24"/>
                <w:szCs w:val="24"/>
              </w:rPr>
            </w:pPr>
            <w:r>
              <w:rPr>
                <w:rFonts w:hint="eastAsia" w:hAnsi="宋体" w:cs="宋体"/>
                <w:color w:val="auto"/>
                <w:sz w:val="24"/>
                <w:szCs w:val="24"/>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jc w:val="center"/>
              <w:rPr>
                <w:rFonts w:ascii="宋体" w:hAnsi="宋体" w:cs="宋体"/>
                <w:color w:val="auto"/>
                <w:sz w:val="24"/>
              </w:rPr>
            </w:pPr>
            <w:r>
              <w:rPr>
                <w:rFonts w:hint="eastAsia" w:ascii="宋体" w:hAnsi="宋体" w:cs="宋体"/>
                <w:color w:val="auto"/>
                <w:sz w:val="24"/>
              </w:rPr>
              <w:t>19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Lines="10" w:afterLines="10" w:line="400" w:lineRule="exact"/>
              <w:rPr>
                <w:rFonts w:ascii="宋体" w:hAnsi="宋体" w:cs="宋体"/>
                <w:color w:val="auto"/>
                <w:sz w:val="24"/>
              </w:rPr>
            </w:pPr>
            <w:r>
              <w:rPr>
                <w:rFonts w:hint="eastAsia" w:ascii="宋体" w:hAnsi="宋体" w:cs="宋体"/>
                <w:color w:val="auto"/>
                <w:sz w:val="24"/>
              </w:rPr>
              <w:t xml:space="preserve">    解释：本招标文件的解释权属于采购单位和嘉善县公共资源交易中心。</w:t>
            </w:r>
          </w:p>
        </w:tc>
      </w:tr>
    </w:tbl>
    <w:p>
      <w:pPr>
        <w:pStyle w:val="33"/>
        <w:wordWrap w:val="0"/>
        <w:overflowPunct w:val="0"/>
        <w:autoSpaceDE w:val="0"/>
        <w:autoSpaceDN w:val="0"/>
        <w:snapToGrid w:val="0"/>
        <w:spacing w:line="400" w:lineRule="exact"/>
        <w:outlineLvl w:val="0"/>
        <w:rPr>
          <w:rFonts w:hAnsi="宋体" w:cs="宋体"/>
          <w:b/>
          <w:color w:val="auto"/>
          <w:sz w:val="24"/>
          <w:szCs w:val="24"/>
        </w:rPr>
      </w:pPr>
    </w:p>
    <w:p>
      <w:pPr>
        <w:pStyle w:val="33"/>
        <w:numPr>
          <w:ilvl w:val="0"/>
          <w:numId w:val="2"/>
        </w:numPr>
        <w:wordWrap w:val="0"/>
        <w:overflowPunct w:val="0"/>
        <w:autoSpaceDE w:val="0"/>
        <w:autoSpaceDN w:val="0"/>
        <w:snapToGrid w:val="0"/>
        <w:spacing w:line="400" w:lineRule="exact"/>
        <w:outlineLvl w:val="0"/>
        <w:rPr>
          <w:rFonts w:hAnsi="宋体" w:cs="宋体"/>
          <w:b/>
          <w:color w:val="auto"/>
          <w:sz w:val="28"/>
          <w:szCs w:val="28"/>
        </w:rPr>
      </w:pPr>
      <w:r>
        <w:rPr>
          <w:rFonts w:hint="eastAsia" w:hAnsi="宋体" w:cs="宋体"/>
          <w:b/>
          <w:color w:val="auto"/>
          <w:sz w:val="28"/>
          <w:szCs w:val="28"/>
        </w:rPr>
        <w:t>总  则</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（一）适用范围</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本招标文件适用于本项目的招标、投标、评标、定标、验收、合同履约、付款等行为（法律、法规另有规定的，从其规定）。</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（二）定义</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1.招标采购单位系指组织本次招标的代理机构（“招标人”）和采购单位。</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2.“投标人”系指向招标方提交投标文件的单位或个人。</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4.“服务”系指招标文件规定投标人须承担的设计、安装、调试、技术协助、校准、培训、技术指导以及其他类似的义务。</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5.“项目”系指投标人按招标文件规定向采购人提供的产品和服务。</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6.“书面形式”包括信函、传真、电报等。</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7.“▲”系指实质性要求条款。</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8.“★”系指核心产品。</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（三）招标方式</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本次招标采用公开招标方式进行。</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（四）投标委托</w:t>
      </w:r>
    </w:p>
    <w:p>
      <w:pPr>
        <w:pStyle w:val="25"/>
        <w:wordWrap w:val="0"/>
        <w:overflowPunct w:val="0"/>
        <w:autoSpaceDE w:val="0"/>
        <w:autoSpaceDN w:val="0"/>
        <w:snapToGrid w:val="0"/>
        <w:spacing w:line="400" w:lineRule="exact"/>
        <w:jc w:val="left"/>
        <w:rPr>
          <w:rFonts w:cs="宋体"/>
          <w:color w:val="auto"/>
        </w:rPr>
      </w:pPr>
      <w:r>
        <w:rPr>
          <w:rFonts w:hint="eastAsia" w:cs="宋体"/>
          <w:color w:val="auto"/>
        </w:rPr>
        <w:t>供应商无需到开标现场，但须准时在线参加，直至评审结束。</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（五）投标费用</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不论投标结果如何，投标人均应自行承担所有与投标有关的全部费用（招标文件有相反规定除外）。</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（六）联合体投标</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本项目不接受联合体投标。</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（七）转包与分包</w:t>
      </w:r>
    </w:p>
    <w:p>
      <w:pPr>
        <w:wordWrap w:val="0"/>
        <w:overflowPunct w:val="0"/>
        <w:autoSpaceDE w:val="0"/>
        <w:autoSpaceDN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本项目不允许转包。</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（八）是否允许采购进口产品</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本项目不允许采购进口产品。</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 xml:space="preserve"> ▲（九）特别说明：</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2.投标人投标所使用的资格、信誉、荣誉、业绩与企业认证必须为本投标人所拥有。</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（十）质疑和投诉</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3.供应商须在法定质疑期内一次性提出针对同一采购程序环节的质疑。</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4.供应商认为集中采购机构在质疑答复程序中启用的调查和复评等程序，在该程序操作过程未明显违反法律禁止性规定时，不得提出疑义。</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8.在线或者邮寄政府采购投诉材料当日下班时间点后收到的视为下一个工作日收到。</w:t>
      </w:r>
    </w:p>
    <w:p>
      <w:pPr>
        <w:pStyle w:val="33"/>
        <w:wordWrap w:val="0"/>
        <w:overflowPunct w:val="0"/>
        <w:autoSpaceDE w:val="0"/>
        <w:autoSpaceDN w:val="0"/>
        <w:snapToGrid w:val="0"/>
        <w:spacing w:line="400" w:lineRule="exact"/>
        <w:outlineLvl w:val="0"/>
        <w:rPr>
          <w:rFonts w:hAnsi="宋体" w:cs="宋体"/>
          <w:b/>
          <w:color w:val="auto"/>
          <w:sz w:val="28"/>
          <w:szCs w:val="28"/>
        </w:rPr>
      </w:pPr>
      <w:r>
        <w:rPr>
          <w:rFonts w:hint="eastAsia" w:hAnsi="宋体" w:cs="宋体"/>
          <w:b/>
          <w:color w:val="auto"/>
          <w:sz w:val="28"/>
          <w:szCs w:val="28"/>
        </w:rPr>
        <w:t>二、招标文件</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（一）招标文件的构成。本招标文件由以下部份组成：</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1.招标公告</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2.招标需求</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3.投标人须知</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4.评标办法及标准</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5.合同主要条款</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6.投标文件格式</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7.本项目招标文件的澄清、答复、修改、补充的内容</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（二）投标人的风险</w:t>
      </w:r>
    </w:p>
    <w:p>
      <w:pPr>
        <w:pStyle w:val="53"/>
        <w:wordWrap w:val="0"/>
        <w:overflowPunct w:val="0"/>
        <w:autoSpaceDE w:val="0"/>
        <w:autoSpaceDN w:val="0"/>
        <w:spacing w:line="400" w:lineRule="exact"/>
        <w:rPr>
          <w:rFonts w:ascii="宋体" w:hAnsi="宋体" w:cs="宋体"/>
          <w:color w:val="auto"/>
          <w:szCs w:val="24"/>
        </w:rPr>
      </w:pPr>
      <w:r>
        <w:rPr>
          <w:rFonts w:hint="eastAsia" w:ascii="宋体" w:hAnsi="宋体" w:cs="宋体"/>
          <w:color w:val="auto"/>
          <w:szCs w:val="24"/>
        </w:rPr>
        <w:t>投标人没有按照招标文件要求提供全部资料，或者投标人没有对招标文件在各方面作出实质性响应是投标人的风险，并可能导致其投标为无效标。</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 xml:space="preserve">（三）招标文件的澄清与修改 </w:t>
      </w:r>
    </w:p>
    <w:p>
      <w:pPr>
        <w:pStyle w:val="53"/>
        <w:wordWrap w:val="0"/>
        <w:overflowPunct w:val="0"/>
        <w:autoSpaceDE w:val="0"/>
        <w:autoSpaceDN w:val="0"/>
        <w:spacing w:line="400" w:lineRule="exact"/>
        <w:rPr>
          <w:rFonts w:ascii="宋体" w:hAnsi="宋体" w:cs="宋体"/>
          <w:color w:val="auto"/>
          <w:szCs w:val="24"/>
        </w:rPr>
      </w:pPr>
      <w:r>
        <w:rPr>
          <w:rFonts w:hint="eastAsia" w:ascii="宋体" w:hAnsi="宋体" w:cs="宋体"/>
          <w:color w:val="auto"/>
          <w:szCs w:val="24"/>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3"/>
        <w:wordWrap w:val="0"/>
        <w:overflowPunct w:val="0"/>
        <w:autoSpaceDE w:val="0"/>
        <w:autoSpaceDN w:val="0"/>
        <w:spacing w:line="400" w:lineRule="exact"/>
        <w:rPr>
          <w:rFonts w:ascii="宋体" w:hAnsi="宋体" w:cs="宋体"/>
          <w:color w:val="auto"/>
          <w:szCs w:val="24"/>
        </w:rPr>
      </w:pPr>
      <w:r>
        <w:rPr>
          <w:rFonts w:hint="eastAsia" w:ascii="宋体" w:hAnsi="宋体" w:cs="宋体"/>
          <w:color w:val="auto"/>
          <w:szCs w:val="24"/>
        </w:rPr>
        <w:t>2.采购代理机构以公告形式答复投标人要求澄清的问题，但不包含问题来源；除上述媒体发布的答复以外的其他澄清方式及澄清内容均无效。</w:t>
      </w:r>
    </w:p>
    <w:p>
      <w:pPr>
        <w:pStyle w:val="53"/>
        <w:wordWrap w:val="0"/>
        <w:overflowPunct w:val="0"/>
        <w:autoSpaceDE w:val="0"/>
        <w:autoSpaceDN w:val="0"/>
        <w:spacing w:line="400" w:lineRule="exact"/>
        <w:rPr>
          <w:rFonts w:ascii="宋体" w:hAnsi="宋体" w:cs="宋体"/>
          <w:color w:val="auto"/>
          <w:szCs w:val="24"/>
        </w:rPr>
      </w:pPr>
      <w:r>
        <w:rPr>
          <w:rFonts w:hint="eastAsia" w:ascii="宋体" w:hAnsi="宋体" w:cs="宋体"/>
          <w:color w:val="auto"/>
          <w:szCs w:val="24"/>
        </w:rPr>
        <w:t>3.招标文件澄清、答复、修改、补充的内容为招标文件的组成部分。当招标文件与招标文件的答复、澄清、修改、补充通知就同一内容的表述不一致时，以最后发出的文件为准。</w:t>
      </w:r>
    </w:p>
    <w:p>
      <w:pPr>
        <w:pStyle w:val="53"/>
        <w:wordWrap w:val="0"/>
        <w:overflowPunct w:val="0"/>
        <w:autoSpaceDE w:val="0"/>
        <w:autoSpaceDN w:val="0"/>
        <w:spacing w:line="400" w:lineRule="exact"/>
        <w:rPr>
          <w:rFonts w:ascii="宋体" w:hAnsi="宋体" w:cs="宋体"/>
          <w:color w:val="auto"/>
          <w:szCs w:val="24"/>
        </w:rPr>
      </w:pPr>
      <w:r>
        <w:rPr>
          <w:rFonts w:hint="eastAsia" w:ascii="宋体" w:hAnsi="宋体" w:cs="宋体"/>
          <w:color w:val="auto"/>
          <w:szCs w:val="24"/>
        </w:rPr>
        <w:t>4.招标文件的澄清、答复、修改或补充都应该通过本代理机构以法定形式发布，采购人非通过本机构，不得擅自澄清、答复、修改或补充招标文件。</w:t>
      </w:r>
    </w:p>
    <w:p>
      <w:pPr>
        <w:pStyle w:val="33"/>
        <w:wordWrap w:val="0"/>
        <w:overflowPunct w:val="0"/>
        <w:autoSpaceDE w:val="0"/>
        <w:autoSpaceDN w:val="0"/>
        <w:snapToGrid w:val="0"/>
        <w:spacing w:line="400" w:lineRule="exact"/>
        <w:outlineLvl w:val="0"/>
        <w:rPr>
          <w:rFonts w:hAnsi="宋体" w:cs="宋体"/>
          <w:b/>
          <w:color w:val="auto"/>
          <w:sz w:val="28"/>
          <w:szCs w:val="28"/>
        </w:rPr>
      </w:pPr>
      <w:r>
        <w:rPr>
          <w:rFonts w:hint="eastAsia" w:hAnsi="宋体" w:cs="宋体"/>
          <w:b/>
          <w:color w:val="auto"/>
          <w:sz w:val="28"/>
          <w:szCs w:val="28"/>
        </w:rPr>
        <w:t>三、投标文件的编制</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(一)总体要求</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2.投标文件及投标人与采购有关的来往通知，函件和文件均应使用中文。</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3.投标文件的形式：投标文件为电子加密投标文件，按“政府采购项目电子交易管理操作指南-供应商”及本招标文件要求制作、加密并递交。</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（二）投标文件的组成</w:t>
      </w:r>
    </w:p>
    <w:p>
      <w:pPr>
        <w:pStyle w:val="33"/>
        <w:wordWrap w:val="0"/>
        <w:overflowPunct w:val="0"/>
        <w:autoSpaceDE w:val="0"/>
        <w:autoSpaceDN w:val="0"/>
        <w:snapToGrid w:val="0"/>
        <w:spacing w:line="400" w:lineRule="exact"/>
        <w:ind w:firstLine="482" w:firstLineChars="200"/>
        <w:outlineLvl w:val="0"/>
        <w:rPr>
          <w:rFonts w:hAnsi="宋体" w:cs="宋体"/>
          <w:b/>
          <w:color w:val="auto"/>
          <w:sz w:val="24"/>
          <w:szCs w:val="24"/>
        </w:rPr>
      </w:pPr>
      <w:r>
        <w:rPr>
          <w:rFonts w:hint="eastAsia" w:hAnsi="宋体" w:cs="宋体"/>
          <w:b/>
          <w:color w:val="auto"/>
          <w:sz w:val="24"/>
          <w:szCs w:val="24"/>
        </w:rPr>
        <w:t>本项目所涉投标文件格式请详见第六章，未给出的格式请自拟。资格文件及商务技术文件中不得出现报价，否则投标文件将被视为无效。投标文件中所须加盖公章部分均采用CA签章。</w:t>
      </w:r>
    </w:p>
    <w:p>
      <w:pPr>
        <w:pStyle w:val="33"/>
        <w:wordWrap w:val="0"/>
        <w:overflowPunct w:val="0"/>
        <w:autoSpaceDE w:val="0"/>
        <w:autoSpaceDN w:val="0"/>
        <w:snapToGrid w:val="0"/>
        <w:spacing w:line="400" w:lineRule="exact"/>
        <w:ind w:firstLine="482" w:firstLineChars="200"/>
        <w:rPr>
          <w:rFonts w:hAnsi="宋体" w:cs="宋体"/>
          <w:b/>
          <w:bCs/>
          <w:color w:val="auto"/>
          <w:sz w:val="24"/>
          <w:szCs w:val="24"/>
        </w:rPr>
      </w:pPr>
      <w:r>
        <w:rPr>
          <w:rFonts w:hint="eastAsia" w:hAnsi="宋体" w:cs="宋体"/>
          <w:b/>
          <w:bCs/>
          <w:color w:val="auto"/>
          <w:sz w:val="24"/>
          <w:szCs w:val="24"/>
        </w:rPr>
        <w:t>投标文件由资格文件、商务技术文件、报价文件三部分组成。</w:t>
      </w:r>
    </w:p>
    <w:p>
      <w:pPr>
        <w:pStyle w:val="33"/>
        <w:wordWrap w:val="0"/>
        <w:overflowPunct w:val="0"/>
        <w:autoSpaceDE w:val="0"/>
        <w:autoSpaceDN w:val="0"/>
        <w:snapToGrid w:val="0"/>
        <w:spacing w:line="400" w:lineRule="exact"/>
        <w:ind w:firstLine="482" w:firstLineChars="200"/>
        <w:rPr>
          <w:rFonts w:hAnsi="宋体" w:cs="宋体"/>
          <w:b/>
          <w:bCs/>
          <w:color w:val="auto"/>
          <w:sz w:val="24"/>
          <w:szCs w:val="24"/>
        </w:rPr>
      </w:pPr>
      <w:r>
        <w:rPr>
          <w:rFonts w:hint="eastAsia" w:hAnsi="宋体" w:cs="宋体"/>
          <w:b/>
          <w:bCs/>
          <w:color w:val="auto"/>
          <w:sz w:val="24"/>
          <w:szCs w:val="24"/>
        </w:rPr>
        <w:t>1.资格文件：</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1.1营业执照</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1.2</w:t>
      </w:r>
      <w:r>
        <w:rPr>
          <w:rFonts w:hint="eastAsia" w:cs="宋体"/>
        </w:rPr>
        <w:t>符合参加政府采购活动应当具备的一般条件的承诺函</w:t>
      </w:r>
      <w:r>
        <w:rPr>
          <w:rFonts w:hint="eastAsia" w:cs="宋体"/>
          <w:lang w:eastAsia="zh-CN"/>
        </w:rPr>
        <w:t>（</w:t>
      </w:r>
      <w:r>
        <w:rPr>
          <w:rFonts w:hint="eastAsia" w:cs="宋体"/>
        </w:rPr>
        <w:t>格式见第六章</w:t>
      </w:r>
      <w:r>
        <w:rPr>
          <w:rFonts w:hint="eastAsia" w:cs="宋体"/>
          <w:lang w:eastAsia="zh-CN"/>
        </w:rPr>
        <w:t>）</w:t>
      </w:r>
    </w:p>
    <w:p>
      <w:pPr>
        <w:pStyle w:val="58"/>
        <w:widowControl w:val="0"/>
        <w:overflowPunct w:val="0"/>
        <w:topLinePunct/>
        <w:autoSpaceDE w:val="0"/>
        <w:autoSpaceDN w:val="0"/>
        <w:adjustRightInd/>
        <w:spacing w:beforeAutospacing="0" w:afterAutospacing="0" w:line="400" w:lineRule="exact"/>
        <w:ind w:firstLine="481"/>
        <w:rPr>
          <w:rFonts w:hint="eastAsia" w:eastAsia="宋体" w:cs="宋体"/>
          <w:b/>
          <w:bCs/>
          <w:color w:val="auto"/>
          <w:lang w:eastAsia="zh-CN"/>
        </w:rPr>
      </w:pPr>
      <w:r>
        <w:rPr>
          <w:rFonts w:hint="eastAsia" w:cs="宋体"/>
          <w:b/>
          <w:bCs/>
          <w:color w:val="auto"/>
        </w:rPr>
        <w:t>2.商务技术文件</w:t>
      </w:r>
      <w:r>
        <w:rPr>
          <w:rFonts w:hint="eastAsia" w:cs="宋体"/>
          <w:b/>
          <w:bCs/>
          <w:color w:val="auto"/>
          <w:lang w:eastAsia="zh-CN"/>
        </w:rPr>
        <w:t>：</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2.1自评表（格式见第六章）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2.2投标声明书（格式见第六章）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2.3法定代表人授权委托书（格式见第六章）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2.4诚信承诺书（格式见第六章）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2.5商务响应表（格式见第六章）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w:t>
      </w:r>
      <w:r>
        <w:rPr>
          <w:rFonts w:hint="eastAsia" w:cs="宋体"/>
          <w:color w:val="auto"/>
          <w:lang w:val="en-US" w:eastAsia="zh-CN"/>
        </w:rPr>
        <w:t>6</w:t>
      </w:r>
      <w:r>
        <w:rPr>
          <w:rFonts w:hint="eastAsia" w:cs="宋体"/>
          <w:color w:val="auto"/>
        </w:rPr>
        <w:t>技术响应表（格式见第六章）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w:t>
      </w:r>
      <w:r>
        <w:rPr>
          <w:rFonts w:hint="eastAsia" w:cs="宋体"/>
          <w:color w:val="auto"/>
          <w:lang w:val="en-US" w:eastAsia="zh-CN"/>
        </w:rPr>
        <w:t>7</w:t>
      </w:r>
      <w:r>
        <w:rPr>
          <w:rFonts w:hint="eastAsia" w:cs="宋体"/>
          <w:color w:val="auto"/>
        </w:rPr>
        <w:t>网站</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w:t>
      </w:r>
      <w:r>
        <w:rPr>
          <w:rFonts w:hint="eastAsia" w:cs="宋体"/>
          <w:color w:val="auto"/>
          <w:lang w:val="en-US" w:eastAsia="zh-CN"/>
        </w:rPr>
        <w:t>8</w:t>
      </w:r>
      <w:r>
        <w:rPr>
          <w:rFonts w:hint="eastAsia" w:cs="宋体"/>
          <w:color w:val="auto"/>
        </w:rPr>
        <w:t>相关证书</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w:t>
      </w:r>
      <w:r>
        <w:rPr>
          <w:rFonts w:hint="eastAsia" w:cs="宋体"/>
          <w:color w:val="auto"/>
          <w:lang w:val="en-US" w:eastAsia="zh-CN"/>
        </w:rPr>
        <w:t>9</w:t>
      </w:r>
      <w:r>
        <w:rPr>
          <w:rFonts w:hint="eastAsia" w:cs="宋体"/>
          <w:color w:val="auto"/>
        </w:rPr>
        <w:t>同类业绩（格式见第六章）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2.1</w:t>
      </w:r>
      <w:r>
        <w:rPr>
          <w:rFonts w:hint="eastAsia" w:cs="宋体"/>
          <w:color w:val="auto"/>
          <w:lang w:val="en-US" w:eastAsia="zh-CN"/>
        </w:rPr>
        <w:t>0</w:t>
      </w:r>
      <w:r>
        <w:rPr>
          <w:rFonts w:hint="eastAsia" w:cs="宋体"/>
          <w:color w:val="auto"/>
        </w:rPr>
        <w:t>采购能力</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2.1</w:t>
      </w:r>
      <w:r>
        <w:rPr>
          <w:rFonts w:hint="eastAsia" w:cs="宋体"/>
          <w:color w:val="auto"/>
          <w:lang w:val="en-US" w:eastAsia="zh-CN"/>
        </w:rPr>
        <w:t>1</w:t>
      </w:r>
      <w:r>
        <w:rPr>
          <w:rFonts w:hint="eastAsia" w:cs="宋体"/>
          <w:color w:val="auto"/>
        </w:rPr>
        <w:t>加工能力</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2.1</w:t>
      </w:r>
      <w:r>
        <w:rPr>
          <w:rFonts w:hint="eastAsia" w:cs="宋体"/>
          <w:color w:val="auto"/>
          <w:lang w:val="en-US" w:eastAsia="zh-CN"/>
        </w:rPr>
        <w:t>2</w:t>
      </w:r>
      <w:r>
        <w:rPr>
          <w:rFonts w:hint="eastAsia" w:cs="宋体"/>
          <w:color w:val="auto"/>
        </w:rPr>
        <w:t>现采门店</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2.1</w:t>
      </w:r>
      <w:r>
        <w:rPr>
          <w:rFonts w:hint="eastAsia" w:cs="宋体"/>
          <w:color w:val="auto"/>
          <w:lang w:val="en-US" w:eastAsia="zh-CN"/>
        </w:rPr>
        <w:t>3</w:t>
      </w:r>
      <w:r>
        <w:rPr>
          <w:rFonts w:hint="eastAsia" w:cs="宋体"/>
          <w:color w:val="auto"/>
        </w:rPr>
        <w:t>订购到书率</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2.1</w:t>
      </w:r>
      <w:r>
        <w:rPr>
          <w:rFonts w:hint="eastAsia" w:cs="宋体"/>
          <w:color w:val="auto"/>
          <w:lang w:val="en-US" w:eastAsia="zh-CN"/>
        </w:rPr>
        <w:t>4</w:t>
      </w:r>
      <w:r>
        <w:rPr>
          <w:rFonts w:hint="eastAsia" w:cs="宋体"/>
          <w:color w:val="auto"/>
        </w:rPr>
        <w:t>本地化服务能力</w:t>
      </w:r>
    </w:p>
    <w:p>
      <w:pPr>
        <w:pStyle w:val="58"/>
        <w:widowControl w:val="0"/>
        <w:overflowPunct w:val="0"/>
        <w:topLinePunct/>
        <w:autoSpaceDE w:val="0"/>
        <w:autoSpaceDN w:val="0"/>
        <w:adjustRightInd/>
        <w:spacing w:beforeAutospacing="0" w:afterAutospacing="0" w:line="400" w:lineRule="exact"/>
        <w:ind w:firstLine="481"/>
        <w:rPr>
          <w:rFonts w:hint="eastAsia" w:cs="宋体"/>
          <w:color w:val="auto"/>
          <w:lang w:eastAsia="zh-CN"/>
        </w:rPr>
      </w:pPr>
      <w:r>
        <w:rPr>
          <w:rFonts w:hint="eastAsia" w:cs="宋体"/>
          <w:color w:val="auto"/>
        </w:rPr>
        <w:t>2.1</w:t>
      </w:r>
      <w:r>
        <w:rPr>
          <w:rFonts w:hint="eastAsia" w:cs="宋体"/>
          <w:color w:val="auto"/>
          <w:lang w:val="en-US" w:eastAsia="zh-CN"/>
        </w:rPr>
        <w:t>5</w:t>
      </w:r>
      <w:r>
        <w:rPr>
          <w:rFonts w:hint="eastAsia" w:cs="宋体"/>
          <w:color w:val="auto"/>
        </w:rPr>
        <w:t>实施方案</w:t>
      </w:r>
      <w:r>
        <w:rPr>
          <w:rFonts w:hint="eastAsia" w:cs="宋体"/>
          <w:color w:val="auto"/>
          <w:lang w:eastAsia="zh-CN"/>
        </w:rPr>
        <w:t>、</w:t>
      </w:r>
      <w:r>
        <w:rPr>
          <w:rFonts w:hint="eastAsia" w:cs="宋体"/>
          <w:color w:val="auto"/>
        </w:rPr>
        <w:t>加工方案</w:t>
      </w:r>
      <w:r>
        <w:rPr>
          <w:rFonts w:hint="eastAsia" w:cs="宋体"/>
          <w:color w:val="auto"/>
          <w:lang w:eastAsia="zh-CN"/>
        </w:rPr>
        <w:t>、</w:t>
      </w:r>
      <w:r>
        <w:rPr>
          <w:rFonts w:hint="eastAsia" w:cs="宋体"/>
          <w:color w:val="auto"/>
        </w:rPr>
        <w:t>增值方案</w:t>
      </w:r>
      <w:r>
        <w:rPr>
          <w:rFonts w:hint="eastAsia" w:cs="宋体"/>
          <w:color w:val="auto"/>
          <w:lang w:eastAsia="zh-CN"/>
        </w:rPr>
        <w:t>、</w:t>
      </w:r>
      <w:r>
        <w:rPr>
          <w:rFonts w:hint="eastAsia" w:cs="宋体"/>
          <w:color w:val="auto"/>
        </w:rPr>
        <w:t>应急方案</w:t>
      </w:r>
      <w:r>
        <w:rPr>
          <w:rFonts w:hint="eastAsia" w:cs="宋体"/>
          <w:color w:val="auto"/>
          <w:lang w:eastAsia="zh-CN"/>
        </w:rPr>
        <w:t>、</w:t>
      </w:r>
      <w:r>
        <w:rPr>
          <w:rFonts w:hint="eastAsia" w:cs="宋体"/>
          <w:color w:val="auto"/>
        </w:rPr>
        <w:t>售后方案</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lang w:val="en-US" w:eastAsia="zh-CN"/>
        </w:rPr>
        <w:t>2.16</w:t>
      </w:r>
      <w:r>
        <w:rPr>
          <w:rFonts w:hint="eastAsia" w:cs="宋体"/>
          <w:color w:val="auto"/>
        </w:rPr>
        <w:t>其他（如果有）</w:t>
      </w:r>
    </w:p>
    <w:p>
      <w:pPr>
        <w:pStyle w:val="33"/>
        <w:wordWrap w:val="0"/>
        <w:overflowPunct w:val="0"/>
        <w:autoSpaceDE w:val="0"/>
        <w:autoSpaceDN w:val="0"/>
        <w:snapToGrid w:val="0"/>
        <w:spacing w:line="400" w:lineRule="exact"/>
        <w:ind w:firstLine="482" w:firstLineChars="200"/>
        <w:rPr>
          <w:rFonts w:hAnsi="宋体" w:cs="宋体"/>
          <w:b/>
          <w:bCs/>
          <w:color w:val="auto"/>
          <w:sz w:val="24"/>
          <w:szCs w:val="24"/>
        </w:rPr>
      </w:pPr>
      <w:r>
        <w:rPr>
          <w:rFonts w:hint="eastAsia" w:hAnsi="宋体" w:cs="宋体"/>
          <w:b/>
          <w:bCs/>
          <w:color w:val="auto"/>
          <w:sz w:val="24"/>
          <w:szCs w:val="24"/>
        </w:rPr>
        <w:t>3.报价文件：</w:t>
      </w:r>
    </w:p>
    <w:p>
      <w:pPr>
        <w:pStyle w:val="33"/>
        <w:wordWrap w:val="0"/>
        <w:overflowPunct w:val="0"/>
        <w:autoSpaceDE w:val="0"/>
        <w:autoSpaceDN w:val="0"/>
        <w:adjustRightInd/>
        <w:snapToGrid w:val="0"/>
        <w:spacing w:line="400" w:lineRule="exact"/>
        <w:ind w:firstLine="480" w:firstLineChars="200"/>
        <w:rPr>
          <w:rFonts w:hAnsi="宋体" w:cs="宋体"/>
          <w:color w:val="auto"/>
          <w:sz w:val="24"/>
          <w:szCs w:val="24"/>
        </w:rPr>
      </w:pPr>
      <w:r>
        <w:rPr>
          <w:rFonts w:hint="eastAsia" w:hAnsi="宋体" w:cs="宋体"/>
          <w:color w:val="auto"/>
          <w:sz w:val="24"/>
          <w:szCs w:val="24"/>
        </w:rPr>
        <w:t>3.1投标函（格式见第六章）</w:t>
      </w:r>
    </w:p>
    <w:p>
      <w:pPr>
        <w:pStyle w:val="33"/>
        <w:wordWrap w:val="0"/>
        <w:overflowPunct w:val="0"/>
        <w:autoSpaceDE w:val="0"/>
        <w:autoSpaceDN w:val="0"/>
        <w:adjustRightInd/>
        <w:snapToGrid w:val="0"/>
        <w:spacing w:line="400" w:lineRule="exact"/>
        <w:ind w:firstLine="480" w:firstLineChars="200"/>
        <w:rPr>
          <w:rFonts w:hAnsi="宋体" w:cs="宋体"/>
          <w:color w:val="auto"/>
          <w:sz w:val="24"/>
          <w:szCs w:val="24"/>
        </w:rPr>
      </w:pPr>
      <w:r>
        <w:rPr>
          <w:rFonts w:hint="eastAsia" w:hAnsi="宋体" w:cs="宋体"/>
          <w:color w:val="auto"/>
          <w:sz w:val="24"/>
          <w:szCs w:val="24"/>
        </w:rPr>
        <w:t>3.2开标一览表（格式见第六章）</w:t>
      </w:r>
    </w:p>
    <w:p>
      <w:pPr>
        <w:pStyle w:val="58"/>
        <w:widowControl w:val="0"/>
        <w:overflowPunct w:val="0"/>
        <w:topLinePunct/>
        <w:autoSpaceDE w:val="0"/>
        <w:autoSpaceDN w:val="0"/>
        <w:adjustRightInd/>
        <w:spacing w:beforeAutospacing="0" w:afterAutospacing="0" w:line="400" w:lineRule="exact"/>
        <w:ind w:firstLine="481"/>
        <w:rPr>
          <w:rFonts w:hint="eastAsia" w:cs="宋体"/>
          <w:color w:val="auto"/>
          <w:lang w:val="en-US" w:eastAsia="zh-CN"/>
        </w:rPr>
      </w:pPr>
      <w:r>
        <w:rPr>
          <w:rFonts w:hint="eastAsia" w:hAnsi="宋体" w:cs="宋体"/>
          <w:color w:val="auto"/>
          <w:sz w:val="24"/>
          <w:szCs w:val="24"/>
        </w:rPr>
        <w:t>3.3</w:t>
      </w:r>
      <w:r>
        <w:rPr>
          <w:rFonts w:hint="eastAsia" w:cs="宋体"/>
          <w:color w:val="auto"/>
        </w:rPr>
        <w:t>中小企业声明函或监狱和戒毒企业企业证明材料或残疾人福利性单位声明函（格式见第六章）</w:t>
      </w:r>
    </w:p>
    <w:p>
      <w:pPr>
        <w:pStyle w:val="58"/>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lang w:val="en-US" w:eastAsia="zh-CN"/>
        </w:rPr>
        <w:t>3.4</w:t>
      </w:r>
      <w:r>
        <w:rPr>
          <w:rFonts w:hint="eastAsia" w:cs="宋体"/>
          <w:color w:val="auto"/>
        </w:rPr>
        <w:t>其他（如果有）</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 xml:space="preserve">  4.投标文件内容填写说明 </w:t>
      </w:r>
    </w:p>
    <w:p>
      <w:pPr>
        <w:wordWrap w:val="0"/>
        <w:overflowPunct w:val="0"/>
        <w:autoSpaceDE w:val="0"/>
        <w:autoSpaceDN w:val="0"/>
        <w:snapToGrid w:val="0"/>
        <w:spacing w:line="400" w:lineRule="exact"/>
        <w:jc w:val="left"/>
        <w:rPr>
          <w:rFonts w:ascii="宋体" w:hAnsi="宋体" w:cs="宋体"/>
          <w:bCs/>
          <w:color w:val="auto"/>
          <w:sz w:val="24"/>
        </w:rPr>
      </w:pPr>
      <w:r>
        <w:rPr>
          <w:rFonts w:hint="eastAsia" w:ascii="宋体" w:hAnsi="宋体" w:cs="宋体"/>
          <w:color w:val="auto"/>
          <w:sz w:val="24"/>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（4）《开标一览表》为在开标仪式上唱标的内容，要求按格式填写、统一规范，不得自行增减内容。</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（7）投标响应文件不得涂改和增删，如有错漏必须修改。</w:t>
      </w:r>
    </w:p>
    <w:p>
      <w:pPr>
        <w:wordWrap w:val="0"/>
        <w:overflowPunct w:val="0"/>
        <w:autoSpaceDE w:val="0"/>
        <w:autoSpaceDN w:val="0"/>
        <w:snapToGrid w:val="0"/>
        <w:spacing w:line="400" w:lineRule="exact"/>
        <w:rPr>
          <w:rFonts w:ascii="宋体" w:hAnsi="宋体" w:cs="宋体"/>
          <w:b/>
          <w:bCs/>
          <w:color w:val="auto"/>
          <w:sz w:val="24"/>
        </w:rPr>
      </w:pPr>
      <w:r>
        <w:rPr>
          <w:rFonts w:hint="eastAsia" w:ascii="宋体" w:hAnsi="宋体" w:cs="宋体"/>
          <w:color w:val="auto"/>
          <w:sz w:val="24"/>
        </w:rPr>
        <w:t xml:space="preserve">    （8）由于字迹模糊或表达不清引起的后果由供应商负责。</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（三）投标文件的语言及计量</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▲2投标计量单位，招标文件已有明确规定的，使用招标文件规定的计量单位；招标文件没有规定的，应采用中华人民共和国法定计量单位（货币单位：人民币元），否则视同未响应。</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（四）投标报价</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1.投标报价应按招标文件中相关附表格式填写。</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▲2.投标报价是履行合同的最终价格，应包括所需的一切费用及不可预见的其他全部费用和税金。</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▲3.投标文件只允许有一个报价，有选择的或有条件的报价将不予接受。</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（五）投标文件的有效期</w:t>
      </w:r>
    </w:p>
    <w:p>
      <w:pPr>
        <w:pStyle w:val="15"/>
        <w:widowControl w:val="0"/>
        <w:tabs>
          <w:tab w:val="left" w:pos="720"/>
          <w:tab w:val="clear" w:pos="390"/>
        </w:tabs>
        <w:wordWrap w:val="0"/>
        <w:overflowPunct w:val="0"/>
        <w:autoSpaceDE w:val="0"/>
        <w:autoSpaceDN w:val="0"/>
        <w:snapToGrid w:val="0"/>
        <w:spacing w:afterLines="0" w:line="400" w:lineRule="exact"/>
        <w:ind w:left="0" w:firstLine="480" w:firstLineChars="200"/>
        <w:rPr>
          <w:rFonts w:ascii="宋体" w:hAnsi="宋体" w:cs="宋体"/>
          <w:color w:val="auto"/>
          <w:szCs w:val="24"/>
        </w:rPr>
      </w:pPr>
      <w:r>
        <w:rPr>
          <w:rFonts w:hint="eastAsia" w:ascii="宋体" w:hAnsi="宋体" w:cs="宋体"/>
          <w:color w:val="auto"/>
          <w:szCs w:val="24"/>
        </w:rPr>
        <w:t>▲1.自投标截止日起</w:t>
      </w:r>
      <w:r>
        <w:rPr>
          <w:rFonts w:hint="eastAsia" w:ascii="宋体" w:hAnsi="宋体" w:cs="宋体"/>
          <w:color w:val="auto"/>
          <w:szCs w:val="24"/>
          <w:u w:val="single"/>
        </w:rPr>
        <w:t xml:space="preserve"> 90</w:t>
      </w:r>
      <w:r>
        <w:rPr>
          <w:rFonts w:hint="eastAsia" w:ascii="宋体" w:hAnsi="宋体" w:cs="宋体"/>
          <w:color w:val="auto"/>
          <w:szCs w:val="24"/>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Lines="0" w:line="400" w:lineRule="exact"/>
        <w:ind w:left="0" w:firstLine="480" w:firstLineChars="200"/>
        <w:rPr>
          <w:rFonts w:ascii="宋体" w:hAnsi="宋体" w:cs="宋体"/>
          <w:color w:val="auto"/>
          <w:szCs w:val="24"/>
        </w:rPr>
      </w:pPr>
      <w:r>
        <w:rPr>
          <w:rFonts w:hint="eastAsia" w:ascii="宋体" w:hAnsi="宋体" w:cs="宋体"/>
          <w:color w:val="auto"/>
          <w:szCs w:val="24"/>
        </w:rPr>
        <w:t>2.在特殊情况下，招标人可与投标人协商延长投标书的有效期，这种要求和答复均以书面形式进行。</w:t>
      </w:r>
    </w:p>
    <w:p>
      <w:pPr>
        <w:wordWrap w:val="0"/>
        <w:overflowPunct w:val="0"/>
        <w:autoSpaceDE w:val="0"/>
        <w:autoSpaceDN w:val="0"/>
        <w:snapToGrid w:val="0"/>
        <w:spacing w:line="400" w:lineRule="exact"/>
        <w:ind w:firstLine="480" w:firstLineChars="200"/>
        <w:jc w:val="left"/>
        <w:outlineLvl w:val="0"/>
        <w:rPr>
          <w:rFonts w:ascii="宋体" w:hAnsi="宋体" w:cs="宋体"/>
          <w:color w:val="auto"/>
          <w:sz w:val="24"/>
        </w:rPr>
      </w:pPr>
      <w:r>
        <w:rPr>
          <w:rFonts w:hint="eastAsia" w:ascii="宋体" w:hAnsi="宋体" w:cs="宋体"/>
          <w:color w:val="auto"/>
          <w:sz w:val="24"/>
        </w:rPr>
        <w:t>3.中标人的投标文件自开标之日起至合同履行完毕止均应保持有效。</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（六）投标保证金：无</w:t>
      </w:r>
    </w:p>
    <w:p>
      <w:pPr>
        <w:pStyle w:val="33"/>
        <w:wordWrap w:val="0"/>
        <w:overflowPunct w:val="0"/>
        <w:autoSpaceDE w:val="0"/>
        <w:autoSpaceDN w:val="0"/>
        <w:snapToGrid w:val="0"/>
        <w:spacing w:line="400" w:lineRule="exact"/>
        <w:outlineLvl w:val="0"/>
        <w:rPr>
          <w:rFonts w:hAnsi="宋体" w:cs="宋体"/>
          <w:b/>
          <w:color w:val="auto"/>
          <w:sz w:val="24"/>
          <w:szCs w:val="24"/>
        </w:rPr>
      </w:pPr>
      <w:bookmarkStart w:id="18" w:name="_Toc359856802"/>
      <w:r>
        <w:rPr>
          <w:rFonts w:hint="eastAsia" w:hAnsi="宋体" w:cs="宋体"/>
          <w:b/>
          <w:color w:val="auto"/>
          <w:sz w:val="24"/>
          <w:szCs w:val="24"/>
        </w:rPr>
        <w:t>（七）投标文件的签署及规定</w:t>
      </w:r>
      <w:bookmarkEnd w:id="18"/>
    </w:p>
    <w:p>
      <w:pPr>
        <w:wordWrap w:val="0"/>
        <w:overflowPunct w:val="0"/>
        <w:autoSpaceDE w:val="0"/>
        <w:autoSpaceDN w:val="0"/>
        <w:snapToGrid w:val="0"/>
        <w:spacing w:line="400" w:lineRule="exact"/>
        <w:ind w:firstLine="480" w:firstLineChars="200"/>
        <w:jc w:val="left"/>
        <w:outlineLvl w:val="1"/>
        <w:rPr>
          <w:rFonts w:ascii="宋体" w:hAnsi="宋体" w:cs="宋体"/>
          <w:bCs/>
          <w:color w:val="auto"/>
          <w:sz w:val="24"/>
        </w:rPr>
      </w:pPr>
      <w:r>
        <w:rPr>
          <w:rFonts w:hint="eastAsia" w:ascii="宋体" w:hAnsi="宋体" w:cs="宋体"/>
          <w:bCs/>
          <w:color w:val="auto"/>
          <w:sz w:val="24"/>
        </w:rPr>
        <w:t>电子投标文件按政采云平台供应商项目采购-电子招投标操作指南（网址：</w:t>
      </w:r>
      <w:r>
        <w:rPr>
          <w:color w:val="auto"/>
        </w:rPr>
        <w:fldChar w:fldCharType="begin"/>
      </w:r>
      <w:r>
        <w:rPr>
          <w:color w:val="auto"/>
        </w:rPr>
        <w:instrText xml:space="preserve"> HYPERLINK "https://help.zcy.gov.cn/web/site_2/2018/12-28/2573.html）及本招标文件规定的格式和顺序编制电子投标文件并进行关联定位。" </w:instrText>
      </w:r>
      <w:r>
        <w:rPr>
          <w:color w:val="auto"/>
        </w:rPr>
        <w:fldChar w:fldCharType="separate"/>
      </w:r>
      <w:r>
        <w:rPr>
          <w:rFonts w:hint="eastAsia" w:ascii="宋体" w:hAnsi="宋体" w:cs="宋体"/>
          <w:bCs/>
          <w:color w:val="auto"/>
          <w:sz w:val="24"/>
        </w:rPr>
        <w:t>https://service.zcygov.cn/#/knowledges/CW1EtGwBFdiHxlNd6I3m/6IMVAG0BFdiHxlNdQ8Na?keyword</w:t>
      </w:r>
      <w:r>
        <w:rPr>
          <w:rStyle w:val="76"/>
          <w:rFonts w:hint="eastAsia" w:ascii="宋体" w:hAnsi="宋体" w:eastAsia="宋体" w:cs="宋体"/>
          <w:bCs/>
          <w:color w:val="auto"/>
          <w:sz w:val="24"/>
          <w:szCs w:val="24"/>
        </w:rPr>
        <w:t>）及本招标文件规定的格式和顺序编制电子投标文件并进行关联定位。</w:t>
      </w:r>
      <w:r>
        <w:rPr>
          <w:rStyle w:val="76"/>
          <w:rFonts w:hint="eastAsia" w:ascii="宋体" w:hAnsi="宋体" w:eastAsia="宋体" w:cs="宋体"/>
          <w:bCs/>
          <w:color w:val="auto"/>
          <w:sz w:val="24"/>
          <w:szCs w:val="24"/>
        </w:rPr>
        <w:fldChar w:fldCharType="end"/>
      </w:r>
    </w:p>
    <w:p>
      <w:pPr>
        <w:pStyle w:val="33"/>
        <w:wordWrap w:val="0"/>
        <w:overflowPunct w:val="0"/>
        <w:autoSpaceDE w:val="0"/>
        <w:autoSpaceDN w:val="0"/>
        <w:snapToGrid w:val="0"/>
        <w:spacing w:line="400" w:lineRule="exact"/>
        <w:outlineLvl w:val="0"/>
        <w:rPr>
          <w:rFonts w:hAnsi="宋体" w:cs="宋体"/>
          <w:b/>
          <w:color w:val="auto"/>
          <w:sz w:val="24"/>
          <w:szCs w:val="24"/>
        </w:rPr>
      </w:pPr>
      <w:bookmarkStart w:id="19" w:name="_Toc356371437"/>
      <w:bookmarkStart w:id="20" w:name="_Toc359856803"/>
      <w:r>
        <w:rPr>
          <w:rFonts w:hint="eastAsia" w:hAnsi="宋体" w:cs="宋体"/>
          <w:b/>
          <w:color w:val="auto"/>
          <w:sz w:val="24"/>
          <w:szCs w:val="24"/>
        </w:rPr>
        <w:t>（八）投标文件的递交</w:t>
      </w:r>
      <w:bookmarkEnd w:id="19"/>
      <w:bookmarkEnd w:id="20"/>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1.递交投标文件截止期</w:t>
      </w:r>
    </w:p>
    <w:p>
      <w:pPr>
        <w:wordWrap w:val="0"/>
        <w:overflowPunct w:val="0"/>
        <w:autoSpaceDE w:val="0"/>
        <w:autoSpaceDN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2.投标文件的修改和撤销</w:t>
      </w:r>
    </w:p>
    <w:p>
      <w:pPr>
        <w:wordWrap w:val="0"/>
        <w:overflowPunct w:val="0"/>
        <w:autoSpaceDE w:val="0"/>
        <w:autoSpaceDN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（2）投标人修改后的投标文件应按原来的规定编制、密封、标记和递交。</w:t>
      </w:r>
    </w:p>
    <w:p>
      <w:pPr>
        <w:wordWrap w:val="0"/>
        <w:overflowPunct w:val="0"/>
        <w:autoSpaceDE w:val="0"/>
        <w:autoSpaceDN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（3）在递交投标文件截止期之后，投标人不得对其投标文件做任何修改。</w:t>
      </w:r>
    </w:p>
    <w:p>
      <w:pPr>
        <w:wordWrap w:val="0"/>
        <w:overflowPunct w:val="0"/>
        <w:autoSpaceDE w:val="0"/>
        <w:autoSpaceDN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（4）递交投标文件截止期后，投标人不得撤回其投标文件。</w:t>
      </w:r>
    </w:p>
    <w:p>
      <w:pPr>
        <w:wordWrap w:val="0"/>
        <w:overflowPunct w:val="0"/>
        <w:autoSpaceDE w:val="0"/>
        <w:autoSpaceDN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3.备份投标文件</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bCs/>
          <w:color w:val="auto"/>
          <w:sz w:val="24"/>
        </w:rPr>
        <w:t>（1）</w:t>
      </w:r>
      <w:r>
        <w:rPr>
          <w:rFonts w:hint="eastAsia" w:ascii="宋体" w:hAnsi="宋体" w:cs="宋体"/>
          <w:color w:val="auto"/>
          <w:sz w:val="24"/>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bCs/>
          <w:color w:val="auto"/>
          <w:sz w:val="24"/>
        </w:rPr>
        <w:t>（2）</w:t>
      </w:r>
      <w:r>
        <w:rPr>
          <w:rFonts w:hint="eastAsia" w:ascii="宋体" w:hAnsi="宋体" w:cs="宋体"/>
          <w:color w:val="auto"/>
          <w:sz w:val="24"/>
        </w:rPr>
        <w:t>备份投标文件须在“政采云投标客户端”制作生成，并储存在</w:t>
      </w:r>
      <w:r>
        <w:rPr>
          <w:rFonts w:hint="eastAsia" w:ascii="宋体" w:hAnsi="宋体" w:cs="宋体"/>
          <w:color w:val="auto"/>
          <w:sz w:val="24"/>
          <w:lang w:val="en-US" w:eastAsia="zh-CN"/>
        </w:rPr>
        <w:t>U</w:t>
      </w:r>
      <w:r>
        <w:rPr>
          <w:rFonts w:hint="eastAsia" w:ascii="宋体" w:hAnsi="宋体" w:cs="宋体"/>
          <w:color w:val="auto"/>
          <w:sz w:val="24"/>
        </w:rPr>
        <w:t>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bCs/>
          <w:color w:val="auto"/>
          <w:sz w:val="24"/>
        </w:rPr>
        <w:t>（3）</w:t>
      </w:r>
      <w:r>
        <w:rPr>
          <w:rFonts w:hint="eastAsia" w:ascii="宋体" w:hAnsi="宋体" w:cs="宋体"/>
          <w:color w:val="auto"/>
          <w:sz w:val="24"/>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bCs/>
          <w:color w:val="auto"/>
          <w:sz w:val="24"/>
        </w:rPr>
        <w:t>（4）</w:t>
      </w:r>
      <w:r>
        <w:rPr>
          <w:rFonts w:hint="eastAsia" w:ascii="宋体" w:hAnsi="宋体" w:cs="宋体"/>
          <w:color w:val="auto"/>
          <w:sz w:val="24"/>
        </w:rPr>
        <w:t>以邮政快递方式递交备份投标文件的，投标人应先将备份投标文件按要求密封和标记，再进行邮政快递包装后邮寄。</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bCs/>
          <w:color w:val="auto"/>
          <w:sz w:val="24"/>
        </w:rPr>
        <w:t>（5）</w:t>
      </w:r>
      <w:r>
        <w:rPr>
          <w:rFonts w:hint="eastAsia" w:ascii="宋体" w:hAnsi="宋体" w:cs="宋体"/>
          <w:color w:val="auto"/>
          <w:sz w:val="24"/>
        </w:rPr>
        <w:t>投标人仅提交备份投标文件，没有在电子交易平台传输递交投标文件的，投标无效。</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（九）投标无效的情形</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根据《政府采购货物和服务招标投标管理办法》有下列情形之一的，视为投标人串通投标，其投标无效：</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(一)不同投标人的投标文件由同一单位或者个人编制；</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(二)不同投标人委托同一单位或者个人办理投标事宜；</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(三)不同投标人的投标文件载明的项目管理成员或者联系人员为同一人；</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(四)不同投标人的投标文件异常一致或者投标报价呈规律性差异；</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(五)不同投标人的投标文件相互混装；</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(六)不同投标人的投标保证金从同一单位或者个人的账户转出。</w:t>
      </w:r>
    </w:p>
    <w:p>
      <w:pPr>
        <w:wordWrap w:val="0"/>
        <w:overflowPunct w:val="0"/>
        <w:autoSpaceDE w:val="0"/>
        <w:autoSpaceDN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3"/>
        </w:numPr>
        <w:wordWrap w:val="0"/>
        <w:overflowPunct w:val="0"/>
        <w:autoSpaceDE w:val="0"/>
        <w:autoSpaceDN w:val="0"/>
        <w:snapToGrid w:val="0"/>
        <w:spacing w:line="400" w:lineRule="exact"/>
        <w:ind w:firstLine="466" w:firstLineChars="200"/>
        <w:jc w:val="left"/>
        <w:rPr>
          <w:rFonts w:ascii="宋体" w:hAnsi="宋体" w:cs="宋体"/>
          <w:b/>
          <w:bCs/>
          <w:color w:val="auto"/>
          <w:sz w:val="24"/>
        </w:rPr>
      </w:pPr>
      <w:r>
        <w:rPr>
          <w:rFonts w:hint="eastAsia" w:ascii="宋体" w:hAnsi="宋体" w:cs="宋体"/>
          <w:b/>
          <w:bCs/>
          <w:color w:val="auto"/>
          <w:spacing w:val="-4"/>
          <w:sz w:val="24"/>
        </w:rPr>
        <w:t>电</w:t>
      </w:r>
      <w:r>
        <w:rPr>
          <w:rFonts w:hint="eastAsia" w:ascii="宋体" w:hAnsi="宋体" w:cs="宋体"/>
          <w:b/>
          <w:bCs/>
          <w:color w:val="auto"/>
          <w:sz w:val="24"/>
        </w:rPr>
        <w:t xml:space="preserve">子加密投标文件解密失败的；   </w:t>
      </w:r>
    </w:p>
    <w:p>
      <w:pPr>
        <w:wordWrap w:val="0"/>
        <w:overflowPunct w:val="0"/>
        <w:autoSpaceDE w:val="0"/>
        <w:autoSpaceDN w:val="0"/>
        <w:snapToGrid w:val="0"/>
        <w:spacing w:line="400" w:lineRule="exact"/>
        <w:jc w:val="left"/>
        <w:rPr>
          <w:rFonts w:ascii="宋体" w:hAnsi="宋体" w:cs="宋体"/>
          <w:b/>
          <w:bCs/>
          <w:color w:val="auto"/>
          <w:sz w:val="24"/>
        </w:rPr>
      </w:pPr>
      <w:r>
        <w:rPr>
          <w:rFonts w:hint="eastAsia" w:ascii="宋体" w:hAnsi="宋体" w:cs="宋体"/>
          <w:b/>
          <w:bCs/>
          <w:color w:val="auto"/>
          <w:sz w:val="24"/>
        </w:rPr>
        <w:t xml:space="preserve">    2.没有通过资格审查的，投标文件将被视为无效。</w:t>
      </w:r>
    </w:p>
    <w:p>
      <w:pPr>
        <w:wordWrap w:val="0"/>
        <w:overflowPunct w:val="0"/>
        <w:autoSpaceDE w:val="0"/>
        <w:autoSpaceDN w:val="0"/>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3.在符合性审查和资信商务评审时，如发现下列情形之一的，投标文件将被视为无效：</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（1）电子投标文件未按规定要求提供电子签章的。</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（2）在资格文件或商务技术文件中出现报价的；</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（3）资格证明文件不全的，或者不符合招标文件标明的资格要求的；</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（4）投标文件无法定代表人签字（或盖章）,或未</w:t>
      </w:r>
      <w:r>
        <w:rPr>
          <w:rFonts w:hint="eastAsia" w:ascii="宋体" w:hAnsi="宋体" w:cs="宋体"/>
          <w:bCs/>
          <w:color w:val="auto"/>
          <w:kern w:val="0"/>
          <w:sz w:val="24"/>
        </w:rPr>
        <w:t>提供法定代表人授权委托书、投标声明书或者填写项目不齐全的；</w:t>
      </w:r>
    </w:p>
    <w:p>
      <w:pPr>
        <w:wordWrap w:val="0"/>
        <w:overflowPunct w:val="0"/>
        <w:autoSpaceDE w:val="0"/>
        <w:autoSpaceDN w:val="0"/>
        <w:snapToGrid w:val="0"/>
        <w:spacing w:line="400" w:lineRule="exact"/>
        <w:ind w:firstLine="480" w:firstLineChars="200"/>
        <w:rPr>
          <w:rFonts w:ascii="宋体" w:hAnsi="宋体" w:cs="宋体"/>
          <w:bCs/>
          <w:color w:val="auto"/>
          <w:kern w:val="0"/>
          <w:sz w:val="24"/>
        </w:rPr>
      </w:pPr>
      <w:r>
        <w:rPr>
          <w:rFonts w:hint="eastAsia" w:ascii="宋体" w:hAnsi="宋体" w:cs="宋体"/>
          <w:color w:val="auto"/>
          <w:sz w:val="24"/>
        </w:rPr>
        <w:t>（5）投标代表人未能出具身份证明或与法定代表人授权委托人身份不符的；</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（6）投标文件项目不齐全或者内容虚假的；</w:t>
      </w:r>
    </w:p>
    <w:p>
      <w:pPr>
        <w:pStyle w:val="25"/>
        <w:wordWrap w:val="0"/>
        <w:overflowPunct w:val="0"/>
        <w:autoSpaceDE w:val="0"/>
        <w:autoSpaceDN w:val="0"/>
        <w:snapToGrid w:val="0"/>
        <w:spacing w:line="400" w:lineRule="exact"/>
        <w:rPr>
          <w:rFonts w:cs="宋体"/>
          <w:snapToGrid w:val="0"/>
          <w:color w:val="auto"/>
        </w:rPr>
      </w:pPr>
      <w:r>
        <w:rPr>
          <w:rFonts w:hint="eastAsia" w:cs="宋体"/>
          <w:color w:val="auto"/>
        </w:rPr>
        <w:t>（</w:t>
      </w:r>
      <w:r>
        <w:rPr>
          <w:rFonts w:hint="eastAsia" w:cs="宋体"/>
          <w:snapToGrid w:val="0"/>
          <w:color w:val="auto"/>
        </w:rPr>
        <w:t>7）</w:t>
      </w:r>
      <w:r>
        <w:rPr>
          <w:rFonts w:hint="eastAsia" w:cs="宋体"/>
          <w:color w:val="auto"/>
        </w:rPr>
        <w:t>投标文件的实质性内容未使用中文表述、意思表述不明确、前后矛盾或者使用计量单位不符合招标文件要求的（经评标委员会认定并允许其当场更正的笔误除外）；</w:t>
      </w:r>
    </w:p>
    <w:p>
      <w:pPr>
        <w:pStyle w:val="25"/>
        <w:wordWrap w:val="0"/>
        <w:overflowPunct w:val="0"/>
        <w:autoSpaceDE w:val="0"/>
        <w:autoSpaceDN w:val="0"/>
        <w:snapToGrid w:val="0"/>
        <w:spacing w:line="400" w:lineRule="exact"/>
        <w:rPr>
          <w:rFonts w:cs="宋体"/>
          <w:snapToGrid w:val="0"/>
          <w:color w:val="auto"/>
        </w:rPr>
      </w:pPr>
      <w:r>
        <w:rPr>
          <w:rFonts w:hint="eastAsia" w:cs="宋体"/>
          <w:color w:val="auto"/>
        </w:rPr>
        <w:t>（8）</w:t>
      </w:r>
      <w:r>
        <w:rPr>
          <w:rFonts w:hint="eastAsia" w:cs="宋体"/>
          <w:snapToGrid w:val="0"/>
          <w:color w:val="auto"/>
        </w:rPr>
        <w:t>投标有效期、交货时间、质保期等商务条款不能满足招标文件要求的；</w:t>
      </w:r>
    </w:p>
    <w:p>
      <w:pPr>
        <w:pStyle w:val="25"/>
        <w:wordWrap w:val="0"/>
        <w:overflowPunct w:val="0"/>
        <w:autoSpaceDE w:val="0"/>
        <w:autoSpaceDN w:val="0"/>
        <w:snapToGrid w:val="0"/>
        <w:spacing w:line="400" w:lineRule="exact"/>
        <w:rPr>
          <w:rFonts w:cs="宋体"/>
          <w:snapToGrid w:val="0"/>
          <w:color w:val="auto"/>
        </w:rPr>
      </w:pPr>
      <w:r>
        <w:rPr>
          <w:rFonts w:hint="eastAsia" w:cs="宋体"/>
          <w:color w:val="auto"/>
        </w:rPr>
        <w:t>（</w:t>
      </w:r>
      <w:r>
        <w:rPr>
          <w:rFonts w:hint="eastAsia" w:cs="宋体"/>
          <w:snapToGrid w:val="0"/>
          <w:color w:val="auto"/>
        </w:rPr>
        <w:t>9）</w:t>
      </w:r>
      <w:r>
        <w:rPr>
          <w:rFonts w:hint="eastAsia" w:cs="宋体"/>
          <w:color w:val="auto"/>
        </w:rPr>
        <w:t>未实质性响应招标文件要求或者投标文件有招标方不能接受的附加条件的</w:t>
      </w:r>
      <w:r>
        <w:rPr>
          <w:rFonts w:hint="eastAsia" w:cs="宋体"/>
          <w:snapToGrid w:val="0"/>
          <w:color w:val="auto"/>
        </w:rPr>
        <w:t>；</w:t>
      </w:r>
    </w:p>
    <w:p>
      <w:pPr>
        <w:pStyle w:val="25"/>
        <w:wordWrap w:val="0"/>
        <w:overflowPunct w:val="0"/>
        <w:autoSpaceDE w:val="0"/>
        <w:autoSpaceDN w:val="0"/>
        <w:snapToGrid w:val="0"/>
        <w:spacing w:line="400" w:lineRule="exact"/>
        <w:ind w:firstLine="482"/>
        <w:rPr>
          <w:rFonts w:cs="宋体"/>
          <w:b/>
          <w:bCs/>
          <w:color w:val="auto"/>
        </w:rPr>
      </w:pPr>
      <w:r>
        <w:rPr>
          <w:rFonts w:hint="eastAsia" w:cs="宋体"/>
          <w:b/>
          <w:bCs/>
          <w:color w:val="auto"/>
        </w:rPr>
        <w:t>4.在技术评审时，如发现下列情形之一的，投标文件将被视为无效：</w:t>
      </w:r>
    </w:p>
    <w:p>
      <w:pPr>
        <w:pStyle w:val="25"/>
        <w:wordWrap w:val="0"/>
        <w:overflowPunct w:val="0"/>
        <w:autoSpaceDE w:val="0"/>
        <w:autoSpaceDN w:val="0"/>
        <w:snapToGrid w:val="0"/>
        <w:spacing w:line="400" w:lineRule="exact"/>
        <w:rPr>
          <w:rFonts w:cs="宋体"/>
          <w:color w:val="auto"/>
        </w:rPr>
      </w:pPr>
      <w:r>
        <w:rPr>
          <w:rFonts w:hint="eastAsia" w:cs="宋体"/>
          <w:color w:val="auto"/>
        </w:rPr>
        <w:t>（1）未提供或未如实提供投标货物的技术参数，或者投标文件标明的响应或偏离与事实不符或虚假投标的；</w:t>
      </w:r>
    </w:p>
    <w:p>
      <w:pPr>
        <w:pStyle w:val="25"/>
        <w:wordWrap w:val="0"/>
        <w:overflowPunct w:val="0"/>
        <w:autoSpaceDE w:val="0"/>
        <w:autoSpaceDN w:val="0"/>
        <w:snapToGrid w:val="0"/>
        <w:spacing w:line="400" w:lineRule="exact"/>
        <w:rPr>
          <w:rFonts w:cs="宋体"/>
          <w:color w:val="auto"/>
        </w:rPr>
      </w:pPr>
      <w:r>
        <w:rPr>
          <w:rFonts w:hint="eastAsia" w:cs="宋体"/>
          <w:color w:val="auto"/>
        </w:rPr>
        <w:t>（2）</w:t>
      </w:r>
      <w:r>
        <w:rPr>
          <w:rFonts w:hint="eastAsia" w:cs="宋体"/>
          <w:snapToGrid w:val="0"/>
          <w:color w:val="auto"/>
        </w:rPr>
        <w:t>明显不符合招标文件要求的规格型号、质量标准，或者与</w:t>
      </w:r>
      <w:r>
        <w:rPr>
          <w:rFonts w:hint="eastAsia" w:cs="宋体"/>
          <w:color w:val="auto"/>
        </w:rPr>
        <w:t>招标文件中标“▲”的技术指标、主要功能项目发生实质性偏离的；</w:t>
      </w:r>
    </w:p>
    <w:p>
      <w:pPr>
        <w:pStyle w:val="25"/>
        <w:wordWrap w:val="0"/>
        <w:overflowPunct w:val="0"/>
        <w:autoSpaceDE w:val="0"/>
        <w:autoSpaceDN w:val="0"/>
        <w:snapToGrid w:val="0"/>
        <w:spacing w:line="400" w:lineRule="exact"/>
        <w:rPr>
          <w:rFonts w:cs="宋体"/>
          <w:color w:val="auto"/>
        </w:rPr>
      </w:pPr>
      <w:r>
        <w:rPr>
          <w:rFonts w:hint="eastAsia" w:cs="宋体"/>
          <w:color w:val="auto"/>
        </w:rPr>
        <w:t>（3）投标技术方案不明确，存在一个或一个以上备选（替代）投标方案的；</w:t>
      </w:r>
    </w:p>
    <w:p>
      <w:pPr>
        <w:pStyle w:val="25"/>
        <w:wordWrap w:val="0"/>
        <w:overflowPunct w:val="0"/>
        <w:autoSpaceDE w:val="0"/>
        <w:autoSpaceDN w:val="0"/>
        <w:snapToGrid w:val="0"/>
        <w:spacing w:line="400" w:lineRule="exact"/>
        <w:ind w:firstLine="482"/>
        <w:rPr>
          <w:rFonts w:cs="宋体"/>
          <w:b/>
          <w:bCs/>
          <w:color w:val="auto"/>
        </w:rPr>
      </w:pPr>
      <w:r>
        <w:rPr>
          <w:rFonts w:hint="eastAsia" w:cs="宋体"/>
          <w:b/>
          <w:bCs/>
          <w:color w:val="auto"/>
        </w:rPr>
        <w:t>5.在报价评审时，如发现下列情形之一的，投标文件将被视为无效：</w:t>
      </w:r>
    </w:p>
    <w:p>
      <w:pPr>
        <w:pStyle w:val="25"/>
        <w:wordWrap w:val="0"/>
        <w:overflowPunct w:val="0"/>
        <w:autoSpaceDE w:val="0"/>
        <w:autoSpaceDN w:val="0"/>
        <w:snapToGrid w:val="0"/>
        <w:spacing w:line="400" w:lineRule="exact"/>
        <w:rPr>
          <w:rFonts w:cs="宋体"/>
          <w:color w:val="auto"/>
        </w:rPr>
      </w:pPr>
      <w:r>
        <w:rPr>
          <w:rFonts w:hint="eastAsia" w:cs="宋体"/>
          <w:color w:val="auto"/>
        </w:rPr>
        <w:t>（1）未采用人民币报价或者未按照招标文件标明的币种报价的；</w:t>
      </w:r>
    </w:p>
    <w:p>
      <w:pPr>
        <w:pStyle w:val="25"/>
        <w:wordWrap w:val="0"/>
        <w:overflowPunct w:val="0"/>
        <w:autoSpaceDE w:val="0"/>
        <w:autoSpaceDN w:val="0"/>
        <w:snapToGrid w:val="0"/>
        <w:spacing w:line="400" w:lineRule="exact"/>
        <w:rPr>
          <w:rFonts w:cs="宋体"/>
          <w:color w:val="auto"/>
        </w:rPr>
      </w:pPr>
      <w:r>
        <w:rPr>
          <w:rFonts w:hint="eastAsia" w:cs="宋体"/>
          <w:color w:val="auto"/>
        </w:rPr>
        <w:t>（2）报价超出最高限价，或者超出采购预算金额(自主创新产品除外)；</w:t>
      </w:r>
    </w:p>
    <w:p>
      <w:pPr>
        <w:pStyle w:val="25"/>
        <w:wordWrap w:val="0"/>
        <w:overflowPunct w:val="0"/>
        <w:autoSpaceDE w:val="0"/>
        <w:autoSpaceDN w:val="0"/>
        <w:snapToGrid w:val="0"/>
        <w:spacing w:line="400" w:lineRule="exact"/>
        <w:rPr>
          <w:rFonts w:cs="宋体"/>
          <w:color w:val="auto"/>
        </w:rPr>
      </w:pPr>
      <w:r>
        <w:rPr>
          <w:rFonts w:hint="eastAsia" w:cs="宋体"/>
          <w:color w:val="auto"/>
        </w:rPr>
        <w:t>（3）投标报价具有选择性，或者开标价格与投标文件承诺的优惠（折扣）价格不一致的；</w:t>
      </w:r>
    </w:p>
    <w:p>
      <w:pPr>
        <w:pStyle w:val="25"/>
        <w:wordWrap w:val="0"/>
        <w:overflowPunct w:val="0"/>
        <w:autoSpaceDE w:val="0"/>
        <w:autoSpaceDN w:val="0"/>
        <w:snapToGrid w:val="0"/>
        <w:spacing w:line="400" w:lineRule="exact"/>
        <w:ind w:firstLine="482"/>
        <w:rPr>
          <w:rFonts w:cs="宋体"/>
          <w:b/>
          <w:color w:val="auto"/>
        </w:rPr>
      </w:pPr>
      <w:r>
        <w:rPr>
          <w:rFonts w:hint="eastAsia" w:cs="宋体"/>
          <w:b/>
          <w:color w:val="auto"/>
        </w:rPr>
        <w:t>6.被拒绝的投标文件为无效；</w:t>
      </w:r>
    </w:p>
    <w:p>
      <w:pPr>
        <w:pStyle w:val="25"/>
        <w:wordWrap w:val="0"/>
        <w:overflowPunct w:val="0"/>
        <w:autoSpaceDE w:val="0"/>
        <w:autoSpaceDN w:val="0"/>
        <w:snapToGrid w:val="0"/>
        <w:spacing w:line="400" w:lineRule="exact"/>
        <w:ind w:firstLine="482"/>
        <w:rPr>
          <w:rFonts w:cs="宋体"/>
          <w:b/>
          <w:color w:val="auto"/>
        </w:rPr>
      </w:pPr>
      <w:r>
        <w:rPr>
          <w:rFonts w:hint="eastAsia" w:cs="宋体"/>
          <w:b/>
          <w:color w:val="auto"/>
        </w:rPr>
        <w:t>7.存在带“▲”条款的负偏离的；</w:t>
      </w:r>
    </w:p>
    <w:p>
      <w:pPr>
        <w:pStyle w:val="25"/>
        <w:wordWrap w:val="0"/>
        <w:overflowPunct w:val="0"/>
        <w:autoSpaceDE w:val="0"/>
        <w:autoSpaceDN w:val="0"/>
        <w:snapToGrid w:val="0"/>
        <w:spacing w:line="400" w:lineRule="exact"/>
        <w:ind w:firstLine="482"/>
        <w:rPr>
          <w:rFonts w:cs="宋体"/>
          <w:b/>
          <w:bCs/>
          <w:color w:val="auto"/>
        </w:rPr>
      </w:pPr>
      <w:r>
        <w:rPr>
          <w:rFonts w:hint="eastAsia" w:cs="宋体"/>
          <w:b/>
          <w:bCs/>
          <w:color w:val="auto"/>
        </w:rPr>
        <w:t>8.本招标文件其他部分已规定为无效标的情形；</w:t>
      </w:r>
    </w:p>
    <w:p>
      <w:pPr>
        <w:pStyle w:val="25"/>
        <w:wordWrap w:val="0"/>
        <w:overflowPunct w:val="0"/>
        <w:autoSpaceDE w:val="0"/>
        <w:autoSpaceDN w:val="0"/>
        <w:snapToGrid w:val="0"/>
        <w:spacing w:line="400" w:lineRule="exact"/>
        <w:ind w:firstLine="482"/>
        <w:rPr>
          <w:rFonts w:cs="宋体"/>
          <w:b/>
          <w:bCs/>
          <w:color w:val="auto"/>
        </w:rPr>
      </w:pPr>
      <w:r>
        <w:rPr>
          <w:rFonts w:hint="eastAsia" w:cs="宋体"/>
          <w:b/>
          <w:bCs/>
          <w:color w:val="auto"/>
        </w:rPr>
        <w:t>9.评标专家认定的其他必须按无效标处理的。</w:t>
      </w:r>
    </w:p>
    <w:p>
      <w:pPr>
        <w:pStyle w:val="25"/>
        <w:wordWrap w:val="0"/>
        <w:overflowPunct w:val="0"/>
        <w:autoSpaceDE w:val="0"/>
        <w:autoSpaceDN w:val="0"/>
        <w:snapToGrid w:val="0"/>
        <w:spacing w:line="400" w:lineRule="exact"/>
        <w:ind w:firstLine="482"/>
        <w:rPr>
          <w:rFonts w:cs="宋体"/>
          <w:b/>
          <w:bCs/>
          <w:color w:val="auto"/>
        </w:rPr>
      </w:pPr>
      <w:r>
        <w:rPr>
          <w:rFonts w:hint="eastAsia" w:cs="宋体"/>
          <w:b/>
          <w:bCs/>
          <w:color w:val="auto"/>
        </w:rPr>
        <w:t>（十）出现以下情形，导致电子交易平台无法正常运行，或者无法保证电子交易的公平、公正和安全时，中止电子交易活动：</w:t>
      </w:r>
    </w:p>
    <w:p>
      <w:pPr>
        <w:pStyle w:val="25"/>
        <w:wordWrap w:val="0"/>
        <w:overflowPunct w:val="0"/>
        <w:autoSpaceDE w:val="0"/>
        <w:autoSpaceDN w:val="0"/>
        <w:snapToGrid w:val="0"/>
        <w:spacing w:line="400" w:lineRule="exact"/>
        <w:rPr>
          <w:rFonts w:cs="宋体"/>
          <w:color w:val="auto"/>
        </w:rPr>
      </w:pPr>
      <w:r>
        <w:rPr>
          <w:rFonts w:hint="eastAsia" w:cs="宋体"/>
          <w:color w:val="auto"/>
        </w:rPr>
        <w:t>1.电子交易平台发生故障而无法登录访问的；</w:t>
      </w:r>
    </w:p>
    <w:p>
      <w:pPr>
        <w:pStyle w:val="25"/>
        <w:wordWrap w:val="0"/>
        <w:overflowPunct w:val="0"/>
        <w:autoSpaceDE w:val="0"/>
        <w:autoSpaceDN w:val="0"/>
        <w:snapToGrid w:val="0"/>
        <w:spacing w:line="400" w:lineRule="exact"/>
        <w:rPr>
          <w:rFonts w:cs="宋体"/>
          <w:color w:val="auto"/>
        </w:rPr>
      </w:pPr>
      <w:r>
        <w:rPr>
          <w:rFonts w:hint="eastAsia" w:cs="宋体"/>
          <w:color w:val="auto"/>
        </w:rPr>
        <w:t>2.电子交易平台应用或数据库出现错误，不能进行正常操作的；</w:t>
      </w:r>
    </w:p>
    <w:p>
      <w:pPr>
        <w:pStyle w:val="25"/>
        <w:wordWrap w:val="0"/>
        <w:overflowPunct w:val="0"/>
        <w:autoSpaceDE w:val="0"/>
        <w:autoSpaceDN w:val="0"/>
        <w:snapToGrid w:val="0"/>
        <w:spacing w:line="400" w:lineRule="exact"/>
        <w:rPr>
          <w:rFonts w:cs="宋体"/>
          <w:color w:val="auto"/>
        </w:rPr>
      </w:pPr>
      <w:r>
        <w:rPr>
          <w:rFonts w:hint="eastAsia" w:cs="宋体"/>
          <w:color w:val="auto"/>
        </w:rPr>
        <w:t>3.电子交易平台发现严重安全漏洞，有潜在泄密危险的；</w:t>
      </w:r>
    </w:p>
    <w:p>
      <w:pPr>
        <w:pStyle w:val="25"/>
        <w:wordWrap w:val="0"/>
        <w:overflowPunct w:val="0"/>
        <w:autoSpaceDE w:val="0"/>
        <w:autoSpaceDN w:val="0"/>
        <w:snapToGrid w:val="0"/>
        <w:spacing w:line="400" w:lineRule="exact"/>
        <w:rPr>
          <w:rFonts w:cs="宋体"/>
          <w:color w:val="auto"/>
        </w:rPr>
      </w:pPr>
      <w:r>
        <w:rPr>
          <w:rFonts w:hint="eastAsia" w:cs="宋体"/>
          <w:color w:val="auto"/>
        </w:rPr>
        <w:t>4.病毒发作导致不能进行正常操作的；</w:t>
      </w:r>
    </w:p>
    <w:p>
      <w:pPr>
        <w:pStyle w:val="25"/>
        <w:wordWrap w:val="0"/>
        <w:overflowPunct w:val="0"/>
        <w:autoSpaceDE w:val="0"/>
        <w:autoSpaceDN w:val="0"/>
        <w:snapToGrid w:val="0"/>
        <w:spacing w:line="400" w:lineRule="exact"/>
        <w:rPr>
          <w:rFonts w:cs="宋体"/>
          <w:color w:val="auto"/>
        </w:rPr>
      </w:pPr>
      <w:r>
        <w:rPr>
          <w:rFonts w:hint="eastAsia" w:cs="宋体"/>
          <w:color w:val="auto"/>
        </w:rPr>
        <w:t>5.其他无法保证电子交易的公平、公正和安全的情况。</w:t>
      </w:r>
    </w:p>
    <w:p>
      <w:pPr>
        <w:pStyle w:val="25"/>
        <w:wordWrap w:val="0"/>
        <w:overflowPunct w:val="0"/>
        <w:autoSpaceDE w:val="0"/>
        <w:autoSpaceDN w:val="0"/>
        <w:snapToGrid w:val="0"/>
        <w:spacing w:line="400" w:lineRule="exact"/>
        <w:rPr>
          <w:rFonts w:cs="宋体"/>
          <w:color w:val="auto"/>
        </w:rPr>
      </w:pPr>
      <w:r>
        <w:rPr>
          <w:rFonts w:hint="eastAsia" w:cs="宋体"/>
          <w:color w:val="auto"/>
        </w:rPr>
        <w:t>出现前款规定情形，不影响采购公平、公正性的，采购代理机构可以待上述情形消除后继续组织电子交易活动，也可以决定某些环节以纸质形式进行；影响或可能影响采购公平、公正性的，重新采购。</w:t>
      </w:r>
    </w:p>
    <w:p>
      <w:pPr>
        <w:pStyle w:val="33"/>
        <w:wordWrap w:val="0"/>
        <w:overflowPunct w:val="0"/>
        <w:autoSpaceDE w:val="0"/>
        <w:autoSpaceDN w:val="0"/>
        <w:snapToGrid w:val="0"/>
        <w:spacing w:line="400" w:lineRule="exact"/>
        <w:outlineLvl w:val="0"/>
        <w:rPr>
          <w:rFonts w:hAnsi="宋体" w:cs="宋体"/>
          <w:b/>
          <w:color w:val="auto"/>
          <w:sz w:val="28"/>
          <w:szCs w:val="28"/>
        </w:rPr>
      </w:pPr>
      <w:r>
        <w:rPr>
          <w:rFonts w:hint="eastAsia" w:hAnsi="宋体" w:cs="宋体"/>
          <w:b/>
          <w:color w:val="auto"/>
          <w:sz w:val="28"/>
          <w:szCs w:val="28"/>
        </w:rPr>
        <w:t>四、开标</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（一）开标准备</w:t>
      </w:r>
    </w:p>
    <w:p>
      <w:pPr>
        <w:wordWrap w:val="0"/>
        <w:overflowPunct w:val="0"/>
        <w:autoSpaceDE w:val="0"/>
        <w:autoSpaceDN w:val="0"/>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sz w:val="24"/>
        </w:rPr>
        <w:t>采购组织机构原则上采用电子评标，按照招标文件规定的时间通过“政府采购云平台”组织开标、开启投标文件，所有供应商可以派授权代表参加或准时在线参加。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 xml:space="preserve"> (二) 采购人或者集中采购机构职责</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采购人或者集中采购机构负责组织评标工作，并履行下列职责：</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2.宣布评标纪律；</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3.公布投标人名单，告知评审专家应当回避的情形；</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4.组织评标委员会推选评标组长，采购人代表不得担任组长；</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5.在评标期间采取必要的通讯管理措施，保证评标活动不受外界干扰；</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6.根据评标委员会的要求介绍政府采购相关政策法规、招标文件；</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9.评审工作完成后，按照规定向评审专家支付劳务报酬和异地评审差旅费，不得向评审专家以外的其他人员支付评审劳务报酬；</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10.处理与评标有关的其他事项。</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（三）开标程序</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本项目原则上采用政采云电子招投标开标及评审程序，但有下情形之一的，按以下情况处理：</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1.开标会由采购代理机构主持，主持人宣布开标会议开始；</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 xml:space="preserve">2.主持人介绍参加开标会的人员名单； </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3.主持人宣布评标期间的有关事项；告知应当回避的情形,提请有关人员回避；</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4.电子投标文件开标:</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400" w:lineRule="exact"/>
        <w:rPr>
          <w:rFonts w:ascii="宋体" w:hAnsi="宋体" w:cs="宋体"/>
          <w:color w:val="auto"/>
          <w:sz w:val="24"/>
        </w:rPr>
      </w:pPr>
      <w:r>
        <w:rPr>
          <w:rFonts w:hint="eastAsia" w:ascii="宋体" w:hAnsi="宋体" w:cs="宋体"/>
          <w:color w:val="auto"/>
          <w:sz w:val="24"/>
        </w:rPr>
        <w:t xml:space="preserve">   （2）由采购人代表对资格审查文件进行评审，评标委员会对技术商务文件进行评审。</w:t>
      </w:r>
    </w:p>
    <w:p>
      <w:pPr>
        <w:wordWrap w:val="0"/>
        <w:overflowPunct w:val="0"/>
        <w:autoSpaceDE w:val="0"/>
        <w:autoSpaceDN w:val="0"/>
        <w:spacing w:line="400" w:lineRule="exact"/>
        <w:rPr>
          <w:rFonts w:ascii="宋体" w:hAnsi="宋体" w:cs="宋体"/>
          <w:color w:val="auto"/>
          <w:sz w:val="24"/>
        </w:rPr>
      </w:pPr>
      <w:r>
        <w:rPr>
          <w:rFonts w:hint="eastAsia" w:ascii="宋体" w:hAnsi="宋体" w:cs="宋体"/>
          <w:color w:val="auto"/>
          <w:sz w:val="24"/>
        </w:rPr>
        <w:t xml:space="preserve">   （3）在系统上公开资格审查和技术商务评审结果；</w:t>
      </w:r>
    </w:p>
    <w:p>
      <w:pPr>
        <w:wordWrap w:val="0"/>
        <w:overflowPunct w:val="0"/>
        <w:autoSpaceDE w:val="0"/>
        <w:autoSpaceDN w:val="0"/>
        <w:spacing w:line="400" w:lineRule="exact"/>
        <w:rPr>
          <w:rFonts w:ascii="宋体" w:hAnsi="宋体" w:cs="宋体"/>
          <w:color w:val="auto"/>
          <w:sz w:val="24"/>
        </w:rPr>
      </w:pPr>
      <w:r>
        <w:rPr>
          <w:rFonts w:hint="eastAsia" w:ascii="宋体" w:hAnsi="宋体" w:cs="宋体"/>
          <w:color w:val="auto"/>
          <w:sz w:val="24"/>
        </w:rPr>
        <w:t xml:space="preserve">   （4）在系统上公开报价开标情况；</w:t>
      </w:r>
    </w:p>
    <w:p>
      <w:pPr>
        <w:wordWrap w:val="0"/>
        <w:overflowPunct w:val="0"/>
        <w:autoSpaceDE w:val="0"/>
        <w:autoSpaceDN w:val="0"/>
        <w:spacing w:line="400" w:lineRule="exact"/>
        <w:rPr>
          <w:rFonts w:ascii="宋体" w:hAnsi="宋体" w:cs="宋体"/>
          <w:color w:val="auto"/>
          <w:sz w:val="24"/>
        </w:rPr>
      </w:pPr>
      <w:r>
        <w:rPr>
          <w:rFonts w:hint="eastAsia" w:ascii="宋体" w:hAnsi="宋体" w:cs="宋体"/>
          <w:color w:val="auto"/>
          <w:sz w:val="24"/>
        </w:rPr>
        <w:t xml:space="preserve">   （5）评标委员会对报价情况进行评审；</w:t>
      </w:r>
    </w:p>
    <w:p>
      <w:pPr>
        <w:wordWrap w:val="0"/>
        <w:overflowPunct w:val="0"/>
        <w:autoSpaceDE w:val="0"/>
        <w:autoSpaceDN w:val="0"/>
        <w:spacing w:line="400" w:lineRule="exact"/>
        <w:rPr>
          <w:rFonts w:ascii="宋体" w:hAnsi="宋体" w:cs="宋体"/>
          <w:color w:val="auto"/>
          <w:sz w:val="24"/>
        </w:rPr>
      </w:pPr>
      <w:r>
        <w:rPr>
          <w:rFonts w:hint="eastAsia" w:ascii="宋体" w:hAnsi="宋体" w:cs="宋体"/>
          <w:color w:val="auto"/>
          <w:sz w:val="24"/>
        </w:rPr>
        <w:t xml:space="preserve">   （6）在系统上公布评审结果。</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特别说明：政采云公司如对电子化开标及评审程序有调整的，按调整后的程序操作。</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五、评标</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（一）</w:t>
      </w:r>
      <w:r>
        <w:rPr>
          <w:rFonts w:hint="eastAsia" w:hAnsi="宋体" w:cs="宋体"/>
          <w:b/>
          <w:bCs/>
          <w:color w:val="auto"/>
          <w:sz w:val="24"/>
          <w:szCs w:val="24"/>
        </w:rPr>
        <w:t>组建评标委员会</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本项目评标委员会由采购人代表和相关专业专家组成。评标委员会负责具体评标事务，并独立履行下列职责：</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1.审查、评价投标文件是否符合招标文件的商务、技术等实质性要求；</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2.要求投标人对投标文件有关事项作出澄清或者说明；</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3.对投标文件进行比较和评价；</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4.确定中标候选人名单，以及根据采购人委托直接确定中标人；</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5.向采购人、集中采购机构或者有关部门报告评标中发现的违法行为。</w:t>
      </w:r>
    </w:p>
    <w:p>
      <w:pPr>
        <w:wordWrap w:val="0"/>
        <w:overflowPunct w:val="0"/>
        <w:autoSpaceDE w:val="0"/>
        <w:autoSpaceDN w:val="0"/>
        <w:spacing w:line="400" w:lineRule="exact"/>
        <w:ind w:firstLine="482" w:firstLineChars="200"/>
        <w:rPr>
          <w:rFonts w:ascii="宋体" w:hAnsi="宋体" w:cs="宋体"/>
          <w:b/>
          <w:color w:val="auto"/>
          <w:sz w:val="24"/>
          <w:u w:val="single"/>
        </w:rPr>
      </w:pPr>
      <w:r>
        <w:rPr>
          <w:rFonts w:hint="eastAsia" w:ascii="宋体" w:hAnsi="宋体" w:cs="宋体"/>
          <w:b/>
          <w:color w:val="auto"/>
          <w:sz w:val="24"/>
          <w:u w:val="single"/>
        </w:rPr>
        <w:t>除采购人代表、评标现场组织人员外，采购人的其他工作人员以及与评标工作无关的人员不得进入评标现场。</w:t>
      </w:r>
    </w:p>
    <w:p>
      <w:pPr>
        <w:pStyle w:val="33"/>
        <w:wordWrap w:val="0"/>
        <w:overflowPunct w:val="0"/>
        <w:autoSpaceDE w:val="0"/>
        <w:autoSpaceDN w:val="0"/>
        <w:snapToGrid w:val="0"/>
        <w:spacing w:line="400" w:lineRule="exact"/>
        <w:rPr>
          <w:rFonts w:hAnsi="宋体" w:cs="宋体"/>
          <w:b/>
          <w:bCs/>
          <w:color w:val="auto"/>
          <w:sz w:val="24"/>
          <w:szCs w:val="24"/>
        </w:rPr>
      </w:pPr>
      <w:r>
        <w:rPr>
          <w:rFonts w:hint="eastAsia" w:hAnsi="宋体" w:cs="宋体"/>
          <w:b/>
          <w:color w:val="auto"/>
          <w:sz w:val="24"/>
          <w:szCs w:val="24"/>
        </w:rPr>
        <w:t>（二）</w:t>
      </w:r>
      <w:r>
        <w:rPr>
          <w:rFonts w:hint="eastAsia" w:hAnsi="宋体" w:cs="宋体"/>
          <w:b/>
          <w:bCs/>
          <w:color w:val="auto"/>
          <w:sz w:val="24"/>
          <w:szCs w:val="24"/>
        </w:rPr>
        <w:t>评标的方式</w:t>
      </w:r>
    </w:p>
    <w:p>
      <w:pPr>
        <w:pStyle w:val="33"/>
        <w:wordWrap w:val="0"/>
        <w:overflowPunct w:val="0"/>
        <w:autoSpaceDE w:val="0"/>
        <w:autoSpaceDN w:val="0"/>
        <w:snapToGrid w:val="0"/>
        <w:spacing w:line="400" w:lineRule="exact"/>
        <w:rPr>
          <w:rFonts w:hAnsi="宋体" w:cs="宋体"/>
          <w:color w:val="auto"/>
          <w:sz w:val="24"/>
          <w:szCs w:val="24"/>
        </w:rPr>
      </w:pPr>
      <w:r>
        <w:rPr>
          <w:rFonts w:hint="eastAsia" w:hAnsi="宋体" w:cs="宋体"/>
          <w:color w:val="auto"/>
          <w:sz w:val="24"/>
          <w:szCs w:val="24"/>
        </w:rPr>
        <w:t xml:space="preserve">     本项目采用不公开方式评标，评标的依据为招标文件和投标文件。</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（三）评标程序</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rPr>
        <w:t>1.形式审查</w:t>
      </w:r>
    </w:p>
    <w:p>
      <w:pPr>
        <w:wordWrap w:val="0"/>
        <w:overflowPunct w:val="0"/>
        <w:autoSpaceDE w:val="0"/>
        <w:autoSpaceDN w:val="0"/>
        <w:snapToGrid w:val="0"/>
        <w:spacing w:line="400" w:lineRule="exact"/>
        <w:ind w:firstLine="480" w:firstLineChars="200"/>
        <w:rPr>
          <w:rFonts w:ascii="宋体" w:hAnsi="宋体" w:cs="宋体"/>
          <w:b/>
          <w:color w:val="auto"/>
          <w:sz w:val="24"/>
        </w:rPr>
      </w:pPr>
      <w:r>
        <w:rPr>
          <w:rFonts w:hint="eastAsia" w:ascii="宋体" w:hAnsi="宋体" w:cs="宋体"/>
          <w:color w:val="auto"/>
          <w:sz w:val="24"/>
        </w:rPr>
        <w:t>采购人代表和代理机构工作人员协助评标委员会对投标人的资格和投标文件的完整性、合法性等进行审查。</w:t>
      </w:r>
    </w:p>
    <w:p>
      <w:pPr>
        <w:wordWrap w:val="0"/>
        <w:overflowPunct w:val="0"/>
        <w:autoSpaceDE w:val="0"/>
        <w:autoSpaceDN w:val="0"/>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rPr>
        <w:t>2.实质审查与比较</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（1）评标委员会审查投标文件的实质性内容是否符合招标文件的实质性要求。</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（3）各投标人的技术得分为所有评委的有效评分的算术平均数，由指定专人进行计算复核。</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（4）嘉善县公共资源交易中心工作人员协助评标委员会根据本项目的评分标准计算各投标人的商务报价得分。</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（5）评标委员会完成评标后,评委对各部分得分汇总,计算出本项目最终得分、性价比、评标价等。评标委员会按评标原则推荐中标候选人同时起草评标报告。</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（四）澄清问题的形式</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400" w:lineRule="exact"/>
        <w:ind w:firstLine="480" w:firstLineChars="200"/>
        <w:rPr>
          <w:rFonts w:ascii="宋体" w:hAnsi="宋体" w:cs="宋体"/>
          <w:color w:val="auto"/>
          <w:sz w:val="24"/>
        </w:rPr>
      </w:pPr>
      <w:r>
        <w:rPr>
          <w:rFonts w:hint="eastAsia" w:ascii="宋体" w:hAnsi="宋体" w:cs="宋体"/>
          <w:color w:val="auto"/>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2.如果供应商代表拒绝或未按评标委员会要求在“政采云”平台作出在线回复且无其他有效回复方式的，评标委员会可以对其作出无效标处理。</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（五）</w:t>
      </w:r>
      <w:r>
        <w:rPr>
          <w:rFonts w:hint="eastAsia" w:hAnsi="宋体" w:cs="宋体"/>
          <w:b/>
          <w:bCs/>
          <w:color w:val="auto"/>
          <w:sz w:val="24"/>
          <w:szCs w:val="24"/>
        </w:rPr>
        <w:t>错误修正</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投标文件报价出现前后不一致的，除招标文件另有规定外按照下列规定修正：</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1.投标文件中开标一览表（报价表）内容与投标文件中相应内容不一致的，以开标一览表（报价表）为准；</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2.大写金额和小写金额不一致的，以大写金额为准；</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5.电子投标流程中，客户端填写的报价与以pdf格式上传文件中的报价不一致的，应以Pdf格式上传文件中的报价为准。</w:t>
      </w:r>
    </w:p>
    <w:p>
      <w:pPr>
        <w:pStyle w:val="33"/>
        <w:wordWrap w:val="0"/>
        <w:overflowPunct w:val="0"/>
        <w:autoSpaceDE w:val="0"/>
        <w:autoSpaceDN w:val="0"/>
        <w:snapToGrid w:val="0"/>
        <w:spacing w:line="400" w:lineRule="exact"/>
        <w:ind w:firstLine="482" w:firstLineChars="200"/>
        <w:rPr>
          <w:rFonts w:hAnsi="宋体" w:cs="宋体"/>
          <w:b/>
          <w:bCs/>
          <w:color w:val="auto"/>
          <w:sz w:val="24"/>
          <w:szCs w:val="24"/>
        </w:rPr>
      </w:pPr>
      <w:r>
        <w:rPr>
          <w:rFonts w:hint="eastAsia" w:hAnsi="宋体" w:cs="宋体"/>
          <w:b/>
          <w:bCs/>
          <w:color w:val="auto"/>
          <w:sz w:val="24"/>
          <w:szCs w:val="24"/>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（六）</w:t>
      </w:r>
      <w:r>
        <w:rPr>
          <w:rFonts w:hint="eastAsia" w:hAnsi="宋体" w:cs="宋体"/>
          <w:b/>
          <w:bCs/>
          <w:color w:val="auto"/>
          <w:sz w:val="24"/>
          <w:szCs w:val="24"/>
        </w:rPr>
        <w:t>评标原则和评标办法</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2.评标办法。本项目评标办法是</w:t>
      </w:r>
      <w:r>
        <w:rPr>
          <w:rFonts w:hint="eastAsia" w:ascii="宋体" w:hAnsi="宋体" w:cs="宋体"/>
          <w:color w:val="auto"/>
          <w:sz w:val="24"/>
          <w:u w:val="single"/>
        </w:rPr>
        <w:t xml:space="preserve"> 综合评分法 </w:t>
      </w:r>
      <w:r>
        <w:rPr>
          <w:rFonts w:hint="eastAsia" w:ascii="宋体" w:hAnsi="宋体" w:cs="宋体"/>
          <w:color w:val="auto"/>
          <w:sz w:val="24"/>
        </w:rPr>
        <w:t>，具体评标内容及评分标准等详见《第四章：评标办法及评分标准》。</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（七）</w:t>
      </w:r>
      <w:r>
        <w:rPr>
          <w:rFonts w:hint="eastAsia" w:hAnsi="宋体" w:cs="宋体"/>
          <w:b/>
          <w:bCs/>
          <w:color w:val="auto"/>
          <w:sz w:val="24"/>
          <w:szCs w:val="24"/>
        </w:rPr>
        <w:t>评标过程的监控</w:t>
      </w:r>
    </w:p>
    <w:p>
      <w:pPr>
        <w:pStyle w:val="33"/>
        <w:wordWrap w:val="0"/>
        <w:overflowPunct w:val="0"/>
        <w:autoSpaceDE w:val="0"/>
        <w:autoSpaceDN w:val="0"/>
        <w:snapToGrid w:val="0"/>
        <w:spacing w:line="400" w:lineRule="exact"/>
        <w:ind w:firstLine="480" w:firstLineChars="200"/>
        <w:rPr>
          <w:rFonts w:hAnsi="宋体" w:cs="宋体"/>
          <w:color w:val="auto"/>
          <w:sz w:val="24"/>
          <w:szCs w:val="24"/>
        </w:rPr>
      </w:pPr>
      <w:r>
        <w:rPr>
          <w:rFonts w:hint="eastAsia" w:hAnsi="宋体" w:cs="宋体"/>
          <w:color w:val="auto"/>
          <w:sz w:val="24"/>
          <w:szCs w:val="24"/>
        </w:rPr>
        <w:t>本项目评标过程实行全程录音、录像监控，且有</w:t>
      </w:r>
      <w:r>
        <w:rPr>
          <w:rFonts w:hint="eastAsia" w:hAnsi="宋体" w:cs="宋体"/>
          <w:color w:val="auto"/>
          <w:sz w:val="24"/>
          <w:szCs w:val="24"/>
          <w:u w:val="single"/>
        </w:rPr>
        <w:t xml:space="preserve"> 嘉善县公证处 </w:t>
      </w:r>
      <w:r>
        <w:rPr>
          <w:rFonts w:hint="eastAsia" w:hAnsi="宋体" w:cs="宋体"/>
          <w:color w:val="auto"/>
          <w:sz w:val="24"/>
          <w:szCs w:val="24"/>
        </w:rPr>
        <w:t>进行现场公证，投标人在评标过程中所进行的试图影响评标结果的不公正活动，可能导致其投标被拒绝。</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六、定标</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如有投标人对评标结果提出质疑的，采购人可在质疑处理完毕后确定中标人。</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3.采购人依法确定中标人后2个工作日内，采购代理机构以书面形式发出《中标通知书》,并同时在相关网站上发布中标公告。</w:t>
      </w:r>
    </w:p>
    <w:p>
      <w:pPr>
        <w:pStyle w:val="33"/>
        <w:wordWrap w:val="0"/>
        <w:overflowPunct w:val="0"/>
        <w:autoSpaceDE w:val="0"/>
        <w:autoSpaceDN w:val="0"/>
        <w:snapToGrid w:val="0"/>
        <w:spacing w:line="400" w:lineRule="exact"/>
        <w:outlineLvl w:val="0"/>
        <w:rPr>
          <w:rFonts w:hAnsi="宋体" w:cs="宋体"/>
          <w:b/>
          <w:color w:val="auto"/>
          <w:sz w:val="24"/>
          <w:szCs w:val="24"/>
        </w:rPr>
      </w:pPr>
      <w:r>
        <w:rPr>
          <w:rFonts w:hint="eastAsia" w:hAnsi="宋体" w:cs="宋体"/>
          <w:b/>
          <w:color w:val="auto"/>
          <w:sz w:val="24"/>
          <w:szCs w:val="24"/>
        </w:rPr>
        <w:t>七、合同授予</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（一）签订合同</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1.采购人与中标人应当在《中标通知书》发出之日起30日内签订政府采购合同。同时，集中采购机构对合同内容进行审查，如发现与采购结果和投标承诺内容不一致的，将予以纠正。</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2.中标人拖延、拒签合同的,将被列入不良行为记录或黑名单，由此产生的一切不利后果由中标人自行承担。</w:t>
      </w:r>
    </w:p>
    <w:p>
      <w:pPr>
        <w:pStyle w:val="33"/>
        <w:wordWrap w:val="0"/>
        <w:overflowPunct w:val="0"/>
        <w:autoSpaceDE w:val="0"/>
        <w:autoSpaceDN w:val="0"/>
        <w:snapToGrid w:val="0"/>
        <w:spacing w:line="400" w:lineRule="exact"/>
        <w:rPr>
          <w:rFonts w:hAnsi="宋体" w:cs="宋体"/>
          <w:b/>
          <w:color w:val="auto"/>
          <w:sz w:val="24"/>
          <w:szCs w:val="24"/>
        </w:rPr>
      </w:pPr>
      <w:r>
        <w:rPr>
          <w:rFonts w:hint="eastAsia" w:hAnsi="宋体" w:cs="宋体"/>
          <w:b/>
          <w:color w:val="auto"/>
          <w:sz w:val="24"/>
          <w:szCs w:val="24"/>
        </w:rPr>
        <w:t>（二）履约保证金</w:t>
      </w:r>
    </w:p>
    <w:p>
      <w:pPr>
        <w:wordWrap w:val="0"/>
        <w:overflowPunct w:val="0"/>
        <w:autoSpaceDE w:val="0"/>
        <w:autoSpaceDN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1.中标人应按照与采购人约定的履约保证金金额，向采购人交纳履约保证金，中标人可以银行、保险公司出具保函形式提交履约保证金；否则，由此产生的一切不利后果由中标人自行承担。</w:t>
      </w:r>
    </w:p>
    <w:p>
      <w:pPr>
        <w:tabs>
          <w:tab w:val="left" w:pos="0"/>
        </w:tabs>
        <w:spacing w:line="360" w:lineRule="auto"/>
        <w:ind w:firstLine="480"/>
        <w:rPr>
          <w:rFonts w:ascii="仿宋_GB2312" w:hAnsi="仿宋" w:eastAsia="仿宋_GB2312" w:cs="仿宋_GB2312"/>
          <w:color w:val="auto"/>
          <w:sz w:val="18"/>
          <w:szCs w:val="18"/>
        </w:rPr>
      </w:pPr>
      <w:r>
        <w:rPr>
          <w:rFonts w:hint="eastAsia" w:ascii="宋体" w:hAnsi="宋体" w:cs="宋体"/>
          <w:color w:val="auto"/>
          <w:sz w:val="24"/>
        </w:rPr>
        <w:t>2.签订合同后，如中标人不按双方合同约定履约，则没收其全部履约保证金，履约保证金不足以赔偿损失的，按实际损失赔偿。</w:t>
      </w:r>
    </w:p>
    <w:bookmarkEnd w:id="15"/>
    <w:p>
      <w:pPr>
        <w:tabs>
          <w:tab w:val="left" w:pos="0"/>
        </w:tabs>
        <w:spacing w:line="360" w:lineRule="auto"/>
        <w:ind w:firstLine="480"/>
        <w:rPr>
          <w:rFonts w:ascii="仿宋_GB2312" w:hAnsi="仿宋" w:eastAsia="仿宋_GB2312" w:cs="Helvetica"/>
          <w:color w:val="auto"/>
          <w:kern w:val="0"/>
          <w:sz w:val="24"/>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21" w:name="_Hlt68072990"/>
      <w:bookmarkEnd w:id="21"/>
      <w:bookmarkStart w:id="22" w:name="_Hlt74714665"/>
      <w:bookmarkEnd w:id="22"/>
      <w:bookmarkStart w:id="23" w:name="_Hlt68073093"/>
      <w:bookmarkEnd w:id="23"/>
      <w:bookmarkStart w:id="24" w:name="_Hlt75236290"/>
      <w:bookmarkEnd w:id="24"/>
      <w:bookmarkStart w:id="25" w:name="_Hlt74707468"/>
      <w:bookmarkEnd w:id="25"/>
      <w:bookmarkStart w:id="26" w:name="_Hlt75236101"/>
      <w:bookmarkEnd w:id="26"/>
      <w:bookmarkStart w:id="27" w:name="_Hlt74729768"/>
      <w:bookmarkEnd w:id="27"/>
      <w:bookmarkStart w:id="28" w:name="_Hlt68072998"/>
      <w:bookmarkEnd w:id="28"/>
      <w:bookmarkStart w:id="29" w:name="_Hlt74730295"/>
      <w:bookmarkEnd w:id="29"/>
      <w:bookmarkStart w:id="30" w:name="_Hlt68057669"/>
      <w:bookmarkEnd w:id="30"/>
      <w:bookmarkStart w:id="31" w:name="_Hlt75236011"/>
      <w:bookmarkEnd w:id="31"/>
      <w:bookmarkStart w:id="32" w:name="_Hlt68403820"/>
      <w:bookmarkEnd w:id="32"/>
    </w:p>
    <w:bookmarkEnd w:id="16"/>
    <w:bookmarkEnd w:id="17"/>
    <w:p>
      <w:pPr>
        <w:snapToGrid w:val="0"/>
        <w:spacing w:line="360" w:lineRule="auto"/>
        <w:jc w:val="center"/>
        <w:rPr>
          <w:rFonts w:ascii="仿宋" w:hAnsi="仿宋" w:eastAsia="仿宋" w:cs="仿宋_GB2312"/>
          <w:b/>
          <w:color w:val="auto"/>
          <w:sz w:val="36"/>
          <w:szCs w:val="36"/>
        </w:rPr>
      </w:pPr>
      <w:bookmarkStart w:id="33" w:name="第四部分"/>
      <w:r>
        <w:rPr>
          <w:rFonts w:hint="eastAsia" w:ascii="仿宋" w:hAnsi="仿宋" w:eastAsia="仿宋" w:cs="仿宋_GB2312"/>
          <w:b/>
          <w:color w:val="auto"/>
          <w:sz w:val="36"/>
          <w:szCs w:val="36"/>
        </w:rPr>
        <w:t>第四章 评标办法及评分标准</w:t>
      </w:r>
    </w:p>
    <w:bookmarkEnd w:id="33"/>
    <w:p>
      <w:pPr>
        <w:spacing w:line="480" w:lineRule="exact"/>
        <w:ind w:firstLine="420"/>
        <w:rPr>
          <w:rFonts w:ascii="宋体" w:hAnsi="宋体" w:cs="宋体"/>
          <w:color w:val="auto"/>
          <w:sz w:val="24"/>
        </w:rPr>
      </w:pPr>
      <w:bookmarkStart w:id="34" w:name="_Toc406403000"/>
      <w:r>
        <w:rPr>
          <w:rFonts w:hint="eastAsia" w:ascii="宋体" w:hAnsi="宋体" w:cs="宋体"/>
          <w:color w:val="auto"/>
          <w:sz w:val="24"/>
        </w:rPr>
        <w:t>为公正、公平、科学地选择中标人，根据《中华人民共和国政府采购法》等有关法律法规的规定，并结合本项目的实际，制定本办法。</w:t>
      </w:r>
    </w:p>
    <w:p>
      <w:pPr>
        <w:pStyle w:val="54"/>
        <w:spacing w:line="480" w:lineRule="exact"/>
        <w:rPr>
          <w:rFonts w:ascii="宋体" w:hAnsi="宋体" w:cs="宋体"/>
          <w:color w:val="auto"/>
          <w:sz w:val="24"/>
        </w:rPr>
      </w:pPr>
      <w:r>
        <w:rPr>
          <w:rFonts w:hint="eastAsia" w:ascii="宋体" w:hAnsi="宋体" w:eastAsia="宋体" w:cs="宋体"/>
          <w:color w:val="auto"/>
          <w:kern w:val="2"/>
          <w:sz w:val="24"/>
          <w:szCs w:val="24"/>
          <w:lang w:val="en-US" w:eastAsia="zh-CN" w:bidi="ar-SA"/>
        </w:rPr>
        <w:t>本办法适用于浙江师范大学附属嘉善实验学校亭桥小学图书采购项目的评标</w:t>
      </w:r>
      <w:r>
        <w:rPr>
          <w:rFonts w:hint="eastAsia" w:ascii="宋体" w:hAnsi="宋体" w:cs="宋体"/>
          <w:color w:val="auto"/>
          <w:sz w:val="24"/>
        </w:rPr>
        <w:t>。</w:t>
      </w:r>
    </w:p>
    <w:p>
      <w:pPr>
        <w:spacing w:line="480" w:lineRule="exact"/>
        <w:rPr>
          <w:rFonts w:ascii="宋体" w:hAnsi="宋体" w:cs="宋体"/>
          <w:b/>
          <w:color w:val="auto"/>
          <w:sz w:val="24"/>
        </w:rPr>
      </w:pPr>
      <w:r>
        <w:rPr>
          <w:rFonts w:hint="eastAsia" w:ascii="宋体" w:hAnsi="宋体" w:cs="宋体"/>
          <w:b/>
          <w:color w:val="auto"/>
          <w:sz w:val="24"/>
        </w:rPr>
        <w:t>一 、总则</w:t>
      </w:r>
    </w:p>
    <w:p>
      <w:pPr>
        <w:snapToGrid w:val="0"/>
        <w:spacing w:line="480" w:lineRule="exact"/>
        <w:ind w:firstLine="480" w:firstLineChars="200"/>
        <w:rPr>
          <w:rFonts w:ascii="宋体" w:hAnsi="宋体"/>
          <w:color w:val="auto"/>
          <w:sz w:val="24"/>
        </w:rPr>
      </w:pPr>
      <w:r>
        <w:rPr>
          <w:rFonts w:hint="eastAsia" w:ascii="宋体" w:hAnsi="宋体"/>
          <w:color w:val="auto"/>
          <w:sz w:val="24"/>
        </w:rPr>
        <w:t>本次评标采用综合评分法，总分为100分，其中价格分30分、商务技术70分（其中：商务资信分</w:t>
      </w:r>
      <w:r>
        <w:rPr>
          <w:rFonts w:hint="eastAsia" w:ascii="宋体" w:hAnsi="宋体"/>
          <w:color w:val="auto"/>
          <w:sz w:val="24"/>
          <w:lang w:val="en-US" w:eastAsia="zh-CN"/>
        </w:rPr>
        <w:t>16</w:t>
      </w:r>
      <w:r>
        <w:rPr>
          <w:rFonts w:hint="eastAsia" w:ascii="宋体" w:hAnsi="宋体"/>
          <w:color w:val="auto"/>
          <w:sz w:val="24"/>
        </w:rPr>
        <w:t>分，技术分</w:t>
      </w:r>
      <w:r>
        <w:rPr>
          <w:rFonts w:hint="eastAsia" w:ascii="宋体" w:hAnsi="宋体"/>
          <w:color w:val="auto"/>
          <w:sz w:val="24"/>
          <w:lang w:val="en-US" w:eastAsia="zh-CN"/>
        </w:rPr>
        <w:t>54</w:t>
      </w:r>
      <w:r>
        <w:rPr>
          <w:rFonts w:hint="eastAsia" w:ascii="宋体" w:hAnsi="宋体"/>
          <w:color w:val="auto"/>
          <w:sz w:val="24"/>
        </w:rPr>
        <w:t>分）。中标候选资格按评标综合得分由高到低顺序排列，得分相同的，按投标报价由低到高顺序排列；得分且投标报价相同的，按技术分得分总分由高到低顺序排列，仍不能分出前后的，以电子投标文件解密先后顺序确定。评分过程中采用四舍五入法，并保留小数 2 位。</w:t>
      </w:r>
    </w:p>
    <w:p>
      <w:pPr>
        <w:snapToGrid w:val="0"/>
        <w:spacing w:line="480" w:lineRule="exact"/>
        <w:ind w:firstLine="480" w:firstLineChars="200"/>
        <w:rPr>
          <w:rFonts w:ascii="宋体" w:hAnsi="宋体"/>
          <w:color w:val="auto"/>
          <w:sz w:val="24"/>
        </w:rPr>
      </w:pPr>
      <w:r>
        <w:rPr>
          <w:rFonts w:hint="eastAsia" w:ascii="宋体" w:hAnsi="宋体"/>
          <w:color w:val="auto"/>
          <w:sz w:val="24"/>
        </w:rPr>
        <w:t>投标人评标综合得分=价格分+商务技术分</w:t>
      </w:r>
    </w:p>
    <w:p>
      <w:pPr>
        <w:spacing w:line="480" w:lineRule="exact"/>
        <w:rPr>
          <w:rFonts w:ascii="宋体" w:hAnsi="宋体"/>
          <w:b/>
          <w:color w:val="auto"/>
          <w:sz w:val="24"/>
        </w:rPr>
      </w:pPr>
      <w:r>
        <w:rPr>
          <w:rFonts w:hint="eastAsia" w:ascii="宋体" w:hAnsi="宋体"/>
          <w:b/>
          <w:color w:val="auto"/>
          <w:sz w:val="24"/>
        </w:rPr>
        <w:t>二</w:t>
      </w:r>
      <w:r>
        <w:rPr>
          <w:rFonts w:ascii="宋体" w:hAnsi="宋体"/>
          <w:b/>
          <w:color w:val="auto"/>
          <w:sz w:val="24"/>
        </w:rPr>
        <w:t xml:space="preserve"> </w:t>
      </w:r>
      <w:r>
        <w:rPr>
          <w:rFonts w:hint="eastAsia" w:ascii="宋体" w:hAnsi="宋体"/>
          <w:b/>
          <w:color w:val="auto"/>
          <w:sz w:val="24"/>
        </w:rPr>
        <w:t>、评标内容及标准</w:t>
      </w:r>
    </w:p>
    <w:p>
      <w:pPr>
        <w:pStyle w:val="25"/>
        <w:ind w:firstLine="482"/>
        <w:rPr>
          <w:b/>
          <w:bCs/>
          <w:color w:val="auto"/>
        </w:rPr>
      </w:pPr>
      <w:r>
        <w:rPr>
          <w:b/>
          <w:color w:val="auto"/>
        </w:rPr>
        <w:t>（一）</w:t>
      </w:r>
      <w:r>
        <w:rPr>
          <w:b/>
          <w:bCs/>
          <w:color w:val="auto"/>
        </w:rPr>
        <w:t>价格分（</w:t>
      </w:r>
      <w:r>
        <w:rPr>
          <w:rFonts w:hint="eastAsia"/>
          <w:b/>
          <w:bCs/>
          <w:color w:val="auto"/>
        </w:rPr>
        <w:t>30分）</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color w:val="auto"/>
        </w:rPr>
      </w:pPr>
      <w:r>
        <w:rPr>
          <w:rFonts w:hint="eastAsia"/>
          <w:color w:val="auto"/>
        </w:rPr>
        <w:t>1.价格分采用低价优先法计算，即满足招标文件要求且投标价格最低的投标报价为评标基准价，其他投标人的价格分按照下列公式计算：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rPr>
      </w:pPr>
      <w:r>
        <w:rPr>
          <w:rFonts w:hint="eastAsia" w:ascii="宋体" w:hAnsi="宋体"/>
          <w:color w:val="auto"/>
          <w:sz w:val="24"/>
        </w:rPr>
        <w:t>价格分=（评标基准价/投标报价）×30%×100</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color w:val="auto"/>
          <w:lang w:val="en-US" w:eastAsia="zh-CN"/>
        </w:rPr>
        <w:t>2</w:t>
      </w:r>
      <w:r>
        <w:rPr>
          <w:rFonts w:hint="eastAsia"/>
          <w:color w:val="auto"/>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Pr>
          <w:rFonts w:hint="eastAsia"/>
          <w:color w:val="auto"/>
          <w:lang w:eastAsia="zh-CN"/>
        </w:rPr>
        <w:t>格式</w:t>
      </w:r>
      <w:r>
        <w:rPr>
          <w:rFonts w:hint="eastAsia"/>
          <w:color w:val="auto"/>
        </w:rPr>
        <w:t>见第六章）。</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color w:val="auto"/>
          <w:lang w:val="en-US" w:eastAsia="zh-CN"/>
        </w:rPr>
        <w:t>3</w:t>
      </w:r>
      <w:r>
        <w:rPr>
          <w:rFonts w:hint="eastAsia"/>
          <w:color w:val="auto"/>
        </w:rPr>
        <w:t>.</w:t>
      </w:r>
      <w:r>
        <w:rPr>
          <w:rFonts w:hint="eastAsia" w:ascii="宋体" w:eastAsia="宋体"/>
          <w:bCs/>
          <w:color w:val="auto"/>
          <w:sz w:val="24"/>
          <w:szCs w:val="24"/>
        </w:rPr>
        <w:t>投标人提供由省级以上监狱管理局、戒毒管理局（含新疆生产建设兵团）出具的属于监狱企业证明文件的，视同为小型和微型企业</w:t>
      </w:r>
      <w:r>
        <w:rPr>
          <w:rFonts w:hint="eastAsia"/>
          <w:color w:val="auto"/>
        </w:rPr>
        <w:t>。</w:t>
      </w:r>
    </w:p>
    <w:p>
      <w:pPr>
        <w:pStyle w:val="25"/>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color w:val="auto"/>
          <w:lang w:val="en-US" w:eastAsia="zh-CN"/>
        </w:rPr>
        <w:t>4</w:t>
      </w:r>
      <w:r>
        <w:rPr>
          <w:rFonts w:hint="eastAsia"/>
          <w:color w:val="auto"/>
        </w:rPr>
        <w:t>.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供应商不能证明其报价合理性的，评标委员会应当将其作为无效投标处理。</w:t>
      </w:r>
    </w:p>
    <w:p>
      <w:pPr>
        <w:pStyle w:val="25"/>
        <w:spacing w:beforeLines="50" w:afterLines="50" w:line="360" w:lineRule="auto"/>
        <w:ind w:firstLine="482"/>
        <w:rPr>
          <w:rFonts w:cs="宋体"/>
          <w:b/>
          <w:color w:val="auto"/>
        </w:rPr>
      </w:pPr>
      <w:r>
        <w:rPr>
          <w:rFonts w:hint="eastAsia" w:cs="宋体"/>
          <w:b/>
          <w:color w:val="auto"/>
        </w:rPr>
        <w:t>（二）商务资信分（1</w:t>
      </w:r>
      <w:r>
        <w:rPr>
          <w:rFonts w:hint="eastAsia" w:cs="宋体"/>
          <w:b/>
          <w:color w:val="auto"/>
          <w:lang w:val="en-US" w:eastAsia="zh-CN"/>
        </w:rPr>
        <w:t>6</w:t>
      </w:r>
      <w:r>
        <w:rPr>
          <w:rFonts w:hint="eastAsia" w:cs="宋体"/>
          <w:b/>
          <w:color w:val="auto"/>
        </w:rPr>
        <w:t>分）</w:t>
      </w:r>
    </w:p>
    <w:tbl>
      <w:tblPr>
        <w:tblStyle w:val="62"/>
        <w:tblW w:w="10291" w:type="dxa"/>
        <w:jc w:val="center"/>
        <w:tblLayout w:type="fixed"/>
        <w:tblCellMar>
          <w:top w:w="0" w:type="dxa"/>
          <w:left w:w="108" w:type="dxa"/>
          <w:bottom w:w="0" w:type="dxa"/>
          <w:right w:w="108" w:type="dxa"/>
        </w:tblCellMar>
      </w:tblPr>
      <w:tblGrid>
        <w:gridCol w:w="1022"/>
        <w:gridCol w:w="982"/>
        <w:gridCol w:w="6068"/>
        <w:gridCol w:w="846"/>
        <w:gridCol w:w="1373"/>
      </w:tblGrid>
      <w:tr>
        <w:tblPrEx>
          <w:tblCellMar>
            <w:top w:w="0" w:type="dxa"/>
            <w:left w:w="108" w:type="dxa"/>
            <w:bottom w:w="0" w:type="dxa"/>
            <w:right w:w="108" w:type="dxa"/>
          </w:tblCellMar>
        </w:tblPrEx>
        <w:trPr>
          <w:trHeight w:val="1760" w:hRule="exact"/>
          <w:jc w:val="center"/>
        </w:trPr>
        <w:tc>
          <w:tcPr>
            <w:tcW w:w="1022" w:type="dxa"/>
            <w:vMerge w:val="restart"/>
            <w:tcBorders>
              <w:top w:val="single" w:color="auto" w:sz="4" w:space="0"/>
              <w:left w:val="single" w:color="auto" w:sz="4" w:space="0"/>
              <w:bottom w:val="single" w:color="auto" w:sz="4" w:space="0"/>
              <w:right w:val="single" w:color="auto" w:sz="4" w:space="0"/>
            </w:tcBorders>
            <w:vAlign w:val="center"/>
          </w:tcPr>
          <w:p>
            <w:pPr>
              <w:pStyle w:val="838"/>
              <w:widowControl/>
              <w:tabs>
                <w:tab w:val="left" w:pos="0"/>
                <w:tab w:val="clear" w:pos="8268"/>
              </w:tabs>
              <w:spacing w:line="400" w:lineRule="atLeast"/>
              <w:ind w:firstLine="0" w:firstLineChars="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商务</w:t>
            </w:r>
            <w:r>
              <w:rPr>
                <w:rFonts w:hint="eastAsia" w:ascii="宋体" w:hAnsi="宋体" w:eastAsia="宋体" w:cs="宋体"/>
                <w:b/>
                <w:bCs/>
                <w:color w:val="auto"/>
                <w:kern w:val="0"/>
                <w:sz w:val="21"/>
                <w:szCs w:val="21"/>
              </w:rPr>
              <w:t>资信分</w:t>
            </w:r>
            <w:r>
              <w:rPr>
                <w:rFonts w:hint="eastAsia" w:ascii="宋体" w:hAnsi="宋体" w:eastAsia="宋体" w:cs="宋体"/>
                <w:b/>
                <w:bCs/>
                <w:color w:val="auto"/>
                <w:kern w:val="0"/>
                <w:sz w:val="21"/>
                <w:szCs w:val="21"/>
                <w:lang w:val="en-US" w:eastAsia="zh-CN"/>
              </w:rPr>
              <w:t>16</w:t>
            </w:r>
            <w:r>
              <w:rPr>
                <w:rFonts w:hint="eastAsia" w:ascii="宋体" w:hAnsi="宋体" w:eastAsia="宋体" w:cs="宋体"/>
                <w:b/>
                <w:bCs/>
                <w:color w:val="auto"/>
                <w:kern w:val="0"/>
                <w:sz w:val="21"/>
                <w:szCs w:val="21"/>
              </w:rPr>
              <w:t>分</w:t>
            </w:r>
          </w:p>
          <w:p>
            <w:pPr>
              <w:pStyle w:val="838"/>
              <w:tabs>
                <w:tab w:val="left" w:pos="0"/>
                <w:tab w:val="clear" w:pos="8268"/>
              </w:tabs>
              <w:spacing w:line="302" w:lineRule="auto"/>
              <w:ind w:firstLine="420"/>
              <w:jc w:val="center"/>
              <w:rPr>
                <w:rFonts w:hint="eastAsia" w:ascii="宋体" w:hAnsi="宋体" w:eastAsia="宋体" w:cs="宋体"/>
                <w:color w:val="auto"/>
                <w:kern w:val="0"/>
                <w:sz w:val="21"/>
                <w:szCs w:val="21"/>
              </w:rPr>
            </w:pPr>
          </w:p>
          <w:p>
            <w:pPr>
              <w:pStyle w:val="838"/>
              <w:tabs>
                <w:tab w:val="left" w:pos="0"/>
                <w:tab w:val="clear" w:pos="8268"/>
              </w:tabs>
              <w:spacing w:line="302" w:lineRule="auto"/>
              <w:jc w:val="center"/>
              <w:rPr>
                <w:rFonts w:hint="eastAsia" w:ascii="宋体" w:hAnsi="宋体" w:eastAsia="宋体" w:cs="宋体"/>
                <w:color w:val="auto"/>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诚信分</w:t>
            </w:r>
          </w:p>
          <w:p>
            <w:pPr>
              <w:pStyle w:val="961"/>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3分</w:t>
            </w:r>
          </w:p>
        </w:tc>
        <w:tc>
          <w:tcPr>
            <w:tcW w:w="6068"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c>
          <w:tcPr>
            <w:tcW w:w="846"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0-3</w:t>
            </w:r>
          </w:p>
        </w:tc>
        <w:tc>
          <w:tcPr>
            <w:tcW w:w="1373" w:type="dxa"/>
            <w:tcBorders>
              <w:top w:val="single" w:color="auto" w:sz="4" w:space="0"/>
              <w:left w:val="single" w:color="auto" w:sz="4" w:space="0"/>
              <w:bottom w:val="single" w:color="auto" w:sz="4" w:space="0"/>
              <w:right w:val="single" w:color="auto" w:sz="4" w:space="0"/>
            </w:tcBorders>
            <w:vAlign w:val="center"/>
          </w:tcPr>
          <w:p>
            <w:pPr>
              <w:pStyle w:val="961"/>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r>
      <w:tr>
        <w:tblPrEx>
          <w:tblCellMar>
            <w:top w:w="0" w:type="dxa"/>
            <w:left w:w="108" w:type="dxa"/>
            <w:bottom w:w="0" w:type="dxa"/>
            <w:right w:w="108" w:type="dxa"/>
          </w:tblCellMar>
        </w:tblPrEx>
        <w:trPr>
          <w:trHeight w:val="1454" w:hRule="exac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pStyle w:val="838"/>
              <w:widowControl/>
              <w:tabs>
                <w:tab w:val="left" w:pos="0"/>
                <w:tab w:val="clear" w:pos="8268"/>
              </w:tabs>
              <w:spacing w:line="400" w:lineRule="atLeast"/>
              <w:rPr>
                <w:rFonts w:hint="eastAsia" w:ascii="宋体" w:hAnsi="宋体" w:eastAsia="宋体" w:cs="宋体"/>
                <w:color w:val="auto"/>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网站</w:t>
            </w:r>
            <w:r>
              <w:rPr>
                <w:rFonts w:hint="eastAsia" w:ascii="宋体" w:hAnsi="宋体" w:eastAsia="宋体" w:cs="宋体"/>
                <w:color w:val="auto"/>
                <w:kern w:val="0"/>
                <w:sz w:val="21"/>
                <w:szCs w:val="21"/>
                <w:lang w:val="en-US" w:eastAsia="zh-CN"/>
              </w:rPr>
              <w:t>5分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具有独立的公司网站得2分</w:t>
            </w:r>
            <w:r>
              <w:rPr>
                <w:rFonts w:hint="eastAsia" w:ascii="宋体" w:hAnsi="宋体" w:eastAsia="宋体" w:cs="宋体"/>
                <w:sz w:val="21"/>
                <w:szCs w:val="21"/>
                <w:lang w:val="en-US" w:eastAsia="zh-CN"/>
              </w:rPr>
              <w:t>；</w:t>
            </w:r>
            <w:r>
              <w:rPr>
                <w:rFonts w:hint="eastAsia" w:ascii="宋体" w:hAnsi="宋体" w:eastAsia="宋体" w:cs="宋体"/>
                <w:sz w:val="21"/>
                <w:szCs w:val="21"/>
              </w:rPr>
              <w:t>具有独立的公司网站并能提供新书征订目录得3分；具有独立的公司网站</w:t>
            </w:r>
            <w:r>
              <w:rPr>
                <w:rFonts w:hint="eastAsia" w:ascii="宋体" w:hAnsi="宋体" w:eastAsia="宋体" w:cs="宋体"/>
                <w:sz w:val="21"/>
                <w:szCs w:val="21"/>
                <w:lang w:val="en-US" w:eastAsia="zh-CN"/>
              </w:rPr>
              <w:t>并</w:t>
            </w:r>
            <w:r>
              <w:rPr>
                <w:rFonts w:hint="eastAsia" w:ascii="宋体" w:hAnsi="宋体" w:eastAsia="宋体" w:cs="宋体"/>
                <w:sz w:val="21"/>
                <w:szCs w:val="21"/>
              </w:rPr>
              <w:t>能提供多元化线上订书得5分</w:t>
            </w:r>
            <w:r>
              <w:rPr>
                <w:rFonts w:hint="eastAsia" w:ascii="宋体" w:hAnsi="宋体" w:eastAsia="宋体" w:cs="宋体"/>
                <w:sz w:val="21"/>
                <w:szCs w:val="21"/>
                <w:lang w:eastAsia="zh-CN"/>
              </w:rPr>
              <w:t>。</w:t>
            </w:r>
          </w:p>
          <w:p>
            <w:pPr>
              <w:pStyle w:val="2"/>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提供相关证明材料。</w:t>
            </w: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5</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r>
      <w:tr>
        <w:tblPrEx>
          <w:tblCellMar>
            <w:top w:w="0" w:type="dxa"/>
            <w:left w:w="108" w:type="dxa"/>
            <w:bottom w:w="0" w:type="dxa"/>
            <w:right w:w="108" w:type="dxa"/>
          </w:tblCellMar>
        </w:tblPrEx>
        <w:trPr>
          <w:trHeight w:val="2020" w:hRule="exac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pStyle w:val="838"/>
              <w:widowControl/>
              <w:tabs>
                <w:tab w:val="left" w:pos="0"/>
                <w:tab w:val="clear" w:pos="8268"/>
              </w:tabs>
              <w:spacing w:line="400" w:lineRule="atLeast"/>
              <w:rPr>
                <w:rFonts w:hint="eastAsia" w:ascii="宋体" w:hAnsi="宋体" w:eastAsia="宋体" w:cs="宋体"/>
                <w:color w:val="auto"/>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相关证书</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有效期内的ISO9001质量管理体系认证证书的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ISO14001环境管理体系认证证书的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ISO45001职业健康安全管理体系认证证书或(GB/T 28001职业健康安全管理体系认证证书)的</w:t>
            </w:r>
            <w:r>
              <w:rPr>
                <w:rFonts w:hint="eastAsia" w:ascii="宋体" w:hAnsi="宋体" w:eastAsia="宋体" w:cs="宋体"/>
                <w:color w:val="auto"/>
                <w:sz w:val="21"/>
                <w:szCs w:val="21"/>
                <w:lang w:eastAsia="zh-CN"/>
              </w:rPr>
              <w:t>每个</w:t>
            </w:r>
            <w:r>
              <w:rPr>
                <w:rFonts w:hint="eastAsia" w:ascii="宋体" w:hAnsi="宋体" w:eastAsia="宋体" w:cs="宋体"/>
                <w:color w:val="auto"/>
                <w:sz w:val="21"/>
                <w:szCs w:val="21"/>
              </w:rPr>
              <w:t>得1分</w:t>
            </w:r>
            <w:r>
              <w:rPr>
                <w:rFonts w:hint="eastAsia" w:ascii="宋体" w:hAnsi="宋体" w:eastAsia="宋体" w:cs="宋体"/>
                <w:color w:val="auto"/>
                <w:sz w:val="21"/>
                <w:szCs w:val="21"/>
                <w:lang w:eastAsia="zh-CN"/>
              </w:rPr>
              <w:t>，最多得</w:t>
            </w:r>
            <w:r>
              <w:rPr>
                <w:rFonts w:hint="eastAsia" w:ascii="宋体" w:hAnsi="宋体" w:eastAsia="宋体" w:cs="宋体"/>
                <w:color w:val="auto"/>
                <w:spacing w:val="0"/>
                <w:kern w:val="0"/>
                <w:sz w:val="21"/>
                <w:szCs w:val="21"/>
                <w:lang w:val="en-US" w:eastAsia="zh-CN" w:bidi="ar-SA"/>
              </w:rPr>
              <w:t>3分。</w:t>
            </w:r>
          </w:p>
          <w:p>
            <w:pPr>
              <w:pStyle w:val="23"/>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pacing w:val="0"/>
                <w:kern w:val="0"/>
                <w:sz w:val="21"/>
                <w:szCs w:val="21"/>
                <w:lang w:val="en-US" w:eastAsia="zh-CN" w:bidi="ar-SA"/>
              </w:rPr>
              <w:t>投标人的相关荣誉、获得的证书等情况。0-2分</w:t>
            </w:r>
          </w:p>
        </w:tc>
        <w:tc>
          <w:tcPr>
            <w:tcW w:w="846" w:type="dxa"/>
            <w:tcBorders>
              <w:top w:val="single" w:color="auto" w:sz="4" w:space="0"/>
              <w:left w:val="single" w:color="auto" w:sz="4" w:space="0"/>
              <w:bottom w:val="single" w:color="auto" w:sz="4" w:space="0"/>
              <w:right w:val="single" w:color="auto" w:sz="4" w:space="0"/>
            </w:tcBorders>
            <w:vAlign w:val="center"/>
          </w:tcPr>
          <w:p>
            <w:pPr>
              <w:pStyle w:val="838"/>
              <w:tabs>
                <w:tab w:val="left" w:pos="0"/>
                <w:tab w:val="clear" w:pos="8268"/>
              </w:tabs>
              <w:snapToGrid w:val="0"/>
              <w:spacing w:line="36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p>
          <w:p>
            <w:pPr>
              <w:rPr>
                <w:rFonts w:hint="eastAsia" w:ascii="宋体" w:hAnsi="宋体" w:eastAsia="宋体" w:cs="宋体"/>
                <w:color w:val="auto"/>
                <w:sz w:val="21"/>
                <w:szCs w:val="21"/>
                <w:lang w:eastAsia="zh-CN"/>
              </w:rPr>
            </w:pPr>
            <w:r>
              <w:rPr>
                <w:rFonts w:hint="eastAsia" w:ascii="宋体" w:hAnsi="宋体" w:eastAsia="宋体" w:cs="宋体"/>
                <w:color w:val="auto"/>
                <w:kern w:val="28"/>
                <w:sz w:val="21"/>
                <w:szCs w:val="21"/>
                <w:lang w:val="en-US" w:eastAsia="zh-CN" w:bidi="ar-SA"/>
              </w:rPr>
              <w:t>2.0-2</w:t>
            </w:r>
          </w:p>
        </w:tc>
        <w:tc>
          <w:tcPr>
            <w:tcW w:w="1373" w:type="dxa"/>
            <w:tcBorders>
              <w:top w:val="single" w:color="auto" w:sz="4" w:space="0"/>
              <w:left w:val="single" w:color="auto" w:sz="4" w:space="0"/>
              <w:bottom w:val="single" w:color="auto" w:sz="4" w:space="0"/>
              <w:right w:val="single" w:color="auto" w:sz="4" w:space="0"/>
            </w:tcBorders>
            <w:vAlign w:val="center"/>
          </w:tcPr>
          <w:p>
            <w:pPr>
              <w:pStyle w:val="838"/>
              <w:tabs>
                <w:tab w:val="left" w:pos="0"/>
                <w:tab w:val="clear" w:pos="8268"/>
              </w:tabs>
              <w:snapToGrid w:val="0"/>
              <w:spacing w:line="36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客观分</w:t>
            </w:r>
          </w:p>
          <w:p>
            <w:pPr>
              <w:pStyle w:val="838"/>
              <w:tabs>
                <w:tab w:val="left" w:pos="0"/>
                <w:tab w:val="clear" w:pos="8268"/>
              </w:tabs>
              <w:spacing w:line="36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28"/>
                <w:sz w:val="21"/>
                <w:szCs w:val="21"/>
                <w:lang w:val="en-US" w:eastAsia="zh-CN" w:bidi="ar-SA"/>
              </w:rPr>
              <w:t>2.专家打分</w:t>
            </w:r>
          </w:p>
        </w:tc>
      </w:tr>
      <w:tr>
        <w:tblPrEx>
          <w:tblCellMar>
            <w:top w:w="0" w:type="dxa"/>
            <w:left w:w="108" w:type="dxa"/>
            <w:bottom w:w="0" w:type="dxa"/>
            <w:right w:w="108" w:type="dxa"/>
          </w:tblCellMar>
        </w:tblPrEx>
        <w:trPr>
          <w:trHeight w:val="1134" w:hRule="exac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pStyle w:val="838"/>
              <w:widowControl/>
              <w:tabs>
                <w:tab w:val="left" w:pos="0"/>
                <w:tab w:val="clear" w:pos="8268"/>
              </w:tabs>
              <w:spacing w:line="400" w:lineRule="atLeast"/>
              <w:rPr>
                <w:rFonts w:hint="eastAsia" w:ascii="宋体" w:hAnsi="宋体" w:eastAsia="宋体" w:cs="宋体"/>
                <w:color w:val="auto"/>
                <w:sz w:val="21"/>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同类业绩3分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近三年以来（自投标截止日起往前追溯3年）的同类业绩，每提供一个同类业绩得1分，最高得3分。需提供合同和验收材料。</w:t>
            </w:r>
          </w:p>
        </w:tc>
        <w:tc>
          <w:tcPr>
            <w:tcW w:w="846" w:type="dxa"/>
            <w:tcBorders>
              <w:top w:val="single" w:color="auto" w:sz="4" w:space="0"/>
              <w:left w:val="single" w:color="auto" w:sz="4" w:space="0"/>
              <w:bottom w:val="single" w:color="auto" w:sz="4" w:space="0"/>
              <w:right w:val="single" w:color="auto" w:sz="4" w:space="0"/>
            </w:tcBorders>
            <w:vAlign w:val="center"/>
          </w:tcPr>
          <w:p>
            <w:pPr>
              <w:pStyle w:val="838"/>
              <w:tabs>
                <w:tab w:val="left" w:pos="0"/>
                <w:tab w:val="clear" w:pos="8268"/>
              </w:tabs>
              <w:snapToGrid w:val="0"/>
              <w:spacing w:line="36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0-3</w:t>
            </w:r>
          </w:p>
        </w:tc>
        <w:tc>
          <w:tcPr>
            <w:tcW w:w="1373" w:type="dxa"/>
            <w:tcBorders>
              <w:top w:val="single" w:color="auto" w:sz="4" w:space="0"/>
              <w:left w:val="single" w:color="auto" w:sz="4" w:space="0"/>
              <w:bottom w:val="single" w:color="auto" w:sz="4" w:space="0"/>
              <w:right w:val="single" w:color="auto" w:sz="4" w:space="0"/>
            </w:tcBorders>
            <w:vAlign w:val="center"/>
          </w:tcPr>
          <w:p>
            <w:pPr>
              <w:pStyle w:val="838"/>
              <w:tabs>
                <w:tab w:val="left" w:pos="0"/>
                <w:tab w:val="clear" w:pos="8268"/>
              </w:tabs>
              <w:spacing w:line="36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tc>
      </w:tr>
    </w:tbl>
    <w:p>
      <w:pPr>
        <w:spacing w:beforeLines="50" w:line="360" w:lineRule="auto"/>
        <w:rPr>
          <w:rFonts w:ascii="宋体" w:hAnsi="宋体" w:cs="宋体"/>
          <w:b/>
          <w:bCs/>
          <w:color w:val="auto"/>
          <w:kern w:val="0"/>
          <w:szCs w:val="21"/>
        </w:rPr>
      </w:pPr>
      <w:r>
        <w:rPr>
          <w:rFonts w:hint="eastAsia" w:ascii="宋体" w:hAnsi="宋体" w:cs="宋体"/>
          <w:b/>
          <w:bCs/>
          <w:color w:val="auto"/>
          <w:kern w:val="0"/>
          <w:szCs w:val="21"/>
        </w:rPr>
        <w:t>注：上述要求提供证书、证明材料、发票、检测报告等均必须在电子标书中上传原件扫描件或图片，不是原件的该项不得分。</w:t>
      </w:r>
    </w:p>
    <w:p>
      <w:pPr>
        <w:snapToGrid w:val="0"/>
        <w:spacing w:beforeLines="30" w:line="400" w:lineRule="exact"/>
        <w:jc w:val="left"/>
        <w:outlineLvl w:val="1"/>
        <w:rPr>
          <w:rFonts w:ascii="宋体" w:hAnsi="宋体" w:cs="宋体"/>
          <w:b/>
          <w:color w:val="auto"/>
          <w:sz w:val="24"/>
        </w:rPr>
      </w:pPr>
      <w:r>
        <w:rPr>
          <w:rFonts w:hint="eastAsia" w:ascii="宋体" w:hAnsi="宋体"/>
          <w:b/>
          <w:color w:val="auto"/>
          <w:sz w:val="24"/>
        </w:rPr>
        <w:t>（</w:t>
      </w:r>
      <w:r>
        <w:rPr>
          <w:rFonts w:ascii="宋体" w:hAnsi="宋体"/>
          <w:b/>
          <w:color w:val="auto"/>
          <w:sz w:val="24"/>
        </w:rPr>
        <w:t>三</w:t>
      </w:r>
      <w:r>
        <w:rPr>
          <w:rFonts w:hint="eastAsia" w:ascii="宋体" w:hAnsi="宋体"/>
          <w:b/>
          <w:color w:val="auto"/>
          <w:sz w:val="24"/>
        </w:rPr>
        <w:t>）技术分</w:t>
      </w:r>
      <w:r>
        <w:rPr>
          <w:rFonts w:hint="eastAsia" w:ascii="宋体" w:hAnsi="宋体" w:cs="宋体"/>
          <w:b/>
          <w:color w:val="auto"/>
          <w:sz w:val="24"/>
        </w:rPr>
        <w:t>（5</w:t>
      </w:r>
      <w:r>
        <w:rPr>
          <w:rFonts w:hint="eastAsia" w:ascii="宋体" w:hAnsi="宋体" w:cs="宋体"/>
          <w:b/>
          <w:color w:val="auto"/>
          <w:sz w:val="24"/>
          <w:lang w:val="en-US" w:eastAsia="zh-CN"/>
        </w:rPr>
        <w:t>4</w:t>
      </w:r>
      <w:r>
        <w:rPr>
          <w:rFonts w:hint="eastAsia" w:ascii="宋体" w:hAnsi="宋体" w:cs="宋体"/>
          <w:b/>
          <w:color w:val="auto"/>
          <w:sz w:val="24"/>
        </w:rPr>
        <w:t>分）</w:t>
      </w:r>
    </w:p>
    <w:tbl>
      <w:tblPr>
        <w:tblStyle w:val="62"/>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00"/>
        <w:gridCol w:w="6059"/>
        <w:gridCol w:w="84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54" w:type="dxa"/>
            <w:vMerge w:val="restart"/>
            <w:tcBorders>
              <w:tl2br w:val="nil"/>
              <w:tr2bl w:val="nil"/>
            </w:tcBorders>
            <w:vAlign w:val="center"/>
          </w:tcPr>
          <w:p>
            <w:pPr>
              <w:pStyle w:val="838"/>
              <w:widowControl/>
              <w:tabs>
                <w:tab w:val="left" w:pos="0"/>
                <w:tab w:val="clear" w:pos="8268"/>
              </w:tabs>
              <w:spacing w:line="400" w:lineRule="atLeast"/>
              <w:ind w:firstLine="0" w:firstLineChars="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技术分5</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分</w:t>
            </w:r>
          </w:p>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采购能力</w:t>
            </w:r>
            <w:r>
              <w:rPr>
                <w:rFonts w:hint="eastAsia" w:ascii="宋体" w:hAnsi="宋体" w:eastAsia="宋体" w:cs="宋体"/>
                <w:color w:val="auto"/>
                <w:sz w:val="21"/>
                <w:szCs w:val="21"/>
                <w:lang w:val="en-US" w:eastAsia="zh-CN"/>
              </w:rPr>
              <w:t>6分</w:t>
            </w:r>
          </w:p>
        </w:tc>
        <w:tc>
          <w:tcPr>
            <w:tcW w:w="6059" w:type="dxa"/>
            <w:tcBorders>
              <w:tl2br w:val="nil"/>
              <w:tr2bl w:val="nil"/>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有供书保障的出版社代理证明，数量达到</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00份得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00份得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300份得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分，400份</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以上得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分，其中含一级出版社</w:t>
            </w:r>
            <w:r>
              <w:rPr>
                <w:rFonts w:hint="eastAsia" w:ascii="宋体" w:hAnsi="宋体" w:eastAsia="宋体" w:cs="宋体"/>
                <w:color w:val="auto"/>
                <w:sz w:val="21"/>
                <w:szCs w:val="21"/>
                <w:lang w:eastAsia="zh-CN"/>
              </w:rPr>
              <w:t>再</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分（提供供货合同或授权书</w:t>
            </w:r>
            <w:r>
              <w:rPr>
                <w:rFonts w:hint="eastAsia" w:ascii="宋体" w:hAnsi="宋体" w:eastAsia="宋体" w:cs="宋体"/>
                <w:color w:val="auto"/>
                <w:sz w:val="21"/>
                <w:szCs w:val="21"/>
                <w:lang w:eastAsia="zh-CN"/>
              </w:rPr>
              <w:t>等相关资料</w:t>
            </w:r>
            <w:r>
              <w:rPr>
                <w:rFonts w:hint="eastAsia" w:ascii="宋体" w:hAnsi="宋体" w:eastAsia="宋体" w:cs="宋体"/>
                <w:color w:val="auto"/>
                <w:sz w:val="21"/>
                <w:szCs w:val="21"/>
              </w:rPr>
              <w:t>，不提供不得分）。</w:t>
            </w:r>
          </w:p>
        </w:tc>
        <w:tc>
          <w:tcPr>
            <w:tcW w:w="849" w:type="dxa"/>
            <w:tcBorders>
              <w:tl2br w:val="nil"/>
              <w:tr2bl w:val="nil"/>
            </w:tcBorders>
            <w:vAlign w:val="center"/>
          </w:tcPr>
          <w:p>
            <w:pPr>
              <w:spacing w:line="30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6</w:t>
            </w:r>
          </w:p>
        </w:tc>
        <w:tc>
          <w:tcPr>
            <w:tcW w:w="1401" w:type="dxa"/>
            <w:tcBorders>
              <w:tl2br w:val="nil"/>
              <w:tr2bl w:val="nil"/>
            </w:tcBorders>
            <w:vAlign w:val="center"/>
          </w:tcPr>
          <w:p>
            <w:pPr>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加工能力</w:t>
            </w:r>
          </w:p>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c>
          <w:tcPr>
            <w:tcW w:w="6059" w:type="dxa"/>
            <w:tcBorders>
              <w:tl2br w:val="nil"/>
              <w:tr2bl w:val="nil"/>
            </w:tcBorders>
            <w:vAlign w:val="center"/>
          </w:tcPr>
          <w:p>
            <w:pPr>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供应商有稳定的编码加工团队，团队成员须为供应商正式员工，入校加工人员</w:t>
            </w:r>
            <w:r>
              <w:rPr>
                <w:rFonts w:hint="eastAsia" w:ascii="宋体" w:hAnsi="宋体" w:eastAsia="宋体" w:cs="宋体"/>
                <w:color w:val="auto"/>
                <w:sz w:val="21"/>
                <w:szCs w:val="21"/>
                <w:lang w:eastAsia="zh-CN"/>
              </w:rPr>
              <w:t>须为</w:t>
            </w:r>
            <w:r>
              <w:rPr>
                <w:rFonts w:hint="eastAsia" w:ascii="宋体" w:hAnsi="宋体" w:eastAsia="宋体" w:cs="宋体"/>
                <w:color w:val="auto"/>
                <w:sz w:val="21"/>
                <w:szCs w:val="21"/>
              </w:rPr>
              <w:t>投标人企业在职员工，</w:t>
            </w:r>
            <w:r>
              <w:rPr>
                <w:rFonts w:hint="eastAsia" w:ascii="宋体" w:hAnsi="宋体" w:eastAsia="宋体" w:cs="宋体"/>
                <w:color w:val="auto"/>
                <w:sz w:val="21"/>
                <w:szCs w:val="21"/>
                <w:lang w:eastAsia="zh-CN"/>
              </w:rPr>
              <w:t>须同时</w:t>
            </w:r>
            <w:r>
              <w:rPr>
                <w:rFonts w:hint="eastAsia" w:ascii="宋体" w:hAnsi="宋体" w:eastAsia="宋体" w:cs="宋体"/>
                <w:color w:val="auto"/>
                <w:sz w:val="21"/>
                <w:szCs w:val="21"/>
              </w:rPr>
              <w:t>提供加工人员名册、劳动合同和企业缴纳社保证明，缺一不可。每个得1分,最高4分,以上编目加工团队中能提供国家编码上岗证</w:t>
            </w:r>
            <w:r>
              <w:rPr>
                <w:rFonts w:hint="eastAsia" w:ascii="宋体" w:hAnsi="宋体" w:eastAsia="宋体" w:cs="宋体"/>
                <w:color w:val="auto"/>
                <w:sz w:val="21"/>
                <w:szCs w:val="21"/>
                <w:lang w:eastAsia="zh-CN"/>
              </w:rPr>
              <w:t>再</w:t>
            </w:r>
            <w:r>
              <w:rPr>
                <w:rFonts w:hint="eastAsia" w:ascii="宋体" w:hAnsi="宋体" w:eastAsia="宋体" w:cs="宋体"/>
                <w:color w:val="auto"/>
                <w:sz w:val="21"/>
                <w:szCs w:val="21"/>
              </w:rPr>
              <w:t>得1分</w:t>
            </w:r>
            <w:r>
              <w:rPr>
                <w:rFonts w:hint="eastAsia" w:ascii="宋体" w:hAnsi="宋体" w:eastAsia="宋体" w:cs="宋体"/>
                <w:color w:val="auto"/>
                <w:sz w:val="21"/>
                <w:szCs w:val="21"/>
                <w:lang w:eastAsia="zh-CN"/>
              </w:rPr>
              <w:t>，此项最高得</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rPr>
              <w:t>。</w:t>
            </w:r>
          </w:p>
          <w:p>
            <w:pPr>
              <w:spacing w:line="30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近三年以来（自投标截止日起往前追溯3年）为公共图书馆或学校图书馆提供图书加工服务的证明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lang w:val="en-US" w:eastAsia="zh-CN"/>
              </w:rPr>
              <w:t>1份</w:t>
            </w:r>
            <w:r>
              <w:rPr>
                <w:rFonts w:hint="eastAsia" w:ascii="宋体" w:hAnsi="宋体" w:eastAsia="宋体" w:cs="宋体"/>
                <w:color w:val="auto"/>
                <w:sz w:val="21"/>
                <w:szCs w:val="21"/>
              </w:rPr>
              <w:t>得1分，最高</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849" w:type="dxa"/>
            <w:tcBorders>
              <w:tl2br w:val="nil"/>
              <w:tr2bl w:val="nil"/>
            </w:tcBorders>
            <w:vAlign w:val="center"/>
          </w:tcPr>
          <w:p>
            <w:pPr>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2.0-3</w:t>
            </w:r>
          </w:p>
        </w:tc>
        <w:tc>
          <w:tcPr>
            <w:tcW w:w="1401"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bCs/>
                <w:color w:val="auto"/>
                <w:sz w:val="21"/>
                <w:szCs w:val="21"/>
              </w:rPr>
              <w:t>现采门店</w:t>
            </w: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rPr>
              <w:t>分</w:t>
            </w:r>
          </w:p>
        </w:tc>
        <w:tc>
          <w:tcPr>
            <w:tcW w:w="6059" w:type="dxa"/>
            <w:tcBorders>
              <w:tl2br w:val="nil"/>
              <w:tr2bl w:val="nil"/>
            </w:tcBorders>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rPr>
              <w:t>现采基地详细情况，在采购人现采服务范围内拥有一定规模的图书销售门店（图书存储库房不算在内）由评委根据现采门店</w:t>
            </w:r>
            <w:r>
              <w:rPr>
                <w:rFonts w:hint="eastAsia" w:ascii="宋体" w:hAnsi="宋体" w:eastAsia="宋体" w:cs="宋体"/>
                <w:bCs/>
                <w:color w:val="auto"/>
                <w:sz w:val="21"/>
                <w:szCs w:val="21"/>
                <w:lang w:eastAsia="zh-CN"/>
              </w:rPr>
              <w:t>面积、与采购人距离、</w:t>
            </w:r>
            <w:r>
              <w:rPr>
                <w:rFonts w:hint="eastAsia" w:ascii="宋体" w:hAnsi="宋体" w:eastAsia="宋体" w:cs="宋体"/>
                <w:bCs/>
                <w:color w:val="auto"/>
                <w:sz w:val="21"/>
                <w:szCs w:val="21"/>
              </w:rPr>
              <w:t>可供品种、以及现采设备打分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(提供的不动产证或者租赁合同及现场图片等证明材料)</w:t>
            </w:r>
          </w:p>
        </w:tc>
        <w:tc>
          <w:tcPr>
            <w:tcW w:w="849" w:type="dxa"/>
            <w:tcBorders>
              <w:tl2br w:val="nil"/>
              <w:tr2bl w:val="nil"/>
            </w:tcBorders>
            <w:vAlign w:val="center"/>
          </w:tcPr>
          <w:p>
            <w:pPr>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w:t>
            </w:r>
          </w:p>
        </w:tc>
        <w:tc>
          <w:tcPr>
            <w:tcW w:w="1401" w:type="dxa"/>
            <w:tcBorders>
              <w:tl2br w:val="nil"/>
              <w:tr2bl w:val="nil"/>
            </w:tcBorders>
            <w:vAlign w:val="center"/>
          </w:tcPr>
          <w:p>
            <w:pPr>
              <w:spacing w:line="30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tabs>
                <w:tab w:val="left" w:pos="6660"/>
                <w:tab w:val="left" w:pos="6840"/>
              </w:tabs>
              <w:jc w:val="center"/>
              <w:rPr>
                <w:rFonts w:hint="eastAsia" w:ascii="宋体" w:hAnsi="宋体" w:eastAsia="宋体" w:cs="宋体"/>
                <w:color w:val="auto"/>
                <w:sz w:val="21"/>
                <w:szCs w:val="21"/>
              </w:rPr>
            </w:pPr>
            <w:r>
              <w:rPr>
                <w:rFonts w:hint="eastAsia" w:ascii="宋体" w:hAnsi="宋体" w:eastAsia="宋体" w:cs="宋体"/>
                <w:color w:val="auto"/>
                <w:sz w:val="21"/>
                <w:szCs w:val="21"/>
              </w:rPr>
              <w:t>订购到书率</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6059" w:type="dxa"/>
            <w:tcBorders>
              <w:tl2br w:val="nil"/>
              <w:tr2bl w:val="nil"/>
            </w:tcBorders>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承诺到书率达95%以上为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分；90-9</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分；90%以下不得分（提供相关到书率证明，不提供不得分）。</w:t>
            </w:r>
          </w:p>
        </w:tc>
        <w:tc>
          <w:tcPr>
            <w:tcW w:w="849" w:type="dxa"/>
            <w:tcBorders>
              <w:tl2br w:val="nil"/>
              <w:tr2bl w:val="nil"/>
            </w:tcBorders>
            <w:vAlign w:val="center"/>
          </w:tcPr>
          <w:p>
            <w:pPr>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w:t>
            </w:r>
          </w:p>
        </w:tc>
        <w:tc>
          <w:tcPr>
            <w:tcW w:w="1401" w:type="dxa"/>
            <w:tcBorders>
              <w:tl2br w:val="nil"/>
              <w:tr2bl w:val="nil"/>
            </w:tcBorders>
            <w:vAlign w:val="center"/>
          </w:tcPr>
          <w:p>
            <w:pPr>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本地化服务能力</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6059" w:type="dxa"/>
            <w:tcBorders>
              <w:tl2br w:val="nil"/>
              <w:tr2bl w:val="nil"/>
            </w:tcBorders>
            <w:vAlign w:val="center"/>
          </w:tcPr>
          <w:p>
            <w:pPr>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1.在嘉善县范围内设有服务点得4分，在嘉善县范围外且嘉兴市范围内得2分，无服务点不得分。（提供不动产证或者租赁合同</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及现场图片等证明材料）</w:t>
            </w:r>
            <w:r>
              <w:rPr>
                <w:rFonts w:hint="eastAsia" w:ascii="宋体" w:hAnsi="宋体" w:cs="宋体"/>
                <w:color w:val="auto"/>
                <w:sz w:val="21"/>
                <w:szCs w:val="21"/>
                <w:highlight w:val="none"/>
                <w:lang w:val="en-US" w:eastAsia="zh-CN"/>
              </w:rPr>
              <w:t>；</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2.在本地范围内服务点车辆配备、图书加工和服务场地、仓库储备情况说明。</w:t>
            </w:r>
            <w:r>
              <w:rPr>
                <w:rFonts w:hint="eastAsia" w:ascii="宋体" w:hAnsi="宋体" w:eastAsia="宋体" w:cs="宋体"/>
                <w:color w:val="auto"/>
                <w:spacing w:val="0"/>
                <w:kern w:val="0"/>
                <w:sz w:val="21"/>
                <w:szCs w:val="21"/>
                <w:lang w:val="en-US" w:eastAsia="zh-CN" w:bidi="ar-SA"/>
              </w:rPr>
              <w:t>0-3分</w:t>
            </w:r>
          </w:p>
        </w:tc>
        <w:tc>
          <w:tcPr>
            <w:tcW w:w="849" w:type="dxa"/>
            <w:tcBorders>
              <w:tl2br w:val="nil"/>
              <w:tr2bl w:val="nil"/>
            </w:tcBorders>
            <w:vAlign w:val="center"/>
          </w:tcPr>
          <w:p>
            <w:pPr>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w:t>
            </w:r>
          </w:p>
          <w:p>
            <w:pPr>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2.0-3</w:t>
            </w:r>
          </w:p>
        </w:tc>
        <w:tc>
          <w:tcPr>
            <w:tcW w:w="1401" w:type="dxa"/>
            <w:tcBorders>
              <w:tl2br w:val="nil"/>
              <w:tr2bl w:val="nil"/>
            </w:tcBorders>
            <w:vAlign w:val="center"/>
          </w:tcPr>
          <w:p>
            <w:pPr>
              <w:pStyle w:val="838"/>
              <w:tabs>
                <w:tab w:val="left" w:pos="0"/>
                <w:tab w:val="clear" w:pos="8268"/>
              </w:tabs>
              <w:snapToGrid w:val="0"/>
              <w:spacing w:line="36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客观分</w:t>
            </w:r>
          </w:p>
          <w:p>
            <w:pPr>
              <w:pStyle w:val="838"/>
              <w:tabs>
                <w:tab w:val="left" w:pos="0"/>
                <w:tab w:val="clear" w:pos="8268"/>
              </w:tabs>
              <w:spacing w:line="360" w:lineRule="auto"/>
              <w:ind w:left="0" w:leftChars="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8"/>
                <w:sz w:val="21"/>
                <w:szCs w:val="21"/>
                <w:lang w:val="en-US" w:eastAsia="zh-CN" w:bidi="ar-SA"/>
              </w:rPr>
              <w:t>2.专家打分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实施方案5分</w:t>
            </w:r>
          </w:p>
        </w:tc>
        <w:tc>
          <w:tcPr>
            <w:tcW w:w="6059" w:type="dxa"/>
            <w:tcBorders>
              <w:tl2br w:val="nil"/>
              <w:tr2bl w:val="nil"/>
            </w:tcBorders>
            <w:vAlign w:val="center"/>
          </w:tcPr>
          <w:p>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根据响应文件中供货及验收方案的科学性、合理性、规范性和可操作性进行评分。</w:t>
            </w:r>
          </w:p>
        </w:tc>
        <w:tc>
          <w:tcPr>
            <w:tcW w:w="849"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p>
        </w:tc>
        <w:tc>
          <w:tcPr>
            <w:tcW w:w="1401"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加工方案5分</w:t>
            </w:r>
          </w:p>
        </w:tc>
        <w:tc>
          <w:tcPr>
            <w:tcW w:w="6059" w:type="dxa"/>
            <w:tcBorders>
              <w:tl2br w:val="nil"/>
              <w:tr2bl w:val="nil"/>
            </w:tcBorders>
            <w:vAlign w:val="center"/>
          </w:tcPr>
          <w:p>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根据供应商提供的图书编目加工等方案进行评分。</w:t>
            </w:r>
          </w:p>
        </w:tc>
        <w:tc>
          <w:tcPr>
            <w:tcW w:w="849"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p>
        </w:tc>
        <w:tc>
          <w:tcPr>
            <w:tcW w:w="1401"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增值方案</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6059" w:type="dxa"/>
            <w:tcBorders>
              <w:tl2br w:val="nil"/>
              <w:tr2bl w:val="nil"/>
            </w:tcBorders>
            <w:vAlign w:val="center"/>
          </w:tcPr>
          <w:p>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根据供应商为招标方所设计和提供的增值服务方面的增值服务进行评分。</w:t>
            </w:r>
          </w:p>
        </w:tc>
        <w:tc>
          <w:tcPr>
            <w:tcW w:w="849"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p>
        </w:tc>
        <w:tc>
          <w:tcPr>
            <w:tcW w:w="1401"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应急方案</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6059" w:type="dxa"/>
            <w:tcBorders>
              <w:tl2br w:val="nil"/>
              <w:tr2bl w:val="nil"/>
            </w:tcBorders>
            <w:vAlign w:val="center"/>
          </w:tcPr>
          <w:p>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根据供应商提供的对项目执行中可能遇到的风险有预测，有合理可行的风险应对方案进行评分。</w:t>
            </w:r>
          </w:p>
        </w:tc>
        <w:tc>
          <w:tcPr>
            <w:tcW w:w="849"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p>
        </w:tc>
        <w:tc>
          <w:tcPr>
            <w:tcW w:w="1401"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54" w:type="dxa"/>
            <w:vMerge w:val="continue"/>
            <w:tcBorders>
              <w:tl2br w:val="nil"/>
              <w:tr2bl w:val="nil"/>
            </w:tcBorders>
            <w:vAlign w:val="center"/>
          </w:tcPr>
          <w:p>
            <w:pPr>
              <w:pStyle w:val="838"/>
              <w:widowControl/>
              <w:tabs>
                <w:tab w:val="left" w:pos="0"/>
                <w:tab w:val="clear" w:pos="8268"/>
              </w:tabs>
              <w:spacing w:line="360" w:lineRule="atLeast"/>
              <w:jc w:val="center"/>
              <w:rPr>
                <w:rFonts w:hint="eastAsia" w:ascii="宋体" w:hAnsi="宋体" w:eastAsia="宋体" w:cs="宋体"/>
                <w:color w:val="auto"/>
                <w:sz w:val="21"/>
                <w:szCs w:val="21"/>
              </w:rPr>
            </w:pPr>
          </w:p>
        </w:tc>
        <w:tc>
          <w:tcPr>
            <w:tcW w:w="1500" w:type="dxa"/>
            <w:tcBorders>
              <w:tl2br w:val="nil"/>
              <w:tr2bl w:val="nil"/>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售后方案5分</w:t>
            </w:r>
          </w:p>
        </w:tc>
        <w:tc>
          <w:tcPr>
            <w:tcW w:w="6059" w:type="dxa"/>
            <w:tcBorders>
              <w:tl2br w:val="nil"/>
              <w:tr2bl w:val="nil"/>
            </w:tcBorders>
            <w:vAlign w:val="center"/>
          </w:tcPr>
          <w:p>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根据供应商提供的售后服务方案及对项目执行中可能遇到的风险有预测，有合理可行的风险应对方案进行评分。</w:t>
            </w:r>
          </w:p>
        </w:tc>
        <w:tc>
          <w:tcPr>
            <w:tcW w:w="849"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p>
        </w:tc>
        <w:tc>
          <w:tcPr>
            <w:tcW w:w="1401" w:type="dxa"/>
            <w:tcBorders>
              <w:tl2br w:val="nil"/>
              <w:tr2bl w:val="nil"/>
            </w:tcBorders>
            <w:vAlign w:val="center"/>
          </w:tcPr>
          <w:p>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专家打分</w:t>
            </w:r>
          </w:p>
        </w:tc>
      </w:tr>
    </w:tbl>
    <w:p>
      <w:pPr>
        <w:spacing w:beforeLines="50"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注：上述要求提供证书、证明材料、发票、检测报告等均必须在电子标书中上传原件扫描件或图片，不是原件的该项不得分</w:t>
      </w:r>
      <w:r>
        <w:rPr>
          <w:rFonts w:hint="eastAsia" w:ascii="宋体" w:hAnsi="宋体" w:cs="宋体"/>
          <w:b/>
          <w:bCs/>
          <w:color w:val="auto"/>
          <w:kern w:val="0"/>
          <w:szCs w:val="21"/>
          <w:lang w:eastAsia="zh-CN"/>
        </w:rPr>
        <w:t>。</w:t>
      </w:r>
    </w:p>
    <w:p>
      <w:pPr>
        <w:rPr>
          <w:b/>
          <w:bCs/>
          <w:color w:val="auto"/>
          <w:sz w:val="28"/>
          <w:szCs w:val="21"/>
        </w:rPr>
      </w:pPr>
    </w:p>
    <w:p>
      <w:pPr>
        <w:pStyle w:val="23"/>
        <w:rPr>
          <w:b/>
          <w:bCs/>
          <w:color w:val="auto"/>
          <w:sz w:val="28"/>
          <w:szCs w:val="21"/>
        </w:rPr>
      </w:pPr>
    </w:p>
    <w:p>
      <w:pPr>
        <w:pStyle w:val="24"/>
        <w:rPr>
          <w:b/>
          <w:bCs/>
          <w:color w:val="auto"/>
          <w:sz w:val="28"/>
          <w:szCs w:val="21"/>
        </w:rPr>
      </w:pPr>
    </w:p>
    <w:p/>
    <w:p>
      <w:pPr>
        <w:spacing w:beforeLines="50" w:line="360" w:lineRule="auto"/>
        <w:jc w:val="center"/>
        <w:rPr>
          <w:color w:val="auto"/>
        </w:rPr>
      </w:pPr>
      <w:r>
        <w:rPr>
          <w:rFonts w:hint="eastAsia" w:ascii="仿宋" w:hAnsi="仿宋" w:eastAsia="仿宋" w:cs="仿宋_GB2312"/>
          <w:b/>
          <w:color w:val="auto"/>
          <w:sz w:val="36"/>
          <w:szCs w:val="36"/>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rPr>
      </w:pPr>
      <w:r>
        <w:rPr>
          <w:rFonts w:hint="eastAsia" w:ascii="宋体" w:hAnsi="宋体" w:cs="宋体"/>
          <w:color w:val="auto"/>
          <w:kern w:val="0"/>
          <w:sz w:val="28"/>
          <w:szCs w:val="28"/>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政府采购计划（预算）确认书编号：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预算金额：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采购人（以下称甲方）：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采购代理机构：嘉善县公共资源交易中心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采购方式：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采购文件编号：</w:t>
      </w:r>
      <w:r>
        <w:rPr>
          <w:rFonts w:hint="eastAsia" w:ascii="宋体" w:hAnsi="宋体" w:cs="宋体"/>
          <w:color w:val="auto"/>
          <w:kern w:val="0"/>
          <w:sz w:val="24"/>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根据《中华人民共和国政府采购法》、《中华人民共和国合同法》等法律法规的规定，甲乙双方按照</w:t>
      </w:r>
      <w:r>
        <w:rPr>
          <w:rFonts w:hint="eastAsia" w:ascii="宋体" w:hAnsi="宋体" w:cs="宋体"/>
          <w:color w:val="auto"/>
          <w:kern w:val="0"/>
          <w:sz w:val="24"/>
          <w:u w:val="single"/>
        </w:rPr>
        <w:t xml:space="preserve">                              </w:t>
      </w:r>
      <w:r>
        <w:rPr>
          <w:rFonts w:hint="eastAsia" w:ascii="宋体" w:hAnsi="宋体" w:cs="宋体"/>
          <w:color w:val="auto"/>
          <w:kern w:val="0"/>
          <w:sz w:val="24"/>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u w:val="single"/>
        </w:rPr>
      </w:pPr>
      <w:r>
        <w:rPr>
          <w:rFonts w:hint="eastAsia" w:ascii="宋体" w:hAnsi="宋体" w:cs="宋体"/>
          <w:color w:val="auto"/>
          <w:kern w:val="0"/>
          <w:sz w:val="24"/>
        </w:rPr>
        <w:t>1、本次采购的是</w:t>
      </w:r>
      <w:r>
        <w:rPr>
          <w:rFonts w:hint="eastAsia" w:ascii="宋体" w:hAnsi="宋体" w:cs="宋体"/>
          <w:color w:val="auto"/>
          <w:kern w:val="0"/>
          <w:sz w:val="24"/>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1、本合同项下总价款为人民币（大写）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，分项价款见“价格清单”（如有）”。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2、本合同总价款含所有税费(包括货款、标准附件、备品备件、专用工具、包装、运输、装卸、保险、税金、货到就位以及安装、调试、培训、保修等一切税金和费用。)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3、本项目资金来源性质为以下第</w:t>
      </w:r>
      <w:r>
        <w:rPr>
          <w:rFonts w:hint="eastAsia" w:ascii="宋体" w:hAnsi="宋体" w:cs="宋体"/>
          <w:color w:val="auto"/>
          <w:kern w:val="0"/>
          <w:sz w:val="24"/>
          <w:u w:val="single"/>
        </w:rPr>
        <w:t xml:space="preserve">           </w:t>
      </w:r>
      <w:r>
        <w:rPr>
          <w:rFonts w:hint="eastAsia" w:ascii="宋体" w:hAnsi="宋体" w:cs="宋体"/>
          <w:color w:val="auto"/>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（1）一般预算；（2）政府基金；（3）专户核拨的预算外资金；（4）其他财政资金；（5）其他资金。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4、本合同付款方式为以下第</w:t>
      </w:r>
      <w:r>
        <w:rPr>
          <w:rFonts w:hint="eastAsia" w:ascii="宋体" w:hAnsi="宋体" w:cs="宋体"/>
          <w:color w:val="auto"/>
          <w:kern w:val="0"/>
          <w:sz w:val="24"/>
          <w:u w:val="single"/>
        </w:rPr>
        <w:t xml:space="preserve">           </w:t>
      </w:r>
      <w:r>
        <w:rPr>
          <w:rFonts w:hint="eastAsia" w:ascii="宋体" w:hAnsi="宋体" w:cs="宋体"/>
          <w:color w:val="auto"/>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（1）本合同项下的采购资金系甲方自行支付，付款程序为</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（2）本合同项下的采购资金须财政直接支付，付款程序为</w:t>
      </w:r>
      <w:r>
        <w:rPr>
          <w:rFonts w:hint="eastAsia" w:ascii="宋体" w:hAnsi="宋体" w:cs="宋体"/>
          <w:color w:val="auto"/>
          <w:kern w:val="0"/>
          <w:sz w:val="24"/>
          <w:u w:val="single"/>
        </w:rPr>
        <w:t>甲方根据年初预算申请生成用款计划，再在支付管理系统中发起授权支付申请，财政核算（支付)中心凭确认书、合同、验收单、发票进行审核支付</w:t>
      </w:r>
      <w:r>
        <w:rPr>
          <w:rFonts w:hint="eastAsia" w:ascii="宋体" w:hAnsi="宋体" w:cs="宋体"/>
          <w:color w:val="auto"/>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5、本合同项下的采购资金付款进度按采购文件与投标文件（或采购响应文件）规定，未规定时按以下第</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（1）一次性付款：乙方合同履行达到</w:t>
      </w:r>
      <w:r>
        <w:rPr>
          <w:rFonts w:hint="eastAsia" w:ascii="宋体" w:hAnsi="宋体" w:cs="宋体"/>
          <w:color w:val="auto"/>
          <w:kern w:val="0"/>
          <w:sz w:val="24"/>
          <w:u w:val="single"/>
        </w:rPr>
        <w:t xml:space="preserve">         </w:t>
      </w:r>
      <w:r>
        <w:rPr>
          <w:rFonts w:hint="eastAsia" w:ascii="宋体" w:hAnsi="宋体" w:cs="宋体"/>
          <w:color w:val="auto"/>
          <w:kern w:val="0"/>
          <w:sz w:val="24"/>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（2）分期付款：</w:t>
      </w:r>
      <w:r>
        <w:rPr>
          <w:rFonts w:hint="eastAsia" w:ascii="宋体" w:hAnsi="宋体" w:cs="宋体"/>
          <w:color w:val="auto"/>
          <w:kern w:val="0"/>
          <w:sz w:val="24"/>
          <w:u w:val="single"/>
        </w:rPr>
        <w:t xml:space="preserve">              </w:t>
      </w:r>
      <w:r>
        <w:rPr>
          <w:rFonts w:hint="eastAsia" w:ascii="宋体" w:hAnsi="宋体" w:cs="宋体"/>
          <w:color w:val="auto"/>
          <w:kern w:val="0"/>
          <w:sz w:val="24"/>
        </w:rPr>
        <w:t>时支付</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rPr>
        <w:t>时支付</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rPr>
        <w:t>时支付</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rPr>
      </w:pPr>
      <w:r>
        <w:rPr>
          <w:rFonts w:hint="eastAsia" w:ascii="宋体" w:hAnsi="宋体" w:cs="宋体"/>
          <w:color w:val="auto"/>
          <w:kern w:val="0"/>
          <w:sz w:val="24"/>
        </w:rPr>
        <w:t>按以下第</w:t>
      </w:r>
      <w:r>
        <w:rPr>
          <w:rFonts w:hint="eastAsia" w:ascii="宋体" w:hAnsi="宋体" w:cs="宋体"/>
          <w:color w:val="auto"/>
          <w:kern w:val="0"/>
          <w:sz w:val="24"/>
          <w:u w:val="single"/>
        </w:rPr>
        <w:t xml:space="preserve">         </w:t>
      </w:r>
      <w:r>
        <w:rPr>
          <w:rFonts w:hint="eastAsia" w:ascii="宋体" w:hAnsi="宋体" w:cs="宋体"/>
          <w:color w:val="auto"/>
          <w:kern w:val="0"/>
          <w:sz w:val="24"/>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1、本项目设置履约保证金，乙方应于</w:t>
      </w:r>
      <w:r>
        <w:rPr>
          <w:rFonts w:hint="eastAsia" w:ascii="宋体" w:hAnsi="宋体" w:cs="宋体"/>
          <w:color w:val="auto"/>
          <w:kern w:val="0"/>
          <w:sz w:val="24"/>
          <w:u w:val="single"/>
        </w:rPr>
        <w:t xml:space="preserve">         </w:t>
      </w:r>
      <w:r>
        <w:rPr>
          <w:rFonts w:hint="eastAsia" w:ascii="宋体" w:hAnsi="宋体" w:cs="宋体"/>
          <w:color w:val="auto"/>
          <w:kern w:val="0"/>
          <w:sz w:val="24"/>
        </w:rPr>
        <w:t>（时间）向甲方提交履约保证金</w:t>
      </w:r>
      <w:r>
        <w:rPr>
          <w:rFonts w:hint="eastAsia" w:ascii="宋体" w:hAnsi="宋体" w:cs="宋体"/>
          <w:color w:val="auto"/>
          <w:kern w:val="0"/>
          <w:sz w:val="24"/>
          <w:u w:val="single"/>
        </w:rPr>
        <w:t xml:space="preserve">         </w:t>
      </w:r>
      <w:r>
        <w:rPr>
          <w:rFonts w:hint="eastAsia" w:ascii="宋体" w:hAnsi="宋体" w:cs="宋体"/>
          <w:color w:val="auto"/>
          <w:kern w:val="0"/>
          <w:sz w:val="24"/>
        </w:rPr>
        <w:t>元（不得高于本合同金额的2.5%）。履约保证金在</w:t>
      </w:r>
      <w:r>
        <w:rPr>
          <w:rFonts w:hint="eastAsia" w:ascii="宋体" w:hAnsi="宋体" w:cs="宋体"/>
          <w:color w:val="auto"/>
          <w:kern w:val="0"/>
          <w:sz w:val="24"/>
          <w:u w:val="single"/>
        </w:rPr>
        <w:t xml:space="preserve">         </w:t>
      </w:r>
      <w:r>
        <w:rPr>
          <w:rFonts w:hint="eastAsia" w:ascii="宋体" w:hAnsi="宋体" w:cs="宋体"/>
          <w:color w:val="auto"/>
          <w:kern w:val="0"/>
          <w:sz w:val="24"/>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rPr>
      </w:pPr>
      <w:r>
        <w:rPr>
          <w:rFonts w:hint="eastAsia" w:ascii="宋体" w:hAnsi="宋体" w:cs="宋体"/>
          <w:color w:val="auto"/>
          <w:kern w:val="0"/>
          <w:sz w:val="24"/>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乙方不得擅自部分或全部转让其应履行的合同义务。乙方分包的，应经过甲方书面同意。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因履行本合同引起的或与本合同有关的争议，甲、乙双方应首先通过友好协商解决，如果协商不能解决争议，则采取以下第</w:t>
      </w:r>
      <w:r>
        <w:rPr>
          <w:rFonts w:hint="eastAsia" w:ascii="宋体" w:hAnsi="宋体" w:cs="宋体"/>
          <w:color w:val="auto"/>
          <w:kern w:val="0"/>
          <w:sz w:val="24"/>
          <w:u w:val="single"/>
        </w:rPr>
        <w:t xml:space="preserve">         </w:t>
      </w:r>
      <w:r>
        <w:rPr>
          <w:rFonts w:hint="eastAsia" w:ascii="宋体" w:hAnsi="宋体" w:cs="宋体"/>
          <w:color w:val="auto"/>
          <w:kern w:val="0"/>
          <w:sz w:val="24"/>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（2）向</w:t>
      </w:r>
      <w:r>
        <w:rPr>
          <w:rFonts w:hint="eastAsia" w:ascii="宋体" w:hAnsi="宋体" w:cs="宋体"/>
          <w:color w:val="auto"/>
          <w:kern w:val="0"/>
          <w:sz w:val="24"/>
          <w:u w:val="single"/>
        </w:rPr>
        <w:t xml:space="preserve">         </w:t>
      </w:r>
      <w:r>
        <w:rPr>
          <w:rFonts w:hint="eastAsia" w:ascii="宋体" w:hAnsi="宋体" w:cs="宋体"/>
          <w:color w:val="auto"/>
          <w:kern w:val="0"/>
          <w:sz w:val="24"/>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本合同一式五份，甲乙双方、财政支付（核算）中心、县财政局、县公共资源交易中心各持一份。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p>
      <w:pPr>
        <w:spacing w:line="480" w:lineRule="exact"/>
        <w:rPr>
          <w:rFonts w:ascii="宋体" w:hAnsi="宋体" w:cs="宋体"/>
          <w:b/>
          <w:color w:val="auto"/>
          <w:sz w:val="24"/>
        </w:rPr>
      </w:pPr>
      <w:r>
        <w:rPr>
          <w:rFonts w:hint="eastAsia" w:ascii="宋体" w:hAnsi="宋体" w:cs="宋体"/>
          <w:b/>
          <w:color w:val="auto"/>
          <w:sz w:val="24"/>
        </w:rPr>
        <w:t>采购人（甲方公章）                    供应商（乙方公章）：</w:t>
      </w:r>
    </w:p>
    <w:p>
      <w:pPr>
        <w:spacing w:line="480" w:lineRule="exact"/>
        <w:rPr>
          <w:rFonts w:ascii="宋体" w:hAnsi="宋体" w:cs="宋体"/>
          <w:b/>
          <w:color w:val="auto"/>
          <w:sz w:val="24"/>
        </w:rPr>
      </w:pPr>
      <w:r>
        <w:rPr>
          <w:rFonts w:hint="eastAsia" w:ascii="宋体" w:hAnsi="宋体" w:cs="宋体"/>
          <w:b/>
          <w:color w:val="auto"/>
          <w:sz w:val="24"/>
        </w:rPr>
        <w:t>法定代表人                            法定代表人</w:t>
      </w:r>
    </w:p>
    <w:p>
      <w:pPr>
        <w:spacing w:line="480" w:lineRule="exact"/>
        <w:rPr>
          <w:rFonts w:ascii="宋体" w:hAnsi="宋体" w:cs="宋体"/>
          <w:b/>
          <w:color w:val="auto"/>
          <w:sz w:val="24"/>
        </w:rPr>
      </w:pPr>
      <w:r>
        <w:rPr>
          <w:rFonts w:hint="eastAsia" w:ascii="宋体" w:hAnsi="宋体" w:cs="宋体"/>
          <w:b/>
          <w:color w:val="auto"/>
          <w:sz w:val="24"/>
        </w:rPr>
        <w:t xml:space="preserve">或被授权人（签字）：                   或被授权人（签字）：     </w:t>
      </w:r>
    </w:p>
    <w:p>
      <w:pPr>
        <w:spacing w:line="480" w:lineRule="exact"/>
        <w:rPr>
          <w:rFonts w:ascii="宋体" w:hAnsi="宋体" w:cs="宋体"/>
          <w:b/>
          <w:color w:val="auto"/>
          <w:sz w:val="24"/>
        </w:rPr>
      </w:pPr>
      <w:r>
        <w:rPr>
          <w:rFonts w:hint="eastAsia" w:ascii="宋体" w:hAnsi="宋体" w:cs="宋体"/>
          <w:b/>
          <w:color w:val="auto"/>
          <w:sz w:val="24"/>
        </w:rPr>
        <w:t xml:space="preserve">电话：                                电话：  </w:t>
      </w:r>
    </w:p>
    <w:p>
      <w:pPr>
        <w:spacing w:line="480" w:lineRule="exact"/>
        <w:ind w:right="480" w:firstLine="2160" w:firstLineChars="900"/>
        <w:jc w:val="center"/>
        <w:rPr>
          <w:rFonts w:ascii="宋体" w:hAnsi="宋体" w:cs="宋体"/>
          <w:color w:val="auto"/>
          <w:sz w:val="24"/>
        </w:rPr>
      </w:pPr>
      <w:r>
        <w:rPr>
          <w:rFonts w:hint="eastAsia" w:ascii="宋体" w:hAnsi="宋体" w:cs="宋体"/>
          <w:color w:val="auto"/>
          <w:sz w:val="24"/>
        </w:rPr>
        <w:t xml:space="preserve">                 </w:t>
      </w:r>
    </w:p>
    <w:p>
      <w:pPr>
        <w:spacing w:line="480" w:lineRule="exact"/>
        <w:ind w:right="480" w:firstLine="2160" w:firstLineChars="900"/>
        <w:jc w:val="center"/>
        <w:rPr>
          <w:rFonts w:ascii="宋体" w:hAnsi="宋体" w:cs="宋体"/>
          <w:color w:val="auto"/>
          <w:sz w:val="24"/>
        </w:rPr>
      </w:pPr>
      <w:r>
        <w:rPr>
          <w:rFonts w:hint="eastAsia" w:ascii="宋体" w:hAnsi="宋体" w:cs="宋体"/>
          <w:color w:val="auto"/>
          <w:sz w:val="24"/>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rPr>
      </w:pPr>
      <w:r>
        <w:rPr>
          <w:rFonts w:hint="eastAsia" w:ascii="宋体" w:hAnsi="宋体" w:cs="宋体"/>
          <w:color w:val="auto"/>
          <w:sz w:val="24"/>
        </w:rPr>
        <w:t xml:space="preserve">签约地点：               </w:t>
      </w:r>
    </w:p>
    <w:p>
      <w:pPr>
        <w:pStyle w:val="33"/>
        <w:spacing w:before="120" w:after="120" w:line="420" w:lineRule="exact"/>
        <w:rPr>
          <w:rFonts w:hAnsi="宋体" w:cs="宋体"/>
          <w:bCs/>
          <w:color w:val="auto"/>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pPr>
        <w:pStyle w:val="3"/>
        <w:numPr>
          <w:ilvl w:val="0"/>
          <w:numId w:val="4"/>
        </w:numPr>
        <w:jc w:val="center"/>
        <w:rPr>
          <w:rFonts w:ascii="仿宋" w:hAnsi="仿宋" w:eastAsia="仿宋" w:cs="仿宋_GB2312"/>
          <w:bCs w:val="0"/>
          <w:color w:val="auto"/>
          <w:kern w:val="2"/>
          <w:sz w:val="36"/>
          <w:szCs w:val="36"/>
        </w:rPr>
      </w:pPr>
      <w:r>
        <w:rPr>
          <w:rFonts w:hint="eastAsia" w:ascii="仿宋" w:hAnsi="仿宋" w:eastAsia="仿宋" w:cs="仿宋_GB2312"/>
          <w:bCs w:val="0"/>
          <w:color w:val="auto"/>
          <w:kern w:val="2"/>
          <w:sz w:val="36"/>
          <w:szCs w:val="36"/>
        </w:rPr>
        <w:t>投标文件格式</w:t>
      </w:r>
      <w:bookmarkEnd w:id="34"/>
    </w:p>
    <w:p>
      <w:pPr>
        <w:snapToGrid w:val="0"/>
        <w:spacing w:line="360" w:lineRule="auto"/>
        <w:ind w:right="480"/>
        <w:jc w:val="center"/>
        <w:rPr>
          <w:rFonts w:ascii="仿宋_GB2312" w:hAnsi="仿宋" w:eastAsia="仿宋_GB2312" w:cs="仿宋_GB2312"/>
          <w:b/>
          <w:kern w:val="0"/>
          <w:sz w:val="28"/>
          <w:szCs w:val="28"/>
        </w:rPr>
      </w:pPr>
      <w:r>
        <w:rPr>
          <w:rFonts w:ascii="仿宋_GB2312" w:hAnsi="仿宋" w:eastAsia="仿宋_GB2312" w:cs="仿宋_GB2312"/>
          <w:b/>
          <w:kern w:val="0"/>
          <w:sz w:val="28"/>
          <w:szCs w:val="28"/>
        </w:rPr>
        <w:t>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eastAsia="zh-CN"/>
        </w:rPr>
        <w:t>项目</w:t>
      </w:r>
      <w:r>
        <w:rPr>
          <w:rFonts w:hint="eastAsia" w:ascii="仿宋_GB2312" w:hAnsi="仿宋" w:eastAsia="仿宋_GB2312" w:cs="仿宋_GB2312"/>
          <w:sz w:val="24"/>
        </w:rPr>
        <w:t>编号：</w:t>
      </w:r>
      <w:r>
        <w:rPr>
          <w:rFonts w:hint="eastAsia" w:ascii="仿宋_GB2312" w:hAnsi="仿宋" w:eastAsia="仿宋_GB2312" w:cs="仿宋_GB2312"/>
          <w:sz w:val="24"/>
          <w:lang w:val="en-US" w:eastAsia="zh-CN"/>
        </w:rPr>
        <w:t>XXXX</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963"/>
        <w:snapToGrid w:val="0"/>
        <w:ind w:firstLine="4809" w:firstLineChars="2004"/>
        <w:jc w:val="right"/>
        <w:rPr>
          <w:rFonts w:hint="eastAsia" w:ascii="宋体" w:eastAsia="宋体"/>
          <w:bCs/>
          <w:sz w:val="24"/>
          <w:szCs w:val="24"/>
        </w:rPr>
      </w:pPr>
    </w:p>
    <w:p>
      <w:pPr>
        <w:pStyle w:val="963"/>
        <w:snapToGrid w:val="0"/>
        <w:ind w:firstLine="4809" w:firstLineChars="2004"/>
        <w:jc w:val="right"/>
        <w:rPr>
          <w:rFonts w:hint="eastAsia" w:ascii="宋体" w:eastAsia="宋体"/>
          <w:bCs/>
          <w:sz w:val="24"/>
          <w:szCs w:val="24"/>
        </w:rPr>
      </w:pPr>
    </w:p>
    <w:p>
      <w:pPr>
        <w:pStyle w:val="963"/>
        <w:snapToGrid w:val="0"/>
        <w:ind w:firstLine="4809" w:firstLineChars="2004"/>
        <w:jc w:val="right"/>
        <w:rPr>
          <w:rFonts w:ascii="宋体" w:eastAsia="宋体"/>
          <w:bCs/>
          <w:sz w:val="24"/>
          <w:szCs w:val="24"/>
        </w:rPr>
      </w:pPr>
      <w:r>
        <w:rPr>
          <w:rFonts w:hint="eastAsia" w:ascii="宋体" w:eastAsia="宋体"/>
          <w:bCs/>
          <w:sz w:val="24"/>
          <w:szCs w:val="24"/>
        </w:rPr>
        <w:t>投标人名称（盖章）：</w:t>
      </w:r>
    </w:p>
    <w:p>
      <w:pPr>
        <w:snapToGrid w:val="0"/>
        <w:spacing w:line="360" w:lineRule="auto"/>
        <w:jc w:val="right"/>
        <w:rPr>
          <w:rFonts w:ascii="仿宋_GB2312" w:hAnsi="仿宋" w:eastAsia="仿宋_GB2312" w:cs="仿宋_GB2312"/>
          <w:kern w:val="0"/>
          <w:sz w:val="24"/>
        </w:rPr>
      </w:pPr>
      <w:r>
        <w:rPr>
          <w:rFonts w:hint="eastAsia" w:ascii="宋体" w:eastAsia="宋体"/>
          <w:bCs/>
          <w:sz w:val="24"/>
          <w:szCs w:val="24"/>
        </w:rPr>
        <w:t>日 期：</w:t>
      </w:r>
      <w:r>
        <w:rPr>
          <w:rFonts w:hint="eastAsia" w:ascii="宋体" w:eastAsia="宋体"/>
          <w:sz w:val="24"/>
          <w:szCs w:val="24"/>
          <w:u w:val="single"/>
        </w:rPr>
        <w:t xml:space="preserve">     </w:t>
      </w:r>
      <w:r>
        <w:rPr>
          <w:rFonts w:hint="eastAsia" w:ascii="宋体" w:eastAsia="宋体"/>
          <w:sz w:val="24"/>
          <w:szCs w:val="24"/>
        </w:rPr>
        <w:t>年</w:t>
      </w:r>
      <w:r>
        <w:rPr>
          <w:rFonts w:hint="eastAsia" w:ascii="宋体" w:eastAsia="宋体"/>
          <w:sz w:val="24"/>
          <w:szCs w:val="24"/>
          <w:u w:val="single"/>
        </w:rPr>
        <w:t xml:space="preserve">   </w:t>
      </w:r>
      <w:r>
        <w:rPr>
          <w:rFonts w:hint="eastAsia" w:ascii="宋体" w:eastAsia="宋体"/>
          <w:sz w:val="24"/>
          <w:szCs w:val="24"/>
        </w:rPr>
        <w:t>月</w:t>
      </w:r>
      <w:r>
        <w:rPr>
          <w:rFonts w:hint="eastAsia" w:ascii="宋体" w:eastAsia="宋体"/>
          <w:sz w:val="24"/>
          <w:szCs w:val="24"/>
          <w:u w:val="single"/>
        </w:rPr>
        <w:t xml:space="preserve">   </w:t>
      </w:r>
      <w:r>
        <w:rPr>
          <w:rFonts w:hint="eastAsia" w:ascii="宋体" w:eastAsia="宋体"/>
          <w:sz w:val="24"/>
          <w:szCs w:val="24"/>
        </w:rPr>
        <w:t>日</w:t>
      </w:r>
    </w:p>
    <w:p>
      <w:pPr>
        <w:snapToGrid w:val="0"/>
        <w:jc w:val="center"/>
        <w:rPr>
          <w:rFonts w:hint="eastAsia" w:ascii="宋体" w:hAnsi="宋体"/>
          <w:b/>
          <w:sz w:val="24"/>
        </w:rPr>
      </w:pPr>
    </w:p>
    <w:p>
      <w:pPr>
        <w:rPr>
          <w:rFonts w:ascii="仿宋" w:hAnsi="仿宋" w:eastAsia="仿宋" w:cs="仿宋"/>
          <w:b/>
          <w:bCs/>
          <w:color w:val="auto"/>
          <w:sz w:val="44"/>
          <w:szCs w:val="44"/>
        </w:rPr>
      </w:pPr>
    </w:p>
    <w:p>
      <w:pPr>
        <w:spacing w:line="360" w:lineRule="auto"/>
        <w:ind w:right="420"/>
        <w:rPr>
          <w:color w:val="auto"/>
        </w:rPr>
      </w:pPr>
    </w:p>
    <w:p>
      <w:pPr>
        <w:spacing w:line="360" w:lineRule="auto"/>
        <w:rPr>
          <w:rFonts w:ascii="仿宋" w:hAnsi="仿宋" w:eastAsia="仿宋"/>
          <w:bCs/>
          <w:color w:val="auto"/>
          <w:sz w:val="24"/>
        </w:rPr>
      </w:pPr>
    </w:p>
    <w:p>
      <w:pPr>
        <w:snapToGrid w:val="0"/>
        <w:spacing w:beforeLines="50" w:after="50"/>
        <w:rPr>
          <w:b/>
          <w:bCs/>
          <w:color w:val="auto"/>
          <w:sz w:val="32"/>
          <w:szCs w:val="20"/>
        </w:rPr>
      </w:pPr>
      <w:bookmarkStart w:id="35" w:name="_Toc219619166"/>
      <w:r>
        <w:rPr>
          <w:rFonts w:hint="eastAsia"/>
          <w:b/>
          <w:color w:val="auto"/>
          <w:sz w:val="24"/>
        </w:rPr>
        <w:t>商务技术响应文件封面格式：</w:t>
      </w:r>
      <w:r>
        <w:rPr>
          <w:color w:val="auto"/>
          <w:sz w:val="24"/>
        </w:rPr>
        <w:t xml:space="preserve">                                               </w:t>
      </w:r>
    </w:p>
    <w:p>
      <w:pPr>
        <w:snapToGrid w:val="0"/>
        <w:spacing w:beforeLines="50" w:after="50"/>
        <w:jc w:val="center"/>
        <w:rPr>
          <w:b/>
          <w:bCs/>
          <w:color w:val="auto"/>
          <w:sz w:val="32"/>
          <w:szCs w:val="32"/>
        </w:rPr>
      </w:pPr>
    </w:p>
    <w:p>
      <w:pPr>
        <w:snapToGrid w:val="0"/>
        <w:spacing w:beforeLines="50" w:after="50"/>
        <w:jc w:val="center"/>
        <w:rPr>
          <w:b/>
          <w:bCs/>
          <w:color w:val="auto"/>
          <w:sz w:val="32"/>
          <w:szCs w:val="32"/>
        </w:rPr>
      </w:pPr>
    </w:p>
    <w:p>
      <w:pPr>
        <w:snapToGrid w:val="0"/>
        <w:spacing w:beforeLines="50" w:after="50"/>
        <w:jc w:val="center"/>
        <w:rPr>
          <w:b/>
          <w:bCs/>
          <w:color w:val="auto"/>
          <w:sz w:val="32"/>
          <w:szCs w:val="32"/>
        </w:rPr>
      </w:pPr>
    </w:p>
    <w:p>
      <w:pPr>
        <w:snapToGrid w:val="0"/>
        <w:spacing w:beforeLines="50" w:after="50"/>
        <w:jc w:val="center"/>
        <w:rPr>
          <w:b/>
          <w:bCs/>
          <w:color w:val="auto"/>
          <w:sz w:val="32"/>
          <w:szCs w:val="32"/>
        </w:rPr>
      </w:pPr>
      <w:r>
        <w:rPr>
          <w:rFonts w:hint="eastAsia"/>
          <w:b/>
          <w:bCs/>
          <w:color w:val="auto"/>
          <w:sz w:val="32"/>
          <w:szCs w:val="32"/>
        </w:rPr>
        <w:t>商务技术文件</w:t>
      </w:r>
    </w:p>
    <w:p>
      <w:pPr>
        <w:snapToGrid w:val="0"/>
        <w:spacing w:beforeLines="50" w:after="50" w:line="320" w:lineRule="exact"/>
        <w:ind w:firstLine="1068" w:firstLineChars="445"/>
        <w:rPr>
          <w:bCs/>
          <w:color w:val="auto"/>
          <w:sz w:val="24"/>
          <w:szCs w:val="20"/>
        </w:rPr>
      </w:pPr>
      <w:r>
        <w:rPr>
          <w:rFonts w:hint="eastAsia"/>
          <w:bCs/>
          <w:color w:val="auto"/>
          <w:sz w:val="24"/>
        </w:rPr>
        <w:t>项目名称：</w:t>
      </w:r>
    </w:p>
    <w:p>
      <w:pPr>
        <w:snapToGrid w:val="0"/>
        <w:spacing w:beforeLines="50" w:after="50" w:line="320" w:lineRule="exact"/>
        <w:ind w:firstLine="1068" w:firstLineChars="445"/>
        <w:rPr>
          <w:bCs/>
          <w:color w:val="auto"/>
          <w:sz w:val="24"/>
        </w:rPr>
      </w:pPr>
      <w:r>
        <w:rPr>
          <w:rFonts w:hint="eastAsia"/>
          <w:bCs/>
          <w:color w:val="auto"/>
          <w:sz w:val="24"/>
        </w:rPr>
        <w:t>项目编号：</w:t>
      </w:r>
      <w:r>
        <w:rPr>
          <w:bCs/>
          <w:color w:val="auto"/>
          <w:sz w:val="24"/>
        </w:rPr>
        <w:t xml:space="preserve"> </w:t>
      </w:r>
    </w:p>
    <w:p>
      <w:pPr>
        <w:pStyle w:val="5"/>
        <w:spacing w:before="50" w:after="50" w:line="320" w:lineRule="exact"/>
        <w:ind w:firstLine="1068" w:firstLineChars="445"/>
        <w:rPr>
          <w:bCs/>
          <w:color w:val="auto"/>
          <w:sz w:val="24"/>
        </w:rPr>
      </w:pPr>
      <w:r>
        <w:rPr>
          <w:rFonts w:hint="eastAsia"/>
          <w:bCs/>
          <w:color w:val="auto"/>
          <w:sz w:val="24"/>
        </w:rPr>
        <w:t xml:space="preserve">投标人名称：   </w:t>
      </w:r>
      <w:r>
        <w:rPr>
          <w:rFonts w:hint="eastAsia" w:hAnsi="宋体"/>
          <w:bCs/>
          <w:color w:val="auto"/>
          <w:sz w:val="24"/>
        </w:rPr>
        <w:t>（公章）</w:t>
      </w:r>
    </w:p>
    <w:p>
      <w:pPr>
        <w:pStyle w:val="5"/>
        <w:spacing w:before="50" w:after="50" w:line="320" w:lineRule="exact"/>
        <w:ind w:firstLine="1068" w:firstLineChars="445"/>
        <w:rPr>
          <w:bCs/>
          <w:color w:val="auto"/>
          <w:sz w:val="24"/>
        </w:rPr>
      </w:pPr>
      <w:r>
        <w:rPr>
          <w:rFonts w:hint="eastAsia"/>
          <w:bCs/>
          <w:color w:val="auto"/>
          <w:sz w:val="24"/>
        </w:rPr>
        <w:t>投标人地址：</w:t>
      </w:r>
    </w:p>
    <w:p>
      <w:pPr>
        <w:snapToGrid w:val="0"/>
        <w:spacing w:beforeLines="50" w:after="50" w:line="360" w:lineRule="auto"/>
        <w:ind w:firstLine="645"/>
        <w:jc w:val="center"/>
        <w:rPr>
          <w:color w:val="auto"/>
          <w:sz w:val="24"/>
          <w:szCs w:val="20"/>
        </w:rPr>
      </w:pPr>
      <w:r>
        <w:rPr>
          <w:color w:val="auto"/>
          <w:sz w:val="24"/>
        </w:rPr>
        <w:t xml:space="preserve">                        </w:t>
      </w:r>
      <w:r>
        <w:rPr>
          <w:rFonts w:hint="eastAsia"/>
          <w:color w:val="auto"/>
          <w:sz w:val="24"/>
        </w:rPr>
        <w:t xml:space="preserve">                       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pPr>
        <w:snapToGrid w:val="0"/>
        <w:spacing w:beforeLines="50" w:after="50"/>
        <w:jc w:val="center"/>
        <w:rPr>
          <w:rFonts w:ascii="宋体" w:hAnsi="宋体" w:cs="宋体"/>
          <w:b/>
          <w:color w:val="auto"/>
          <w:sz w:val="32"/>
          <w:szCs w:val="32"/>
        </w:rPr>
      </w:pPr>
    </w:p>
    <w:p>
      <w:pPr>
        <w:pStyle w:val="3"/>
        <w:rPr>
          <w:rFonts w:ascii="宋体" w:hAnsi="宋体" w:cs="宋体"/>
          <w:b w:val="0"/>
          <w:color w:val="auto"/>
          <w:szCs w:val="32"/>
        </w:rPr>
      </w:pPr>
    </w:p>
    <w:p>
      <w:pPr>
        <w:rPr>
          <w:color w:val="auto"/>
        </w:rPr>
      </w:pPr>
    </w:p>
    <w:p>
      <w:pPr>
        <w:rPr>
          <w:color w:val="auto"/>
        </w:rPr>
      </w:pPr>
    </w:p>
    <w:p>
      <w:pPr>
        <w:snapToGrid w:val="0"/>
        <w:spacing w:beforeLines="50" w:after="50"/>
        <w:rPr>
          <w:color w:val="auto"/>
          <w:sz w:val="24"/>
          <w:szCs w:val="20"/>
        </w:rPr>
      </w:pPr>
      <w:r>
        <w:rPr>
          <w:rFonts w:hint="eastAsia"/>
          <w:b/>
          <w:color w:val="auto"/>
          <w:sz w:val="24"/>
        </w:rPr>
        <w:t>报价文件响应封面格式：</w:t>
      </w:r>
      <w:r>
        <w:rPr>
          <w:b/>
          <w:color w:val="auto"/>
          <w:sz w:val="24"/>
        </w:rPr>
        <w:t xml:space="preserve"> </w:t>
      </w:r>
    </w:p>
    <w:p>
      <w:pPr>
        <w:snapToGrid w:val="0"/>
        <w:spacing w:beforeLines="50" w:after="50"/>
        <w:rPr>
          <w:b/>
          <w:bCs/>
          <w:color w:val="auto"/>
          <w:sz w:val="32"/>
          <w:szCs w:val="20"/>
        </w:rPr>
      </w:pPr>
      <w:r>
        <w:rPr>
          <w:color w:val="auto"/>
          <w:sz w:val="24"/>
        </w:rPr>
        <w:t xml:space="preserve">                                                    </w:t>
      </w:r>
    </w:p>
    <w:p>
      <w:pPr>
        <w:snapToGrid w:val="0"/>
        <w:spacing w:beforeLines="50" w:after="50"/>
        <w:jc w:val="center"/>
        <w:rPr>
          <w:b/>
          <w:bCs/>
          <w:color w:val="auto"/>
          <w:sz w:val="32"/>
          <w:szCs w:val="32"/>
        </w:rPr>
      </w:pPr>
      <w:r>
        <w:rPr>
          <w:rFonts w:hint="eastAsia"/>
          <w:b/>
          <w:bCs/>
          <w:color w:val="auto"/>
          <w:sz w:val="32"/>
          <w:szCs w:val="32"/>
        </w:rPr>
        <w:t>报  价</w:t>
      </w:r>
      <w:r>
        <w:rPr>
          <w:b/>
          <w:bCs/>
          <w:color w:val="auto"/>
          <w:sz w:val="32"/>
          <w:szCs w:val="32"/>
        </w:rPr>
        <w:t xml:space="preserve"> </w:t>
      </w:r>
      <w:r>
        <w:rPr>
          <w:rFonts w:hint="eastAsia"/>
          <w:b/>
          <w:bCs/>
          <w:color w:val="auto"/>
          <w:sz w:val="32"/>
          <w:szCs w:val="32"/>
        </w:rPr>
        <w:t>文</w:t>
      </w:r>
      <w:r>
        <w:rPr>
          <w:b/>
          <w:bCs/>
          <w:color w:val="auto"/>
          <w:sz w:val="32"/>
          <w:szCs w:val="32"/>
        </w:rPr>
        <w:t xml:space="preserve"> </w:t>
      </w:r>
      <w:r>
        <w:rPr>
          <w:rFonts w:hint="eastAsia"/>
          <w:b/>
          <w:bCs/>
          <w:color w:val="auto"/>
          <w:sz w:val="32"/>
          <w:szCs w:val="32"/>
        </w:rPr>
        <w:t>件</w:t>
      </w:r>
    </w:p>
    <w:p>
      <w:pPr>
        <w:snapToGrid w:val="0"/>
        <w:spacing w:beforeLines="50" w:after="50" w:line="320" w:lineRule="exact"/>
        <w:ind w:firstLine="1068" w:firstLineChars="445"/>
        <w:rPr>
          <w:bCs/>
          <w:color w:val="auto"/>
          <w:sz w:val="24"/>
          <w:szCs w:val="20"/>
        </w:rPr>
      </w:pPr>
      <w:r>
        <w:rPr>
          <w:rFonts w:hint="eastAsia"/>
          <w:bCs/>
          <w:color w:val="auto"/>
          <w:sz w:val="24"/>
        </w:rPr>
        <w:t>项目名称：</w:t>
      </w:r>
    </w:p>
    <w:p>
      <w:pPr>
        <w:snapToGrid w:val="0"/>
        <w:spacing w:beforeLines="50" w:after="50" w:line="320" w:lineRule="exact"/>
        <w:ind w:firstLine="1068" w:firstLineChars="445"/>
        <w:rPr>
          <w:bCs/>
          <w:color w:val="auto"/>
          <w:sz w:val="24"/>
        </w:rPr>
      </w:pPr>
      <w:r>
        <w:rPr>
          <w:rFonts w:hint="eastAsia"/>
          <w:bCs/>
          <w:color w:val="auto"/>
          <w:sz w:val="24"/>
        </w:rPr>
        <w:t>项目编号：</w:t>
      </w:r>
      <w:r>
        <w:rPr>
          <w:bCs/>
          <w:color w:val="auto"/>
          <w:sz w:val="24"/>
        </w:rPr>
        <w:t xml:space="preserve"> </w:t>
      </w:r>
    </w:p>
    <w:p>
      <w:pPr>
        <w:pStyle w:val="5"/>
        <w:spacing w:before="50" w:after="50" w:line="320" w:lineRule="exact"/>
        <w:ind w:firstLine="1068" w:firstLineChars="445"/>
        <w:rPr>
          <w:bCs/>
          <w:color w:val="auto"/>
          <w:sz w:val="24"/>
        </w:rPr>
      </w:pPr>
      <w:r>
        <w:rPr>
          <w:rFonts w:hint="eastAsia"/>
          <w:bCs/>
          <w:color w:val="auto"/>
          <w:sz w:val="24"/>
        </w:rPr>
        <w:t xml:space="preserve">投标人名称：   </w:t>
      </w:r>
      <w:r>
        <w:rPr>
          <w:rFonts w:hint="eastAsia" w:hAnsi="宋体"/>
          <w:bCs/>
          <w:color w:val="auto"/>
          <w:sz w:val="24"/>
        </w:rPr>
        <w:t>（公章）</w:t>
      </w:r>
    </w:p>
    <w:p>
      <w:pPr>
        <w:pStyle w:val="5"/>
        <w:spacing w:before="50" w:after="50" w:line="320" w:lineRule="exact"/>
        <w:ind w:firstLine="1068" w:firstLineChars="445"/>
        <w:rPr>
          <w:bCs/>
          <w:color w:val="auto"/>
          <w:sz w:val="24"/>
        </w:rPr>
      </w:pPr>
      <w:r>
        <w:rPr>
          <w:rFonts w:hint="eastAsia"/>
          <w:bCs/>
          <w:color w:val="auto"/>
          <w:sz w:val="24"/>
        </w:rPr>
        <w:t>投标人地址：</w:t>
      </w:r>
    </w:p>
    <w:p>
      <w:pPr>
        <w:snapToGrid w:val="0"/>
        <w:spacing w:beforeLines="50" w:after="50"/>
        <w:jc w:val="center"/>
        <w:rPr>
          <w:rFonts w:ascii="宋体" w:hAnsi="宋体" w:cs="宋体"/>
          <w:b/>
          <w:color w:val="auto"/>
          <w:sz w:val="32"/>
          <w:szCs w:val="32"/>
        </w:rPr>
      </w:pPr>
      <w:r>
        <w:rPr>
          <w:color w:val="auto"/>
          <w:sz w:val="24"/>
        </w:rPr>
        <w:t xml:space="preserve">                        </w:t>
      </w:r>
      <w:r>
        <w:rPr>
          <w:rFonts w:hint="eastAsia"/>
          <w:color w:val="auto"/>
          <w:sz w:val="24"/>
        </w:rPr>
        <w:t xml:space="preserve">                       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pPr>
        <w:snapToGrid w:val="0"/>
        <w:spacing w:beforeLines="50" w:after="50"/>
        <w:jc w:val="center"/>
        <w:rPr>
          <w:rFonts w:ascii="宋体" w:hAnsi="宋体" w:cs="宋体"/>
          <w:b/>
          <w:color w:val="auto"/>
          <w:sz w:val="32"/>
          <w:szCs w:val="32"/>
        </w:rPr>
      </w:pPr>
    </w:p>
    <w:p>
      <w:pPr>
        <w:snapToGrid w:val="0"/>
        <w:spacing w:beforeLines="50" w:after="50"/>
        <w:jc w:val="center"/>
        <w:rPr>
          <w:rFonts w:ascii="宋体" w:hAnsi="宋体" w:cs="宋体"/>
          <w:b/>
          <w:color w:val="auto"/>
          <w:sz w:val="32"/>
          <w:szCs w:val="32"/>
        </w:rPr>
      </w:pPr>
    </w:p>
    <w:p>
      <w:pPr>
        <w:pStyle w:val="23"/>
        <w:rPr>
          <w:rFonts w:ascii="宋体" w:hAnsi="宋体" w:cs="宋体"/>
          <w:b/>
          <w:color w:val="auto"/>
          <w:sz w:val="32"/>
          <w:szCs w:val="32"/>
        </w:rPr>
      </w:pPr>
    </w:p>
    <w:p>
      <w:pPr>
        <w:pStyle w:val="24"/>
        <w:rPr>
          <w:rFonts w:ascii="宋体" w:hAnsi="宋体" w:cs="宋体"/>
          <w:b/>
          <w:color w:val="auto"/>
          <w:sz w:val="32"/>
          <w:szCs w:val="32"/>
        </w:rPr>
      </w:pPr>
    </w:p>
    <w:p>
      <w:pPr>
        <w:rPr>
          <w:color w:val="auto"/>
        </w:rPr>
      </w:pPr>
    </w:p>
    <w:p>
      <w:pPr>
        <w:rPr>
          <w:color w:val="auto"/>
        </w:rPr>
      </w:pPr>
    </w:p>
    <w:p>
      <w:pPr>
        <w:snapToGrid w:val="0"/>
        <w:spacing w:beforeLines="50" w:after="50"/>
        <w:jc w:val="center"/>
        <w:rPr>
          <w:rFonts w:ascii="宋体" w:hAnsi="宋体" w:cs="宋体"/>
          <w:b/>
          <w:color w:val="auto"/>
          <w:sz w:val="32"/>
          <w:szCs w:val="32"/>
        </w:rPr>
      </w:pPr>
      <w:r>
        <w:rPr>
          <w:rFonts w:hint="eastAsia" w:ascii="宋体" w:hAnsi="宋体" w:cs="宋体"/>
          <w:b/>
          <w:color w:val="auto"/>
          <w:sz w:val="32"/>
          <w:szCs w:val="32"/>
        </w:rPr>
        <w:t>投标声明书</w:t>
      </w:r>
    </w:p>
    <w:p>
      <w:pPr>
        <w:snapToGrid w:val="0"/>
        <w:spacing w:beforeLines="50" w:after="50" w:line="400" w:lineRule="exact"/>
        <w:rPr>
          <w:rFonts w:ascii="宋体" w:hAnsi="宋体" w:cs="宋体"/>
          <w:color w:val="auto"/>
          <w:sz w:val="24"/>
          <w:szCs w:val="20"/>
        </w:rPr>
      </w:pPr>
      <w:r>
        <w:rPr>
          <w:rFonts w:hint="eastAsia" w:ascii="宋体" w:hAnsi="宋体" w:cs="宋体"/>
          <w:color w:val="auto"/>
          <w:sz w:val="24"/>
        </w:rPr>
        <w:t xml:space="preserve">致 </w:t>
      </w:r>
      <w:r>
        <w:rPr>
          <w:rFonts w:hint="eastAsia" w:ascii="宋体" w:hAnsi="宋体" w:cs="宋体"/>
          <w:color w:val="auto"/>
          <w:sz w:val="24"/>
          <w:u w:val="single"/>
        </w:rPr>
        <w:t xml:space="preserve">               </w:t>
      </w:r>
      <w:r>
        <w:rPr>
          <w:rFonts w:hint="eastAsia" w:ascii="宋体" w:hAnsi="宋体" w:cs="宋体"/>
          <w:color w:val="auto"/>
          <w:sz w:val="24"/>
        </w:rPr>
        <w:t>（采购人）：</w:t>
      </w:r>
    </w:p>
    <w:p>
      <w:pPr>
        <w:snapToGrid w:val="0"/>
        <w:spacing w:beforeLines="50" w:after="50" w:line="400" w:lineRule="exact"/>
        <w:ind w:firstLine="720" w:firstLineChars="300"/>
        <w:rPr>
          <w:rFonts w:ascii="宋体" w:hAnsi="宋体" w:cs="宋体"/>
          <w:color w:val="auto"/>
          <w:sz w:val="24"/>
          <w:szCs w:val="20"/>
        </w:rPr>
      </w:pPr>
      <w:r>
        <w:rPr>
          <w:rFonts w:hint="eastAsia" w:ascii="宋体" w:hAnsi="宋体" w:cs="宋体"/>
          <w:color w:val="auto"/>
          <w:sz w:val="24"/>
          <w:u w:val="single"/>
        </w:rPr>
        <w:t xml:space="preserve">               </w:t>
      </w:r>
      <w:r>
        <w:rPr>
          <w:rFonts w:hint="eastAsia" w:ascii="宋体" w:hAnsi="宋体" w:cs="宋体"/>
          <w:color w:val="auto"/>
          <w:sz w:val="24"/>
        </w:rPr>
        <w:t>（投标人名称）系中华人民共和国合法企业，经营地址</w:t>
      </w:r>
      <w:r>
        <w:rPr>
          <w:rFonts w:hint="eastAsia" w:ascii="宋体" w:hAnsi="宋体" w:cs="宋体"/>
          <w:color w:val="auto"/>
          <w:sz w:val="24"/>
          <w:u w:val="single"/>
        </w:rPr>
        <w:t xml:space="preserve">                               </w:t>
      </w:r>
      <w:r>
        <w:rPr>
          <w:rFonts w:hint="eastAsia" w:ascii="宋体" w:hAnsi="宋体" w:cs="宋体"/>
          <w:color w:val="auto"/>
          <w:sz w:val="24"/>
        </w:rPr>
        <w:t>。</w:t>
      </w:r>
    </w:p>
    <w:p>
      <w:pPr>
        <w:snapToGrid w:val="0"/>
        <w:spacing w:beforeLines="50" w:after="50" w:line="400" w:lineRule="exact"/>
        <w:ind w:firstLine="645"/>
        <w:rPr>
          <w:rFonts w:ascii="宋体" w:hAnsi="宋体" w:cs="宋体"/>
          <w:color w:val="auto"/>
          <w:sz w:val="24"/>
          <w:szCs w:val="20"/>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（投标人名称）的法定代表人，我方愿意参加贵方组织的</w:t>
      </w:r>
      <w:r>
        <w:rPr>
          <w:rFonts w:hint="eastAsia" w:ascii="宋体" w:hAnsi="宋体" w:cs="宋体"/>
          <w:color w:val="auto"/>
          <w:sz w:val="24"/>
          <w:u w:val="single"/>
        </w:rPr>
        <w:t xml:space="preserve">                    采购项目</w:t>
      </w:r>
      <w:r>
        <w:rPr>
          <w:rFonts w:hint="eastAsia" w:ascii="宋体" w:hAnsi="宋体" w:cs="宋体"/>
          <w:color w:val="auto"/>
          <w:sz w:val="24"/>
        </w:rPr>
        <w:t>的投标，为便于贵方公正、择优地确定中标人及其投标产品和服务，我方就本次投标有关事项郑重声明如下：</w:t>
      </w:r>
    </w:p>
    <w:p>
      <w:pPr>
        <w:snapToGrid w:val="0"/>
        <w:spacing w:line="400" w:lineRule="exact"/>
        <w:ind w:firstLine="480" w:firstLineChars="200"/>
        <w:rPr>
          <w:rFonts w:ascii="宋体" w:hAnsi="宋体" w:cs="宋体"/>
          <w:color w:val="auto"/>
          <w:sz w:val="24"/>
          <w:szCs w:val="20"/>
        </w:rPr>
      </w:pPr>
      <w:r>
        <w:rPr>
          <w:rFonts w:hint="eastAsia" w:ascii="宋体" w:hAnsi="宋体" w:cs="宋体"/>
          <w:color w:val="auto"/>
          <w:sz w:val="24"/>
        </w:rPr>
        <w:t>1.我方向贵方提交的所有投标文件、资料都是准确的和真实的。</w:t>
      </w:r>
    </w:p>
    <w:p>
      <w:pPr>
        <w:snapToGrid w:val="0"/>
        <w:spacing w:beforeLines="50" w:line="400" w:lineRule="exact"/>
        <w:ind w:firstLine="480" w:firstLineChars="200"/>
        <w:rPr>
          <w:rFonts w:ascii="宋体" w:hAnsi="宋体" w:cs="宋体"/>
          <w:color w:val="auto"/>
          <w:sz w:val="24"/>
          <w:szCs w:val="20"/>
        </w:rPr>
      </w:pPr>
      <w:r>
        <w:rPr>
          <w:rFonts w:hint="eastAsia" w:ascii="宋体" w:hAnsi="宋体" w:cs="宋体"/>
          <w:color w:val="auto"/>
          <w:sz w:val="24"/>
        </w:rPr>
        <w:t>2.我方不是采购人的附属机构；在获知本项目采购信息后，与采购人聘请的为此项目提供咨询服务的公司及其附属机构没有任何联系。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ascii="宋体" w:hAnsi="宋体" w:cs="宋体"/>
          <w:color w:val="auto"/>
          <w:sz w:val="24"/>
        </w:rPr>
      </w:pPr>
      <w:r>
        <w:rPr>
          <w:rFonts w:hint="eastAsia" w:ascii="宋体" w:hAnsi="宋体" w:cs="宋体"/>
          <w:color w:val="auto"/>
          <w:sz w:val="24"/>
        </w:rPr>
        <w:t>3、我方此次向贵方提供的服务名称为：</w:t>
      </w:r>
      <w:r>
        <w:rPr>
          <w:rFonts w:hint="eastAsia" w:ascii="宋体" w:hAnsi="宋体" w:cs="宋体"/>
          <w:color w:val="auto"/>
          <w:sz w:val="24"/>
          <w:u w:val="single"/>
        </w:rPr>
        <w:t xml:space="preserve">                              </w:t>
      </w:r>
      <w:r>
        <w:rPr>
          <w:rFonts w:hint="eastAsia" w:ascii="宋体" w:hAnsi="宋体" w:cs="宋体"/>
          <w:color w:val="auto"/>
          <w:sz w:val="24"/>
        </w:rPr>
        <w:t>。</w:t>
      </w:r>
    </w:p>
    <w:p>
      <w:pPr>
        <w:snapToGrid w:val="0"/>
        <w:spacing w:beforeLines="50" w:line="400" w:lineRule="exact"/>
        <w:ind w:firstLine="480" w:firstLineChars="200"/>
        <w:rPr>
          <w:rFonts w:ascii="宋体" w:hAnsi="宋体" w:cs="宋体"/>
          <w:color w:val="auto"/>
          <w:sz w:val="24"/>
          <w:szCs w:val="20"/>
        </w:rPr>
      </w:pPr>
      <w:r>
        <w:rPr>
          <w:rFonts w:hint="eastAsia" w:ascii="宋体" w:hAnsi="宋体" w:cs="宋体"/>
          <w:color w:val="auto"/>
          <w:sz w:val="24"/>
        </w:rPr>
        <w:t>4.我方诚意提请贵方关注：近期有关该型号产品的生产、供货、售后服务以及性能等方面的重大决策和事项有：</w:t>
      </w:r>
    </w:p>
    <w:p>
      <w:pPr>
        <w:snapToGrid w:val="0"/>
        <w:spacing w:beforeLines="50" w:line="400" w:lineRule="exact"/>
        <w:ind w:firstLine="480" w:firstLineChars="200"/>
        <w:rPr>
          <w:rFonts w:ascii="宋体" w:hAnsi="宋体" w:cs="宋体"/>
          <w:color w:val="auto"/>
          <w:sz w:val="24"/>
          <w:szCs w:val="20"/>
          <w:u w:val="single"/>
        </w:rPr>
      </w:pPr>
      <w:r>
        <w:rPr>
          <w:rFonts w:hint="eastAsia" w:ascii="宋体" w:hAnsi="宋体" w:cs="宋体"/>
          <w:color w:val="auto"/>
          <w:sz w:val="24"/>
          <w:u w:val="single"/>
        </w:rPr>
        <w:t>　　　　　　　　　　　　　　　　　　　　　　　　　　　</w:t>
      </w:r>
    </w:p>
    <w:p>
      <w:pPr>
        <w:pStyle w:val="25"/>
        <w:snapToGrid w:val="0"/>
        <w:spacing w:line="400" w:lineRule="exact"/>
        <w:rPr>
          <w:rFonts w:cs="宋体"/>
          <w:color w:val="auto"/>
        </w:rPr>
      </w:pPr>
      <w:r>
        <w:rPr>
          <w:rFonts w:hint="eastAsia" w:cs="宋体"/>
          <w:color w:val="auto"/>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Lines="50" w:line="400" w:lineRule="exact"/>
        <w:ind w:firstLine="480" w:firstLineChars="200"/>
        <w:rPr>
          <w:rFonts w:ascii="宋体" w:hAnsi="宋体" w:cs="宋体"/>
          <w:color w:val="auto"/>
          <w:sz w:val="24"/>
          <w:szCs w:val="20"/>
          <w:u w:val="single"/>
        </w:rPr>
      </w:pPr>
      <w:r>
        <w:rPr>
          <w:rFonts w:hint="eastAsia" w:ascii="宋体" w:hAnsi="宋体" w:cs="宋体"/>
          <w:color w:val="auto"/>
          <w:sz w:val="24"/>
          <w:u w:val="single"/>
        </w:rPr>
        <w:t>　　　　　　　　　　　　　　　　　　　　　　　　　　　</w:t>
      </w:r>
    </w:p>
    <w:p>
      <w:pPr>
        <w:snapToGrid w:val="0"/>
        <w:spacing w:line="400" w:lineRule="exact"/>
        <w:ind w:firstLine="480" w:firstLineChars="200"/>
        <w:rPr>
          <w:rFonts w:ascii="宋体" w:hAnsi="宋体" w:cs="宋体"/>
          <w:color w:val="auto"/>
          <w:sz w:val="24"/>
          <w:szCs w:val="20"/>
        </w:rPr>
      </w:pPr>
      <w:r>
        <w:rPr>
          <w:rFonts w:hint="eastAsia" w:ascii="宋体" w:hAnsi="宋体" w:cs="宋体"/>
          <w:color w:val="auto"/>
          <w:sz w:val="24"/>
        </w:rPr>
        <w:t>6.以上事项如有虚假或隐瞒，我方愿意承担一切后果，并不再寻求任何旨在减轻或免除法律责任的辩解。</w:t>
      </w:r>
    </w:p>
    <w:p>
      <w:pPr>
        <w:pStyle w:val="27"/>
        <w:tabs>
          <w:tab w:val="left" w:pos="939"/>
        </w:tabs>
        <w:snapToGrid w:val="0"/>
        <w:spacing w:line="400" w:lineRule="exact"/>
        <w:ind w:left="773" w:leftChars="150" w:hanging="458" w:hangingChars="191"/>
        <w:rPr>
          <w:rFonts w:ascii="宋体" w:hAnsi="宋体" w:cs="宋体"/>
          <w:color w:val="auto"/>
          <w:sz w:val="24"/>
        </w:rPr>
      </w:pPr>
    </w:p>
    <w:p>
      <w:pPr>
        <w:snapToGrid w:val="0"/>
        <w:spacing w:beforeLines="50" w:line="400" w:lineRule="exact"/>
        <w:ind w:firstLine="200"/>
        <w:rPr>
          <w:rFonts w:ascii="宋体" w:hAnsi="宋体" w:cs="宋体"/>
          <w:color w:val="auto"/>
          <w:sz w:val="24"/>
          <w:szCs w:val="20"/>
          <w:u w:val="single"/>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p>
    <w:p>
      <w:pPr>
        <w:snapToGrid w:val="0"/>
        <w:spacing w:beforeLines="50" w:after="50" w:line="400" w:lineRule="exact"/>
        <w:ind w:firstLine="240" w:firstLineChars="100"/>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beforeLines="50" w:after="50" w:line="400" w:lineRule="exact"/>
        <w:ind w:firstLine="240" w:firstLineChars="100"/>
        <w:rPr>
          <w:rFonts w:ascii="宋体" w:hAnsi="宋体" w:cs="宋体"/>
          <w:color w:val="auto"/>
          <w:sz w:val="24"/>
        </w:rPr>
      </w:pPr>
    </w:p>
    <w:p>
      <w:pPr>
        <w:pStyle w:val="962"/>
        <w:spacing w:line="360" w:lineRule="auto"/>
        <w:jc w:val="right"/>
        <w:rPr>
          <w:rFonts w:hAnsi="宋体" w:eastAsia="宋体" w:cs="宋体"/>
          <w:color w:val="auto"/>
          <w:sz w:val="24"/>
          <w:szCs w:val="24"/>
        </w:rPr>
      </w:pPr>
      <w:r>
        <w:rPr>
          <w:rFonts w:hint="eastAsia" w:hAnsi="宋体" w:eastAsia="宋体" w:cs="宋体"/>
          <w:color w:val="auto"/>
          <w:sz w:val="24"/>
          <w:szCs w:val="24"/>
        </w:rPr>
        <w:t>年    月    日</w:t>
      </w:r>
    </w:p>
    <w:p>
      <w:pPr>
        <w:spacing w:line="360" w:lineRule="auto"/>
        <w:jc w:val="left"/>
        <w:rPr>
          <w:rFonts w:ascii="宋体" w:hAnsi="宋体" w:cs="宋体"/>
          <w:b/>
          <w:color w:val="auto"/>
          <w:sz w:val="24"/>
        </w:rPr>
      </w:pPr>
      <w:r>
        <w:rPr>
          <w:rFonts w:ascii="宋体" w:hAnsi="宋体" w:cs="宋体"/>
          <w:b/>
          <w:color w:val="auto"/>
          <w:sz w:val="24"/>
        </w:rPr>
        <w:br w:type="page"/>
      </w:r>
    </w:p>
    <w:p>
      <w:pPr>
        <w:snapToGrid w:val="0"/>
        <w:spacing w:beforeLines="50" w:after="50" w:line="360" w:lineRule="auto"/>
        <w:jc w:val="center"/>
        <w:rPr>
          <w:rFonts w:ascii="宋体" w:hAnsi="宋体" w:cs="宋体"/>
          <w:b/>
          <w:color w:val="auto"/>
          <w:sz w:val="32"/>
          <w:szCs w:val="32"/>
        </w:rPr>
      </w:pPr>
      <w:r>
        <w:rPr>
          <w:rFonts w:hint="eastAsia" w:ascii="宋体" w:hAnsi="宋体" w:cs="宋体"/>
          <w:b/>
          <w:color w:val="auto"/>
          <w:sz w:val="32"/>
          <w:szCs w:val="32"/>
        </w:rPr>
        <w:t>法定代表人授权委托书</w:t>
      </w:r>
    </w:p>
    <w:p>
      <w:pPr>
        <w:snapToGrid w:val="0"/>
        <w:spacing w:beforeLines="50" w:after="50" w:line="360" w:lineRule="auto"/>
        <w:rPr>
          <w:rFonts w:ascii="宋体" w:hAnsi="宋体" w:cs="宋体"/>
          <w:b/>
          <w:bCs/>
          <w:color w:val="auto"/>
          <w:sz w:val="24"/>
          <w:szCs w:val="20"/>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w:t>
      </w:r>
    </w:p>
    <w:p>
      <w:pPr>
        <w:snapToGrid w:val="0"/>
        <w:spacing w:beforeLines="50" w:after="50" w:line="360" w:lineRule="auto"/>
        <w:ind w:firstLine="720" w:firstLineChars="300"/>
        <w:rPr>
          <w:rFonts w:ascii="宋体" w:hAnsi="宋体" w:cs="宋体"/>
          <w:color w:val="auto"/>
          <w:sz w:val="24"/>
          <w:szCs w:val="20"/>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w:t>
      </w:r>
      <w:r>
        <w:rPr>
          <w:rFonts w:hint="eastAsia" w:ascii="宋体" w:hAnsi="宋体" w:cs="宋体"/>
          <w:color w:val="auto"/>
          <w:sz w:val="24"/>
          <w:u w:val="single"/>
        </w:rPr>
        <w:t xml:space="preserve">             </w:t>
      </w:r>
      <w:r>
        <w:rPr>
          <w:rFonts w:hint="eastAsia" w:ascii="宋体" w:hAnsi="宋体" w:cs="宋体"/>
          <w:color w:val="auto"/>
          <w:sz w:val="24"/>
        </w:rPr>
        <w:t>（姓名）以我方的名义参加</w:t>
      </w:r>
      <w:r>
        <w:rPr>
          <w:rFonts w:hint="eastAsia" w:ascii="宋体" w:hAnsi="宋体" w:cs="宋体"/>
          <w:color w:val="auto"/>
          <w:sz w:val="24"/>
          <w:u w:val="single"/>
        </w:rPr>
        <w:t xml:space="preserve">              政府采购项目</w:t>
      </w:r>
      <w:r>
        <w:rPr>
          <w:rFonts w:hint="eastAsia" w:ascii="宋体" w:hAnsi="宋体" w:cs="宋体"/>
          <w:color w:val="auto"/>
          <w:sz w:val="24"/>
        </w:rPr>
        <w:t>的投标活动，并代表我方全权办理针对上述项目的投标、开标、评标、签约等具体事务和签署相关文件。</w:t>
      </w:r>
    </w:p>
    <w:p>
      <w:pPr>
        <w:snapToGrid w:val="0"/>
        <w:spacing w:beforeLines="50" w:after="50" w:line="360" w:lineRule="auto"/>
        <w:rPr>
          <w:rFonts w:ascii="宋体" w:hAnsi="宋体" w:cs="宋体"/>
          <w:color w:val="auto"/>
          <w:sz w:val="24"/>
          <w:szCs w:val="20"/>
        </w:rPr>
      </w:pPr>
      <w:r>
        <w:rPr>
          <w:rFonts w:hint="eastAsia" w:ascii="宋体" w:hAnsi="宋体" w:cs="宋体"/>
          <w:color w:val="auto"/>
          <w:sz w:val="24"/>
        </w:rPr>
        <w:t xml:space="preserve">    我方对被授权人的签字事项负全部责任。</w:t>
      </w:r>
    </w:p>
    <w:p>
      <w:pPr>
        <w:snapToGrid w:val="0"/>
        <w:spacing w:beforeLines="50" w:after="50" w:line="360" w:lineRule="auto"/>
        <w:ind w:firstLine="480"/>
        <w:rPr>
          <w:rFonts w:ascii="宋体" w:hAnsi="宋体" w:cs="宋体"/>
          <w:color w:val="auto"/>
          <w:sz w:val="24"/>
          <w:szCs w:val="20"/>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pPr>
        <w:snapToGrid w:val="0"/>
        <w:spacing w:beforeLines="50" w:after="50" w:line="360" w:lineRule="auto"/>
        <w:ind w:firstLine="480"/>
        <w:rPr>
          <w:rFonts w:ascii="宋体" w:hAnsi="宋体" w:cs="宋体"/>
          <w:color w:val="auto"/>
          <w:sz w:val="24"/>
          <w:szCs w:val="20"/>
        </w:rPr>
      </w:pPr>
      <w:r>
        <w:rPr>
          <w:rFonts w:hint="eastAsia" w:ascii="宋体" w:hAnsi="宋体" w:cs="宋体"/>
          <w:color w:val="auto"/>
          <w:sz w:val="24"/>
        </w:rPr>
        <w:t>被授权人无转委托权，特此委托。</w:t>
      </w:r>
    </w:p>
    <w:p>
      <w:pPr>
        <w:snapToGrid w:val="0"/>
        <w:spacing w:beforeLines="50" w:after="50" w:line="360" w:lineRule="auto"/>
        <w:rPr>
          <w:rFonts w:ascii="宋体" w:hAnsi="宋体" w:cs="宋体"/>
          <w:color w:val="auto"/>
          <w:sz w:val="24"/>
          <w:szCs w:val="20"/>
        </w:rPr>
      </w:pPr>
    </w:p>
    <w:p>
      <w:pPr>
        <w:snapToGrid w:val="0"/>
        <w:spacing w:beforeLines="50" w:after="50" w:line="360" w:lineRule="auto"/>
        <w:rPr>
          <w:rFonts w:ascii="宋体" w:hAnsi="宋体" w:cs="宋体"/>
          <w:color w:val="auto"/>
          <w:sz w:val="24"/>
          <w:szCs w:val="20"/>
          <w:u w:val="single"/>
        </w:rPr>
      </w:pPr>
      <w:r>
        <w:rPr>
          <w:rFonts w:hint="eastAsia" w:ascii="宋体" w:hAnsi="宋体" w:cs="宋体"/>
          <w:color w:val="auto"/>
          <w:sz w:val="24"/>
        </w:rPr>
        <w:t>法定代表人签字（或盖章）：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被授权人签字（或盖章）：</w:t>
      </w:r>
      <w:r>
        <w:rPr>
          <w:rFonts w:hint="eastAsia" w:ascii="宋体" w:hAnsi="宋体" w:cs="宋体"/>
          <w:color w:val="auto"/>
          <w:sz w:val="24"/>
          <w:u w:val="single"/>
        </w:rPr>
        <w:t xml:space="preserve">          </w:t>
      </w:r>
    </w:p>
    <w:p>
      <w:pPr>
        <w:snapToGrid w:val="0"/>
        <w:spacing w:beforeLines="50" w:after="50" w:line="360" w:lineRule="auto"/>
        <w:ind w:firstLine="960" w:firstLineChars="400"/>
        <w:rPr>
          <w:rFonts w:ascii="宋体" w:hAnsi="宋体" w:cs="宋体"/>
          <w:color w:val="auto"/>
          <w:sz w:val="24"/>
          <w:u w:val="single"/>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pPr>
        <w:snapToGrid w:val="0"/>
        <w:spacing w:beforeLines="50" w:after="50" w:line="360" w:lineRule="auto"/>
        <w:rPr>
          <w:rFonts w:ascii="宋体" w:hAnsi="宋体" w:cs="宋体"/>
          <w:color w:val="auto"/>
          <w:sz w:val="24"/>
          <w:szCs w:val="20"/>
        </w:rPr>
      </w:pPr>
    </w:p>
    <w:p>
      <w:pPr>
        <w:snapToGrid w:val="0"/>
        <w:spacing w:beforeLines="50" w:after="50" w:line="360" w:lineRule="auto"/>
        <w:rPr>
          <w:rFonts w:ascii="宋体" w:hAnsi="宋体" w:cs="宋体"/>
          <w:color w:val="auto"/>
          <w:sz w:val="24"/>
        </w:rPr>
      </w:pPr>
      <w:r>
        <w:rPr>
          <w:rFonts w:hint="eastAsia" w:ascii="宋体" w:hAnsi="宋体" w:cs="宋体"/>
          <w:color w:val="auto"/>
          <w:sz w:val="24"/>
        </w:rPr>
        <w:t>法定代表人身份证粘贴处（正反面）       被授权人身份证粘贴处（正反面）</w:t>
      </w:r>
    </w:p>
    <w:p>
      <w:pPr>
        <w:snapToGrid w:val="0"/>
        <w:spacing w:beforeLines="50" w:after="50" w:line="360" w:lineRule="auto"/>
        <w:rPr>
          <w:rFonts w:ascii="宋体" w:hAnsi="宋体" w:cs="宋体"/>
          <w:color w:val="auto"/>
          <w:sz w:val="24"/>
        </w:rPr>
      </w:pPr>
    </w:p>
    <w:p>
      <w:pPr>
        <w:snapToGrid w:val="0"/>
        <w:spacing w:beforeLines="50" w:after="50" w:line="360" w:lineRule="auto"/>
        <w:rPr>
          <w:rFonts w:ascii="宋体" w:hAnsi="宋体" w:cs="宋体"/>
          <w:color w:val="auto"/>
          <w:sz w:val="24"/>
        </w:rPr>
      </w:pPr>
    </w:p>
    <w:p>
      <w:pPr>
        <w:snapToGrid w:val="0"/>
        <w:spacing w:beforeLines="50" w:after="50" w:line="360" w:lineRule="auto"/>
        <w:rPr>
          <w:rFonts w:ascii="宋体" w:hAnsi="宋体" w:cs="宋体"/>
          <w:color w:val="auto"/>
          <w:sz w:val="24"/>
        </w:rPr>
      </w:pPr>
    </w:p>
    <w:p>
      <w:pPr>
        <w:snapToGrid w:val="0"/>
        <w:spacing w:beforeLines="50" w:after="50" w:line="360" w:lineRule="auto"/>
        <w:rPr>
          <w:rFonts w:ascii="宋体" w:hAnsi="宋体" w:cs="宋体"/>
          <w:color w:val="auto"/>
          <w:sz w:val="24"/>
        </w:rPr>
      </w:pPr>
      <w:r>
        <w:rPr>
          <w:rFonts w:hint="eastAsia" w:ascii="宋体" w:hAnsi="宋体" w:cs="宋体"/>
          <w:color w:val="auto"/>
          <w:sz w:val="24"/>
        </w:rPr>
        <w:t>投标人公章：</w:t>
      </w:r>
    </w:p>
    <w:p>
      <w:pPr>
        <w:snapToGrid w:val="0"/>
        <w:spacing w:beforeLines="50" w:after="50" w:line="360" w:lineRule="auto"/>
        <w:rPr>
          <w:rFonts w:ascii="宋体" w:hAnsi="宋体" w:cs="宋体"/>
          <w:color w:val="auto"/>
          <w:sz w:val="24"/>
          <w:szCs w:val="20"/>
        </w:rPr>
      </w:pPr>
    </w:p>
    <w:p>
      <w:pPr>
        <w:snapToGrid w:val="0"/>
        <w:spacing w:beforeLines="50" w:after="50" w:line="360" w:lineRule="auto"/>
        <w:rPr>
          <w:rFonts w:ascii="宋体" w:hAnsi="宋体" w:cs="宋体"/>
          <w:color w:val="auto"/>
          <w:sz w:val="24"/>
          <w:szCs w:val="20"/>
        </w:rPr>
      </w:pPr>
    </w:p>
    <w:p>
      <w:pPr>
        <w:snapToGrid w:val="0"/>
        <w:spacing w:beforeLines="50" w:after="50"/>
        <w:jc w:val="right"/>
        <w:rPr>
          <w:rFonts w:ascii="宋体" w:hAnsi="宋体" w:cs="宋体"/>
          <w:color w:val="auto"/>
          <w:sz w:val="24"/>
        </w:rPr>
      </w:pPr>
      <w:r>
        <w:rPr>
          <w:rFonts w:hint="eastAsia" w:ascii="宋体" w:hAnsi="宋体" w:cs="宋体"/>
          <w:color w:val="auto"/>
          <w:sz w:val="24"/>
        </w:rPr>
        <w:t xml:space="preserve">                                        年    月    日</w:t>
      </w:r>
    </w:p>
    <w:p>
      <w:pPr>
        <w:pStyle w:val="962"/>
        <w:spacing w:line="360" w:lineRule="auto"/>
        <w:rPr>
          <w:rFonts w:hAnsi="宋体" w:eastAsia="宋体" w:cs="宋体"/>
          <w:color w:val="auto"/>
          <w:sz w:val="24"/>
        </w:rPr>
      </w:pPr>
    </w:p>
    <w:p>
      <w:pPr>
        <w:snapToGrid w:val="0"/>
        <w:spacing w:beforeLines="50" w:after="50" w:line="360" w:lineRule="auto"/>
        <w:rPr>
          <w:rFonts w:ascii="宋体" w:hAnsi="宋体" w:cs="宋体"/>
          <w:color w:val="auto"/>
          <w:sz w:val="24"/>
        </w:rPr>
      </w:pPr>
      <w:r>
        <w:rPr>
          <w:rFonts w:hint="eastAsia" w:ascii="宋体" w:hAnsi="宋体" w:cs="宋体"/>
          <w:b/>
          <w:color w:val="auto"/>
          <w:sz w:val="28"/>
          <w:szCs w:val="28"/>
        </w:rPr>
        <w:t>注：此表请放一页，如要放2页及以上请在每页上都加盖公章。</w:t>
      </w:r>
    </w:p>
    <w:p>
      <w:pPr>
        <w:spacing w:line="360" w:lineRule="auto"/>
        <w:jc w:val="left"/>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诚信承诺书</w:t>
      </w:r>
    </w:p>
    <w:p>
      <w:pPr>
        <w:spacing w:line="360" w:lineRule="auto"/>
        <w:rPr>
          <w:rFonts w:ascii="宋体" w:hAnsi="宋体" w:cs="宋体"/>
          <w:color w:val="auto"/>
          <w:sz w:val="24"/>
        </w:rPr>
      </w:pPr>
      <w:r>
        <w:rPr>
          <w:rFonts w:hint="eastAsia" w:ascii="宋体" w:hAnsi="宋体" w:cs="宋体"/>
          <w:color w:val="auto"/>
          <w:sz w:val="24"/>
          <w:u w:val="single"/>
        </w:rPr>
        <w:t xml:space="preserve">（采购人或招标组织机构）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我方在参加贵单位的</w:t>
      </w:r>
      <w:r>
        <w:rPr>
          <w:rFonts w:hint="eastAsia" w:ascii="宋体" w:hAnsi="宋体" w:cs="宋体"/>
          <w:color w:val="auto"/>
          <w:sz w:val="24"/>
          <w:u w:val="single"/>
        </w:rPr>
        <w:t xml:space="preserve">                   </w:t>
      </w:r>
      <w:r>
        <w:rPr>
          <w:rFonts w:hint="eastAsia" w:ascii="宋体" w:hAnsi="宋体" w:cs="宋体"/>
          <w:color w:val="auto"/>
          <w:sz w:val="24"/>
        </w:rPr>
        <w:t>政府采购项目的招投标活动中，郑重承诺如下：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1、我方申报的所有资料都是真实、准确、完整的；</w:t>
      </w:r>
    </w:p>
    <w:p>
      <w:pPr>
        <w:spacing w:line="360" w:lineRule="auto"/>
        <w:ind w:firstLine="480" w:firstLineChars="200"/>
        <w:rPr>
          <w:rFonts w:ascii="宋体" w:hAnsi="宋体" w:cs="宋体"/>
          <w:color w:val="auto"/>
          <w:sz w:val="24"/>
        </w:rPr>
      </w:pPr>
      <w:r>
        <w:rPr>
          <w:rFonts w:hint="eastAsia" w:ascii="宋体" w:hAnsi="宋体" w:cs="宋体"/>
          <w:color w:val="auto"/>
          <w:sz w:val="24"/>
        </w:rPr>
        <w:t>2、我方无资质挂靠情形，保证不参与串标、围标及抬标；</w:t>
      </w:r>
    </w:p>
    <w:p>
      <w:pPr>
        <w:spacing w:line="360" w:lineRule="auto"/>
        <w:ind w:firstLine="480" w:firstLineChars="200"/>
        <w:rPr>
          <w:rFonts w:ascii="宋体" w:hAnsi="宋体" w:cs="宋体"/>
          <w:color w:val="auto"/>
          <w:sz w:val="24"/>
        </w:rPr>
      </w:pPr>
      <w:r>
        <w:rPr>
          <w:rFonts w:hint="eastAsia" w:ascii="宋体" w:hAnsi="宋体" w:cs="宋体"/>
          <w:color w:val="auto"/>
          <w:sz w:val="24"/>
        </w:rPr>
        <w:t>3、我方未处于被各级行政主管部门做出停止市场行为处罚的期限内；</w:t>
      </w:r>
    </w:p>
    <w:p>
      <w:pPr>
        <w:spacing w:line="360" w:lineRule="auto"/>
        <w:ind w:firstLine="480" w:firstLineChars="200"/>
        <w:rPr>
          <w:rFonts w:ascii="宋体" w:hAnsi="宋体" w:cs="宋体"/>
          <w:color w:val="auto"/>
          <w:sz w:val="24"/>
        </w:rPr>
      </w:pPr>
      <w:r>
        <w:rPr>
          <w:rFonts w:hint="eastAsia" w:ascii="宋体" w:hAnsi="宋体" w:cs="宋体"/>
          <w:color w:val="auto"/>
          <w:sz w:val="24"/>
        </w:rPr>
        <w:t>4、我方参加本项目政府采购活动前3年内在经营活动中没有重大违法记录；</w:t>
      </w:r>
    </w:p>
    <w:p>
      <w:pPr>
        <w:spacing w:line="360" w:lineRule="auto"/>
        <w:ind w:firstLine="480" w:firstLineChars="200"/>
        <w:rPr>
          <w:rFonts w:ascii="宋体" w:hAnsi="宋体" w:cs="宋体"/>
          <w:color w:val="auto"/>
          <w:sz w:val="24"/>
        </w:rPr>
      </w:pPr>
      <w:r>
        <w:rPr>
          <w:rFonts w:hint="eastAsia" w:ascii="宋体" w:hAnsi="宋体" w:cs="宋体"/>
          <w:color w:val="auto"/>
          <w:sz w:val="24"/>
        </w:rPr>
        <w:t>5、若我方中标，将严格按照规定及时与采购人签订合同；</w:t>
      </w:r>
    </w:p>
    <w:p>
      <w:pPr>
        <w:spacing w:line="360" w:lineRule="auto"/>
        <w:ind w:firstLine="480" w:firstLineChars="200"/>
        <w:rPr>
          <w:rFonts w:ascii="宋体" w:hAnsi="宋体" w:cs="宋体"/>
          <w:color w:val="auto"/>
          <w:sz w:val="24"/>
        </w:rPr>
      </w:pPr>
      <w:r>
        <w:rPr>
          <w:rFonts w:hint="eastAsia" w:ascii="宋体" w:hAnsi="宋体" w:cs="宋体"/>
          <w:color w:val="auto"/>
          <w:sz w:val="24"/>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rPr>
      </w:pPr>
      <w:r>
        <w:rPr>
          <w:rFonts w:hint="eastAsia" w:ascii="宋体" w:hAnsi="宋体" w:cs="宋体"/>
          <w:color w:val="auto"/>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rPr>
      </w:pPr>
      <w:r>
        <w:rPr>
          <w:rFonts w:hint="eastAsia" w:ascii="宋体" w:hAnsi="宋体" w:cs="宋体"/>
          <w:color w:val="auto"/>
          <w:sz w:val="24"/>
        </w:rPr>
        <w:t>特此承诺。</w:t>
      </w:r>
    </w:p>
    <w:p>
      <w:pPr>
        <w:spacing w:line="360" w:lineRule="auto"/>
        <w:ind w:firstLine="480" w:firstLineChars="200"/>
        <w:rPr>
          <w:rFonts w:ascii="宋体" w:hAnsi="宋体" w:cs="宋体"/>
          <w:color w:val="auto"/>
          <w:sz w:val="24"/>
        </w:rPr>
      </w:pPr>
      <w:r>
        <w:rPr>
          <w:rFonts w:hint="eastAsia" w:ascii="宋体" w:hAnsi="宋体" w:cs="宋体"/>
          <w:color w:val="auto"/>
          <w:sz w:val="24"/>
        </w:rPr>
        <w:t>投标人（加盖公章）：</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投标人代表（签名）：</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p>
    <w:p>
      <w:pPr>
        <w:spacing w:line="360" w:lineRule="auto"/>
        <w:ind w:firstLine="4920" w:firstLineChars="205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pStyle w:val="962"/>
        <w:spacing w:line="360" w:lineRule="auto"/>
        <w:rPr>
          <w:rFonts w:hAnsi="宋体" w:eastAsia="宋体" w:cs="宋体"/>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bCs/>
          <w:color w:val="auto"/>
          <w:sz w:val="24"/>
        </w:rPr>
      </w:pPr>
      <w:r>
        <w:rPr>
          <w:rFonts w:hint="eastAsia" w:ascii="宋体" w:hAnsi="宋体" w:cs="宋体"/>
          <w:b/>
          <w:color w:val="auto"/>
          <w:sz w:val="24"/>
        </w:rPr>
        <w:t>自评表</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评标内容及分值</w:t>
            </w:r>
          </w:p>
        </w:tc>
        <w:tc>
          <w:tcPr>
            <w:tcW w:w="4254" w:type="dxa"/>
            <w:gridSpan w:val="2"/>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rPr>
            </w:pPr>
          </w:p>
        </w:tc>
        <w:tc>
          <w:tcPr>
            <w:tcW w:w="2145"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自评分</w:t>
            </w:r>
          </w:p>
        </w:tc>
        <w:tc>
          <w:tcPr>
            <w:tcW w:w="2109"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rPr>
                <w:rFonts w:ascii="宋体" w:hAnsi="宋体" w:cs="宋体"/>
                <w:color w:val="auto"/>
                <w:sz w:val="24"/>
              </w:rPr>
            </w:pPr>
            <w:r>
              <w:rPr>
                <w:rFonts w:hint="eastAsia" w:ascii="宋体" w:hAnsi="宋体" w:cs="宋体"/>
                <w:b/>
                <w:bCs/>
                <w:color w:val="auto"/>
                <w:sz w:val="28"/>
                <w:szCs w:val="28"/>
                <w:lang w:eastAsia="zh-CN"/>
              </w:rPr>
              <w:t>商务资信</w:t>
            </w:r>
            <w:r>
              <w:rPr>
                <w:rFonts w:hint="eastAsia" w:ascii="宋体" w:hAnsi="宋体" w:cs="宋体"/>
                <w:b/>
                <w:bCs/>
                <w:color w:val="auto"/>
                <w:sz w:val="28"/>
                <w:szCs w:val="28"/>
              </w:rPr>
              <w:t>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rPr>
            </w:pPr>
          </w:p>
        </w:tc>
        <w:tc>
          <w:tcPr>
            <w:tcW w:w="2145" w:type="dxa"/>
            <w:tcBorders>
              <w:bottom w:val="single" w:color="auto" w:sz="4" w:space="0"/>
            </w:tcBorders>
            <w:vAlign w:val="center"/>
          </w:tcPr>
          <w:p>
            <w:pPr>
              <w:spacing w:line="360" w:lineRule="auto"/>
              <w:jc w:val="left"/>
              <w:rPr>
                <w:rFonts w:ascii="宋体" w:hAnsi="宋体" w:cs="宋体"/>
                <w:color w:val="auto"/>
                <w:szCs w:val="21"/>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color w:val="auto"/>
                <w:sz w:val="24"/>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left"/>
              <w:rPr>
                <w:rFonts w:ascii="宋体" w:hAnsi="宋体" w:cs="宋体"/>
                <w:b/>
                <w:bCs/>
                <w:color w:val="auto"/>
                <w:sz w:val="28"/>
                <w:szCs w:val="28"/>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rPr>
                <w:rFonts w:ascii="宋体" w:hAnsi="宋体" w:cs="宋体"/>
                <w:b/>
                <w:bCs/>
                <w:color w:val="auto"/>
                <w:sz w:val="28"/>
                <w:szCs w:val="28"/>
              </w:rPr>
            </w:pPr>
            <w:r>
              <w:rPr>
                <w:rFonts w:hint="eastAsia" w:ascii="宋体" w:hAnsi="宋体" w:cs="宋体"/>
                <w:b/>
                <w:bCs/>
                <w:color w:val="auto"/>
                <w:sz w:val="28"/>
                <w:szCs w:val="28"/>
              </w:rPr>
              <w:t>技术分（X分）</w:t>
            </w:r>
          </w:p>
        </w:tc>
        <w:tc>
          <w:tcPr>
            <w:tcW w:w="3300" w:type="dxa"/>
            <w:vAlign w:val="center"/>
          </w:tcPr>
          <w:p>
            <w:pPr>
              <w:widowControl/>
              <w:spacing w:line="360" w:lineRule="auto"/>
              <w:jc w:val="center"/>
              <w:rPr>
                <w:rFonts w:ascii="宋体" w:hAnsi="宋体" w:cs="宋体"/>
                <w:color w:val="auto"/>
                <w:kern w:val="0"/>
                <w:szCs w:val="21"/>
              </w:rPr>
            </w:pPr>
          </w:p>
        </w:tc>
        <w:tc>
          <w:tcPr>
            <w:tcW w:w="2145" w:type="dxa"/>
            <w:vAlign w:val="center"/>
          </w:tcPr>
          <w:p>
            <w:pPr>
              <w:spacing w:line="360" w:lineRule="auto"/>
              <w:jc w:val="left"/>
              <w:rPr>
                <w:rFonts w:ascii="宋体" w:hAnsi="宋体" w:cs="宋体"/>
                <w:color w:val="auto"/>
                <w:szCs w:val="21"/>
              </w:rPr>
            </w:pPr>
          </w:p>
        </w:tc>
        <w:tc>
          <w:tcPr>
            <w:tcW w:w="2109" w:type="dxa"/>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rPr>
            </w:pPr>
          </w:p>
        </w:tc>
        <w:tc>
          <w:tcPr>
            <w:tcW w:w="3300" w:type="dxa"/>
            <w:vAlign w:val="center"/>
          </w:tcPr>
          <w:p>
            <w:pPr>
              <w:widowControl/>
              <w:spacing w:line="360" w:lineRule="auto"/>
              <w:jc w:val="center"/>
              <w:rPr>
                <w:rFonts w:ascii="宋体" w:hAnsi="宋体" w:cs="宋体"/>
                <w:color w:val="auto"/>
                <w:kern w:val="0"/>
                <w:szCs w:val="21"/>
              </w:rPr>
            </w:pPr>
          </w:p>
        </w:tc>
        <w:tc>
          <w:tcPr>
            <w:tcW w:w="2145" w:type="dxa"/>
            <w:vAlign w:val="center"/>
          </w:tcPr>
          <w:p>
            <w:pPr>
              <w:spacing w:line="360" w:lineRule="auto"/>
              <w:jc w:val="left"/>
              <w:rPr>
                <w:rFonts w:ascii="宋体" w:hAnsi="宋体" w:cs="宋体"/>
                <w:color w:val="auto"/>
                <w:szCs w:val="21"/>
              </w:rPr>
            </w:pPr>
          </w:p>
        </w:tc>
        <w:tc>
          <w:tcPr>
            <w:tcW w:w="2109" w:type="dxa"/>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rPr>
            </w:pPr>
          </w:p>
        </w:tc>
        <w:tc>
          <w:tcPr>
            <w:tcW w:w="3300" w:type="dxa"/>
            <w:vAlign w:val="center"/>
          </w:tcPr>
          <w:p>
            <w:pPr>
              <w:widowControl/>
              <w:spacing w:line="360" w:lineRule="auto"/>
              <w:jc w:val="center"/>
              <w:rPr>
                <w:rFonts w:ascii="宋体" w:hAnsi="宋体" w:cs="宋体"/>
                <w:color w:val="auto"/>
                <w:kern w:val="0"/>
                <w:szCs w:val="21"/>
              </w:rPr>
            </w:pPr>
          </w:p>
        </w:tc>
        <w:tc>
          <w:tcPr>
            <w:tcW w:w="2145" w:type="dxa"/>
            <w:vAlign w:val="center"/>
          </w:tcPr>
          <w:p>
            <w:pPr>
              <w:spacing w:line="360" w:lineRule="auto"/>
              <w:jc w:val="left"/>
              <w:rPr>
                <w:rFonts w:ascii="宋体" w:hAnsi="宋体" w:cs="宋体"/>
                <w:color w:val="auto"/>
                <w:szCs w:val="21"/>
              </w:rPr>
            </w:pPr>
          </w:p>
        </w:tc>
        <w:tc>
          <w:tcPr>
            <w:tcW w:w="2109" w:type="dxa"/>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rPr>
            </w:pPr>
          </w:p>
        </w:tc>
        <w:tc>
          <w:tcPr>
            <w:tcW w:w="3300" w:type="dxa"/>
            <w:vAlign w:val="center"/>
          </w:tcPr>
          <w:p>
            <w:pPr>
              <w:widowControl/>
              <w:spacing w:line="360" w:lineRule="auto"/>
              <w:jc w:val="center"/>
              <w:rPr>
                <w:rFonts w:ascii="宋体" w:hAnsi="宋体" w:cs="宋体"/>
                <w:color w:val="auto"/>
                <w:kern w:val="0"/>
                <w:szCs w:val="21"/>
              </w:rPr>
            </w:pPr>
          </w:p>
        </w:tc>
        <w:tc>
          <w:tcPr>
            <w:tcW w:w="2145" w:type="dxa"/>
            <w:vAlign w:val="center"/>
          </w:tcPr>
          <w:p>
            <w:pPr>
              <w:spacing w:line="360" w:lineRule="auto"/>
              <w:jc w:val="left"/>
              <w:rPr>
                <w:rFonts w:ascii="宋体" w:hAnsi="宋体" w:cs="宋体"/>
                <w:color w:val="auto"/>
                <w:szCs w:val="21"/>
              </w:rPr>
            </w:pPr>
          </w:p>
        </w:tc>
        <w:tc>
          <w:tcPr>
            <w:tcW w:w="2109" w:type="dxa"/>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rPr>
            </w:pPr>
          </w:p>
        </w:tc>
        <w:tc>
          <w:tcPr>
            <w:tcW w:w="3300" w:type="dxa"/>
            <w:vAlign w:val="center"/>
          </w:tcPr>
          <w:p>
            <w:pPr>
              <w:widowControl/>
              <w:spacing w:line="360" w:lineRule="auto"/>
              <w:jc w:val="center"/>
              <w:rPr>
                <w:rFonts w:ascii="宋体" w:hAnsi="宋体" w:cs="宋体"/>
                <w:color w:val="auto"/>
                <w:kern w:val="0"/>
                <w:szCs w:val="21"/>
              </w:rPr>
            </w:pPr>
          </w:p>
        </w:tc>
        <w:tc>
          <w:tcPr>
            <w:tcW w:w="2145" w:type="dxa"/>
            <w:vAlign w:val="center"/>
          </w:tcPr>
          <w:p>
            <w:pPr>
              <w:spacing w:line="360" w:lineRule="auto"/>
              <w:jc w:val="left"/>
              <w:rPr>
                <w:rFonts w:ascii="宋体" w:hAnsi="宋体" w:cs="宋体"/>
                <w:color w:val="auto"/>
                <w:szCs w:val="21"/>
              </w:rPr>
            </w:pPr>
          </w:p>
        </w:tc>
        <w:tc>
          <w:tcPr>
            <w:tcW w:w="2109" w:type="dxa"/>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rPr>
            </w:pPr>
          </w:p>
        </w:tc>
        <w:tc>
          <w:tcPr>
            <w:tcW w:w="3300" w:type="dxa"/>
            <w:vAlign w:val="center"/>
          </w:tcPr>
          <w:p>
            <w:pPr>
              <w:widowControl/>
              <w:spacing w:line="360" w:lineRule="auto"/>
              <w:jc w:val="center"/>
              <w:rPr>
                <w:rFonts w:ascii="宋体" w:hAnsi="宋体" w:cs="宋体"/>
                <w:color w:val="auto"/>
                <w:kern w:val="0"/>
                <w:szCs w:val="21"/>
              </w:rPr>
            </w:pPr>
          </w:p>
        </w:tc>
        <w:tc>
          <w:tcPr>
            <w:tcW w:w="2145" w:type="dxa"/>
            <w:vAlign w:val="center"/>
          </w:tcPr>
          <w:p>
            <w:pPr>
              <w:spacing w:line="360" w:lineRule="auto"/>
              <w:jc w:val="left"/>
              <w:rPr>
                <w:rFonts w:ascii="宋体" w:hAnsi="宋体" w:cs="宋体"/>
                <w:color w:val="auto"/>
                <w:szCs w:val="21"/>
              </w:rPr>
            </w:pPr>
          </w:p>
        </w:tc>
        <w:tc>
          <w:tcPr>
            <w:tcW w:w="2109" w:type="dxa"/>
            <w:vAlign w:val="center"/>
          </w:tcPr>
          <w:p>
            <w:pPr>
              <w:spacing w:line="360" w:lineRule="auto"/>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rPr>
            </w:pPr>
            <w:r>
              <w:rPr>
                <w:rFonts w:hint="eastAsia" w:ascii="宋体" w:hAnsi="宋体" w:cs="宋体"/>
                <w:bCs/>
                <w:color w:val="auto"/>
                <w:sz w:val="24"/>
              </w:rPr>
              <w:t>合计（满分X分）</w:t>
            </w:r>
          </w:p>
        </w:tc>
        <w:tc>
          <w:tcPr>
            <w:tcW w:w="4254" w:type="dxa"/>
            <w:gridSpan w:val="2"/>
            <w:vAlign w:val="center"/>
          </w:tcPr>
          <w:p>
            <w:pPr>
              <w:spacing w:line="360" w:lineRule="auto"/>
              <w:jc w:val="center"/>
              <w:rPr>
                <w:rFonts w:ascii="宋体" w:hAnsi="宋体" w:cs="宋体"/>
                <w:b/>
                <w:bCs/>
                <w:color w:val="auto"/>
                <w:sz w:val="24"/>
              </w:rPr>
            </w:pPr>
          </w:p>
        </w:tc>
      </w:tr>
    </w:tbl>
    <w:p>
      <w:pPr>
        <w:pStyle w:val="33"/>
        <w:snapToGrid w:val="0"/>
        <w:spacing w:beforeLines="10" w:afterLines="10"/>
        <w:rPr>
          <w:rFonts w:hAnsi="宋体" w:cs="宋体"/>
          <w:color w:val="auto"/>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p>
    <w:p>
      <w:pPr>
        <w:pStyle w:val="962"/>
        <w:spacing w:line="360" w:lineRule="auto"/>
        <w:jc w:val="center"/>
        <w:rPr>
          <w:rFonts w:hAnsi="宋体" w:eastAsia="宋体" w:cs="宋体"/>
          <w:b/>
          <w:color w:val="auto"/>
          <w:sz w:val="24"/>
          <w:szCs w:val="24"/>
        </w:rPr>
      </w:pPr>
      <w:r>
        <w:rPr>
          <w:rFonts w:hint="eastAsia" w:hAnsi="宋体" w:eastAsia="宋体" w:cs="宋体"/>
          <w:b/>
          <w:color w:val="auto"/>
          <w:sz w:val="24"/>
          <w:szCs w:val="24"/>
        </w:rPr>
        <w:t>同类业绩一览表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30"/>
        <w:gridCol w:w="1511"/>
        <w:gridCol w:w="1259"/>
        <w:gridCol w:w="943"/>
        <w:gridCol w:w="818"/>
        <w:gridCol w:w="133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330" w:type="dxa"/>
            <w:vAlign w:val="center"/>
          </w:tcPr>
          <w:p>
            <w:pPr>
              <w:jc w:val="center"/>
              <w:rPr>
                <w:rFonts w:ascii="宋体" w:hAnsi="宋体" w:cs="宋体"/>
                <w:b/>
                <w:color w:val="auto"/>
                <w:szCs w:val="21"/>
              </w:rPr>
            </w:pPr>
            <w:r>
              <w:rPr>
                <w:rFonts w:hint="eastAsia" w:ascii="宋体" w:hAnsi="宋体" w:cs="宋体"/>
                <w:b/>
                <w:color w:val="auto"/>
                <w:szCs w:val="21"/>
              </w:rPr>
              <w:t>采购人</w:t>
            </w:r>
            <w:r>
              <w:rPr>
                <w:rFonts w:hint="eastAsia" w:ascii="宋体" w:hAnsi="宋体" w:cs="宋体"/>
                <w:b/>
                <w:color w:val="auto"/>
                <w:szCs w:val="21"/>
              </w:rPr>
              <w:br w:type="textWrapping"/>
            </w:r>
            <w:r>
              <w:rPr>
                <w:rFonts w:hint="eastAsia" w:ascii="宋体" w:hAnsi="宋体" w:cs="宋体"/>
                <w:b/>
                <w:color w:val="auto"/>
                <w:szCs w:val="21"/>
              </w:rPr>
              <w:t>名   称</w:t>
            </w:r>
          </w:p>
        </w:tc>
        <w:tc>
          <w:tcPr>
            <w:tcW w:w="1511" w:type="dxa"/>
            <w:vAlign w:val="center"/>
          </w:tcPr>
          <w:p>
            <w:pPr>
              <w:tabs>
                <w:tab w:val="left" w:pos="6252"/>
              </w:tabs>
              <w:spacing w:line="360" w:lineRule="auto"/>
              <w:jc w:val="center"/>
              <w:rPr>
                <w:rFonts w:ascii="宋体" w:hAnsi="宋体" w:cs="宋体"/>
                <w:b/>
                <w:color w:val="auto"/>
                <w:szCs w:val="21"/>
              </w:rPr>
            </w:pPr>
            <w:r>
              <w:rPr>
                <w:rFonts w:hint="eastAsia" w:ascii="宋体" w:hAnsi="宋体" w:cs="宋体"/>
                <w:b/>
                <w:color w:val="auto"/>
                <w:szCs w:val="21"/>
              </w:rPr>
              <w:t>项目起止时间</w:t>
            </w:r>
          </w:p>
        </w:tc>
        <w:tc>
          <w:tcPr>
            <w:tcW w:w="1259" w:type="dxa"/>
            <w:vAlign w:val="center"/>
          </w:tcPr>
          <w:p>
            <w:pPr>
              <w:tabs>
                <w:tab w:val="left" w:pos="6252"/>
              </w:tabs>
              <w:spacing w:line="360" w:lineRule="auto"/>
              <w:jc w:val="center"/>
              <w:rPr>
                <w:rFonts w:ascii="宋体" w:hAnsi="宋体" w:cs="宋体"/>
                <w:b/>
                <w:color w:val="auto"/>
                <w:szCs w:val="21"/>
              </w:rPr>
            </w:pPr>
            <w:r>
              <w:rPr>
                <w:rFonts w:hint="eastAsia" w:ascii="宋体" w:hAnsi="宋体" w:cs="宋体"/>
                <w:b/>
                <w:color w:val="auto"/>
                <w:szCs w:val="21"/>
              </w:rPr>
              <w:t>设备或项目名称</w:t>
            </w:r>
          </w:p>
        </w:tc>
        <w:tc>
          <w:tcPr>
            <w:tcW w:w="943" w:type="dxa"/>
            <w:vAlign w:val="center"/>
          </w:tcPr>
          <w:p>
            <w:pPr>
              <w:tabs>
                <w:tab w:val="left" w:pos="6252"/>
              </w:tabs>
              <w:spacing w:line="360" w:lineRule="auto"/>
              <w:jc w:val="center"/>
              <w:rPr>
                <w:rFonts w:ascii="宋体" w:hAnsi="宋体" w:cs="宋体"/>
                <w:b/>
                <w:color w:val="auto"/>
                <w:szCs w:val="21"/>
              </w:rPr>
            </w:pPr>
            <w:r>
              <w:rPr>
                <w:rFonts w:hint="eastAsia" w:ascii="宋体" w:hAnsi="宋体" w:cs="宋体"/>
                <w:b/>
                <w:color w:val="auto"/>
                <w:szCs w:val="21"/>
              </w:rPr>
              <w:t>采购</w:t>
            </w:r>
            <w:r>
              <w:rPr>
                <w:rFonts w:hint="eastAsia" w:ascii="宋体" w:hAnsi="宋体" w:cs="宋体"/>
                <w:b/>
                <w:color w:val="auto"/>
                <w:szCs w:val="21"/>
              </w:rPr>
              <w:br w:type="textWrapping"/>
            </w:r>
            <w:r>
              <w:rPr>
                <w:rFonts w:hint="eastAsia" w:ascii="宋体" w:hAnsi="宋体" w:cs="宋体"/>
                <w:b/>
                <w:color w:val="auto"/>
                <w:szCs w:val="21"/>
              </w:rPr>
              <w:t>数量</w:t>
            </w:r>
          </w:p>
        </w:tc>
        <w:tc>
          <w:tcPr>
            <w:tcW w:w="818" w:type="dxa"/>
            <w:vAlign w:val="center"/>
          </w:tcPr>
          <w:p>
            <w:pPr>
              <w:tabs>
                <w:tab w:val="left" w:pos="6252"/>
              </w:tabs>
              <w:spacing w:line="360" w:lineRule="auto"/>
              <w:jc w:val="center"/>
              <w:rPr>
                <w:rFonts w:ascii="宋体" w:hAnsi="宋体" w:cs="宋体"/>
                <w:b/>
                <w:color w:val="auto"/>
                <w:szCs w:val="21"/>
              </w:rPr>
            </w:pPr>
            <w:r>
              <w:rPr>
                <w:rFonts w:hint="eastAsia" w:ascii="宋体" w:hAnsi="宋体" w:cs="宋体"/>
                <w:b/>
                <w:color w:val="auto"/>
                <w:szCs w:val="21"/>
              </w:rPr>
              <w:t>单价</w:t>
            </w:r>
          </w:p>
        </w:tc>
        <w:tc>
          <w:tcPr>
            <w:tcW w:w="1331" w:type="dxa"/>
            <w:vAlign w:val="center"/>
          </w:tcPr>
          <w:p>
            <w:pPr>
              <w:tabs>
                <w:tab w:val="left" w:pos="6252"/>
              </w:tabs>
              <w:spacing w:line="360" w:lineRule="auto"/>
              <w:jc w:val="center"/>
              <w:rPr>
                <w:rFonts w:ascii="宋体" w:hAnsi="宋体" w:cs="宋体"/>
                <w:b/>
                <w:color w:val="auto"/>
                <w:szCs w:val="21"/>
              </w:rPr>
            </w:pPr>
            <w:r>
              <w:rPr>
                <w:rFonts w:hint="eastAsia" w:ascii="宋体" w:hAnsi="宋体" w:cs="宋体"/>
                <w:b/>
                <w:color w:val="auto"/>
                <w:szCs w:val="21"/>
              </w:rPr>
              <w:t>合同金额</w:t>
            </w:r>
          </w:p>
          <w:p>
            <w:pPr>
              <w:tabs>
                <w:tab w:val="left" w:pos="6252"/>
              </w:tabs>
              <w:spacing w:line="360" w:lineRule="auto"/>
              <w:jc w:val="center"/>
              <w:rPr>
                <w:rFonts w:ascii="宋体" w:hAnsi="宋体" w:cs="宋体"/>
                <w:b/>
                <w:color w:val="auto"/>
                <w:szCs w:val="21"/>
              </w:rPr>
            </w:pPr>
            <w:r>
              <w:rPr>
                <w:rFonts w:hint="eastAsia" w:ascii="宋体" w:hAnsi="宋体" w:cs="宋体"/>
                <w:b/>
                <w:color w:val="auto"/>
                <w:szCs w:val="21"/>
              </w:rPr>
              <w:t>（万元）</w:t>
            </w:r>
          </w:p>
        </w:tc>
        <w:tc>
          <w:tcPr>
            <w:tcW w:w="1378" w:type="dxa"/>
            <w:vAlign w:val="center"/>
          </w:tcPr>
          <w:p>
            <w:pPr>
              <w:tabs>
                <w:tab w:val="left" w:pos="6252"/>
              </w:tabs>
              <w:spacing w:line="360" w:lineRule="auto"/>
              <w:jc w:val="center"/>
              <w:rPr>
                <w:rFonts w:ascii="宋体" w:hAnsi="宋体" w:cs="宋体"/>
                <w:b/>
                <w:color w:val="auto"/>
                <w:szCs w:val="21"/>
              </w:rPr>
            </w:pPr>
            <w:r>
              <w:rPr>
                <w:rFonts w:hint="eastAsia" w:ascii="宋体" w:hAnsi="宋体" w:cs="宋体"/>
                <w:b/>
                <w:color w:val="auto"/>
                <w:szCs w:val="21"/>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75"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30" w:type="dxa"/>
            <w:vAlign w:val="center"/>
          </w:tcPr>
          <w:p>
            <w:pPr>
              <w:jc w:val="center"/>
              <w:rPr>
                <w:rFonts w:ascii="宋体" w:hAnsi="宋体" w:cs="宋体"/>
                <w:color w:val="auto"/>
                <w:szCs w:val="21"/>
              </w:rPr>
            </w:pPr>
          </w:p>
        </w:tc>
        <w:tc>
          <w:tcPr>
            <w:tcW w:w="1511" w:type="dxa"/>
          </w:tcPr>
          <w:p>
            <w:pPr>
              <w:jc w:val="center"/>
              <w:rPr>
                <w:rFonts w:ascii="宋体" w:hAnsi="宋体" w:cs="宋体"/>
                <w:color w:val="auto"/>
                <w:szCs w:val="21"/>
              </w:rPr>
            </w:pPr>
          </w:p>
        </w:tc>
        <w:tc>
          <w:tcPr>
            <w:tcW w:w="1259" w:type="dxa"/>
          </w:tcPr>
          <w:p>
            <w:pPr>
              <w:jc w:val="center"/>
              <w:rPr>
                <w:rFonts w:ascii="宋体" w:hAnsi="宋体" w:cs="宋体"/>
                <w:color w:val="auto"/>
                <w:szCs w:val="21"/>
              </w:rPr>
            </w:pPr>
          </w:p>
        </w:tc>
        <w:tc>
          <w:tcPr>
            <w:tcW w:w="943" w:type="dxa"/>
          </w:tcPr>
          <w:p>
            <w:pPr>
              <w:jc w:val="center"/>
              <w:rPr>
                <w:rFonts w:ascii="宋体" w:hAnsi="宋体" w:cs="宋体"/>
                <w:color w:val="auto"/>
                <w:szCs w:val="21"/>
              </w:rPr>
            </w:pPr>
          </w:p>
        </w:tc>
        <w:tc>
          <w:tcPr>
            <w:tcW w:w="818" w:type="dxa"/>
          </w:tcPr>
          <w:p>
            <w:pPr>
              <w:jc w:val="center"/>
              <w:rPr>
                <w:rFonts w:ascii="宋体" w:hAnsi="宋体" w:cs="宋体"/>
                <w:color w:val="auto"/>
                <w:szCs w:val="21"/>
              </w:rPr>
            </w:pPr>
          </w:p>
        </w:tc>
        <w:tc>
          <w:tcPr>
            <w:tcW w:w="1331" w:type="dxa"/>
            <w:vAlign w:val="center"/>
          </w:tcPr>
          <w:p>
            <w:pPr>
              <w:jc w:val="center"/>
              <w:rPr>
                <w:rFonts w:ascii="宋体" w:hAnsi="宋体" w:cs="宋体"/>
                <w:color w:val="auto"/>
                <w:szCs w:val="21"/>
              </w:rPr>
            </w:pPr>
          </w:p>
        </w:tc>
        <w:tc>
          <w:tcPr>
            <w:tcW w:w="137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5"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330" w:type="dxa"/>
            <w:vAlign w:val="center"/>
          </w:tcPr>
          <w:p>
            <w:pPr>
              <w:jc w:val="center"/>
              <w:rPr>
                <w:rFonts w:ascii="宋体" w:hAnsi="宋体" w:cs="宋体"/>
                <w:color w:val="auto"/>
                <w:szCs w:val="21"/>
              </w:rPr>
            </w:pPr>
          </w:p>
        </w:tc>
        <w:tc>
          <w:tcPr>
            <w:tcW w:w="1511" w:type="dxa"/>
          </w:tcPr>
          <w:p>
            <w:pPr>
              <w:jc w:val="center"/>
              <w:rPr>
                <w:rFonts w:ascii="宋体" w:hAnsi="宋体" w:cs="宋体"/>
                <w:color w:val="auto"/>
                <w:szCs w:val="21"/>
              </w:rPr>
            </w:pPr>
          </w:p>
        </w:tc>
        <w:tc>
          <w:tcPr>
            <w:tcW w:w="1259" w:type="dxa"/>
          </w:tcPr>
          <w:p>
            <w:pPr>
              <w:jc w:val="center"/>
              <w:rPr>
                <w:rFonts w:ascii="宋体" w:hAnsi="宋体" w:cs="宋体"/>
                <w:color w:val="auto"/>
                <w:szCs w:val="21"/>
              </w:rPr>
            </w:pPr>
          </w:p>
        </w:tc>
        <w:tc>
          <w:tcPr>
            <w:tcW w:w="943" w:type="dxa"/>
          </w:tcPr>
          <w:p>
            <w:pPr>
              <w:jc w:val="center"/>
              <w:rPr>
                <w:rFonts w:ascii="宋体" w:hAnsi="宋体" w:cs="宋体"/>
                <w:color w:val="auto"/>
                <w:szCs w:val="21"/>
              </w:rPr>
            </w:pPr>
          </w:p>
        </w:tc>
        <w:tc>
          <w:tcPr>
            <w:tcW w:w="818" w:type="dxa"/>
          </w:tcPr>
          <w:p>
            <w:pPr>
              <w:jc w:val="center"/>
              <w:rPr>
                <w:rFonts w:ascii="宋体" w:hAnsi="宋体" w:cs="宋体"/>
                <w:color w:val="auto"/>
                <w:szCs w:val="21"/>
              </w:rPr>
            </w:pPr>
          </w:p>
        </w:tc>
        <w:tc>
          <w:tcPr>
            <w:tcW w:w="1331" w:type="dxa"/>
            <w:vAlign w:val="center"/>
          </w:tcPr>
          <w:p>
            <w:pPr>
              <w:jc w:val="center"/>
              <w:rPr>
                <w:rFonts w:ascii="宋体" w:hAnsi="宋体" w:cs="宋体"/>
                <w:color w:val="auto"/>
                <w:szCs w:val="21"/>
              </w:rPr>
            </w:pPr>
          </w:p>
        </w:tc>
        <w:tc>
          <w:tcPr>
            <w:tcW w:w="137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330" w:type="dxa"/>
            <w:vAlign w:val="center"/>
          </w:tcPr>
          <w:p>
            <w:pPr>
              <w:jc w:val="center"/>
              <w:rPr>
                <w:rFonts w:ascii="宋体" w:hAnsi="宋体" w:cs="宋体"/>
                <w:color w:val="auto"/>
                <w:szCs w:val="21"/>
              </w:rPr>
            </w:pPr>
          </w:p>
        </w:tc>
        <w:tc>
          <w:tcPr>
            <w:tcW w:w="1511" w:type="dxa"/>
          </w:tcPr>
          <w:p>
            <w:pPr>
              <w:jc w:val="center"/>
              <w:rPr>
                <w:rFonts w:ascii="宋体" w:hAnsi="宋体" w:cs="宋体"/>
                <w:color w:val="auto"/>
                <w:szCs w:val="21"/>
              </w:rPr>
            </w:pPr>
          </w:p>
        </w:tc>
        <w:tc>
          <w:tcPr>
            <w:tcW w:w="1259" w:type="dxa"/>
          </w:tcPr>
          <w:p>
            <w:pPr>
              <w:jc w:val="center"/>
              <w:rPr>
                <w:rFonts w:ascii="宋体" w:hAnsi="宋体" w:cs="宋体"/>
                <w:color w:val="auto"/>
                <w:szCs w:val="21"/>
              </w:rPr>
            </w:pPr>
          </w:p>
        </w:tc>
        <w:tc>
          <w:tcPr>
            <w:tcW w:w="943" w:type="dxa"/>
          </w:tcPr>
          <w:p>
            <w:pPr>
              <w:jc w:val="center"/>
              <w:rPr>
                <w:rFonts w:ascii="宋体" w:hAnsi="宋体" w:cs="宋体"/>
                <w:color w:val="auto"/>
                <w:szCs w:val="21"/>
              </w:rPr>
            </w:pPr>
          </w:p>
        </w:tc>
        <w:tc>
          <w:tcPr>
            <w:tcW w:w="818" w:type="dxa"/>
          </w:tcPr>
          <w:p>
            <w:pPr>
              <w:jc w:val="center"/>
              <w:rPr>
                <w:rFonts w:ascii="宋体" w:hAnsi="宋体" w:cs="宋体"/>
                <w:color w:val="auto"/>
                <w:szCs w:val="21"/>
              </w:rPr>
            </w:pPr>
          </w:p>
        </w:tc>
        <w:tc>
          <w:tcPr>
            <w:tcW w:w="1331" w:type="dxa"/>
            <w:vAlign w:val="center"/>
          </w:tcPr>
          <w:p>
            <w:pPr>
              <w:jc w:val="center"/>
              <w:rPr>
                <w:rFonts w:ascii="宋体" w:hAnsi="宋体" w:cs="宋体"/>
                <w:color w:val="auto"/>
                <w:szCs w:val="21"/>
              </w:rPr>
            </w:pPr>
          </w:p>
        </w:tc>
        <w:tc>
          <w:tcPr>
            <w:tcW w:w="137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75" w:type="dxa"/>
            <w:vAlign w:val="center"/>
          </w:tcPr>
          <w:p>
            <w:pPr>
              <w:jc w:val="center"/>
              <w:rPr>
                <w:rFonts w:ascii="宋体" w:hAnsi="宋体" w:cs="宋体"/>
                <w:color w:val="auto"/>
                <w:szCs w:val="21"/>
              </w:rPr>
            </w:pPr>
            <w:r>
              <w:rPr>
                <w:rFonts w:hint="eastAsia" w:ascii="宋体" w:hAnsi="宋体" w:cs="宋体"/>
                <w:color w:val="auto"/>
                <w:szCs w:val="21"/>
              </w:rPr>
              <w:t>…</w:t>
            </w:r>
          </w:p>
        </w:tc>
        <w:tc>
          <w:tcPr>
            <w:tcW w:w="1330" w:type="dxa"/>
            <w:vAlign w:val="center"/>
          </w:tcPr>
          <w:p>
            <w:pPr>
              <w:jc w:val="center"/>
              <w:rPr>
                <w:rFonts w:ascii="宋体" w:hAnsi="宋体" w:cs="宋体"/>
                <w:color w:val="auto"/>
                <w:szCs w:val="21"/>
              </w:rPr>
            </w:pPr>
          </w:p>
        </w:tc>
        <w:tc>
          <w:tcPr>
            <w:tcW w:w="1511" w:type="dxa"/>
          </w:tcPr>
          <w:p>
            <w:pPr>
              <w:jc w:val="center"/>
              <w:rPr>
                <w:rFonts w:ascii="宋体" w:hAnsi="宋体" w:cs="宋体"/>
                <w:color w:val="auto"/>
                <w:szCs w:val="21"/>
              </w:rPr>
            </w:pPr>
          </w:p>
        </w:tc>
        <w:tc>
          <w:tcPr>
            <w:tcW w:w="1259" w:type="dxa"/>
          </w:tcPr>
          <w:p>
            <w:pPr>
              <w:jc w:val="center"/>
              <w:rPr>
                <w:rFonts w:ascii="宋体" w:hAnsi="宋体" w:cs="宋体"/>
                <w:color w:val="auto"/>
                <w:szCs w:val="21"/>
              </w:rPr>
            </w:pPr>
          </w:p>
        </w:tc>
        <w:tc>
          <w:tcPr>
            <w:tcW w:w="943" w:type="dxa"/>
          </w:tcPr>
          <w:p>
            <w:pPr>
              <w:jc w:val="center"/>
              <w:rPr>
                <w:rFonts w:ascii="宋体" w:hAnsi="宋体" w:cs="宋体"/>
                <w:color w:val="auto"/>
                <w:szCs w:val="21"/>
              </w:rPr>
            </w:pPr>
          </w:p>
        </w:tc>
        <w:tc>
          <w:tcPr>
            <w:tcW w:w="818" w:type="dxa"/>
          </w:tcPr>
          <w:p>
            <w:pPr>
              <w:jc w:val="center"/>
              <w:rPr>
                <w:rFonts w:ascii="宋体" w:hAnsi="宋体" w:cs="宋体"/>
                <w:color w:val="auto"/>
                <w:szCs w:val="21"/>
              </w:rPr>
            </w:pPr>
          </w:p>
        </w:tc>
        <w:tc>
          <w:tcPr>
            <w:tcW w:w="1331" w:type="dxa"/>
            <w:vAlign w:val="center"/>
          </w:tcPr>
          <w:p>
            <w:pPr>
              <w:jc w:val="center"/>
              <w:rPr>
                <w:rFonts w:ascii="宋体" w:hAnsi="宋体" w:cs="宋体"/>
                <w:color w:val="auto"/>
                <w:szCs w:val="21"/>
              </w:rPr>
            </w:pPr>
          </w:p>
        </w:tc>
        <w:tc>
          <w:tcPr>
            <w:tcW w:w="1378" w:type="dxa"/>
            <w:vAlign w:val="center"/>
          </w:tcPr>
          <w:p>
            <w:pPr>
              <w:jc w:val="center"/>
              <w:rPr>
                <w:rFonts w:ascii="宋体" w:hAnsi="宋体" w:cs="宋体"/>
                <w:color w:val="auto"/>
                <w:szCs w:val="21"/>
              </w:rPr>
            </w:pPr>
          </w:p>
        </w:tc>
      </w:tr>
    </w:tbl>
    <w:p>
      <w:pPr>
        <w:snapToGrid w:val="0"/>
        <w:spacing w:beforeLines="50" w:line="400" w:lineRule="exact"/>
        <w:ind w:firstLine="200"/>
        <w:rPr>
          <w:rFonts w:ascii="宋体" w:hAnsi="宋体" w:cs="宋体"/>
          <w:b/>
          <w:color w:val="auto"/>
          <w:szCs w:val="21"/>
        </w:rPr>
      </w:pPr>
      <w:r>
        <w:rPr>
          <w:rFonts w:hint="eastAsia" w:ascii="宋体" w:hAnsi="宋体" w:cs="宋体"/>
          <w:b/>
          <w:color w:val="auto"/>
          <w:szCs w:val="21"/>
        </w:rPr>
        <w:t>注：附合同、验收材料</w:t>
      </w:r>
    </w:p>
    <w:p>
      <w:pPr>
        <w:pStyle w:val="33"/>
        <w:snapToGrid w:val="0"/>
        <w:spacing w:beforeLines="10" w:afterLines="10"/>
        <w:ind w:right="960"/>
        <w:jc w:val="right"/>
        <w:rPr>
          <w:rFonts w:hAnsi="宋体" w:cs="宋体"/>
          <w:color w:val="auto"/>
        </w:rPr>
      </w:pPr>
      <w:r>
        <w:rPr>
          <w:rFonts w:hint="eastAsia" w:hAnsi="宋体" w:cs="宋体"/>
          <w:color w:val="auto"/>
        </w:rPr>
        <w:t>法定代表人或授权委托人（签名）：            投标人（加盖公章）：                                          年    月    日</w:t>
      </w:r>
    </w:p>
    <w:p>
      <w:pPr>
        <w:spacing w:line="360" w:lineRule="auto"/>
        <w:rPr>
          <w:rFonts w:ascii="宋体" w:hAnsi="宋体" w:cs="宋体"/>
          <w:color w:val="auto"/>
          <w:sz w:val="24"/>
        </w:rPr>
      </w:pPr>
    </w:p>
    <w:p>
      <w:pPr>
        <w:pStyle w:val="2"/>
        <w:rPr>
          <w:rFonts w:ascii="宋体" w:hAnsi="宋体" w:cs="宋体"/>
          <w:color w:val="auto"/>
          <w:sz w:val="24"/>
        </w:rPr>
      </w:pPr>
    </w:p>
    <w:p>
      <w:pPr>
        <w:pStyle w:val="79"/>
        <w:ind w:left="420" w:firstLine="480"/>
        <w:rPr>
          <w:color w:val="auto"/>
        </w:rPr>
      </w:pPr>
    </w:p>
    <w:p>
      <w:pPr>
        <w:pStyle w:val="962"/>
        <w:spacing w:line="360" w:lineRule="auto"/>
        <w:jc w:val="center"/>
        <w:rPr>
          <w:rFonts w:hAnsi="宋体" w:eastAsia="宋体"/>
          <w:b/>
          <w:color w:val="auto"/>
          <w:sz w:val="28"/>
          <w:szCs w:val="28"/>
        </w:rPr>
      </w:pPr>
      <w:r>
        <w:rPr>
          <w:rFonts w:hint="eastAsia" w:hAnsi="宋体" w:eastAsia="宋体"/>
          <w:b/>
          <w:color w:val="auto"/>
          <w:sz w:val="28"/>
          <w:szCs w:val="28"/>
        </w:rPr>
        <w:t>商务响应表</w:t>
      </w:r>
    </w:p>
    <w:p>
      <w:pPr>
        <w:ind w:firstLine="210" w:firstLineChars="100"/>
        <w:rPr>
          <w:rFonts w:ascii="宋体" w:hAnsi="宋体"/>
          <w:color w:val="auto"/>
          <w:szCs w:val="21"/>
        </w:rPr>
      </w:pPr>
      <w:r>
        <w:rPr>
          <w:rFonts w:hint="eastAsia" w:ascii="宋体" w:hAnsi="宋体"/>
          <w:color w:val="auto"/>
          <w:szCs w:val="21"/>
        </w:rPr>
        <w:t>单位名称（盖章）：</w:t>
      </w:r>
    </w:p>
    <w:tbl>
      <w:tblPr>
        <w:tblStyle w:val="62"/>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jc w:val="center"/>
              <w:rPr>
                <w:rFonts w:ascii="宋体" w:hAnsi="宋体"/>
                <w:color w:val="auto"/>
                <w:szCs w:val="21"/>
              </w:rPr>
            </w:pPr>
            <w:r>
              <w:rPr>
                <w:rFonts w:hint="eastAsia" w:ascii="宋体" w:hAnsi="宋体"/>
                <w:color w:val="auto"/>
                <w:szCs w:val="21"/>
              </w:rPr>
              <w:t>序号</w:t>
            </w:r>
          </w:p>
        </w:tc>
        <w:tc>
          <w:tcPr>
            <w:tcW w:w="3086" w:type="dxa"/>
          </w:tcPr>
          <w:p>
            <w:pPr>
              <w:spacing w:before="240" w:after="240"/>
              <w:jc w:val="center"/>
              <w:rPr>
                <w:rFonts w:ascii="宋体" w:hAnsi="宋体"/>
                <w:color w:val="auto"/>
                <w:szCs w:val="21"/>
              </w:rPr>
            </w:pPr>
            <w:r>
              <w:rPr>
                <w:rFonts w:hint="eastAsia" w:ascii="宋体" w:hAnsi="宋体"/>
                <w:color w:val="auto"/>
                <w:szCs w:val="21"/>
              </w:rPr>
              <w:t>招标文件的规定</w:t>
            </w:r>
          </w:p>
        </w:tc>
        <w:tc>
          <w:tcPr>
            <w:tcW w:w="3086" w:type="dxa"/>
          </w:tcPr>
          <w:p>
            <w:pPr>
              <w:spacing w:before="240" w:after="240"/>
              <w:jc w:val="center"/>
              <w:rPr>
                <w:rFonts w:ascii="宋体" w:hAnsi="宋体"/>
                <w:color w:val="auto"/>
                <w:szCs w:val="21"/>
              </w:rPr>
            </w:pPr>
            <w:r>
              <w:rPr>
                <w:rFonts w:hint="eastAsia" w:ascii="宋体" w:hAnsi="宋体"/>
                <w:color w:val="auto"/>
                <w:szCs w:val="21"/>
              </w:rPr>
              <w:t>投标文件的相应</w:t>
            </w:r>
          </w:p>
        </w:tc>
        <w:tc>
          <w:tcPr>
            <w:tcW w:w="1411" w:type="dxa"/>
          </w:tcPr>
          <w:p>
            <w:pPr>
              <w:spacing w:before="240" w:after="240"/>
              <w:jc w:val="center"/>
              <w:rPr>
                <w:rFonts w:ascii="宋体" w:hAnsi="宋体"/>
                <w:color w:val="auto"/>
                <w:szCs w:val="21"/>
              </w:rPr>
            </w:pPr>
            <w:r>
              <w:rPr>
                <w:rFonts w:hint="eastAsia" w:ascii="宋体" w:hAnsi="宋体"/>
                <w:color w:val="auto"/>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rPr>
                <w:rFonts w:ascii="宋体" w:hAnsi="宋体"/>
                <w:color w:val="auto"/>
                <w:szCs w:val="21"/>
              </w:rPr>
            </w:pPr>
          </w:p>
        </w:tc>
        <w:tc>
          <w:tcPr>
            <w:tcW w:w="3086" w:type="dxa"/>
          </w:tcPr>
          <w:p>
            <w:pPr>
              <w:spacing w:before="240" w:after="240"/>
              <w:rPr>
                <w:rFonts w:ascii="宋体" w:hAnsi="宋体"/>
                <w:color w:val="auto"/>
                <w:szCs w:val="21"/>
              </w:rPr>
            </w:pPr>
          </w:p>
        </w:tc>
        <w:tc>
          <w:tcPr>
            <w:tcW w:w="3086" w:type="dxa"/>
          </w:tcPr>
          <w:p>
            <w:pPr>
              <w:spacing w:before="240" w:after="240"/>
              <w:rPr>
                <w:rFonts w:ascii="宋体" w:hAnsi="宋体"/>
                <w:color w:val="auto"/>
                <w:szCs w:val="21"/>
              </w:rPr>
            </w:pPr>
          </w:p>
        </w:tc>
        <w:tc>
          <w:tcPr>
            <w:tcW w:w="1411" w:type="dxa"/>
          </w:tcPr>
          <w:p>
            <w:pPr>
              <w:spacing w:before="240" w:after="24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rPr>
                <w:rFonts w:ascii="宋体" w:hAnsi="宋体"/>
                <w:color w:val="auto"/>
                <w:szCs w:val="21"/>
              </w:rPr>
            </w:pPr>
          </w:p>
        </w:tc>
        <w:tc>
          <w:tcPr>
            <w:tcW w:w="3086" w:type="dxa"/>
          </w:tcPr>
          <w:p>
            <w:pPr>
              <w:spacing w:before="240" w:after="240"/>
              <w:rPr>
                <w:rFonts w:ascii="宋体" w:hAnsi="宋体"/>
                <w:color w:val="auto"/>
                <w:szCs w:val="21"/>
              </w:rPr>
            </w:pPr>
          </w:p>
        </w:tc>
        <w:tc>
          <w:tcPr>
            <w:tcW w:w="3086" w:type="dxa"/>
          </w:tcPr>
          <w:p>
            <w:pPr>
              <w:spacing w:before="240" w:after="240"/>
              <w:rPr>
                <w:rFonts w:ascii="宋体" w:hAnsi="宋体"/>
                <w:color w:val="auto"/>
                <w:szCs w:val="21"/>
              </w:rPr>
            </w:pPr>
          </w:p>
        </w:tc>
        <w:tc>
          <w:tcPr>
            <w:tcW w:w="1411" w:type="dxa"/>
          </w:tcPr>
          <w:p>
            <w:pPr>
              <w:spacing w:before="240" w:after="24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rPr>
                <w:rFonts w:ascii="宋体" w:hAnsi="宋体"/>
                <w:color w:val="auto"/>
                <w:szCs w:val="21"/>
              </w:rPr>
            </w:pPr>
          </w:p>
        </w:tc>
        <w:tc>
          <w:tcPr>
            <w:tcW w:w="3086" w:type="dxa"/>
          </w:tcPr>
          <w:p>
            <w:pPr>
              <w:spacing w:before="240" w:after="240"/>
              <w:rPr>
                <w:rFonts w:ascii="宋体" w:hAnsi="宋体"/>
                <w:color w:val="auto"/>
                <w:szCs w:val="21"/>
              </w:rPr>
            </w:pPr>
          </w:p>
        </w:tc>
        <w:tc>
          <w:tcPr>
            <w:tcW w:w="3086" w:type="dxa"/>
          </w:tcPr>
          <w:p>
            <w:pPr>
              <w:spacing w:before="240" w:after="240"/>
              <w:rPr>
                <w:rFonts w:ascii="宋体" w:hAnsi="宋体"/>
                <w:color w:val="auto"/>
                <w:szCs w:val="21"/>
              </w:rPr>
            </w:pPr>
          </w:p>
        </w:tc>
        <w:tc>
          <w:tcPr>
            <w:tcW w:w="1411" w:type="dxa"/>
          </w:tcPr>
          <w:p>
            <w:pPr>
              <w:spacing w:before="240" w:after="240"/>
              <w:rPr>
                <w:rFonts w:ascii="宋体" w:hAnsi="宋体"/>
                <w:color w:val="auto"/>
                <w:szCs w:val="21"/>
              </w:rPr>
            </w:pPr>
          </w:p>
        </w:tc>
      </w:tr>
    </w:tbl>
    <w:p>
      <w:pPr>
        <w:spacing w:line="360" w:lineRule="auto"/>
        <w:rPr>
          <w:rFonts w:ascii="宋体" w:hAnsi="宋体"/>
          <w:b/>
          <w:color w:val="auto"/>
          <w:szCs w:val="21"/>
        </w:rPr>
      </w:pPr>
      <w:r>
        <w:rPr>
          <w:rFonts w:hint="eastAsia" w:ascii="宋体" w:hAnsi="宋体"/>
          <w:b/>
          <w:color w:val="auto"/>
          <w:szCs w:val="21"/>
        </w:rPr>
        <w:t>注：供应商的投标文件（除技术规格部分）与招标文件之规定存在偏离的，应在此表中如实说明。未在上表中说明的，将被认为完全响应招标文件的规定。</w:t>
      </w:r>
    </w:p>
    <w:p>
      <w:pPr>
        <w:snapToGrid w:val="0"/>
        <w:spacing w:beforeLines="50" w:line="400" w:lineRule="exact"/>
        <w:ind w:firstLine="200"/>
        <w:rPr>
          <w:rFonts w:ascii="宋体" w:hAnsi="宋体"/>
          <w:color w:val="auto"/>
          <w:sz w:val="24"/>
          <w:szCs w:val="20"/>
          <w:u w:val="single"/>
        </w:rPr>
      </w:pPr>
      <w:r>
        <w:rPr>
          <w:rFonts w:hint="eastAsia" w:ascii="宋体" w:hAnsi="宋体"/>
          <w:color w:val="auto"/>
          <w:sz w:val="24"/>
        </w:rPr>
        <w:t>被授权人签字（或盖章）：</w:t>
      </w:r>
      <w:r>
        <w:rPr>
          <w:rFonts w:ascii="宋体" w:hAnsi="宋体"/>
          <w:color w:val="auto"/>
          <w:sz w:val="24"/>
          <w:u w:val="single"/>
        </w:rPr>
        <w:t xml:space="preserve">             </w:t>
      </w:r>
    </w:p>
    <w:p>
      <w:pPr>
        <w:snapToGrid w:val="0"/>
        <w:spacing w:beforeLines="50" w:after="50" w:line="400" w:lineRule="exact"/>
        <w:ind w:firstLine="240" w:firstLineChars="100"/>
        <w:rPr>
          <w:rFonts w:hAnsi="宋体"/>
          <w:color w:val="auto"/>
          <w:sz w:val="24"/>
        </w:rPr>
      </w:pPr>
      <w:r>
        <w:rPr>
          <w:rFonts w:hint="eastAsia" w:ascii="宋体" w:hAnsi="宋体"/>
          <w:color w:val="auto"/>
          <w:sz w:val="24"/>
        </w:rPr>
        <w:t>供应商公章：</w:t>
      </w:r>
      <w:r>
        <w:rPr>
          <w:rFonts w:ascii="宋体" w:hAnsi="宋体"/>
          <w:color w:val="auto"/>
          <w:sz w:val="24"/>
        </w:rPr>
        <w:t xml:space="preserve">                   </w:t>
      </w:r>
      <w:r>
        <w:rPr>
          <w:rFonts w:hint="eastAsia" w:ascii="宋体"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pPr>
        <w:pStyle w:val="79"/>
        <w:ind w:left="420" w:firstLine="0" w:firstLineChars="0"/>
        <w:rPr>
          <w:rFonts w:ascii="宋体" w:hAnsi="宋体"/>
          <w:b/>
          <w:color w:val="auto"/>
          <w:sz w:val="28"/>
          <w:szCs w:val="28"/>
        </w:rPr>
      </w:pPr>
    </w:p>
    <w:p>
      <w:pPr>
        <w:pStyle w:val="79"/>
        <w:ind w:left="420" w:firstLine="0" w:firstLineChars="0"/>
        <w:rPr>
          <w:rFonts w:ascii="宋体" w:hAnsi="宋体"/>
          <w:b/>
          <w:color w:val="auto"/>
          <w:sz w:val="28"/>
          <w:szCs w:val="28"/>
        </w:rPr>
      </w:pPr>
    </w:p>
    <w:p>
      <w:pPr>
        <w:pStyle w:val="79"/>
        <w:ind w:left="420" w:firstLine="0" w:firstLineChars="0"/>
        <w:rPr>
          <w:rFonts w:ascii="宋体" w:hAnsi="宋体"/>
          <w:b/>
          <w:color w:val="auto"/>
          <w:sz w:val="28"/>
          <w:szCs w:val="28"/>
        </w:rPr>
      </w:pPr>
    </w:p>
    <w:p>
      <w:pPr>
        <w:pStyle w:val="79"/>
        <w:ind w:left="420" w:firstLine="0" w:firstLineChars="0"/>
        <w:rPr>
          <w:rFonts w:ascii="宋体" w:hAnsi="宋体"/>
          <w:b/>
          <w:color w:val="auto"/>
          <w:sz w:val="28"/>
          <w:szCs w:val="28"/>
        </w:rPr>
      </w:pPr>
    </w:p>
    <w:p>
      <w:pPr>
        <w:spacing w:line="360" w:lineRule="auto"/>
        <w:ind w:firstLine="3132" w:firstLineChars="1300"/>
        <w:jc w:val="left"/>
        <w:rPr>
          <w:rFonts w:ascii="宋体" w:hAnsi="宋体"/>
          <w:color w:val="auto"/>
          <w:sz w:val="24"/>
          <w:u w:val="single"/>
        </w:rPr>
      </w:pPr>
      <w:r>
        <w:rPr>
          <w:rFonts w:hint="eastAsia" w:ascii="宋体" w:hAnsi="宋体"/>
          <w:b/>
          <w:color w:val="auto"/>
          <w:sz w:val="24"/>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pPr>
              <w:pStyle w:val="33"/>
              <w:snapToGrid w:val="0"/>
              <w:jc w:val="center"/>
              <w:outlineLvl w:val="0"/>
              <w:rPr>
                <w:rFonts w:hAnsi="宋体"/>
                <w:color w:val="auto"/>
              </w:rPr>
            </w:pPr>
            <w:bookmarkStart w:id="36" w:name="_Toc465368115"/>
            <w:r>
              <w:rPr>
                <w:rFonts w:hint="eastAsia" w:hAnsi="宋体"/>
                <w:color w:val="auto"/>
              </w:rPr>
              <w:t>序号</w:t>
            </w:r>
            <w:bookmarkEnd w:id="36"/>
          </w:p>
        </w:tc>
        <w:tc>
          <w:tcPr>
            <w:tcW w:w="1056" w:type="dxa"/>
            <w:tcBorders>
              <w:top w:val="single" w:color="auto" w:sz="4" w:space="0"/>
              <w:left w:val="single" w:color="auto" w:sz="4" w:space="0"/>
              <w:bottom w:val="single" w:color="auto" w:sz="4" w:space="0"/>
              <w:right w:val="single" w:color="auto" w:sz="4" w:space="0"/>
            </w:tcBorders>
          </w:tcPr>
          <w:p>
            <w:pPr>
              <w:pStyle w:val="33"/>
              <w:snapToGrid w:val="0"/>
              <w:jc w:val="center"/>
              <w:outlineLvl w:val="0"/>
              <w:rPr>
                <w:rFonts w:hAnsi="宋体"/>
                <w:color w:val="auto"/>
              </w:rPr>
            </w:pPr>
            <w:bookmarkStart w:id="37" w:name="_Toc702241305"/>
            <w:r>
              <w:rPr>
                <w:rFonts w:hint="eastAsia" w:hAnsi="宋体"/>
                <w:color w:val="auto"/>
              </w:rPr>
              <w:t>设备名称</w:t>
            </w:r>
            <w:bookmarkEnd w:id="37"/>
          </w:p>
        </w:tc>
        <w:tc>
          <w:tcPr>
            <w:tcW w:w="1896" w:type="dxa"/>
            <w:tcBorders>
              <w:top w:val="single" w:color="auto" w:sz="4" w:space="0"/>
              <w:left w:val="single" w:color="auto" w:sz="4" w:space="0"/>
              <w:bottom w:val="single" w:color="auto" w:sz="4" w:space="0"/>
              <w:right w:val="single" w:color="auto" w:sz="4" w:space="0"/>
            </w:tcBorders>
          </w:tcPr>
          <w:p>
            <w:pPr>
              <w:pStyle w:val="33"/>
              <w:snapToGrid w:val="0"/>
              <w:jc w:val="center"/>
              <w:outlineLvl w:val="0"/>
              <w:rPr>
                <w:rFonts w:hAnsi="宋体"/>
                <w:color w:val="auto"/>
              </w:rPr>
            </w:pPr>
            <w:bookmarkStart w:id="38" w:name="_Toc401570314"/>
            <w:bookmarkStart w:id="39" w:name="_Toc401570290"/>
            <w:bookmarkStart w:id="40" w:name="_Toc385854110"/>
            <w:bookmarkStart w:id="41" w:name="_Toc381081903"/>
            <w:bookmarkStart w:id="42" w:name="_Toc402963128"/>
            <w:bookmarkStart w:id="43" w:name="_Toc406402957"/>
            <w:bookmarkStart w:id="44" w:name="_Toc377028119"/>
            <w:bookmarkStart w:id="45" w:name="_Toc377028057"/>
            <w:bookmarkStart w:id="46" w:name="_Toc402963095"/>
            <w:bookmarkStart w:id="47" w:name="_Toc382928236"/>
            <w:bookmarkStart w:id="48" w:name="_Toc406403001"/>
            <w:bookmarkStart w:id="49" w:name="_Toc377653976"/>
            <w:bookmarkStart w:id="50" w:name="_Toc382928118"/>
            <w:bookmarkStart w:id="51" w:name="_Toc385854156"/>
            <w:bookmarkStart w:id="52" w:name="_Toc382928240"/>
            <w:bookmarkStart w:id="53" w:name="_Toc406403005"/>
            <w:bookmarkStart w:id="54" w:name="_Toc401570318"/>
            <w:bookmarkStart w:id="55" w:name="_Toc734611807"/>
            <w:bookmarkStart w:id="56" w:name="_Toc381081907"/>
            <w:bookmarkStart w:id="57" w:name="_Toc385854114"/>
            <w:bookmarkStart w:id="58" w:name="_Toc402963132"/>
            <w:bookmarkStart w:id="59" w:name="_Toc385854160"/>
            <w:bookmarkStart w:id="60" w:name="_Toc382928122"/>
            <w:bookmarkStart w:id="61" w:name="_Toc402963099"/>
            <w:bookmarkStart w:id="62" w:name="_Toc406402961"/>
            <w:bookmarkStart w:id="63" w:name="_Toc377653980"/>
            <w:bookmarkStart w:id="64" w:name="_Toc377028061"/>
            <w:bookmarkStart w:id="65" w:name="_Toc377028123"/>
            <w:bookmarkStart w:id="66" w:name="_Toc401570294"/>
            <w:r>
              <w:rPr>
                <w:rFonts w:hint="eastAsia" w:hAnsi="宋体"/>
                <w:color w:val="auto"/>
              </w:rPr>
              <w:t>招标文件要求</w:t>
            </w:r>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hAnsi="宋体"/>
                <w:color w:val="auto"/>
              </w:rPr>
              <w:t>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c>
        <w:tc>
          <w:tcPr>
            <w:tcW w:w="1896" w:type="dxa"/>
            <w:tcBorders>
              <w:top w:val="single" w:color="auto" w:sz="4" w:space="0"/>
              <w:left w:val="single" w:color="auto" w:sz="4" w:space="0"/>
              <w:bottom w:val="single" w:color="auto" w:sz="4" w:space="0"/>
              <w:right w:val="single" w:color="auto" w:sz="4" w:space="0"/>
            </w:tcBorders>
          </w:tcPr>
          <w:p>
            <w:pPr>
              <w:pStyle w:val="33"/>
              <w:snapToGrid w:val="0"/>
              <w:jc w:val="center"/>
              <w:outlineLvl w:val="0"/>
              <w:rPr>
                <w:rFonts w:hAnsi="宋体"/>
                <w:color w:val="auto"/>
              </w:rPr>
            </w:pPr>
            <w:bookmarkStart w:id="67" w:name="_Toc406402958"/>
            <w:bookmarkStart w:id="68" w:name="_Toc402963129"/>
            <w:bookmarkStart w:id="69" w:name="_Toc406403002"/>
            <w:bookmarkStart w:id="70" w:name="_Toc402963096"/>
            <w:bookmarkStart w:id="71" w:name="_Toc382928237"/>
            <w:bookmarkStart w:id="72" w:name="_Toc401570315"/>
            <w:bookmarkStart w:id="73" w:name="_Toc377028120"/>
            <w:bookmarkStart w:id="74" w:name="_Toc382928119"/>
            <w:bookmarkStart w:id="75" w:name="_Toc377653977"/>
            <w:bookmarkStart w:id="76" w:name="_Toc385854111"/>
            <w:bookmarkStart w:id="77" w:name="_Toc401570291"/>
            <w:bookmarkStart w:id="78" w:name="_Toc385854157"/>
            <w:bookmarkStart w:id="79" w:name="_Toc377028058"/>
            <w:bookmarkStart w:id="80" w:name="_Toc381081904"/>
            <w:bookmarkStart w:id="81" w:name="_Toc929162729"/>
            <w:r>
              <w:rPr>
                <w:rFonts w:hint="eastAsia" w:hAnsi="宋体"/>
                <w:color w:val="auto"/>
              </w:rPr>
              <w:t>投标文件</w:t>
            </w:r>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hAnsi="宋体"/>
                <w:color w:val="auto"/>
              </w:rPr>
              <w:t>性能指标</w:t>
            </w:r>
            <w:bookmarkEnd w:id="81"/>
          </w:p>
        </w:tc>
        <w:tc>
          <w:tcPr>
            <w:tcW w:w="2106" w:type="dxa"/>
            <w:tcBorders>
              <w:top w:val="single" w:color="auto" w:sz="4" w:space="0"/>
              <w:left w:val="single" w:color="auto" w:sz="4" w:space="0"/>
              <w:bottom w:val="single" w:color="auto" w:sz="4" w:space="0"/>
              <w:right w:val="single" w:color="auto" w:sz="4" w:space="0"/>
            </w:tcBorders>
          </w:tcPr>
          <w:p>
            <w:pPr>
              <w:pStyle w:val="33"/>
              <w:snapToGrid w:val="0"/>
              <w:jc w:val="center"/>
              <w:outlineLvl w:val="0"/>
              <w:rPr>
                <w:rFonts w:hAnsi="宋体"/>
                <w:color w:val="auto"/>
              </w:rPr>
            </w:pPr>
            <w:bookmarkStart w:id="82" w:name="_Toc401570292"/>
            <w:bookmarkStart w:id="83" w:name="_Toc385854158"/>
            <w:bookmarkStart w:id="84" w:name="_Toc377028121"/>
            <w:bookmarkStart w:id="85" w:name="_Toc377653978"/>
            <w:bookmarkStart w:id="86" w:name="_Toc402963097"/>
            <w:bookmarkStart w:id="87" w:name="_Toc382928120"/>
            <w:bookmarkStart w:id="88" w:name="_Toc377028059"/>
            <w:bookmarkStart w:id="89" w:name="_Toc381081905"/>
            <w:bookmarkStart w:id="90" w:name="_Toc401570316"/>
            <w:bookmarkStart w:id="91" w:name="_Toc402963130"/>
            <w:bookmarkStart w:id="92" w:name="_Toc385854112"/>
            <w:bookmarkStart w:id="93" w:name="_Toc406402959"/>
            <w:bookmarkStart w:id="94" w:name="_Toc406403003"/>
            <w:bookmarkStart w:id="95" w:name="_Toc382928238"/>
            <w:bookmarkStart w:id="96" w:name="_Toc961276098"/>
            <w:r>
              <w:rPr>
                <w:rFonts w:hint="eastAsia" w:hAnsi="宋体"/>
                <w:color w:val="auto"/>
              </w:rPr>
              <w:t>偏离情况</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hAnsi="宋体"/>
                <w:color w:val="auto"/>
              </w:rPr>
              <w:t>及证明材料</w:t>
            </w:r>
            <w:bookmarkEnd w:id="96"/>
          </w:p>
        </w:tc>
        <w:tc>
          <w:tcPr>
            <w:tcW w:w="6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hAnsi="宋体"/>
                <w:color w:val="auto"/>
              </w:rPr>
            </w:pPr>
          </w:p>
        </w:tc>
        <w:tc>
          <w:tcPr>
            <w:tcW w:w="105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210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63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rPr>
            </w:pPr>
          </w:p>
        </w:tc>
        <w:tc>
          <w:tcPr>
            <w:tcW w:w="105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210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63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hAnsi="宋体"/>
                <w:color w:val="auto"/>
              </w:rPr>
            </w:pPr>
          </w:p>
        </w:tc>
        <w:tc>
          <w:tcPr>
            <w:tcW w:w="105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210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63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hAnsi="宋体"/>
                <w:color w:val="auto"/>
              </w:rPr>
            </w:pPr>
          </w:p>
        </w:tc>
        <w:tc>
          <w:tcPr>
            <w:tcW w:w="105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33"/>
              <w:snapToGrid w:val="0"/>
              <w:outlineLvl w:val="0"/>
              <w:rPr>
                <w:rFonts w:hAnsi="宋体"/>
                <w:color w:val="auto"/>
              </w:rPr>
            </w:pPr>
          </w:p>
        </w:tc>
        <w:tc>
          <w:tcPr>
            <w:tcW w:w="189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210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c>
          <w:tcPr>
            <w:tcW w:w="636" w:type="dxa"/>
            <w:tcBorders>
              <w:top w:val="single" w:color="auto" w:sz="4" w:space="0"/>
              <w:left w:val="single" w:color="auto" w:sz="4" w:space="0"/>
              <w:bottom w:val="single" w:color="auto" w:sz="4" w:space="0"/>
              <w:right w:val="single" w:color="auto" w:sz="4" w:space="0"/>
            </w:tcBorders>
          </w:tcPr>
          <w:p>
            <w:pPr>
              <w:pStyle w:val="33"/>
              <w:snapToGrid w:val="0"/>
              <w:outlineLvl w:val="0"/>
              <w:rPr>
                <w:rFonts w:hAnsi="宋体"/>
                <w:color w:val="auto"/>
              </w:rPr>
            </w:pPr>
          </w:p>
        </w:tc>
      </w:tr>
    </w:tbl>
    <w:p>
      <w:pPr>
        <w:pStyle w:val="21"/>
        <w:rPr>
          <w:rFonts w:ascii="宋体"/>
          <w:color w:val="auto"/>
          <w:szCs w:val="21"/>
        </w:rPr>
      </w:pPr>
      <w:r>
        <w:rPr>
          <w:rFonts w:ascii="宋体"/>
          <w:color w:val="auto"/>
          <w:szCs w:val="21"/>
        </w:rPr>
        <w:t>注：供应商应根据</w:t>
      </w:r>
      <w:r>
        <w:rPr>
          <w:rFonts w:hint="eastAsia" w:ascii="宋体"/>
          <w:color w:val="auto"/>
          <w:szCs w:val="21"/>
        </w:rPr>
        <w:t>投标产品</w:t>
      </w:r>
      <w:r>
        <w:rPr>
          <w:rFonts w:ascii="宋体"/>
          <w:color w:val="auto"/>
          <w:szCs w:val="21"/>
        </w:rPr>
        <w:t>的性能指标、对照招标文件要求注明“正偏离”、“负偏离”或“无偏离”。</w:t>
      </w:r>
    </w:p>
    <w:p>
      <w:pPr>
        <w:snapToGrid w:val="0"/>
        <w:spacing w:before="50" w:after="50" w:line="360" w:lineRule="auto"/>
        <w:rPr>
          <w:rFonts w:ascii="宋体" w:hAnsi="宋体"/>
          <w:color w:val="auto"/>
          <w:spacing w:val="20"/>
          <w:sz w:val="24"/>
        </w:rPr>
      </w:pPr>
      <w:r>
        <w:rPr>
          <w:rFonts w:hint="eastAsia" w:ascii="宋体" w:hAnsi="宋体"/>
          <w:color w:val="auto"/>
          <w:sz w:val="24"/>
        </w:rPr>
        <w:t>被授权人签字（或盖章）</w:t>
      </w:r>
      <w:r>
        <w:rPr>
          <w:rFonts w:hint="eastAsia" w:ascii="宋体" w:hAnsi="宋体"/>
          <w:color w:val="auto"/>
          <w:spacing w:val="20"/>
          <w:sz w:val="24"/>
        </w:rPr>
        <w:t>：</w:t>
      </w:r>
    </w:p>
    <w:p>
      <w:pPr>
        <w:snapToGrid w:val="0"/>
        <w:spacing w:before="50" w:after="50" w:line="360" w:lineRule="auto"/>
        <w:rPr>
          <w:rFonts w:ascii="宋体" w:hAnsi="宋体"/>
          <w:color w:val="auto"/>
          <w:spacing w:val="20"/>
          <w:sz w:val="24"/>
          <w:szCs w:val="20"/>
          <w:u w:val="single"/>
        </w:rPr>
      </w:pPr>
      <w:r>
        <w:rPr>
          <w:rFonts w:hint="eastAsia" w:hAnsi="宋体"/>
          <w:color w:val="auto"/>
          <w:sz w:val="24"/>
        </w:rPr>
        <w:t>供应商公章：</w:t>
      </w:r>
      <w:r>
        <w:rPr>
          <w:rFonts w:hAnsi="宋体"/>
          <w:color w:val="auto"/>
          <w:sz w:val="24"/>
        </w:rPr>
        <w:t xml:space="preserve">   </w:t>
      </w:r>
      <w:r>
        <w:rPr>
          <w:rFonts w:ascii="宋体" w:hAnsi="宋体"/>
          <w:color w:val="auto"/>
          <w:spacing w:val="20"/>
          <w:sz w:val="24"/>
          <w:u w:val="single"/>
        </w:rPr>
        <w:t xml:space="preserve">      </w:t>
      </w:r>
    </w:p>
    <w:p>
      <w:pPr>
        <w:pStyle w:val="962"/>
        <w:spacing w:line="360" w:lineRule="auto"/>
        <w:ind w:right="480"/>
        <w:rPr>
          <w:rFonts w:hAnsi="宋体" w:eastAsia="宋体" w:cs="宋体"/>
          <w:color w:val="auto"/>
          <w:sz w:val="24"/>
          <w:szCs w:val="24"/>
        </w:rPr>
      </w:pPr>
      <w:r>
        <w:rPr>
          <w:rFonts w:hAnsi="宋体" w:eastAsia="宋体"/>
          <w:color w:val="auto"/>
          <w:sz w:val="24"/>
          <w:szCs w:val="24"/>
        </w:rPr>
        <w:t xml:space="preserve">                             </w:t>
      </w:r>
      <w:r>
        <w:rPr>
          <w:rFonts w:hint="eastAsia" w:hAnsi="宋体" w:eastAsia="宋体"/>
          <w:color w:val="auto"/>
          <w:sz w:val="24"/>
          <w:szCs w:val="24"/>
        </w:rPr>
        <w:t xml:space="preserve"> </w:t>
      </w:r>
      <w:r>
        <w:rPr>
          <w:rFonts w:hAnsi="宋体" w:eastAsia="宋体"/>
          <w:color w:val="auto"/>
          <w:sz w:val="24"/>
          <w:szCs w:val="24"/>
        </w:rPr>
        <w:t xml:space="preserve">  </w:t>
      </w:r>
      <w:r>
        <w:rPr>
          <w:rFonts w:hint="eastAsia" w:hAnsi="宋体" w:eastAsia="宋体"/>
          <w:color w:val="auto"/>
          <w:sz w:val="24"/>
          <w:szCs w:val="24"/>
        </w:rPr>
        <w:t xml:space="preserve"> 年</w:t>
      </w:r>
      <w:r>
        <w:rPr>
          <w:rFonts w:hAnsi="宋体" w:eastAsia="宋体"/>
          <w:color w:val="auto"/>
          <w:sz w:val="24"/>
          <w:szCs w:val="24"/>
        </w:rPr>
        <w:t xml:space="preserve">    </w:t>
      </w:r>
      <w:r>
        <w:rPr>
          <w:rFonts w:hint="eastAsia" w:hAnsi="宋体" w:eastAsia="宋体"/>
          <w:color w:val="auto"/>
          <w:sz w:val="24"/>
          <w:szCs w:val="24"/>
        </w:rPr>
        <w:t>月</w:t>
      </w:r>
      <w:r>
        <w:rPr>
          <w:rFonts w:hAnsi="宋体" w:eastAsia="宋体"/>
          <w:color w:val="auto"/>
          <w:sz w:val="24"/>
          <w:szCs w:val="24"/>
        </w:rPr>
        <w:t xml:space="preserve">    </w:t>
      </w:r>
      <w:r>
        <w:rPr>
          <w:rFonts w:hint="eastAsia" w:hAnsi="宋体" w:eastAsia="宋体"/>
          <w:color w:val="auto"/>
          <w:sz w:val="24"/>
          <w:szCs w:val="24"/>
        </w:rPr>
        <w:t>日</w:t>
      </w:r>
    </w:p>
    <w:p>
      <w:pPr>
        <w:pStyle w:val="962"/>
        <w:spacing w:line="360" w:lineRule="auto"/>
        <w:rPr>
          <w:rFonts w:hAnsi="宋体" w:eastAsia="宋体"/>
          <w:b/>
          <w:color w:val="auto"/>
          <w:sz w:val="24"/>
        </w:rPr>
      </w:pPr>
    </w:p>
    <w:p>
      <w:pPr>
        <w:pStyle w:val="962"/>
        <w:spacing w:line="360" w:lineRule="auto"/>
        <w:rPr>
          <w:rFonts w:hAnsi="宋体" w:eastAsia="宋体"/>
          <w:b/>
          <w:color w:val="auto"/>
          <w:sz w:val="24"/>
          <w:szCs w:val="24"/>
        </w:rPr>
      </w:pPr>
    </w:p>
    <w:p>
      <w:pPr>
        <w:pStyle w:val="5"/>
        <w:overflowPunct w:val="0"/>
        <w:ind w:firstLine="0"/>
        <w:jc w:val="center"/>
        <w:rPr>
          <w:rFonts w:hAnsi="宋体"/>
          <w:b/>
          <w:color w:val="auto"/>
          <w:szCs w:val="28"/>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pStyle w:val="962"/>
        <w:spacing w:line="360" w:lineRule="auto"/>
        <w:ind w:right="480" w:firstLine="6000" w:firstLineChars="2500"/>
        <w:rPr>
          <w:rFonts w:hAnsi="宋体" w:eastAsia="宋体" w:cs="宋体"/>
          <w:color w:val="auto"/>
          <w:sz w:val="24"/>
          <w:szCs w:val="24"/>
        </w:rPr>
      </w:pPr>
    </w:p>
    <w:p>
      <w:pPr>
        <w:snapToGrid w:val="0"/>
        <w:spacing w:beforeLines="50" w:after="50"/>
        <w:jc w:val="center"/>
        <w:rPr>
          <w:rFonts w:ascii="宋体" w:hAnsi="宋体" w:cs="宋体"/>
          <w:b/>
          <w:color w:val="auto"/>
          <w:sz w:val="32"/>
          <w:szCs w:val="32"/>
        </w:rPr>
      </w:pPr>
      <w:r>
        <w:rPr>
          <w:rFonts w:hint="eastAsia" w:ascii="宋体" w:hAnsi="宋体" w:cs="宋体"/>
          <w:b/>
          <w:color w:val="auto"/>
          <w:sz w:val="32"/>
          <w:szCs w:val="32"/>
        </w:rPr>
        <w:t>投 标 函</w:t>
      </w:r>
    </w:p>
    <w:p>
      <w:pPr>
        <w:snapToGrid w:val="0"/>
        <w:spacing w:line="360" w:lineRule="auto"/>
        <w:rPr>
          <w:rFonts w:ascii="宋体" w:hAnsi="宋体" w:cs="宋体"/>
          <w:color w:val="auto"/>
          <w:sz w:val="24"/>
          <w:szCs w:val="20"/>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 xml:space="preserve">（采购人）：  </w:t>
      </w:r>
    </w:p>
    <w:p>
      <w:pPr>
        <w:snapToGrid w:val="0"/>
        <w:spacing w:beforeLines="50" w:after="50" w:line="360" w:lineRule="auto"/>
        <w:ind w:firstLine="480" w:firstLineChars="200"/>
        <w:rPr>
          <w:rFonts w:ascii="宋体" w:hAnsi="宋体" w:cs="宋体"/>
          <w:bCs/>
          <w:color w:val="auto"/>
          <w:sz w:val="24"/>
          <w:szCs w:val="20"/>
        </w:rPr>
      </w:pPr>
      <w:r>
        <w:rPr>
          <w:rFonts w:hint="eastAsia" w:ascii="宋体" w:hAnsi="宋体" w:cs="宋体"/>
          <w:color w:val="auto"/>
          <w:sz w:val="24"/>
        </w:rPr>
        <w:t>根据贵方为</w:t>
      </w:r>
      <w:r>
        <w:rPr>
          <w:rFonts w:hint="eastAsia" w:ascii="宋体" w:hAnsi="宋体" w:cs="宋体"/>
          <w:bCs/>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的招标公告（项目编号：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（全名）经正式授权并代表投标人_</w:t>
      </w:r>
      <w:r>
        <w:rPr>
          <w:rFonts w:hint="eastAsia" w:ascii="宋体" w:hAnsi="宋体" w:cs="宋体"/>
          <w:color w:val="auto"/>
          <w:sz w:val="24"/>
          <w:u w:val="single"/>
        </w:rPr>
        <w:t xml:space="preserve">                      </w:t>
      </w:r>
      <w:r>
        <w:rPr>
          <w:rFonts w:hint="eastAsia" w:ascii="宋体" w:hAnsi="宋体" w:cs="宋体"/>
          <w:color w:val="auto"/>
          <w:sz w:val="24"/>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据此函，签字代表宣布同意如下：</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3.本投标有效期自开标日起 ______个日。</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rPr>
        <w:t>6.与本投标有关的一切正式往来信函请寄：</w:t>
      </w:r>
    </w:p>
    <w:p>
      <w:pPr>
        <w:snapToGrid w:val="0"/>
        <w:spacing w:line="360" w:lineRule="auto"/>
        <w:rPr>
          <w:rFonts w:ascii="宋体" w:hAnsi="宋体" w:cs="宋体"/>
          <w:color w:val="auto"/>
          <w:sz w:val="24"/>
          <w:szCs w:val="20"/>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邮编：__________  电话：_____________</w:t>
      </w:r>
    </w:p>
    <w:p>
      <w:pPr>
        <w:snapToGrid w:val="0"/>
        <w:spacing w:line="360" w:lineRule="auto"/>
        <w:rPr>
          <w:rFonts w:ascii="宋体" w:hAnsi="宋体" w:cs="宋体"/>
          <w:color w:val="auto"/>
          <w:sz w:val="24"/>
          <w:u w:val="single"/>
        </w:rPr>
      </w:pPr>
      <w:r>
        <w:rPr>
          <w:rFonts w:hint="eastAsia" w:ascii="宋体" w:hAnsi="宋体" w:cs="宋体"/>
          <w:color w:val="auto"/>
          <w:sz w:val="24"/>
        </w:rPr>
        <w:t>传真：______________投标人代表姓名：__________  职务：</w:t>
      </w:r>
      <w:r>
        <w:rPr>
          <w:rFonts w:hint="eastAsia" w:ascii="宋体" w:hAnsi="宋体" w:cs="宋体"/>
          <w:color w:val="auto"/>
          <w:sz w:val="24"/>
          <w:u w:val="single"/>
        </w:rPr>
        <w:t xml:space="preserve">               </w:t>
      </w:r>
    </w:p>
    <w:p>
      <w:pPr>
        <w:snapToGrid w:val="0"/>
        <w:spacing w:line="360" w:lineRule="auto"/>
        <w:rPr>
          <w:rFonts w:ascii="宋体" w:hAnsi="宋体" w:cs="宋体"/>
          <w:color w:val="auto"/>
          <w:sz w:val="24"/>
          <w:szCs w:val="20"/>
        </w:rPr>
      </w:pPr>
      <w:r>
        <w:rPr>
          <w:rFonts w:hint="eastAsia" w:ascii="宋体" w:hAnsi="宋体" w:cs="宋体"/>
          <w:color w:val="auto"/>
          <w:sz w:val="24"/>
        </w:rPr>
        <w:t>投标人名称(公章):___________________</w:t>
      </w:r>
    </w:p>
    <w:p>
      <w:pPr>
        <w:snapToGrid w:val="0"/>
        <w:spacing w:line="360" w:lineRule="auto"/>
        <w:rPr>
          <w:rFonts w:ascii="宋体" w:hAnsi="宋体" w:cs="宋体"/>
          <w:color w:val="auto"/>
          <w:sz w:val="24"/>
          <w:szCs w:val="20"/>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银行帐号：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法定代表人或授权委托人（签名）：            投标人（加盖公章）：          </w:t>
      </w:r>
    </w:p>
    <w:p>
      <w:pPr>
        <w:snapToGrid w:val="0"/>
        <w:spacing w:line="360" w:lineRule="auto"/>
        <w:ind w:firstLine="5040" w:firstLineChars="2100"/>
        <w:rPr>
          <w:rFonts w:ascii="宋体" w:hAnsi="宋体" w:cs="宋体"/>
          <w:color w:val="auto"/>
          <w:sz w:val="24"/>
        </w:rPr>
      </w:pPr>
    </w:p>
    <w:p>
      <w:pPr>
        <w:snapToGrid w:val="0"/>
        <w:spacing w:line="360" w:lineRule="auto"/>
        <w:ind w:firstLine="5040" w:firstLineChars="2100"/>
        <w:rPr>
          <w:rFonts w:ascii="宋体" w:hAnsi="宋体" w:cs="宋体"/>
          <w:color w:val="auto"/>
          <w:sz w:val="24"/>
        </w:rPr>
      </w:pPr>
      <w:r>
        <w:rPr>
          <w:rFonts w:hint="eastAsia" w:ascii="宋体" w:hAnsi="宋体" w:cs="宋体"/>
          <w:color w:val="auto"/>
          <w:sz w:val="24"/>
        </w:rPr>
        <w:t>日期:_____年___月___日</w:t>
      </w:r>
    </w:p>
    <w:p>
      <w:pPr>
        <w:snapToGrid w:val="0"/>
        <w:spacing w:before="50" w:after="50"/>
        <w:rPr>
          <w:rFonts w:ascii="宋体" w:hAnsi="宋体" w:cs="宋体"/>
          <w:color w:val="auto"/>
        </w:rPr>
      </w:pPr>
    </w:p>
    <w:p>
      <w:pPr>
        <w:snapToGrid w:val="0"/>
        <w:spacing w:before="50" w:after="50"/>
        <w:rPr>
          <w:rFonts w:ascii="宋体" w:hAnsi="宋体" w:cs="宋体"/>
          <w:color w:val="auto"/>
        </w:rPr>
      </w:pPr>
    </w:p>
    <w:p>
      <w:pPr>
        <w:snapToGrid w:val="0"/>
        <w:spacing w:before="50" w:after="50"/>
        <w:rPr>
          <w:rFonts w:ascii="宋体" w:hAnsi="宋体" w:cs="宋体"/>
          <w:color w:val="auto"/>
        </w:rPr>
      </w:pPr>
    </w:p>
    <w:p>
      <w:pPr>
        <w:snapToGrid w:val="0"/>
        <w:spacing w:before="50" w:after="50"/>
        <w:rPr>
          <w:rFonts w:ascii="宋体" w:hAnsi="宋体" w:cs="宋体"/>
          <w:color w:val="auto"/>
        </w:rPr>
      </w:pPr>
    </w:p>
    <w:p>
      <w:pPr>
        <w:snapToGrid w:val="0"/>
        <w:spacing w:before="50" w:after="50"/>
        <w:rPr>
          <w:rFonts w:ascii="宋体" w:hAnsi="宋体" w:cs="宋体"/>
          <w:color w:val="auto"/>
        </w:rPr>
      </w:pPr>
    </w:p>
    <w:p>
      <w:pPr>
        <w:pStyle w:val="23"/>
        <w:rPr>
          <w:rFonts w:ascii="宋体" w:hAnsi="宋体" w:cs="宋体"/>
          <w:color w:val="auto"/>
        </w:rPr>
      </w:pPr>
    </w:p>
    <w:p>
      <w:pPr>
        <w:pStyle w:val="24"/>
        <w:rPr>
          <w:color w:val="auto"/>
        </w:rPr>
      </w:pPr>
    </w:p>
    <w:p>
      <w:pPr>
        <w:pStyle w:val="23"/>
        <w:rPr>
          <w:rFonts w:hAnsi="宋体" w:cs="宋体"/>
          <w:color w:val="auto"/>
        </w:rPr>
      </w:pPr>
    </w:p>
    <w:bookmarkEnd w:id="35"/>
    <w:p>
      <w:pPr>
        <w:snapToGrid w:val="0"/>
        <w:spacing w:before="50" w:after="50"/>
        <w:jc w:val="center"/>
        <w:rPr>
          <w:rFonts w:ascii="宋体" w:hAnsi="宋体" w:cs="宋体"/>
          <w:b/>
          <w:color w:val="auto"/>
          <w:sz w:val="24"/>
        </w:rPr>
      </w:pPr>
      <w:r>
        <w:rPr>
          <w:rFonts w:hint="eastAsia" w:ascii="宋体" w:hAnsi="宋体" w:cs="宋体"/>
          <w:b/>
          <w:color w:val="auto"/>
          <w:sz w:val="24"/>
        </w:rPr>
        <w:t>开标一览表</w:t>
      </w:r>
    </w:p>
    <w:p>
      <w:pPr>
        <w:snapToGrid w:val="0"/>
        <w:spacing w:before="50" w:after="50"/>
        <w:jc w:val="center"/>
        <w:rPr>
          <w:rFonts w:ascii="宋体" w:hAnsi="宋体" w:cs="宋体"/>
          <w:b/>
          <w:color w:val="auto"/>
          <w:sz w:val="24"/>
          <w:szCs w:val="20"/>
        </w:rPr>
      </w:pPr>
    </w:p>
    <w:p>
      <w:pPr>
        <w:snapToGrid w:val="0"/>
        <w:spacing w:before="50" w:after="50"/>
        <w:ind w:right="480"/>
        <w:rPr>
          <w:rFonts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单位：元</w:t>
      </w:r>
    </w:p>
    <w:p>
      <w:pPr>
        <w:snapToGrid w:val="0"/>
        <w:spacing w:before="50" w:after="50"/>
        <w:ind w:right="480"/>
        <w:jc w:val="right"/>
        <w:rPr>
          <w:rFonts w:ascii="宋体" w:hAnsi="宋体" w:cs="宋体"/>
          <w:color w:val="auto"/>
          <w:sz w:val="24"/>
        </w:rPr>
      </w:pPr>
      <w:r>
        <w:rPr>
          <w:rFonts w:hint="eastAsia" w:ascii="宋体" w:hAnsi="宋体" w:cs="宋体"/>
          <w:color w:val="auto"/>
          <w:sz w:val="24"/>
        </w:rPr>
        <w:t xml:space="preserve">            </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cs="宋体"/>
                <w:b/>
                <w:color w:val="auto"/>
                <w:szCs w:val="21"/>
              </w:rPr>
            </w:pPr>
            <w:r>
              <w:rPr>
                <w:rFonts w:hint="eastAsia" w:ascii="宋体" w:hAnsi="宋体" w:cs="宋体"/>
                <w:b/>
                <w:color w:val="auto"/>
                <w:szCs w:val="21"/>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ascii="宋体" w:hAnsi="宋体" w:cs="宋体"/>
                <w:b/>
                <w:color w:val="auto"/>
                <w:szCs w:val="21"/>
              </w:rPr>
            </w:pPr>
            <w:r>
              <w:rPr>
                <w:rFonts w:hint="eastAsia" w:ascii="宋体" w:hAnsi="宋体" w:cs="宋体"/>
                <w:b/>
                <w:color w:val="auto"/>
                <w:szCs w:val="21"/>
                <w:lang w:eastAsia="zh-CN"/>
              </w:rPr>
              <w:t>浙江师范大学附属嘉善实验学校亭桥小学图书采购</w:t>
            </w:r>
            <w:r>
              <w:rPr>
                <w:rFonts w:hint="eastAsia" w:ascii="宋体" w:hAnsi="宋体" w:cs="宋体"/>
                <w:b/>
                <w:color w:val="auto"/>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cs="宋体"/>
                <w:b/>
                <w:color w:val="auto"/>
                <w:szCs w:val="21"/>
              </w:rPr>
            </w:pPr>
            <w:r>
              <w:rPr>
                <w:rFonts w:hint="eastAsia" w:ascii="宋体" w:hAnsi="宋体" w:cs="宋体"/>
                <w:b/>
                <w:color w:val="auto"/>
                <w:szCs w:val="21"/>
              </w:rPr>
              <w:t xml:space="preserve">总报价（小写）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ascii="宋体" w:hAnsi="宋体" w:cs="宋体"/>
                <w:b/>
                <w:color w:val="auto"/>
                <w:szCs w:val="21"/>
              </w:rPr>
            </w:pPr>
            <w:r>
              <w:rPr>
                <w:rFonts w:hint="eastAsia" w:ascii="宋体" w:hAnsi="宋体" w:cs="宋体"/>
                <w:b/>
                <w:color w:val="auto"/>
                <w:szCs w:val="21"/>
              </w:rPr>
              <w:t>总报价（大写）</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ascii="宋体" w:hAnsi="宋体" w:cs="宋体"/>
                <w:color w:val="auto"/>
                <w:szCs w:val="21"/>
              </w:rPr>
            </w:pPr>
            <w:r>
              <w:rPr>
                <w:rFonts w:hint="eastAsia" w:ascii="宋体" w:hAnsi="宋体" w:cs="宋体"/>
                <w:color w:val="auto"/>
                <w:szCs w:val="21"/>
              </w:rPr>
              <w:t>人民币</w:t>
            </w:r>
          </w:p>
        </w:tc>
      </w:tr>
    </w:tbl>
    <w:p>
      <w:pPr>
        <w:snapToGrid w:val="0"/>
        <w:spacing w:line="480" w:lineRule="exact"/>
        <w:jc w:val="left"/>
        <w:rPr>
          <w:rFonts w:ascii="宋体" w:hAnsi="宋体" w:cs="宋体"/>
          <w:color w:val="auto"/>
          <w:szCs w:val="21"/>
        </w:rPr>
      </w:pPr>
      <w:r>
        <w:rPr>
          <w:rFonts w:hint="eastAsia" w:ascii="宋体" w:hAnsi="宋体" w:cs="宋体"/>
          <w:color w:val="auto"/>
          <w:szCs w:val="21"/>
        </w:rPr>
        <w:t>注: 1、报价一经涂改，应在涂改处加盖单位公章或者由法定代表人或被授权人签字或盖章，否则其投标作无效标处理。</w:t>
      </w:r>
    </w:p>
    <w:p>
      <w:pPr>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2、凡需用专用耗材的专用设备类采购项目，应按招标文件规定的耗材量或按耗材的常规试用量提供报价。</w:t>
      </w:r>
    </w:p>
    <w:p>
      <w:pPr>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3、以上报价应与“投标</w:t>
      </w:r>
      <w:r>
        <w:rPr>
          <w:rFonts w:hint="eastAsia" w:ascii="宋体" w:hAnsi="宋体" w:cs="宋体"/>
          <w:color w:val="auto"/>
        </w:rPr>
        <w:t>报价</w:t>
      </w:r>
      <w:r>
        <w:rPr>
          <w:rFonts w:hint="eastAsia" w:ascii="宋体" w:hAnsi="宋体" w:cs="宋体"/>
          <w:color w:val="auto"/>
          <w:szCs w:val="21"/>
        </w:rPr>
        <w:t>明细表”中的“投标总价”数相一致。</w:t>
      </w:r>
    </w:p>
    <w:p>
      <w:pPr>
        <w:snapToGrid w:val="0"/>
        <w:spacing w:line="480" w:lineRule="exact"/>
        <w:ind w:firstLine="420" w:firstLineChars="200"/>
        <w:jc w:val="left"/>
        <w:rPr>
          <w:rFonts w:ascii="宋体" w:hAnsi="宋体" w:cs="宋体"/>
          <w:color w:val="auto"/>
          <w:sz w:val="24"/>
          <w:szCs w:val="20"/>
        </w:rPr>
      </w:pPr>
      <w:r>
        <w:rPr>
          <w:rFonts w:hint="eastAsia" w:ascii="宋体" w:hAnsi="宋体" w:cs="宋体"/>
          <w:color w:val="auto"/>
          <w:szCs w:val="21"/>
        </w:rPr>
        <w:t>4、项目费用包括项目实施所需的人工费、服务费、运输费、安装调试费、领取及制作标书费、税费及其他一切费用。</w:t>
      </w:r>
    </w:p>
    <w:p>
      <w:pPr>
        <w:snapToGrid w:val="0"/>
        <w:spacing w:line="480" w:lineRule="exact"/>
        <w:ind w:left="-3" w:leftChars="-72" w:right="-817" w:rightChars="-389" w:hanging="148" w:hangingChars="62"/>
        <w:rPr>
          <w:rFonts w:ascii="宋体" w:hAnsi="宋体" w:cs="宋体"/>
          <w:color w:val="auto"/>
          <w:sz w:val="24"/>
        </w:rPr>
      </w:pPr>
    </w:p>
    <w:p>
      <w:pPr>
        <w:snapToGrid w:val="0"/>
        <w:spacing w:line="480" w:lineRule="exact"/>
        <w:ind w:left="-3" w:leftChars="-72" w:right="-817" w:rightChars="-389" w:hanging="148" w:hangingChars="62"/>
        <w:rPr>
          <w:rFonts w:ascii="宋体" w:hAnsi="宋体" w:cs="宋体"/>
          <w:color w:val="auto"/>
          <w:sz w:val="24"/>
        </w:rPr>
      </w:pPr>
      <w:r>
        <w:rPr>
          <w:rFonts w:hint="eastAsia" w:ascii="宋体" w:hAnsi="宋体" w:cs="宋体"/>
          <w:color w:val="auto"/>
          <w:sz w:val="24"/>
        </w:rPr>
        <w:t>法定代表人或授权委托人（签名）：            投标人（公章）：</w:t>
      </w:r>
    </w:p>
    <w:p>
      <w:pPr>
        <w:snapToGrid w:val="0"/>
        <w:spacing w:before="50" w:after="50"/>
        <w:ind w:left="-2" w:leftChars="-1" w:right="-817" w:rightChars="-389" w:firstLine="4800" w:firstLineChars="2000"/>
        <w:rPr>
          <w:rFonts w:ascii="宋体" w:hAnsi="宋体" w:cs="宋体"/>
          <w:color w:val="auto"/>
          <w:sz w:val="24"/>
        </w:rPr>
      </w:pPr>
    </w:p>
    <w:p>
      <w:pPr>
        <w:snapToGrid w:val="0"/>
        <w:spacing w:before="50" w:after="50"/>
        <w:ind w:left="-2" w:leftChars="-1" w:right="-817" w:rightChars="-389" w:firstLine="4800" w:firstLineChars="2000"/>
        <w:rPr>
          <w:rFonts w:hint="eastAsia" w:ascii="宋体" w:hAnsi="宋体" w:cs="宋体"/>
          <w:color w:val="auto"/>
          <w:sz w:val="24"/>
        </w:rPr>
      </w:pPr>
      <w:r>
        <w:rPr>
          <w:rFonts w:hint="eastAsia" w:ascii="宋体" w:hAnsi="宋体" w:cs="宋体"/>
          <w:color w:val="auto"/>
          <w:sz w:val="24"/>
        </w:rPr>
        <w:t>日期：    年   月   日</w:t>
      </w: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rPr>
      </w:pPr>
    </w:p>
    <w:p>
      <w:pPr>
        <w:rPr>
          <w:rFonts w:hint="eastAsia" w:ascii="宋体" w:hAnsi="宋体" w:cs="宋体"/>
          <w:color w:val="auto"/>
          <w:sz w:val="24"/>
        </w:rPr>
      </w:pPr>
    </w:p>
    <w:p>
      <w:pPr>
        <w:snapToGrid w:val="0"/>
        <w:jc w:val="center"/>
        <w:rPr>
          <w:rFonts w:ascii="宋体" w:hAnsi="宋体"/>
          <w:b/>
          <w:color w:val="auto"/>
          <w:sz w:val="24"/>
        </w:rPr>
      </w:pPr>
      <w:r>
        <w:rPr>
          <w:rFonts w:hint="eastAsia" w:ascii="宋体" w:hAnsi="宋体"/>
          <w:b/>
          <w:color w:val="auto"/>
          <w:sz w:val="24"/>
        </w:rPr>
        <w:t>中小企业声明函（货物）</w:t>
      </w:r>
    </w:p>
    <w:p>
      <w:pPr>
        <w:pStyle w:val="963"/>
        <w:snapToGrid w:val="0"/>
        <w:spacing w:line="480" w:lineRule="exact"/>
        <w:ind w:firstLine="494"/>
        <w:rPr>
          <w:rFonts w:ascii="宋体" w:eastAsia="宋体"/>
          <w:bCs/>
          <w:color w:val="auto"/>
          <w:sz w:val="24"/>
          <w:szCs w:val="24"/>
        </w:rPr>
      </w:pPr>
      <w:r>
        <w:rPr>
          <w:rFonts w:hint="eastAsia" w:ascii="宋体" w:eastAsia="宋体"/>
          <w:bCs/>
          <w:color w:val="auto"/>
          <w:sz w:val="24"/>
          <w:szCs w:val="24"/>
        </w:rPr>
        <w:t>本公司郑重声明，根据《政府采购促进中小企业发展管理办法》（财库﹝2020﹞46 号）的规定，本公司参加</w:t>
      </w:r>
      <w:r>
        <w:rPr>
          <w:rFonts w:hint="eastAsia" w:ascii="宋体" w:eastAsia="宋体"/>
          <w:bCs/>
          <w:color w:val="auto"/>
          <w:sz w:val="24"/>
          <w:szCs w:val="24"/>
          <w:u w:val="single"/>
        </w:rPr>
        <w:t xml:space="preserve">  （项目名称）    </w:t>
      </w:r>
      <w:r>
        <w:rPr>
          <w:rFonts w:hint="eastAsia" w:ascii="宋体" w:eastAsia="宋体"/>
          <w:bCs/>
          <w:color w:val="auto"/>
          <w:sz w:val="24"/>
          <w:szCs w:val="24"/>
        </w:rPr>
        <w:t>编号：</w:t>
      </w:r>
      <w:r>
        <w:rPr>
          <w:rFonts w:hint="eastAsia" w:ascii="宋体" w:eastAsia="宋体"/>
          <w:bCs/>
          <w:color w:val="auto"/>
          <w:sz w:val="24"/>
          <w:szCs w:val="24"/>
          <w:u w:val="single"/>
        </w:rPr>
        <w:t xml:space="preserve"> （项目编号） </w:t>
      </w:r>
      <w:r>
        <w:rPr>
          <w:rFonts w:hint="eastAsia" w:ascii="宋体" w:eastAsia="宋体"/>
          <w:bCs/>
          <w:color w:val="auto"/>
          <w:sz w:val="24"/>
          <w:szCs w:val="24"/>
        </w:rPr>
        <w:t>的采购活动，提供的以下货物由符合政策要求的中小企业制造。相关企业的具体情况如下：</w:t>
      </w:r>
    </w:p>
    <w:p>
      <w:pPr>
        <w:pStyle w:val="963"/>
        <w:snapToGrid w:val="0"/>
        <w:spacing w:line="480" w:lineRule="exact"/>
        <w:ind w:firstLine="494"/>
        <w:rPr>
          <w:rFonts w:ascii="宋体" w:eastAsia="宋体"/>
          <w:bCs/>
          <w:color w:val="auto"/>
          <w:sz w:val="24"/>
          <w:szCs w:val="24"/>
        </w:rPr>
      </w:pPr>
      <w:r>
        <w:rPr>
          <w:rFonts w:hint="eastAsia" w:ascii="宋体" w:eastAsia="宋体"/>
          <w:bCs/>
          <w:color w:val="auto"/>
          <w:sz w:val="24"/>
          <w:szCs w:val="24"/>
        </w:rPr>
        <w:t xml:space="preserve">1. </w:t>
      </w:r>
      <w:r>
        <w:rPr>
          <w:rFonts w:hint="eastAsia" w:ascii="宋体" w:eastAsia="宋体"/>
          <w:bCs/>
          <w:color w:val="auto"/>
          <w:sz w:val="24"/>
          <w:szCs w:val="24"/>
          <w:u w:val="single"/>
        </w:rPr>
        <w:t>（标的名称）</w:t>
      </w:r>
      <w:r>
        <w:rPr>
          <w:rFonts w:hint="eastAsia" w:ascii="宋体" w:eastAsia="宋体"/>
          <w:bCs/>
          <w:color w:val="auto"/>
          <w:sz w:val="24"/>
          <w:szCs w:val="24"/>
        </w:rPr>
        <w:t xml:space="preserve"> ，属于</w:t>
      </w:r>
      <w:r>
        <w:rPr>
          <w:rFonts w:hint="eastAsia" w:ascii="宋体" w:eastAsia="宋体"/>
          <w:bCs/>
          <w:color w:val="auto"/>
          <w:sz w:val="24"/>
          <w:szCs w:val="24"/>
          <w:u w:val="single"/>
        </w:rPr>
        <w:t xml:space="preserve"> （采购文件中明确的所属行业）</w:t>
      </w:r>
      <w:r>
        <w:rPr>
          <w:rFonts w:hint="eastAsia" w:ascii="宋体" w:eastAsia="宋体"/>
          <w:bCs/>
          <w:color w:val="auto"/>
          <w:sz w:val="24"/>
          <w:szCs w:val="24"/>
        </w:rPr>
        <w:t xml:space="preserve">行业 ；制造商为 </w:t>
      </w:r>
      <w:r>
        <w:rPr>
          <w:rFonts w:hint="eastAsia" w:ascii="宋体" w:eastAsia="宋体"/>
          <w:bCs/>
          <w:color w:val="auto"/>
          <w:sz w:val="24"/>
          <w:szCs w:val="24"/>
          <w:u w:val="single"/>
        </w:rPr>
        <w:t>（企业名称）</w:t>
      </w:r>
      <w:r>
        <w:rPr>
          <w:rFonts w:hint="eastAsia" w:ascii="宋体" w:eastAsia="宋体"/>
          <w:bCs/>
          <w:color w:val="auto"/>
          <w:sz w:val="24"/>
          <w:szCs w:val="24"/>
        </w:rPr>
        <w:t xml:space="preserve"> ，从业人员</w:t>
      </w:r>
      <w:r>
        <w:rPr>
          <w:rFonts w:hint="eastAsia" w:ascii="宋体" w:eastAsia="宋体"/>
          <w:bCs/>
          <w:color w:val="auto"/>
          <w:sz w:val="24"/>
          <w:szCs w:val="24"/>
          <w:u w:val="single"/>
        </w:rPr>
        <w:t xml:space="preserve">     </w:t>
      </w:r>
      <w:r>
        <w:rPr>
          <w:rFonts w:hint="eastAsia" w:ascii="宋体" w:eastAsia="宋体"/>
          <w:bCs/>
          <w:color w:val="auto"/>
          <w:sz w:val="24"/>
          <w:szCs w:val="24"/>
        </w:rPr>
        <w:t xml:space="preserve"> 人，营业收入为</w:t>
      </w:r>
      <w:r>
        <w:rPr>
          <w:rFonts w:hint="eastAsia" w:ascii="宋体" w:eastAsia="宋体"/>
          <w:bCs/>
          <w:color w:val="auto"/>
          <w:sz w:val="24"/>
          <w:szCs w:val="24"/>
          <w:u w:val="single"/>
        </w:rPr>
        <w:t xml:space="preserve">          </w:t>
      </w:r>
      <w:r>
        <w:rPr>
          <w:rFonts w:hint="eastAsia" w:ascii="宋体" w:eastAsia="宋体"/>
          <w:bCs/>
          <w:color w:val="auto"/>
          <w:sz w:val="24"/>
          <w:szCs w:val="24"/>
        </w:rPr>
        <w:t>万元，资产总额为</w:t>
      </w:r>
      <w:r>
        <w:rPr>
          <w:rFonts w:hint="eastAsia" w:ascii="宋体" w:eastAsia="宋体"/>
          <w:bCs/>
          <w:color w:val="auto"/>
          <w:sz w:val="24"/>
          <w:szCs w:val="24"/>
          <w:u w:val="single"/>
        </w:rPr>
        <w:t xml:space="preserve">          </w:t>
      </w:r>
      <w:r>
        <w:rPr>
          <w:rFonts w:hint="eastAsia" w:ascii="宋体" w:eastAsia="宋体"/>
          <w:bCs/>
          <w:color w:val="auto"/>
          <w:sz w:val="24"/>
          <w:szCs w:val="24"/>
        </w:rPr>
        <w:t xml:space="preserve">万元，属于 </w:t>
      </w:r>
      <w:r>
        <w:rPr>
          <w:rFonts w:hint="eastAsia" w:ascii="宋体" w:eastAsia="宋体"/>
          <w:bCs/>
          <w:color w:val="auto"/>
          <w:sz w:val="24"/>
          <w:szCs w:val="24"/>
          <w:u w:val="single"/>
        </w:rPr>
        <w:t>（中型企业、小型企业、微型企业）</w:t>
      </w:r>
      <w:r>
        <w:rPr>
          <w:rFonts w:hint="eastAsia" w:ascii="宋体" w:eastAsia="宋体"/>
          <w:bCs/>
          <w:color w:val="auto"/>
          <w:sz w:val="24"/>
          <w:szCs w:val="24"/>
        </w:rPr>
        <w:t xml:space="preserve"> ；</w:t>
      </w:r>
    </w:p>
    <w:p>
      <w:pPr>
        <w:pStyle w:val="963"/>
        <w:snapToGrid w:val="0"/>
        <w:spacing w:line="480" w:lineRule="exact"/>
        <w:ind w:firstLine="494"/>
        <w:rPr>
          <w:rFonts w:ascii="宋体" w:eastAsia="宋体"/>
          <w:bCs/>
          <w:color w:val="auto"/>
          <w:sz w:val="24"/>
          <w:szCs w:val="24"/>
          <w:u w:val="single"/>
        </w:rPr>
      </w:pPr>
      <w:r>
        <w:rPr>
          <w:rFonts w:hint="eastAsia" w:ascii="宋体" w:eastAsia="宋体"/>
          <w:bCs/>
          <w:color w:val="auto"/>
          <w:sz w:val="24"/>
          <w:szCs w:val="24"/>
        </w:rPr>
        <w:t xml:space="preserve">2. </w:t>
      </w:r>
      <w:r>
        <w:rPr>
          <w:rFonts w:hint="eastAsia" w:ascii="宋体" w:eastAsia="宋体"/>
          <w:bCs/>
          <w:color w:val="auto"/>
          <w:sz w:val="24"/>
          <w:szCs w:val="24"/>
          <w:u w:val="single"/>
        </w:rPr>
        <w:t>（标的名称）</w:t>
      </w:r>
      <w:r>
        <w:rPr>
          <w:rFonts w:hint="eastAsia" w:ascii="宋体" w:eastAsia="宋体"/>
          <w:bCs/>
          <w:color w:val="auto"/>
          <w:sz w:val="24"/>
          <w:szCs w:val="24"/>
        </w:rPr>
        <w:t xml:space="preserve"> ，属于</w:t>
      </w:r>
      <w:r>
        <w:rPr>
          <w:rFonts w:hint="eastAsia" w:ascii="宋体" w:eastAsia="宋体"/>
          <w:bCs/>
          <w:color w:val="auto"/>
          <w:sz w:val="24"/>
          <w:szCs w:val="24"/>
          <w:u w:val="single"/>
        </w:rPr>
        <w:t xml:space="preserve"> （采购文件中明确的所属行业）</w:t>
      </w:r>
      <w:r>
        <w:rPr>
          <w:rFonts w:hint="eastAsia" w:ascii="宋体" w:eastAsia="宋体"/>
          <w:bCs/>
          <w:color w:val="auto"/>
          <w:sz w:val="24"/>
          <w:szCs w:val="24"/>
        </w:rPr>
        <w:t xml:space="preserve">行业 ；制造商为 </w:t>
      </w:r>
      <w:r>
        <w:rPr>
          <w:rFonts w:hint="eastAsia" w:ascii="宋体" w:eastAsia="宋体"/>
          <w:bCs/>
          <w:color w:val="auto"/>
          <w:sz w:val="24"/>
          <w:szCs w:val="24"/>
          <w:u w:val="single"/>
        </w:rPr>
        <w:t>（企业名称）</w:t>
      </w:r>
      <w:r>
        <w:rPr>
          <w:rFonts w:hint="eastAsia" w:ascii="宋体" w:eastAsia="宋体"/>
          <w:bCs/>
          <w:color w:val="auto"/>
          <w:sz w:val="24"/>
          <w:szCs w:val="24"/>
        </w:rPr>
        <w:t xml:space="preserve"> ，从业人员</w:t>
      </w:r>
      <w:r>
        <w:rPr>
          <w:rFonts w:hint="eastAsia" w:ascii="宋体" w:eastAsia="宋体"/>
          <w:bCs/>
          <w:color w:val="auto"/>
          <w:sz w:val="24"/>
          <w:szCs w:val="24"/>
          <w:u w:val="single"/>
        </w:rPr>
        <w:t xml:space="preserve">     </w:t>
      </w:r>
      <w:r>
        <w:rPr>
          <w:rFonts w:hint="eastAsia" w:ascii="宋体" w:eastAsia="宋体"/>
          <w:bCs/>
          <w:color w:val="auto"/>
          <w:sz w:val="24"/>
          <w:szCs w:val="24"/>
        </w:rPr>
        <w:t xml:space="preserve"> 人，营业收入为</w:t>
      </w:r>
      <w:r>
        <w:rPr>
          <w:rFonts w:hint="eastAsia" w:ascii="宋体" w:eastAsia="宋体"/>
          <w:bCs/>
          <w:color w:val="auto"/>
          <w:sz w:val="24"/>
          <w:szCs w:val="24"/>
          <w:u w:val="single"/>
        </w:rPr>
        <w:t xml:space="preserve">          </w:t>
      </w:r>
      <w:r>
        <w:rPr>
          <w:rFonts w:hint="eastAsia" w:ascii="宋体" w:eastAsia="宋体"/>
          <w:bCs/>
          <w:color w:val="auto"/>
          <w:sz w:val="24"/>
          <w:szCs w:val="24"/>
        </w:rPr>
        <w:t>万元，资产总额为</w:t>
      </w:r>
      <w:r>
        <w:rPr>
          <w:rFonts w:hint="eastAsia" w:ascii="宋体" w:eastAsia="宋体"/>
          <w:bCs/>
          <w:color w:val="auto"/>
          <w:sz w:val="24"/>
          <w:szCs w:val="24"/>
          <w:u w:val="single"/>
        </w:rPr>
        <w:t xml:space="preserve">          </w:t>
      </w:r>
      <w:r>
        <w:rPr>
          <w:rFonts w:hint="eastAsia" w:ascii="宋体" w:eastAsia="宋体"/>
          <w:bCs/>
          <w:color w:val="auto"/>
          <w:sz w:val="24"/>
          <w:szCs w:val="24"/>
        </w:rPr>
        <w:t xml:space="preserve">万元，属于 </w:t>
      </w:r>
      <w:r>
        <w:rPr>
          <w:rFonts w:hint="eastAsia" w:ascii="宋体" w:eastAsia="宋体"/>
          <w:bCs/>
          <w:color w:val="auto"/>
          <w:sz w:val="24"/>
          <w:szCs w:val="24"/>
          <w:u w:val="single"/>
        </w:rPr>
        <w:t>（中型企业、小型企业、微型企业）</w:t>
      </w:r>
      <w:r>
        <w:rPr>
          <w:rFonts w:hint="eastAsia" w:ascii="宋体" w:eastAsia="宋体"/>
          <w:bCs/>
          <w:color w:val="auto"/>
          <w:sz w:val="24"/>
          <w:szCs w:val="24"/>
        </w:rPr>
        <w:t xml:space="preserve"> ；</w:t>
      </w:r>
    </w:p>
    <w:p>
      <w:pPr>
        <w:pStyle w:val="963"/>
        <w:snapToGrid w:val="0"/>
        <w:spacing w:line="480" w:lineRule="exact"/>
        <w:ind w:firstLine="494"/>
        <w:rPr>
          <w:rFonts w:ascii="宋体" w:eastAsia="宋体"/>
          <w:bCs/>
          <w:color w:val="auto"/>
          <w:sz w:val="24"/>
          <w:szCs w:val="24"/>
        </w:rPr>
      </w:pPr>
      <w:r>
        <w:rPr>
          <w:rFonts w:hint="eastAsia" w:ascii="宋体" w:eastAsia="宋体"/>
          <w:bCs/>
          <w:color w:val="auto"/>
          <w:sz w:val="24"/>
          <w:szCs w:val="24"/>
        </w:rPr>
        <w:t>……</w:t>
      </w:r>
    </w:p>
    <w:p>
      <w:pPr>
        <w:pStyle w:val="963"/>
        <w:snapToGrid w:val="0"/>
        <w:spacing w:line="480" w:lineRule="exact"/>
        <w:ind w:firstLine="494"/>
        <w:rPr>
          <w:rFonts w:ascii="宋体" w:eastAsia="宋体"/>
          <w:bCs/>
          <w:color w:val="auto"/>
          <w:sz w:val="24"/>
          <w:szCs w:val="24"/>
        </w:rPr>
      </w:pPr>
      <w:r>
        <w:rPr>
          <w:rFonts w:hint="eastAsia" w:ascii="宋体" w:eastAsia="宋体"/>
          <w:bCs/>
          <w:color w:val="auto"/>
          <w:sz w:val="24"/>
          <w:szCs w:val="24"/>
        </w:rPr>
        <w:t>以上企业，不属于大中企业的分支机构，不存在控股股东为大中企业的情形，也不存在与大中企业的负责人为同一人的情形。</w:t>
      </w:r>
    </w:p>
    <w:p>
      <w:pPr>
        <w:pStyle w:val="963"/>
        <w:snapToGrid w:val="0"/>
        <w:spacing w:line="480" w:lineRule="exact"/>
        <w:ind w:firstLine="494"/>
        <w:rPr>
          <w:rFonts w:ascii="宋体" w:eastAsia="宋体"/>
          <w:bCs/>
          <w:color w:val="auto"/>
          <w:sz w:val="24"/>
          <w:szCs w:val="24"/>
        </w:rPr>
      </w:pPr>
      <w:r>
        <w:rPr>
          <w:rFonts w:hint="eastAsia" w:ascii="宋体" w:eastAsia="宋体"/>
          <w:bCs/>
          <w:color w:val="auto"/>
          <w:sz w:val="24"/>
          <w:szCs w:val="24"/>
        </w:rPr>
        <w:t>本企业对上述声明内容的真实性负责。如有虚假，将依法承担相应责任。</w:t>
      </w:r>
    </w:p>
    <w:p>
      <w:pPr>
        <w:pStyle w:val="963"/>
        <w:snapToGrid w:val="0"/>
        <w:ind w:firstLine="494"/>
        <w:rPr>
          <w:rFonts w:ascii="宋体" w:eastAsia="宋体"/>
          <w:bCs/>
          <w:color w:val="auto"/>
          <w:sz w:val="24"/>
          <w:szCs w:val="24"/>
        </w:rPr>
      </w:pPr>
    </w:p>
    <w:p>
      <w:pPr>
        <w:pStyle w:val="963"/>
        <w:snapToGrid w:val="0"/>
        <w:ind w:firstLine="4809" w:firstLineChars="2004"/>
        <w:rPr>
          <w:rFonts w:ascii="宋体" w:eastAsia="宋体"/>
          <w:bCs/>
          <w:color w:val="auto"/>
          <w:sz w:val="24"/>
          <w:szCs w:val="24"/>
        </w:rPr>
      </w:pPr>
      <w:r>
        <w:rPr>
          <w:rFonts w:hint="eastAsia" w:ascii="宋体" w:eastAsia="宋体"/>
          <w:bCs/>
          <w:color w:val="auto"/>
          <w:sz w:val="24"/>
          <w:szCs w:val="24"/>
        </w:rPr>
        <w:t>投标人名称（盖章）：</w:t>
      </w:r>
    </w:p>
    <w:p>
      <w:pPr>
        <w:pStyle w:val="963"/>
        <w:snapToGrid w:val="0"/>
        <w:ind w:firstLine="4809" w:firstLineChars="2004"/>
        <w:rPr>
          <w:rFonts w:ascii="宋体" w:eastAsia="宋体"/>
          <w:bCs/>
          <w:color w:val="auto"/>
          <w:sz w:val="24"/>
          <w:szCs w:val="24"/>
        </w:rPr>
      </w:pPr>
      <w:r>
        <w:rPr>
          <w:rFonts w:hint="eastAsia" w:ascii="宋体" w:eastAsia="宋体"/>
          <w:bCs/>
          <w:color w:val="auto"/>
          <w:sz w:val="24"/>
          <w:szCs w:val="24"/>
        </w:rPr>
        <w:t>日 期：</w:t>
      </w:r>
      <w:r>
        <w:rPr>
          <w:rFonts w:hint="eastAsia" w:ascii="宋体" w:eastAsia="宋体"/>
          <w:color w:val="auto"/>
          <w:sz w:val="24"/>
          <w:szCs w:val="24"/>
          <w:u w:val="single"/>
        </w:rPr>
        <w:t xml:space="preserve">     </w:t>
      </w:r>
      <w:r>
        <w:rPr>
          <w:rFonts w:hint="eastAsia" w:ascii="宋体" w:eastAsia="宋体"/>
          <w:color w:val="auto"/>
          <w:sz w:val="24"/>
          <w:szCs w:val="24"/>
        </w:rPr>
        <w:t>年</w:t>
      </w:r>
      <w:r>
        <w:rPr>
          <w:rFonts w:hint="eastAsia" w:ascii="宋体" w:eastAsia="宋体"/>
          <w:color w:val="auto"/>
          <w:sz w:val="24"/>
          <w:szCs w:val="24"/>
          <w:u w:val="single"/>
        </w:rPr>
        <w:t xml:space="preserve">   </w:t>
      </w:r>
      <w:r>
        <w:rPr>
          <w:rFonts w:hint="eastAsia" w:ascii="宋体" w:eastAsia="宋体"/>
          <w:color w:val="auto"/>
          <w:sz w:val="24"/>
          <w:szCs w:val="24"/>
        </w:rPr>
        <w:t>月</w:t>
      </w:r>
      <w:r>
        <w:rPr>
          <w:rFonts w:hint="eastAsia" w:ascii="宋体" w:eastAsia="宋体"/>
          <w:color w:val="auto"/>
          <w:sz w:val="24"/>
          <w:szCs w:val="24"/>
          <w:u w:val="single"/>
        </w:rPr>
        <w:t xml:space="preserve">   </w:t>
      </w:r>
      <w:r>
        <w:rPr>
          <w:rFonts w:hint="eastAsia" w:ascii="宋体" w:eastAsia="宋体"/>
          <w:color w:val="auto"/>
          <w:sz w:val="24"/>
          <w:szCs w:val="24"/>
        </w:rPr>
        <w:t>日</w:t>
      </w:r>
    </w:p>
    <w:p>
      <w:pPr>
        <w:pStyle w:val="963"/>
        <w:snapToGrid w:val="0"/>
        <w:spacing w:line="240" w:lineRule="auto"/>
        <w:ind w:firstLine="0" w:firstLineChars="0"/>
        <w:rPr>
          <w:rFonts w:ascii="宋体" w:eastAsia="宋体"/>
          <w:bCs/>
          <w:color w:val="auto"/>
          <w:sz w:val="24"/>
          <w:szCs w:val="24"/>
        </w:rPr>
      </w:pPr>
    </w:p>
    <w:p>
      <w:pPr>
        <w:pStyle w:val="963"/>
        <w:snapToGrid w:val="0"/>
        <w:spacing w:line="240" w:lineRule="auto"/>
        <w:ind w:firstLine="0" w:firstLineChars="0"/>
        <w:rPr>
          <w:rFonts w:ascii="宋体" w:eastAsia="宋体"/>
          <w:bCs/>
          <w:color w:val="auto"/>
          <w:sz w:val="24"/>
          <w:szCs w:val="24"/>
        </w:rPr>
      </w:pPr>
      <w:r>
        <w:rPr>
          <w:rFonts w:hint="eastAsia" w:ascii="宋体" w:eastAsia="宋体"/>
          <w:bCs/>
          <w:color w:val="auto"/>
          <w:sz w:val="24"/>
          <w:szCs w:val="24"/>
        </w:rPr>
        <w:t>注：</w:t>
      </w:r>
    </w:p>
    <w:p>
      <w:pPr>
        <w:pStyle w:val="963"/>
        <w:snapToGrid w:val="0"/>
        <w:spacing w:line="240" w:lineRule="auto"/>
        <w:ind w:firstLine="0" w:firstLineChars="0"/>
        <w:rPr>
          <w:rFonts w:ascii="宋体" w:eastAsia="宋体"/>
          <w:bCs/>
          <w:color w:val="auto"/>
          <w:sz w:val="24"/>
          <w:szCs w:val="24"/>
        </w:rPr>
      </w:pPr>
      <w:r>
        <w:rPr>
          <w:rFonts w:hint="eastAsia" w:ascii="宋体" w:eastAsia="宋体"/>
          <w:bCs/>
          <w:color w:val="auto"/>
          <w:sz w:val="24"/>
          <w:szCs w:val="24"/>
        </w:rPr>
        <w:t>1.从业人员、营业收入、资产总额填报上一年度数据，无上一年度数据的新成立企业可不填报；</w:t>
      </w:r>
    </w:p>
    <w:p>
      <w:pPr>
        <w:pStyle w:val="963"/>
        <w:snapToGrid w:val="0"/>
        <w:spacing w:line="240" w:lineRule="auto"/>
        <w:ind w:firstLine="0" w:firstLineChars="0"/>
        <w:rPr>
          <w:rFonts w:ascii="宋体" w:eastAsia="宋体"/>
          <w:bCs/>
          <w:color w:val="auto"/>
          <w:sz w:val="24"/>
          <w:szCs w:val="24"/>
        </w:rPr>
      </w:pPr>
      <w:r>
        <w:rPr>
          <w:rFonts w:hint="eastAsia" w:ascii="宋体" w:eastAsia="宋体"/>
          <w:bCs/>
          <w:color w:val="auto"/>
          <w:sz w:val="24"/>
          <w:szCs w:val="24"/>
        </w:rPr>
        <w:t>2.本项目中小企业政策所属行业为</w:t>
      </w:r>
      <w:r>
        <w:rPr>
          <w:rFonts w:hint="eastAsia" w:ascii="宋体" w:eastAsia="宋体"/>
          <w:bCs/>
          <w:color w:val="auto"/>
          <w:sz w:val="24"/>
          <w:szCs w:val="24"/>
          <w:lang w:eastAsia="zh-CN"/>
        </w:rPr>
        <w:t>批发</w:t>
      </w:r>
      <w:r>
        <w:rPr>
          <w:rFonts w:hint="eastAsia" w:ascii="宋体" w:eastAsia="宋体"/>
          <w:bCs/>
          <w:color w:val="auto"/>
          <w:sz w:val="24"/>
          <w:szCs w:val="24"/>
        </w:rPr>
        <w:t>业；</w:t>
      </w:r>
    </w:p>
    <w:p>
      <w:pPr>
        <w:pStyle w:val="963"/>
        <w:snapToGrid w:val="0"/>
        <w:spacing w:line="240" w:lineRule="auto"/>
        <w:ind w:firstLine="0" w:firstLineChars="0"/>
        <w:rPr>
          <w:rFonts w:ascii="宋体" w:eastAsia="宋体"/>
          <w:bCs/>
          <w:color w:val="auto"/>
          <w:sz w:val="24"/>
          <w:szCs w:val="24"/>
        </w:rPr>
      </w:pPr>
      <w:r>
        <w:rPr>
          <w:rFonts w:hint="eastAsia" w:ascii="宋体" w:eastAsia="宋体"/>
          <w:bCs/>
          <w:color w:val="auto"/>
          <w:sz w:val="24"/>
          <w:szCs w:val="24"/>
        </w:rPr>
        <w:t>3.符合《关于促进残疾人就业政府采购政策的通知》（财库〔2017〕141号）规定的条件并提供《残疾人福利性单位声明函》的残疾人福利性单位视同小型、微型企业；</w:t>
      </w:r>
    </w:p>
    <w:p>
      <w:pPr>
        <w:pStyle w:val="963"/>
        <w:snapToGrid w:val="0"/>
        <w:spacing w:line="240" w:lineRule="auto"/>
        <w:ind w:firstLine="0" w:firstLineChars="0"/>
        <w:rPr>
          <w:rFonts w:ascii="宋体" w:eastAsia="宋体"/>
          <w:bCs/>
          <w:color w:val="auto"/>
          <w:sz w:val="24"/>
          <w:szCs w:val="24"/>
        </w:rPr>
      </w:pPr>
      <w:r>
        <w:rPr>
          <w:rFonts w:hint="eastAsia" w:ascii="宋体" w:eastAsia="宋体"/>
          <w:bCs/>
          <w:color w:val="auto"/>
          <w:sz w:val="24"/>
          <w:szCs w:val="24"/>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hint="eastAsia" w:ascii="宋体" w:hAnsi="宋体"/>
          <w:b/>
          <w:bCs/>
          <w:color w:val="auto"/>
          <w:sz w:val="24"/>
        </w:rPr>
      </w:pPr>
    </w:p>
    <w:p>
      <w:pPr>
        <w:snapToGrid w:val="0"/>
        <w:jc w:val="center"/>
        <w:rPr>
          <w:rFonts w:hint="eastAsia" w:ascii="宋体" w:hAnsi="宋体"/>
          <w:b/>
          <w:bCs/>
          <w:color w:val="auto"/>
          <w:sz w:val="24"/>
        </w:rPr>
      </w:pPr>
    </w:p>
    <w:p>
      <w:pPr>
        <w:snapToGrid w:val="0"/>
        <w:jc w:val="center"/>
        <w:rPr>
          <w:rFonts w:hint="eastAsia" w:ascii="宋体" w:hAnsi="宋体"/>
          <w:b/>
          <w:bCs/>
          <w:color w:val="auto"/>
          <w:sz w:val="24"/>
        </w:rPr>
      </w:pPr>
    </w:p>
    <w:p>
      <w:pPr>
        <w:pStyle w:val="2"/>
        <w:rPr>
          <w:rFonts w:hint="eastAsia" w:ascii="宋体" w:hAnsi="宋体"/>
          <w:b/>
          <w:bCs/>
          <w:color w:val="auto"/>
          <w:sz w:val="24"/>
        </w:rPr>
      </w:pPr>
    </w:p>
    <w:p>
      <w:pPr>
        <w:rPr>
          <w:rFonts w:hint="eastAsia" w:ascii="宋体" w:hAnsi="宋体"/>
          <w:b/>
          <w:bCs/>
          <w:color w:val="auto"/>
          <w:sz w:val="24"/>
        </w:rPr>
      </w:pPr>
    </w:p>
    <w:p>
      <w:pPr>
        <w:pStyle w:val="2"/>
        <w:rPr>
          <w:rFonts w:hint="eastAsia" w:ascii="宋体" w:hAnsi="宋体"/>
          <w:b/>
          <w:bCs/>
          <w:color w:val="auto"/>
          <w:sz w:val="24"/>
        </w:rPr>
      </w:pPr>
    </w:p>
    <w:p>
      <w:pPr>
        <w:rPr>
          <w:rFonts w:hint="eastAsia" w:ascii="宋体" w:hAnsi="宋体"/>
          <w:b/>
          <w:bCs/>
          <w:color w:val="auto"/>
          <w:sz w:val="24"/>
        </w:rPr>
      </w:pPr>
    </w:p>
    <w:p>
      <w:pPr>
        <w:snapToGrid w:val="0"/>
        <w:jc w:val="center"/>
        <w:rPr>
          <w:rFonts w:hint="eastAsia" w:ascii="宋体" w:hAnsi="宋体"/>
          <w:b/>
          <w:bCs/>
          <w:color w:val="auto"/>
          <w:sz w:val="24"/>
        </w:rPr>
      </w:pPr>
    </w:p>
    <w:p>
      <w:pPr>
        <w:snapToGrid w:val="0"/>
        <w:jc w:val="center"/>
        <w:rPr>
          <w:rFonts w:ascii="宋体" w:hAnsi="宋体"/>
          <w:b/>
          <w:bCs/>
          <w:color w:val="auto"/>
          <w:sz w:val="24"/>
        </w:rPr>
      </w:pPr>
      <w:r>
        <w:rPr>
          <w:rFonts w:hint="eastAsia" w:ascii="宋体" w:hAnsi="宋体"/>
          <w:b/>
          <w:bCs/>
          <w:color w:val="auto"/>
          <w:sz w:val="24"/>
        </w:rPr>
        <w:t>监狱和戒毒企业证明材料</w:t>
      </w:r>
    </w:p>
    <w:p>
      <w:pPr>
        <w:pStyle w:val="964"/>
        <w:snapToGrid w:val="0"/>
        <w:jc w:val="center"/>
        <w:rPr>
          <w:rFonts w:ascii="宋体" w:hAnsi="宋体"/>
          <w:b/>
          <w:color w:val="auto"/>
          <w:sz w:val="24"/>
          <w:lang w:val="en-GB"/>
        </w:rPr>
      </w:pPr>
    </w:p>
    <w:p>
      <w:pPr>
        <w:snapToGrid w:val="0"/>
        <w:spacing w:line="480" w:lineRule="exact"/>
        <w:ind w:firstLine="480" w:firstLineChars="200"/>
        <w:rPr>
          <w:rFonts w:ascii="宋体" w:hAnsi="宋体"/>
          <w:color w:val="auto"/>
          <w:sz w:val="24"/>
        </w:rPr>
      </w:pPr>
      <w:r>
        <w:rPr>
          <w:rFonts w:hint="eastAsia" w:ascii="宋体" w:hAnsi="宋体"/>
          <w:color w:val="auto"/>
          <w:sz w:val="24"/>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ind w:firstLine="480" w:firstLineChars="200"/>
        <w:rPr>
          <w:rFonts w:ascii="宋体" w:hAnsi="宋体"/>
          <w:color w:val="auto"/>
          <w:sz w:val="24"/>
        </w:rPr>
      </w:pPr>
    </w:p>
    <w:p>
      <w:pPr>
        <w:snapToGrid w:val="0"/>
        <w:jc w:val="center"/>
        <w:rPr>
          <w:rFonts w:ascii="宋体" w:hAnsi="宋体"/>
          <w:b/>
          <w:color w:val="auto"/>
          <w:spacing w:val="6"/>
          <w:sz w:val="24"/>
        </w:rPr>
      </w:pPr>
    </w:p>
    <w:p>
      <w:pPr>
        <w:snapToGrid w:val="0"/>
        <w:jc w:val="center"/>
        <w:rPr>
          <w:rFonts w:ascii="宋体" w:hAnsi="宋体"/>
          <w:b/>
          <w:bCs/>
          <w:color w:val="auto"/>
          <w:sz w:val="24"/>
        </w:rPr>
      </w:pPr>
      <w:r>
        <w:rPr>
          <w:rFonts w:hint="eastAsia" w:ascii="宋体" w:hAnsi="宋体"/>
          <w:b/>
          <w:bCs/>
          <w:color w:val="auto"/>
          <w:sz w:val="24"/>
        </w:rPr>
        <w:t>残疾人福利性单位声明函</w:t>
      </w:r>
    </w:p>
    <w:p>
      <w:pPr>
        <w:snapToGrid w:val="0"/>
        <w:rPr>
          <w:rFonts w:ascii="宋体" w:hAnsi="宋体"/>
          <w:b/>
          <w:color w:val="auto"/>
          <w:spacing w:val="6"/>
          <w:sz w:val="24"/>
        </w:rPr>
      </w:pPr>
    </w:p>
    <w:p>
      <w:pPr>
        <w:snapToGrid w:val="0"/>
        <w:spacing w:line="480" w:lineRule="exact"/>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pPr>
        <w:snapToGrid w:val="0"/>
        <w:spacing w:line="480" w:lineRule="exact"/>
        <w:rPr>
          <w:rFonts w:ascii="宋体" w:hAnsi="宋体"/>
          <w:color w:val="auto"/>
          <w:sz w:val="24"/>
        </w:rPr>
      </w:pPr>
    </w:p>
    <w:p>
      <w:pPr>
        <w:snapToGrid w:val="0"/>
        <w:rPr>
          <w:rFonts w:ascii="宋体" w:hAnsi="宋体"/>
          <w:color w:val="auto"/>
          <w:sz w:val="24"/>
        </w:rPr>
      </w:pPr>
    </w:p>
    <w:p>
      <w:pPr>
        <w:snapToGrid w:val="0"/>
        <w:ind w:firstLine="5520" w:firstLineChars="2300"/>
        <w:rPr>
          <w:rFonts w:ascii="宋体" w:hAnsi="宋体"/>
          <w:color w:val="auto"/>
          <w:sz w:val="24"/>
        </w:rPr>
      </w:pPr>
      <w:r>
        <w:rPr>
          <w:rFonts w:hint="eastAsia" w:ascii="宋体" w:hAnsi="宋体"/>
          <w:color w:val="auto"/>
          <w:sz w:val="24"/>
        </w:rPr>
        <w:t>投标人（盖章）：</w:t>
      </w:r>
    </w:p>
    <w:p>
      <w:pPr>
        <w:snapToGrid w:val="0"/>
        <w:rPr>
          <w:rFonts w:ascii="宋体" w:hAnsi="宋体"/>
          <w:color w:val="auto"/>
          <w:sz w:val="24"/>
        </w:rPr>
      </w:pPr>
      <w:r>
        <w:rPr>
          <w:rFonts w:hint="eastAsia" w:ascii="宋体" w:hAnsi="宋体"/>
          <w:color w:val="auto"/>
          <w:sz w:val="24"/>
        </w:rPr>
        <w:t xml:space="preserve">   </w:t>
      </w:r>
    </w:p>
    <w:p>
      <w:pPr>
        <w:snapToGrid w:val="0"/>
        <w:rPr>
          <w:rFonts w:ascii="宋体" w:hAnsi="宋体"/>
          <w:color w:val="auto"/>
          <w:sz w:val="24"/>
        </w:rPr>
      </w:pPr>
    </w:p>
    <w:p>
      <w:pPr>
        <w:snapToGrid w:val="0"/>
        <w:ind w:firstLine="5520" w:firstLineChars="2300"/>
        <w:outlineLvl w:val="0"/>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33"/>
        <w:snapToGrid w:val="0"/>
        <w:spacing w:beforeLines="10" w:afterLines="10"/>
        <w:rPr>
          <w:rFonts w:ascii="仿宋" w:hAnsi="仿宋" w:eastAsia="仿宋" w:cs="仿宋"/>
          <w:b/>
          <w:bCs/>
          <w:color w:val="auto"/>
          <w:sz w:val="44"/>
          <w:szCs w:val="44"/>
        </w:rPr>
      </w:pPr>
    </w:p>
    <w:p>
      <w:pPr>
        <w:pStyle w:val="33"/>
        <w:snapToGrid w:val="0"/>
        <w:spacing w:beforeLines="10" w:afterLines="10"/>
        <w:rPr>
          <w:rFonts w:ascii="仿宋" w:hAnsi="仿宋" w:eastAsia="仿宋" w:cs="仿宋"/>
          <w:b/>
          <w:bCs/>
          <w:color w:val="auto"/>
          <w:sz w:val="44"/>
          <w:szCs w:val="44"/>
        </w:rPr>
      </w:pPr>
    </w:p>
    <w:p>
      <w:pPr>
        <w:pStyle w:val="2"/>
      </w:pP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0Q4c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JN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jpaVx+q&#10;7gHG0LKw1TvLY5oolberY4C0SfEoUKcKOhUPGMTUs35p4qT/eU5Rj38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vRDhzgCAABwBAAADgAAAAAAAAABACAAAAAfAQAAZHJzL2Uyb0RvYy54&#10;bWxQSwUGAAAAAAYABgBZAQAAy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z585AgAAc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Rz585AgAAcA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pa9Q5AgAAc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KNFMoeOn799O&#10;P36dfn4lV1Gf1voZwh4sAkP31nSYmuHe4zLS7iqn4i8IEfih7vGirugC4fHRdDKd5nBx+IYD8LPH&#10;59b58E4YRaJRUIf2JVXZYeNDHzqExGzarBspUwulJm1Br1+/yd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pa9Q5AgAAcA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M58w5AgAAcA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kM58w5AgAAcA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ic+U5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ic+U5AgAAcAQAAA4AAAAAAAAAAQAgAAAAHwEAAGRycy9lMm9Eb2Mu&#10;eG1sUEsFBgAAAAAGAAYAWQEAAMo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5D804704"/>
    <w:multiLevelType w:val="singleLevel"/>
    <w:tmpl w:val="5D804704"/>
    <w:lvl w:ilvl="0" w:tentative="0">
      <w:start w:val="1"/>
      <w:numFmt w:val="chineseCounting"/>
      <w:suff w:val="nothing"/>
      <w:lvlText w:val="%1、"/>
      <w:lvlJc w:val="left"/>
    </w:lvl>
  </w:abstractNum>
  <w:abstractNum w:abstractNumId="3">
    <w:nsid w:val="5D804826"/>
    <w:multiLevelType w:val="singleLevel"/>
    <w:tmpl w:val="5D804826"/>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Dk1YjJiNGFjNjFkZWJiNGM1ZmRlYTNmMjgzYz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90D"/>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B4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711"/>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D92"/>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5173E"/>
    <w:rsid w:val="015E0632"/>
    <w:rsid w:val="019F7441"/>
    <w:rsid w:val="01A319FB"/>
    <w:rsid w:val="01B37585"/>
    <w:rsid w:val="01D55165"/>
    <w:rsid w:val="01DF6BF8"/>
    <w:rsid w:val="01EC2C57"/>
    <w:rsid w:val="02335B61"/>
    <w:rsid w:val="026B2E25"/>
    <w:rsid w:val="027B7963"/>
    <w:rsid w:val="02824D4D"/>
    <w:rsid w:val="02B6358C"/>
    <w:rsid w:val="02B646F8"/>
    <w:rsid w:val="02C46BBB"/>
    <w:rsid w:val="02DC4B10"/>
    <w:rsid w:val="02DD76CE"/>
    <w:rsid w:val="02F36323"/>
    <w:rsid w:val="02F5619C"/>
    <w:rsid w:val="0326446A"/>
    <w:rsid w:val="032D5555"/>
    <w:rsid w:val="036634D2"/>
    <w:rsid w:val="03DD35E4"/>
    <w:rsid w:val="04076900"/>
    <w:rsid w:val="041A5A3B"/>
    <w:rsid w:val="042311BA"/>
    <w:rsid w:val="042B157A"/>
    <w:rsid w:val="045650B3"/>
    <w:rsid w:val="047F0561"/>
    <w:rsid w:val="048F763B"/>
    <w:rsid w:val="049F330E"/>
    <w:rsid w:val="04AA775C"/>
    <w:rsid w:val="04AB3433"/>
    <w:rsid w:val="04AF1889"/>
    <w:rsid w:val="04DF28CA"/>
    <w:rsid w:val="04F66F48"/>
    <w:rsid w:val="05251E14"/>
    <w:rsid w:val="054B2EBB"/>
    <w:rsid w:val="05541A7D"/>
    <w:rsid w:val="05A16594"/>
    <w:rsid w:val="05A7762D"/>
    <w:rsid w:val="05DC1124"/>
    <w:rsid w:val="06011897"/>
    <w:rsid w:val="060E5941"/>
    <w:rsid w:val="06110FAF"/>
    <w:rsid w:val="061B4D44"/>
    <w:rsid w:val="06493CA7"/>
    <w:rsid w:val="065A6178"/>
    <w:rsid w:val="066F1CF3"/>
    <w:rsid w:val="06833150"/>
    <w:rsid w:val="06930BB8"/>
    <w:rsid w:val="07245D42"/>
    <w:rsid w:val="07264C62"/>
    <w:rsid w:val="0779354C"/>
    <w:rsid w:val="079F6195"/>
    <w:rsid w:val="07D15156"/>
    <w:rsid w:val="08061376"/>
    <w:rsid w:val="080D354F"/>
    <w:rsid w:val="08452D77"/>
    <w:rsid w:val="086401F8"/>
    <w:rsid w:val="086D51E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31944"/>
    <w:rsid w:val="0B30404E"/>
    <w:rsid w:val="0B4C6C14"/>
    <w:rsid w:val="0B631A88"/>
    <w:rsid w:val="0B683D45"/>
    <w:rsid w:val="0B7F3F11"/>
    <w:rsid w:val="0B884417"/>
    <w:rsid w:val="0B973B9D"/>
    <w:rsid w:val="0BC84A1D"/>
    <w:rsid w:val="0BF6188C"/>
    <w:rsid w:val="0BF73C91"/>
    <w:rsid w:val="0C170175"/>
    <w:rsid w:val="0C571A41"/>
    <w:rsid w:val="0C5C1171"/>
    <w:rsid w:val="0C5E1CBC"/>
    <w:rsid w:val="0C615B50"/>
    <w:rsid w:val="0C8445DA"/>
    <w:rsid w:val="0C87121B"/>
    <w:rsid w:val="0CC007F7"/>
    <w:rsid w:val="0CFE707A"/>
    <w:rsid w:val="0D063BDA"/>
    <w:rsid w:val="0D08375F"/>
    <w:rsid w:val="0D184CFB"/>
    <w:rsid w:val="0D1E7791"/>
    <w:rsid w:val="0D4A7419"/>
    <w:rsid w:val="0D827401"/>
    <w:rsid w:val="0D84094E"/>
    <w:rsid w:val="0D8A00E9"/>
    <w:rsid w:val="0D8D589E"/>
    <w:rsid w:val="0DA01C73"/>
    <w:rsid w:val="0DD63300"/>
    <w:rsid w:val="0DDC0C44"/>
    <w:rsid w:val="0DF50604"/>
    <w:rsid w:val="0DF702FE"/>
    <w:rsid w:val="0E060E51"/>
    <w:rsid w:val="0E430DCA"/>
    <w:rsid w:val="0E537B7A"/>
    <w:rsid w:val="0E5604B2"/>
    <w:rsid w:val="0E6D5D79"/>
    <w:rsid w:val="0E9D0089"/>
    <w:rsid w:val="0EB803EE"/>
    <w:rsid w:val="0EF94D4B"/>
    <w:rsid w:val="0F264DFC"/>
    <w:rsid w:val="0F4958DC"/>
    <w:rsid w:val="0F515DF7"/>
    <w:rsid w:val="0F596BA8"/>
    <w:rsid w:val="0F6248D2"/>
    <w:rsid w:val="0F693536"/>
    <w:rsid w:val="0F7554C5"/>
    <w:rsid w:val="0F7B0511"/>
    <w:rsid w:val="0F7B76D9"/>
    <w:rsid w:val="0F816ACD"/>
    <w:rsid w:val="0F9832DB"/>
    <w:rsid w:val="0FBF3FD2"/>
    <w:rsid w:val="0FBF7FF3"/>
    <w:rsid w:val="0FDE0547"/>
    <w:rsid w:val="10043AE6"/>
    <w:rsid w:val="10646583"/>
    <w:rsid w:val="107D4B15"/>
    <w:rsid w:val="107D65A4"/>
    <w:rsid w:val="108A3C80"/>
    <w:rsid w:val="10AA73F0"/>
    <w:rsid w:val="10C26171"/>
    <w:rsid w:val="10F33360"/>
    <w:rsid w:val="10FC16EA"/>
    <w:rsid w:val="110F1D40"/>
    <w:rsid w:val="11266F33"/>
    <w:rsid w:val="11507B96"/>
    <w:rsid w:val="11525A28"/>
    <w:rsid w:val="115343AE"/>
    <w:rsid w:val="118963A1"/>
    <w:rsid w:val="11A52973"/>
    <w:rsid w:val="11C6522A"/>
    <w:rsid w:val="11E104CC"/>
    <w:rsid w:val="11E20309"/>
    <w:rsid w:val="12255233"/>
    <w:rsid w:val="12530213"/>
    <w:rsid w:val="127723A9"/>
    <w:rsid w:val="12862074"/>
    <w:rsid w:val="12883966"/>
    <w:rsid w:val="129E45B4"/>
    <w:rsid w:val="12B9465B"/>
    <w:rsid w:val="12D81596"/>
    <w:rsid w:val="13072A44"/>
    <w:rsid w:val="135F4BE2"/>
    <w:rsid w:val="1375628C"/>
    <w:rsid w:val="139B1A0A"/>
    <w:rsid w:val="139D25C7"/>
    <w:rsid w:val="13BF3CE4"/>
    <w:rsid w:val="13E34051"/>
    <w:rsid w:val="141008D8"/>
    <w:rsid w:val="14125FE6"/>
    <w:rsid w:val="1462750F"/>
    <w:rsid w:val="146D271E"/>
    <w:rsid w:val="14982588"/>
    <w:rsid w:val="149A5AD9"/>
    <w:rsid w:val="14A7619D"/>
    <w:rsid w:val="14EA71B5"/>
    <w:rsid w:val="150536C3"/>
    <w:rsid w:val="150C1963"/>
    <w:rsid w:val="151447A0"/>
    <w:rsid w:val="15485B77"/>
    <w:rsid w:val="154A6454"/>
    <w:rsid w:val="15762120"/>
    <w:rsid w:val="15DC47F4"/>
    <w:rsid w:val="166A18FC"/>
    <w:rsid w:val="169F2681"/>
    <w:rsid w:val="16A8729C"/>
    <w:rsid w:val="16B33777"/>
    <w:rsid w:val="16BC70A7"/>
    <w:rsid w:val="16C6339E"/>
    <w:rsid w:val="172F2D79"/>
    <w:rsid w:val="17557BEF"/>
    <w:rsid w:val="175E19F6"/>
    <w:rsid w:val="17A34B99"/>
    <w:rsid w:val="17D349C1"/>
    <w:rsid w:val="1830729E"/>
    <w:rsid w:val="1852510F"/>
    <w:rsid w:val="1870062C"/>
    <w:rsid w:val="18817102"/>
    <w:rsid w:val="18830A15"/>
    <w:rsid w:val="18852B28"/>
    <w:rsid w:val="188B5321"/>
    <w:rsid w:val="19932372"/>
    <w:rsid w:val="199B1288"/>
    <w:rsid w:val="19A20DD5"/>
    <w:rsid w:val="19AE03F1"/>
    <w:rsid w:val="1A071A03"/>
    <w:rsid w:val="1A1F16AE"/>
    <w:rsid w:val="1A3B5C77"/>
    <w:rsid w:val="1A4062D0"/>
    <w:rsid w:val="1A984BAD"/>
    <w:rsid w:val="1AAC1FB7"/>
    <w:rsid w:val="1AB8220E"/>
    <w:rsid w:val="1AE4166C"/>
    <w:rsid w:val="1AF06CFB"/>
    <w:rsid w:val="1AF11B8D"/>
    <w:rsid w:val="1B11359C"/>
    <w:rsid w:val="1B1475F4"/>
    <w:rsid w:val="1B2A271F"/>
    <w:rsid w:val="1B35140D"/>
    <w:rsid w:val="1B530544"/>
    <w:rsid w:val="1B713184"/>
    <w:rsid w:val="1BA209CF"/>
    <w:rsid w:val="1BB4777D"/>
    <w:rsid w:val="1BD75AB8"/>
    <w:rsid w:val="1C0459C2"/>
    <w:rsid w:val="1C1B3B4A"/>
    <w:rsid w:val="1C334F74"/>
    <w:rsid w:val="1C88086E"/>
    <w:rsid w:val="1C932F9A"/>
    <w:rsid w:val="1CD37D56"/>
    <w:rsid w:val="1D266CE1"/>
    <w:rsid w:val="1D3963AF"/>
    <w:rsid w:val="1D417903"/>
    <w:rsid w:val="1D6A673C"/>
    <w:rsid w:val="1D9247AE"/>
    <w:rsid w:val="1DB567EC"/>
    <w:rsid w:val="1DF51A98"/>
    <w:rsid w:val="1E3D060F"/>
    <w:rsid w:val="1E3F7D2E"/>
    <w:rsid w:val="1E4134E4"/>
    <w:rsid w:val="1E5062B3"/>
    <w:rsid w:val="1E523514"/>
    <w:rsid w:val="1E714A66"/>
    <w:rsid w:val="1E7B4DB7"/>
    <w:rsid w:val="1E802593"/>
    <w:rsid w:val="1EA703CC"/>
    <w:rsid w:val="1EB7330C"/>
    <w:rsid w:val="1F0A0FF3"/>
    <w:rsid w:val="1F5771FF"/>
    <w:rsid w:val="1FE868A9"/>
    <w:rsid w:val="20034907"/>
    <w:rsid w:val="20173E4B"/>
    <w:rsid w:val="204E48BC"/>
    <w:rsid w:val="208921B3"/>
    <w:rsid w:val="20973DEB"/>
    <w:rsid w:val="20B26522"/>
    <w:rsid w:val="20B44310"/>
    <w:rsid w:val="211116EB"/>
    <w:rsid w:val="21476F87"/>
    <w:rsid w:val="216133FC"/>
    <w:rsid w:val="21D56769"/>
    <w:rsid w:val="21E52EF3"/>
    <w:rsid w:val="21FB5D7B"/>
    <w:rsid w:val="220B1C3D"/>
    <w:rsid w:val="221D1D20"/>
    <w:rsid w:val="22334A87"/>
    <w:rsid w:val="22937413"/>
    <w:rsid w:val="22BE6801"/>
    <w:rsid w:val="23337719"/>
    <w:rsid w:val="233500BF"/>
    <w:rsid w:val="23377FF7"/>
    <w:rsid w:val="236B425F"/>
    <w:rsid w:val="23836192"/>
    <w:rsid w:val="23901F29"/>
    <w:rsid w:val="239C0061"/>
    <w:rsid w:val="23B908A4"/>
    <w:rsid w:val="23E95BEF"/>
    <w:rsid w:val="23FD0064"/>
    <w:rsid w:val="24171825"/>
    <w:rsid w:val="2451461D"/>
    <w:rsid w:val="245375B0"/>
    <w:rsid w:val="24642C0A"/>
    <w:rsid w:val="24B22173"/>
    <w:rsid w:val="24B95AD9"/>
    <w:rsid w:val="24BE24DA"/>
    <w:rsid w:val="24CF5825"/>
    <w:rsid w:val="24D24C4C"/>
    <w:rsid w:val="24D663E6"/>
    <w:rsid w:val="24D77F2B"/>
    <w:rsid w:val="24DE5462"/>
    <w:rsid w:val="258B00E2"/>
    <w:rsid w:val="258D68E9"/>
    <w:rsid w:val="25A917A6"/>
    <w:rsid w:val="25BE27CC"/>
    <w:rsid w:val="25EC0370"/>
    <w:rsid w:val="25F74A5C"/>
    <w:rsid w:val="2628662C"/>
    <w:rsid w:val="262D45DE"/>
    <w:rsid w:val="2662090A"/>
    <w:rsid w:val="26A53EF9"/>
    <w:rsid w:val="26A94201"/>
    <w:rsid w:val="26AC274F"/>
    <w:rsid w:val="27044A29"/>
    <w:rsid w:val="271D34C8"/>
    <w:rsid w:val="27432FD3"/>
    <w:rsid w:val="276142BF"/>
    <w:rsid w:val="27783712"/>
    <w:rsid w:val="27907362"/>
    <w:rsid w:val="28333E1D"/>
    <w:rsid w:val="28454BD6"/>
    <w:rsid w:val="28455253"/>
    <w:rsid w:val="28551971"/>
    <w:rsid w:val="285B1C53"/>
    <w:rsid w:val="2895356C"/>
    <w:rsid w:val="289F7086"/>
    <w:rsid w:val="28C32028"/>
    <w:rsid w:val="28CC490F"/>
    <w:rsid w:val="28DE40AA"/>
    <w:rsid w:val="29345E77"/>
    <w:rsid w:val="294C65AD"/>
    <w:rsid w:val="29806583"/>
    <w:rsid w:val="298B3C4C"/>
    <w:rsid w:val="29F26D24"/>
    <w:rsid w:val="29F42A48"/>
    <w:rsid w:val="2A15033F"/>
    <w:rsid w:val="2A1662C1"/>
    <w:rsid w:val="2A1C7367"/>
    <w:rsid w:val="2A2815FA"/>
    <w:rsid w:val="2A6D6092"/>
    <w:rsid w:val="2A7D76B4"/>
    <w:rsid w:val="2A8F53BC"/>
    <w:rsid w:val="2AB34AA5"/>
    <w:rsid w:val="2B437463"/>
    <w:rsid w:val="2B7807EE"/>
    <w:rsid w:val="2BBF00EC"/>
    <w:rsid w:val="2BC37CFD"/>
    <w:rsid w:val="2BD5237F"/>
    <w:rsid w:val="2BE536CE"/>
    <w:rsid w:val="2BE758D9"/>
    <w:rsid w:val="2C09049E"/>
    <w:rsid w:val="2C0A653C"/>
    <w:rsid w:val="2C191F85"/>
    <w:rsid w:val="2C874F6F"/>
    <w:rsid w:val="2CE82D6F"/>
    <w:rsid w:val="2D04629E"/>
    <w:rsid w:val="2D343236"/>
    <w:rsid w:val="2D651B67"/>
    <w:rsid w:val="2DD15014"/>
    <w:rsid w:val="2DF72DE4"/>
    <w:rsid w:val="2E0220AF"/>
    <w:rsid w:val="2E0E6DB8"/>
    <w:rsid w:val="2E4B082A"/>
    <w:rsid w:val="2E5D4E86"/>
    <w:rsid w:val="2E5D790B"/>
    <w:rsid w:val="2E946CCD"/>
    <w:rsid w:val="2E9A3C18"/>
    <w:rsid w:val="2EBB0FEE"/>
    <w:rsid w:val="2EC63002"/>
    <w:rsid w:val="2F0A6B38"/>
    <w:rsid w:val="2F6F7335"/>
    <w:rsid w:val="2F93773A"/>
    <w:rsid w:val="2F946CCB"/>
    <w:rsid w:val="2FD25781"/>
    <w:rsid w:val="2FFD7934"/>
    <w:rsid w:val="30733ACD"/>
    <w:rsid w:val="308C3862"/>
    <w:rsid w:val="309379D8"/>
    <w:rsid w:val="30A270F7"/>
    <w:rsid w:val="30CC3A3A"/>
    <w:rsid w:val="30DF1478"/>
    <w:rsid w:val="30EC586F"/>
    <w:rsid w:val="31334FE4"/>
    <w:rsid w:val="315C2CA9"/>
    <w:rsid w:val="319C6071"/>
    <w:rsid w:val="31AC537E"/>
    <w:rsid w:val="31E3679B"/>
    <w:rsid w:val="31E732FD"/>
    <w:rsid w:val="32517576"/>
    <w:rsid w:val="32BE5C2C"/>
    <w:rsid w:val="32FB6478"/>
    <w:rsid w:val="33263B3F"/>
    <w:rsid w:val="33274C60"/>
    <w:rsid w:val="336963EB"/>
    <w:rsid w:val="33697DB3"/>
    <w:rsid w:val="33816EEB"/>
    <w:rsid w:val="338F52EF"/>
    <w:rsid w:val="33A24458"/>
    <w:rsid w:val="33EB55CD"/>
    <w:rsid w:val="33EC4C02"/>
    <w:rsid w:val="340D2360"/>
    <w:rsid w:val="3410665D"/>
    <w:rsid w:val="34211214"/>
    <w:rsid w:val="342E63AB"/>
    <w:rsid w:val="345D3F40"/>
    <w:rsid w:val="34950E68"/>
    <w:rsid w:val="34986E94"/>
    <w:rsid w:val="34AF62C9"/>
    <w:rsid w:val="34CB4388"/>
    <w:rsid w:val="34FA6E12"/>
    <w:rsid w:val="35261F9A"/>
    <w:rsid w:val="355E390C"/>
    <w:rsid w:val="35790290"/>
    <w:rsid w:val="35821D62"/>
    <w:rsid w:val="358D5588"/>
    <w:rsid w:val="35E95F5D"/>
    <w:rsid w:val="363A3B40"/>
    <w:rsid w:val="365302AE"/>
    <w:rsid w:val="36607A0A"/>
    <w:rsid w:val="366E227C"/>
    <w:rsid w:val="366F2E0D"/>
    <w:rsid w:val="36735F09"/>
    <w:rsid w:val="367B6A5C"/>
    <w:rsid w:val="36A74ADA"/>
    <w:rsid w:val="36AC716F"/>
    <w:rsid w:val="36AD60D5"/>
    <w:rsid w:val="36B224F9"/>
    <w:rsid w:val="36EC0CC9"/>
    <w:rsid w:val="371C30BD"/>
    <w:rsid w:val="373F410B"/>
    <w:rsid w:val="37EE7094"/>
    <w:rsid w:val="38296C89"/>
    <w:rsid w:val="383002EB"/>
    <w:rsid w:val="38586797"/>
    <w:rsid w:val="38A65C86"/>
    <w:rsid w:val="38BC0149"/>
    <w:rsid w:val="38C66A93"/>
    <w:rsid w:val="38D87D1C"/>
    <w:rsid w:val="392C07B0"/>
    <w:rsid w:val="39636459"/>
    <w:rsid w:val="396B7F6C"/>
    <w:rsid w:val="39B417A9"/>
    <w:rsid w:val="39F94929"/>
    <w:rsid w:val="39FC5695"/>
    <w:rsid w:val="3A006D8E"/>
    <w:rsid w:val="3A3651E5"/>
    <w:rsid w:val="3A744481"/>
    <w:rsid w:val="3A8C7BEF"/>
    <w:rsid w:val="3A906246"/>
    <w:rsid w:val="3B2349B7"/>
    <w:rsid w:val="3B3C7E67"/>
    <w:rsid w:val="3B616CFF"/>
    <w:rsid w:val="3B6259F6"/>
    <w:rsid w:val="3B6C398C"/>
    <w:rsid w:val="3B976654"/>
    <w:rsid w:val="3BC01EFC"/>
    <w:rsid w:val="3BCA786A"/>
    <w:rsid w:val="3BD31E2F"/>
    <w:rsid w:val="3BEF6BD6"/>
    <w:rsid w:val="3BF15831"/>
    <w:rsid w:val="3C105946"/>
    <w:rsid w:val="3C471448"/>
    <w:rsid w:val="3C5F759A"/>
    <w:rsid w:val="3C6C525A"/>
    <w:rsid w:val="3CCE23CB"/>
    <w:rsid w:val="3CD17D17"/>
    <w:rsid w:val="3CD41DF9"/>
    <w:rsid w:val="3D3C7F39"/>
    <w:rsid w:val="3D440F09"/>
    <w:rsid w:val="3D4504A0"/>
    <w:rsid w:val="3D4C5207"/>
    <w:rsid w:val="3D8734BB"/>
    <w:rsid w:val="3D9A11D4"/>
    <w:rsid w:val="3DA16D89"/>
    <w:rsid w:val="3DA364BE"/>
    <w:rsid w:val="3DE041CB"/>
    <w:rsid w:val="3E0D48F6"/>
    <w:rsid w:val="3E1868B4"/>
    <w:rsid w:val="3E374CA5"/>
    <w:rsid w:val="3E377251"/>
    <w:rsid w:val="3E42664B"/>
    <w:rsid w:val="3E5661DC"/>
    <w:rsid w:val="3E5A7334"/>
    <w:rsid w:val="3E7B5D6B"/>
    <w:rsid w:val="3E843E66"/>
    <w:rsid w:val="3E8F51FE"/>
    <w:rsid w:val="3E926F87"/>
    <w:rsid w:val="3E9A59DE"/>
    <w:rsid w:val="3EAF4836"/>
    <w:rsid w:val="3EC33DFA"/>
    <w:rsid w:val="3F060E16"/>
    <w:rsid w:val="3F1D1096"/>
    <w:rsid w:val="3F1F6663"/>
    <w:rsid w:val="3F2F0234"/>
    <w:rsid w:val="3F6363FE"/>
    <w:rsid w:val="3F756B8F"/>
    <w:rsid w:val="3F93647A"/>
    <w:rsid w:val="3F95482B"/>
    <w:rsid w:val="3FA57E6B"/>
    <w:rsid w:val="4019356B"/>
    <w:rsid w:val="4046605F"/>
    <w:rsid w:val="40592157"/>
    <w:rsid w:val="406E1CAE"/>
    <w:rsid w:val="40817E61"/>
    <w:rsid w:val="40A0133A"/>
    <w:rsid w:val="40C31A53"/>
    <w:rsid w:val="40FF545D"/>
    <w:rsid w:val="410067C8"/>
    <w:rsid w:val="41193901"/>
    <w:rsid w:val="418F0D2A"/>
    <w:rsid w:val="41D01505"/>
    <w:rsid w:val="42474939"/>
    <w:rsid w:val="424C3C57"/>
    <w:rsid w:val="42613FF3"/>
    <w:rsid w:val="42660D96"/>
    <w:rsid w:val="428667D2"/>
    <w:rsid w:val="429A368A"/>
    <w:rsid w:val="42CD1CE0"/>
    <w:rsid w:val="42E1381E"/>
    <w:rsid w:val="42EA75C3"/>
    <w:rsid w:val="42ED6459"/>
    <w:rsid w:val="42FE58DD"/>
    <w:rsid w:val="43174B3D"/>
    <w:rsid w:val="434B790E"/>
    <w:rsid w:val="4360274F"/>
    <w:rsid w:val="43977AB6"/>
    <w:rsid w:val="43A3342B"/>
    <w:rsid w:val="43C77C27"/>
    <w:rsid w:val="43DD77C9"/>
    <w:rsid w:val="43DE09EE"/>
    <w:rsid w:val="44002FAD"/>
    <w:rsid w:val="449101DD"/>
    <w:rsid w:val="449B0822"/>
    <w:rsid w:val="44DE1391"/>
    <w:rsid w:val="451B225C"/>
    <w:rsid w:val="452410C9"/>
    <w:rsid w:val="45317DFB"/>
    <w:rsid w:val="456D3CE4"/>
    <w:rsid w:val="4579042C"/>
    <w:rsid w:val="457F0571"/>
    <w:rsid w:val="45851176"/>
    <w:rsid w:val="45C63B94"/>
    <w:rsid w:val="460E7DA5"/>
    <w:rsid w:val="46302CD3"/>
    <w:rsid w:val="46422483"/>
    <w:rsid w:val="4659254A"/>
    <w:rsid w:val="465B0637"/>
    <w:rsid w:val="465E3F0D"/>
    <w:rsid w:val="466A16E6"/>
    <w:rsid w:val="46893F2B"/>
    <w:rsid w:val="46C4686E"/>
    <w:rsid w:val="477B778F"/>
    <w:rsid w:val="478203EC"/>
    <w:rsid w:val="47B025FA"/>
    <w:rsid w:val="47FE483C"/>
    <w:rsid w:val="4809698F"/>
    <w:rsid w:val="4811697D"/>
    <w:rsid w:val="487A3E25"/>
    <w:rsid w:val="488B5503"/>
    <w:rsid w:val="48937E21"/>
    <w:rsid w:val="489A0361"/>
    <w:rsid w:val="48B94FF3"/>
    <w:rsid w:val="48E37AAB"/>
    <w:rsid w:val="48F54D5A"/>
    <w:rsid w:val="48FD4B4C"/>
    <w:rsid w:val="490A68E0"/>
    <w:rsid w:val="491055FE"/>
    <w:rsid w:val="495A44E3"/>
    <w:rsid w:val="495F5B3E"/>
    <w:rsid w:val="496F77D7"/>
    <w:rsid w:val="497654FD"/>
    <w:rsid w:val="497D73E8"/>
    <w:rsid w:val="49B64211"/>
    <w:rsid w:val="49C4186F"/>
    <w:rsid w:val="49F6167F"/>
    <w:rsid w:val="4A064FA0"/>
    <w:rsid w:val="4A16615C"/>
    <w:rsid w:val="4A4424D7"/>
    <w:rsid w:val="4AB82D0F"/>
    <w:rsid w:val="4AC73B9F"/>
    <w:rsid w:val="4AEB7664"/>
    <w:rsid w:val="4AFD7C19"/>
    <w:rsid w:val="4B0567D1"/>
    <w:rsid w:val="4B236AAE"/>
    <w:rsid w:val="4B707271"/>
    <w:rsid w:val="4B9739F7"/>
    <w:rsid w:val="4BEE2503"/>
    <w:rsid w:val="4C1B0BC7"/>
    <w:rsid w:val="4C245A30"/>
    <w:rsid w:val="4C8A70A4"/>
    <w:rsid w:val="4CB6685F"/>
    <w:rsid w:val="4CC367FE"/>
    <w:rsid w:val="4CE930BC"/>
    <w:rsid w:val="4D077F3C"/>
    <w:rsid w:val="4D123355"/>
    <w:rsid w:val="4D2A3B31"/>
    <w:rsid w:val="4D312C52"/>
    <w:rsid w:val="4D905305"/>
    <w:rsid w:val="4D964A72"/>
    <w:rsid w:val="4D9C1254"/>
    <w:rsid w:val="4DA54892"/>
    <w:rsid w:val="4DC36632"/>
    <w:rsid w:val="4E793892"/>
    <w:rsid w:val="4E800872"/>
    <w:rsid w:val="4EC569ED"/>
    <w:rsid w:val="4ED50EA1"/>
    <w:rsid w:val="4EE766A0"/>
    <w:rsid w:val="4EEC050C"/>
    <w:rsid w:val="4F104EC3"/>
    <w:rsid w:val="4F47354A"/>
    <w:rsid w:val="4F911C54"/>
    <w:rsid w:val="4F9F4791"/>
    <w:rsid w:val="4FC43A03"/>
    <w:rsid w:val="4FE625E0"/>
    <w:rsid w:val="50081631"/>
    <w:rsid w:val="5021480F"/>
    <w:rsid w:val="50962ECB"/>
    <w:rsid w:val="50A42E38"/>
    <w:rsid w:val="50A4577F"/>
    <w:rsid w:val="50B73D1F"/>
    <w:rsid w:val="50BD5BC9"/>
    <w:rsid w:val="50C11EEE"/>
    <w:rsid w:val="50E97CFC"/>
    <w:rsid w:val="50FA4028"/>
    <w:rsid w:val="510D65B7"/>
    <w:rsid w:val="511157AB"/>
    <w:rsid w:val="513314AB"/>
    <w:rsid w:val="513526AC"/>
    <w:rsid w:val="5142540C"/>
    <w:rsid w:val="517A1653"/>
    <w:rsid w:val="518832C8"/>
    <w:rsid w:val="51A0432A"/>
    <w:rsid w:val="51A86090"/>
    <w:rsid w:val="51B7396D"/>
    <w:rsid w:val="51C67F4C"/>
    <w:rsid w:val="52063309"/>
    <w:rsid w:val="522E4CC3"/>
    <w:rsid w:val="5244713B"/>
    <w:rsid w:val="52564FB8"/>
    <w:rsid w:val="52615633"/>
    <w:rsid w:val="52977FD4"/>
    <w:rsid w:val="52A25790"/>
    <w:rsid w:val="52A96B6F"/>
    <w:rsid w:val="52B45975"/>
    <w:rsid w:val="52C24BAC"/>
    <w:rsid w:val="52D94AA4"/>
    <w:rsid w:val="52EA3A62"/>
    <w:rsid w:val="52F50BB8"/>
    <w:rsid w:val="53097272"/>
    <w:rsid w:val="531A393F"/>
    <w:rsid w:val="53253909"/>
    <w:rsid w:val="53544462"/>
    <w:rsid w:val="53946913"/>
    <w:rsid w:val="5397158E"/>
    <w:rsid w:val="53CE477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2466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37F1A"/>
    <w:rsid w:val="582430B8"/>
    <w:rsid w:val="58917D2F"/>
    <w:rsid w:val="5894085C"/>
    <w:rsid w:val="58AE4F0C"/>
    <w:rsid w:val="58B85899"/>
    <w:rsid w:val="58E363A9"/>
    <w:rsid w:val="58E6255C"/>
    <w:rsid w:val="5956737B"/>
    <w:rsid w:val="595E1678"/>
    <w:rsid w:val="596D5BD4"/>
    <w:rsid w:val="597E3DD8"/>
    <w:rsid w:val="59D634DF"/>
    <w:rsid w:val="59F80043"/>
    <w:rsid w:val="5A09252F"/>
    <w:rsid w:val="5A0B2778"/>
    <w:rsid w:val="5A2A7C7B"/>
    <w:rsid w:val="5A3E2560"/>
    <w:rsid w:val="5A5D3B6E"/>
    <w:rsid w:val="5A637A76"/>
    <w:rsid w:val="5A6D33BA"/>
    <w:rsid w:val="5A792B1F"/>
    <w:rsid w:val="5A874767"/>
    <w:rsid w:val="5A8C7BCC"/>
    <w:rsid w:val="5A8D7133"/>
    <w:rsid w:val="5AAD6F28"/>
    <w:rsid w:val="5AD63A24"/>
    <w:rsid w:val="5AEA62E5"/>
    <w:rsid w:val="5B2E1A1D"/>
    <w:rsid w:val="5B6B0A58"/>
    <w:rsid w:val="5B843A1C"/>
    <w:rsid w:val="5B873E3F"/>
    <w:rsid w:val="5B897053"/>
    <w:rsid w:val="5C02690E"/>
    <w:rsid w:val="5C196DA7"/>
    <w:rsid w:val="5C1D0043"/>
    <w:rsid w:val="5C2A048C"/>
    <w:rsid w:val="5C483466"/>
    <w:rsid w:val="5C7F003F"/>
    <w:rsid w:val="5C80234E"/>
    <w:rsid w:val="5C8A680C"/>
    <w:rsid w:val="5C993CEA"/>
    <w:rsid w:val="5D0C4701"/>
    <w:rsid w:val="5D0F0395"/>
    <w:rsid w:val="5D221076"/>
    <w:rsid w:val="5D397964"/>
    <w:rsid w:val="5D5A391C"/>
    <w:rsid w:val="5D5F10C0"/>
    <w:rsid w:val="5D891B7B"/>
    <w:rsid w:val="5D9D1469"/>
    <w:rsid w:val="5DAD38EE"/>
    <w:rsid w:val="5DD43DF9"/>
    <w:rsid w:val="5E006862"/>
    <w:rsid w:val="5E0207B9"/>
    <w:rsid w:val="5E1834A1"/>
    <w:rsid w:val="5E261785"/>
    <w:rsid w:val="5E4A7017"/>
    <w:rsid w:val="5E4F2952"/>
    <w:rsid w:val="5E552BBA"/>
    <w:rsid w:val="5E611C10"/>
    <w:rsid w:val="5ED51E13"/>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9060A"/>
    <w:rsid w:val="61421856"/>
    <w:rsid w:val="615227C4"/>
    <w:rsid w:val="61654E3F"/>
    <w:rsid w:val="6182292A"/>
    <w:rsid w:val="618D5C6B"/>
    <w:rsid w:val="619F7F92"/>
    <w:rsid w:val="61B60EF8"/>
    <w:rsid w:val="61DB17B3"/>
    <w:rsid w:val="61F94C26"/>
    <w:rsid w:val="61FE227F"/>
    <w:rsid w:val="61FF6B55"/>
    <w:rsid w:val="62000E56"/>
    <w:rsid w:val="620A1913"/>
    <w:rsid w:val="62234BC3"/>
    <w:rsid w:val="624D10DB"/>
    <w:rsid w:val="624F3E49"/>
    <w:rsid w:val="62632286"/>
    <w:rsid w:val="62885958"/>
    <w:rsid w:val="62CB0FB1"/>
    <w:rsid w:val="62F40B65"/>
    <w:rsid w:val="62FC2CFE"/>
    <w:rsid w:val="630161FF"/>
    <w:rsid w:val="63024505"/>
    <w:rsid w:val="63495597"/>
    <w:rsid w:val="635B1DB5"/>
    <w:rsid w:val="63711FED"/>
    <w:rsid w:val="63880DDC"/>
    <w:rsid w:val="638D750D"/>
    <w:rsid w:val="639071D1"/>
    <w:rsid w:val="63AC6CC0"/>
    <w:rsid w:val="64055776"/>
    <w:rsid w:val="640C0875"/>
    <w:rsid w:val="64240056"/>
    <w:rsid w:val="643E143A"/>
    <w:rsid w:val="648939A6"/>
    <w:rsid w:val="648B6EEF"/>
    <w:rsid w:val="648C1B70"/>
    <w:rsid w:val="64C158BF"/>
    <w:rsid w:val="64CE2EAA"/>
    <w:rsid w:val="653C3090"/>
    <w:rsid w:val="65405CCA"/>
    <w:rsid w:val="65854376"/>
    <w:rsid w:val="658767BE"/>
    <w:rsid w:val="65892531"/>
    <w:rsid w:val="66195831"/>
    <w:rsid w:val="662B5A52"/>
    <w:rsid w:val="662E75B1"/>
    <w:rsid w:val="66342C2E"/>
    <w:rsid w:val="663E784C"/>
    <w:rsid w:val="665931F4"/>
    <w:rsid w:val="668B6A45"/>
    <w:rsid w:val="668E571F"/>
    <w:rsid w:val="66A45BDC"/>
    <w:rsid w:val="672F3F24"/>
    <w:rsid w:val="673E055F"/>
    <w:rsid w:val="67551CE3"/>
    <w:rsid w:val="67736662"/>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F444F"/>
    <w:rsid w:val="68B96DBB"/>
    <w:rsid w:val="68CA2805"/>
    <w:rsid w:val="68E937A3"/>
    <w:rsid w:val="69196B57"/>
    <w:rsid w:val="692E06C5"/>
    <w:rsid w:val="693E15D3"/>
    <w:rsid w:val="694E7060"/>
    <w:rsid w:val="69627681"/>
    <w:rsid w:val="69701FBE"/>
    <w:rsid w:val="6977531D"/>
    <w:rsid w:val="69CC2BFF"/>
    <w:rsid w:val="69FD55B8"/>
    <w:rsid w:val="6A0B1C62"/>
    <w:rsid w:val="6A2406C8"/>
    <w:rsid w:val="6ADE0BD1"/>
    <w:rsid w:val="6AE96859"/>
    <w:rsid w:val="6B147746"/>
    <w:rsid w:val="6B24787C"/>
    <w:rsid w:val="6B573233"/>
    <w:rsid w:val="6B5B6274"/>
    <w:rsid w:val="6B5C494D"/>
    <w:rsid w:val="6B6017D1"/>
    <w:rsid w:val="6B876D83"/>
    <w:rsid w:val="6B935D53"/>
    <w:rsid w:val="6BEE43A3"/>
    <w:rsid w:val="6C196F71"/>
    <w:rsid w:val="6C226FCB"/>
    <w:rsid w:val="6C31226F"/>
    <w:rsid w:val="6C552F0B"/>
    <w:rsid w:val="6C8C67B7"/>
    <w:rsid w:val="6C9D744C"/>
    <w:rsid w:val="6D167928"/>
    <w:rsid w:val="6D1D4BE9"/>
    <w:rsid w:val="6D26299B"/>
    <w:rsid w:val="6D4772EC"/>
    <w:rsid w:val="6D536D97"/>
    <w:rsid w:val="6D9078AF"/>
    <w:rsid w:val="6DAA3FEF"/>
    <w:rsid w:val="6DC0172B"/>
    <w:rsid w:val="6DCB690C"/>
    <w:rsid w:val="6DD41A5B"/>
    <w:rsid w:val="6DE42B43"/>
    <w:rsid w:val="6DF43C2E"/>
    <w:rsid w:val="6DF51CA3"/>
    <w:rsid w:val="6E0863D3"/>
    <w:rsid w:val="6E373EBE"/>
    <w:rsid w:val="6E3E5E1B"/>
    <w:rsid w:val="6E8335BD"/>
    <w:rsid w:val="6E8E12EF"/>
    <w:rsid w:val="6E972936"/>
    <w:rsid w:val="6ED446C5"/>
    <w:rsid w:val="6F2A7D94"/>
    <w:rsid w:val="6F4BC4C0"/>
    <w:rsid w:val="6F8331F1"/>
    <w:rsid w:val="6F8A0F8C"/>
    <w:rsid w:val="6FAE1A09"/>
    <w:rsid w:val="6FD44A65"/>
    <w:rsid w:val="6FD75BF8"/>
    <w:rsid w:val="6FFC4BE1"/>
    <w:rsid w:val="70553DF8"/>
    <w:rsid w:val="706D09B3"/>
    <w:rsid w:val="707723D0"/>
    <w:rsid w:val="70F5661B"/>
    <w:rsid w:val="710E183A"/>
    <w:rsid w:val="712274EB"/>
    <w:rsid w:val="71360107"/>
    <w:rsid w:val="713B688E"/>
    <w:rsid w:val="718024D8"/>
    <w:rsid w:val="71D43752"/>
    <w:rsid w:val="71F1796A"/>
    <w:rsid w:val="71FE5BB3"/>
    <w:rsid w:val="72154626"/>
    <w:rsid w:val="72262B5D"/>
    <w:rsid w:val="72283FF7"/>
    <w:rsid w:val="722E7212"/>
    <w:rsid w:val="723A0474"/>
    <w:rsid w:val="725923E4"/>
    <w:rsid w:val="72864BF7"/>
    <w:rsid w:val="72885658"/>
    <w:rsid w:val="729023FC"/>
    <w:rsid w:val="72A025D3"/>
    <w:rsid w:val="72B23526"/>
    <w:rsid w:val="72DC3417"/>
    <w:rsid w:val="72FF458D"/>
    <w:rsid w:val="73C0646E"/>
    <w:rsid w:val="73E6120B"/>
    <w:rsid w:val="742222F5"/>
    <w:rsid w:val="74476126"/>
    <w:rsid w:val="74706664"/>
    <w:rsid w:val="747A719C"/>
    <w:rsid w:val="747F3682"/>
    <w:rsid w:val="749C4185"/>
    <w:rsid w:val="75067759"/>
    <w:rsid w:val="75277631"/>
    <w:rsid w:val="752E6DCD"/>
    <w:rsid w:val="7551380D"/>
    <w:rsid w:val="75600BE5"/>
    <w:rsid w:val="7564475C"/>
    <w:rsid w:val="75811530"/>
    <w:rsid w:val="7583797F"/>
    <w:rsid w:val="75D20F1D"/>
    <w:rsid w:val="75DA2C18"/>
    <w:rsid w:val="75F54412"/>
    <w:rsid w:val="761D08E0"/>
    <w:rsid w:val="765D347C"/>
    <w:rsid w:val="76826699"/>
    <w:rsid w:val="768507CF"/>
    <w:rsid w:val="76C87133"/>
    <w:rsid w:val="76CD08D5"/>
    <w:rsid w:val="76DB4B92"/>
    <w:rsid w:val="77052AA4"/>
    <w:rsid w:val="77136511"/>
    <w:rsid w:val="77340A39"/>
    <w:rsid w:val="77351FD0"/>
    <w:rsid w:val="77472422"/>
    <w:rsid w:val="777F31F2"/>
    <w:rsid w:val="778A4783"/>
    <w:rsid w:val="77D1700D"/>
    <w:rsid w:val="77EC04CC"/>
    <w:rsid w:val="78775729"/>
    <w:rsid w:val="78A42DB0"/>
    <w:rsid w:val="78A656AB"/>
    <w:rsid w:val="78B2245C"/>
    <w:rsid w:val="78E172CC"/>
    <w:rsid w:val="78EA1D1F"/>
    <w:rsid w:val="7904172F"/>
    <w:rsid w:val="790F7E27"/>
    <w:rsid w:val="792A231A"/>
    <w:rsid w:val="79316829"/>
    <w:rsid w:val="797E66A9"/>
    <w:rsid w:val="79A97383"/>
    <w:rsid w:val="79D35D8D"/>
    <w:rsid w:val="79E27E8B"/>
    <w:rsid w:val="79F850CE"/>
    <w:rsid w:val="79FD443C"/>
    <w:rsid w:val="7A1D1975"/>
    <w:rsid w:val="7A252C51"/>
    <w:rsid w:val="7A3E5150"/>
    <w:rsid w:val="7A4670D6"/>
    <w:rsid w:val="7A534B63"/>
    <w:rsid w:val="7A615382"/>
    <w:rsid w:val="7A67303B"/>
    <w:rsid w:val="7A796F16"/>
    <w:rsid w:val="7AAB1D04"/>
    <w:rsid w:val="7ABA4368"/>
    <w:rsid w:val="7AD05746"/>
    <w:rsid w:val="7B115992"/>
    <w:rsid w:val="7B257FFD"/>
    <w:rsid w:val="7B343476"/>
    <w:rsid w:val="7B5A2978"/>
    <w:rsid w:val="7B5A7E4C"/>
    <w:rsid w:val="7B667AF9"/>
    <w:rsid w:val="7B7125DF"/>
    <w:rsid w:val="7B7468F8"/>
    <w:rsid w:val="7BEE0103"/>
    <w:rsid w:val="7C0A0FE4"/>
    <w:rsid w:val="7C254906"/>
    <w:rsid w:val="7C27048F"/>
    <w:rsid w:val="7C30396B"/>
    <w:rsid w:val="7C350FBA"/>
    <w:rsid w:val="7C495842"/>
    <w:rsid w:val="7C590818"/>
    <w:rsid w:val="7C7C10F6"/>
    <w:rsid w:val="7C853BEA"/>
    <w:rsid w:val="7C881368"/>
    <w:rsid w:val="7CE27788"/>
    <w:rsid w:val="7D0C32F1"/>
    <w:rsid w:val="7D0F408D"/>
    <w:rsid w:val="7D491C6C"/>
    <w:rsid w:val="7D4D437C"/>
    <w:rsid w:val="7D5429C0"/>
    <w:rsid w:val="7D6E6D43"/>
    <w:rsid w:val="7DB57A34"/>
    <w:rsid w:val="7DE60973"/>
    <w:rsid w:val="7DEF0916"/>
    <w:rsid w:val="7E152B1F"/>
    <w:rsid w:val="7E1E5218"/>
    <w:rsid w:val="7E8D00FD"/>
    <w:rsid w:val="7E9A4E1F"/>
    <w:rsid w:val="7EA76919"/>
    <w:rsid w:val="7EA7723A"/>
    <w:rsid w:val="7ECC7E3D"/>
    <w:rsid w:val="7EF56FBB"/>
    <w:rsid w:val="7F0768EB"/>
    <w:rsid w:val="7F143BEC"/>
    <w:rsid w:val="7F71503A"/>
    <w:rsid w:val="7F715AF2"/>
    <w:rsid w:val="7F886E69"/>
    <w:rsid w:val="7FBB9BE8"/>
    <w:rsid w:val="7FD00928"/>
    <w:rsid w:val="7FDC659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2">
    <w:name w:val="纯文本3"/>
    <w:basedOn w:val="1"/>
    <w:qFormat/>
    <w:uiPriority w:val="0"/>
    <w:pPr>
      <w:textAlignment w:val="baseline"/>
    </w:pPr>
    <w:rPr>
      <w:rFonts w:ascii="宋体" w:hAnsi="Courier New" w:eastAsia="楷体_GB2312"/>
      <w:sz w:val="26"/>
      <w:szCs w:val="20"/>
    </w:rPr>
  </w:style>
  <w:style w:type="paragraph" w:customStyle="1" w:styleId="96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5">
    <w:name w:val="Heading1"/>
    <w:basedOn w:val="1"/>
    <w:next w:val="1"/>
    <w:qFormat/>
    <w:uiPriority w:val="0"/>
    <w:pPr>
      <w:keepNext/>
      <w:keepLines/>
      <w:spacing w:before="340" w:after="330" w:line="578"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41</Pages>
  <Words>24450</Words>
  <Characters>26022</Characters>
  <Lines>451</Lines>
  <Paragraphs>127</Paragraphs>
  <TotalTime>9</TotalTime>
  <ScaleCrop>false</ScaleCrop>
  <LinksUpToDate>false</LinksUpToDate>
  <CharactersWithSpaces>28484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曜</cp:lastModifiedBy>
  <cp:lastPrinted>2021-12-28T03:06:00Z</cp:lastPrinted>
  <dcterms:modified xsi:type="dcterms:W3CDTF">2022-07-22T09:14:02Z</dcterms:modified>
  <dc:title>杭州市市民卡扩大发卡工程</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A9002ED1C74C44A2AFEAA7827BE9845F</vt:lpwstr>
  </property>
  <property fmtid="{D5CDD505-2E9C-101B-9397-08002B2CF9AE}" pid="5" name="commondata">
    <vt:lpwstr>eyJoZGlkIjoiNWYyZjc4ZmQ0ZjNiZDk2YzliMGYyNzg3ZmQwOGUzOWUifQ==</vt:lpwstr>
  </property>
</Properties>
</file>