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仿宋" w:hAnsi="仿宋" w:eastAsia="仿宋" w:cs="仿宋_GB2312"/>
          <w:b/>
          <w:color w:val="auto"/>
          <w:sz w:val="24"/>
        </w:rPr>
      </w:pPr>
    </w:p>
    <w:p>
      <w:pPr>
        <w:pStyle w:val="25"/>
        <w:rPr>
          <w:color w:val="auto"/>
        </w:rPr>
      </w:pPr>
    </w:p>
    <w:p>
      <w:pPr>
        <w:spacing w:line="1160" w:lineRule="exact"/>
        <w:jc w:val="center"/>
        <w:rPr>
          <w:rFonts w:hint="eastAsia" w:ascii="宋体" w:hAnsi="宋体"/>
          <w:b/>
          <w:color w:val="auto"/>
          <w:sz w:val="52"/>
          <w:szCs w:val="52"/>
        </w:rPr>
      </w:pPr>
      <w:bookmarkStart w:id="0" w:name="_Hlt67893495"/>
      <w:bookmarkEnd w:id="0"/>
      <w:r>
        <w:rPr>
          <w:rFonts w:hint="eastAsia" w:ascii="宋体" w:hAnsi="宋体"/>
          <w:b/>
          <w:color w:val="auto"/>
          <w:sz w:val="52"/>
          <w:szCs w:val="52"/>
        </w:rPr>
        <w:t>嘉善县第四幼儿园教育集团硕士</w:t>
      </w:r>
    </w:p>
    <w:p>
      <w:pPr>
        <w:spacing w:line="1160" w:lineRule="exact"/>
        <w:jc w:val="center"/>
        <w:rPr>
          <w:rFonts w:ascii="宋体" w:hAnsi="宋体"/>
          <w:b/>
          <w:color w:val="auto"/>
          <w:sz w:val="52"/>
          <w:szCs w:val="52"/>
        </w:rPr>
      </w:pPr>
      <w:r>
        <w:rPr>
          <w:rFonts w:hint="eastAsia" w:ascii="宋体" w:hAnsi="宋体"/>
          <w:b/>
          <w:color w:val="auto"/>
          <w:sz w:val="52"/>
          <w:szCs w:val="52"/>
        </w:rPr>
        <w:t>幼儿园玩具采购项目</w:t>
      </w:r>
    </w:p>
    <w:p>
      <w:pPr>
        <w:spacing w:beforeLines="50"/>
        <w:rPr>
          <w:rFonts w:ascii="宋体" w:hAnsi="宋体"/>
          <w:color w:val="auto"/>
          <w:sz w:val="72"/>
          <w:szCs w:val="72"/>
        </w:rPr>
      </w:pPr>
    </w:p>
    <w:p>
      <w:pPr>
        <w:spacing w:beforeLines="50"/>
        <w:jc w:val="center"/>
        <w:rPr>
          <w:rFonts w:ascii="宋体" w:hAnsi="宋体"/>
          <w:color w:val="auto"/>
          <w:sz w:val="72"/>
          <w:szCs w:val="72"/>
        </w:rPr>
      </w:pPr>
      <w:r>
        <w:rPr>
          <w:rFonts w:hint="eastAsia" w:ascii="宋体" w:hAnsi="宋体"/>
          <w:color w:val="auto"/>
          <w:sz w:val="72"/>
          <w:szCs w:val="72"/>
        </w:rPr>
        <w:t>公开招标文件</w:t>
      </w:r>
    </w:p>
    <w:p>
      <w:pPr>
        <w:pStyle w:val="25"/>
        <w:jc w:val="center"/>
        <w:rPr>
          <w:color w:val="auto"/>
        </w:rPr>
      </w:pPr>
    </w:p>
    <w:p>
      <w:pPr>
        <w:pStyle w:val="26"/>
        <w:rPr>
          <w:color w:val="auto"/>
        </w:rPr>
      </w:pPr>
    </w:p>
    <w:p>
      <w:pPr>
        <w:snapToGrid w:val="0"/>
        <w:spacing w:beforeLines="50" w:line="360" w:lineRule="auto"/>
        <w:jc w:val="center"/>
        <w:rPr>
          <w:rFonts w:ascii="宋体" w:hAnsi="宋体"/>
          <w:color w:val="auto"/>
          <w:sz w:val="30"/>
          <w:szCs w:val="72"/>
        </w:rPr>
      </w:pPr>
    </w:p>
    <w:p>
      <w:pPr>
        <w:snapToGrid w:val="0"/>
        <w:spacing w:beforeLines="50" w:line="360" w:lineRule="auto"/>
        <w:rPr>
          <w:rFonts w:ascii="宋体" w:hAnsi="宋体"/>
          <w:color w:val="auto"/>
          <w:sz w:val="30"/>
          <w:szCs w:val="72"/>
        </w:rPr>
      </w:pPr>
    </w:p>
    <w:p>
      <w:pPr>
        <w:pStyle w:val="34"/>
        <w:snapToGrid w:val="0"/>
        <w:spacing w:line="360" w:lineRule="auto"/>
        <w:rPr>
          <w:b/>
          <w:color w:val="auto"/>
          <w:sz w:val="30"/>
          <w:szCs w:val="30"/>
        </w:rPr>
      </w:pPr>
      <w:r>
        <w:rPr>
          <w:b/>
          <w:color w:val="auto"/>
          <w:sz w:val="30"/>
          <w:szCs w:val="30"/>
        </w:rPr>
        <w:t>项目编号：</w:t>
      </w:r>
      <w:r>
        <w:rPr>
          <w:rFonts w:hint="eastAsia" w:hAnsi="宋体"/>
          <w:b/>
          <w:color w:val="auto"/>
          <w:sz w:val="30"/>
          <w:szCs w:val="48"/>
          <w:lang w:eastAsia="zh-CN"/>
        </w:rPr>
        <w:t>JSCG2022041</w:t>
      </w:r>
      <w:r>
        <w:rPr>
          <w:rFonts w:hint="eastAsia" w:hAnsi="宋体"/>
          <w:b/>
          <w:color w:val="auto"/>
          <w:sz w:val="30"/>
          <w:szCs w:val="48"/>
        </w:rPr>
        <w:t>(G)</w:t>
      </w:r>
    </w:p>
    <w:p>
      <w:pPr>
        <w:pStyle w:val="34"/>
        <w:snapToGrid w:val="0"/>
        <w:spacing w:line="360" w:lineRule="auto"/>
        <w:rPr>
          <w:b/>
          <w:color w:val="auto"/>
          <w:sz w:val="30"/>
          <w:szCs w:val="30"/>
        </w:rPr>
      </w:pPr>
      <w:r>
        <w:rPr>
          <w:rFonts w:hint="eastAsia"/>
          <w:b/>
          <w:color w:val="auto"/>
          <w:sz w:val="30"/>
          <w:szCs w:val="30"/>
        </w:rPr>
        <w:t>项目名称：</w:t>
      </w:r>
      <w:r>
        <w:rPr>
          <w:rFonts w:hint="eastAsia"/>
          <w:b/>
          <w:color w:val="auto"/>
          <w:sz w:val="30"/>
          <w:szCs w:val="30"/>
          <w:lang w:eastAsia="zh-CN"/>
        </w:rPr>
        <w:t>嘉善县第四幼儿园教育集团硕士幼儿园玩具采购</w:t>
      </w:r>
      <w:r>
        <w:rPr>
          <w:rFonts w:hint="eastAsia"/>
          <w:b/>
          <w:color w:val="auto"/>
          <w:sz w:val="30"/>
          <w:szCs w:val="30"/>
        </w:rPr>
        <w:t>项目</w:t>
      </w:r>
    </w:p>
    <w:p>
      <w:pPr>
        <w:pStyle w:val="34"/>
        <w:snapToGrid w:val="0"/>
        <w:spacing w:line="360" w:lineRule="auto"/>
        <w:rPr>
          <w:rFonts w:hint="eastAsia" w:hAnsi="宋体" w:eastAsia="宋体"/>
          <w:b/>
          <w:color w:val="auto"/>
          <w:sz w:val="30"/>
          <w:szCs w:val="30"/>
          <w:lang w:eastAsia="zh-CN"/>
        </w:rPr>
      </w:pPr>
      <w:r>
        <w:rPr>
          <w:b/>
          <w:color w:val="auto"/>
          <w:sz w:val="30"/>
          <w:szCs w:val="30"/>
        </w:rPr>
        <w:t>采购人：</w:t>
      </w:r>
      <w:r>
        <w:rPr>
          <w:rFonts w:hint="eastAsia"/>
          <w:b/>
          <w:color w:val="auto"/>
          <w:sz w:val="30"/>
          <w:szCs w:val="30"/>
          <w:lang w:eastAsia="zh-CN"/>
        </w:rPr>
        <w:t>嘉善县第四幼儿园教育集团硕士幼儿园</w:t>
      </w:r>
    </w:p>
    <w:p>
      <w:pPr>
        <w:pStyle w:val="34"/>
        <w:snapToGrid w:val="0"/>
        <w:spacing w:line="360" w:lineRule="auto"/>
        <w:rPr>
          <w:rFonts w:hAnsi="宋体"/>
          <w:b/>
          <w:bCs/>
          <w:color w:val="auto"/>
          <w:sz w:val="30"/>
          <w:szCs w:val="30"/>
        </w:rPr>
      </w:pPr>
      <w:r>
        <w:rPr>
          <w:rFonts w:hint="eastAsia"/>
          <w:b/>
          <w:color w:val="auto"/>
          <w:sz w:val="30"/>
          <w:szCs w:val="30"/>
        </w:rPr>
        <w:t>采购组织</w:t>
      </w:r>
      <w:r>
        <w:rPr>
          <w:b/>
          <w:color w:val="auto"/>
          <w:sz w:val="30"/>
          <w:szCs w:val="30"/>
        </w:rPr>
        <w:t>机构：</w:t>
      </w:r>
      <w:r>
        <w:rPr>
          <w:rFonts w:hint="eastAsia" w:hAnsi="宋体"/>
          <w:b/>
          <w:color w:val="auto"/>
          <w:sz w:val="30"/>
          <w:szCs w:val="48"/>
        </w:rPr>
        <w:t>嘉善县公共资源交易中心</w:t>
      </w:r>
    </w:p>
    <w:p>
      <w:pPr>
        <w:pStyle w:val="34"/>
        <w:snapToGrid w:val="0"/>
        <w:spacing w:line="360" w:lineRule="auto"/>
        <w:rPr>
          <w:rFonts w:hAnsi="宋体"/>
          <w:b/>
          <w:bCs/>
          <w:color w:val="auto"/>
          <w:w w:val="95"/>
          <w:sz w:val="30"/>
          <w:szCs w:val="30"/>
        </w:rPr>
      </w:pPr>
    </w:p>
    <w:p>
      <w:pPr>
        <w:rPr>
          <w:color w:val="auto"/>
        </w:rPr>
      </w:pPr>
    </w:p>
    <w:p>
      <w:pPr>
        <w:snapToGrid w:val="0"/>
        <w:spacing w:beforeLines="50" w:line="360" w:lineRule="auto"/>
        <w:ind w:left="384" w:leftChars="183" w:firstLine="4599" w:firstLineChars="1607"/>
        <w:rPr>
          <w:rFonts w:ascii="宋体" w:hAnsi="宋体"/>
          <w:b/>
          <w:bCs/>
          <w:color w:val="auto"/>
          <w:w w:val="95"/>
          <w:sz w:val="30"/>
          <w:szCs w:val="30"/>
        </w:rPr>
      </w:pPr>
    </w:p>
    <w:p>
      <w:pPr>
        <w:pStyle w:val="26"/>
        <w:rPr>
          <w:rFonts w:hAnsi="宋体"/>
          <w:b/>
          <w:bCs/>
          <w:color w:val="auto"/>
          <w:w w:val="95"/>
          <w:sz w:val="30"/>
          <w:szCs w:val="30"/>
        </w:rPr>
      </w:pPr>
    </w:p>
    <w:p>
      <w:pPr>
        <w:rPr>
          <w:color w:val="auto"/>
        </w:rPr>
      </w:pPr>
    </w:p>
    <w:p>
      <w:pPr>
        <w:spacing w:line="360" w:lineRule="auto"/>
        <w:jc w:val="right"/>
        <w:rPr>
          <w:rFonts w:ascii="仿宋" w:hAnsi="仿宋" w:eastAsia="仿宋" w:cs="仿宋_GB2312"/>
          <w:color w:val="auto"/>
          <w:sz w:val="24"/>
        </w:rPr>
      </w:pPr>
      <w:r>
        <w:rPr>
          <w:rFonts w:hint="eastAsia" w:ascii="宋体" w:hAnsi="宋体"/>
          <w:b/>
          <w:bCs/>
          <w:color w:val="auto"/>
          <w:w w:val="95"/>
          <w:sz w:val="30"/>
          <w:szCs w:val="30"/>
        </w:rPr>
        <w:t>2022年</w:t>
      </w:r>
      <w:r>
        <w:rPr>
          <w:rFonts w:hint="eastAsia" w:ascii="宋体" w:hAnsi="宋体"/>
          <w:b/>
          <w:bCs/>
          <w:color w:val="auto"/>
          <w:w w:val="95"/>
          <w:sz w:val="30"/>
          <w:szCs w:val="30"/>
          <w:lang w:val="en-US" w:eastAsia="zh-CN"/>
        </w:rPr>
        <w:t>12</w:t>
      </w:r>
      <w:r>
        <w:rPr>
          <w:rFonts w:hint="eastAsia" w:ascii="宋体" w:hAnsi="宋体"/>
          <w:b/>
          <w:bCs/>
          <w:color w:val="auto"/>
          <w:w w:val="95"/>
          <w:sz w:val="30"/>
          <w:szCs w:val="30"/>
        </w:rPr>
        <w:t>月</w:t>
      </w:r>
      <w:r>
        <w:rPr>
          <w:rFonts w:hint="eastAsia" w:ascii="宋体" w:hAnsi="宋体"/>
          <w:b/>
          <w:bCs/>
          <w:color w:val="auto"/>
          <w:w w:val="95"/>
          <w:sz w:val="30"/>
          <w:szCs w:val="30"/>
          <w:lang w:val="en-US" w:eastAsia="zh-CN"/>
        </w:rPr>
        <w:t>6</w:t>
      </w:r>
      <w:r>
        <w:rPr>
          <w:rFonts w:hint="eastAsia" w:ascii="宋体" w:hAnsi="宋体"/>
          <w:b/>
          <w:bCs/>
          <w:color w:val="auto"/>
          <w:w w:val="95"/>
          <w:sz w:val="30"/>
          <w:szCs w:val="30"/>
        </w:rPr>
        <w:t>日</w:t>
      </w:r>
    </w:p>
    <w:p>
      <w:pPr>
        <w:spacing w:line="360" w:lineRule="auto"/>
        <w:jc w:val="center"/>
        <w:rPr>
          <w:rFonts w:ascii="仿宋" w:hAnsi="仿宋" w:eastAsia="仿宋" w:cs="仿宋_GB2312"/>
          <w:color w:val="auto"/>
          <w:sz w:val="24"/>
        </w:rPr>
      </w:pPr>
    </w:p>
    <w:p>
      <w:pPr>
        <w:pStyle w:val="25"/>
        <w:rPr>
          <w:color w:val="auto"/>
        </w:rPr>
      </w:pPr>
    </w:p>
    <w:p>
      <w:pPr>
        <w:pStyle w:val="26"/>
        <w:rPr>
          <w:rFonts w:ascii="仿宋" w:hAnsi="仿宋" w:eastAsia="仿宋" w:cs="仿宋_GB2312"/>
          <w:color w:val="auto"/>
        </w:rPr>
      </w:pPr>
    </w:p>
    <w:p>
      <w:pPr>
        <w:rPr>
          <w:rFonts w:ascii="仿宋" w:hAnsi="仿宋" w:eastAsia="仿宋" w:cs="仿宋_GB2312"/>
          <w:color w:val="auto"/>
          <w:sz w:val="24"/>
        </w:rPr>
      </w:pPr>
    </w:p>
    <w:p>
      <w:pPr>
        <w:pStyle w:val="34"/>
        <w:spacing w:line="600" w:lineRule="exact"/>
        <w:jc w:val="center"/>
        <w:rPr>
          <w:rFonts w:ascii="创艺简标宋" w:hAnsi="宋体" w:eastAsia="创艺简标宋"/>
          <w:b/>
          <w:color w:val="auto"/>
          <w:sz w:val="44"/>
          <w:szCs w:val="44"/>
        </w:rPr>
      </w:pPr>
      <w:bookmarkStart w:id="1" w:name="_Hlt91233176"/>
      <w:bookmarkEnd w:id="1"/>
      <w:bookmarkStart w:id="2" w:name="_Toc91899869"/>
      <w:r>
        <w:rPr>
          <w:rFonts w:hint="eastAsia" w:ascii="创艺简标宋" w:hAnsi="宋体" w:eastAsia="创艺简标宋"/>
          <w:b/>
          <w:color w:val="auto"/>
          <w:sz w:val="44"/>
          <w:szCs w:val="44"/>
        </w:rPr>
        <w:t>目    录</w:t>
      </w:r>
    </w:p>
    <w:p>
      <w:pPr>
        <w:pStyle w:val="34"/>
        <w:tabs>
          <w:tab w:val="left" w:pos="6645"/>
        </w:tabs>
        <w:spacing w:line="600" w:lineRule="exact"/>
        <w:jc w:val="left"/>
        <w:rPr>
          <w:rFonts w:ascii="创艺简标宋" w:hAnsi="宋体" w:eastAsia="创艺简标宋"/>
          <w:b/>
          <w:color w:val="auto"/>
          <w:sz w:val="44"/>
          <w:szCs w:val="44"/>
        </w:rPr>
      </w:pPr>
      <w:r>
        <w:rPr>
          <w:rFonts w:ascii="创艺简标宋" w:hAnsi="宋体" w:eastAsia="创艺简标宋"/>
          <w:b/>
          <w:color w:val="auto"/>
          <w:sz w:val="44"/>
          <w:szCs w:val="44"/>
        </w:rPr>
        <w:tab/>
      </w:r>
    </w:p>
    <w:p>
      <w:pPr>
        <w:pStyle w:val="44"/>
        <w:tabs>
          <w:tab w:val="right" w:leader="dot" w:pos="8834"/>
        </w:tabs>
        <w:spacing w:line="480" w:lineRule="auto"/>
        <w:rPr>
          <w:b/>
          <w:color w:val="auto"/>
          <w:sz w:val="32"/>
          <w:szCs w:val="32"/>
        </w:rPr>
      </w:pPr>
      <w:r>
        <w:rPr>
          <w:b/>
          <w:color w:val="auto"/>
          <w:sz w:val="32"/>
          <w:szCs w:val="32"/>
        </w:rPr>
        <w:fldChar w:fldCharType="begin"/>
      </w:r>
      <w:r>
        <w:rPr>
          <w:b/>
          <w:color w:val="auto"/>
          <w:sz w:val="32"/>
          <w:szCs w:val="32"/>
        </w:rPr>
        <w:instrText xml:space="preserve"> TOC \o "1-1" \h \z \u </w:instrText>
      </w:r>
      <w:r>
        <w:rPr>
          <w:b/>
          <w:color w:val="auto"/>
          <w:sz w:val="32"/>
          <w:szCs w:val="32"/>
        </w:rPr>
        <w:fldChar w:fldCharType="separate"/>
      </w:r>
      <w:r>
        <w:rPr>
          <w:color w:val="auto"/>
        </w:rPr>
        <w:fldChar w:fldCharType="begin"/>
      </w:r>
      <w:r>
        <w:rPr>
          <w:color w:val="auto"/>
        </w:rPr>
        <w:instrText xml:space="preserve"> HYPERLINK \l "_Toc406402981" </w:instrText>
      </w:r>
      <w:r>
        <w:rPr>
          <w:color w:val="auto"/>
        </w:rPr>
        <w:fldChar w:fldCharType="separate"/>
      </w:r>
      <w:r>
        <w:rPr>
          <w:rStyle w:val="77"/>
          <w:rFonts w:hint="eastAsia"/>
          <w:b/>
          <w:color w:val="auto"/>
          <w:sz w:val="32"/>
          <w:szCs w:val="32"/>
        </w:rPr>
        <w:t>第一章</w:t>
      </w:r>
      <w:r>
        <w:rPr>
          <w:rStyle w:val="77"/>
          <w:b/>
          <w:color w:val="auto"/>
          <w:sz w:val="32"/>
          <w:szCs w:val="32"/>
        </w:rPr>
        <w:t xml:space="preserve">  </w:t>
      </w:r>
      <w:r>
        <w:rPr>
          <w:rStyle w:val="77"/>
          <w:rFonts w:hint="eastAsia"/>
          <w:b/>
          <w:color w:val="auto"/>
          <w:sz w:val="32"/>
          <w:szCs w:val="32"/>
        </w:rPr>
        <w:t>公开招标采购公告</w:t>
      </w:r>
      <w:r>
        <w:rPr>
          <w:b/>
          <w:color w:val="auto"/>
          <w:sz w:val="32"/>
          <w:szCs w:val="32"/>
        </w:rPr>
        <w:tab/>
      </w:r>
      <w:r>
        <w:rPr>
          <w:rFonts w:hint="eastAsia"/>
          <w:b/>
          <w:color w:val="auto"/>
          <w:sz w:val="32"/>
          <w:szCs w:val="32"/>
        </w:rPr>
        <w:t>3</w:t>
      </w:r>
      <w:r>
        <w:rPr>
          <w:rFonts w:hint="eastAsia"/>
          <w:b/>
          <w:color w:val="auto"/>
          <w:sz w:val="32"/>
          <w:szCs w:val="32"/>
        </w:rPr>
        <w:fldChar w:fldCharType="end"/>
      </w:r>
    </w:p>
    <w:p>
      <w:pPr>
        <w:pStyle w:val="44"/>
        <w:tabs>
          <w:tab w:val="right" w:leader="dot" w:pos="8834"/>
        </w:tabs>
        <w:spacing w:line="480" w:lineRule="auto"/>
        <w:rPr>
          <w:b/>
          <w:color w:val="auto"/>
          <w:sz w:val="32"/>
          <w:szCs w:val="32"/>
        </w:rPr>
      </w:pPr>
      <w:r>
        <w:rPr>
          <w:color w:val="auto"/>
        </w:rPr>
        <w:fldChar w:fldCharType="begin"/>
      </w:r>
      <w:r>
        <w:rPr>
          <w:color w:val="auto"/>
        </w:rPr>
        <w:instrText xml:space="preserve"> HYPERLINK \l "_Toc406402982" </w:instrText>
      </w:r>
      <w:r>
        <w:rPr>
          <w:color w:val="auto"/>
        </w:rPr>
        <w:fldChar w:fldCharType="separate"/>
      </w:r>
      <w:r>
        <w:rPr>
          <w:rStyle w:val="77"/>
          <w:rFonts w:hint="eastAsia"/>
          <w:b/>
          <w:color w:val="auto"/>
          <w:sz w:val="32"/>
          <w:szCs w:val="32"/>
        </w:rPr>
        <w:t>第二章</w:t>
      </w:r>
      <w:r>
        <w:rPr>
          <w:rStyle w:val="77"/>
          <w:b/>
          <w:color w:val="auto"/>
          <w:sz w:val="32"/>
          <w:szCs w:val="32"/>
        </w:rPr>
        <w:t xml:space="preserve">  </w:t>
      </w:r>
      <w:r>
        <w:rPr>
          <w:rStyle w:val="77"/>
          <w:rFonts w:hint="eastAsia"/>
          <w:b/>
          <w:color w:val="auto"/>
          <w:sz w:val="32"/>
          <w:szCs w:val="32"/>
        </w:rPr>
        <w:t>招标需求</w:t>
      </w:r>
      <w:r>
        <w:rPr>
          <w:b/>
          <w:color w:val="auto"/>
          <w:sz w:val="32"/>
          <w:szCs w:val="32"/>
        </w:rPr>
        <w:tab/>
      </w:r>
      <w:r>
        <w:rPr>
          <w:rFonts w:hint="eastAsia"/>
          <w:b/>
          <w:color w:val="auto"/>
          <w:sz w:val="32"/>
          <w:szCs w:val="32"/>
        </w:rPr>
        <w:t>7</w:t>
      </w:r>
      <w:r>
        <w:rPr>
          <w:rFonts w:hint="eastAsia"/>
          <w:b/>
          <w:color w:val="auto"/>
          <w:sz w:val="32"/>
          <w:szCs w:val="32"/>
        </w:rPr>
        <w:fldChar w:fldCharType="end"/>
      </w:r>
    </w:p>
    <w:p>
      <w:pPr>
        <w:pStyle w:val="44"/>
        <w:tabs>
          <w:tab w:val="right" w:leader="dot" w:pos="8834"/>
        </w:tabs>
        <w:spacing w:line="480" w:lineRule="auto"/>
        <w:rPr>
          <w:rFonts w:hint="default" w:eastAsia="宋体"/>
          <w:b/>
          <w:color w:val="auto"/>
          <w:sz w:val="32"/>
          <w:szCs w:val="32"/>
          <w:lang w:val="en-US" w:eastAsia="zh-CN"/>
        </w:rPr>
      </w:pPr>
      <w:r>
        <w:rPr>
          <w:color w:val="auto"/>
        </w:rPr>
        <w:fldChar w:fldCharType="begin"/>
      </w:r>
      <w:r>
        <w:rPr>
          <w:color w:val="auto"/>
        </w:rPr>
        <w:instrText xml:space="preserve"> HYPERLINK \l "_Toc406402986" </w:instrText>
      </w:r>
      <w:r>
        <w:rPr>
          <w:color w:val="auto"/>
        </w:rPr>
        <w:fldChar w:fldCharType="separate"/>
      </w:r>
      <w:r>
        <w:rPr>
          <w:rStyle w:val="77"/>
          <w:rFonts w:hint="eastAsia"/>
          <w:b/>
          <w:color w:val="auto"/>
          <w:sz w:val="32"/>
          <w:szCs w:val="32"/>
        </w:rPr>
        <w:t>第三章</w:t>
      </w:r>
      <w:r>
        <w:rPr>
          <w:rStyle w:val="77"/>
          <w:b/>
          <w:color w:val="auto"/>
          <w:sz w:val="32"/>
          <w:szCs w:val="32"/>
        </w:rPr>
        <w:t xml:space="preserve">  </w:t>
      </w:r>
      <w:r>
        <w:rPr>
          <w:rStyle w:val="77"/>
          <w:rFonts w:hint="eastAsia"/>
          <w:b/>
          <w:color w:val="auto"/>
          <w:sz w:val="32"/>
          <w:szCs w:val="32"/>
        </w:rPr>
        <w:t>投标人须知</w:t>
      </w:r>
      <w:r>
        <w:rPr>
          <w:b/>
          <w:color w:val="auto"/>
          <w:sz w:val="32"/>
          <w:szCs w:val="32"/>
        </w:rPr>
        <w:tab/>
      </w:r>
      <w:r>
        <w:rPr>
          <w:b/>
          <w:color w:val="auto"/>
          <w:sz w:val="32"/>
          <w:szCs w:val="32"/>
        </w:rPr>
        <w:fldChar w:fldCharType="end"/>
      </w:r>
      <w:r>
        <w:rPr>
          <w:rFonts w:hint="eastAsia"/>
          <w:b/>
          <w:color w:val="auto"/>
          <w:sz w:val="32"/>
          <w:szCs w:val="32"/>
          <w:lang w:val="en-US" w:eastAsia="zh-CN"/>
        </w:rPr>
        <w:t>33</w:t>
      </w:r>
    </w:p>
    <w:p>
      <w:pPr>
        <w:pStyle w:val="44"/>
        <w:tabs>
          <w:tab w:val="right" w:leader="dot" w:pos="8834"/>
        </w:tabs>
        <w:spacing w:line="480" w:lineRule="auto"/>
        <w:rPr>
          <w:rFonts w:hint="default" w:eastAsia="宋体"/>
          <w:b/>
          <w:color w:val="auto"/>
          <w:sz w:val="32"/>
          <w:szCs w:val="32"/>
          <w:lang w:val="en-US" w:eastAsia="zh-CN"/>
        </w:rPr>
      </w:pPr>
      <w:r>
        <w:rPr>
          <w:color w:val="auto"/>
        </w:rPr>
        <w:fldChar w:fldCharType="begin"/>
      </w:r>
      <w:r>
        <w:rPr>
          <w:color w:val="auto"/>
        </w:rPr>
        <w:instrText xml:space="preserve"> HYPERLINK \l "_Toc406402996" </w:instrText>
      </w:r>
      <w:r>
        <w:rPr>
          <w:color w:val="auto"/>
        </w:rPr>
        <w:fldChar w:fldCharType="separate"/>
      </w:r>
      <w:r>
        <w:rPr>
          <w:rStyle w:val="77"/>
          <w:rFonts w:hint="eastAsia"/>
          <w:b/>
          <w:color w:val="auto"/>
          <w:sz w:val="32"/>
          <w:szCs w:val="32"/>
        </w:rPr>
        <w:t xml:space="preserve">第四章 </w:t>
      </w:r>
      <w:r>
        <w:rPr>
          <w:rStyle w:val="77"/>
          <w:b/>
          <w:color w:val="auto"/>
          <w:sz w:val="32"/>
          <w:szCs w:val="32"/>
        </w:rPr>
        <w:t xml:space="preserve"> </w:t>
      </w:r>
      <w:r>
        <w:rPr>
          <w:rStyle w:val="77"/>
          <w:rFonts w:hint="eastAsia"/>
          <w:b/>
          <w:color w:val="auto"/>
          <w:sz w:val="32"/>
          <w:szCs w:val="32"/>
        </w:rPr>
        <w:t>评标办法及评分标准</w:t>
      </w:r>
      <w:r>
        <w:rPr>
          <w:b/>
          <w:color w:val="auto"/>
          <w:sz w:val="32"/>
          <w:szCs w:val="32"/>
        </w:rPr>
        <w:tab/>
      </w:r>
      <w:r>
        <w:rPr>
          <w:rFonts w:hint="eastAsia"/>
          <w:b/>
          <w:color w:val="auto"/>
          <w:sz w:val="32"/>
          <w:szCs w:val="32"/>
        </w:rPr>
        <w:fldChar w:fldCharType="end"/>
      </w:r>
      <w:r>
        <w:rPr>
          <w:rFonts w:hint="eastAsia"/>
          <w:b/>
          <w:color w:val="auto"/>
          <w:sz w:val="32"/>
          <w:szCs w:val="32"/>
          <w:lang w:val="en-US" w:eastAsia="zh-CN"/>
        </w:rPr>
        <w:t>47</w:t>
      </w:r>
    </w:p>
    <w:p>
      <w:pPr>
        <w:pStyle w:val="44"/>
        <w:tabs>
          <w:tab w:val="right" w:leader="dot" w:pos="8834"/>
        </w:tabs>
        <w:spacing w:line="480" w:lineRule="auto"/>
        <w:rPr>
          <w:rFonts w:hint="default" w:eastAsia="宋体"/>
          <w:b/>
          <w:color w:val="auto"/>
          <w:sz w:val="32"/>
          <w:szCs w:val="32"/>
          <w:lang w:val="en-US" w:eastAsia="zh-CN"/>
        </w:rPr>
      </w:pPr>
      <w:r>
        <w:rPr>
          <w:color w:val="auto"/>
        </w:rPr>
        <w:fldChar w:fldCharType="begin"/>
      </w:r>
      <w:r>
        <w:rPr>
          <w:color w:val="auto"/>
        </w:rPr>
        <w:instrText xml:space="preserve"> HYPERLINK \l "_Toc406402998" </w:instrText>
      </w:r>
      <w:r>
        <w:rPr>
          <w:color w:val="auto"/>
        </w:rPr>
        <w:fldChar w:fldCharType="separate"/>
      </w:r>
      <w:r>
        <w:rPr>
          <w:rStyle w:val="77"/>
          <w:rFonts w:hint="eastAsia"/>
          <w:b/>
          <w:color w:val="auto"/>
          <w:sz w:val="32"/>
          <w:szCs w:val="32"/>
        </w:rPr>
        <w:t>第五章</w:t>
      </w:r>
      <w:r>
        <w:rPr>
          <w:rStyle w:val="77"/>
          <w:b/>
          <w:color w:val="auto"/>
          <w:sz w:val="32"/>
          <w:szCs w:val="32"/>
        </w:rPr>
        <w:t xml:space="preserve">  </w:t>
      </w:r>
      <w:r>
        <w:rPr>
          <w:rStyle w:val="77"/>
          <w:rFonts w:hint="eastAsia"/>
          <w:b/>
          <w:color w:val="auto"/>
          <w:sz w:val="32"/>
          <w:szCs w:val="32"/>
        </w:rPr>
        <w:t>嘉善县政府采购合同（</w:t>
      </w:r>
      <w:bookmarkStart w:id="3" w:name="_Hlt497308216"/>
      <w:r>
        <w:rPr>
          <w:rStyle w:val="77"/>
          <w:rFonts w:hint="eastAsia"/>
          <w:b/>
          <w:color w:val="auto"/>
          <w:sz w:val="32"/>
          <w:szCs w:val="32"/>
        </w:rPr>
        <w:t>指</w:t>
      </w:r>
      <w:bookmarkEnd w:id="3"/>
      <w:bookmarkStart w:id="4" w:name="_Hlt497308220"/>
      <w:r>
        <w:rPr>
          <w:rStyle w:val="77"/>
          <w:rFonts w:hint="eastAsia"/>
          <w:b/>
          <w:color w:val="auto"/>
          <w:sz w:val="32"/>
          <w:szCs w:val="32"/>
        </w:rPr>
        <w:t>引</w:t>
      </w:r>
      <w:bookmarkEnd w:id="4"/>
      <w:r>
        <w:rPr>
          <w:rStyle w:val="77"/>
          <w:rFonts w:hint="eastAsia"/>
          <w:b/>
          <w:color w:val="auto"/>
          <w:sz w:val="32"/>
          <w:szCs w:val="32"/>
        </w:rPr>
        <w:t>）</w:t>
      </w:r>
      <w:bookmarkStart w:id="5" w:name="_Hlt497308212"/>
      <w:bookmarkStart w:id="6" w:name="_Hlt497308213"/>
      <w:r>
        <w:rPr>
          <w:b/>
          <w:color w:val="auto"/>
          <w:sz w:val="32"/>
          <w:szCs w:val="32"/>
        </w:rPr>
        <w:tab/>
      </w:r>
      <w:bookmarkEnd w:id="5"/>
      <w:bookmarkEnd w:id="6"/>
      <w:r>
        <w:rPr>
          <w:rFonts w:hint="eastAsia"/>
          <w:b/>
          <w:color w:val="auto"/>
          <w:sz w:val="32"/>
          <w:szCs w:val="32"/>
        </w:rPr>
        <w:fldChar w:fldCharType="end"/>
      </w:r>
      <w:r>
        <w:rPr>
          <w:rFonts w:hint="eastAsia"/>
          <w:b/>
          <w:color w:val="auto"/>
          <w:sz w:val="32"/>
          <w:szCs w:val="32"/>
          <w:lang w:val="en-US" w:eastAsia="zh-CN"/>
        </w:rPr>
        <w:t>50</w:t>
      </w:r>
    </w:p>
    <w:p>
      <w:pPr>
        <w:pStyle w:val="44"/>
        <w:tabs>
          <w:tab w:val="right" w:leader="dot" w:pos="8834"/>
        </w:tabs>
        <w:spacing w:line="480" w:lineRule="auto"/>
        <w:rPr>
          <w:rFonts w:hint="default"/>
          <w:b/>
          <w:color w:val="auto"/>
          <w:sz w:val="32"/>
          <w:szCs w:val="32"/>
          <w:lang w:val="en-US"/>
        </w:rPr>
      </w:pPr>
      <w:r>
        <w:rPr>
          <w:color w:val="auto"/>
        </w:rPr>
        <w:fldChar w:fldCharType="begin"/>
      </w:r>
      <w:r>
        <w:rPr>
          <w:color w:val="auto"/>
        </w:rPr>
        <w:instrText xml:space="preserve"> HYPERLINK \l "_Toc406403000" </w:instrText>
      </w:r>
      <w:r>
        <w:rPr>
          <w:color w:val="auto"/>
        </w:rPr>
        <w:fldChar w:fldCharType="separate"/>
      </w:r>
      <w:r>
        <w:rPr>
          <w:rStyle w:val="77"/>
          <w:rFonts w:hint="eastAsia"/>
          <w:b/>
          <w:color w:val="auto"/>
          <w:sz w:val="32"/>
          <w:szCs w:val="32"/>
        </w:rPr>
        <w:t>第六章　投标文件格式</w:t>
      </w:r>
      <w:r>
        <w:rPr>
          <w:b/>
          <w:color w:val="auto"/>
          <w:sz w:val="32"/>
          <w:szCs w:val="32"/>
        </w:rPr>
        <w:tab/>
      </w:r>
      <w:r>
        <w:rPr>
          <w:b/>
          <w:color w:val="auto"/>
          <w:sz w:val="32"/>
          <w:szCs w:val="32"/>
        </w:rPr>
        <w:fldChar w:fldCharType="end"/>
      </w:r>
      <w:r>
        <w:rPr>
          <w:rFonts w:hint="eastAsia"/>
          <w:b/>
          <w:color w:val="auto"/>
          <w:sz w:val="32"/>
          <w:szCs w:val="32"/>
          <w:lang w:val="en-US" w:eastAsia="zh-CN"/>
        </w:rPr>
        <w:t>53</w:t>
      </w:r>
    </w:p>
    <w:p>
      <w:pPr>
        <w:pStyle w:val="44"/>
        <w:tabs>
          <w:tab w:val="right" w:leader="dot" w:pos="8834"/>
        </w:tabs>
        <w:spacing w:line="480" w:lineRule="auto"/>
        <w:rPr>
          <w:b/>
          <w:color w:val="auto"/>
          <w:sz w:val="32"/>
          <w:szCs w:val="32"/>
        </w:rPr>
      </w:pPr>
    </w:p>
    <w:p>
      <w:pPr>
        <w:spacing w:line="360" w:lineRule="auto"/>
        <w:ind w:firstLine="480" w:firstLineChars="229"/>
        <w:rPr>
          <w:rFonts w:ascii="仿宋" w:hAnsi="仿宋" w:eastAsia="仿宋" w:cs="仿宋_GB2312"/>
          <w:color w:val="auto"/>
          <w:sz w:val="24"/>
        </w:rPr>
      </w:pPr>
      <w:r>
        <w:rPr>
          <w:color w:val="auto"/>
          <w:szCs w:val="32"/>
        </w:rPr>
        <w:fldChar w:fldCharType="end"/>
      </w: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ind w:firstLine="549" w:firstLineChars="229"/>
        <w:rPr>
          <w:rFonts w:ascii="仿宋" w:hAnsi="仿宋" w:eastAsia="仿宋" w:cs="仿宋_GB2312"/>
          <w:color w:val="auto"/>
          <w:sz w:val="24"/>
        </w:rPr>
      </w:pPr>
    </w:p>
    <w:p>
      <w:pPr>
        <w:spacing w:line="360" w:lineRule="auto"/>
        <w:rPr>
          <w:rFonts w:ascii="仿宋" w:hAnsi="仿宋" w:eastAsia="仿宋" w:cs="仿宋_GB2312"/>
          <w:color w:val="auto"/>
          <w:sz w:val="24"/>
        </w:rPr>
      </w:pPr>
    </w:p>
    <w:p>
      <w:pPr>
        <w:adjustRightInd/>
        <w:spacing w:line="360" w:lineRule="auto"/>
        <w:jc w:val="center"/>
        <w:outlineLvl w:val="0"/>
        <w:rPr>
          <w:rFonts w:ascii="仿宋_GB2312" w:hAnsi="仿宋" w:eastAsia="仿宋_GB2312" w:cs="仿宋_GB2312"/>
          <w:b/>
          <w:color w:val="auto"/>
          <w:sz w:val="36"/>
          <w:szCs w:val="20"/>
        </w:rPr>
      </w:pPr>
      <w:bookmarkStart w:id="7" w:name="第一部分"/>
      <w:r>
        <w:rPr>
          <w:rFonts w:ascii="仿宋" w:hAnsi="仿宋" w:eastAsia="仿宋" w:cs="仿宋_GB2312"/>
          <w:b/>
          <w:color w:val="auto"/>
          <w:sz w:val="36"/>
          <w:szCs w:val="36"/>
        </w:rPr>
        <w:br w:type="page"/>
      </w:r>
      <w:bookmarkEnd w:id="2"/>
      <w:bookmarkEnd w:id="7"/>
      <w:bookmarkStart w:id="8" w:name="_Hlt74729822"/>
      <w:bookmarkEnd w:id="8"/>
      <w:bookmarkStart w:id="9" w:name="_Hlt74728647"/>
      <w:bookmarkEnd w:id="9"/>
      <w:bookmarkStart w:id="10" w:name="_Hlt74707423"/>
      <w:bookmarkEnd w:id="10"/>
      <w:bookmarkStart w:id="11" w:name="_Hlt74649545"/>
      <w:bookmarkEnd w:id="11"/>
      <w:bookmarkStart w:id="12" w:name="第二部分"/>
      <w:bookmarkStart w:id="13" w:name="_Toc91899870"/>
      <w:bookmarkStart w:id="14" w:name="_Toc91899871"/>
      <w:r>
        <w:rPr>
          <w:rFonts w:hint="eastAsia" w:ascii="仿宋" w:hAnsi="仿宋" w:eastAsia="仿宋" w:cs="仿宋_GB2312"/>
          <w:b/>
          <w:color w:val="auto"/>
          <w:sz w:val="36"/>
          <w:szCs w:val="20"/>
        </w:rPr>
        <w:t>第一章</w:t>
      </w:r>
      <w:r>
        <w:rPr>
          <w:rFonts w:ascii="仿宋" w:hAnsi="仿宋" w:eastAsia="仿宋" w:cs="仿宋_GB2312"/>
          <w:b/>
          <w:color w:val="auto"/>
          <w:sz w:val="36"/>
          <w:szCs w:val="20"/>
        </w:rPr>
        <w:t xml:space="preserve"> </w:t>
      </w:r>
      <w:r>
        <w:rPr>
          <w:rFonts w:hint="eastAsia" w:ascii="仿宋" w:hAnsi="仿宋" w:eastAsia="仿宋" w:cs="仿宋_GB2312"/>
          <w:b/>
          <w:color w:val="auto"/>
          <w:sz w:val="36"/>
          <w:szCs w:val="20"/>
        </w:rPr>
        <w:t>公开招标采购公告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auto"/>
          <w:sz w:val="24"/>
          <w:u w:val="single"/>
        </w:rPr>
      </w:pPr>
      <w:r>
        <w:rPr>
          <w:rFonts w:hint="eastAsia" w:ascii="仿宋_GB2312" w:hAnsi="仿宋" w:eastAsia="仿宋_GB2312" w:cs="仿宋_GB2312"/>
          <w:color w:val="auto"/>
          <w:sz w:val="24"/>
          <w:u w:val="single"/>
        </w:rPr>
        <w:t>（</w:t>
      </w:r>
      <w:r>
        <w:rPr>
          <w:rFonts w:hint="eastAsia" w:ascii="仿宋_GB2312" w:hAnsi="仿宋" w:eastAsia="仿宋_GB2312" w:cs="仿宋_GB2312"/>
          <w:color w:val="auto"/>
          <w:sz w:val="24"/>
          <w:u w:val="single"/>
          <w:lang w:eastAsia="zh-CN"/>
        </w:rPr>
        <w:t>嘉善县第四幼儿园教育集团硕士幼儿园玩具采购</w:t>
      </w:r>
      <w:r>
        <w:rPr>
          <w:rFonts w:hint="eastAsia" w:ascii="仿宋_GB2312" w:hAnsi="仿宋" w:eastAsia="仿宋_GB2312" w:cs="仿宋_GB2312"/>
          <w:color w:val="auto"/>
          <w:sz w:val="24"/>
          <w:u w:val="single"/>
        </w:rPr>
        <w:t>项目）</w:t>
      </w:r>
      <w:r>
        <w:rPr>
          <w:rFonts w:hint="eastAsia" w:ascii="仿宋_GB2312" w:hAnsi="仿宋" w:eastAsia="仿宋_GB2312"/>
          <w:color w:val="auto"/>
          <w:sz w:val="24"/>
        </w:rPr>
        <w:t>招标项目的潜在投标人应在政采云平台（</w:t>
      </w:r>
      <w:r>
        <w:rPr>
          <w:color w:val="auto"/>
        </w:rPr>
        <w:fldChar w:fldCharType="begin"/>
      </w:r>
      <w:r>
        <w:rPr>
          <w:color w:val="auto"/>
        </w:rPr>
        <w:instrText xml:space="preserve"> HYPERLINK "https://www.zcygov.cn/）获取（下载）招标文件，并于2021年" </w:instrText>
      </w:r>
      <w:r>
        <w:rPr>
          <w:color w:val="auto"/>
        </w:rPr>
        <w:fldChar w:fldCharType="separate"/>
      </w:r>
      <w:r>
        <w:rPr>
          <w:rStyle w:val="77"/>
          <w:rFonts w:ascii="仿宋_GB2312" w:hAnsi="仿宋" w:eastAsia="仿宋_GB2312" w:cs="Times New Roman"/>
          <w:snapToGrid/>
          <w:color w:val="auto"/>
          <w:kern w:val="2"/>
          <w:sz w:val="24"/>
          <w:szCs w:val="24"/>
        </w:rPr>
        <w:t>https://www.zcygov.cn/）获取（下载）招标文件，并于</w:t>
      </w:r>
      <w:r>
        <w:rPr>
          <w:rFonts w:hint="eastAsia" w:ascii="仿宋_GB2312" w:hAnsi="仿宋" w:eastAsia="仿宋_GB2312"/>
          <w:color w:val="auto"/>
          <w:sz w:val="24"/>
          <w:u w:val="single"/>
          <w:lang w:eastAsia="zh-CN"/>
        </w:rPr>
        <w:t>2022年12月27日9点</w:t>
      </w:r>
      <w:r>
        <w:rPr>
          <w:rFonts w:hint="eastAsia" w:ascii="仿宋_GB2312" w:hAnsi="仿宋" w:eastAsia="仿宋_GB2312"/>
          <w:color w:val="auto"/>
          <w:sz w:val="24"/>
          <w:u w:val="single"/>
        </w:rPr>
        <w:t>30分</w:t>
      </w:r>
      <w:r>
        <w:rPr>
          <w:rFonts w:hint="eastAsia" w:ascii="仿宋_GB2312" w:hAnsi="仿宋" w:eastAsia="仿宋_GB2312"/>
          <w:bCs/>
          <w:color w:val="auto"/>
          <w:sz w:val="24"/>
          <w:u w:val="single"/>
        </w:rPr>
        <w:t>00秒</w:t>
      </w:r>
      <w:r>
        <w:rPr>
          <w:rFonts w:hint="eastAsia" w:ascii="仿宋_GB2312" w:hAnsi="仿宋" w:eastAsia="仿宋_GB2312"/>
          <w:bCs/>
          <w:color w:val="auto"/>
          <w:sz w:val="24"/>
          <w:u w:val="single"/>
        </w:rPr>
        <w:fldChar w:fldCharType="end"/>
      </w:r>
      <w:r>
        <w:rPr>
          <w:rFonts w:hint="eastAsia" w:ascii="仿宋_GB2312" w:hAnsi="仿宋" w:eastAsia="仿宋_GB2312"/>
          <w:bCs/>
          <w:color w:val="auto"/>
          <w:sz w:val="24"/>
        </w:rPr>
        <w:t>（北京时间）前</w:t>
      </w:r>
      <w:r>
        <w:rPr>
          <w:rFonts w:hint="eastAsia" w:ascii="仿宋_GB2312" w:hAnsi="仿宋" w:eastAsia="仿宋_GB2312"/>
          <w:color w:val="auto"/>
          <w:sz w:val="24"/>
        </w:rPr>
        <w:t>递交（上传）投标文件。</w:t>
      </w:r>
    </w:p>
    <w:p>
      <w:pPr>
        <w:spacing w:line="360" w:lineRule="auto"/>
        <w:rPr>
          <w:rFonts w:ascii="仿宋_GB2312" w:hAnsi="仿宋" w:eastAsia="仿宋_GB2312"/>
          <w:b/>
          <w:color w:val="auto"/>
          <w:sz w:val="24"/>
        </w:rPr>
      </w:pPr>
      <w:r>
        <w:rPr>
          <w:rFonts w:hint="eastAsia" w:ascii="仿宋_GB2312" w:hAnsi="仿宋" w:eastAsia="仿宋_GB2312"/>
          <w:b/>
          <w:color w:val="auto"/>
          <w:sz w:val="24"/>
        </w:rPr>
        <w:t>一、项目基本情况</w:t>
      </w:r>
      <w:r>
        <w:rPr>
          <w:rFonts w:ascii="仿宋_GB2312" w:hAnsi="仿宋" w:eastAsia="仿宋_GB2312"/>
          <w:b/>
          <w:color w:val="auto"/>
          <w:sz w:val="24"/>
        </w:rPr>
        <w:t xml:space="preserve">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w:t>
      </w:r>
      <w:r>
        <w:rPr>
          <w:rFonts w:hint="eastAsia" w:ascii="仿宋_GB2312" w:hAnsi="仿宋" w:eastAsia="仿宋_GB2312"/>
          <w:b/>
          <w:color w:val="auto"/>
          <w:sz w:val="24"/>
        </w:rPr>
        <w:t>项目编号：</w:t>
      </w:r>
      <w:r>
        <w:rPr>
          <w:rFonts w:hint="eastAsia" w:ascii="仿宋_GB2312" w:hAnsi="仿宋" w:eastAsia="仿宋_GB2312"/>
          <w:b/>
          <w:color w:val="auto"/>
          <w:sz w:val="24"/>
          <w:lang w:eastAsia="zh-CN"/>
        </w:rPr>
        <w:t>JSCG2022041</w:t>
      </w:r>
      <w:r>
        <w:rPr>
          <w:rFonts w:hint="eastAsia" w:ascii="仿宋_GB2312" w:hAnsi="仿宋" w:eastAsia="仿宋_GB2312"/>
          <w:b/>
          <w:color w:val="auto"/>
          <w:sz w:val="24"/>
        </w:rPr>
        <w:t>(G)</w:t>
      </w:r>
    </w:p>
    <w:p>
      <w:pPr>
        <w:spacing w:line="360" w:lineRule="auto"/>
        <w:rPr>
          <w:rFonts w:ascii="仿宋_GB2312" w:hAnsi="仿宋" w:eastAsia="仿宋_GB2312"/>
          <w:color w:val="auto"/>
          <w:sz w:val="24"/>
        </w:rPr>
      </w:pPr>
      <w:r>
        <w:rPr>
          <w:rFonts w:ascii="仿宋_GB2312" w:hAnsi="仿宋" w:eastAsia="仿宋_GB2312"/>
          <w:color w:val="auto"/>
          <w:sz w:val="24"/>
        </w:rPr>
        <w:t xml:space="preserve">   </w:t>
      </w:r>
      <w:r>
        <w:rPr>
          <w:rFonts w:ascii="仿宋_GB2312" w:hAnsi="仿宋" w:eastAsia="仿宋_GB2312"/>
          <w:b/>
          <w:color w:val="auto"/>
          <w:sz w:val="24"/>
        </w:rPr>
        <w:t xml:space="preserve"> 项目名称：</w:t>
      </w:r>
      <w:r>
        <w:rPr>
          <w:rFonts w:hint="eastAsia" w:ascii="仿宋_GB2312" w:hAnsi="仿宋" w:eastAsia="仿宋_GB2312"/>
          <w:b/>
          <w:color w:val="auto"/>
          <w:sz w:val="24"/>
          <w:lang w:eastAsia="zh-CN"/>
        </w:rPr>
        <w:t>嘉善县第四幼儿园教育集团硕士幼儿园玩具采购</w:t>
      </w:r>
      <w:r>
        <w:rPr>
          <w:rFonts w:hint="eastAsia" w:ascii="仿宋_GB2312" w:hAnsi="仿宋" w:eastAsia="仿宋_GB2312"/>
          <w:b/>
          <w:color w:val="auto"/>
          <w:sz w:val="24"/>
        </w:rPr>
        <w:t>项目</w:t>
      </w:r>
    </w:p>
    <w:p>
      <w:pPr>
        <w:spacing w:line="360" w:lineRule="auto"/>
        <w:rPr>
          <w:rFonts w:ascii="仿宋_GB2312" w:hAnsi="仿宋" w:eastAsia="仿宋_GB2312"/>
          <w:color w:val="auto"/>
          <w:sz w:val="24"/>
        </w:rPr>
      </w:pPr>
      <w:r>
        <w:rPr>
          <w:rFonts w:ascii="仿宋_GB2312" w:hAnsi="仿宋" w:eastAsia="仿宋_GB2312"/>
          <w:color w:val="auto"/>
          <w:sz w:val="24"/>
        </w:rPr>
        <w:t xml:space="preserve">   </w:t>
      </w:r>
      <w:r>
        <w:rPr>
          <w:rFonts w:ascii="仿宋_GB2312" w:hAnsi="仿宋" w:eastAsia="仿宋_GB2312"/>
          <w:b/>
          <w:color w:val="auto"/>
          <w:sz w:val="24"/>
        </w:rPr>
        <w:t xml:space="preserve"> 预算金额（元）：</w:t>
      </w:r>
      <w:r>
        <w:rPr>
          <w:rFonts w:hint="eastAsia" w:ascii="仿宋_GB2312" w:hAnsi="仿宋" w:eastAsia="仿宋_GB2312"/>
          <w:b/>
          <w:color w:val="auto"/>
          <w:sz w:val="24"/>
          <w:lang w:val="en-US" w:eastAsia="zh-CN"/>
        </w:rPr>
        <w:t>400000</w:t>
      </w:r>
      <w:r>
        <w:rPr>
          <w:rFonts w:ascii="仿宋_GB2312" w:hAnsi="仿宋" w:eastAsia="仿宋_GB2312"/>
          <w:color w:val="auto"/>
          <w:sz w:val="24"/>
        </w:rPr>
        <w:t xml:space="preserve"> </w:t>
      </w:r>
      <w:r>
        <w:rPr>
          <w:rFonts w:hint="eastAsia" w:ascii="仿宋_GB2312" w:hAnsi="仿宋" w:eastAsia="仿宋_GB2312"/>
          <w:color w:val="auto"/>
          <w:sz w:val="24"/>
        </w:rPr>
        <w:t xml:space="preserve"> </w:t>
      </w:r>
    </w:p>
    <w:p>
      <w:pPr>
        <w:spacing w:line="360" w:lineRule="auto"/>
        <w:ind w:firstLine="480"/>
        <w:rPr>
          <w:rFonts w:ascii="仿宋_GB2312" w:hAnsi="仿宋" w:eastAsia="仿宋_GB2312"/>
          <w:color w:val="auto"/>
          <w:sz w:val="24"/>
        </w:rPr>
      </w:pPr>
      <w:r>
        <w:rPr>
          <w:rFonts w:hint="eastAsia" w:ascii="仿宋_GB2312" w:hAnsi="仿宋" w:eastAsia="仿宋_GB2312"/>
          <w:b/>
          <w:color w:val="auto"/>
          <w:sz w:val="24"/>
        </w:rPr>
        <w:t>最高限价（元）：</w:t>
      </w:r>
      <w:r>
        <w:rPr>
          <w:rFonts w:ascii="仿宋_GB2312" w:hAnsi="仿宋" w:eastAsia="仿宋_GB2312"/>
          <w:color w:val="auto"/>
          <w:sz w:val="24"/>
        </w:rPr>
        <w:t xml:space="preserve"> </w:t>
      </w:r>
      <w:r>
        <w:rPr>
          <w:rFonts w:hint="eastAsia" w:ascii="仿宋_GB2312" w:hAnsi="仿宋" w:eastAsia="仿宋_GB2312"/>
          <w:color w:val="auto"/>
          <w:sz w:val="24"/>
        </w:rPr>
        <w:t xml:space="preserve">无 </w:t>
      </w:r>
    </w:p>
    <w:p>
      <w:pPr>
        <w:pStyle w:val="17"/>
        <w:spacing w:line="360" w:lineRule="auto"/>
        <w:ind w:firstLine="480"/>
        <w:rPr>
          <w:rFonts w:ascii="仿宋_GB2312" w:hAnsi="仿宋" w:eastAsia="仿宋_GB2312"/>
          <w:bCs/>
          <w:snapToGrid/>
          <w:color w:val="auto"/>
          <w:kern w:val="2"/>
          <w:sz w:val="24"/>
          <w:szCs w:val="24"/>
        </w:rPr>
      </w:pPr>
      <w:r>
        <w:rPr>
          <w:rFonts w:hint="eastAsia" w:ascii="仿宋_GB2312" w:hAnsi="仿宋" w:eastAsia="仿宋_GB2312"/>
          <w:b/>
          <w:color w:val="auto"/>
          <w:sz w:val="24"/>
        </w:rPr>
        <w:t>采购需求：</w:t>
      </w:r>
      <w:r>
        <w:rPr>
          <w:rFonts w:hint="eastAsia" w:ascii="仿宋_GB2312" w:hAnsi="仿宋" w:eastAsia="仿宋_GB2312"/>
          <w:bCs/>
          <w:snapToGrid/>
          <w:color w:val="auto"/>
          <w:kern w:val="2"/>
          <w:sz w:val="24"/>
          <w:szCs w:val="24"/>
        </w:rPr>
        <w:t>（</w:t>
      </w:r>
      <w:r>
        <w:rPr>
          <w:rFonts w:hint="eastAsia" w:ascii="仿宋_GB2312" w:hAnsi="仿宋" w:eastAsia="仿宋_GB2312"/>
          <w:bCs/>
          <w:snapToGrid/>
          <w:color w:val="auto"/>
          <w:kern w:val="2"/>
          <w:sz w:val="24"/>
          <w:szCs w:val="24"/>
          <w:lang w:eastAsia="zh-CN"/>
        </w:rPr>
        <w:t>嘉善县第四幼儿园教育集团硕士幼儿园玩具采购</w:t>
      </w:r>
      <w:r>
        <w:rPr>
          <w:rFonts w:hint="eastAsia" w:ascii="仿宋_GB2312" w:hAnsi="仿宋" w:eastAsia="仿宋_GB2312"/>
          <w:bCs/>
          <w:snapToGrid/>
          <w:color w:val="auto"/>
          <w:kern w:val="2"/>
          <w:sz w:val="24"/>
          <w:szCs w:val="24"/>
        </w:rPr>
        <w:t>项目）主要内容</w:t>
      </w:r>
      <w:r>
        <w:rPr>
          <w:rFonts w:hint="eastAsia" w:ascii="仿宋_GB2312" w:hAnsi="仿宋" w:eastAsia="仿宋_GB2312"/>
          <w:bCs/>
          <w:snapToGrid/>
          <w:color w:val="auto"/>
          <w:kern w:val="2"/>
          <w:sz w:val="24"/>
          <w:szCs w:val="24"/>
          <w:lang w:val="en-US" w:eastAsia="zh-CN"/>
        </w:rPr>
        <w:t>:</w:t>
      </w:r>
      <w:r>
        <w:rPr>
          <w:rFonts w:hint="eastAsia" w:ascii="仿宋_GB2312" w:hAnsi="仿宋" w:eastAsia="仿宋_GB2312"/>
          <w:bCs/>
          <w:snapToGrid/>
          <w:color w:val="auto"/>
          <w:kern w:val="2"/>
          <w:sz w:val="24"/>
          <w:szCs w:val="24"/>
          <w:lang w:eastAsia="zh-CN"/>
        </w:rPr>
        <w:t>玩具</w:t>
      </w:r>
      <w:r>
        <w:rPr>
          <w:rFonts w:ascii="仿宋_GB2312" w:hAnsi="仿宋" w:eastAsia="仿宋_GB2312"/>
          <w:bCs/>
          <w:snapToGrid/>
          <w:color w:val="auto"/>
          <w:kern w:val="2"/>
          <w:sz w:val="24"/>
          <w:szCs w:val="24"/>
        </w:rPr>
        <w:t>。</w:t>
      </w:r>
      <w:r>
        <w:rPr>
          <w:rFonts w:hint="eastAsia" w:ascii="仿宋_GB2312" w:hAnsi="仿宋" w:eastAsia="仿宋_GB2312"/>
          <w:bCs/>
          <w:snapToGrid/>
          <w:color w:val="auto"/>
          <w:kern w:val="2"/>
          <w:sz w:val="24"/>
          <w:szCs w:val="24"/>
        </w:rPr>
        <w:t>详见招标文件第二章招标需求。</w:t>
      </w:r>
    </w:p>
    <w:p>
      <w:pPr>
        <w:pStyle w:val="130"/>
        <w:ind w:firstLine="482"/>
        <w:outlineLvl w:val="2"/>
        <w:rPr>
          <w:rFonts w:hint="eastAsia" w:ascii="仿宋_GB2312" w:hAnsi="仿宋" w:eastAsia="仿宋_GB2312"/>
          <w:color w:val="auto"/>
          <w:lang w:eastAsia="zh-CN"/>
        </w:rPr>
      </w:pPr>
      <w:r>
        <w:rPr>
          <w:rFonts w:hint="eastAsia" w:ascii="仿宋_GB2312" w:hAnsi="仿宋" w:eastAsia="仿宋_GB2312"/>
          <w:b/>
          <w:color w:val="auto"/>
        </w:rPr>
        <w:t>合同履约期限：</w:t>
      </w:r>
      <w:r>
        <w:rPr>
          <w:rFonts w:hint="eastAsia" w:ascii="仿宋_GB2312" w:hAnsi="仿宋" w:eastAsia="仿宋_GB2312"/>
          <w:b/>
          <w:color w:val="auto"/>
          <w:lang w:eastAsia="zh-CN"/>
        </w:rPr>
        <w:t>签订合同后20天内完成所有货物的供货、安装、调试</w:t>
      </w:r>
    </w:p>
    <w:p>
      <w:pPr>
        <w:pStyle w:val="17"/>
        <w:spacing w:line="360" w:lineRule="auto"/>
        <w:ind w:firstLine="480"/>
        <w:rPr>
          <w:rFonts w:ascii="仿宋_GB2312" w:hAnsi="仿宋" w:eastAsia="仿宋_GB2312"/>
          <w:b/>
          <w:color w:val="auto"/>
          <w:sz w:val="24"/>
        </w:rPr>
      </w:pPr>
      <w:r>
        <w:rPr>
          <w:rFonts w:hint="eastAsia" w:ascii="仿宋_GB2312" w:hAnsi="仿宋" w:eastAsia="仿宋_GB2312"/>
          <w:b/>
          <w:color w:val="auto"/>
          <w:sz w:val="24"/>
        </w:rPr>
        <w:t>本项目接受联合体投标：</w:t>
      </w:r>
      <w:sdt>
        <w:sdtPr>
          <w:rPr>
            <w:rFonts w:hint="eastAsia" w:ascii="仿宋_GB2312" w:hAnsi="仿宋" w:eastAsia="仿宋_GB2312" w:cs="Arial"/>
            <w:color w:val="auto"/>
            <w:kern w:val="0"/>
            <w:sz w:val="24"/>
          </w:rPr>
          <w:id w:val="2035453831"/>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b/>
          <w:color w:val="auto"/>
          <w:sz w:val="24"/>
        </w:rPr>
        <w:t>是，</w:t>
      </w:r>
      <w:sdt>
        <w:sdtPr>
          <w:rPr>
            <w:rFonts w:hint="eastAsia" w:ascii="仿宋_GB2312" w:hAnsi="仿宋" w:eastAsia="仿宋_GB2312" w:cs="Arial"/>
            <w:color w:val="auto"/>
            <w:kern w:val="0"/>
            <w:sz w:val="24"/>
          </w:rPr>
          <w:id w:val="-1765526721"/>
        </w:sdtPr>
        <w:sdtEndPr>
          <w:rPr>
            <w:rFonts w:hint="eastAsia" w:ascii="仿宋_GB2312" w:hAnsi="仿宋" w:eastAsia="仿宋_GB2312" w:cs="Arial"/>
            <w:color w:val="auto"/>
            <w:kern w:val="0"/>
            <w:sz w:val="24"/>
          </w:rPr>
        </w:sdtEndPr>
        <w:sdtContent>
          <w:r>
            <w:rPr>
              <w:rFonts w:ascii="Wingdings" w:hAnsi="Wingdings" w:eastAsia="MS Gothic" w:cs="Arial"/>
              <w:color w:val="auto"/>
              <w:kern w:val="0"/>
              <w:sz w:val="24"/>
            </w:rPr>
            <w:t></w:t>
          </w:r>
        </w:sdtContent>
      </w:sdt>
      <w:r>
        <w:rPr>
          <w:rFonts w:hint="eastAsia" w:ascii="仿宋_GB2312" w:hAnsi="仿宋" w:eastAsia="仿宋_GB2312"/>
          <w:b/>
          <w:color w:val="auto"/>
          <w:sz w:val="24"/>
        </w:rPr>
        <w:t>否</w:t>
      </w:r>
      <w:r>
        <w:rPr>
          <w:rFonts w:hint="eastAsia" w:cs="Arial" w:asciiTheme="minorEastAsia" w:hAnsiTheme="minorEastAsia" w:eastAsiaTheme="minorEastAsia"/>
          <w:color w:val="auto"/>
          <w:kern w:val="0"/>
          <w:sz w:val="24"/>
        </w:rPr>
        <w:t>。</w:t>
      </w:r>
    </w:p>
    <w:p>
      <w:pPr>
        <w:spacing w:line="360" w:lineRule="auto"/>
        <w:rPr>
          <w:rFonts w:ascii="仿宋_GB2312" w:hAnsi="仿宋" w:eastAsia="仿宋_GB2312"/>
          <w:b/>
          <w:color w:val="auto"/>
          <w:sz w:val="24"/>
        </w:rPr>
      </w:pPr>
      <w:r>
        <w:rPr>
          <w:rFonts w:hint="eastAsia" w:ascii="仿宋_GB2312" w:hAnsi="仿宋" w:eastAsia="仿宋_GB2312"/>
          <w:b/>
          <w:color w:val="auto"/>
          <w:sz w:val="24"/>
        </w:rPr>
        <w:t>二、申请人的资格要求：</w:t>
      </w:r>
    </w:p>
    <w:p>
      <w:pPr>
        <w:spacing w:line="360" w:lineRule="auto"/>
        <w:ind w:firstLine="480"/>
        <w:rPr>
          <w:rFonts w:ascii="仿宋" w:hAnsi="仿宋" w:eastAsia="仿宋" w:cs="仿宋_GB2312"/>
          <w:snapToGrid w:val="0"/>
          <w:color w:val="auto"/>
          <w:kern w:val="28"/>
          <w:sz w:val="24"/>
          <w:szCs w:val="20"/>
        </w:rPr>
      </w:pPr>
      <w:r>
        <w:rPr>
          <w:rFonts w:ascii="仿宋" w:hAnsi="仿宋" w:eastAsia="仿宋" w:cs="仿宋_GB2312"/>
          <w:snapToGrid w:val="0"/>
          <w:color w:val="auto"/>
          <w:kern w:val="28"/>
          <w:sz w:val="24"/>
          <w:szCs w:val="20"/>
        </w:rPr>
        <w:t>1.</w:t>
      </w:r>
      <w:r>
        <w:rPr>
          <w:rFonts w:hint="eastAsia" w:ascii="仿宋" w:hAnsi="仿宋" w:eastAsia="仿宋" w:cs="仿宋_GB2312"/>
          <w:snapToGrid w:val="0"/>
          <w:color w:val="auto"/>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color w:val="auto"/>
          <w:kern w:val="28"/>
          <w:sz w:val="24"/>
          <w:szCs w:val="20"/>
        </w:rPr>
      </w:pPr>
      <w:r>
        <w:rPr>
          <w:rFonts w:ascii="仿宋" w:hAnsi="仿宋" w:eastAsia="仿宋" w:cs="仿宋_GB2312"/>
          <w:snapToGrid w:val="0"/>
          <w:color w:val="auto"/>
          <w:kern w:val="28"/>
          <w:sz w:val="24"/>
          <w:szCs w:val="20"/>
        </w:rPr>
        <w:t xml:space="preserve">    2.</w:t>
      </w:r>
      <w:r>
        <w:rPr>
          <w:rFonts w:hint="eastAsia" w:ascii="仿宋" w:hAnsi="仿宋" w:eastAsia="仿宋" w:cs="仿宋_GB2312"/>
          <w:snapToGrid w:val="0"/>
          <w:color w:val="auto"/>
          <w:kern w:val="28"/>
          <w:sz w:val="24"/>
          <w:szCs w:val="20"/>
        </w:rPr>
        <w:t>落实政府采购政策需满足的资格要求：</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1928616923"/>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color w:val="auto"/>
          <w:sz w:val="24"/>
        </w:rPr>
        <w:t>无；</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1024704304"/>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sym w:font="Wingdings" w:char="F0FE"/>
          </w:r>
        </w:sdtContent>
      </w:sdt>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897" w:firstLineChars="374"/>
        <w:rPr>
          <w:rFonts w:ascii="仿宋_GB2312" w:hAnsi="仿宋" w:eastAsia="仿宋_GB2312"/>
          <w:color w:val="auto"/>
          <w:sz w:val="24"/>
          <w:u w:val="single"/>
        </w:rPr>
      </w:pPr>
      <w:sdt>
        <w:sdtPr>
          <w:rPr>
            <w:rFonts w:hint="eastAsia" w:ascii="仿宋_GB2312" w:hAnsi="仿宋" w:eastAsia="仿宋_GB2312" w:cs="Arial"/>
            <w:color w:val="auto"/>
            <w:kern w:val="0"/>
            <w:sz w:val="24"/>
          </w:rPr>
          <w:id w:val="-924730588"/>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sym w:font="Wingdings" w:char="F0FE"/>
          </w:r>
        </w:sdtContent>
      </w:sdt>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1152604937"/>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33685401"/>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hint="eastAsia" w:ascii="仿宋_GB2312" w:hAnsi="仿宋" w:eastAsia="仿宋_GB2312"/>
          <w:color w:val="auto"/>
          <w:sz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2141025358"/>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hint="eastAsia" w:ascii="仿宋_GB2312" w:hAnsi="仿宋" w:eastAsia="仿宋_GB2312"/>
          <w:color w:val="auto"/>
          <w:sz w:val="24"/>
        </w:rPr>
        <w:t>服务全部由符合政策要求的小微企业承接，提供中小企业声明函；</w:t>
      </w:r>
    </w:p>
    <w:p>
      <w:pPr>
        <w:rPr>
          <w:color w:val="auto"/>
        </w:rPr>
      </w:pPr>
    </w:p>
    <w:p>
      <w:pPr>
        <w:spacing w:line="360" w:lineRule="auto"/>
        <w:ind w:firstLine="480" w:firstLineChars="200"/>
        <w:rPr>
          <w:rFonts w:ascii="仿宋" w:hAnsi="仿宋" w:eastAsia="仿宋"/>
          <w:color w:val="auto"/>
          <w:sz w:val="24"/>
        </w:rPr>
      </w:pPr>
      <w:sdt>
        <w:sdtPr>
          <w:rPr>
            <w:rFonts w:hint="eastAsia" w:ascii="仿宋_GB2312" w:hAnsi="仿宋" w:eastAsia="仿宋_GB2312" w:cs="Arial"/>
            <w:color w:val="auto"/>
            <w:kern w:val="0"/>
            <w:sz w:val="24"/>
          </w:rPr>
          <w:id w:val="-1985607795"/>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hint="eastAsia" w:ascii="仿宋_GB2312" w:hAnsi="仿宋" w:eastAsia="仿宋_GB2312"/>
          <w:color w:val="auto"/>
          <w:sz w:val="24"/>
        </w:rPr>
        <w:t>要求以联合体形式参加，提供联合协议和中小企业声明函，联合协议中中小企业合同金额应当达到</w:t>
      </w:r>
      <w:r>
        <w:rPr>
          <w:rFonts w:ascii="仿宋_GB2312" w:hAnsi="仿宋" w:eastAsia="仿宋_GB2312"/>
          <w:color w:val="auto"/>
          <w:sz w:val="24"/>
          <w:u w:val="single"/>
        </w:rPr>
        <w:t xml:space="preserve">  </w:t>
      </w:r>
      <w:r>
        <w:rPr>
          <w:rFonts w:ascii="仿宋_GB2312" w:hAnsi="仿宋" w:eastAsia="仿宋_GB2312"/>
          <w:color w:val="auto"/>
          <w:sz w:val="24"/>
        </w:rPr>
        <w:t>%，小</w:t>
      </w:r>
      <w:r>
        <w:rPr>
          <w:rFonts w:hint="eastAsia" w:ascii="仿宋_GB2312" w:hAnsi="仿宋" w:eastAsia="仿宋_GB2312"/>
          <w:color w:val="auto"/>
          <w:sz w:val="24"/>
        </w:rPr>
        <w:t>微企业合同金额应当达到</w:t>
      </w:r>
      <w:r>
        <w:rPr>
          <w:rFonts w:ascii="仿宋_GB2312" w:hAnsi="仿宋" w:eastAsia="仿宋_GB2312"/>
          <w:color w:val="auto"/>
          <w:sz w:val="24"/>
          <w:u w:val="single"/>
        </w:rPr>
        <w:t xml:space="preserve"> </w:t>
      </w:r>
      <w:r>
        <w:rPr>
          <w:rFonts w:ascii="仿宋_GB2312" w:hAnsi="仿宋" w:eastAsia="仿宋_GB2312"/>
          <w:color w:val="auto"/>
          <w:sz w:val="24"/>
        </w:rPr>
        <w:t>%;</w:t>
      </w:r>
      <w:r>
        <w:rPr>
          <w:rFonts w:hint="eastAsia" w:ascii="仿宋" w:hAnsi="仿宋" w:eastAsia="仿宋"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olor w:val="auto"/>
          <w:sz w:val="24"/>
        </w:rPr>
        <w:t>；</w:t>
      </w:r>
    </w:p>
    <w:p>
      <w:pPr>
        <w:spacing w:line="360" w:lineRule="auto"/>
        <w:ind w:firstLine="480" w:firstLineChars="200"/>
        <w:rPr>
          <w:rFonts w:ascii="仿宋" w:hAnsi="仿宋" w:eastAsia="仿宋"/>
          <w:color w:val="auto"/>
          <w:sz w:val="24"/>
        </w:rPr>
      </w:pPr>
      <w:sdt>
        <w:sdtPr>
          <w:rPr>
            <w:rFonts w:hint="eastAsia" w:ascii="仿宋_GB2312" w:hAnsi="仿宋" w:eastAsia="仿宋_GB2312" w:cs="Arial"/>
            <w:color w:val="auto"/>
            <w:kern w:val="0"/>
            <w:sz w:val="24"/>
          </w:rPr>
          <w:id w:val="34630645"/>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hint="eastAsia" w:ascii="仿宋" w:hAnsi="仿宋" w:eastAsia="仿宋"/>
          <w:color w:val="auto"/>
          <w:sz w:val="24"/>
        </w:rPr>
        <w:t>要求合同分包，提供分包意向协议和中小企业声明函，分包意向协议中中小企业合同金额应当达到</w:t>
      </w:r>
      <w:r>
        <w:rPr>
          <w:rFonts w:hint="eastAsia" w:ascii="仿宋_GB2312" w:hAnsi="仿宋" w:eastAsia="仿宋_GB2312"/>
          <w:color w:val="auto"/>
          <w:sz w:val="24"/>
        </w:rPr>
        <w:t>达到</w:t>
      </w:r>
      <w:r>
        <w:rPr>
          <w:rFonts w:ascii="仿宋_GB2312" w:hAnsi="仿宋" w:eastAsia="仿宋_GB2312"/>
          <w:color w:val="auto"/>
          <w:sz w:val="24"/>
          <w:u w:val="single"/>
        </w:rPr>
        <w:t xml:space="preserve">  </w:t>
      </w:r>
      <w:r>
        <w:rPr>
          <w:rFonts w:ascii="仿宋_GB2312" w:hAnsi="仿宋" w:eastAsia="仿宋_GB2312"/>
          <w:color w:val="auto"/>
          <w:sz w:val="24"/>
        </w:rPr>
        <w:t xml:space="preserve">% </w:t>
      </w:r>
      <w:r>
        <w:rPr>
          <w:rFonts w:hint="eastAsia" w:ascii="仿宋_GB2312" w:hAnsi="仿宋" w:eastAsia="仿宋_GB2312"/>
          <w:color w:val="auto"/>
          <w:sz w:val="24"/>
        </w:rPr>
        <w:t>，小微企业合同金额应当达到</w:t>
      </w:r>
      <w:r>
        <w:rPr>
          <w:rFonts w:ascii="仿宋_GB2312" w:hAnsi="仿宋" w:eastAsia="仿宋_GB2312"/>
          <w:color w:val="auto"/>
          <w:sz w:val="24"/>
          <w:u w:val="single"/>
        </w:rPr>
        <w:t xml:space="preserve"> </w:t>
      </w:r>
      <w:r>
        <w:rPr>
          <w:rFonts w:ascii="仿宋_GB2312" w:hAnsi="仿宋" w:eastAsia="仿宋_GB2312"/>
          <w:color w:val="auto"/>
          <w:sz w:val="24"/>
        </w:rPr>
        <w:t>% ;</w:t>
      </w:r>
      <w:r>
        <w:rPr>
          <w:rFonts w:hint="eastAsia" w:ascii="仿宋" w:hAnsi="仿宋" w:eastAsia="仿宋"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olor w:val="auto"/>
          <w:sz w:val="24"/>
        </w:rPr>
        <w:t>；</w:t>
      </w:r>
    </w:p>
    <w:p>
      <w:pPr>
        <w:snapToGrid w:val="0"/>
        <w:spacing w:line="360" w:lineRule="auto"/>
        <w:ind w:firstLine="480" w:firstLineChars="200"/>
        <w:rPr>
          <w:rFonts w:ascii="仿宋_GB2312" w:hAnsi="仿宋" w:eastAsia="仿宋_GB2312" w:cs="仿宋_GB2312"/>
          <w:color w:val="auto"/>
          <w:sz w:val="24"/>
        </w:rPr>
      </w:pPr>
      <w:r>
        <w:rPr>
          <w:rFonts w:ascii="仿宋_GB2312" w:hAnsi="仿宋" w:eastAsia="仿宋_GB2312"/>
          <w:color w:val="auto"/>
          <w:sz w:val="24"/>
        </w:rPr>
        <w:t>3.本项目的特定资格要求：无</w:t>
      </w:r>
      <w:r>
        <w:rPr>
          <w:rFonts w:ascii="仿宋_GB2312" w:hAnsi="仿宋" w:eastAsia="仿宋_GB2312" w:cs="仿宋_GB2312"/>
          <w:color w:val="auto"/>
          <w:sz w:val="24"/>
        </w:rPr>
        <w:t>。</w:t>
      </w:r>
    </w:p>
    <w:p>
      <w:pPr>
        <w:spacing w:line="360" w:lineRule="auto"/>
        <w:rPr>
          <w:rFonts w:ascii="仿宋_GB2312" w:hAnsi="仿宋" w:eastAsia="仿宋_GB2312"/>
          <w:b/>
          <w:color w:val="auto"/>
          <w:sz w:val="24"/>
        </w:rPr>
      </w:pPr>
      <w:r>
        <w:rPr>
          <w:rFonts w:hint="eastAsia" w:ascii="仿宋_GB2312" w:hAnsi="仿宋" w:eastAsia="仿宋_GB2312"/>
          <w:b/>
          <w:color w:val="auto"/>
          <w:sz w:val="24"/>
        </w:rPr>
        <w:t>三、获取招标文件</w:t>
      </w:r>
      <w:r>
        <w:rPr>
          <w:rFonts w:ascii="仿宋_GB2312" w:hAnsi="仿宋" w:eastAsia="仿宋_GB2312"/>
          <w:b/>
          <w:color w:val="auto"/>
          <w:sz w:val="24"/>
        </w:rPr>
        <w:t xml:space="preserve"> </w:t>
      </w:r>
    </w:p>
    <w:p>
      <w:pPr>
        <w:spacing w:line="360" w:lineRule="auto"/>
        <w:ind w:firstLine="482" w:firstLineChars="200"/>
        <w:rPr>
          <w:rFonts w:ascii="仿宋_GB2312" w:hAnsi="仿宋" w:eastAsia="仿宋_GB2312"/>
          <w:color w:val="auto"/>
          <w:sz w:val="24"/>
        </w:rPr>
      </w:pPr>
      <w:r>
        <w:rPr>
          <w:rFonts w:hint="eastAsia" w:ascii="仿宋_GB2312" w:hAnsi="仿宋" w:eastAsia="仿宋_GB2312"/>
          <w:b/>
          <w:color w:val="auto"/>
          <w:sz w:val="24"/>
        </w:rPr>
        <w:t>时间：</w:t>
      </w:r>
      <w:r>
        <w:rPr>
          <w:rFonts w:ascii="仿宋_GB2312" w:hAnsi="仿宋" w:eastAsia="仿宋_GB2312"/>
          <w:color w:val="auto"/>
          <w:sz w:val="24"/>
        </w:rPr>
        <w:t>/至</w:t>
      </w:r>
      <w:r>
        <w:rPr>
          <w:rFonts w:hint="eastAsia" w:ascii="仿宋_GB2312" w:hAnsi="仿宋" w:eastAsia="仿宋_GB2312"/>
          <w:color w:val="auto"/>
          <w:sz w:val="24"/>
          <w:u w:val="single"/>
          <w:lang w:eastAsia="zh-CN"/>
        </w:rPr>
        <w:t>2022年12月27日</w:t>
      </w:r>
      <w:r>
        <w:rPr>
          <w:rFonts w:hint="eastAsia" w:ascii="仿宋_GB2312" w:hAnsi="仿宋" w:eastAsia="仿宋_GB2312"/>
          <w:color w:val="auto"/>
          <w:sz w:val="24"/>
        </w:rPr>
        <w:t>，每天上午</w:t>
      </w:r>
      <w:r>
        <w:rPr>
          <w:rFonts w:ascii="仿宋_GB2312" w:hAnsi="仿宋" w:eastAsia="仿宋_GB2312"/>
          <w:color w:val="auto"/>
          <w:sz w:val="24"/>
        </w:rPr>
        <w:t xml:space="preserve">00:00至12:00 </w:t>
      </w:r>
      <w:r>
        <w:rPr>
          <w:rFonts w:hint="eastAsia" w:ascii="仿宋_GB2312" w:hAnsi="仿宋" w:eastAsia="仿宋_GB2312"/>
          <w:color w:val="auto"/>
          <w:sz w:val="24"/>
        </w:rPr>
        <w:t>，下午</w:t>
      </w:r>
      <w:r>
        <w:rPr>
          <w:rFonts w:ascii="仿宋_GB2312" w:hAnsi="仿宋" w:eastAsia="仿宋_GB2312"/>
          <w:color w:val="auto"/>
          <w:sz w:val="24"/>
        </w:rPr>
        <w:t>12:00至23:59（北京时间，线上获取法定节假日均可，线下获取文件法定节假日除外）</w:t>
      </w:r>
    </w:p>
    <w:p>
      <w:pPr>
        <w:spacing w:line="360" w:lineRule="auto"/>
        <w:ind w:firstLine="482" w:firstLineChars="200"/>
        <w:rPr>
          <w:rFonts w:ascii="仿宋_GB2312" w:hAnsi="仿宋" w:eastAsia="仿宋_GB2312"/>
          <w:color w:val="auto"/>
          <w:sz w:val="24"/>
        </w:rPr>
      </w:pPr>
      <w:r>
        <w:rPr>
          <w:rFonts w:hint="eastAsia" w:ascii="仿宋_GB2312" w:hAnsi="仿宋" w:eastAsia="仿宋_GB2312"/>
          <w:b/>
          <w:color w:val="auto"/>
          <w:sz w:val="24"/>
        </w:rPr>
        <w:t>地点（网址）：</w:t>
      </w:r>
      <w:r>
        <w:rPr>
          <w:rFonts w:hint="eastAsia" w:ascii="仿宋_GB2312" w:hAnsi="仿宋" w:eastAsia="仿宋_GB2312"/>
          <w:color w:val="auto"/>
          <w:sz w:val="24"/>
        </w:rPr>
        <w:t>政采云平台（</w:t>
      </w:r>
      <w:r>
        <w:rPr>
          <w:rFonts w:ascii="仿宋_GB2312" w:hAnsi="仿宋" w:eastAsia="仿宋_GB2312"/>
          <w:color w:val="auto"/>
          <w:sz w:val="24"/>
        </w:rPr>
        <w:t xml:space="preserve">https://www.zcygov.cn/） </w:t>
      </w:r>
    </w:p>
    <w:p>
      <w:pPr>
        <w:spacing w:line="360" w:lineRule="auto"/>
        <w:ind w:firstLine="482" w:firstLineChars="200"/>
        <w:rPr>
          <w:rFonts w:ascii="仿宋_GB2312" w:hAnsi="仿宋" w:eastAsia="仿宋_GB2312"/>
          <w:color w:val="auto"/>
          <w:sz w:val="24"/>
        </w:rPr>
      </w:pPr>
      <w:r>
        <w:rPr>
          <w:rFonts w:hint="eastAsia" w:ascii="仿宋_GB2312" w:hAnsi="仿宋" w:eastAsia="仿宋_GB2312"/>
          <w:b/>
          <w:color w:val="auto"/>
          <w:sz w:val="24"/>
        </w:rPr>
        <w:t>方式：</w:t>
      </w:r>
      <w:r>
        <w:rPr>
          <w:rFonts w:hint="eastAsia" w:ascii="仿宋_GB2312" w:hAnsi="仿宋" w:eastAsia="仿宋_GB2312"/>
          <w:color w:val="auto"/>
          <w:sz w:val="24"/>
        </w:rPr>
        <w:t>供应商登录政采云平台</w:t>
      </w:r>
      <w:r>
        <w:rPr>
          <w:rFonts w:ascii="仿宋_GB2312" w:hAnsi="仿宋" w:eastAsia="仿宋_GB2312"/>
          <w:color w:val="auto"/>
          <w:sz w:val="24"/>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color w:val="auto"/>
          <w:sz w:val="24"/>
        </w:rPr>
      </w:pPr>
      <w:r>
        <w:rPr>
          <w:rFonts w:hint="eastAsia" w:ascii="仿宋_GB2312" w:hAnsi="仿宋" w:eastAsia="仿宋_GB2312"/>
          <w:b/>
          <w:color w:val="auto"/>
          <w:sz w:val="24"/>
        </w:rPr>
        <w:t>售价（元）：</w:t>
      </w:r>
      <w:r>
        <w:rPr>
          <w:rFonts w:ascii="仿宋_GB2312" w:hAnsi="仿宋" w:eastAsia="仿宋_GB2312"/>
          <w:color w:val="auto"/>
          <w:sz w:val="24"/>
        </w:rPr>
        <w:t xml:space="preserve">0 </w:t>
      </w:r>
      <w:r>
        <w:rPr>
          <w:rFonts w:ascii="仿宋_GB2312" w:hAnsi="仿宋" w:eastAsia="仿宋_GB2312"/>
          <w:color w:val="auto"/>
          <w:sz w:val="24"/>
        </w:rPr>
        <w:tab/>
      </w:r>
    </w:p>
    <w:p>
      <w:pPr>
        <w:spacing w:line="360" w:lineRule="auto"/>
        <w:rPr>
          <w:rFonts w:ascii="仿宋_GB2312" w:hAnsi="仿宋" w:eastAsia="仿宋_GB2312"/>
          <w:b/>
          <w:color w:val="auto"/>
          <w:sz w:val="24"/>
        </w:rPr>
      </w:pPr>
      <w:r>
        <w:rPr>
          <w:rFonts w:hint="eastAsia" w:ascii="仿宋_GB2312" w:hAnsi="仿宋" w:eastAsia="仿宋_GB2312"/>
          <w:b/>
          <w:color w:val="auto"/>
          <w:sz w:val="24"/>
        </w:rPr>
        <w:t>四、提交投标文件截止时间、开标时间和地点</w:t>
      </w:r>
    </w:p>
    <w:p>
      <w:pPr>
        <w:spacing w:line="360" w:lineRule="auto"/>
        <w:ind w:firstLine="482" w:firstLineChars="200"/>
        <w:rPr>
          <w:rFonts w:ascii="仿宋_GB2312" w:hAnsi="仿宋" w:eastAsia="仿宋_GB2312"/>
          <w:color w:val="auto"/>
          <w:sz w:val="24"/>
        </w:rPr>
      </w:pPr>
      <w:r>
        <w:rPr>
          <w:rFonts w:hint="eastAsia" w:ascii="仿宋_GB2312" w:hAnsi="仿宋" w:eastAsia="仿宋_GB2312"/>
          <w:b/>
          <w:color w:val="auto"/>
          <w:sz w:val="24"/>
        </w:rPr>
        <w:t>提交投标文件截止时间：</w:t>
      </w:r>
      <w:r>
        <w:rPr>
          <w:rFonts w:hint="eastAsia" w:ascii="仿宋_GB2312" w:hAnsi="仿宋" w:eastAsia="仿宋_GB2312"/>
          <w:color w:val="auto"/>
          <w:sz w:val="24"/>
          <w:u w:val="single"/>
          <w:lang w:eastAsia="zh-CN"/>
        </w:rPr>
        <w:t>2022年12月27日9点</w:t>
      </w:r>
      <w:r>
        <w:rPr>
          <w:rFonts w:hint="eastAsia" w:ascii="仿宋_GB2312" w:hAnsi="仿宋" w:eastAsia="仿宋_GB2312"/>
          <w:color w:val="auto"/>
          <w:sz w:val="24"/>
          <w:u w:val="single"/>
        </w:rPr>
        <w:t>30分</w:t>
      </w:r>
      <w:r>
        <w:rPr>
          <w:rFonts w:hint="eastAsia" w:ascii="仿宋_GB2312" w:hAnsi="仿宋" w:eastAsia="仿宋_GB2312"/>
          <w:bCs/>
          <w:color w:val="auto"/>
          <w:sz w:val="24"/>
          <w:u w:val="single"/>
        </w:rPr>
        <w:t xml:space="preserve"> </w:t>
      </w:r>
      <w:r>
        <w:rPr>
          <w:rFonts w:hint="eastAsia" w:ascii="仿宋_GB2312" w:hAnsi="仿宋" w:eastAsia="仿宋_GB2312"/>
          <w:color w:val="auto"/>
          <w:sz w:val="24"/>
        </w:rPr>
        <w:t>（北京时间）</w:t>
      </w:r>
    </w:p>
    <w:p>
      <w:pPr>
        <w:spacing w:line="360" w:lineRule="auto"/>
        <w:ind w:firstLine="482" w:firstLineChars="200"/>
        <w:rPr>
          <w:rFonts w:ascii="仿宋_GB2312" w:hAnsi="仿宋" w:eastAsia="仿宋_GB2312"/>
          <w:b/>
          <w:color w:val="auto"/>
          <w:sz w:val="24"/>
        </w:rPr>
      </w:pPr>
      <w:r>
        <w:rPr>
          <w:rFonts w:hint="eastAsia" w:ascii="仿宋_GB2312" w:hAnsi="仿宋" w:eastAsia="仿宋_GB2312"/>
          <w:b/>
          <w:color w:val="auto"/>
          <w:sz w:val="24"/>
        </w:rPr>
        <w:t>投标地点（网址）：</w:t>
      </w:r>
      <w:r>
        <w:rPr>
          <w:rFonts w:hint="eastAsia" w:ascii="仿宋_GB2312" w:hAnsi="仿宋" w:eastAsia="仿宋_GB2312"/>
          <w:color w:val="auto"/>
          <w:sz w:val="24"/>
        </w:rPr>
        <w:t>政采云平台（</w:t>
      </w:r>
      <w:r>
        <w:rPr>
          <w:rFonts w:ascii="仿宋_GB2312" w:hAnsi="仿宋" w:eastAsia="仿宋_GB2312"/>
          <w:color w:val="auto"/>
          <w:sz w:val="24"/>
        </w:rPr>
        <w:t xml:space="preserve">https://www.zcygov.cn/） </w:t>
      </w:r>
    </w:p>
    <w:p>
      <w:pPr>
        <w:spacing w:line="360" w:lineRule="auto"/>
        <w:ind w:firstLine="482" w:firstLineChars="200"/>
        <w:rPr>
          <w:rFonts w:ascii="仿宋_GB2312" w:hAnsi="仿宋" w:eastAsia="仿宋_GB2312"/>
          <w:bCs/>
          <w:color w:val="auto"/>
          <w:sz w:val="24"/>
          <w:u w:val="single"/>
        </w:rPr>
      </w:pPr>
      <w:r>
        <w:rPr>
          <w:rFonts w:hint="eastAsia" w:ascii="仿宋_GB2312" w:hAnsi="仿宋" w:eastAsia="仿宋_GB2312"/>
          <w:b/>
          <w:color w:val="auto"/>
          <w:sz w:val="24"/>
        </w:rPr>
        <w:t>开标时间：</w:t>
      </w:r>
      <w:r>
        <w:rPr>
          <w:rFonts w:hint="eastAsia" w:ascii="仿宋_GB2312" w:hAnsi="仿宋" w:eastAsia="仿宋_GB2312"/>
          <w:color w:val="auto"/>
          <w:sz w:val="24"/>
          <w:u w:val="single"/>
          <w:lang w:eastAsia="zh-CN"/>
        </w:rPr>
        <w:t>2022年12月27日9点</w:t>
      </w:r>
      <w:r>
        <w:rPr>
          <w:rFonts w:hint="eastAsia" w:ascii="仿宋_GB2312" w:hAnsi="仿宋" w:eastAsia="仿宋_GB2312"/>
          <w:color w:val="auto"/>
          <w:sz w:val="24"/>
          <w:u w:val="single"/>
        </w:rPr>
        <w:t>30分</w:t>
      </w:r>
      <w:r>
        <w:rPr>
          <w:rFonts w:hint="eastAsia" w:ascii="仿宋_GB2312" w:hAnsi="仿宋" w:eastAsia="仿宋_GB2312"/>
          <w:bCs/>
          <w:color w:val="auto"/>
          <w:sz w:val="24"/>
          <w:u w:val="single"/>
        </w:rPr>
        <w:t xml:space="preserve"> </w:t>
      </w:r>
    </w:p>
    <w:p>
      <w:pPr>
        <w:spacing w:line="360" w:lineRule="auto"/>
        <w:ind w:firstLine="482" w:firstLineChars="200"/>
        <w:rPr>
          <w:rFonts w:ascii="仿宋_GB2312" w:hAnsi="仿宋" w:eastAsia="仿宋_GB2312"/>
          <w:color w:val="auto"/>
          <w:sz w:val="24"/>
        </w:rPr>
      </w:pPr>
      <w:r>
        <w:rPr>
          <w:rFonts w:hint="eastAsia" w:ascii="仿宋_GB2312" w:hAnsi="仿宋" w:eastAsia="仿宋_GB2312"/>
          <w:b/>
          <w:color w:val="auto"/>
          <w:sz w:val="24"/>
        </w:rPr>
        <w:t>开标地点（网址）：</w:t>
      </w:r>
      <w:r>
        <w:rPr>
          <w:rFonts w:ascii="仿宋_GB2312" w:hAnsi="仿宋" w:eastAsia="仿宋_GB2312"/>
          <w:color w:val="auto"/>
          <w:sz w:val="24"/>
        </w:rPr>
        <w:t>政</w:t>
      </w:r>
      <w:r>
        <w:rPr>
          <w:rFonts w:hint="eastAsia" w:ascii="仿宋_GB2312" w:hAnsi="仿宋" w:eastAsia="仿宋_GB2312"/>
          <w:color w:val="auto"/>
          <w:sz w:val="24"/>
        </w:rPr>
        <w:t>采云平台（</w:t>
      </w:r>
      <w:r>
        <w:rPr>
          <w:rFonts w:ascii="仿宋_GB2312" w:hAnsi="仿宋" w:eastAsia="仿宋_GB2312"/>
          <w:color w:val="auto"/>
          <w:sz w:val="24"/>
        </w:rPr>
        <w:t>https://www.zcygov.cn/）</w:t>
      </w:r>
    </w:p>
    <w:p>
      <w:pPr>
        <w:spacing w:line="360" w:lineRule="auto"/>
        <w:rPr>
          <w:rFonts w:ascii="仿宋_GB2312" w:hAnsi="仿宋" w:eastAsia="仿宋_GB2312"/>
          <w:color w:val="auto"/>
          <w:sz w:val="24"/>
        </w:rPr>
      </w:pPr>
      <w:r>
        <w:rPr>
          <w:rFonts w:hint="eastAsia" w:ascii="仿宋_GB2312" w:hAnsi="仿宋" w:eastAsia="仿宋_GB2312"/>
          <w:b/>
          <w:color w:val="auto"/>
          <w:sz w:val="24"/>
        </w:rPr>
        <w:t>五、公告期限</w:t>
      </w:r>
      <w:r>
        <w:rPr>
          <w:rFonts w:ascii="仿宋_GB2312" w:hAnsi="仿宋" w:eastAsia="仿宋_GB2312"/>
          <w:b/>
          <w:color w:val="auto"/>
          <w:sz w:val="24"/>
        </w:rPr>
        <w:t xml:space="preserve"> </w:t>
      </w:r>
    </w:p>
    <w:p>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自本公告发布之日起</w:t>
      </w:r>
      <w:r>
        <w:rPr>
          <w:rFonts w:ascii="仿宋_GB2312" w:hAnsi="仿宋" w:eastAsia="仿宋_GB2312"/>
          <w:color w:val="auto"/>
          <w:sz w:val="24"/>
        </w:rPr>
        <w:t>5个工作日。</w:t>
      </w:r>
    </w:p>
    <w:p>
      <w:pPr>
        <w:spacing w:line="360" w:lineRule="auto"/>
        <w:rPr>
          <w:rFonts w:ascii="仿宋_GB2312" w:hAnsi="仿宋" w:eastAsia="仿宋_GB2312"/>
          <w:b/>
          <w:color w:val="auto"/>
          <w:sz w:val="24"/>
        </w:rPr>
      </w:pPr>
      <w:r>
        <w:rPr>
          <w:rFonts w:hint="eastAsia" w:ascii="仿宋_GB2312" w:hAnsi="仿宋" w:eastAsia="仿宋_GB2312"/>
          <w:b/>
          <w:color w:val="auto"/>
          <w:sz w:val="24"/>
        </w:rPr>
        <w:t>六、其他补充事宜</w:t>
      </w:r>
    </w:p>
    <w:p>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 xml:space="preserve">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    </w:t>
      </w:r>
    </w:p>
    <w:p>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_GB2312"/>
          <w:color w:val="auto"/>
          <w:sz w:val="24"/>
        </w:rPr>
      </w:pPr>
      <w:r>
        <w:rPr>
          <w:rFonts w:hint="eastAsia" w:ascii="仿宋_GB2312" w:hAnsi="仿宋" w:eastAsia="仿宋_GB2312"/>
          <w:color w:val="auto"/>
          <w:sz w:val="24"/>
        </w:rPr>
        <w:t>4.其他事项：</w:t>
      </w:r>
      <w:r>
        <w:rPr>
          <w:rFonts w:hint="eastAsia" w:ascii="仿宋_GB2312" w:hAnsi="仿宋" w:eastAsia="仿宋_GB2312" w:cs="仿宋_GB2312"/>
          <w:color w:val="auto"/>
          <w:sz w:val="24"/>
        </w:rPr>
        <w:t>①</w:t>
      </w:r>
      <w:r>
        <w:rPr>
          <w:rFonts w:ascii="仿宋_GB2312" w:hAnsi="仿宋" w:eastAsia="仿宋_GB2312" w:cs="仿宋_GB2312"/>
          <w:color w:val="auto"/>
          <w:sz w:val="24"/>
        </w:rPr>
        <w:t>电子招投标：本项目以数据电文形式，依托“政府采购云平台（www.zcygov.cn）”进行招投标活动，不接受纸质投标文件</w:t>
      </w:r>
      <w:r>
        <w:rPr>
          <w:rFonts w:hint="eastAsia" w:ascii="仿宋_GB2312" w:hAnsi="仿宋" w:eastAsia="仿宋_GB2312" w:cs="仿宋_GB2312"/>
          <w:color w:val="auto"/>
          <w:sz w:val="24"/>
        </w:rPr>
        <w:t>；②</w:t>
      </w:r>
      <w:r>
        <w:rPr>
          <w:rFonts w:ascii="仿宋_GB2312" w:hAnsi="仿宋" w:eastAsia="仿宋_GB2312" w:cs="仿宋_GB2312"/>
          <w:color w:val="auto"/>
          <w:sz w:val="24"/>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sz w:val="24"/>
        </w:rPr>
        <w:t>采云电子交易客户端”</w:t>
      </w:r>
      <w:r>
        <w:rPr>
          <w:rFonts w:ascii="仿宋_GB2312" w:hAnsi="仿宋" w:eastAsia="仿宋_GB2312" w:cs="仿宋_GB2312"/>
          <w:color w:val="auto"/>
          <w:sz w:val="24"/>
        </w:rPr>
        <w:t>----前往“浙江政府采购网-下载专区-电子交易客户端”进行下载并安装</w:t>
      </w:r>
      <w:r>
        <w:rPr>
          <w:rFonts w:hint="eastAsia" w:ascii="仿宋_GB2312" w:hAnsi="仿宋" w:eastAsia="仿宋_GB2312" w:cs="仿宋_GB2312"/>
          <w:color w:val="auto"/>
          <w:sz w:val="24"/>
        </w:rPr>
        <w:t>；③</w:t>
      </w:r>
      <w:r>
        <w:rPr>
          <w:rFonts w:ascii="仿宋_GB2312" w:hAnsi="仿宋" w:eastAsia="仿宋_GB2312" w:cs="仿宋_GB2312"/>
          <w:color w:val="auto"/>
          <w:sz w:val="24"/>
        </w:rPr>
        <w:t>招标文件的获取：使用账号登录或者使用CA登录政</w:t>
      </w:r>
      <w:r>
        <w:rPr>
          <w:rFonts w:hint="eastAsia" w:ascii="仿宋_GB2312" w:hAnsi="仿宋" w:eastAsia="仿宋_GB2312" w:cs="仿宋_GB2312"/>
          <w:color w:val="auto"/>
          <w:sz w:val="24"/>
        </w:rPr>
        <w:t>采云平台；进入“项目采购”应用，在获取采购文件菜单中选择项目，获取招标文件；④</w:t>
      </w:r>
      <w:r>
        <w:rPr>
          <w:rFonts w:ascii="仿宋_GB2312" w:hAnsi="仿宋" w:eastAsia="仿宋_GB2312" w:cs="仿宋_GB2312"/>
          <w:color w:val="auto"/>
          <w:sz w:val="24"/>
        </w:rPr>
        <w:t>投标文件的制作：在“政</w:t>
      </w:r>
      <w:r>
        <w:rPr>
          <w:rFonts w:hint="eastAsia" w:ascii="仿宋_GB2312" w:hAnsi="仿宋" w:eastAsia="仿宋_GB2312" w:cs="仿宋_GB2312"/>
          <w:color w:val="auto"/>
          <w:sz w:val="24"/>
        </w:rPr>
        <w:t>采云电子交易客户端”中完成“填写基本信息”、“导入投标文件”、“标书关联”、“标书检查”、“电子签名”、“生成电子标书”等操作；</w:t>
      </w:r>
      <w:r>
        <w:rPr>
          <w:rFonts w:hint="eastAsia" w:ascii="仿宋_GB2312" w:hAnsi="仿宋" w:eastAsia="仿宋_GB2312"/>
          <w:color w:val="auto"/>
          <w:sz w:val="24"/>
        </w:rPr>
        <w:t>⑤</w:t>
      </w:r>
      <w:r>
        <w:rPr>
          <w:rFonts w:ascii="仿宋_GB2312" w:hAnsi="仿宋" w:eastAsia="仿宋_GB2312"/>
          <w:color w:val="auto"/>
          <w:sz w:val="24"/>
        </w:rPr>
        <w:t>采购人、采购机构将依托政</w:t>
      </w:r>
      <w:r>
        <w:rPr>
          <w:rFonts w:hint="eastAsia" w:ascii="仿宋_GB2312" w:hAnsi="仿宋" w:eastAsia="仿宋_GB2312"/>
          <w:color w:val="auto"/>
          <w:sz w:val="24"/>
        </w:rPr>
        <w:t>采云平台完成本项目的电子交易活动，平台不接受未按上述方式获取招标文件的供应商进行投标活动；⑥</w:t>
      </w:r>
      <w:r>
        <w:rPr>
          <w:rFonts w:ascii="仿宋_GB2312" w:hAnsi="仿宋" w:eastAsia="仿宋_GB2312"/>
          <w:color w:val="auto"/>
          <w:sz w:val="24"/>
        </w:rPr>
        <w:t>对未按上述方式获取招标文件的供应商对该文件提出的质疑，采购人或采购代理机构将</w:t>
      </w:r>
      <w:r>
        <w:rPr>
          <w:rFonts w:hint="eastAsia" w:ascii="仿宋_GB2312" w:hAnsi="仿宋" w:eastAsia="仿宋_GB2312"/>
          <w:color w:val="auto"/>
          <w:sz w:val="24"/>
        </w:rPr>
        <w:t>不予处理；⑦</w:t>
      </w:r>
      <w:r>
        <w:rPr>
          <w:rFonts w:ascii="仿宋_GB2312" w:hAnsi="仿宋" w:eastAsia="仿宋_GB2312"/>
          <w:color w:val="auto"/>
          <w:sz w:val="24"/>
        </w:rPr>
        <w:t>不提供招标文件纸质版</w:t>
      </w:r>
      <w:r>
        <w:rPr>
          <w:rFonts w:hint="eastAsia" w:ascii="仿宋_GB2312" w:hAnsi="仿宋" w:eastAsia="仿宋_GB2312"/>
          <w:color w:val="auto"/>
          <w:sz w:val="24"/>
        </w:rPr>
        <w:t>；</w:t>
      </w:r>
      <w:r>
        <w:rPr>
          <w:rFonts w:hint="eastAsia" w:ascii="仿宋_GB2312" w:hAnsi="仿宋" w:eastAsia="仿宋_GB2312" w:cs="仿宋_GB2312"/>
          <w:color w:val="auto"/>
          <w:sz w:val="24"/>
        </w:rPr>
        <w:t>⑧</w:t>
      </w:r>
      <w:r>
        <w:rPr>
          <w:rFonts w:ascii="仿宋_GB2312" w:hAnsi="仿宋" w:eastAsia="仿宋_GB2312" w:cs="仿宋_GB2312"/>
          <w:color w:val="auto"/>
          <w:sz w:val="24"/>
        </w:rPr>
        <w:t>投标文件的传输递交：投标人在投标截止时间前将加密的投标文件上传至政府采购云平台，还可以在投标截止时间前直接提交或者以邮政快递方式递交备份投标文件1份</w:t>
      </w:r>
      <w:r>
        <w:rPr>
          <w:rFonts w:hint="eastAsia" w:ascii="仿宋_GB2312" w:hAnsi="仿宋" w:eastAsia="仿宋_GB2312" w:cs="仿宋_GB2312"/>
          <w:color w:val="auto"/>
          <w:sz w:val="24"/>
        </w:rPr>
        <w:t>【地址：</w:t>
      </w:r>
      <w:r>
        <w:rPr>
          <w:rFonts w:hint="eastAsia" w:ascii="仿宋_GB2312" w:hAnsi="仿宋" w:eastAsia="仿宋_GB2312"/>
          <w:color w:val="auto"/>
          <w:sz w:val="24"/>
        </w:rPr>
        <w:t>嘉善县魏塘街道环北西路261-263号嘉善县公共资源交易中心</w:t>
      </w:r>
      <w:r>
        <w:rPr>
          <w:rFonts w:hint="eastAsia" w:ascii="仿宋_GB2312" w:hAnsi="仿宋" w:eastAsia="仿宋_GB2312" w:cs="仿宋_GB2312"/>
          <w:color w:val="auto"/>
          <w:sz w:val="24"/>
        </w:rPr>
        <w:t>；收件人：陆俊余；电话：0573-84129502；快递寄出同时，项目被授权代表须以邮件方式将快递单号、项目名称、公司名称、被授权代表姓名及联系方式等内容（邮件格式为：项目编号+快递单号+公司名称+被授权代表姓名及联系方式）发送至集中采购机构联系人邮箱(330292078@qq.com)。如供应商选择快递费到付，集中采购机构将拒签。】</w:t>
      </w:r>
      <w:r>
        <w:rPr>
          <w:rFonts w:ascii="仿宋_GB2312" w:hAnsi="仿宋" w:eastAsia="仿宋_GB2312" w:cs="仿宋_GB2312"/>
          <w:color w:val="auto"/>
          <w:sz w:val="24"/>
        </w:rPr>
        <w:t>备份投标文件的制作、存储、密封详见招标文件第</w:t>
      </w:r>
      <w:r>
        <w:rPr>
          <w:rFonts w:hint="eastAsia" w:ascii="仿宋_GB2312" w:hAnsi="仿宋" w:eastAsia="仿宋_GB2312" w:cs="仿宋_GB2312"/>
          <w:color w:val="auto"/>
          <w:sz w:val="24"/>
        </w:rPr>
        <w:t>三章</w:t>
      </w:r>
      <w:r>
        <w:rPr>
          <w:rFonts w:ascii="仿宋_GB2312" w:hAnsi="仿宋" w:eastAsia="仿宋_GB2312" w:cs="仿宋_GB2312"/>
          <w:color w:val="auto"/>
          <w:sz w:val="24"/>
        </w:rPr>
        <w:t>—“备份投标文件”</w:t>
      </w:r>
      <w:r>
        <w:rPr>
          <w:rFonts w:hint="eastAsia" w:ascii="仿宋_GB2312" w:hAnsi="仿宋" w:eastAsia="仿宋_GB2312" w:cs="仿宋_GB2312"/>
          <w:color w:val="auto"/>
          <w:sz w:val="24"/>
        </w:rPr>
        <w:t>；</w:t>
      </w:r>
      <w:r>
        <w:rPr>
          <w:rFonts w:hint="eastAsia" w:ascii="仿宋_GB2312" w:hAnsi="仿宋" w:eastAsia="仿宋_GB2312"/>
          <w:color w:val="auto"/>
          <w:sz w:val="24"/>
        </w:rPr>
        <w:t>⑨</w:t>
      </w:r>
      <w:r>
        <w:rPr>
          <w:rFonts w:hint="eastAsia" w:ascii="仿宋_GB2312" w:hAnsi="仿宋" w:eastAsia="仿宋_GB2312" w:cs="仿宋_GB2312"/>
          <w:color w:val="auto"/>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color w:val="auto"/>
          <w:sz w:val="24"/>
        </w:rPr>
        <w:t>具体操作指南：详见政</w:t>
      </w:r>
      <w:r>
        <w:rPr>
          <w:rFonts w:hint="eastAsia" w:ascii="仿宋_GB2312" w:hAnsi="仿宋" w:eastAsia="仿宋_GB2312" w:cs="仿宋_GB2312"/>
          <w:color w:val="auto"/>
          <w:sz w:val="24"/>
        </w:rPr>
        <w:t>采云平台“服务中心</w:t>
      </w:r>
      <w:r>
        <w:rPr>
          <w:rFonts w:ascii="仿宋_GB2312" w:hAnsi="仿宋" w:eastAsia="仿宋_GB2312" w:cs="仿宋_GB2312"/>
          <w:color w:val="auto"/>
          <w:sz w:val="24"/>
        </w:rPr>
        <w:t>-帮助文档-项目采购-操作流程-电子招投标-政府采购项目电子交易管理操作指南-供应商”。</w:t>
      </w:r>
    </w:p>
    <w:p>
      <w:pPr>
        <w:spacing w:line="360" w:lineRule="auto"/>
        <w:rPr>
          <w:rFonts w:ascii="仿宋_GB2312" w:hAnsi="仿宋" w:eastAsia="仿宋_GB2312"/>
          <w:b/>
          <w:color w:val="auto"/>
          <w:sz w:val="24"/>
        </w:rPr>
      </w:pPr>
      <w:r>
        <w:rPr>
          <w:rFonts w:hint="eastAsia" w:ascii="仿宋_GB2312" w:hAnsi="仿宋" w:eastAsia="仿宋_GB2312"/>
          <w:b/>
          <w:color w:val="auto"/>
          <w:sz w:val="24"/>
        </w:rPr>
        <w:t>七、对本次招标提出询问，请按以下方式联系</w:t>
      </w:r>
    </w:p>
    <w:p>
      <w:pPr>
        <w:spacing w:line="360" w:lineRule="auto"/>
        <w:rPr>
          <w:rFonts w:ascii="仿宋_GB2312" w:hAnsi="仿宋" w:eastAsia="仿宋_GB2312"/>
          <w:color w:val="auto"/>
          <w:sz w:val="24"/>
        </w:rPr>
      </w:pPr>
      <w:r>
        <w:rPr>
          <w:rFonts w:ascii="仿宋_GB2312" w:hAnsi="仿宋" w:eastAsia="仿宋_GB2312"/>
          <w:color w:val="auto"/>
          <w:sz w:val="24"/>
        </w:rPr>
        <w:t xml:space="preserve">    1.采购人信息</w:t>
      </w:r>
    </w:p>
    <w:p>
      <w:pPr>
        <w:spacing w:line="360" w:lineRule="auto"/>
        <w:rPr>
          <w:rFonts w:ascii="仿宋_GB2312" w:hAnsi="仿宋" w:eastAsia="仿宋_GB2312"/>
          <w:color w:val="auto"/>
          <w:sz w:val="24"/>
        </w:rPr>
      </w:pPr>
      <w:r>
        <w:rPr>
          <w:rFonts w:ascii="仿宋_GB2312" w:hAnsi="仿宋" w:eastAsia="仿宋_GB2312"/>
          <w:color w:val="auto"/>
          <w:sz w:val="24"/>
        </w:rPr>
        <w:t xml:space="preserve">    名    称：</w:t>
      </w:r>
      <w:r>
        <w:rPr>
          <w:rFonts w:hint="eastAsia" w:ascii="仿宋_GB2312" w:hAnsi="仿宋" w:eastAsia="仿宋_GB2312"/>
          <w:color w:val="auto"/>
          <w:sz w:val="24"/>
          <w:lang w:eastAsia="zh-CN"/>
        </w:rPr>
        <w:t>嘉善县第四幼儿园教育集团硕士幼儿园</w:t>
      </w:r>
      <w:r>
        <w:rPr>
          <w:rFonts w:ascii="仿宋_GB2312" w:hAnsi="仿宋" w:eastAsia="仿宋_GB2312"/>
          <w:color w:val="auto"/>
          <w:sz w:val="24"/>
        </w:rPr>
        <w:t xml:space="preserve">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地    址：</w:t>
      </w:r>
      <w:r>
        <w:rPr>
          <w:rFonts w:hint="eastAsia" w:ascii="仿宋_GB2312" w:hAnsi="仿宋" w:eastAsia="仿宋_GB2312"/>
          <w:color w:val="auto"/>
          <w:sz w:val="24"/>
        </w:rPr>
        <w:t>嘉善县体育路硕士幼儿园</w:t>
      </w:r>
      <w:r>
        <w:rPr>
          <w:rFonts w:ascii="仿宋_GB2312" w:hAnsi="仿宋" w:eastAsia="仿宋_GB2312"/>
          <w:color w:val="auto"/>
          <w:sz w:val="24"/>
        </w:rPr>
        <w:t xml:space="preserve">      </w:t>
      </w:r>
    </w:p>
    <w:p>
      <w:pPr>
        <w:spacing w:line="360" w:lineRule="auto"/>
        <w:ind w:firstLine="480"/>
        <w:rPr>
          <w:rFonts w:ascii="仿宋_GB2312" w:hAnsi="仿宋" w:eastAsia="仿宋_GB2312"/>
          <w:color w:val="auto"/>
          <w:sz w:val="24"/>
        </w:rPr>
      </w:pPr>
      <w:r>
        <w:rPr>
          <w:rFonts w:hint="eastAsia" w:ascii="仿宋_GB2312" w:hAnsi="仿宋" w:eastAsia="仿宋_GB2312"/>
          <w:color w:val="auto"/>
          <w:sz w:val="24"/>
        </w:rPr>
        <w:t>传</w:t>
      </w:r>
      <w:r>
        <w:rPr>
          <w:rFonts w:ascii="仿宋_GB2312" w:hAnsi="仿宋" w:eastAsia="仿宋_GB2312"/>
          <w:color w:val="auto"/>
          <w:sz w:val="24"/>
        </w:rPr>
        <w:t xml:space="preserve">    真： </w:t>
      </w:r>
      <w:r>
        <w:rPr>
          <w:rFonts w:ascii="仿宋" w:hAnsi="仿宋" w:eastAsia="仿宋"/>
          <w:color w:val="auto"/>
          <w:sz w:val="24"/>
        </w:rPr>
        <w:t>/</w:t>
      </w:r>
    </w:p>
    <w:p>
      <w:pPr>
        <w:spacing w:line="360" w:lineRule="auto"/>
        <w:ind w:firstLine="480"/>
        <w:rPr>
          <w:rFonts w:ascii="仿宋_GB2312" w:hAnsi="仿宋" w:eastAsia="仿宋"/>
          <w:color w:val="auto"/>
          <w:sz w:val="24"/>
        </w:rPr>
      </w:pPr>
      <w:r>
        <w:rPr>
          <w:rFonts w:hint="eastAsia" w:ascii="仿宋_GB2312" w:hAnsi="仿宋" w:eastAsia="仿宋_GB2312"/>
          <w:color w:val="auto"/>
          <w:sz w:val="24"/>
        </w:rPr>
        <w:t>项目联系人（询问）：徐琳琼</w:t>
      </w:r>
      <w:r>
        <w:rPr>
          <w:rFonts w:ascii="仿宋_GB2312" w:hAnsi="仿宋" w:eastAsia="仿宋_GB2312"/>
          <w:color w:val="auto"/>
          <w:sz w:val="24"/>
        </w:rPr>
        <w:t xml:space="preserve"> </w:t>
      </w:r>
      <w:r>
        <w:rPr>
          <w:rFonts w:hint="eastAsia" w:ascii="仿宋" w:hAnsi="仿宋" w:eastAsia="仿宋"/>
          <w:color w:val="auto"/>
          <w:sz w:val="24"/>
        </w:rPr>
        <w:t xml:space="preserve">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项目联系方式（询问）：</w:t>
      </w:r>
      <w:r>
        <w:rPr>
          <w:rFonts w:hint="eastAsia" w:ascii="仿宋_GB2312" w:hAnsi="仿宋" w:eastAsia="仿宋_GB2312"/>
          <w:color w:val="auto"/>
          <w:sz w:val="24"/>
        </w:rPr>
        <w:t xml:space="preserve">0573-84033628 </w:t>
      </w:r>
    </w:p>
    <w:p>
      <w:pPr>
        <w:spacing w:line="360" w:lineRule="auto"/>
        <w:rPr>
          <w:rFonts w:ascii="仿宋" w:hAnsi="仿宋" w:eastAsia="仿宋"/>
          <w:color w:val="auto"/>
          <w:sz w:val="24"/>
        </w:rPr>
      </w:pPr>
      <w:r>
        <w:rPr>
          <w:rFonts w:ascii="仿宋_GB2312" w:hAnsi="仿宋" w:eastAsia="仿宋_GB2312"/>
          <w:color w:val="auto"/>
          <w:sz w:val="24"/>
        </w:rPr>
        <w:t xml:space="preserve">    质疑联系人：</w:t>
      </w:r>
      <w:r>
        <w:rPr>
          <w:rFonts w:hint="eastAsia" w:ascii="仿宋_GB2312" w:hAnsi="仿宋" w:eastAsia="仿宋_GB2312"/>
          <w:color w:val="auto"/>
          <w:sz w:val="24"/>
        </w:rPr>
        <w:t>朱雯</w:t>
      </w:r>
      <w:r>
        <w:rPr>
          <w:rFonts w:hint="eastAsia" w:ascii="仿宋" w:hAnsi="仿宋" w:eastAsia="仿宋"/>
          <w:color w:val="auto"/>
          <w:sz w:val="24"/>
        </w:rPr>
        <w:t xml:space="preserve"> </w:t>
      </w:r>
    </w:p>
    <w:p>
      <w:pPr>
        <w:spacing w:line="360" w:lineRule="auto"/>
        <w:ind w:firstLine="480"/>
        <w:rPr>
          <w:rFonts w:hint="eastAsia" w:ascii="仿宋_GB2312" w:hAnsi="仿宋" w:eastAsia="仿宋_GB2312"/>
          <w:color w:val="auto"/>
          <w:sz w:val="24"/>
        </w:rPr>
      </w:pPr>
      <w:r>
        <w:rPr>
          <w:rFonts w:ascii="仿宋_GB2312" w:hAnsi="仿宋" w:eastAsia="仿宋_GB2312"/>
          <w:color w:val="auto"/>
          <w:sz w:val="24"/>
        </w:rPr>
        <w:t>质疑联系方式：</w:t>
      </w:r>
      <w:r>
        <w:rPr>
          <w:rFonts w:hint="eastAsia" w:ascii="仿宋_GB2312" w:hAnsi="仿宋" w:eastAsia="仿宋_GB2312"/>
          <w:color w:val="auto"/>
          <w:sz w:val="24"/>
        </w:rPr>
        <w:t>15325733858</w:t>
      </w:r>
    </w:p>
    <w:p>
      <w:pPr>
        <w:spacing w:line="360" w:lineRule="auto"/>
        <w:ind w:firstLine="480"/>
        <w:rPr>
          <w:rFonts w:ascii="仿宋_GB2312" w:hAnsi="仿宋" w:eastAsia="仿宋_GB2312"/>
          <w:color w:val="auto"/>
          <w:sz w:val="24"/>
        </w:rPr>
      </w:pPr>
      <w:r>
        <w:rPr>
          <w:rFonts w:ascii="仿宋_GB2312" w:hAnsi="仿宋" w:eastAsia="仿宋_GB2312"/>
          <w:color w:val="auto"/>
          <w:sz w:val="24"/>
        </w:rPr>
        <w:t xml:space="preserve">2.采购代理机构信息            </w:t>
      </w:r>
    </w:p>
    <w:p>
      <w:pPr>
        <w:spacing w:line="360" w:lineRule="auto"/>
        <w:ind w:firstLine="480"/>
        <w:rPr>
          <w:rFonts w:ascii="仿宋_GB2312" w:hAnsi="仿宋" w:eastAsia="仿宋_GB2312"/>
          <w:color w:val="auto"/>
          <w:sz w:val="24"/>
        </w:rPr>
      </w:pPr>
      <w:r>
        <w:rPr>
          <w:rFonts w:hint="eastAsia" w:ascii="仿宋_GB2312" w:hAnsi="仿宋" w:eastAsia="仿宋_GB2312"/>
          <w:color w:val="auto"/>
          <w:sz w:val="24"/>
        </w:rPr>
        <w:t>名</w:t>
      </w:r>
      <w:r>
        <w:rPr>
          <w:rFonts w:ascii="仿宋_GB2312" w:hAnsi="仿宋" w:eastAsia="仿宋_GB2312"/>
          <w:color w:val="auto"/>
          <w:sz w:val="24"/>
        </w:rPr>
        <w:t xml:space="preserve">    </w:t>
      </w:r>
      <w:r>
        <w:rPr>
          <w:rFonts w:hint="eastAsia" w:ascii="仿宋_GB2312" w:hAnsi="仿宋" w:eastAsia="仿宋_GB2312"/>
          <w:color w:val="auto"/>
          <w:sz w:val="24"/>
        </w:rPr>
        <w:t>称：嘉善县公共资源交易中心</w:t>
      </w:r>
    </w:p>
    <w:p>
      <w:pPr>
        <w:spacing w:line="360" w:lineRule="auto"/>
        <w:ind w:firstLine="480"/>
        <w:rPr>
          <w:rFonts w:ascii="仿宋_GB2312" w:hAnsi="仿宋" w:eastAsia="仿宋"/>
          <w:color w:val="auto"/>
          <w:sz w:val="24"/>
        </w:rPr>
      </w:pPr>
      <w:r>
        <w:rPr>
          <w:rFonts w:hint="eastAsia" w:ascii="仿宋_GB2312" w:hAnsi="仿宋" w:eastAsia="仿宋_GB2312"/>
          <w:color w:val="auto"/>
          <w:sz w:val="24"/>
        </w:rPr>
        <w:t>地</w:t>
      </w:r>
      <w:r>
        <w:rPr>
          <w:rFonts w:ascii="仿宋_GB2312" w:hAnsi="仿宋" w:eastAsia="仿宋_GB2312"/>
          <w:color w:val="auto"/>
          <w:sz w:val="24"/>
        </w:rPr>
        <w:t xml:space="preserve">    </w:t>
      </w:r>
      <w:r>
        <w:rPr>
          <w:rFonts w:hint="eastAsia" w:ascii="仿宋_GB2312" w:hAnsi="仿宋" w:eastAsia="仿宋_GB2312"/>
          <w:color w:val="auto"/>
          <w:sz w:val="24"/>
        </w:rPr>
        <w:t>址：嘉善县魏塘街道环北西路261-263号</w:t>
      </w:r>
      <w:r>
        <w:rPr>
          <w:rFonts w:hint="eastAsia" w:ascii="仿宋" w:hAnsi="仿宋" w:eastAsia="仿宋"/>
          <w:color w:val="auto"/>
          <w:sz w:val="24"/>
        </w:rPr>
        <w:t xml:space="preserve">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传    真：</w:t>
      </w:r>
      <w:r>
        <w:rPr>
          <w:rFonts w:hint="eastAsia" w:ascii="仿宋_GB2312" w:hAnsi="仿宋" w:eastAsia="仿宋_GB2312"/>
          <w:color w:val="auto"/>
          <w:sz w:val="24"/>
        </w:rPr>
        <w:t>0573-84129636</w:t>
      </w:r>
      <w:r>
        <w:rPr>
          <w:rFonts w:ascii="仿宋_GB2312" w:hAnsi="仿宋" w:eastAsia="仿宋_GB2312"/>
          <w:color w:val="auto"/>
          <w:sz w:val="24"/>
        </w:rPr>
        <w:t xml:space="preserve">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项目联系人（询问）：</w:t>
      </w:r>
      <w:r>
        <w:rPr>
          <w:rFonts w:hint="eastAsia" w:ascii="仿宋_GB2312" w:hAnsi="仿宋" w:eastAsia="仿宋_GB2312"/>
          <w:color w:val="auto"/>
          <w:sz w:val="24"/>
          <w:lang w:val="en-US" w:eastAsia="zh-CN"/>
        </w:rPr>
        <w:t>陆俊余</w:t>
      </w:r>
      <w:r>
        <w:rPr>
          <w:rFonts w:hint="eastAsia" w:ascii="仿宋" w:hAnsi="仿宋" w:eastAsia="仿宋"/>
          <w:color w:val="auto"/>
          <w:sz w:val="24"/>
        </w:rPr>
        <w:t xml:space="preserve"> </w:t>
      </w:r>
      <w:r>
        <w:rPr>
          <w:rFonts w:ascii="仿宋_GB2312" w:hAnsi="仿宋" w:eastAsia="仿宋_GB2312"/>
          <w:color w:val="auto"/>
          <w:sz w:val="24"/>
        </w:rPr>
        <w:t xml:space="preserve">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项目联系方式（询问）：</w:t>
      </w:r>
      <w:r>
        <w:rPr>
          <w:rFonts w:hint="eastAsia" w:ascii="仿宋_GB2312" w:hAnsi="仿宋" w:eastAsia="仿宋_GB2312"/>
          <w:color w:val="auto"/>
          <w:sz w:val="24"/>
        </w:rPr>
        <w:t xml:space="preserve">0573-84129502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质疑联系人：</w:t>
      </w:r>
      <w:r>
        <w:rPr>
          <w:rFonts w:hint="eastAsia" w:ascii="仿宋_GB2312" w:hAnsi="仿宋" w:eastAsia="仿宋_GB2312"/>
          <w:color w:val="auto"/>
          <w:sz w:val="24"/>
        </w:rPr>
        <w:t>任</w:t>
      </w:r>
      <w:r>
        <w:rPr>
          <w:rFonts w:hint="eastAsia" w:ascii="仿宋_GB2312" w:hAnsi="仿宋" w:eastAsia="仿宋_GB2312"/>
          <w:color w:val="auto"/>
          <w:sz w:val="24"/>
          <w:lang w:val="en-US" w:eastAsia="zh-CN"/>
        </w:rPr>
        <w:t>佶</w:t>
      </w:r>
      <w:r>
        <w:rPr>
          <w:rFonts w:hint="eastAsia" w:ascii="仿宋" w:hAnsi="仿宋" w:eastAsia="仿宋"/>
          <w:color w:val="auto"/>
          <w:sz w:val="24"/>
        </w:rPr>
        <w:t xml:space="preserve"> </w:t>
      </w:r>
      <w:r>
        <w:rPr>
          <w:rFonts w:ascii="仿宋_GB2312" w:hAnsi="仿宋" w:eastAsia="仿宋_GB2312"/>
          <w:color w:val="auto"/>
          <w:sz w:val="24"/>
        </w:rPr>
        <w:t xml:space="preserve">            </w:t>
      </w:r>
    </w:p>
    <w:p>
      <w:pPr>
        <w:spacing w:line="360" w:lineRule="auto"/>
        <w:rPr>
          <w:rFonts w:ascii="仿宋" w:hAnsi="仿宋" w:eastAsia="仿宋"/>
          <w:color w:val="auto"/>
          <w:sz w:val="24"/>
        </w:rPr>
      </w:pPr>
      <w:r>
        <w:rPr>
          <w:rFonts w:ascii="仿宋_GB2312" w:hAnsi="仿宋" w:eastAsia="仿宋_GB2312"/>
          <w:color w:val="auto"/>
          <w:sz w:val="24"/>
        </w:rPr>
        <w:t xml:space="preserve">    质疑联系方式：</w:t>
      </w:r>
      <w:r>
        <w:rPr>
          <w:rFonts w:hint="eastAsia" w:ascii="仿宋_GB2312" w:hAnsi="仿宋" w:eastAsia="仿宋_GB2312"/>
          <w:color w:val="auto"/>
          <w:sz w:val="24"/>
        </w:rPr>
        <w:t>0573-84601761</w:t>
      </w:r>
      <w:r>
        <w:rPr>
          <w:rFonts w:hint="eastAsia" w:ascii="仿宋" w:hAnsi="仿宋" w:eastAsia="仿宋"/>
          <w:color w:val="auto"/>
          <w:sz w:val="24"/>
        </w:rPr>
        <w:t xml:space="preserve">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3.同级政府采购监督管理部门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名    称：</w:t>
      </w:r>
      <w:r>
        <w:rPr>
          <w:rFonts w:hint="eastAsia" w:ascii="仿宋_GB2312" w:hAnsi="仿宋" w:eastAsia="仿宋_GB2312"/>
          <w:color w:val="auto"/>
          <w:sz w:val="24"/>
        </w:rPr>
        <w:t>嘉善县财政局</w:t>
      </w:r>
    </w:p>
    <w:p>
      <w:pPr>
        <w:spacing w:line="360" w:lineRule="auto"/>
        <w:rPr>
          <w:rFonts w:ascii="仿宋_GB2312" w:hAnsi="仿宋" w:eastAsia="仿宋_GB2312"/>
          <w:color w:val="auto"/>
          <w:sz w:val="24"/>
        </w:rPr>
      </w:pPr>
      <w:r>
        <w:rPr>
          <w:rFonts w:ascii="仿宋_GB2312" w:hAnsi="仿宋" w:eastAsia="仿宋_GB2312"/>
          <w:color w:val="auto"/>
          <w:sz w:val="24"/>
        </w:rPr>
        <w:t xml:space="preserve">    地    址：</w:t>
      </w:r>
      <w:r>
        <w:rPr>
          <w:rFonts w:hint="eastAsia" w:ascii="仿宋_GB2312" w:hAnsi="仿宋" w:eastAsia="仿宋_GB2312"/>
          <w:color w:val="auto"/>
          <w:sz w:val="24"/>
        </w:rPr>
        <w:t xml:space="preserve">嘉善县解放东路318号 </w:t>
      </w:r>
    </w:p>
    <w:p>
      <w:pPr>
        <w:spacing w:line="360" w:lineRule="auto"/>
        <w:ind w:firstLine="240" w:firstLineChars="100"/>
        <w:rPr>
          <w:rFonts w:ascii="仿宋_GB2312" w:hAnsi="仿宋" w:eastAsia="仿宋_GB2312"/>
          <w:color w:val="auto"/>
          <w:sz w:val="24"/>
        </w:rPr>
      </w:pPr>
      <w:r>
        <w:rPr>
          <w:rFonts w:ascii="仿宋_GB2312" w:hAnsi="仿宋" w:eastAsia="仿宋_GB2312"/>
          <w:color w:val="auto"/>
          <w:sz w:val="24"/>
        </w:rPr>
        <w:t xml:space="preserve">  传    真：</w:t>
      </w:r>
      <w:r>
        <w:rPr>
          <w:rFonts w:hint="eastAsia" w:ascii="仿宋_GB2312" w:hAnsi="仿宋" w:eastAsia="仿宋_GB2312"/>
          <w:color w:val="auto"/>
          <w:sz w:val="24"/>
        </w:rPr>
        <w:t xml:space="preserve">0573-84122528 </w:t>
      </w:r>
    </w:p>
    <w:p>
      <w:pPr>
        <w:spacing w:line="360" w:lineRule="auto"/>
        <w:rPr>
          <w:rFonts w:ascii="仿宋_GB2312" w:hAnsi="仿宋" w:eastAsia="仿宋_GB2312"/>
          <w:color w:val="auto"/>
          <w:sz w:val="24"/>
        </w:rPr>
      </w:pPr>
      <w:r>
        <w:rPr>
          <w:rFonts w:ascii="仿宋_GB2312" w:hAnsi="仿宋" w:eastAsia="仿宋_GB2312"/>
          <w:color w:val="auto"/>
          <w:sz w:val="24"/>
        </w:rPr>
        <w:t xml:space="preserve">    联系人 ：</w:t>
      </w:r>
      <w:r>
        <w:rPr>
          <w:rFonts w:hint="eastAsia" w:ascii="仿宋_GB2312" w:hAnsi="仿宋" w:eastAsia="仿宋_GB2312"/>
          <w:color w:val="auto"/>
          <w:sz w:val="24"/>
        </w:rPr>
        <w:t>刘</w:t>
      </w:r>
      <w:r>
        <w:rPr>
          <w:rFonts w:hint="eastAsia" w:ascii="仿宋_GB2312" w:hAnsi="仿宋" w:eastAsia="仿宋_GB2312"/>
          <w:color w:val="auto"/>
          <w:sz w:val="24"/>
          <w:lang w:val="en-US" w:eastAsia="zh-CN"/>
        </w:rPr>
        <w:t>冰</w:t>
      </w:r>
      <w:r>
        <w:rPr>
          <w:rFonts w:hint="eastAsia" w:ascii="仿宋_GB2312" w:hAnsi="仿宋" w:eastAsia="仿宋_GB2312"/>
          <w:color w:val="auto"/>
          <w:sz w:val="24"/>
        </w:rPr>
        <w:t xml:space="preserve"> </w:t>
      </w:r>
      <w:r>
        <w:rPr>
          <w:rFonts w:ascii="仿宋_GB2312" w:hAnsi="仿宋" w:eastAsia="仿宋_GB2312"/>
          <w:color w:val="auto"/>
          <w:sz w:val="24"/>
        </w:rPr>
        <w:t xml:space="preserve">   </w:t>
      </w:r>
    </w:p>
    <w:p>
      <w:pPr>
        <w:spacing w:line="360" w:lineRule="auto"/>
        <w:ind w:firstLine="480" w:firstLineChars="200"/>
        <w:rPr>
          <w:rFonts w:ascii="仿宋_GB2312" w:hAnsi="仿宋" w:eastAsia="仿宋_GB2312"/>
          <w:color w:val="auto"/>
          <w:sz w:val="24"/>
        </w:rPr>
      </w:pPr>
      <w:r>
        <w:rPr>
          <w:rFonts w:ascii="仿宋_GB2312" w:hAnsi="仿宋" w:eastAsia="仿宋_GB2312"/>
          <w:color w:val="auto"/>
          <w:sz w:val="24"/>
        </w:rPr>
        <w:t>监督投诉电话：</w:t>
      </w:r>
      <w:r>
        <w:rPr>
          <w:rFonts w:hint="eastAsia" w:ascii="仿宋_GB2312" w:hAnsi="仿宋" w:eastAsia="仿宋_GB2312"/>
          <w:color w:val="auto"/>
          <w:sz w:val="24"/>
        </w:rPr>
        <w:t xml:space="preserve">0573-84122310 </w:t>
      </w:r>
      <w:r>
        <w:rPr>
          <w:rFonts w:ascii="仿宋_GB2312" w:hAnsi="仿宋" w:eastAsia="仿宋_GB2312"/>
          <w:color w:val="auto"/>
          <w:sz w:val="24"/>
        </w:rPr>
        <w:t xml:space="preserve">         </w:t>
      </w:r>
    </w:p>
    <w:p>
      <w:pPr>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注：本采购项目，中标单位与采购人签订的政府采购合同适用于嘉兴市政府采购贷款政策，简称“政采贷”，具体内容可参阅政府采购贷款流程：http://hn.jxzbtb.cn/zxfw/005012/20181016/7e541bf4-ad29-4286-ace8-d12c1b2c54fc.html</w:t>
      </w:r>
      <w:r>
        <w:rPr>
          <w:rFonts w:hint="eastAsia" w:ascii="仿宋_GB2312" w:hAnsi="仿宋" w:eastAsia="仿宋_GB2312"/>
          <w:color w:val="auto"/>
          <w:sz w:val="24"/>
          <w:lang w:eastAsia="zh-CN"/>
        </w:rPr>
        <w:t>。</w:t>
      </w:r>
      <w:r>
        <w:rPr>
          <w:rFonts w:hint="eastAsia" w:ascii="仿宋_GB2312" w:hAnsi="仿宋" w:eastAsia="仿宋_GB2312"/>
          <w:color w:val="auto"/>
          <w:sz w:val="24"/>
        </w:rPr>
        <w:t>若对项目采购电子交易系统操作有疑问，可登录政采云（</w:t>
      </w:r>
      <w:r>
        <w:rPr>
          <w:rFonts w:ascii="仿宋_GB2312" w:hAnsi="仿宋" w:eastAsia="仿宋_GB2312"/>
          <w:color w:val="auto"/>
          <w:sz w:val="24"/>
        </w:rPr>
        <w:t>https://www.zcygov.cn/），点击右侧咨询小采，获取采小蜜智能服务管家帮助，或拨打政</w:t>
      </w:r>
      <w:r>
        <w:rPr>
          <w:rFonts w:hint="eastAsia" w:ascii="仿宋_GB2312" w:hAnsi="仿宋" w:eastAsia="仿宋_GB2312"/>
          <w:color w:val="auto"/>
          <w:sz w:val="24"/>
        </w:rPr>
        <w:t>采云服务热线</w:t>
      </w:r>
      <w:r>
        <w:rPr>
          <w:rFonts w:ascii="仿宋_GB2312" w:hAnsi="仿宋" w:eastAsia="仿宋_GB2312"/>
          <w:color w:val="auto"/>
          <w:sz w:val="24"/>
        </w:rPr>
        <w:t>400-881-7190获取热线服务帮助。</w:t>
      </w:r>
    </w:p>
    <w:p>
      <w:pPr>
        <w:spacing w:line="360" w:lineRule="auto"/>
        <w:ind w:firstLine="480" w:firstLineChars="200"/>
        <w:rPr>
          <w:rFonts w:ascii="仿宋_GB2312" w:hAnsi="仿宋" w:eastAsia="仿宋_GB2312"/>
          <w:color w:val="auto"/>
          <w:sz w:val="24"/>
        </w:rPr>
      </w:pPr>
      <w:r>
        <w:rPr>
          <w:rFonts w:ascii="仿宋_GB2312" w:hAnsi="仿宋" w:eastAsia="仿宋_GB2312"/>
          <w:color w:val="auto"/>
          <w:sz w:val="24"/>
        </w:rPr>
        <w:t>CA问题联系电话（人工）：</w:t>
      </w:r>
      <w:r>
        <w:rPr>
          <w:rFonts w:hint="eastAsia" w:ascii="仿宋_GB2312" w:hAnsi="仿宋" w:eastAsia="仿宋_GB2312"/>
          <w:color w:val="auto"/>
          <w:sz w:val="24"/>
        </w:rPr>
        <w:t>汇信</w:t>
      </w:r>
      <w:r>
        <w:rPr>
          <w:rFonts w:ascii="仿宋_GB2312" w:hAnsi="仿宋" w:eastAsia="仿宋_GB2312"/>
          <w:color w:val="auto"/>
          <w:sz w:val="24"/>
        </w:rPr>
        <w:t>CA 400-888-4636；天谷CA 400-087-8198。</w:t>
      </w:r>
    </w:p>
    <w:p>
      <w:pPr>
        <w:pStyle w:val="34"/>
        <w:spacing w:line="360" w:lineRule="auto"/>
        <w:ind w:firstLine="480" w:firstLineChars="200"/>
        <w:rPr>
          <w:rFonts w:ascii="仿宋" w:hAnsi="仿宋" w:eastAsia="仿宋" w:cs="仿宋_GB2312"/>
          <w:color w:val="auto"/>
          <w:sz w:val="24"/>
        </w:rPr>
      </w:pPr>
      <w:r>
        <w:rPr>
          <w:rFonts w:ascii="仿宋" w:hAnsi="仿宋" w:eastAsia="仿宋" w:cs="仿宋_GB2312"/>
          <w:color w:val="auto"/>
          <w:sz w:val="24"/>
        </w:rPr>
        <w:t xml:space="preserve">    </w:t>
      </w:r>
    </w:p>
    <w:p>
      <w:pPr>
        <w:pStyle w:val="80"/>
        <w:ind w:firstLine="0" w:firstLineChars="0"/>
        <w:rPr>
          <w:rFonts w:hint="eastAsia"/>
          <w:color w:val="auto"/>
          <w:lang w:val="en-US" w:eastAsia="zh-CN"/>
        </w:rPr>
        <w:sectPr>
          <w:footerReference r:id="rId5" w:type="first"/>
          <w:headerReference r:id="rId3" w:type="default"/>
          <w:footerReference r:id="rId4" w:type="default"/>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p>
    <w:p>
      <w:pPr>
        <w:numPr>
          <w:ilvl w:val="0"/>
          <w:numId w:val="1"/>
        </w:numPr>
        <w:adjustRightInd/>
        <w:spacing w:line="360" w:lineRule="auto"/>
        <w:jc w:val="center"/>
        <w:outlineLvl w:val="0"/>
        <w:rPr>
          <w:rFonts w:ascii="仿宋" w:hAnsi="仿宋" w:eastAsia="仿宋" w:cs="仿宋_GB2312"/>
          <w:b/>
          <w:color w:val="auto"/>
          <w:sz w:val="36"/>
          <w:szCs w:val="20"/>
        </w:rPr>
      </w:pPr>
      <w:r>
        <w:rPr>
          <w:rFonts w:hint="eastAsia" w:ascii="仿宋" w:hAnsi="仿宋" w:eastAsia="仿宋" w:cs="仿宋_GB2312"/>
          <w:b/>
          <w:color w:val="auto"/>
          <w:sz w:val="36"/>
          <w:szCs w:val="20"/>
        </w:rPr>
        <w:t>招标需求</w:t>
      </w:r>
    </w:p>
    <w:p>
      <w:pPr>
        <w:pStyle w:val="34"/>
        <w:numPr>
          <w:ilvl w:val="0"/>
          <w:numId w:val="2"/>
        </w:numPr>
        <w:snapToGrid w:val="0"/>
        <w:spacing w:before="120" w:after="120"/>
        <w:outlineLvl w:val="0"/>
        <w:rPr>
          <w:rFonts w:hint="eastAsia"/>
        </w:rPr>
      </w:pPr>
      <w:r>
        <w:rPr>
          <w:rFonts w:hint="eastAsia" w:hAnsi="宋体" w:cs="宋体"/>
          <w:b/>
          <w:bCs/>
          <w:color w:val="auto"/>
          <w:sz w:val="24"/>
          <w:szCs w:val="24"/>
        </w:rPr>
        <w:t>采购清单：</w:t>
      </w:r>
    </w:p>
    <w:tbl>
      <w:tblPr>
        <w:tblStyle w:val="63"/>
        <w:tblW w:w="85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658"/>
        <w:gridCol w:w="3518"/>
        <w:gridCol w:w="482"/>
        <w:gridCol w:w="658"/>
        <w:gridCol w:w="2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玩具名称</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参数</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磁粒片</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262件套</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明细：三角形40个 正方形40个 直角三角形20个 长三角形10个 六边形2个 小长方形20个 大正方形4个 口字型25个 田字形20个 H形20个 山字形15个 小车4个 摩天轮1个 小人4个 城堡卡20个 卡块15个 说明书1份 收纳箱1个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220980</wp:posOffset>
                  </wp:positionV>
                  <wp:extent cx="1360805" cy="1405255"/>
                  <wp:effectExtent l="0" t="0" r="10795" b="4445"/>
                  <wp:wrapNone/>
                  <wp:docPr id="54" name="图片_137"/>
                  <wp:cNvGraphicFramePr/>
                  <a:graphic xmlns:a="http://schemas.openxmlformats.org/drawingml/2006/main">
                    <a:graphicData uri="http://schemas.openxmlformats.org/drawingml/2006/picture">
                      <pic:pic xmlns:pic="http://schemas.openxmlformats.org/drawingml/2006/picture">
                        <pic:nvPicPr>
                          <pic:cNvPr id="54" name="图片_137"/>
                          <pic:cNvPicPr/>
                        </pic:nvPicPr>
                        <pic:blipFill>
                          <a:blip r:embed="rId13"/>
                          <a:stretch>
                            <a:fillRect/>
                          </a:stretch>
                        </pic:blipFill>
                        <pic:spPr>
                          <a:xfrm>
                            <a:off x="0" y="0"/>
                            <a:ext cx="1360805" cy="14052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雪花片</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1000片/套，材质：聚丙烯 </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121285</wp:posOffset>
                  </wp:positionH>
                  <wp:positionV relativeFrom="paragraph">
                    <wp:posOffset>121285</wp:posOffset>
                  </wp:positionV>
                  <wp:extent cx="1333500" cy="1482090"/>
                  <wp:effectExtent l="0" t="0" r="0" b="3810"/>
                  <wp:wrapNone/>
                  <wp:docPr id="59" name="图片_161"/>
                  <wp:cNvGraphicFramePr/>
                  <a:graphic xmlns:a="http://schemas.openxmlformats.org/drawingml/2006/main">
                    <a:graphicData uri="http://schemas.openxmlformats.org/drawingml/2006/picture">
                      <pic:pic xmlns:pic="http://schemas.openxmlformats.org/drawingml/2006/picture">
                        <pic:nvPicPr>
                          <pic:cNvPr id="59" name="图片_161"/>
                          <pic:cNvPicPr/>
                        </pic:nvPicPr>
                        <pic:blipFill>
                          <a:blip r:embed="rId14"/>
                          <a:stretch>
                            <a:fillRect/>
                          </a:stretch>
                        </pic:blipFill>
                        <pic:spPr>
                          <a:xfrm>
                            <a:off x="0" y="0"/>
                            <a:ext cx="1333500" cy="14820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双面水果动物多米诺</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材质 松木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规格 32*26*3.2CM 100片</w:t>
            </w:r>
            <w:r>
              <w:rPr>
                <w:rFonts w:hint="eastAsia" w:ascii="宋体" w:hAnsi="宋体" w:eastAsia="宋体" w:cs="宋体"/>
                <w:b w:val="0"/>
                <w:bCs w:val="0"/>
                <w:i w:val="0"/>
                <w:iCs w:val="0"/>
                <w:color w:val="000000"/>
                <w:kern w:val="0"/>
                <w:sz w:val="21"/>
                <w:szCs w:val="21"/>
                <w:u w:val="none"/>
                <w:lang w:val="en-US" w:eastAsia="zh-CN" w:bidi="ar"/>
              </w:rPr>
              <w:br w:type="textWrapping"/>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688975</wp:posOffset>
                  </wp:positionV>
                  <wp:extent cx="1420495" cy="930275"/>
                  <wp:effectExtent l="0" t="0" r="8255" b="3175"/>
                  <wp:wrapNone/>
                  <wp:docPr id="60" name="图片_128"/>
                  <wp:cNvGraphicFramePr/>
                  <a:graphic xmlns:a="http://schemas.openxmlformats.org/drawingml/2006/main">
                    <a:graphicData uri="http://schemas.openxmlformats.org/drawingml/2006/picture">
                      <pic:pic xmlns:pic="http://schemas.openxmlformats.org/drawingml/2006/picture">
                        <pic:nvPicPr>
                          <pic:cNvPr id="60" name="图片_128"/>
                          <pic:cNvPicPr/>
                        </pic:nvPicPr>
                        <pic:blipFill>
                          <a:blip r:embed="rId15"/>
                          <a:stretch>
                            <a:fillRect/>
                          </a:stretch>
                        </pic:blipFill>
                        <pic:spPr>
                          <a:xfrm>
                            <a:off x="0" y="0"/>
                            <a:ext cx="1420495" cy="930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55"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蒙氏忙碌屋</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材质：榉木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功能256种，附带使用说明书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忙碌屋正面:电话机 ，拍铃，五音手敲琴，小熊打鼓板，云朵串珠，指尖陀螺，防盗链条，走位板，算珠</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忙碌屋左侧面:灯光开关，时钟，小鱼鱼鳞，鳄鱼拉链，大衣纽扣，挂扣绑带，粘扣带，系鞋带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忙碌屋右侧面:旋转齿轮，风铃牛角钩锁，插销锁，鸭嘴扣，窗钩</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忙碌屋后面:方向盘，鱼线轮，旋转水龙头，电灯，电灯开关，珠宝首饰开关，定时器，弹簧插销，手摇音乐盒</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电话机功能，电话机有声音，0-9键内含多种功能可切换。儿歌三首，催眠曲15首，交通工具声5种，止哭音效5个，天气预报5则，婴儿音效5个，钢琴曲15首，家庭称呼5个，动物5种，信息音效5个，电话音效5个，拍照音效5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262255</wp:posOffset>
                  </wp:positionH>
                  <wp:positionV relativeFrom="paragraph">
                    <wp:posOffset>645795</wp:posOffset>
                  </wp:positionV>
                  <wp:extent cx="1090930" cy="1377950"/>
                  <wp:effectExtent l="0" t="0" r="13970" b="12700"/>
                  <wp:wrapNone/>
                  <wp:docPr id="43" name="图片_179"/>
                  <wp:cNvGraphicFramePr/>
                  <a:graphic xmlns:a="http://schemas.openxmlformats.org/drawingml/2006/main">
                    <a:graphicData uri="http://schemas.openxmlformats.org/drawingml/2006/picture">
                      <pic:pic xmlns:pic="http://schemas.openxmlformats.org/drawingml/2006/picture">
                        <pic:nvPicPr>
                          <pic:cNvPr id="43" name="图片_179"/>
                          <pic:cNvPicPr/>
                        </pic:nvPicPr>
                        <pic:blipFill>
                          <a:blip r:embed="rId16"/>
                          <a:stretch>
                            <a:fillRect/>
                          </a:stretch>
                        </pic:blipFill>
                        <pic:spPr>
                          <a:xfrm>
                            <a:off x="0" y="0"/>
                            <a:ext cx="1090930" cy="1377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智慧城市交通积木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材质：荷木</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尺寸：22.5*21.5cm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100粒</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12</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367665</wp:posOffset>
                  </wp:positionH>
                  <wp:positionV relativeFrom="paragraph">
                    <wp:posOffset>570865</wp:posOffset>
                  </wp:positionV>
                  <wp:extent cx="831850" cy="815975"/>
                  <wp:effectExtent l="0" t="0" r="6350" b="3175"/>
                  <wp:wrapNone/>
                  <wp:docPr id="55" name="图片_37"/>
                  <wp:cNvGraphicFramePr/>
                  <a:graphic xmlns:a="http://schemas.openxmlformats.org/drawingml/2006/main">
                    <a:graphicData uri="http://schemas.openxmlformats.org/drawingml/2006/picture">
                      <pic:pic xmlns:pic="http://schemas.openxmlformats.org/drawingml/2006/picture">
                        <pic:nvPicPr>
                          <pic:cNvPr id="55" name="图片_37"/>
                          <pic:cNvPicPr/>
                        </pic:nvPicPr>
                        <pic:blipFill>
                          <a:blip r:embed="rId17"/>
                          <a:stretch>
                            <a:fillRect/>
                          </a:stretch>
                        </pic:blipFill>
                        <pic:spPr>
                          <a:xfrm>
                            <a:off x="0" y="0"/>
                            <a:ext cx="831850" cy="815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林间轨道</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优质榉木，环保ABS</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独立实物尺寸(cm) 68*46</w:t>
            </w:r>
            <w:r>
              <w:rPr>
                <w:rFonts w:hint="eastAsia" w:ascii="宋体" w:hAnsi="宋体" w:eastAsia="宋体" w:cs="宋体"/>
                <w:b w:val="0"/>
                <w:bCs w:val="0"/>
                <w:i w:val="0"/>
                <w:iCs w:val="0"/>
                <w:color w:val="000000"/>
                <w:kern w:val="0"/>
                <w:sz w:val="21"/>
                <w:szCs w:val="21"/>
                <w:u w:val="none"/>
                <w:lang w:val="en-US" w:eastAsia="zh-CN" w:bidi="ar"/>
              </w:rPr>
              <w:br w:type="textWrapping"/>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540385</wp:posOffset>
                  </wp:positionV>
                  <wp:extent cx="1077595" cy="934085"/>
                  <wp:effectExtent l="0" t="0" r="8255" b="18415"/>
                  <wp:wrapNone/>
                  <wp:docPr id="40" name="图片_7"/>
                  <wp:cNvGraphicFramePr/>
                  <a:graphic xmlns:a="http://schemas.openxmlformats.org/drawingml/2006/main">
                    <a:graphicData uri="http://schemas.openxmlformats.org/drawingml/2006/picture">
                      <pic:pic xmlns:pic="http://schemas.openxmlformats.org/drawingml/2006/picture">
                        <pic:nvPicPr>
                          <pic:cNvPr id="40" name="图片_7"/>
                          <pic:cNvPicPr/>
                        </pic:nvPicPr>
                        <pic:blipFill>
                          <a:blip r:embed="rId18"/>
                          <a:stretch>
                            <a:fillRect/>
                          </a:stretch>
                        </pic:blipFill>
                        <pic:spPr>
                          <a:xfrm>
                            <a:off x="0" y="0"/>
                            <a:ext cx="1077595" cy="934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厨具-托盘款</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尺寸：31*22*10CM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材质：榉木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模拟下午茶</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617855</wp:posOffset>
                  </wp:positionV>
                  <wp:extent cx="1275080" cy="852805"/>
                  <wp:effectExtent l="0" t="0" r="1270" b="4445"/>
                  <wp:wrapNone/>
                  <wp:docPr id="38" name="图片_38"/>
                  <wp:cNvGraphicFramePr/>
                  <a:graphic xmlns:a="http://schemas.openxmlformats.org/drawingml/2006/main">
                    <a:graphicData uri="http://schemas.openxmlformats.org/drawingml/2006/picture">
                      <pic:pic xmlns:pic="http://schemas.openxmlformats.org/drawingml/2006/picture">
                        <pic:nvPicPr>
                          <pic:cNvPr id="38" name="图片_38"/>
                          <pic:cNvPicPr/>
                        </pic:nvPicPr>
                        <pic:blipFill>
                          <a:blip r:embed="rId19"/>
                          <a:stretch>
                            <a:fillRect/>
                          </a:stretch>
                        </pic:blipFill>
                        <pic:spPr>
                          <a:xfrm>
                            <a:off x="0" y="0"/>
                            <a:ext cx="1275080" cy="8528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下午茶厨具</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彩盒31*23*4CM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数量32</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233045</wp:posOffset>
                  </wp:positionV>
                  <wp:extent cx="1407795" cy="1408430"/>
                  <wp:effectExtent l="0" t="0" r="1905" b="1270"/>
                  <wp:wrapNone/>
                  <wp:docPr id="39" name="图片_39"/>
                  <wp:cNvGraphicFramePr/>
                  <a:graphic xmlns:a="http://schemas.openxmlformats.org/drawingml/2006/main">
                    <a:graphicData uri="http://schemas.openxmlformats.org/drawingml/2006/picture">
                      <pic:pic xmlns:pic="http://schemas.openxmlformats.org/drawingml/2006/picture">
                        <pic:nvPicPr>
                          <pic:cNvPr id="39" name="图片_39"/>
                          <pic:cNvPicPr/>
                        </pic:nvPicPr>
                        <pic:blipFill>
                          <a:blip r:embed="rId20"/>
                          <a:stretch>
                            <a:fillRect/>
                          </a:stretch>
                        </pic:blipFill>
                        <pic:spPr>
                          <a:xfrm>
                            <a:off x="0" y="0"/>
                            <a:ext cx="1407795" cy="14084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5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9</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88件（桶装积木）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包含:</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88件火车轨道，总计88块积木，采用优质桦木，配有电动火车，交通工具，交通标识，模拟城市交通规则，通过搭建培养亲子互动，锻炼宝宝抓握能力和动手能力。</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材质:优质木材</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-1905</wp:posOffset>
                  </wp:positionV>
                  <wp:extent cx="1496060" cy="1563370"/>
                  <wp:effectExtent l="0" t="0" r="8890" b="17780"/>
                  <wp:wrapNone/>
                  <wp:docPr id="56" name="图片_46"/>
                  <wp:cNvGraphicFramePr/>
                  <a:graphic xmlns:a="http://schemas.openxmlformats.org/drawingml/2006/main">
                    <a:graphicData uri="http://schemas.openxmlformats.org/drawingml/2006/picture">
                      <pic:pic xmlns:pic="http://schemas.openxmlformats.org/drawingml/2006/picture">
                        <pic:nvPicPr>
                          <pic:cNvPr id="56" name="图片_46"/>
                          <pic:cNvPicPr/>
                        </pic:nvPicPr>
                        <pic:blipFill>
                          <a:blip r:embed="rId21"/>
                          <a:stretch>
                            <a:fillRect/>
                          </a:stretch>
                        </pic:blipFill>
                        <pic:spPr>
                          <a:xfrm>
                            <a:off x="0" y="0"/>
                            <a:ext cx="1496060" cy="15633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马卡龙桶装积木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28粒榉木马卡龙积木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尺寸22*22*23.5cm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实木加3层水性油漆，防褪色，安全环保 边角光滑 附带说明书 上盖带孔收纳可以投入，更可以锻炼儿童的形状辨识能力</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积木最小尺寸4cm 防吞咽</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569595</wp:posOffset>
                  </wp:positionV>
                  <wp:extent cx="986790" cy="1207135"/>
                  <wp:effectExtent l="0" t="0" r="3810" b="12065"/>
                  <wp:wrapNone/>
                  <wp:docPr id="57" name="图片_47"/>
                  <wp:cNvGraphicFramePr/>
                  <a:graphic xmlns:a="http://schemas.openxmlformats.org/drawingml/2006/main">
                    <a:graphicData uri="http://schemas.openxmlformats.org/drawingml/2006/picture">
                      <pic:pic xmlns:pic="http://schemas.openxmlformats.org/drawingml/2006/picture">
                        <pic:nvPicPr>
                          <pic:cNvPr id="57" name="图片_47"/>
                          <pic:cNvPicPr/>
                        </pic:nvPicPr>
                        <pic:blipFill>
                          <a:blip r:embed="rId22"/>
                          <a:stretch>
                            <a:fillRect/>
                          </a:stretch>
                        </pic:blipFill>
                        <pic:spPr>
                          <a:xfrm>
                            <a:off x="0" y="0"/>
                            <a:ext cx="986790" cy="12071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原木桶装积木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100粒榉木原木积木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尺寸22*22*23.5cm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榉木原木无油漆 边角光滑 附带说明书 上盖带孔收纳可以投入，更可以锻炼儿童的形状辨识能力 说明书*1</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390525</wp:posOffset>
                  </wp:positionV>
                  <wp:extent cx="1264920" cy="1216660"/>
                  <wp:effectExtent l="0" t="0" r="11430" b="2540"/>
                  <wp:wrapNone/>
                  <wp:docPr id="41" name="图片_49"/>
                  <wp:cNvGraphicFramePr/>
                  <a:graphic xmlns:a="http://schemas.openxmlformats.org/drawingml/2006/main">
                    <a:graphicData uri="http://schemas.openxmlformats.org/drawingml/2006/picture">
                      <pic:pic xmlns:pic="http://schemas.openxmlformats.org/drawingml/2006/picture">
                        <pic:nvPicPr>
                          <pic:cNvPr id="41" name="图片_49"/>
                          <pic:cNvPicPr/>
                        </pic:nvPicPr>
                        <pic:blipFill>
                          <a:blip r:embed="rId23"/>
                          <a:stretch>
                            <a:fillRect/>
                          </a:stretch>
                        </pic:blipFill>
                        <pic:spPr>
                          <a:xfrm>
                            <a:off x="0" y="0"/>
                            <a:ext cx="1264920" cy="1216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2"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海钓积木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 彩盒(cm)20.5*20.5*9</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单个重量 Single G.W. 0.4kg</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鱼*38 吊杆*2 筛子*1 介绍说明书*38</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积木小鱼采用双面印刷，正面图片背面名字，便于儿童认知配对。</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146685</wp:posOffset>
                  </wp:positionV>
                  <wp:extent cx="1234440" cy="1102360"/>
                  <wp:effectExtent l="0" t="0" r="3810" b="2540"/>
                  <wp:wrapNone/>
                  <wp:docPr id="42" name="图片_48"/>
                  <wp:cNvGraphicFramePr/>
                  <a:graphic xmlns:a="http://schemas.openxmlformats.org/drawingml/2006/main">
                    <a:graphicData uri="http://schemas.openxmlformats.org/drawingml/2006/picture">
                      <pic:pic xmlns:pic="http://schemas.openxmlformats.org/drawingml/2006/picture">
                        <pic:nvPicPr>
                          <pic:cNvPr id="42" name="图片_48"/>
                          <pic:cNvPicPr/>
                        </pic:nvPicPr>
                        <pic:blipFill>
                          <a:blip r:embed="rId24"/>
                          <a:stretch>
                            <a:fillRect/>
                          </a:stretch>
                        </pic:blipFill>
                        <pic:spPr>
                          <a:xfrm>
                            <a:off x="0" y="0"/>
                            <a:ext cx="1234440" cy="1102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全能医生</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 25.5*22*10.5cm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包装清单：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1.手提木箱 2.巡诊簿 3.就诊卡 4.听诊器 5.温度计 6.工作证 7.针筒 8.药膏 9.铅笔 10.镊子 11.牙齿 12.钳子 13.牙膏 14.牙刷 15.剪刀  16.碘伏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17.弯盘 18.口腔镜 19.探牙棒 20.神经锤 21.红胶囊 22.蓝胶囊 23.粉药片 24.蓝药片 25.粉药丸*2 26.蓝药丸*2 27.创口贴*5 28.止咳糖浆</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12</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267335</wp:posOffset>
                  </wp:positionV>
                  <wp:extent cx="1402715" cy="1391920"/>
                  <wp:effectExtent l="0" t="0" r="6985" b="17780"/>
                  <wp:wrapNone/>
                  <wp:docPr id="44" name="图片_4"/>
                  <wp:cNvGraphicFramePr/>
                  <a:graphic xmlns:a="http://schemas.openxmlformats.org/drawingml/2006/main">
                    <a:graphicData uri="http://schemas.openxmlformats.org/drawingml/2006/picture">
                      <pic:pic xmlns:pic="http://schemas.openxmlformats.org/drawingml/2006/picture">
                        <pic:nvPicPr>
                          <pic:cNvPr id="44" name="图片_4"/>
                          <pic:cNvPicPr/>
                        </pic:nvPicPr>
                        <pic:blipFill>
                          <a:blip r:embed="rId25"/>
                          <a:stretch>
                            <a:fillRect/>
                          </a:stretch>
                        </pic:blipFill>
                        <pic:spPr>
                          <a:xfrm>
                            <a:off x="0" y="0"/>
                            <a:ext cx="1402715" cy="13919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55"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医生、护士服</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包装方式 塑封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重量 0.1kg</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白色医生服*1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粉色护士服*1</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件</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866140</wp:posOffset>
                  </wp:positionH>
                  <wp:positionV relativeFrom="paragraph">
                    <wp:posOffset>424180</wp:posOffset>
                  </wp:positionV>
                  <wp:extent cx="471170" cy="535305"/>
                  <wp:effectExtent l="0" t="0" r="5080" b="17145"/>
                  <wp:wrapNone/>
                  <wp:docPr id="45" name="图片_32"/>
                  <wp:cNvGraphicFramePr/>
                  <a:graphic xmlns:a="http://schemas.openxmlformats.org/drawingml/2006/main">
                    <a:graphicData uri="http://schemas.openxmlformats.org/drawingml/2006/picture">
                      <pic:pic xmlns:pic="http://schemas.openxmlformats.org/drawingml/2006/picture">
                        <pic:nvPicPr>
                          <pic:cNvPr id="45" name="图片_32"/>
                          <pic:cNvPicPr/>
                        </pic:nvPicPr>
                        <pic:blipFill>
                          <a:blip r:embed="rId26"/>
                          <a:stretch>
                            <a:fillRect/>
                          </a:stretch>
                        </pic:blipFill>
                        <pic:spPr>
                          <a:xfrm>
                            <a:off x="0" y="0"/>
                            <a:ext cx="471170" cy="535305"/>
                          </a:xfrm>
                          <a:prstGeom prst="rect">
                            <a:avLst/>
                          </a:prstGeom>
                          <a:noFill/>
                          <a:ln>
                            <a:noFill/>
                          </a:ln>
                        </pic:spPr>
                      </pic:pic>
                    </a:graphicData>
                  </a:graphic>
                </wp:anchor>
              </w:drawing>
            </w: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271145</wp:posOffset>
                  </wp:positionV>
                  <wp:extent cx="437515" cy="658495"/>
                  <wp:effectExtent l="0" t="0" r="635" b="8255"/>
                  <wp:wrapNone/>
                  <wp:docPr id="50" name="图片_31"/>
                  <wp:cNvGraphicFramePr/>
                  <a:graphic xmlns:a="http://schemas.openxmlformats.org/drawingml/2006/main">
                    <a:graphicData uri="http://schemas.openxmlformats.org/drawingml/2006/picture">
                      <pic:pic xmlns:pic="http://schemas.openxmlformats.org/drawingml/2006/picture">
                        <pic:nvPicPr>
                          <pic:cNvPr id="50" name="图片_31"/>
                          <pic:cNvPicPr/>
                        </pic:nvPicPr>
                        <pic:blipFill>
                          <a:blip r:embed="rId27"/>
                          <a:stretch>
                            <a:fillRect/>
                          </a:stretch>
                        </pic:blipFill>
                        <pic:spPr>
                          <a:xfrm>
                            <a:off x="0" y="0"/>
                            <a:ext cx="437515" cy="6584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粉色化妆包</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木制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7.5*21.5*15cm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0.59kg</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布袋装</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11</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207645</wp:posOffset>
                  </wp:positionH>
                  <wp:positionV relativeFrom="paragraph">
                    <wp:posOffset>455930</wp:posOffset>
                  </wp:positionV>
                  <wp:extent cx="826770" cy="1211580"/>
                  <wp:effectExtent l="0" t="0" r="11430" b="7620"/>
                  <wp:wrapNone/>
                  <wp:docPr id="46" name="图片_23"/>
                  <wp:cNvGraphicFramePr/>
                  <a:graphic xmlns:a="http://schemas.openxmlformats.org/drawingml/2006/main">
                    <a:graphicData uri="http://schemas.openxmlformats.org/drawingml/2006/picture">
                      <pic:pic xmlns:pic="http://schemas.openxmlformats.org/drawingml/2006/picture">
                        <pic:nvPicPr>
                          <pic:cNvPr id="46" name="图片_23"/>
                          <pic:cNvPicPr/>
                        </pic:nvPicPr>
                        <pic:blipFill>
                          <a:blip r:embed="rId28"/>
                          <a:stretch>
                            <a:fillRect/>
                          </a:stretch>
                        </pic:blipFill>
                        <pic:spPr>
                          <a:xfrm>
                            <a:off x="0" y="0"/>
                            <a:ext cx="826770" cy="1211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剃须美发包</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尺寸：23*8.5*17cm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材质：优质木材 </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11</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252730</wp:posOffset>
                  </wp:positionH>
                  <wp:positionV relativeFrom="paragraph">
                    <wp:posOffset>362585</wp:posOffset>
                  </wp:positionV>
                  <wp:extent cx="954405" cy="1210310"/>
                  <wp:effectExtent l="0" t="0" r="17145" b="8890"/>
                  <wp:wrapNone/>
                  <wp:docPr id="47" name="图片_40"/>
                  <wp:cNvGraphicFramePr/>
                  <a:graphic xmlns:a="http://schemas.openxmlformats.org/drawingml/2006/main">
                    <a:graphicData uri="http://schemas.openxmlformats.org/drawingml/2006/picture">
                      <pic:pic xmlns:pic="http://schemas.openxmlformats.org/drawingml/2006/picture">
                        <pic:nvPicPr>
                          <pic:cNvPr id="47" name="图片_40"/>
                          <pic:cNvPicPr/>
                        </pic:nvPicPr>
                        <pic:blipFill>
                          <a:blip r:embed="rId29"/>
                          <a:stretch>
                            <a:fillRect/>
                          </a:stretch>
                        </pic:blipFill>
                        <pic:spPr>
                          <a:xfrm>
                            <a:off x="0" y="0"/>
                            <a:ext cx="954405" cy="1210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水果摊</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材质：榉木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尺寸94-30-52cm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模拟超市购物经营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电子秤*1 收银台*1 樱桃4个 火龙果2个 红枣6个 金橘6个 小番茄6个 梨子2个 柠檬6个 西柚4个 甘蔗3个 草莓6个 香蕉4个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226695</wp:posOffset>
                  </wp:positionV>
                  <wp:extent cx="1219835" cy="1525270"/>
                  <wp:effectExtent l="0" t="0" r="18415" b="17780"/>
                  <wp:wrapNone/>
                  <wp:docPr id="48" name="图片_139"/>
                  <wp:cNvGraphicFramePr/>
                  <a:graphic xmlns:a="http://schemas.openxmlformats.org/drawingml/2006/main">
                    <a:graphicData uri="http://schemas.openxmlformats.org/drawingml/2006/picture">
                      <pic:pic xmlns:pic="http://schemas.openxmlformats.org/drawingml/2006/picture">
                        <pic:nvPicPr>
                          <pic:cNvPr id="48" name="图片_139"/>
                          <pic:cNvPicPr/>
                        </pic:nvPicPr>
                        <pic:blipFill>
                          <a:blip r:embed="rId30"/>
                          <a:stretch>
                            <a:fillRect/>
                          </a:stretch>
                        </pic:blipFill>
                        <pic:spPr>
                          <a:xfrm>
                            <a:off x="0" y="0"/>
                            <a:ext cx="1219835" cy="15252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蔬菜摊</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材质：榉木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尺寸93-30-52cm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模拟超市购物经营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电子秤*1 收银台*1 莲蓬2个 红辣椒2个 胡萝卜2个 玉米2个 洋葱2个 青椒2个 黄椒3个 葫芦2个 樱桃萝卜2个 南瓜2个 白萝卜2个 茄子2个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106680</wp:posOffset>
                  </wp:positionV>
                  <wp:extent cx="1285875" cy="1668780"/>
                  <wp:effectExtent l="0" t="0" r="9525" b="7620"/>
                  <wp:wrapNone/>
                  <wp:docPr id="51" name="图片_140"/>
                  <wp:cNvGraphicFramePr/>
                  <a:graphic xmlns:a="http://schemas.openxmlformats.org/drawingml/2006/main">
                    <a:graphicData uri="http://schemas.openxmlformats.org/drawingml/2006/picture">
                      <pic:pic xmlns:pic="http://schemas.openxmlformats.org/drawingml/2006/picture">
                        <pic:nvPicPr>
                          <pic:cNvPr id="51" name="图片_140"/>
                          <pic:cNvPicPr/>
                        </pic:nvPicPr>
                        <pic:blipFill>
                          <a:blip r:embed="rId31"/>
                          <a:stretch>
                            <a:fillRect/>
                          </a:stretch>
                        </pic:blipFill>
                        <pic:spPr>
                          <a:xfrm>
                            <a:off x="0" y="0"/>
                            <a:ext cx="1285875" cy="16687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19</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小卖部+手拉车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材质：榉木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尺寸95.5*48*22.5cm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电子秤*1 收银台*1 购物车*1 招牌*1 商标卡*6 苹果*3 橡胶*3 西瓜*3 橘子*3 柠檬*3 丑八怪*3 置物架*1</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13</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283210</wp:posOffset>
                  </wp:positionV>
                  <wp:extent cx="1004570" cy="1388745"/>
                  <wp:effectExtent l="0" t="0" r="5080" b="1905"/>
                  <wp:wrapNone/>
                  <wp:docPr id="49" name="图片_11"/>
                  <wp:cNvGraphicFramePr/>
                  <a:graphic xmlns:a="http://schemas.openxmlformats.org/drawingml/2006/main">
                    <a:graphicData uri="http://schemas.openxmlformats.org/drawingml/2006/picture">
                      <pic:pic xmlns:pic="http://schemas.openxmlformats.org/drawingml/2006/picture">
                        <pic:nvPicPr>
                          <pic:cNvPr id="49" name="图片_11"/>
                          <pic:cNvPicPr/>
                        </pic:nvPicPr>
                        <pic:blipFill>
                          <a:blip r:embed="rId32"/>
                          <a:stretch>
                            <a:fillRect/>
                          </a:stretch>
                        </pic:blipFill>
                        <pic:spPr>
                          <a:xfrm>
                            <a:off x="0" y="0"/>
                            <a:ext cx="1004570" cy="1388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购物手推车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材质：榉木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尺寸：45*48*33cm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原木打造+温润水性漆+透明水性漆、滚涂放心水性漆，均匀上色，没有刺激性气味。</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306070</wp:posOffset>
                  </wp:positionV>
                  <wp:extent cx="1167765" cy="1320800"/>
                  <wp:effectExtent l="0" t="0" r="13335" b="12700"/>
                  <wp:wrapNone/>
                  <wp:docPr id="52" name="图片_13"/>
                  <wp:cNvGraphicFramePr/>
                  <a:graphic xmlns:a="http://schemas.openxmlformats.org/drawingml/2006/main">
                    <a:graphicData uri="http://schemas.openxmlformats.org/drawingml/2006/picture">
                      <pic:pic xmlns:pic="http://schemas.openxmlformats.org/drawingml/2006/picture">
                        <pic:nvPicPr>
                          <pic:cNvPr id="52" name="图片_13"/>
                          <pic:cNvPicPr/>
                        </pic:nvPicPr>
                        <pic:blipFill>
                          <a:blip r:embed="rId33"/>
                          <a:stretch>
                            <a:fillRect/>
                          </a:stretch>
                        </pic:blipFill>
                        <pic:spPr>
                          <a:xfrm>
                            <a:off x="0" y="0"/>
                            <a:ext cx="1167765" cy="13208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积木小推车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 42*19.5*5</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车轮*4 积木*20 底板*1 底板座*2 车轴*2 手柄*1 推车杆*2 侧板*2 橡胶圈*4 配件*1</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308610</wp:posOffset>
                  </wp:positionH>
                  <wp:positionV relativeFrom="paragraph">
                    <wp:posOffset>244475</wp:posOffset>
                  </wp:positionV>
                  <wp:extent cx="908685" cy="1265555"/>
                  <wp:effectExtent l="0" t="0" r="5715" b="10795"/>
                  <wp:wrapNone/>
                  <wp:docPr id="53" name="图片_15"/>
                  <wp:cNvGraphicFramePr/>
                  <a:graphic xmlns:a="http://schemas.openxmlformats.org/drawingml/2006/main">
                    <a:graphicData uri="http://schemas.openxmlformats.org/drawingml/2006/picture">
                      <pic:pic xmlns:pic="http://schemas.openxmlformats.org/drawingml/2006/picture">
                        <pic:nvPicPr>
                          <pic:cNvPr id="53" name="图片_15"/>
                          <pic:cNvPicPr/>
                        </pic:nvPicPr>
                        <pic:blipFill>
                          <a:blip r:embed="rId34"/>
                          <a:stretch>
                            <a:fillRect/>
                          </a:stretch>
                        </pic:blipFill>
                        <pic:spPr>
                          <a:xfrm>
                            <a:off x="0" y="0"/>
                            <a:ext cx="908685" cy="12655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儿童厨房冰箱</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材质：榉木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厨房：85*60*28cm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冰箱：91.7*29*30cm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调料罐*2 5.5*3.5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煮锅*1 14*7.5*10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煎锅*1 19*10</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原木打造+温润水性漆+透明水性漆、滚涂放心水性漆，均匀上色，没有刺激性气味。</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仿真时钟*1、仿真油烟机*1、声光灶台*1、仿真烤箱*1、储物箱*1、洗菜池*1、制冰机*1 冰箱*1  铲*3 油烟机*1 龙头*1 挂钩*3 冰块*3 杯子*1 冰淇淋*4 蛋筒*2</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935355</wp:posOffset>
                  </wp:positionV>
                  <wp:extent cx="1171575" cy="1143000"/>
                  <wp:effectExtent l="0" t="0" r="9525" b="0"/>
                  <wp:wrapNone/>
                  <wp:docPr id="64" name="图片_14"/>
                  <wp:cNvGraphicFramePr/>
                  <a:graphic xmlns:a="http://schemas.openxmlformats.org/drawingml/2006/main">
                    <a:graphicData uri="http://schemas.openxmlformats.org/drawingml/2006/picture">
                      <pic:pic xmlns:pic="http://schemas.openxmlformats.org/drawingml/2006/picture">
                        <pic:nvPicPr>
                          <pic:cNvPr id="64" name="图片_14"/>
                          <pic:cNvPicPr/>
                        </pic:nvPicPr>
                        <pic:blipFill>
                          <a:blip r:embed="rId35"/>
                          <a:stretch>
                            <a:fillRect/>
                          </a:stretch>
                        </pic:blipFill>
                        <pic:spPr>
                          <a:xfrm>
                            <a:off x="0" y="0"/>
                            <a:ext cx="1171575" cy="1143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蔬菜水果</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大礼盒</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彩盒(cm)25.3*8*34.5</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461645</wp:posOffset>
                  </wp:positionV>
                  <wp:extent cx="1381125" cy="1381125"/>
                  <wp:effectExtent l="0" t="0" r="9525" b="9525"/>
                  <wp:wrapNone/>
                  <wp:docPr id="82" name="图片_3"/>
                  <wp:cNvGraphicFramePr/>
                  <a:graphic xmlns:a="http://schemas.openxmlformats.org/drawingml/2006/main">
                    <a:graphicData uri="http://schemas.openxmlformats.org/drawingml/2006/picture">
                      <pic:pic xmlns:pic="http://schemas.openxmlformats.org/drawingml/2006/picture">
                        <pic:nvPicPr>
                          <pic:cNvPr id="82" name="图片_3"/>
                          <pic:cNvPicPr/>
                        </pic:nvPicPr>
                        <pic:blipFill>
                          <a:blip r:embed="rId36"/>
                          <a:stretch>
                            <a:fillRect/>
                          </a:stretch>
                        </pic:blipFill>
                        <pic:spPr>
                          <a:xfrm>
                            <a:off x="0" y="0"/>
                            <a:ext cx="1381125" cy="1381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丛林之夜拼图</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462*500mm，96片</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功能：丛林之夜在瓢虫的造型上展现了一个丛林夜晚篝火图。异形美学拼图，昆虫形象还原。拼图加厚无毛边、精致压纹触感、不分层，光滑无毛刺。拼图隐藏趣味解密游戏。</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付</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259080</wp:posOffset>
                  </wp:positionV>
                  <wp:extent cx="1449705" cy="1449070"/>
                  <wp:effectExtent l="0" t="0" r="17145" b="0"/>
                  <wp:wrapNone/>
                  <wp:docPr id="76" name="图片_2"/>
                  <wp:cNvGraphicFramePr/>
                  <a:graphic xmlns:a="http://schemas.openxmlformats.org/drawingml/2006/main">
                    <a:graphicData uri="http://schemas.openxmlformats.org/drawingml/2006/picture">
                      <pic:pic xmlns:pic="http://schemas.openxmlformats.org/drawingml/2006/picture">
                        <pic:nvPicPr>
                          <pic:cNvPr id="76" name="图片_2"/>
                          <pic:cNvPicPr/>
                        </pic:nvPicPr>
                        <pic:blipFill>
                          <a:blip r:embed="rId37"/>
                          <a:stretch>
                            <a:fillRect/>
                          </a:stretch>
                        </pic:blipFill>
                        <pic:spPr>
                          <a:xfrm>
                            <a:off x="0" y="0"/>
                            <a:ext cx="1449705" cy="14490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蝴蝶花园拼图</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500*340mm，78片</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功能：蝴蝶花园是蝴蝶的身体里住着白天的花园农场。异形美学拼图，昆虫形象还原。拼图加厚无毛边、精致压纹触感、不分层，光滑无毛刺。拼图隐藏趣味解密游戏。</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付</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400685</wp:posOffset>
                  </wp:positionV>
                  <wp:extent cx="1339215" cy="1339215"/>
                  <wp:effectExtent l="0" t="0" r="13335" b="13335"/>
                  <wp:wrapNone/>
                  <wp:docPr id="79" name="图片_1"/>
                  <wp:cNvGraphicFramePr/>
                  <a:graphic xmlns:a="http://schemas.openxmlformats.org/drawingml/2006/main">
                    <a:graphicData uri="http://schemas.openxmlformats.org/drawingml/2006/picture">
                      <pic:pic xmlns:pic="http://schemas.openxmlformats.org/drawingml/2006/picture">
                        <pic:nvPicPr>
                          <pic:cNvPr id="79" name="图片_1"/>
                          <pic:cNvPicPr/>
                        </pic:nvPicPr>
                        <pic:blipFill>
                          <a:blip r:embed="rId38"/>
                          <a:stretch>
                            <a:fillRect/>
                          </a:stretch>
                        </pic:blipFill>
                        <pic:spPr>
                          <a:xfrm>
                            <a:off x="0" y="0"/>
                            <a:ext cx="1339215" cy="13392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3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安静贴</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主题紧扣日常生活，增强孩子代入感</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6大主题：食物、动物、家居、交通、身体、情绪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1、瞬间抓住孩子注意力 轻松培养孩子专注力，让孩子能安静地、专心地玩20分钟以上的贴纸图册。</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2、特殊的异形设计，搭配高颜值精美插画，绚丽多彩的精美图册，边看边贴，趣味无限</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3、通过视觉与触觉的结合，提高认知力，</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4、无痕粘贴，重复使用的高品质果冻贴，不仅可以贴在图册上，还可以贴在大多数光滑表面的物体上，如马克杯、冰箱、反复粘贴不留痕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5、果冻贴可水洗重复使用，粘贴面用久了因为粘上脏污导致粘性下降，使用清水洗净擦干，或者用透明胶带粘去脏污即可恢复使用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6、随意粘贴，方便携带，果冻贴可粘贴在图册的任何地方，省去丢失的烦恼</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7、每本平均重量仅有120克（含果冻贴），轻松折叠，方便携带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8、亮光覆膜有水渍可以轻松擦除，圆角设计不伤手</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9、果冻胶是加厚环保TPE材质，易抓取耐撕扯</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1146810</wp:posOffset>
                  </wp:positionV>
                  <wp:extent cx="783590" cy="688975"/>
                  <wp:effectExtent l="0" t="0" r="16510" b="0"/>
                  <wp:wrapNone/>
                  <wp:docPr id="71" name="图片_5"/>
                  <wp:cNvGraphicFramePr/>
                  <a:graphic xmlns:a="http://schemas.openxmlformats.org/drawingml/2006/main">
                    <a:graphicData uri="http://schemas.openxmlformats.org/drawingml/2006/picture">
                      <pic:pic xmlns:pic="http://schemas.openxmlformats.org/drawingml/2006/picture">
                        <pic:nvPicPr>
                          <pic:cNvPr id="71" name="图片_5"/>
                          <pic:cNvPicPr/>
                        </pic:nvPicPr>
                        <pic:blipFill>
                          <a:blip r:embed="rId39"/>
                          <a:stretch>
                            <a:fillRect/>
                          </a:stretch>
                        </pic:blipFill>
                        <pic:spPr>
                          <a:xfrm>
                            <a:off x="0" y="0"/>
                            <a:ext cx="783590" cy="688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空间想象力积木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玩法：利用多个不同形状的立体方框搭建成指定的形状，不能有多处或缺少的部分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功能：培养孩子立体几维思维，孩子可以利用方块构造出自己喜欢的样式，提升孩子的创作力</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408305</wp:posOffset>
                  </wp:positionV>
                  <wp:extent cx="909955" cy="1224915"/>
                  <wp:effectExtent l="0" t="0" r="4445" b="13335"/>
                  <wp:wrapNone/>
                  <wp:docPr id="92" name="图片_1_SpCnt_1"/>
                  <wp:cNvGraphicFramePr/>
                  <a:graphic xmlns:a="http://schemas.openxmlformats.org/drawingml/2006/main">
                    <a:graphicData uri="http://schemas.openxmlformats.org/drawingml/2006/picture">
                      <pic:pic xmlns:pic="http://schemas.openxmlformats.org/drawingml/2006/picture">
                        <pic:nvPicPr>
                          <pic:cNvPr id="92" name="图片_1_SpCnt_1"/>
                          <pic:cNvPicPr/>
                        </pic:nvPicPr>
                        <pic:blipFill>
                          <a:blip r:embed="rId40"/>
                          <a:stretch>
                            <a:fillRect/>
                          </a:stretch>
                        </pic:blipFill>
                        <pic:spPr>
                          <a:xfrm>
                            <a:off x="0" y="0"/>
                            <a:ext cx="909955" cy="1224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控笔训练-托班</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玩法：1阶基础入门：195*245mm卡片27张（题卡50页、握笔方法、握笔姿势、目录）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可擦写笔1支。1阶基础入门：直线、折线、曲线、形状、综合训练（包含了数字练习、逻辑配对等）</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功能：1.卡片尺寸合适（比市面上同等价位的卡片大一些），比较适合小朋友书写。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2.总共分为基础入门、精确控笔、书写训练三盒，每套内容由易到难层层递进，有明确的训练体系和逻辑，让小朋友更易获得成就感也更有训练效果。</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3.内容有趣，不像普通的训练册一样无聊，会有趣味化的练习（如逻辑连线、连点成画等等、汉字练习时还会科普汉字的演变）</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4.内容丰富多样，三盒即可达到系统性的整体训练。涵盖了其他5-7本的内容甚至更多。性价比很高。</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5.每套均为27张，同样的价格。可以直接按年龄选或者三盒一套一起，节约挑选时间。（其他家5-7本每本价格不同页数不同、内容又很单一。）</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6.颜值很高、色彩丰富。同时可作为小朋友的美学启蒙。图案和控笔线条的一些联系可以培养小朋友的想象力。</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7.非常实用、刚需。线条、形状、数字、英文、汉字等等练完后都可以在生活种用到。</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8.配有套环，有封面封底和页码目录，收纳和找对应内容都十分方便。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9.笔擦一体，且精致耐用。硬质包装盒方便收纳。整体精美价值感高。</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227330</wp:posOffset>
                  </wp:positionH>
                  <wp:positionV relativeFrom="paragraph">
                    <wp:posOffset>1227455</wp:posOffset>
                  </wp:positionV>
                  <wp:extent cx="927735" cy="1238885"/>
                  <wp:effectExtent l="0" t="0" r="5715" b="18415"/>
                  <wp:wrapNone/>
                  <wp:docPr id="86" name="图片_2_SpCnt_1"/>
                  <wp:cNvGraphicFramePr/>
                  <a:graphic xmlns:a="http://schemas.openxmlformats.org/drawingml/2006/main">
                    <a:graphicData uri="http://schemas.openxmlformats.org/drawingml/2006/picture">
                      <pic:pic xmlns:pic="http://schemas.openxmlformats.org/drawingml/2006/picture">
                        <pic:nvPicPr>
                          <pic:cNvPr id="86" name="图片_2_SpCnt_1"/>
                          <pic:cNvPicPr/>
                        </pic:nvPicPr>
                        <pic:blipFill>
                          <a:blip r:embed="rId41"/>
                          <a:stretch>
                            <a:fillRect/>
                          </a:stretch>
                        </pic:blipFill>
                        <pic:spPr>
                          <a:xfrm>
                            <a:off x="0" y="0"/>
                            <a:ext cx="927735" cy="1238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7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29</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黏土游戏</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玩法：一款圣诞主题的DIY黏土走路小人，一盒可以做出不同的五款圣诞造型。完成后包装还可以作为展示盒。【走路机芯*5 黏土*20 黏土工具*1 自封袋*12 说明书*4】</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1.锻炼孩子的动手能力，培养专注力。</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2.五款造型，圣诞主题，造型不重复，美观好看，性价比高。</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3.走路机芯与黏土趣味结合，整体玩法趣味性高。</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4.简单塑形，说明书配上视频教学，每款单独视频，容易上手。</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5.开窗包装盒，造型展示，是玩具也是摆件。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6.多颜色超轻黏土，可混合配色，不沾手，易塑型，无异味。</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7.国标检测更放心。</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2075815</wp:posOffset>
                  </wp:positionV>
                  <wp:extent cx="762635" cy="982345"/>
                  <wp:effectExtent l="0" t="0" r="18415" b="8255"/>
                  <wp:wrapNone/>
                  <wp:docPr id="65" name="图片_6"/>
                  <wp:cNvGraphicFramePr/>
                  <a:graphic xmlns:a="http://schemas.openxmlformats.org/drawingml/2006/main">
                    <a:graphicData uri="http://schemas.openxmlformats.org/drawingml/2006/picture">
                      <pic:pic xmlns:pic="http://schemas.openxmlformats.org/drawingml/2006/picture">
                        <pic:nvPicPr>
                          <pic:cNvPr id="65" name="图片_6"/>
                          <pic:cNvPicPr/>
                        </pic:nvPicPr>
                        <pic:blipFill>
                          <a:blip r:embed="rId42"/>
                          <a:stretch>
                            <a:fillRect/>
                          </a:stretch>
                        </pic:blipFill>
                        <pic:spPr>
                          <a:xfrm>
                            <a:off x="0" y="0"/>
                            <a:ext cx="762635" cy="9823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30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万花筒</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玩法：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1、从万花筒头上取出观察舱。</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2、在观察舱内放入配件包的小配件，也可以放入花瓣、树叶、小昆虫等一切你想观察的小东西。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3、把观察舱嵌入万花筒内。</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4、拿起万花筒观察五彩缤纷的世界。</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252095</wp:posOffset>
                  </wp:positionV>
                  <wp:extent cx="1186815" cy="1583055"/>
                  <wp:effectExtent l="0" t="0" r="13335" b="17145"/>
                  <wp:wrapNone/>
                  <wp:docPr id="90" name="图片_1_SpCnt_2"/>
                  <wp:cNvGraphicFramePr/>
                  <a:graphic xmlns:a="http://schemas.openxmlformats.org/drawingml/2006/main">
                    <a:graphicData uri="http://schemas.openxmlformats.org/drawingml/2006/picture">
                      <pic:pic xmlns:pic="http://schemas.openxmlformats.org/drawingml/2006/picture">
                        <pic:nvPicPr>
                          <pic:cNvPr id="90" name="图片_1_SpCnt_2"/>
                          <pic:cNvPicPr/>
                        </pic:nvPicPr>
                        <pic:blipFill>
                          <a:blip r:embed="rId43"/>
                          <a:stretch>
                            <a:fillRect/>
                          </a:stretch>
                        </pic:blipFill>
                        <pic:spPr>
                          <a:xfrm>
                            <a:off x="0" y="0"/>
                            <a:ext cx="1186815" cy="15830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31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组合积木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959"/>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材质：榉木</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包装尺寸</w:t>
            </w:r>
            <w:r>
              <w:rPr>
                <w:rStyle w:val="959"/>
                <w:rFonts w:hint="eastAsia" w:ascii="宋体" w:hAnsi="宋体" w:eastAsia="宋体" w:cs="宋体"/>
                <w:b w:val="0"/>
                <w:bCs w:val="0"/>
                <w:sz w:val="21"/>
                <w:szCs w:val="21"/>
                <w:lang w:val="en-US" w:eastAsia="zh-CN" w:bidi="ar"/>
              </w:rPr>
              <w:t xml:space="preserve">46*40.5*7 </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45"/>
                <w:rFonts w:hint="eastAsia" w:ascii="宋体" w:hAnsi="宋体" w:eastAsia="宋体" w:cs="宋体"/>
                <w:b w:val="0"/>
                <w:bCs w:val="0"/>
                <w:sz w:val="21"/>
                <w:szCs w:val="21"/>
                <w:lang w:val="en-US" w:eastAsia="zh-CN" w:bidi="ar"/>
              </w:rPr>
              <w:t>开放性创意玩具，可以摆各种造型，充分发挥小朋友的创造性。</w:t>
            </w:r>
            <w:r>
              <w:rPr>
                <w:rStyle w:val="145"/>
                <w:rFonts w:hint="eastAsia" w:ascii="宋体" w:hAnsi="宋体" w:eastAsia="宋体" w:cs="宋体"/>
                <w:b w:val="0"/>
                <w:bCs w:val="0"/>
                <w:sz w:val="21"/>
                <w:szCs w:val="21"/>
                <w:lang w:val="en-US" w:eastAsia="zh-CN" w:bidi="ar"/>
              </w:rPr>
              <w:br w:type="textWrapping"/>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盒</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16</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278130</wp:posOffset>
                  </wp:positionH>
                  <wp:positionV relativeFrom="paragraph">
                    <wp:posOffset>346075</wp:posOffset>
                  </wp:positionV>
                  <wp:extent cx="944245" cy="1126490"/>
                  <wp:effectExtent l="0" t="0" r="8255" b="16510"/>
                  <wp:wrapNone/>
                  <wp:docPr id="85" name="图片_19"/>
                  <wp:cNvGraphicFramePr/>
                  <a:graphic xmlns:a="http://schemas.openxmlformats.org/drawingml/2006/main">
                    <a:graphicData uri="http://schemas.openxmlformats.org/drawingml/2006/picture">
                      <pic:pic xmlns:pic="http://schemas.openxmlformats.org/drawingml/2006/picture">
                        <pic:nvPicPr>
                          <pic:cNvPr id="85" name="图片_19"/>
                          <pic:cNvPicPr/>
                        </pic:nvPicPr>
                        <pic:blipFill>
                          <a:blip r:embed="rId44"/>
                          <a:stretch>
                            <a:fillRect/>
                          </a:stretch>
                        </pic:blipFill>
                        <pic:spPr>
                          <a:xfrm>
                            <a:off x="0" y="0"/>
                            <a:ext cx="944245" cy="11264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32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百变组合</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 20*15*7</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外箱尺寸 46*41*53</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包装方式 塑料盒</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727710</wp:posOffset>
                  </wp:positionV>
                  <wp:extent cx="913130" cy="868045"/>
                  <wp:effectExtent l="0" t="0" r="1270" b="8255"/>
                  <wp:wrapNone/>
                  <wp:docPr id="78" name="图片_124"/>
                  <wp:cNvGraphicFramePr/>
                  <a:graphic xmlns:a="http://schemas.openxmlformats.org/drawingml/2006/main">
                    <a:graphicData uri="http://schemas.openxmlformats.org/drawingml/2006/picture">
                      <pic:pic xmlns:pic="http://schemas.openxmlformats.org/drawingml/2006/picture">
                        <pic:nvPicPr>
                          <pic:cNvPr id="78" name="图片_124"/>
                          <pic:cNvPicPr/>
                        </pic:nvPicPr>
                        <pic:blipFill>
                          <a:blip r:embed="rId45"/>
                          <a:stretch>
                            <a:fillRect/>
                          </a:stretch>
                        </pic:blipFill>
                        <pic:spPr>
                          <a:xfrm>
                            <a:off x="0" y="0"/>
                            <a:ext cx="913130" cy="868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33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光影积木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128颗大号城堡积木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材料：榉木+亚克力</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包装尺寸：27.5*27.5*3</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395605</wp:posOffset>
                  </wp:positionV>
                  <wp:extent cx="1132840" cy="1256030"/>
                  <wp:effectExtent l="0" t="0" r="10160" b="1270"/>
                  <wp:wrapNone/>
                  <wp:docPr id="75" name="图片_148"/>
                  <wp:cNvGraphicFramePr/>
                  <a:graphic xmlns:a="http://schemas.openxmlformats.org/drawingml/2006/main">
                    <a:graphicData uri="http://schemas.openxmlformats.org/drawingml/2006/picture">
                      <pic:pic xmlns:pic="http://schemas.openxmlformats.org/drawingml/2006/picture">
                        <pic:nvPicPr>
                          <pic:cNvPr id="75" name="图片_148"/>
                          <pic:cNvPicPr/>
                        </pic:nvPicPr>
                        <pic:blipFill>
                          <a:blip r:embed="rId46"/>
                          <a:stretch>
                            <a:fillRect/>
                          </a:stretch>
                        </pic:blipFill>
                        <pic:spPr>
                          <a:xfrm>
                            <a:off x="0" y="0"/>
                            <a:ext cx="1132840" cy="12560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34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智慧城市交通积木100粒</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材质：荷木</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尺寸：22.5*21.5cm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100粒</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967105</wp:posOffset>
                  </wp:positionV>
                  <wp:extent cx="977265" cy="514350"/>
                  <wp:effectExtent l="0" t="0" r="13335" b="0"/>
                  <wp:wrapNone/>
                  <wp:docPr id="68" name="图片_53"/>
                  <wp:cNvGraphicFramePr/>
                  <a:graphic xmlns:a="http://schemas.openxmlformats.org/drawingml/2006/main">
                    <a:graphicData uri="http://schemas.openxmlformats.org/drawingml/2006/picture">
                      <pic:pic xmlns:pic="http://schemas.openxmlformats.org/drawingml/2006/picture">
                        <pic:nvPicPr>
                          <pic:cNvPr id="68" name="图片_53"/>
                          <pic:cNvPicPr/>
                        </pic:nvPicPr>
                        <pic:blipFill>
                          <a:blip r:embed="rId47"/>
                          <a:stretch>
                            <a:fillRect/>
                          </a:stretch>
                        </pic:blipFill>
                        <pic:spPr>
                          <a:xfrm>
                            <a:off x="0" y="0"/>
                            <a:ext cx="977265" cy="514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35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168粒桶装阳光城市</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 xml:space="preserve">材质:MDF+木材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包装尺寸:22.5*22.5cm </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温润包裹水性漆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在玩耍过程中学习26个字母丰富场景认知打造多元城市空间用积木创造多种城市场景，让宝宝对现实生活中的各种城市设施和交通工具有所了解，灌输安全教育知识和日常生活教育。</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310515</wp:posOffset>
                  </wp:positionH>
                  <wp:positionV relativeFrom="paragraph">
                    <wp:posOffset>574675</wp:posOffset>
                  </wp:positionV>
                  <wp:extent cx="903605" cy="1054735"/>
                  <wp:effectExtent l="0" t="0" r="10795" b="12065"/>
                  <wp:wrapNone/>
                  <wp:docPr id="101" name="图片_54"/>
                  <wp:cNvGraphicFramePr/>
                  <a:graphic xmlns:a="http://schemas.openxmlformats.org/drawingml/2006/main">
                    <a:graphicData uri="http://schemas.openxmlformats.org/drawingml/2006/picture">
                      <pic:pic xmlns:pic="http://schemas.openxmlformats.org/drawingml/2006/picture">
                        <pic:nvPicPr>
                          <pic:cNvPr id="101" name="图片_54"/>
                          <pic:cNvPicPr/>
                        </pic:nvPicPr>
                        <pic:blipFill>
                          <a:blip r:embed="rId48"/>
                          <a:stretch>
                            <a:fillRect/>
                          </a:stretch>
                        </pic:blipFill>
                        <pic:spPr>
                          <a:xfrm>
                            <a:off x="0" y="0"/>
                            <a:ext cx="903605" cy="10547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36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大号割锯台</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尺寸：68*30*88CM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材质：天然榉木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(工具枪) (锯子) (六角扳手) (锤子) (剥线钳) (螺丝刀) (三角尺) (固定器) (钳子) (扳手) (老虎钳) (螺丝/螺丝扣) 三色齿轮7.5CM*3 三色齿轮5.5CM*3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三色木片9*3*1CMX8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螺丝钉X2 螺丝钉X6 螺丝钉X21 螺丝帽X14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(8.5*3CM) (6*3CM) (5*3CM) (3*5CM)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螺丝钉(6*3CM) X6 螺丝钉(5*3CM) X21 螺丝钉(3*5CM) X14 钉子 (5.5*3CM)X4 钉子(4.7CM)X3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积木块(3.5*3.5*3.5CM)X4 木片 (15*3*1CM)X6</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1225550</wp:posOffset>
                  </wp:positionV>
                  <wp:extent cx="1398270" cy="1660525"/>
                  <wp:effectExtent l="0" t="0" r="11430" b="15875"/>
                  <wp:wrapNone/>
                  <wp:docPr id="103" name="图片_56"/>
                  <wp:cNvGraphicFramePr/>
                  <a:graphic xmlns:a="http://schemas.openxmlformats.org/drawingml/2006/main">
                    <a:graphicData uri="http://schemas.openxmlformats.org/drawingml/2006/picture">
                      <pic:pic xmlns:pic="http://schemas.openxmlformats.org/drawingml/2006/picture">
                        <pic:nvPicPr>
                          <pic:cNvPr id="103" name="图片_56"/>
                          <pic:cNvPicPr/>
                        </pic:nvPicPr>
                        <pic:blipFill>
                          <a:blip r:embed="rId49"/>
                          <a:stretch>
                            <a:fillRect/>
                          </a:stretch>
                        </pic:blipFill>
                        <pic:spPr>
                          <a:xfrm>
                            <a:off x="0" y="0"/>
                            <a:ext cx="1398270" cy="16605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37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冰淇淋商店</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26*19*11.5</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积木表面均匀包裹环保水性漆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冰淇淋磁吸设计，冰淇淋球和下部吸铁石固定可更换组合</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冰淇淋7个，招牌1个，置物架1个，说明书1个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478155</wp:posOffset>
                  </wp:positionV>
                  <wp:extent cx="1426210" cy="1412240"/>
                  <wp:effectExtent l="0" t="0" r="2540" b="16510"/>
                  <wp:wrapNone/>
                  <wp:docPr id="98" name="图片_57"/>
                  <wp:cNvGraphicFramePr/>
                  <a:graphic xmlns:a="http://schemas.openxmlformats.org/drawingml/2006/main">
                    <a:graphicData uri="http://schemas.openxmlformats.org/drawingml/2006/picture">
                      <pic:pic xmlns:pic="http://schemas.openxmlformats.org/drawingml/2006/picture">
                        <pic:nvPicPr>
                          <pic:cNvPr id="98" name="图片_57"/>
                          <pic:cNvPicPr/>
                        </pic:nvPicPr>
                        <pic:blipFill>
                          <a:blip r:embed="rId50"/>
                          <a:stretch>
                            <a:fillRect/>
                          </a:stretch>
                        </pic:blipFill>
                        <pic:spPr>
                          <a:xfrm>
                            <a:off x="0" y="0"/>
                            <a:ext cx="1426210" cy="14122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38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小吃店</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爆米花机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彩盒尺寸 24.5*23.5*16.2cm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名称 新款收银机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彩盒尺寸 27*18*9.5cm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名称 糖果套柱</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彩盒尺寸 23*20.5*3.5cm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名称 新款煎饼机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彩盒尺寸 21*5.2*21cm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490220</wp:posOffset>
                  </wp:positionH>
                  <wp:positionV relativeFrom="paragraph">
                    <wp:posOffset>1966595</wp:posOffset>
                  </wp:positionV>
                  <wp:extent cx="919480" cy="1650365"/>
                  <wp:effectExtent l="0" t="0" r="13970" b="6985"/>
                  <wp:wrapNone/>
                  <wp:docPr id="93" name="图片_60"/>
                  <wp:cNvGraphicFramePr/>
                  <a:graphic xmlns:a="http://schemas.openxmlformats.org/drawingml/2006/main">
                    <a:graphicData uri="http://schemas.openxmlformats.org/drawingml/2006/picture">
                      <pic:pic xmlns:pic="http://schemas.openxmlformats.org/drawingml/2006/picture">
                        <pic:nvPicPr>
                          <pic:cNvPr id="93" name="图片_60"/>
                          <pic:cNvPicPr/>
                        </pic:nvPicPr>
                        <pic:blipFill>
                          <a:blip r:embed="rId51"/>
                          <a:stretch>
                            <a:fillRect/>
                          </a:stretch>
                        </pic:blipFill>
                        <pic:spPr>
                          <a:xfrm>
                            <a:off x="0" y="0"/>
                            <a:ext cx="919480" cy="1650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39</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磁力棒</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280件磁力棒套装</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明细：说明书 1份；收纳箱1个；蓝色棒30根；红色棒128根；黄色棒30根；连接球90个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381000</wp:posOffset>
                  </wp:positionV>
                  <wp:extent cx="835660" cy="965200"/>
                  <wp:effectExtent l="0" t="0" r="2540" b="6350"/>
                  <wp:wrapNone/>
                  <wp:docPr id="100" name="图片_141"/>
                  <wp:cNvGraphicFramePr/>
                  <a:graphic xmlns:a="http://schemas.openxmlformats.org/drawingml/2006/main">
                    <a:graphicData uri="http://schemas.openxmlformats.org/drawingml/2006/picture">
                      <pic:pic xmlns:pic="http://schemas.openxmlformats.org/drawingml/2006/picture">
                        <pic:nvPicPr>
                          <pic:cNvPr id="100" name="图片_141"/>
                          <pic:cNvPicPr/>
                        </pic:nvPicPr>
                        <pic:blipFill>
                          <a:blip r:embed="rId52"/>
                          <a:stretch>
                            <a:fillRect/>
                          </a:stretch>
                        </pic:blipFill>
                        <pic:spPr>
                          <a:xfrm>
                            <a:off x="0" y="0"/>
                            <a:ext cx="835660" cy="965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动车轨道</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 xml:space="preserve">尺寸:39.5*28*16.5cm </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油漆:安全水性漆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材质:优质榉木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执行标准:GB 6675.1-2014 GB 6675.2-2014 GB 6675.3-2014 GB6675.4-2014</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657860</wp:posOffset>
                  </wp:positionV>
                  <wp:extent cx="1104265" cy="804545"/>
                  <wp:effectExtent l="0" t="0" r="635" b="14605"/>
                  <wp:wrapNone/>
                  <wp:docPr id="109" name="图片_2_SpCnt_2"/>
                  <wp:cNvGraphicFramePr/>
                  <a:graphic xmlns:a="http://schemas.openxmlformats.org/drawingml/2006/main">
                    <a:graphicData uri="http://schemas.openxmlformats.org/drawingml/2006/picture">
                      <pic:pic xmlns:pic="http://schemas.openxmlformats.org/drawingml/2006/picture">
                        <pic:nvPicPr>
                          <pic:cNvPr id="109" name="图片_2_SpCnt_2"/>
                          <pic:cNvPicPr/>
                        </pic:nvPicPr>
                        <pic:blipFill>
                          <a:blip r:embed="rId53"/>
                          <a:stretch>
                            <a:fillRect/>
                          </a:stretch>
                        </pic:blipFill>
                        <pic:spPr>
                          <a:xfrm>
                            <a:off x="0" y="0"/>
                            <a:ext cx="1104265" cy="804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320件套</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实心积木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★320件套</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材质：天然榉木，</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明细：收纳盒*5，带轮子收纳盒*1，盖子*1，说明书一份，区域标识排一份，双倍柱5*5*5；单倍柱5*5*2.5；半倍柱5*2.5*2.5；15x2.5x2.5 10x2.5x2.5 45x5x2.5 15x5x2.5 30x2.5x2.5 15x5x5 10x5x5 10*5*2.5 三角块：5x5x5 5x5x2.5 0x10x2 10x10x5 15x5x2.5 异形块：15x2.5x5 10x5x5 10x5x2.5 10x5x5 5x5x5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30x15x2.5 20x20x2.5 20x10x2.5</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958850</wp:posOffset>
                  </wp:positionV>
                  <wp:extent cx="1022985" cy="792480"/>
                  <wp:effectExtent l="0" t="0" r="5715" b="7620"/>
                  <wp:wrapNone/>
                  <wp:docPr id="105" name="图片_118"/>
                  <wp:cNvGraphicFramePr/>
                  <a:graphic xmlns:a="http://schemas.openxmlformats.org/drawingml/2006/main">
                    <a:graphicData uri="http://schemas.openxmlformats.org/drawingml/2006/picture">
                      <pic:pic xmlns:pic="http://schemas.openxmlformats.org/drawingml/2006/picture">
                        <pic:nvPicPr>
                          <pic:cNvPr id="105" name="图片_118"/>
                          <pic:cNvPicPr/>
                        </pic:nvPicPr>
                        <pic:blipFill>
                          <a:blip r:embed="rId54"/>
                          <a:stretch>
                            <a:fillRect/>
                          </a:stretch>
                        </pic:blipFill>
                        <pic:spPr>
                          <a:xfrm>
                            <a:off x="0" y="0"/>
                            <a:ext cx="1022985" cy="7924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甜品店</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 xml:space="preserve">夹子、甜甜圈、饼干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(2.1x8.3cm) (7x2cm) (5.3x2cm) </w:t>
            </w:r>
            <w:r>
              <w:rPr>
                <w:rFonts w:hint="eastAsia" w:ascii="宋体" w:hAnsi="宋体" w:eastAsia="宋体" w:cs="宋体"/>
                <w:b w:val="0"/>
                <w:bCs w:val="0"/>
                <w:i w:val="0"/>
                <w:iCs w:val="0"/>
                <w:color w:val="000000"/>
                <w:kern w:val="0"/>
                <w:sz w:val="21"/>
                <w:szCs w:val="21"/>
                <w:u w:val="none"/>
                <w:lang w:val="en-US" w:eastAsia="zh-CN" w:bidi="ar"/>
              </w:rPr>
              <w:br w:type="textWrapping"/>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 xml:space="preserve">蛋糕、蛋糕卷、蛋糕卷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(7x4.8x2cm) (6.4x5.4x2cm) (6.4x5.4x2cm) </w:t>
            </w:r>
            <w:r>
              <w:rPr>
                <w:rFonts w:hint="eastAsia" w:ascii="宋体" w:hAnsi="宋体" w:eastAsia="宋体" w:cs="宋体"/>
                <w:b w:val="0"/>
                <w:bCs w:val="0"/>
                <w:i w:val="0"/>
                <w:iCs w:val="0"/>
                <w:color w:val="000000"/>
                <w:kern w:val="0"/>
                <w:sz w:val="21"/>
                <w:szCs w:val="21"/>
                <w:u w:val="none"/>
                <w:lang w:val="en-US" w:eastAsia="zh-CN" w:bidi="ar"/>
              </w:rPr>
              <w:br w:type="textWrapping"/>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蛋糕、 樱桃蛋糕、心形蛋糕、甜品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(4.6x6x2cm) (4.6x4.6x3.5cm) (6x5.3x2cm) (2.4x11.5x1cm)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材质：榉木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双层水溶环保漆</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863600</wp:posOffset>
                  </wp:positionV>
                  <wp:extent cx="1194435" cy="979170"/>
                  <wp:effectExtent l="0" t="0" r="5715" b="11430"/>
                  <wp:wrapNone/>
                  <wp:docPr id="106" name="图片_67"/>
                  <wp:cNvGraphicFramePr/>
                  <a:graphic xmlns:a="http://schemas.openxmlformats.org/drawingml/2006/main">
                    <a:graphicData uri="http://schemas.openxmlformats.org/drawingml/2006/picture">
                      <pic:pic xmlns:pic="http://schemas.openxmlformats.org/drawingml/2006/picture">
                        <pic:nvPicPr>
                          <pic:cNvPr id="106" name="图片_67"/>
                          <pic:cNvPicPr/>
                        </pic:nvPicPr>
                        <pic:blipFill>
                          <a:blip r:embed="rId55"/>
                          <a:stretch>
                            <a:fillRect/>
                          </a:stretch>
                        </pic:blipFill>
                        <pic:spPr>
                          <a:xfrm>
                            <a:off x="0" y="0"/>
                            <a:ext cx="1194435" cy="979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木质手拉车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产品名称：木质收纳拉车玩具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 质：椴木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涂 装：水性漆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尺 寸：35.5*30*25.7cm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辆</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306705</wp:posOffset>
                  </wp:positionH>
                  <wp:positionV relativeFrom="paragraph">
                    <wp:posOffset>582295</wp:posOffset>
                  </wp:positionV>
                  <wp:extent cx="996315" cy="791845"/>
                  <wp:effectExtent l="0" t="0" r="13335" b="8255"/>
                  <wp:wrapNone/>
                  <wp:docPr id="111" name="图片_70"/>
                  <wp:cNvGraphicFramePr/>
                  <a:graphic xmlns:a="http://schemas.openxmlformats.org/drawingml/2006/main">
                    <a:graphicData uri="http://schemas.openxmlformats.org/drawingml/2006/picture">
                      <pic:pic xmlns:pic="http://schemas.openxmlformats.org/drawingml/2006/picture">
                        <pic:nvPicPr>
                          <pic:cNvPr id="111" name="图片_70"/>
                          <pic:cNvPicPr/>
                        </pic:nvPicPr>
                        <pic:blipFill>
                          <a:blip r:embed="rId56"/>
                          <a:stretch>
                            <a:fillRect/>
                          </a:stretch>
                        </pic:blipFill>
                        <pic:spPr>
                          <a:xfrm>
                            <a:off x="0" y="0"/>
                            <a:ext cx="996315" cy="791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冰淇淋店</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尺寸：52*40*22</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材质：椴木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包装明细：冰淇淋6个，蛋筒2个，冰淇淋球2个，甜品3个，勺子1个，货架1个，说明书1份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★功能：拥有仿真冷藏室，冰淇淋炒锅灯功能</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207645</wp:posOffset>
                  </wp:positionV>
                  <wp:extent cx="1367790" cy="1451610"/>
                  <wp:effectExtent l="0" t="0" r="3810" b="15240"/>
                  <wp:wrapNone/>
                  <wp:docPr id="107" name="图片_76"/>
                  <wp:cNvGraphicFramePr/>
                  <a:graphic xmlns:a="http://schemas.openxmlformats.org/drawingml/2006/main">
                    <a:graphicData uri="http://schemas.openxmlformats.org/drawingml/2006/picture">
                      <pic:pic xmlns:pic="http://schemas.openxmlformats.org/drawingml/2006/picture">
                        <pic:nvPicPr>
                          <pic:cNvPr id="107" name="图片_76"/>
                          <pic:cNvPicPr/>
                        </pic:nvPicPr>
                        <pic:blipFill>
                          <a:blip r:embed="rId57"/>
                          <a:stretch>
                            <a:fillRect/>
                          </a:stretch>
                        </pic:blipFill>
                        <pic:spPr>
                          <a:xfrm>
                            <a:off x="0" y="0"/>
                            <a:ext cx="1367790" cy="1451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移动式便利店</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★配置：电子秤*1 收银台*1 购物车*1 招牌*1 商标卡*6 苹果*3 橡胶*3 西瓜*3 橘子*3 柠檬*3 丑八怪*3 鱼罐头2个  咖啡2个  会员卡5张 果冻蛋糕1盒  牛奶雪糕1盒 冰箱1个 置物架*1  轮子4个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193675</wp:posOffset>
                  </wp:positionV>
                  <wp:extent cx="1397000" cy="1504950"/>
                  <wp:effectExtent l="0" t="0" r="12700" b="0"/>
                  <wp:wrapNone/>
                  <wp:docPr id="108" name="图片_84"/>
                  <wp:cNvGraphicFramePr/>
                  <a:graphic xmlns:a="http://schemas.openxmlformats.org/drawingml/2006/main">
                    <a:graphicData uri="http://schemas.openxmlformats.org/drawingml/2006/picture">
                      <pic:pic xmlns:pic="http://schemas.openxmlformats.org/drawingml/2006/picture">
                        <pic:nvPicPr>
                          <pic:cNvPr id="108" name="图片_84"/>
                          <pic:cNvPicPr/>
                        </pic:nvPicPr>
                        <pic:blipFill>
                          <a:blip r:embed="rId58"/>
                          <a:stretch>
                            <a:fillRect/>
                          </a:stretch>
                        </pic:blipFill>
                        <pic:spPr>
                          <a:xfrm>
                            <a:off x="0" y="0"/>
                            <a:ext cx="1397000" cy="1504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综合便利店</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淡蓝色带黑板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包装尺寸：67.5*61.5*10cm 重量：7kg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大置物架高102cm  长62cm  宽9cm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小置物架高48cm 长62cm  宽11.5cm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侧面小置物架高44cm 长60cm 宽11.5cm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254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116840</wp:posOffset>
                  </wp:positionV>
                  <wp:extent cx="1447165" cy="1532890"/>
                  <wp:effectExtent l="0" t="0" r="635" b="10160"/>
                  <wp:wrapNone/>
                  <wp:docPr id="104" name="图片_83"/>
                  <wp:cNvGraphicFramePr/>
                  <a:graphic xmlns:a="http://schemas.openxmlformats.org/drawingml/2006/main">
                    <a:graphicData uri="http://schemas.openxmlformats.org/drawingml/2006/picture">
                      <pic:pic xmlns:pic="http://schemas.openxmlformats.org/drawingml/2006/picture">
                        <pic:nvPicPr>
                          <pic:cNvPr id="104" name="图片_83"/>
                          <pic:cNvPicPr/>
                        </pic:nvPicPr>
                        <pic:blipFill>
                          <a:blip r:embed="rId59"/>
                          <a:stretch>
                            <a:fillRect/>
                          </a:stretch>
                        </pic:blipFill>
                        <pic:spPr>
                          <a:xfrm>
                            <a:off x="0" y="0"/>
                            <a:ext cx="1447165" cy="15328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烧烤组合</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 xml:space="preserve">18.3*1.5CM 9*3.5CM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(烧烤杆) (番茄酱) </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5.5*3.5CM 5.5*3.5CM 12*5*3CM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(胡椒粉) (盐) (夹子)</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9.5*2.5CM 7*5*1.5CM 4.5*4.2*0.8CM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(烤肠) (青菜) (蘑菇) </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7.5*5*1.5CM 6.3*3*2.5CM 5*3.5*0.8CM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(肉) (面包) (洋葱) </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11.5*3*0.8CM 7.5*3*0.8CM 5.5*3.3*0.8CM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(鱼) (鸡腿) (虾)</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242570</wp:posOffset>
                  </wp:positionH>
                  <wp:positionV relativeFrom="paragraph">
                    <wp:posOffset>885190</wp:posOffset>
                  </wp:positionV>
                  <wp:extent cx="977900" cy="786765"/>
                  <wp:effectExtent l="0" t="0" r="12700" b="13335"/>
                  <wp:wrapNone/>
                  <wp:docPr id="33" name="图片_95"/>
                  <wp:cNvGraphicFramePr/>
                  <a:graphic xmlns:a="http://schemas.openxmlformats.org/drawingml/2006/main">
                    <a:graphicData uri="http://schemas.openxmlformats.org/drawingml/2006/picture">
                      <pic:pic xmlns:pic="http://schemas.openxmlformats.org/drawingml/2006/picture">
                        <pic:nvPicPr>
                          <pic:cNvPr id="33" name="图片_95"/>
                          <pic:cNvPicPr/>
                        </pic:nvPicPr>
                        <pic:blipFill>
                          <a:blip r:embed="rId60"/>
                          <a:stretch>
                            <a:fillRect/>
                          </a:stretch>
                        </pic:blipFill>
                        <pic:spPr>
                          <a:xfrm>
                            <a:off x="0" y="0"/>
                            <a:ext cx="977900" cy="7867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光影游戏</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共有26个皮影造型（14个人物+12个场景道具），三块可更换幕布和科普绘本、戏本故事 （9个故事）。玩法和配件都集齐丰富。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产品：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★1.三块可更换幕布，海、陆、空三大场 景便捷更换。</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2.投掷骰子玩法，随机定角色，你来 编故事，锻炼孩子的语言组织能力，故事想象力。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3.14个经典神话人物，12个常用故事道具。</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280035</wp:posOffset>
                  </wp:positionH>
                  <wp:positionV relativeFrom="paragraph">
                    <wp:posOffset>445770</wp:posOffset>
                  </wp:positionV>
                  <wp:extent cx="953770" cy="813435"/>
                  <wp:effectExtent l="0" t="0" r="17780" b="5715"/>
                  <wp:wrapNone/>
                  <wp:docPr id="34" name="图片_123"/>
                  <wp:cNvGraphicFramePr/>
                  <a:graphic xmlns:a="http://schemas.openxmlformats.org/drawingml/2006/main">
                    <a:graphicData uri="http://schemas.openxmlformats.org/drawingml/2006/picture">
                      <pic:pic xmlns:pic="http://schemas.openxmlformats.org/drawingml/2006/picture">
                        <pic:nvPicPr>
                          <pic:cNvPr id="34" name="图片_123"/>
                          <pic:cNvPicPr/>
                        </pic:nvPicPr>
                        <pic:blipFill>
                          <a:blip r:embed="rId61"/>
                          <a:stretch>
                            <a:fillRect/>
                          </a:stretch>
                        </pic:blipFill>
                        <pic:spPr>
                          <a:xfrm>
                            <a:off x="0" y="0"/>
                            <a:ext cx="953770" cy="813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49</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茶水车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金属三层手推车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材料：钢, 环氧粉末涂层</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长度: 35 厘米</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宽度: 45 厘米</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高度: 78 厘米</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辆</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432435</wp:posOffset>
                  </wp:positionV>
                  <wp:extent cx="1133475" cy="1273175"/>
                  <wp:effectExtent l="0" t="0" r="9525" b="3175"/>
                  <wp:wrapNone/>
                  <wp:docPr id="31" name="图片_10"/>
                  <wp:cNvGraphicFramePr/>
                  <a:graphic xmlns:a="http://schemas.openxmlformats.org/drawingml/2006/main">
                    <a:graphicData uri="http://schemas.openxmlformats.org/drawingml/2006/picture">
                      <pic:pic xmlns:pic="http://schemas.openxmlformats.org/drawingml/2006/picture">
                        <pic:nvPicPr>
                          <pic:cNvPr id="31" name="图片_10"/>
                          <pic:cNvPicPr/>
                        </pic:nvPicPr>
                        <pic:blipFill>
                          <a:blip r:embed="rId62"/>
                          <a:stretch>
                            <a:fillRect/>
                          </a:stretch>
                        </pic:blipFill>
                        <pic:spPr>
                          <a:xfrm>
                            <a:off x="0" y="0"/>
                            <a:ext cx="1133475" cy="1273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户外打击乐器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80*60*90</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钢管材料：镀锌焊管，主架钢管规格直径</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38mm 和 28mm,厚度为 3.2mm。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106045</wp:posOffset>
                  </wp:positionV>
                  <wp:extent cx="1184275" cy="1586865"/>
                  <wp:effectExtent l="0" t="0" r="15875" b="13335"/>
                  <wp:wrapNone/>
                  <wp:docPr id="30" name="图片_132"/>
                  <wp:cNvGraphicFramePr/>
                  <a:graphic xmlns:a="http://schemas.openxmlformats.org/drawingml/2006/main">
                    <a:graphicData uri="http://schemas.openxmlformats.org/drawingml/2006/picture">
                      <pic:pic xmlns:pic="http://schemas.openxmlformats.org/drawingml/2006/picture">
                        <pic:nvPicPr>
                          <pic:cNvPr id="30" name="图片_132"/>
                          <pic:cNvPicPr/>
                        </pic:nvPicPr>
                        <pic:blipFill>
                          <a:blip r:embed="rId63"/>
                          <a:stretch>
                            <a:fillRect/>
                          </a:stretch>
                        </pic:blipFill>
                        <pic:spPr>
                          <a:xfrm>
                            <a:off x="0" y="0"/>
                            <a:ext cx="1184275" cy="1586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运动担架</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120*45cm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★钢管采用φ40*3.5mm加厚不锈钢管</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布料采用1080D加厚牛津布</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结实耐用，安全性高</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548005</wp:posOffset>
                  </wp:positionV>
                  <wp:extent cx="917575" cy="937260"/>
                  <wp:effectExtent l="0" t="0" r="15875" b="15240"/>
                  <wp:wrapNone/>
                  <wp:docPr id="35" name="图片_12"/>
                  <wp:cNvGraphicFramePr/>
                  <a:graphic xmlns:a="http://schemas.openxmlformats.org/drawingml/2006/main">
                    <a:graphicData uri="http://schemas.openxmlformats.org/drawingml/2006/picture">
                      <pic:pic xmlns:pic="http://schemas.openxmlformats.org/drawingml/2006/picture">
                        <pic:nvPicPr>
                          <pic:cNvPr id="35" name="图片_12"/>
                          <pic:cNvPicPr/>
                        </pic:nvPicPr>
                        <pic:blipFill>
                          <a:blip r:embed="rId64"/>
                          <a:stretch>
                            <a:fillRect/>
                          </a:stretch>
                        </pic:blipFill>
                        <pic:spPr>
                          <a:xfrm>
                            <a:off x="0" y="0"/>
                            <a:ext cx="917575" cy="9372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户外打击乐器</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80*12*150</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钢管材料：镀锌焊管，主架钢管规格直径38mm 和 28mm，厚度为3.2mm。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229235</wp:posOffset>
                  </wp:positionV>
                  <wp:extent cx="1049655" cy="1492885"/>
                  <wp:effectExtent l="0" t="0" r="17145" b="12065"/>
                  <wp:wrapNone/>
                  <wp:docPr id="36" name="图片_135"/>
                  <wp:cNvGraphicFramePr/>
                  <a:graphic xmlns:a="http://schemas.openxmlformats.org/drawingml/2006/main">
                    <a:graphicData uri="http://schemas.openxmlformats.org/drawingml/2006/picture">
                      <pic:pic xmlns:pic="http://schemas.openxmlformats.org/drawingml/2006/picture">
                        <pic:nvPicPr>
                          <pic:cNvPr id="36" name="图片_135"/>
                          <pic:cNvPicPr/>
                        </pic:nvPicPr>
                        <pic:blipFill>
                          <a:blip r:embed="rId65"/>
                          <a:stretch>
                            <a:fillRect/>
                          </a:stretch>
                        </pic:blipFill>
                        <pic:spPr>
                          <a:xfrm>
                            <a:off x="0" y="0"/>
                            <a:ext cx="1049655" cy="1492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53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涂鸦防水衣</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材质：防水环保无味PEVA</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柔软易清洗 没有塑料的异味</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尺码：小号衣长530cm 袖长42cm 衣宽40cm 适合90到110身高</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大号衣长57cm 袖长47cm 肩宽43cm  适合110到130身高</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衣服后面是魔术粘</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件</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221615</wp:posOffset>
                  </wp:positionH>
                  <wp:positionV relativeFrom="paragraph">
                    <wp:posOffset>377825</wp:posOffset>
                  </wp:positionV>
                  <wp:extent cx="1054735" cy="1264285"/>
                  <wp:effectExtent l="0" t="0" r="12065" b="12065"/>
                  <wp:wrapNone/>
                  <wp:docPr id="37" name="图片_27"/>
                  <wp:cNvGraphicFramePr/>
                  <a:graphic xmlns:a="http://schemas.openxmlformats.org/drawingml/2006/main">
                    <a:graphicData uri="http://schemas.openxmlformats.org/drawingml/2006/picture">
                      <pic:pic xmlns:pic="http://schemas.openxmlformats.org/drawingml/2006/picture">
                        <pic:nvPicPr>
                          <pic:cNvPr id="37" name="图片_27"/>
                          <pic:cNvPicPr/>
                        </pic:nvPicPr>
                        <pic:blipFill>
                          <a:blip r:embed="rId66"/>
                          <a:stretch>
                            <a:fillRect/>
                          </a:stretch>
                        </pic:blipFill>
                        <pic:spPr>
                          <a:xfrm>
                            <a:off x="0" y="0"/>
                            <a:ext cx="1054735" cy="12642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涂鸦笔</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1号笔 出锋约1.0cm 宽约0.6cm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2号笔 出锋约1.2cm宽约0.62cm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3号笔 出锋约1.2cm宽约0.65cm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4号笔 出锋约1.2cm 宽约0.7cm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5号笔 出锋约1.2cm 宽约0.8cm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6号笔 出锋约1.6cm 宽约0.9cm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7号笔 出锋约1.7cm 宽约1.1cm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8号笔 出锋约1.7cm宽约1.2cm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9号笔 出锋约1.8cm宽约1.3cm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10号笔 出锋约1.8cm宽约1.35cm *1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11号笔 出锋约2.1cm 宽约1.6cm *1</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12号笔 出锋约2.4cm 宽约1.9cm *1</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254635</wp:posOffset>
                  </wp:positionH>
                  <wp:positionV relativeFrom="paragraph">
                    <wp:posOffset>682625</wp:posOffset>
                  </wp:positionV>
                  <wp:extent cx="1041400" cy="929640"/>
                  <wp:effectExtent l="0" t="0" r="6350" b="3810"/>
                  <wp:wrapNone/>
                  <wp:docPr id="29" name="图片_25"/>
                  <wp:cNvGraphicFramePr/>
                  <a:graphic xmlns:a="http://schemas.openxmlformats.org/drawingml/2006/main">
                    <a:graphicData uri="http://schemas.openxmlformats.org/drawingml/2006/picture">
                      <pic:pic xmlns:pic="http://schemas.openxmlformats.org/drawingml/2006/picture">
                        <pic:nvPicPr>
                          <pic:cNvPr id="29" name="图片_25"/>
                          <pic:cNvPicPr/>
                        </pic:nvPicPr>
                        <pic:blipFill>
                          <a:blip r:embed="rId67"/>
                          <a:stretch>
                            <a:fillRect/>
                          </a:stretch>
                        </pic:blipFill>
                        <pic:spPr>
                          <a:xfrm>
                            <a:off x="0" y="0"/>
                            <a:ext cx="1041400" cy="929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涂鸦桶</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材料：PP新料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φ126*105mm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224790</wp:posOffset>
                  </wp:positionV>
                  <wp:extent cx="1341120" cy="1586230"/>
                  <wp:effectExtent l="0" t="0" r="11430" b="13970"/>
                  <wp:wrapNone/>
                  <wp:docPr id="3" name="图片_24"/>
                  <wp:cNvGraphicFramePr/>
                  <a:graphic xmlns:a="http://schemas.openxmlformats.org/drawingml/2006/main">
                    <a:graphicData uri="http://schemas.openxmlformats.org/drawingml/2006/picture">
                      <pic:pic xmlns:pic="http://schemas.openxmlformats.org/drawingml/2006/picture">
                        <pic:nvPicPr>
                          <pic:cNvPr id="3" name="图片_24"/>
                          <pic:cNvPicPr/>
                        </pic:nvPicPr>
                        <pic:blipFill>
                          <a:blip r:embed="rId68"/>
                          <a:stretch>
                            <a:fillRect/>
                          </a:stretch>
                        </pic:blipFill>
                        <pic:spPr>
                          <a:xfrm>
                            <a:off x="0" y="0"/>
                            <a:ext cx="1341120" cy="15862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户外涂鸦架</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335*120*350cm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俄罗斯夹板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★涂鸦板采用双层夹胶钢化玻璃，采用新型彩色固基胶，使画板呈现不同颜色，可双面涂鸦</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651510</wp:posOffset>
                  </wp:positionV>
                  <wp:extent cx="1213485" cy="803910"/>
                  <wp:effectExtent l="0" t="0" r="5715" b="15240"/>
                  <wp:wrapNone/>
                  <wp:docPr id="8" name="图片_100"/>
                  <wp:cNvGraphicFramePr/>
                  <a:graphic xmlns:a="http://schemas.openxmlformats.org/drawingml/2006/main">
                    <a:graphicData uri="http://schemas.openxmlformats.org/drawingml/2006/picture">
                      <pic:pic xmlns:pic="http://schemas.openxmlformats.org/drawingml/2006/picture">
                        <pic:nvPicPr>
                          <pic:cNvPr id="8" name="图片_100"/>
                          <pic:cNvPicPr/>
                        </pic:nvPicPr>
                        <pic:blipFill>
                          <a:blip r:embed="rId69"/>
                          <a:stretch>
                            <a:fillRect/>
                          </a:stretch>
                        </pic:blipFill>
                        <pic:spPr>
                          <a:xfrm>
                            <a:off x="0" y="0"/>
                            <a:ext cx="1213485" cy="803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颜料</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24色</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500ml每支  </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按压式</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365125</wp:posOffset>
                  </wp:positionH>
                  <wp:positionV relativeFrom="paragraph">
                    <wp:posOffset>494030</wp:posOffset>
                  </wp:positionV>
                  <wp:extent cx="798830" cy="1028065"/>
                  <wp:effectExtent l="0" t="0" r="1270" b="635"/>
                  <wp:wrapNone/>
                  <wp:docPr id="4" name="图片_50"/>
                  <wp:cNvGraphicFramePr/>
                  <a:graphic xmlns:a="http://schemas.openxmlformats.org/drawingml/2006/main">
                    <a:graphicData uri="http://schemas.openxmlformats.org/drawingml/2006/picture">
                      <pic:pic xmlns:pic="http://schemas.openxmlformats.org/drawingml/2006/picture">
                        <pic:nvPicPr>
                          <pic:cNvPr id="4" name="图片_50"/>
                          <pic:cNvPicPr/>
                        </pic:nvPicPr>
                        <pic:blipFill>
                          <a:blip r:embed="rId70"/>
                          <a:stretch>
                            <a:fillRect/>
                          </a:stretch>
                        </pic:blipFill>
                        <pic:spPr>
                          <a:xfrm>
                            <a:off x="0" y="0"/>
                            <a:ext cx="798830" cy="10280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户外涂鸦车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130*45*110</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材质：榉木，全榫头工艺，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油漆：环保型漆。工艺：边缘和表面进行抛圆处理，材料尺寸适合儿童手掌抓握及脚部踩踏。</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570865</wp:posOffset>
                  </wp:positionV>
                  <wp:extent cx="1429385" cy="1069975"/>
                  <wp:effectExtent l="0" t="0" r="18415" b="15875"/>
                  <wp:wrapNone/>
                  <wp:docPr id="5" name="图片_142"/>
                  <wp:cNvGraphicFramePr/>
                  <a:graphic xmlns:a="http://schemas.openxmlformats.org/drawingml/2006/main">
                    <a:graphicData uri="http://schemas.openxmlformats.org/drawingml/2006/picture">
                      <pic:pic xmlns:pic="http://schemas.openxmlformats.org/drawingml/2006/picture">
                        <pic:nvPicPr>
                          <pic:cNvPr id="5" name="图片_142"/>
                          <pic:cNvPicPr/>
                        </pic:nvPicPr>
                        <pic:blipFill>
                          <a:blip r:embed="rId71"/>
                          <a:stretch>
                            <a:fillRect/>
                          </a:stretch>
                        </pic:blipFill>
                        <pic:spPr>
                          <a:xfrm>
                            <a:off x="0" y="0"/>
                            <a:ext cx="1429385" cy="1069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59</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户外涂鸦桌</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一桌二椅</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桌子：130*70*65</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椅子：100*38*30</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材质：榉木，全榫头工艺，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油漆：环保水性漆。工艺：边缘和表面进行抛圆处理，材料尺寸适合儿童手掌抓握及脚部踩踏。</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363220</wp:posOffset>
                  </wp:positionV>
                  <wp:extent cx="1343660" cy="1276985"/>
                  <wp:effectExtent l="0" t="0" r="8890" b="18415"/>
                  <wp:wrapNone/>
                  <wp:docPr id="28" name="图片_154"/>
                  <wp:cNvGraphicFramePr/>
                  <a:graphic xmlns:a="http://schemas.openxmlformats.org/drawingml/2006/main">
                    <a:graphicData uri="http://schemas.openxmlformats.org/drawingml/2006/picture">
                      <pic:pic xmlns:pic="http://schemas.openxmlformats.org/drawingml/2006/picture">
                        <pic:nvPicPr>
                          <pic:cNvPr id="28" name="图片_154"/>
                          <pic:cNvPicPr/>
                        </pic:nvPicPr>
                        <pic:blipFill>
                          <a:blip r:embed="rId72"/>
                          <a:stretch>
                            <a:fillRect/>
                          </a:stretch>
                        </pic:blipFill>
                        <pic:spPr>
                          <a:xfrm>
                            <a:off x="0" y="0"/>
                            <a:ext cx="1343660" cy="12769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户外涂鸦收纳柜</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160*65*135</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★材质：花旗松+不锈钢框架，正面采用环保黑板漆。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其他油漆：环保水性漆。</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工艺：边缘和表面进行抛圆处理。</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158750</wp:posOffset>
                  </wp:positionV>
                  <wp:extent cx="1302385" cy="1557020"/>
                  <wp:effectExtent l="0" t="0" r="12065" b="5080"/>
                  <wp:wrapNone/>
                  <wp:docPr id="6" name="图片_155"/>
                  <wp:cNvGraphicFramePr/>
                  <a:graphic xmlns:a="http://schemas.openxmlformats.org/drawingml/2006/main">
                    <a:graphicData uri="http://schemas.openxmlformats.org/drawingml/2006/picture">
                      <pic:pic xmlns:pic="http://schemas.openxmlformats.org/drawingml/2006/picture">
                        <pic:nvPicPr>
                          <pic:cNvPr id="6" name="图片_155"/>
                          <pic:cNvPicPr/>
                        </pic:nvPicPr>
                        <pic:blipFill>
                          <a:blip r:embed="rId73"/>
                          <a:stretch>
                            <a:fillRect/>
                          </a:stretch>
                        </pic:blipFill>
                        <pic:spPr>
                          <a:xfrm>
                            <a:off x="0" y="0"/>
                            <a:ext cx="1302385" cy="15570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滚铁环</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直径38cm铁环*1</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直径50cm铁环*1</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钩子*2</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481330</wp:posOffset>
                  </wp:positionV>
                  <wp:extent cx="778510" cy="817245"/>
                  <wp:effectExtent l="0" t="0" r="2540" b="1905"/>
                  <wp:wrapNone/>
                  <wp:docPr id="7" name="图片_28"/>
                  <wp:cNvGraphicFramePr/>
                  <a:graphic xmlns:a="http://schemas.openxmlformats.org/drawingml/2006/main">
                    <a:graphicData uri="http://schemas.openxmlformats.org/drawingml/2006/picture">
                      <pic:pic xmlns:pic="http://schemas.openxmlformats.org/drawingml/2006/picture">
                        <pic:nvPicPr>
                          <pic:cNvPr id="7" name="图片_28"/>
                          <pic:cNvPicPr/>
                        </pic:nvPicPr>
                        <pic:blipFill>
                          <a:blip r:embed="rId74"/>
                          <a:stretch>
                            <a:fillRect/>
                          </a:stretch>
                        </pic:blipFill>
                        <pic:spPr>
                          <a:xfrm>
                            <a:off x="0" y="0"/>
                            <a:ext cx="778510" cy="8172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毽子</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鸡毛+橡胶</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552450</wp:posOffset>
                  </wp:positionV>
                  <wp:extent cx="1054100" cy="760095"/>
                  <wp:effectExtent l="0" t="0" r="12700" b="1905"/>
                  <wp:wrapNone/>
                  <wp:docPr id="18" name="图片_31_SpCnt_2"/>
                  <wp:cNvGraphicFramePr/>
                  <a:graphic xmlns:a="http://schemas.openxmlformats.org/drawingml/2006/main">
                    <a:graphicData uri="http://schemas.openxmlformats.org/drawingml/2006/picture">
                      <pic:pic xmlns:pic="http://schemas.openxmlformats.org/drawingml/2006/picture">
                        <pic:nvPicPr>
                          <pic:cNvPr id="18" name="图片_31_SpCnt_2"/>
                          <pic:cNvPicPr/>
                        </pic:nvPicPr>
                        <pic:blipFill>
                          <a:blip r:embed="rId75"/>
                          <a:stretch>
                            <a:fillRect/>
                          </a:stretch>
                        </pic:blipFill>
                        <pic:spPr>
                          <a:xfrm>
                            <a:off x="0" y="0"/>
                            <a:ext cx="1054100" cy="7600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竹高跷</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高跷直径10cm以上，高10cm以上</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575945</wp:posOffset>
                  </wp:positionV>
                  <wp:extent cx="1159510" cy="886460"/>
                  <wp:effectExtent l="0" t="0" r="2540" b="8890"/>
                  <wp:wrapNone/>
                  <wp:docPr id="1" name="图片_32_SpCnt_2"/>
                  <wp:cNvGraphicFramePr/>
                  <a:graphic xmlns:a="http://schemas.openxmlformats.org/drawingml/2006/main">
                    <a:graphicData uri="http://schemas.openxmlformats.org/drawingml/2006/picture">
                      <pic:pic xmlns:pic="http://schemas.openxmlformats.org/drawingml/2006/picture">
                        <pic:nvPicPr>
                          <pic:cNvPr id="1" name="图片_32_SpCnt_2"/>
                          <pic:cNvPicPr/>
                        </pic:nvPicPr>
                        <pic:blipFill>
                          <a:blip r:embed="rId76"/>
                          <a:stretch>
                            <a:fillRect/>
                          </a:stretch>
                        </pic:blipFill>
                        <pic:spPr>
                          <a:xfrm>
                            <a:off x="0" y="0"/>
                            <a:ext cx="1159510" cy="8864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投壶</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15.5*15.5*41投壶*1</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48cm羽箭*10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182880</wp:posOffset>
                  </wp:positionH>
                  <wp:positionV relativeFrom="paragraph">
                    <wp:posOffset>518160</wp:posOffset>
                  </wp:positionV>
                  <wp:extent cx="941070" cy="892175"/>
                  <wp:effectExtent l="0" t="0" r="11430" b="3175"/>
                  <wp:wrapNone/>
                  <wp:docPr id="12" name="图片_43"/>
                  <wp:cNvGraphicFramePr/>
                  <a:graphic xmlns:a="http://schemas.openxmlformats.org/drawingml/2006/main">
                    <a:graphicData uri="http://schemas.openxmlformats.org/drawingml/2006/picture">
                      <pic:pic xmlns:pic="http://schemas.openxmlformats.org/drawingml/2006/picture">
                        <pic:nvPicPr>
                          <pic:cNvPr id="12" name="图片_43"/>
                          <pic:cNvPicPr/>
                        </pic:nvPicPr>
                        <pic:blipFill>
                          <a:blip r:embed="rId77"/>
                          <a:stretch>
                            <a:fillRect/>
                          </a:stretch>
                        </pic:blipFill>
                        <pic:spPr>
                          <a:xfrm>
                            <a:off x="0" y="0"/>
                            <a:ext cx="941070" cy="892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陀螺</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8cm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优质槐木陀螺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尖头钢珠</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358775</wp:posOffset>
                  </wp:positionV>
                  <wp:extent cx="732790" cy="842645"/>
                  <wp:effectExtent l="0" t="0" r="10160" b="14605"/>
                  <wp:wrapNone/>
                  <wp:docPr id="9" name="图片_44"/>
                  <wp:cNvGraphicFramePr/>
                  <a:graphic xmlns:a="http://schemas.openxmlformats.org/drawingml/2006/main">
                    <a:graphicData uri="http://schemas.openxmlformats.org/drawingml/2006/picture">
                      <pic:pic xmlns:pic="http://schemas.openxmlformats.org/drawingml/2006/picture">
                        <pic:nvPicPr>
                          <pic:cNvPr id="9" name="图片_44"/>
                          <pic:cNvPicPr/>
                        </pic:nvPicPr>
                        <pic:blipFill>
                          <a:blip r:embed="rId78"/>
                          <a:stretch>
                            <a:fillRect/>
                          </a:stretch>
                        </pic:blipFill>
                        <pic:spPr>
                          <a:xfrm>
                            <a:off x="0" y="0"/>
                            <a:ext cx="732790" cy="842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翻花绳</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4mm 棉线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明细：2米长棉线*1，说明卡片*10</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包装尺寸：10.4*8.4*2cm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盒</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409575</wp:posOffset>
                  </wp:positionV>
                  <wp:extent cx="1109345" cy="1029970"/>
                  <wp:effectExtent l="0" t="0" r="14605" b="17780"/>
                  <wp:wrapNone/>
                  <wp:docPr id="10" name="图片_45"/>
                  <wp:cNvGraphicFramePr/>
                  <a:graphic xmlns:a="http://schemas.openxmlformats.org/drawingml/2006/main">
                    <a:graphicData uri="http://schemas.openxmlformats.org/drawingml/2006/picture">
                      <pic:pic xmlns:pic="http://schemas.openxmlformats.org/drawingml/2006/picture">
                        <pic:nvPicPr>
                          <pic:cNvPr id="10" name="图片_45"/>
                          <pic:cNvPicPr/>
                        </pic:nvPicPr>
                        <pic:blipFill>
                          <a:blip r:embed="rId79"/>
                          <a:stretch>
                            <a:fillRect/>
                          </a:stretch>
                        </pic:blipFill>
                        <pic:spPr>
                          <a:xfrm>
                            <a:off x="0" y="0"/>
                            <a:ext cx="1109345" cy="10299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23"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三轮车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108*50*65</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材质：橡胶手柄把手+无辐条PP材料车轮+耐磨实心橡胶材料外圈+PP材料防滑全脚踏板+重型后稳定杆，多层保护漆无锈处理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威力三轮车是为育儿中心，幼儿园以及学校而设计。采用耐用，高密度原材料，质量符合现行安全标准。威力系列有不同的型号的三轮车，让儿童的总运动技能得到充分的刺激，同时也提高他们的社交能力。</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实心橡胶把手</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雅致的曲线设计，可实现更轻松的跨步体验</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防滑支架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无夹点设计，无尖锐边缘，保证安全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耐磨轮轴设计</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坚固PP材料防滑踏板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轮子内部采用坚固PP材料，外圈采用耐磨实心橡胶材料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座椅带靠背，采用耐用坚实PP材料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铁件采用烤漆镀锌管</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内置转向塞子，避免手指卡住。</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辆</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360045</wp:posOffset>
                  </wp:positionH>
                  <wp:positionV relativeFrom="paragraph">
                    <wp:posOffset>1587500</wp:posOffset>
                  </wp:positionV>
                  <wp:extent cx="1009015" cy="831215"/>
                  <wp:effectExtent l="0" t="0" r="635" b="6985"/>
                  <wp:wrapNone/>
                  <wp:docPr id="11" name="图片_156"/>
                  <wp:cNvGraphicFramePr/>
                  <a:graphic xmlns:a="http://schemas.openxmlformats.org/drawingml/2006/main">
                    <a:graphicData uri="http://schemas.openxmlformats.org/drawingml/2006/picture">
                      <pic:pic xmlns:pic="http://schemas.openxmlformats.org/drawingml/2006/picture">
                        <pic:nvPicPr>
                          <pic:cNvPr id="11" name="图片_156"/>
                          <pic:cNvPicPr/>
                        </pic:nvPicPr>
                        <pic:blipFill>
                          <a:blip r:embed="rId80"/>
                          <a:stretch>
                            <a:fillRect/>
                          </a:stretch>
                        </pic:blipFill>
                        <pic:spPr>
                          <a:xfrm>
                            <a:off x="0" y="0"/>
                            <a:ext cx="1009015" cy="8312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68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两轮车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88*46*65</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★钢管材料：镀锌焊管，主架钢管规格直径38mm和28mm，厚度为3.2mm。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辆</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257810</wp:posOffset>
                  </wp:positionV>
                  <wp:extent cx="1501140" cy="1470660"/>
                  <wp:effectExtent l="0" t="0" r="3810" b="15240"/>
                  <wp:wrapNone/>
                  <wp:docPr id="2" name="图片_157"/>
                  <wp:cNvGraphicFramePr/>
                  <a:graphic xmlns:a="http://schemas.openxmlformats.org/drawingml/2006/main">
                    <a:graphicData uri="http://schemas.openxmlformats.org/drawingml/2006/picture">
                      <pic:pic xmlns:pic="http://schemas.openxmlformats.org/drawingml/2006/picture">
                        <pic:nvPicPr>
                          <pic:cNvPr id="2" name="图片_157"/>
                          <pic:cNvPicPr/>
                        </pic:nvPicPr>
                        <pic:blipFill>
                          <a:blip r:embed="rId81"/>
                          <a:stretch>
                            <a:fillRect/>
                          </a:stretch>
                        </pic:blipFill>
                        <pic:spPr>
                          <a:xfrm>
                            <a:off x="0" y="0"/>
                            <a:ext cx="1501140" cy="1470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eastAsia="zh-CN"/>
              </w:rPr>
            </w:pPr>
            <w:r>
              <w:rPr>
                <w:rFonts w:hint="eastAsia" w:ascii="宋体" w:hAnsi="宋体" w:eastAsia="宋体" w:cs="宋体"/>
                <w:b w:val="0"/>
                <w:bCs w:val="0"/>
                <w:i w:val="0"/>
                <w:iCs w:val="0"/>
                <w:color w:val="000000"/>
                <w:sz w:val="21"/>
                <w:szCs w:val="21"/>
                <w:u w:val="none"/>
                <w:lang w:val="en-US" w:eastAsia="zh-CN"/>
              </w:rPr>
              <w:t>69</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三人三轮车</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115*58*65</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钢管材料：镀锌焊管，主架钢管规格直径38mm和28mm，厚度为3.2mm。</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辆</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648335</wp:posOffset>
                  </wp:positionV>
                  <wp:extent cx="1105535" cy="909955"/>
                  <wp:effectExtent l="0" t="0" r="18415" b="4445"/>
                  <wp:wrapNone/>
                  <wp:docPr id="13" name="图片_159"/>
                  <wp:cNvGraphicFramePr/>
                  <a:graphic xmlns:a="http://schemas.openxmlformats.org/drawingml/2006/main">
                    <a:graphicData uri="http://schemas.openxmlformats.org/drawingml/2006/picture">
                      <pic:pic xmlns:pic="http://schemas.openxmlformats.org/drawingml/2006/picture">
                        <pic:nvPicPr>
                          <pic:cNvPr id="13" name="图片_159"/>
                          <pic:cNvPicPr/>
                        </pic:nvPicPr>
                        <pic:blipFill>
                          <a:blip r:embed="rId82"/>
                          <a:stretch>
                            <a:fillRect/>
                          </a:stretch>
                        </pic:blipFill>
                        <pic:spPr>
                          <a:xfrm>
                            <a:off x="0" y="0"/>
                            <a:ext cx="1105535" cy="909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交通安全套装</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交通标志牌*12；安全交通灯*4；交通安全斑马线*1；交通安全锥桶*8；交通安全指挥棒*1；交通反光背心*1；教具收纳车*1</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445135</wp:posOffset>
                  </wp:positionH>
                  <wp:positionV relativeFrom="paragraph">
                    <wp:posOffset>702945</wp:posOffset>
                  </wp:positionV>
                  <wp:extent cx="609600" cy="345440"/>
                  <wp:effectExtent l="0" t="0" r="0" b="16510"/>
                  <wp:wrapNone/>
                  <wp:docPr id="14" name="图片_163"/>
                  <wp:cNvGraphicFramePr/>
                  <a:graphic xmlns:a="http://schemas.openxmlformats.org/drawingml/2006/main">
                    <a:graphicData uri="http://schemas.openxmlformats.org/drawingml/2006/picture">
                      <pic:pic xmlns:pic="http://schemas.openxmlformats.org/drawingml/2006/picture">
                        <pic:nvPicPr>
                          <pic:cNvPr id="14" name="图片_163"/>
                          <pic:cNvPicPr/>
                        </pic:nvPicPr>
                        <pic:blipFill>
                          <a:blip r:embed="rId83"/>
                          <a:stretch>
                            <a:fillRect/>
                          </a:stretch>
                        </pic:blipFill>
                        <pic:spPr>
                          <a:xfrm>
                            <a:off x="0" y="0"/>
                            <a:ext cx="609600" cy="345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三折体操垫</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200*75*10</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525780</wp:posOffset>
                  </wp:positionH>
                  <wp:positionV relativeFrom="paragraph">
                    <wp:posOffset>546735</wp:posOffset>
                  </wp:positionV>
                  <wp:extent cx="592455" cy="1009015"/>
                  <wp:effectExtent l="0" t="0" r="17145" b="635"/>
                  <wp:wrapNone/>
                  <wp:docPr id="15" name="图片_164"/>
                  <wp:cNvGraphicFramePr/>
                  <a:graphic xmlns:a="http://schemas.openxmlformats.org/drawingml/2006/main">
                    <a:graphicData uri="http://schemas.openxmlformats.org/drawingml/2006/picture">
                      <pic:pic xmlns:pic="http://schemas.openxmlformats.org/drawingml/2006/picture">
                        <pic:nvPicPr>
                          <pic:cNvPr id="15" name="图片_164"/>
                          <pic:cNvPicPr/>
                        </pic:nvPicPr>
                        <pic:blipFill>
                          <a:blip r:embed="rId84"/>
                          <a:stretch>
                            <a:fillRect/>
                          </a:stretch>
                        </pic:blipFill>
                        <pic:spPr>
                          <a:xfrm>
                            <a:off x="0" y="0"/>
                            <a:ext cx="592455" cy="1009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粘粘背心</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尺寸:44x30cm特点:该产品一套12件背心(6蓝6红)，每件前后都有一个大的高质量的魔术贴，魔术粘位于背心中间部位，将纺织粘球扔到其他玩家的背心上，或将球从对手的背心上撕下来。</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563245</wp:posOffset>
                  </wp:positionV>
                  <wp:extent cx="988060" cy="1029970"/>
                  <wp:effectExtent l="0" t="0" r="2540" b="17780"/>
                  <wp:wrapNone/>
                  <wp:docPr id="16" name="图片_169"/>
                  <wp:cNvGraphicFramePr/>
                  <a:graphic xmlns:a="http://schemas.openxmlformats.org/drawingml/2006/main">
                    <a:graphicData uri="http://schemas.openxmlformats.org/drawingml/2006/picture">
                      <pic:pic xmlns:pic="http://schemas.openxmlformats.org/drawingml/2006/picture">
                        <pic:nvPicPr>
                          <pic:cNvPr id="16" name="图片_169"/>
                          <pic:cNvPicPr/>
                        </pic:nvPicPr>
                        <pic:blipFill>
                          <a:blip r:embed="rId85"/>
                          <a:stretch>
                            <a:fillRect/>
                          </a:stretch>
                        </pic:blipFill>
                        <pic:spPr>
                          <a:xfrm>
                            <a:off x="0" y="0"/>
                            <a:ext cx="988060" cy="10299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73</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户外体能拓展（核心产品）</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959"/>
                <w:rFonts w:hint="eastAsia" w:ascii="宋体" w:hAnsi="宋体" w:eastAsia="宋体" w:cs="宋体"/>
                <w:b w:val="0"/>
                <w:bCs w:val="0"/>
                <w:sz w:val="21"/>
                <w:szCs w:val="21"/>
                <w:lang w:val="en-US" w:eastAsia="zh-CN" w:bidi="ar"/>
              </w:rPr>
              <w:t>885cm*490cm*240cm</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★主体材质采用优质天然黄花梨木材；</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45"/>
                <w:rFonts w:hint="eastAsia" w:ascii="宋体" w:hAnsi="宋体" w:eastAsia="宋体" w:cs="宋体"/>
                <w:b w:val="0"/>
                <w:bCs w:val="0"/>
                <w:sz w:val="21"/>
                <w:szCs w:val="21"/>
                <w:lang w:val="en-US" w:eastAsia="zh-CN" w:bidi="ar"/>
              </w:rPr>
              <w:t>主立柱规格：为</w:t>
            </w:r>
            <w:r>
              <w:rPr>
                <w:rStyle w:val="959"/>
                <w:rFonts w:hint="eastAsia" w:ascii="宋体" w:hAnsi="宋体" w:eastAsia="宋体" w:cs="宋体"/>
                <w:b w:val="0"/>
                <w:bCs w:val="0"/>
                <w:sz w:val="21"/>
                <w:szCs w:val="21"/>
                <w:lang w:val="en-US" w:eastAsia="zh-CN" w:bidi="ar"/>
              </w:rPr>
              <w:t>8*8cm</w:t>
            </w:r>
            <w:r>
              <w:rPr>
                <w:rStyle w:val="145"/>
                <w:rFonts w:hint="eastAsia" w:ascii="宋体" w:hAnsi="宋体" w:eastAsia="宋体" w:cs="宋体"/>
                <w:b w:val="0"/>
                <w:bCs w:val="0"/>
                <w:sz w:val="21"/>
                <w:szCs w:val="21"/>
                <w:lang w:val="en-US" w:eastAsia="zh-CN" w:bidi="ar"/>
              </w:rPr>
              <w:t>。进行压、刨、铣、冲等处理后，表面进进行防腐、防火、防蛀处理，后采用原子灰进行三次刮灰抹平，并打磨光滑防水涂料，聚氨酯瓷釉表面喷涂聚氨酯清漆；</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钢</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管</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配</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件</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材</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质</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镀</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锌</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钢</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管</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外</w:t>
            </w:r>
            <w:r>
              <w:rPr>
                <w:rStyle w:val="959"/>
                <w:rFonts w:hint="eastAsia" w:ascii="宋体" w:hAnsi="宋体" w:eastAsia="宋体" w:cs="宋体"/>
                <w:b w:val="0"/>
                <w:bCs w:val="0"/>
                <w:sz w:val="21"/>
                <w:szCs w:val="21"/>
                <w:lang w:val="en-US" w:eastAsia="zh-CN" w:bidi="ar"/>
              </w:rPr>
              <w:t xml:space="preserve"> </w:t>
            </w:r>
            <w:r>
              <w:rPr>
                <w:rStyle w:val="145"/>
                <w:rFonts w:hint="eastAsia" w:ascii="宋体" w:hAnsi="宋体" w:eastAsia="宋体" w:cs="宋体"/>
                <w:b w:val="0"/>
                <w:bCs w:val="0"/>
                <w:sz w:val="21"/>
                <w:szCs w:val="21"/>
                <w:lang w:val="en-US" w:eastAsia="zh-CN" w:bidi="ar"/>
              </w:rPr>
              <w:t>径</w:t>
            </w:r>
            <w:r>
              <w:rPr>
                <w:rStyle w:val="959"/>
                <w:rFonts w:hint="eastAsia" w:ascii="宋体" w:hAnsi="宋体" w:eastAsia="宋体" w:cs="宋体"/>
                <w:b w:val="0"/>
                <w:bCs w:val="0"/>
                <w:sz w:val="21"/>
                <w:szCs w:val="21"/>
                <w:lang w:val="en-US" w:eastAsia="zh-CN" w:bidi="ar"/>
              </w:rPr>
              <w:t>28/32/38/48mm</w:t>
            </w:r>
            <w:r>
              <w:rPr>
                <w:rStyle w:val="145"/>
                <w:rFonts w:hint="eastAsia" w:ascii="宋体" w:hAnsi="宋体" w:eastAsia="宋体" w:cs="宋体"/>
                <w:b w:val="0"/>
                <w:bCs w:val="0"/>
                <w:sz w:val="21"/>
                <w:szCs w:val="21"/>
                <w:lang w:val="en-US" w:eastAsia="zh-CN" w:bidi="ar"/>
              </w:rPr>
              <w:t>，管壁厚度</w:t>
            </w:r>
            <w:r>
              <w:rPr>
                <w:rStyle w:val="959"/>
                <w:rFonts w:hint="eastAsia" w:ascii="宋体" w:hAnsi="宋体" w:eastAsia="宋体" w:cs="宋体"/>
                <w:b w:val="0"/>
                <w:bCs w:val="0"/>
                <w:sz w:val="21"/>
                <w:szCs w:val="21"/>
                <w:lang w:val="en-US" w:eastAsia="zh-CN" w:bidi="ar"/>
              </w:rPr>
              <w:t xml:space="preserve"> 2.0mm</w:t>
            </w:r>
            <w:r>
              <w:rPr>
                <w:rStyle w:val="145"/>
                <w:rFonts w:hint="eastAsia" w:ascii="宋体" w:hAnsi="宋体" w:eastAsia="宋体" w:cs="宋体"/>
                <w:b w:val="0"/>
                <w:bCs w:val="0"/>
                <w:sz w:val="21"/>
                <w:szCs w:val="21"/>
                <w:lang w:val="en-US" w:eastAsia="zh-CN" w:bidi="ar"/>
              </w:rPr>
              <w:t>，表面处理后经专用塑粉喷涂，高温烤漆。</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塑料件：</w:t>
            </w:r>
            <w:r>
              <w:rPr>
                <w:rStyle w:val="959"/>
                <w:rFonts w:hint="eastAsia" w:ascii="宋体" w:hAnsi="宋体" w:eastAsia="宋体" w:cs="宋体"/>
                <w:b w:val="0"/>
                <w:bCs w:val="0"/>
                <w:sz w:val="21"/>
                <w:szCs w:val="21"/>
                <w:lang w:val="en-US" w:eastAsia="zh-CN" w:bidi="ar"/>
              </w:rPr>
              <w:br w:type="textWrapping"/>
            </w:r>
            <w:r>
              <w:rPr>
                <w:rStyle w:val="959"/>
                <w:rFonts w:hint="eastAsia" w:ascii="宋体" w:hAnsi="宋体" w:eastAsia="宋体" w:cs="宋体"/>
                <w:b w:val="0"/>
                <w:bCs w:val="0"/>
                <w:sz w:val="21"/>
                <w:szCs w:val="21"/>
                <w:lang w:val="en-US" w:eastAsia="zh-CN" w:bidi="ar"/>
              </w:rPr>
              <w:t>1</w:t>
            </w:r>
            <w:r>
              <w:rPr>
                <w:rStyle w:val="145"/>
                <w:rFonts w:hint="eastAsia" w:ascii="宋体" w:hAnsi="宋体" w:eastAsia="宋体" w:cs="宋体"/>
                <w:b w:val="0"/>
                <w:bCs w:val="0"/>
                <w:sz w:val="21"/>
                <w:szCs w:val="21"/>
                <w:lang w:val="en-US" w:eastAsia="zh-CN" w:bidi="ar"/>
              </w:rPr>
              <w:t>．材质：采用线型低密度聚乙烯工程塑料，采用先进的专业技术，将颜料粉末与聚乙烯基材充分混合</w:t>
            </w:r>
            <w:r>
              <w:rPr>
                <w:rStyle w:val="959"/>
                <w:rFonts w:hint="eastAsia" w:ascii="宋体" w:hAnsi="宋体" w:eastAsia="宋体" w:cs="宋体"/>
                <w:b w:val="0"/>
                <w:bCs w:val="0"/>
                <w:sz w:val="21"/>
                <w:szCs w:val="21"/>
                <w:lang w:val="en-US" w:eastAsia="zh-CN" w:bidi="ar"/>
              </w:rPr>
              <w:t>,</w:t>
            </w:r>
            <w:r>
              <w:rPr>
                <w:rStyle w:val="145"/>
                <w:rFonts w:hint="eastAsia" w:ascii="宋体" w:hAnsi="宋体" w:eastAsia="宋体" w:cs="宋体"/>
                <w:b w:val="0"/>
                <w:bCs w:val="0"/>
                <w:sz w:val="21"/>
                <w:szCs w:val="21"/>
                <w:lang w:val="en-US" w:eastAsia="zh-CN" w:bidi="ar"/>
              </w:rPr>
              <w:t>强度大，表面光滑，安全环保，耐侯性好。</w:t>
            </w:r>
            <w:r>
              <w:rPr>
                <w:rStyle w:val="959"/>
                <w:rFonts w:hint="eastAsia" w:ascii="宋体" w:hAnsi="宋体" w:eastAsia="宋体" w:cs="宋体"/>
                <w:b w:val="0"/>
                <w:bCs w:val="0"/>
                <w:sz w:val="21"/>
                <w:szCs w:val="21"/>
                <w:lang w:val="en-US" w:eastAsia="zh-CN" w:bidi="ar"/>
              </w:rPr>
              <w:br w:type="textWrapping"/>
            </w:r>
            <w:r>
              <w:rPr>
                <w:rStyle w:val="959"/>
                <w:rFonts w:hint="eastAsia" w:ascii="宋体" w:hAnsi="宋体" w:eastAsia="宋体" w:cs="宋体"/>
                <w:b w:val="0"/>
                <w:bCs w:val="0"/>
                <w:sz w:val="21"/>
                <w:szCs w:val="21"/>
                <w:lang w:val="en-US" w:eastAsia="zh-CN" w:bidi="ar"/>
              </w:rPr>
              <w:t>2</w:t>
            </w:r>
            <w:r>
              <w:rPr>
                <w:rStyle w:val="145"/>
                <w:rFonts w:hint="eastAsia" w:ascii="宋体" w:hAnsi="宋体" w:eastAsia="宋体" w:cs="宋体"/>
                <w:b w:val="0"/>
                <w:bCs w:val="0"/>
                <w:sz w:val="21"/>
                <w:szCs w:val="21"/>
                <w:lang w:val="en-US" w:eastAsia="zh-CN" w:bidi="ar"/>
              </w:rPr>
              <w:t>．表面：塑料件均为磨砂表面。</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缆绳：</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绳网绳子采用航海船用缆绳，直径</w:t>
            </w:r>
            <w:r>
              <w:rPr>
                <w:rStyle w:val="959"/>
                <w:rFonts w:hint="eastAsia" w:ascii="宋体" w:hAnsi="宋体" w:eastAsia="宋体" w:cs="宋体"/>
                <w:b w:val="0"/>
                <w:bCs w:val="0"/>
                <w:sz w:val="21"/>
                <w:szCs w:val="21"/>
                <w:lang w:val="en-US" w:eastAsia="zh-CN" w:bidi="ar"/>
              </w:rPr>
              <w:t xml:space="preserve"> 12mm</w:t>
            </w:r>
            <w:r>
              <w:rPr>
                <w:rStyle w:val="145"/>
                <w:rFonts w:hint="eastAsia" w:ascii="宋体" w:hAnsi="宋体" w:eastAsia="宋体" w:cs="宋体"/>
                <w:b w:val="0"/>
                <w:bCs w:val="0"/>
                <w:sz w:val="21"/>
                <w:szCs w:val="21"/>
                <w:lang w:val="en-US" w:eastAsia="zh-CN" w:bidi="ar"/>
              </w:rPr>
              <w:t>。</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五金零件：五金紧固件均为不锈钢螺丝。</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1443990</wp:posOffset>
                  </wp:positionV>
                  <wp:extent cx="989965" cy="1043305"/>
                  <wp:effectExtent l="0" t="0" r="635" b="4445"/>
                  <wp:wrapNone/>
                  <wp:docPr id="19" name="图片_175"/>
                  <wp:cNvGraphicFramePr/>
                  <a:graphic xmlns:a="http://schemas.openxmlformats.org/drawingml/2006/main">
                    <a:graphicData uri="http://schemas.openxmlformats.org/drawingml/2006/picture">
                      <pic:pic xmlns:pic="http://schemas.openxmlformats.org/drawingml/2006/picture">
                        <pic:nvPicPr>
                          <pic:cNvPr id="19" name="图片_175"/>
                          <pic:cNvPicPr/>
                        </pic:nvPicPr>
                        <pic:blipFill>
                          <a:blip r:embed="rId86"/>
                          <a:stretch>
                            <a:fillRect/>
                          </a:stretch>
                        </pic:blipFill>
                        <pic:spPr>
                          <a:xfrm>
                            <a:off x="0" y="0"/>
                            <a:ext cx="989965" cy="1043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74</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停车棚</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959"/>
                <w:rFonts w:hint="eastAsia" w:ascii="宋体" w:hAnsi="宋体" w:eastAsia="宋体" w:cs="宋体"/>
                <w:b w:val="0"/>
                <w:bCs w:val="0"/>
                <w:sz w:val="21"/>
                <w:szCs w:val="21"/>
                <w:lang w:val="en-US" w:eastAsia="zh-CN" w:bidi="ar"/>
              </w:rPr>
              <w:t>180*180*210</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★材质：优质榉木，全榫头工艺，</w:t>
            </w:r>
            <w:r>
              <w:rPr>
                <w:rStyle w:val="959"/>
                <w:rFonts w:hint="eastAsia" w:ascii="宋体" w:hAnsi="宋体" w:eastAsia="宋体" w:cs="宋体"/>
                <w:b w:val="0"/>
                <w:bCs w:val="0"/>
                <w:sz w:val="21"/>
                <w:szCs w:val="21"/>
                <w:lang w:val="en-US" w:eastAsia="zh-CN" w:bidi="ar"/>
              </w:rPr>
              <w:br w:type="textWrapping"/>
            </w:r>
            <w:r>
              <w:rPr>
                <w:rStyle w:val="145"/>
                <w:rFonts w:hint="eastAsia" w:ascii="宋体" w:hAnsi="宋体" w:eastAsia="宋体" w:cs="宋体"/>
                <w:b w:val="0"/>
                <w:bCs w:val="0"/>
                <w:sz w:val="21"/>
                <w:szCs w:val="21"/>
                <w:lang w:val="en-US" w:eastAsia="zh-CN" w:bidi="ar"/>
              </w:rPr>
              <w:t>油漆：环保型漆。工艺：边缘和表面进行抛圆处理，材料尺寸适合儿童手掌抓握及脚部踩踏。</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180340</wp:posOffset>
                  </wp:positionH>
                  <wp:positionV relativeFrom="paragraph">
                    <wp:posOffset>292735</wp:posOffset>
                  </wp:positionV>
                  <wp:extent cx="1301115" cy="1501775"/>
                  <wp:effectExtent l="0" t="0" r="13335" b="3175"/>
                  <wp:wrapNone/>
                  <wp:docPr id="17" name="图片_176"/>
                  <wp:cNvGraphicFramePr/>
                  <a:graphic xmlns:a="http://schemas.openxmlformats.org/drawingml/2006/main">
                    <a:graphicData uri="http://schemas.openxmlformats.org/drawingml/2006/picture">
                      <pic:pic xmlns:pic="http://schemas.openxmlformats.org/drawingml/2006/picture">
                        <pic:nvPicPr>
                          <pic:cNvPr id="17" name="图片_176"/>
                          <pic:cNvPicPr/>
                        </pic:nvPicPr>
                        <pic:blipFill>
                          <a:blip r:embed="rId87"/>
                          <a:stretch>
                            <a:fillRect/>
                          </a:stretch>
                        </pic:blipFill>
                        <pic:spPr>
                          <a:xfrm>
                            <a:off x="0" y="0"/>
                            <a:ext cx="1301115" cy="1501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奥尔夫打击乐</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959"/>
                <w:rFonts w:hint="eastAsia" w:ascii="宋体" w:hAnsi="宋体" w:eastAsia="宋体" w:cs="宋体"/>
                <w:b w:val="0"/>
                <w:bCs w:val="0"/>
                <w:sz w:val="21"/>
                <w:szCs w:val="21"/>
                <w:lang w:val="en-US" w:eastAsia="zh-CN" w:bidi="ar"/>
              </w:rPr>
              <w:t>38</w:t>
            </w:r>
            <w:r>
              <w:rPr>
                <w:rStyle w:val="145"/>
                <w:rFonts w:hint="eastAsia" w:ascii="宋体" w:hAnsi="宋体" w:eastAsia="宋体" w:cs="宋体"/>
                <w:b w:val="0"/>
                <w:bCs w:val="0"/>
                <w:sz w:val="21"/>
                <w:szCs w:val="21"/>
                <w:lang w:val="en-US" w:eastAsia="zh-CN" w:bidi="ar"/>
              </w:rPr>
              <w:t>件套</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明细：</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12CM桦木圆摇铃  2对</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20CM节奏棒      2对</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羊皮单排铃鼓六寸  2个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13铃长21CM       2个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19*17CM样木带沟双响筒   2个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红色六寸带架三角铁       2个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15CM样木环保铃          1对</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19*17CM桦木双响筒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样木大号碰钟长14CM      1对</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桦木高低梆子长24CM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桦木鸟叫器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样木沙蛋尺寸4*6CM      1对</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样木高中低梆子长24CM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样木碰钟长12CM         1对</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样木沙筒长约8CM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举木六铃板镣长25CM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样木沙锤长15CM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样木沙筒长约10CM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木四铃板锦长23CM      1个</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样木响板5.5CM         1对</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桦木子午板长21CM      1对</w:t>
            </w:r>
          </w:p>
          <w:p>
            <w:pPr>
              <w:keepNext w:val="0"/>
              <w:keepLines w:val="0"/>
              <w:widowControl/>
              <w:suppressLineNumbers w:val="0"/>
              <w:jc w:val="left"/>
              <w:textAlignment w:val="center"/>
              <w:rPr>
                <w:rStyle w:val="145"/>
                <w:rFonts w:hint="eastAsia" w:ascii="宋体" w:hAnsi="宋体" w:eastAsia="宋体" w:cs="宋体"/>
                <w:b w:val="0"/>
                <w:bCs w:val="0"/>
                <w:sz w:val="21"/>
                <w:szCs w:val="21"/>
                <w:lang w:val="en-US" w:eastAsia="zh-CN" w:bidi="ar"/>
              </w:rPr>
            </w:pPr>
            <w:r>
              <w:rPr>
                <w:rStyle w:val="145"/>
                <w:rFonts w:hint="eastAsia" w:ascii="宋体" w:hAnsi="宋体" w:eastAsia="宋体" w:cs="宋体"/>
                <w:b w:val="0"/>
                <w:bCs w:val="0"/>
                <w:sz w:val="21"/>
                <w:szCs w:val="21"/>
                <w:lang w:val="en-US" w:eastAsia="zh-CN" w:bidi="ar"/>
              </w:rPr>
              <w:t>一节桦木雨声筒长9.5CM    1个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661035</wp:posOffset>
                  </wp:positionV>
                  <wp:extent cx="1226185" cy="824865"/>
                  <wp:effectExtent l="0" t="0" r="12065" b="13335"/>
                  <wp:wrapNone/>
                  <wp:docPr id="20" name="图片_131"/>
                  <wp:cNvGraphicFramePr/>
                  <a:graphic xmlns:a="http://schemas.openxmlformats.org/drawingml/2006/main">
                    <a:graphicData uri="http://schemas.openxmlformats.org/drawingml/2006/picture">
                      <pic:pic xmlns:pic="http://schemas.openxmlformats.org/drawingml/2006/picture">
                        <pic:nvPicPr>
                          <pic:cNvPr id="20" name="图片_131"/>
                          <pic:cNvPicPr/>
                        </pic:nvPicPr>
                        <pic:blipFill>
                          <a:blip r:embed="rId88"/>
                          <a:stretch>
                            <a:fillRect/>
                          </a:stretch>
                        </pic:blipFill>
                        <pic:spPr>
                          <a:xfrm>
                            <a:off x="0" y="0"/>
                            <a:ext cx="1226185" cy="8248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76</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959"/>
                <w:rFonts w:hint="eastAsia" w:ascii="宋体" w:hAnsi="宋体" w:eastAsia="宋体" w:cs="宋体"/>
                <w:b w:val="0"/>
                <w:bCs w:val="0"/>
                <w:sz w:val="21"/>
                <w:szCs w:val="21"/>
                <w:lang w:val="en-US" w:eastAsia="zh-CN" w:bidi="ar"/>
              </w:rPr>
              <w:t>8</w:t>
            </w:r>
            <w:r>
              <w:rPr>
                <w:rStyle w:val="145"/>
                <w:rFonts w:hint="eastAsia" w:ascii="宋体" w:hAnsi="宋体" w:eastAsia="宋体" w:cs="宋体"/>
                <w:b w:val="0"/>
                <w:bCs w:val="0"/>
                <w:sz w:val="21"/>
                <w:szCs w:val="21"/>
                <w:lang w:val="en-US" w:eastAsia="zh-CN" w:bidi="ar"/>
              </w:rPr>
              <w:t>村非洲鼓</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959"/>
                <w:rFonts w:hint="eastAsia" w:ascii="宋体" w:hAnsi="宋体" w:eastAsia="宋体" w:cs="宋体"/>
                <w:b w:val="0"/>
                <w:bCs w:val="0"/>
                <w:sz w:val="21"/>
                <w:szCs w:val="21"/>
                <w:lang w:val="en-US" w:eastAsia="zh-CN" w:bidi="ar"/>
              </w:rPr>
              <w:t>ABS</w:t>
            </w:r>
            <w:r>
              <w:rPr>
                <w:rStyle w:val="145"/>
                <w:rFonts w:hint="eastAsia" w:ascii="宋体" w:hAnsi="宋体" w:eastAsia="宋体" w:cs="宋体"/>
                <w:b w:val="0"/>
                <w:bCs w:val="0"/>
                <w:sz w:val="21"/>
                <w:szCs w:val="21"/>
                <w:lang w:val="en-US" w:eastAsia="zh-CN" w:bidi="ar"/>
              </w:rPr>
              <w:t>鼓身</w:t>
            </w:r>
            <w:r>
              <w:rPr>
                <w:rStyle w:val="959"/>
                <w:rFonts w:hint="eastAsia" w:ascii="宋体" w:hAnsi="宋体" w:eastAsia="宋体" w:cs="宋体"/>
                <w:b w:val="0"/>
                <w:bCs w:val="0"/>
                <w:sz w:val="21"/>
                <w:szCs w:val="21"/>
                <w:lang w:val="en-US" w:eastAsia="zh-CN" w:bidi="ar"/>
              </w:rPr>
              <w:t>,</w:t>
            </w:r>
            <w:r>
              <w:rPr>
                <w:rStyle w:val="145"/>
                <w:rFonts w:hint="eastAsia" w:ascii="宋体" w:hAnsi="宋体" w:eastAsia="宋体" w:cs="宋体"/>
                <w:b w:val="0"/>
                <w:bCs w:val="0"/>
                <w:sz w:val="21"/>
                <w:szCs w:val="21"/>
                <w:lang w:val="en-US" w:eastAsia="zh-CN" w:bidi="ar"/>
              </w:rPr>
              <w:t>高端聚酯皮，尼龙绑绳</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258445</wp:posOffset>
                  </wp:positionH>
                  <wp:positionV relativeFrom="paragraph">
                    <wp:posOffset>283210</wp:posOffset>
                  </wp:positionV>
                  <wp:extent cx="899795" cy="1499235"/>
                  <wp:effectExtent l="0" t="0" r="14605" b="5715"/>
                  <wp:wrapNone/>
                  <wp:docPr id="21" name="图片_33"/>
                  <wp:cNvGraphicFramePr/>
                  <a:graphic xmlns:a="http://schemas.openxmlformats.org/drawingml/2006/main">
                    <a:graphicData uri="http://schemas.openxmlformats.org/drawingml/2006/picture">
                      <pic:pic xmlns:pic="http://schemas.openxmlformats.org/drawingml/2006/picture">
                        <pic:nvPicPr>
                          <pic:cNvPr id="21" name="图片_33"/>
                          <pic:cNvPicPr/>
                        </pic:nvPicPr>
                        <pic:blipFill>
                          <a:blip r:embed="rId89"/>
                          <a:stretch>
                            <a:fillRect/>
                          </a:stretch>
                        </pic:blipFill>
                        <pic:spPr>
                          <a:xfrm>
                            <a:off x="0" y="0"/>
                            <a:ext cx="899795" cy="14992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塑料框</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尺寸36*25.5*21,cm，数量50个，30*21.5*8.5cm，数量50个，材质：环保pp新料，用于收纳玩具。</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306070</wp:posOffset>
                  </wp:positionH>
                  <wp:positionV relativeFrom="paragraph">
                    <wp:posOffset>565785</wp:posOffset>
                  </wp:positionV>
                  <wp:extent cx="1078865" cy="1030605"/>
                  <wp:effectExtent l="0" t="0" r="6985" b="17145"/>
                  <wp:wrapNone/>
                  <wp:docPr id="27" name="图片_3_SpCnt_1"/>
                  <wp:cNvGraphicFramePr/>
                  <a:graphic xmlns:a="http://schemas.openxmlformats.org/drawingml/2006/main">
                    <a:graphicData uri="http://schemas.openxmlformats.org/drawingml/2006/picture">
                      <pic:pic xmlns:pic="http://schemas.openxmlformats.org/drawingml/2006/picture">
                        <pic:nvPicPr>
                          <pic:cNvPr id="27" name="图片_3_SpCnt_1"/>
                          <pic:cNvPicPr/>
                        </pic:nvPicPr>
                        <pic:blipFill>
                          <a:blip r:embed="rId90"/>
                          <a:stretch>
                            <a:fillRect/>
                          </a:stretch>
                        </pic:blipFill>
                        <pic:spPr>
                          <a:xfrm>
                            <a:off x="0" y="0"/>
                            <a:ext cx="1078865" cy="10306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78</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塑料框</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尺寸1020*680*550mm，数量20个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个</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492760</wp:posOffset>
                  </wp:positionV>
                  <wp:extent cx="735330" cy="899160"/>
                  <wp:effectExtent l="0" t="0" r="7620" b="15240"/>
                  <wp:wrapNone/>
                  <wp:docPr id="32" name="图片_2_SpCnt_3"/>
                  <wp:cNvGraphicFramePr/>
                  <a:graphic xmlns:a="http://schemas.openxmlformats.org/drawingml/2006/main">
                    <a:graphicData uri="http://schemas.openxmlformats.org/drawingml/2006/picture">
                      <pic:pic xmlns:pic="http://schemas.openxmlformats.org/drawingml/2006/picture">
                        <pic:nvPicPr>
                          <pic:cNvPr id="32" name="图片_2_SpCnt_3"/>
                          <pic:cNvPicPr/>
                        </pic:nvPicPr>
                        <pic:blipFill>
                          <a:blip r:embed="rId91"/>
                          <a:stretch>
                            <a:fillRect/>
                          </a:stretch>
                        </pic:blipFill>
                        <pic:spPr>
                          <a:xfrm>
                            <a:off x="0" y="0"/>
                            <a:ext cx="735330" cy="899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72"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79</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安吉游戏</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★40件套</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明细：</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60CM 安吉攀爬箱2个 PE板 边缘和外表面、内表面以及儿童可触及的隐蔽部位进行抛圆处理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80CM 安吉攀爬箱2个 PE板 边缘和外表面、内表面以及儿童可触及的隐蔽部位进行抛圆处理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100CM 安吉攀爬箱2个 PE板 边缘和外表面、内表面以及儿童可触及的隐蔽部位进行抛圆处理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60CM 单梯6个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120CM 单梯5个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150CM 单梯2个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60CM 双梯2个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120CM 双梯2个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150CM 双梯1个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120CM 平衡板8个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150CM 平衡板8个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安吉滚筒4个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193040</wp:posOffset>
                  </wp:positionH>
                  <wp:positionV relativeFrom="paragraph">
                    <wp:posOffset>1106170</wp:posOffset>
                  </wp:positionV>
                  <wp:extent cx="1076325" cy="946785"/>
                  <wp:effectExtent l="0" t="0" r="9525" b="5715"/>
                  <wp:wrapNone/>
                  <wp:docPr id="58" name="图片_5_SpCnt_1"/>
                  <wp:cNvGraphicFramePr/>
                  <a:graphic xmlns:a="http://schemas.openxmlformats.org/drawingml/2006/main">
                    <a:graphicData uri="http://schemas.openxmlformats.org/drawingml/2006/picture">
                      <pic:pic xmlns:pic="http://schemas.openxmlformats.org/drawingml/2006/picture">
                        <pic:nvPicPr>
                          <pic:cNvPr id="58" name="图片_5_SpCnt_1"/>
                          <pic:cNvPicPr/>
                        </pic:nvPicPr>
                        <pic:blipFill>
                          <a:blip r:embed="rId92"/>
                          <a:stretch>
                            <a:fillRect/>
                          </a:stretch>
                        </pic:blipFill>
                        <pic:spPr>
                          <a:xfrm>
                            <a:off x="0" y="0"/>
                            <a:ext cx="1076325" cy="9467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80</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碳化榉木安吉游戏100件套</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100件套</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★材质：碳化榉木。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明细：</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人字梯1.5米*10个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人字梯1.2米*10个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人字梯1米*10个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直梯1.5米*10个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直梯1.2米*10个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直梯1米*10个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平衡木200*25*3.5cm*20个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平衡木160*25*3.5cm*20个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59055</wp:posOffset>
                  </wp:positionH>
                  <wp:positionV relativeFrom="paragraph">
                    <wp:posOffset>1026160</wp:posOffset>
                  </wp:positionV>
                  <wp:extent cx="1217295" cy="1153160"/>
                  <wp:effectExtent l="0" t="0" r="1905" b="8890"/>
                  <wp:wrapNone/>
                  <wp:docPr id="61" name="图片_120"/>
                  <wp:cNvGraphicFramePr/>
                  <a:graphic xmlns:a="http://schemas.openxmlformats.org/drawingml/2006/main">
                    <a:graphicData uri="http://schemas.openxmlformats.org/drawingml/2006/picture">
                      <pic:pic xmlns:pic="http://schemas.openxmlformats.org/drawingml/2006/picture">
                        <pic:nvPicPr>
                          <pic:cNvPr id="61" name="图片_120"/>
                          <pic:cNvPicPr/>
                        </pic:nvPicPr>
                        <pic:blipFill>
                          <a:blip r:embed="rId93"/>
                          <a:stretch>
                            <a:fillRect/>
                          </a:stretch>
                        </pic:blipFill>
                        <pic:spPr>
                          <a:xfrm>
                            <a:off x="0" y="0"/>
                            <a:ext cx="1217295" cy="1153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4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81</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户外碳化积木866块</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★碳化榉木866件套，附明细表1。</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共有20种形状的实心实木积木，小朋友可以通过堆高﹑围拢﹑增宽﹑盖顶等方式进行搭建，进一步感知数﹑形﹑颜色﹑对称等概念，锻炼小朋友大肌肉的发展，同时培养小朋友之间的团结合作及多方面交往技巧并可引导小朋友充分发挥其想象力和创造力，产生有目的的搭建。</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760730</wp:posOffset>
                  </wp:positionV>
                  <wp:extent cx="1156335" cy="789940"/>
                  <wp:effectExtent l="0" t="0" r="5715" b="10160"/>
                  <wp:wrapNone/>
                  <wp:docPr id="62" name="图片_87"/>
                  <wp:cNvGraphicFramePr/>
                  <a:graphic xmlns:a="http://schemas.openxmlformats.org/drawingml/2006/main">
                    <a:graphicData uri="http://schemas.openxmlformats.org/drawingml/2006/picture">
                      <pic:pic xmlns:pic="http://schemas.openxmlformats.org/drawingml/2006/picture">
                        <pic:nvPicPr>
                          <pic:cNvPr id="62" name="图片_87"/>
                          <pic:cNvPicPr/>
                        </pic:nvPicPr>
                        <pic:blipFill>
                          <a:blip r:embed="rId94"/>
                          <a:stretch>
                            <a:fillRect/>
                          </a:stretch>
                        </pic:blipFill>
                        <pic:spPr>
                          <a:xfrm>
                            <a:off x="0" y="0"/>
                            <a:ext cx="1156335" cy="7899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82</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安吉游戏滚筒</w:t>
            </w:r>
          </w:p>
        </w:tc>
        <w:tc>
          <w:tcPr>
            <w:tcW w:w="3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国标滚筒12件套</w:t>
            </w:r>
          </w:p>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套装明细：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滚筒63*90cm 4个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滚筒63*60cm 4个</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滚筒56*60cm 4个</w:t>
            </w:r>
          </w:p>
        </w:tc>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套</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254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244475</wp:posOffset>
                  </wp:positionH>
                  <wp:positionV relativeFrom="paragraph">
                    <wp:posOffset>896620</wp:posOffset>
                  </wp:positionV>
                  <wp:extent cx="873125" cy="906145"/>
                  <wp:effectExtent l="0" t="0" r="3175" b="8255"/>
                  <wp:wrapNone/>
                  <wp:docPr id="63" name="图片_6_SpCnt_1"/>
                  <wp:cNvGraphicFramePr/>
                  <a:graphic xmlns:a="http://schemas.openxmlformats.org/drawingml/2006/main">
                    <a:graphicData uri="http://schemas.openxmlformats.org/drawingml/2006/picture">
                      <pic:pic xmlns:pic="http://schemas.openxmlformats.org/drawingml/2006/picture">
                        <pic:nvPicPr>
                          <pic:cNvPr id="63" name="图片_6_SpCnt_1"/>
                          <pic:cNvPicPr/>
                        </pic:nvPicPr>
                        <pic:blipFill>
                          <a:blip r:embed="rId95"/>
                          <a:stretch>
                            <a:fillRect/>
                          </a:stretch>
                        </pic:blipFill>
                        <pic:spPr>
                          <a:xfrm>
                            <a:off x="0" y="0"/>
                            <a:ext cx="873125" cy="906145"/>
                          </a:xfrm>
                          <a:prstGeom prst="rect">
                            <a:avLst/>
                          </a:prstGeom>
                          <a:noFill/>
                          <a:ln>
                            <a:noFill/>
                          </a:ln>
                        </pic:spPr>
                      </pic:pic>
                    </a:graphicData>
                  </a:graphic>
                </wp:anchor>
              </w:drawing>
            </w:r>
          </w:p>
        </w:tc>
      </w:tr>
    </w:tbl>
    <w:p>
      <w:pPr>
        <w:rPr>
          <w:rFonts w:hint="eastAsia"/>
        </w:rPr>
      </w:pPr>
    </w:p>
    <w:p>
      <w:pPr>
        <w:keepNext/>
        <w:keepLines/>
        <w:spacing w:before="260" w:after="260" w:line="415" w:lineRule="auto"/>
        <w:jc w:val="left"/>
        <w:outlineLvl w:val="1"/>
        <w:rPr>
          <w:rFonts w:hint="eastAsia" w:hAnsi="宋体"/>
          <w:bCs w:val="0"/>
          <w:color w:val="auto"/>
          <w:sz w:val="24"/>
          <w:szCs w:val="24"/>
          <w:lang w:val="en-US" w:eastAsia="zh-CN"/>
        </w:rPr>
      </w:pPr>
      <w:r>
        <w:rPr>
          <w:rFonts w:hint="eastAsia" w:ascii="宋体" w:hAnsi="宋体" w:eastAsia="宋体" w:cs="宋体"/>
          <w:b/>
          <w:bCs/>
          <w:i w:val="0"/>
          <w:iCs w:val="0"/>
          <w:color w:val="000000"/>
          <w:kern w:val="0"/>
          <w:sz w:val="22"/>
          <w:szCs w:val="22"/>
          <w:u w:val="none"/>
          <w:lang w:val="en-US" w:eastAsia="zh-CN" w:bidi="ar"/>
        </w:rPr>
        <w:t>户外碳化积木866块</w:t>
      </w:r>
      <w:r>
        <w:rPr>
          <w:rFonts w:hint="eastAsia"/>
          <w:b/>
          <w:bCs/>
          <w:lang w:val="en-US" w:eastAsia="zh-CN"/>
        </w:rPr>
        <w:t>明细表1</w:t>
      </w:r>
    </w:p>
    <w:tbl>
      <w:tblPr>
        <w:tblStyle w:val="63"/>
        <w:tblW w:w="106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57"/>
        <w:gridCol w:w="4916"/>
        <w:gridCol w:w="679"/>
        <w:gridCol w:w="910"/>
        <w:gridCol w:w="794"/>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8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积木种类</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参考图片</w:t>
            </w:r>
          </w:p>
        </w:tc>
        <w:tc>
          <w:tcPr>
            <w:tcW w:w="67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(CM)</w:t>
            </w:r>
          </w:p>
        </w:tc>
        <w:tc>
          <w:tcPr>
            <w:tcW w:w="91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（CM）</w:t>
            </w:r>
          </w:p>
        </w:tc>
        <w:tc>
          <w:tcPr>
            <w:tcW w:w="79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(CM）</w:t>
            </w:r>
          </w:p>
        </w:tc>
        <w:tc>
          <w:tcPr>
            <w:tcW w:w="82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1.长条板</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47625</wp:posOffset>
                  </wp:positionH>
                  <wp:positionV relativeFrom="paragraph">
                    <wp:posOffset>19050</wp:posOffset>
                  </wp:positionV>
                  <wp:extent cx="2933700" cy="733425"/>
                  <wp:effectExtent l="0" t="0" r="0" b="9525"/>
                  <wp:wrapNone/>
                  <wp:docPr id="66" name="图片_1"/>
                  <wp:cNvGraphicFramePr/>
                  <a:graphic xmlns:a="http://schemas.openxmlformats.org/drawingml/2006/main">
                    <a:graphicData uri="http://schemas.openxmlformats.org/drawingml/2006/picture">
                      <pic:pic xmlns:pic="http://schemas.openxmlformats.org/drawingml/2006/picture">
                        <pic:nvPicPr>
                          <pic:cNvPr id="66" name="图片_1"/>
                          <pic:cNvPicPr/>
                        </pic:nvPicPr>
                        <pic:blipFill>
                          <a:blip r:embed="rId96"/>
                          <a:stretch>
                            <a:fillRect/>
                          </a:stretch>
                        </pic:blipFill>
                        <pic:spPr>
                          <a:xfrm>
                            <a:off x="0" y="0"/>
                            <a:ext cx="2933700" cy="73342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2.正方形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933450</wp:posOffset>
                  </wp:positionH>
                  <wp:positionV relativeFrom="paragraph">
                    <wp:posOffset>38100</wp:posOffset>
                  </wp:positionV>
                  <wp:extent cx="942975" cy="790575"/>
                  <wp:effectExtent l="0" t="0" r="9525" b="9525"/>
                  <wp:wrapNone/>
                  <wp:docPr id="67" name="图片_2"/>
                  <wp:cNvGraphicFramePr/>
                  <a:graphic xmlns:a="http://schemas.openxmlformats.org/drawingml/2006/main">
                    <a:graphicData uri="http://schemas.openxmlformats.org/drawingml/2006/picture">
                      <pic:pic xmlns:pic="http://schemas.openxmlformats.org/drawingml/2006/picture">
                        <pic:nvPicPr>
                          <pic:cNvPr id="67" name="图片_2"/>
                          <pic:cNvPicPr/>
                        </pic:nvPicPr>
                        <pic:blipFill>
                          <a:blip r:embed="rId97"/>
                          <a:stretch>
                            <a:fillRect/>
                          </a:stretch>
                        </pic:blipFill>
                        <pic:spPr>
                          <a:xfrm>
                            <a:off x="0" y="0"/>
                            <a:ext cx="942975" cy="79057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3.正方形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933450</wp:posOffset>
                  </wp:positionH>
                  <wp:positionV relativeFrom="paragraph">
                    <wp:posOffset>46990</wp:posOffset>
                  </wp:positionV>
                  <wp:extent cx="943610" cy="810260"/>
                  <wp:effectExtent l="0" t="0" r="8890" b="8890"/>
                  <wp:wrapNone/>
                  <wp:docPr id="69" name="图片_3"/>
                  <wp:cNvGraphicFramePr/>
                  <a:graphic xmlns:a="http://schemas.openxmlformats.org/drawingml/2006/main">
                    <a:graphicData uri="http://schemas.openxmlformats.org/drawingml/2006/picture">
                      <pic:pic xmlns:pic="http://schemas.openxmlformats.org/drawingml/2006/picture">
                        <pic:nvPicPr>
                          <pic:cNvPr id="69" name="图片_3"/>
                          <pic:cNvPicPr/>
                        </pic:nvPicPr>
                        <pic:blipFill>
                          <a:blip r:embed="rId98"/>
                          <a:stretch>
                            <a:fillRect/>
                          </a:stretch>
                        </pic:blipFill>
                        <pic:spPr>
                          <a:xfrm>
                            <a:off x="0" y="0"/>
                            <a:ext cx="943610" cy="81026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4.长方形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809625</wp:posOffset>
                  </wp:positionH>
                  <wp:positionV relativeFrom="paragraph">
                    <wp:posOffset>93345</wp:posOffset>
                  </wp:positionV>
                  <wp:extent cx="1181100" cy="754380"/>
                  <wp:effectExtent l="0" t="0" r="0" b="7620"/>
                  <wp:wrapNone/>
                  <wp:docPr id="70" name="图片_4"/>
                  <wp:cNvGraphicFramePr/>
                  <a:graphic xmlns:a="http://schemas.openxmlformats.org/drawingml/2006/main">
                    <a:graphicData uri="http://schemas.openxmlformats.org/drawingml/2006/picture">
                      <pic:pic xmlns:pic="http://schemas.openxmlformats.org/drawingml/2006/picture">
                        <pic:nvPicPr>
                          <pic:cNvPr id="70" name="图片_4"/>
                          <pic:cNvPicPr/>
                        </pic:nvPicPr>
                        <pic:blipFill>
                          <a:blip r:embed="rId99"/>
                          <a:stretch>
                            <a:fillRect/>
                          </a:stretch>
                        </pic:blipFill>
                        <pic:spPr>
                          <a:xfrm>
                            <a:off x="0" y="0"/>
                            <a:ext cx="1181100" cy="75438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5.长方形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733425</wp:posOffset>
                  </wp:positionH>
                  <wp:positionV relativeFrom="paragraph">
                    <wp:posOffset>66040</wp:posOffset>
                  </wp:positionV>
                  <wp:extent cx="1294765" cy="800735"/>
                  <wp:effectExtent l="0" t="0" r="635" b="18415"/>
                  <wp:wrapNone/>
                  <wp:docPr id="72" name="图片_5"/>
                  <wp:cNvGraphicFramePr/>
                  <a:graphic xmlns:a="http://schemas.openxmlformats.org/drawingml/2006/main">
                    <a:graphicData uri="http://schemas.openxmlformats.org/drawingml/2006/picture">
                      <pic:pic xmlns:pic="http://schemas.openxmlformats.org/drawingml/2006/picture">
                        <pic:nvPicPr>
                          <pic:cNvPr id="72" name="图片_5"/>
                          <pic:cNvPicPr/>
                        </pic:nvPicPr>
                        <pic:blipFill>
                          <a:blip r:embed="rId100"/>
                          <a:stretch>
                            <a:fillRect/>
                          </a:stretch>
                        </pic:blipFill>
                        <pic:spPr>
                          <a:xfrm>
                            <a:off x="0" y="0"/>
                            <a:ext cx="1294765" cy="80073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6.长方形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190500</wp:posOffset>
                  </wp:positionH>
                  <wp:positionV relativeFrom="paragraph">
                    <wp:posOffset>57150</wp:posOffset>
                  </wp:positionV>
                  <wp:extent cx="2467610" cy="829945"/>
                  <wp:effectExtent l="0" t="0" r="8890" b="8255"/>
                  <wp:wrapNone/>
                  <wp:docPr id="73" name="图片_6"/>
                  <wp:cNvGraphicFramePr/>
                  <a:graphic xmlns:a="http://schemas.openxmlformats.org/drawingml/2006/main">
                    <a:graphicData uri="http://schemas.openxmlformats.org/drawingml/2006/picture">
                      <pic:pic xmlns:pic="http://schemas.openxmlformats.org/drawingml/2006/picture">
                        <pic:nvPicPr>
                          <pic:cNvPr id="73" name="图片_6"/>
                          <pic:cNvPicPr/>
                        </pic:nvPicPr>
                        <pic:blipFill>
                          <a:blip r:embed="rId101"/>
                          <a:stretch>
                            <a:fillRect/>
                          </a:stretch>
                        </pic:blipFill>
                        <pic:spPr>
                          <a:xfrm>
                            <a:off x="0" y="0"/>
                            <a:ext cx="2467610" cy="82994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7.长方形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142875</wp:posOffset>
                  </wp:positionH>
                  <wp:positionV relativeFrom="paragraph">
                    <wp:posOffset>76200</wp:posOffset>
                  </wp:positionV>
                  <wp:extent cx="2695575" cy="723900"/>
                  <wp:effectExtent l="0" t="0" r="9525" b="0"/>
                  <wp:wrapNone/>
                  <wp:docPr id="74" name="图片_7"/>
                  <wp:cNvGraphicFramePr/>
                  <a:graphic xmlns:a="http://schemas.openxmlformats.org/drawingml/2006/main">
                    <a:graphicData uri="http://schemas.openxmlformats.org/drawingml/2006/picture">
                      <pic:pic xmlns:pic="http://schemas.openxmlformats.org/drawingml/2006/picture">
                        <pic:nvPicPr>
                          <pic:cNvPr id="74" name="图片_7"/>
                          <pic:cNvPicPr/>
                        </pic:nvPicPr>
                        <pic:blipFill>
                          <a:blip r:embed="rId102"/>
                          <a:stretch>
                            <a:fillRect/>
                          </a:stretch>
                        </pic:blipFill>
                        <pic:spPr>
                          <a:xfrm>
                            <a:off x="0" y="0"/>
                            <a:ext cx="2695575" cy="72390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8.长方形（开槽）</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342265</wp:posOffset>
                  </wp:positionH>
                  <wp:positionV relativeFrom="paragraph">
                    <wp:posOffset>29845</wp:posOffset>
                  </wp:positionV>
                  <wp:extent cx="2334260" cy="836930"/>
                  <wp:effectExtent l="0" t="0" r="8890" b="1270"/>
                  <wp:wrapNone/>
                  <wp:docPr id="77" name="图片_8"/>
                  <wp:cNvGraphicFramePr/>
                  <a:graphic xmlns:a="http://schemas.openxmlformats.org/drawingml/2006/main">
                    <a:graphicData uri="http://schemas.openxmlformats.org/drawingml/2006/picture">
                      <pic:pic xmlns:pic="http://schemas.openxmlformats.org/drawingml/2006/picture">
                        <pic:nvPicPr>
                          <pic:cNvPr id="77" name="图片_8"/>
                          <pic:cNvPicPr/>
                        </pic:nvPicPr>
                        <pic:blipFill>
                          <a:blip r:embed="rId103"/>
                          <a:stretch>
                            <a:fillRect/>
                          </a:stretch>
                        </pic:blipFill>
                        <pic:spPr>
                          <a:xfrm>
                            <a:off x="0" y="0"/>
                            <a:ext cx="2334260" cy="83693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9.长方形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161290</wp:posOffset>
                  </wp:positionH>
                  <wp:positionV relativeFrom="paragraph">
                    <wp:posOffset>87630</wp:posOffset>
                  </wp:positionV>
                  <wp:extent cx="2753360" cy="721995"/>
                  <wp:effectExtent l="0" t="0" r="8890" b="1905"/>
                  <wp:wrapNone/>
                  <wp:docPr id="80" name="图片_9"/>
                  <wp:cNvGraphicFramePr/>
                  <a:graphic xmlns:a="http://schemas.openxmlformats.org/drawingml/2006/main">
                    <a:graphicData uri="http://schemas.openxmlformats.org/drawingml/2006/picture">
                      <pic:pic xmlns:pic="http://schemas.openxmlformats.org/drawingml/2006/picture">
                        <pic:nvPicPr>
                          <pic:cNvPr id="80" name="图片_9"/>
                          <pic:cNvPicPr/>
                        </pic:nvPicPr>
                        <pic:blipFill>
                          <a:blip r:embed="rId104"/>
                          <a:stretch>
                            <a:fillRect/>
                          </a:stretch>
                        </pic:blipFill>
                        <pic:spPr>
                          <a:xfrm>
                            <a:off x="0" y="0"/>
                            <a:ext cx="2753360" cy="72199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10.三角形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638175</wp:posOffset>
                  </wp:positionH>
                  <wp:positionV relativeFrom="paragraph">
                    <wp:posOffset>28575</wp:posOffset>
                  </wp:positionV>
                  <wp:extent cx="1866900" cy="838200"/>
                  <wp:effectExtent l="0" t="0" r="0" b="0"/>
                  <wp:wrapNone/>
                  <wp:docPr id="81" name="图片_10"/>
                  <wp:cNvGraphicFramePr/>
                  <a:graphic xmlns:a="http://schemas.openxmlformats.org/drawingml/2006/main">
                    <a:graphicData uri="http://schemas.openxmlformats.org/drawingml/2006/picture">
                      <pic:pic xmlns:pic="http://schemas.openxmlformats.org/drawingml/2006/picture">
                        <pic:nvPicPr>
                          <pic:cNvPr id="81" name="图片_10"/>
                          <pic:cNvPicPr/>
                        </pic:nvPicPr>
                        <pic:blipFill>
                          <a:blip r:embed="rId105"/>
                          <a:stretch>
                            <a:fillRect/>
                          </a:stretch>
                        </pic:blipFill>
                        <pic:spPr>
                          <a:xfrm>
                            <a:off x="0" y="0"/>
                            <a:ext cx="1866900" cy="83820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11.直角三角形</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695325</wp:posOffset>
                  </wp:positionH>
                  <wp:positionV relativeFrom="paragraph">
                    <wp:posOffset>85725</wp:posOffset>
                  </wp:positionV>
                  <wp:extent cx="1609725" cy="790575"/>
                  <wp:effectExtent l="0" t="0" r="9525" b="9525"/>
                  <wp:wrapNone/>
                  <wp:docPr id="83" name="图片_11"/>
                  <wp:cNvGraphicFramePr/>
                  <a:graphic xmlns:a="http://schemas.openxmlformats.org/drawingml/2006/main">
                    <a:graphicData uri="http://schemas.openxmlformats.org/drawingml/2006/picture">
                      <pic:pic xmlns:pic="http://schemas.openxmlformats.org/drawingml/2006/picture">
                        <pic:nvPicPr>
                          <pic:cNvPr id="83" name="图片_11"/>
                          <pic:cNvPicPr/>
                        </pic:nvPicPr>
                        <pic:blipFill>
                          <a:blip r:embed="rId106"/>
                          <a:stretch>
                            <a:fillRect/>
                          </a:stretch>
                        </pic:blipFill>
                        <pic:spPr>
                          <a:xfrm>
                            <a:off x="0" y="0"/>
                            <a:ext cx="1609725" cy="79057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12.圆柱积木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704850</wp:posOffset>
                  </wp:positionH>
                  <wp:positionV relativeFrom="paragraph">
                    <wp:posOffset>51435</wp:posOffset>
                  </wp:positionV>
                  <wp:extent cx="1553210" cy="805815"/>
                  <wp:effectExtent l="0" t="0" r="8890" b="13335"/>
                  <wp:wrapNone/>
                  <wp:docPr id="84" name="图片_12"/>
                  <wp:cNvGraphicFramePr/>
                  <a:graphic xmlns:a="http://schemas.openxmlformats.org/drawingml/2006/main">
                    <a:graphicData uri="http://schemas.openxmlformats.org/drawingml/2006/picture">
                      <pic:pic xmlns:pic="http://schemas.openxmlformats.org/drawingml/2006/picture">
                        <pic:nvPicPr>
                          <pic:cNvPr id="84" name="图片_12"/>
                          <pic:cNvPicPr/>
                        </pic:nvPicPr>
                        <pic:blipFill>
                          <a:blip r:embed="rId107"/>
                          <a:stretch>
                            <a:fillRect/>
                          </a:stretch>
                        </pic:blipFill>
                        <pic:spPr>
                          <a:xfrm>
                            <a:off x="0" y="0"/>
                            <a:ext cx="1553210" cy="80581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13.圆柱积木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428625</wp:posOffset>
                  </wp:positionH>
                  <wp:positionV relativeFrom="paragraph">
                    <wp:posOffset>39370</wp:posOffset>
                  </wp:positionV>
                  <wp:extent cx="2095500" cy="827405"/>
                  <wp:effectExtent l="0" t="0" r="0" b="10795"/>
                  <wp:wrapNone/>
                  <wp:docPr id="87" name="图片_13"/>
                  <wp:cNvGraphicFramePr/>
                  <a:graphic xmlns:a="http://schemas.openxmlformats.org/drawingml/2006/main">
                    <a:graphicData uri="http://schemas.openxmlformats.org/drawingml/2006/picture">
                      <pic:pic xmlns:pic="http://schemas.openxmlformats.org/drawingml/2006/picture">
                        <pic:nvPicPr>
                          <pic:cNvPr id="87" name="图片_13"/>
                          <pic:cNvPicPr/>
                        </pic:nvPicPr>
                        <pic:blipFill>
                          <a:blip r:embed="rId108"/>
                          <a:stretch>
                            <a:fillRect/>
                          </a:stretch>
                        </pic:blipFill>
                        <pic:spPr>
                          <a:xfrm>
                            <a:off x="0" y="0"/>
                            <a:ext cx="2095500" cy="82740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14.圆柱积木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409575</wp:posOffset>
                  </wp:positionH>
                  <wp:positionV relativeFrom="paragraph">
                    <wp:posOffset>142875</wp:posOffset>
                  </wp:positionV>
                  <wp:extent cx="2162175" cy="590550"/>
                  <wp:effectExtent l="0" t="0" r="9525" b="0"/>
                  <wp:wrapNone/>
                  <wp:docPr id="88" name="图片_14"/>
                  <wp:cNvGraphicFramePr/>
                  <a:graphic xmlns:a="http://schemas.openxmlformats.org/drawingml/2006/main">
                    <a:graphicData uri="http://schemas.openxmlformats.org/drawingml/2006/picture">
                      <pic:pic xmlns:pic="http://schemas.openxmlformats.org/drawingml/2006/picture">
                        <pic:nvPicPr>
                          <pic:cNvPr id="88" name="图片_14"/>
                          <pic:cNvPicPr/>
                        </pic:nvPicPr>
                        <pic:blipFill>
                          <a:blip r:embed="rId109"/>
                          <a:stretch>
                            <a:fillRect/>
                          </a:stretch>
                        </pic:blipFill>
                        <pic:spPr>
                          <a:xfrm>
                            <a:off x="0" y="0"/>
                            <a:ext cx="2162175" cy="59055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15.圆柱积木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152400</wp:posOffset>
                  </wp:positionH>
                  <wp:positionV relativeFrom="paragraph">
                    <wp:posOffset>200025</wp:posOffset>
                  </wp:positionV>
                  <wp:extent cx="2695575" cy="571500"/>
                  <wp:effectExtent l="0" t="0" r="9525" b="0"/>
                  <wp:wrapNone/>
                  <wp:docPr id="89" name="图片_15"/>
                  <wp:cNvGraphicFramePr/>
                  <a:graphic xmlns:a="http://schemas.openxmlformats.org/drawingml/2006/main">
                    <a:graphicData uri="http://schemas.openxmlformats.org/drawingml/2006/picture">
                      <pic:pic xmlns:pic="http://schemas.openxmlformats.org/drawingml/2006/picture">
                        <pic:nvPicPr>
                          <pic:cNvPr id="89" name="图片_15"/>
                          <pic:cNvPicPr/>
                        </pic:nvPicPr>
                        <pic:blipFill>
                          <a:blip r:embed="rId110"/>
                          <a:stretch>
                            <a:fillRect/>
                          </a:stretch>
                        </pic:blipFill>
                        <pic:spPr>
                          <a:xfrm>
                            <a:off x="0" y="0"/>
                            <a:ext cx="2695575" cy="57150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16.圆柱积木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219075</wp:posOffset>
                  </wp:positionH>
                  <wp:positionV relativeFrom="paragraph">
                    <wp:posOffset>95250</wp:posOffset>
                  </wp:positionV>
                  <wp:extent cx="2209800" cy="752475"/>
                  <wp:effectExtent l="0" t="0" r="0" b="9525"/>
                  <wp:wrapNone/>
                  <wp:docPr id="91" name="图片_16"/>
                  <wp:cNvGraphicFramePr/>
                  <a:graphic xmlns:a="http://schemas.openxmlformats.org/drawingml/2006/main">
                    <a:graphicData uri="http://schemas.openxmlformats.org/drawingml/2006/picture">
                      <pic:pic xmlns:pic="http://schemas.openxmlformats.org/drawingml/2006/picture">
                        <pic:nvPicPr>
                          <pic:cNvPr id="91" name="图片_16"/>
                          <pic:cNvPicPr/>
                        </pic:nvPicPr>
                        <pic:blipFill>
                          <a:blip r:embed="rId111"/>
                          <a:stretch>
                            <a:fillRect/>
                          </a:stretch>
                        </pic:blipFill>
                        <pic:spPr>
                          <a:xfrm>
                            <a:off x="0" y="0"/>
                            <a:ext cx="2209800" cy="75247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17.半圆环积木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466725</wp:posOffset>
                  </wp:positionH>
                  <wp:positionV relativeFrom="paragraph">
                    <wp:posOffset>28575</wp:posOffset>
                  </wp:positionV>
                  <wp:extent cx="1924050" cy="876300"/>
                  <wp:effectExtent l="0" t="0" r="0" b="0"/>
                  <wp:wrapNone/>
                  <wp:docPr id="94" name="图片_17"/>
                  <wp:cNvGraphicFramePr/>
                  <a:graphic xmlns:a="http://schemas.openxmlformats.org/drawingml/2006/main">
                    <a:graphicData uri="http://schemas.openxmlformats.org/drawingml/2006/picture">
                      <pic:pic xmlns:pic="http://schemas.openxmlformats.org/drawingml/2006/picture">
                        <pic:nvPicPr>
                          <pic:cNvPr id="94" name="图片_17"/>
                          <pic:cNvPicPr/>
                        </pic:nvPicPr>
                        <pic:blipFill>
                          <a:blip r:embed="rId112"/>
                          <a:stretch>
                            <a:fillRect/>
                          </a:stretch>
                        </pic:blipFill>
                        <pic:spPr>
                          <a:xfrm>
                            <a:off x="0" y="0"/>
                            <a:ext cx="1924050" cy="87630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18.半圆积木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523875</wp:posOffset>
                  </wp:positionH>
                  <wp:positionV relativeFrom="paragraph">
                    <wp:posOffset>47625</wp:posOffset>
                  </wp:positionV>
                  <wp:extent cx="1628775" cy="838200"/>
                  <wp:effectExtent l="0" t="0" r="9525" b="0"/>
                  <wp:wrapNone/>
                  <wp:docPr id="95" name="图片_18"/>
                  <wp:cNvGraphicFramePr/>
                  <a:graphic xmlns:a="http://schemas.openxmlformats.org/drawingml/2006/main">
                    <a:graphicData uri="http://schemas.openxmlformats.org/drawingml/2006/picture">
                      <pic:pic xmlns:pic="http://schemas.openxmlformats.org/drawingml/2006/picture">
                        <pic:nvPicPr>
                          <pic:cNvPr id="95" name="图片_18"/>
                          <pic:cNvPicPr/>
                        </pic:nvPicPr>
                        <pic:blipFill>
                          <a:blip r:embed="rId113"/>
                          <a:stretch>
                            <a:fillRect/>
                          </a:stretch>
                        </pic:blipFill>
                        <pic:spPr>
                          <a:xfrm>
                            <a:off x="0" y="0"/>
                            <a:ext cx="1628775" cy="83820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19.四分之一圆环积木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428625</wp:posOffset>
                  </wp:positionH>
                  <wp:positionV relativeFrom="paragraph">
                    <wp:posOffset>66675</wp:posOffset>
                  </wp:positionV>
                  <wp:extent cx="2047875" cy="771525"/>
                  <wp:effectExtent l="0" t="0" r="9525" b="9525"/>
                  <wp:wrapNone/>
                  <wp:docPr id="96" name="图片_19"/>
                  <wp:cNvGraphicFramePr/>
                  <a:graphic xmlns:a="http://schemas.openxmlformats.org/drawingml/2006/main">
                    <a:graphicData uri="http://schemas.openxmlformats.org/drawingml/2006/picture">
                      <pic:pic xmlns:pic="http://schemas.openxmlformats.org/drawingml/2006/picture">
                        <pic:nvPicPr>
                          <pic:cNvPr id="96" name="图片_19"/>
                          <pic:cNvPicPr/>
                        </pic:nvPicPr>
                        <pic:blipFill>
                          <a:blip r:embed="rId114"/>
                          <a:stretch>
                            <a:fillRect/>
                          </a:stretch>
                        </pic:blipFill>
                        <pic:spPr>
                          <a:xfrm>
                            <a:off x="0" y="0"/>
                            <a:ext cx="2047875" cy="77152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20.扇形积木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923925</wp:posOffset>
                  </wp:positionH>
                  <wp:positionV relativeFrom="paragraph">
                    <wp:posOffset>93345</wp:posOffset>
                  </wp:positionV>
                  <wp:extent cx="1171575" cy="735330"/>
                  <wp:effectExtent l="0" t="0" r="9525" b="7620"/>
                  <wp:wrapNone/>
                  <wp:docPr id="97" name="图片_20"/>
                  <wp:cNvGraphicFramePr/>
                  <a:graphic xmlns:a="http://schemas.openxmlformats.org/drawingml/2006/main">
                    <a:graphicData uri="http://schemas.openxmlformats.org/drawingml/2006/picture">
                      <pic:pic xmlns:pic="http://schemas.openxmlformats.org/drawingml/2006/picture">
                        <pic:nvPicPr>
                          <pic:cNvPr id="97" name="图片_20"/>
                          <pic:cNvPicPr/>
                        </pic:nvPicPr>
                        <pic:blipFill>
                          <a:blip r:embed="rId115"/>
                          <a:stretch>
                            <a:fillRect/>
                          </a:stretch>
                        </pic:blipFill>
                        <pic:spPr>
                          <a:xfrm>
                            <a:off x="0" y="0"/>
                            <a:ext cx="1171575" cy="735330"/>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21.Y型积木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552450</wp:posOffset>
                  </wp:positionH>
                  <wp:positionV relativeFrom="paragraph">
                    <wp:posOffset>71755</wp:posOffset>
                  </wp:positionV>
                  <wp:extent cx="1877060" cy="785495"/>
                  <wp:effectExtent l="0" t="0" r="8890" b="14605"/>
                  <wp:wrapNone/>
                  <wp:docPr id="99" name="图片_21"/>
                  <wp:cNvGraphicFramePr/>
                  <a:graphic xmlns:a="http://schemas.openxmlformats.org/drawingml/2006/main">
                    <a:graphicData uri="http://schemas.openxmlformats.org/drawingml/2006/picture">
                      <pic:pic xmlns:pic="http://schemas.openxmlformats.org/drawingml/2006/picture">
                        <pic:nvPicPr>
                          <pic:cNvPr id="99" name="图片_21"/>
                          <pic:cNvPicPr/>
                        </pic:nvPicPr>
                        <pic:blipFill>
                          <a:blip r:embed="rId116"/>
                          <a:stretch>
                            <a:fillRect/>
                          </a:stretch>
                        </pic:blipFill>
                        <pic:spPr>
                          <a:xfrm>
                            <a:off x="0" y="0"/>
                            <a:ext cx="1877060" cy="78549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22.三叉路</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1038225</wp:posOffset>
                  </wp:positionH>
                  <wp:positionV relativeFrom="paragraph">
                    <wp:posOffset>147320</wp:posOffset>
                  </wp:positionV>
                  <wp:extent cx="998855" cy="681355"/>
                  <wp:effectExtent l="0" t="0" r="10795" b="4445"/>
                  <wp:wrapNone/>
                  <wp:docPr id="102" name="图片_22"/>
                  <wp:cNvGraphicFramePr/>
                  <a:graphic xmlns:a="http://schemas.openxmlformats.org/drawingml/2006/main">
                    <a:graphicData uri="http://schemas.openxmlformats.org/drawingml/2006/picture">
                      <pic:pic xmlns:pic="http://schemas.openxmlformats.org/drawingml/2006/picture">
                        <pic:nvPicPr>
                          <pic:cNvPr id="102" name="图片_22"/>
                          <pic:cNvPicPr/>
                        </pic:nvPicPr>
                        <pic:blipFill>
                          <a:blip r:embed="rId117"/>
                          <a:stretch>
                            <a:fillRect/>
                          </a:stretch>
                        </pic:blipFill>
                        <pic:spPr>
                          <a:xfrm>
                            <a:off x="0" y="0"/>
                            <a:ext cx="998855" cy="68135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23.锥形积木</w:t>
            </w:r>
          </w:p>
        </w:tc>
        <w:tc>
          <w:tcPr>
            <w:tcW w:w="4916"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3360" behindDoc="0" locked="0" layoutInCell="1" allowOverlap="1">
                  <wp:simplePos x="0" y="0"/>
                  <wp:positionH relativeFrom="column">
                    <wp:posOffset>1057275</wp:posOffset>
                  </wp:positionH>
                  <wp:positionV relativeFrom="paragraph">
                    <wp:posOffset>123190</wp:posOffset>
                  </wp:positionV>
                  <wp:extent cx="836930" cy="763905"/>
                  <wp:effectExtent l="0" t="0" r="1270" b="17145"/>
                  <wp:wrapNone/>
                  <wp:docPr id="110" name="图片_23"/>
                  <wp:cNvGraphicFramePr/>
                  <a:graphic xmlns:a="http://schemas.openxmlformats.org/drawingml/2006/main">
                    <a:graphicData uri="http://schemas.openxmlformats.org/drawingml/2006/picture">
                      <pic:pic xmlns:pic="http://schemas.openxmlformats.org/drawingml/2006/picture">
                        <pic:nvPicPr>
                          <pic:cNvPr id="110" name="图片_23"/>
                          <pic:cNvPicPr/>
                        </pic:nvPicPr>
                        <pic:blipFill>
                          <a:blip r:embed="rId118"/>
                          <a:stretch>
                            <a:fillRect/>
                          </a:stretch>
                        </pic:blipFill>
                        <pic:spPr>
                          <a:xfrm>
                            <a:off x="0" y="0"/>
                            <a:ext cx="836930" cy="763905"/>
                          </a:xfrm>
                          <a:prstGeom prst="rect">
                            <a:avLst/>
                          </a:prstGeom>
                          <a:noFill/>
                          <a:ln>
                            <a:noFill/>
                          </a:ln>
                        </pic:spPr>
                      </pic:pic>
                    </a:graphicData>
                  </a:graphic>
                </wp:anchor>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0" w:hRule="atLeast"/>
          <w:jc w:val="center"/>
        </w:trPr>
        <w:tc>
          <w:tcPr>
            <w:tcW w:w="255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24.手推车</w:t>
            </w:r>
          </w:p>
        </w:tc>
        <w:tc>
          <w:tcPr>
            <w:tcW w:w="4916" w:type="dxa"/>
            <w:shd w:val="clear" w:color="auto" w:fill="auto"/>
            <w:noWrap/>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852805" cy="870585"/>
                  <wp:effectExtent l="0" t="0" r="4445" b="5715"/>
                  <wp:docPr id="113" name="图片 113" descr="lQDPJxr0LzDy5yzNAfDNAl2wkyoRwYuLfLUDihFnYcBuAA_605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lQDPJxr0LzDy5yzNAfDNAl2wkyoRwYuLfLUDihFnYcBuAA_605_496"/>
                          <pic:cNvPicPr>
                            <a:picLocks noChangeAspect="1"/>
                          </pic:cNvPicPr>
                        </pic:nvPicPr>
                        <pic:blipFill>
                          <a:blip r:embed="rId119"/>
                          <a:stretch>
                            <a:fillRect/>
                          </a:stretch>
                        </pic:blipFill>
                        <pic:spPr>
                          <a:xfrm>
                            <a:off x="0" y="0"/>
                            <a:ext cx="852805" cy="870585"/>
                          </a:xfrm>
                          <a:prstGeom prst="rect">
                            <a:avLst/>
                          </a:prstGeom>
                        </pic:spPr>
                      </pic:pic>
                    </a:graphicData>
                  </a:graphic>
                </wp:inline>
              </w:drawing>
            </w:r>
          </w:p>
        </w:tc>
        <w:tc>
          <w:tcPr>
            <w:tcW w:w="679"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910"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794"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22" w:type="dxa"/>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bl>
    <w:p>
      <w:pPr>
        <w:keepNext/>
        <w:keepLines/>
        <w:spacing w:before="260" w:after="260" w:line="240" w:lineRule="auto"/>
        <w:jc w:val="left"/>
        <w:outlineLvl w:val="1"/>
        <w:rPr>
          <w:b/>
          <w:bCs/>
          <w:color w:val="auto"/>
          <w:sz w:val="24"/>
        </w:rPr>
      </w:pPr>
      <w:r>
        <w:rPr>
          <w:rFonts w:hint="eastAsia" w:hAnsi="宋体"/>
          <w:bCs w:val="0"/>
          <w:color w:val="auto"/>
          <w:sz w:val="24"/>
          <w:szCs w:val="24"/>
          <w:lang w:val="en-US" w:eastAsia="zh-CN"/>
        </w:rPr>
        <w:t>二</w:t>
      </w:r>
      <w:r>
        <w:rPr>
          <w:rFonts w:hint="eastAsia" w:ascii="Times New Roman" w:hAnsi="宋体" w:eastAsia="宋体"/>
          <w:bCs w:val="0"/>
          <w:color w:val="auto"/>
          <w:sz w:val="24"/>
          <w:szCs w:val="24"/>
          <w:lang w:eastAsia="zh-CN"/>
        </w:rPr>
        <w:t>、</w:t>
      </w:r>
      <w:r>
        <w:rPr>
          <w:rFonts w:hAnsi="宋体"/>
          <w:b/>
          <w:bCs/>
          <w:color w:val="auto"/>
          <w:sz w:val="24"/>
        </w:rPr>
        <w:t>商务条款</w:t>
      </w:r>
    </w:p>
    <w:tbl>
      <w:tblPr>
        <w:tblStyle w:val="63"/>
        <w:tblW w:w="962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2"/>
        <w:gridCol w:w="82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46" w:hRule="atLeast"/>
          <w:jc w:val="center"/>
        </w:trPr>
        <w:tc>
          <w:tcPr>
            <w:tcW w:w="14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质保期</w:t>
            </w:r>
          </w:p>
        </w:tc>
        <w:tc>
          <w:tcPr>
            <w:tcW w:w="8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40" w:lineRule="auto"/>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中标单位须提供从验收合格之日起，1年的免费质保期。供应商承诺超过本要求的，以优惠者为准。无论在质保期内还是质保期满后，中标供应商负责对其实施的项目提供现场服务。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809" w:hRule="atLeast"/>
          <w:jc w:val="center"/>
        </w:trPr>
        <w:tc>
          <w:tcPr>
            <w:tcW w:w="14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现场考察</w:t>
            </w:r>
          </w:p>
        </w:tc>
        <w:tc>
          <w:tcPr>
            <w:tcW w:w="8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因本项目</w:t>
            </w:r>
            <w:r>
              <w:rPr>
                <w:rFonts w:hint="eastAsia" w:ascii="宋体" w:hAnsi="宋体" w:eastAsia="宋体" w:cs="宋体"/>
                <w:color w:val="auto"/>
                <w:sz w:val="21"/>
                <w:szCs w:val="21"/>
                <w:lang w:val="en-US" w:eastAsia="zh-CN"/>
              </w:rPr>
              <w:t>现场</w:t>
            </w:r>
            <w:r>
              <w:rPr>
                <w:rFonts w:hint="eastAsia" w:ascii="宋体" w:hAnsi="宋体" w:eastAsia="宋体" w:cs="宋体"/>
                <w:color w:val="auto"/>
                <w:sz w:val="21"/>
                <w:szCs w:val="21"/>
              </w:rPr>
              <w:t>情况比较复杂</w:t>
            </w:r>
            <w:r>
              <w:rPr>
                <w:rFonts w:hint="eastAsia" w:ascii="宋体" w:hAnsi="宋体" w:eastAsia="宋体" w:cs="宋体"/>
                <w:color w:val="auto"/>
                <w:sz w:val="21"/>
                <w:szCs w:val="21"/>
                <w:lang w:val="en-US" w:eastAsia="zh-CN"/>
              </w:rPr>
              <w:t>并且涉及大型玩具的设计安装</w:t>
            </w:r>
            <w:r>
              <w:rPr>
                <w:rFonts w:hint="eastAsia" w:ascii="宋体" w:hAnsi="宋体" w:eastAsia="宋体" w:cs="宋体"/>
                <w:color w:val="auto"/>
                <w:sz w:val="21"/>
                <w:szCs w:val="21"/>
              </w:rPr>
              <w:t>，故</w:t>
            </w:r>
            <w:r>
              <w:rPr>
                <w:rFonts w:hint="eastAsia" w:ascii="宋体" w:hAnsi="宋体" w:eastAsia="宋体" w:cs="宋体"/>
                <w:color w:val="auto"/>
                <w:sz w:val="21"/>
                <w:szCs w:val="21"/>
                <w:lang w:val="en-US" w:eastAsia="zh-CN"/>
              </w:rPr>
              <w:t>允许投标人进行</w:t>
            </w:r>
            <w:r>
              <w:rPr>
                <w:rFonts w:hint="eastAsia" w:ascii="宋体" w:hAnsi="宋体" w:eastAsia="宋体" w:cs="宋体"/>
                <w:color w:val="auto"/>
                <w:sz w:val="21"/>
                <w:szCs w:val="21"/>
              </w:rPr>
              <w:t>现场考察（招标文件中</w:t>
            </w:r>
            <w:r>
              <w:rPr>
                <w:rFonts w:hint="eastAsia" w:ascii="宋体" w:hAnsi="宋体" w:eastAsia="宋体" w:cs="宋体"/>
                <w:color w:val="auto"/>
                <w:sz w:val="21"/>
                <w:szCs w:val="21"/>
                <w:lang w:val="en-US" w:eastAsia="zh-CN"/>
              </w:rPr>
              <w:t>无法文字</w:t>
            </w:r>
            <w:r>
              <w:rPr>
                <w:rFonts w:hint="eastAsia" w:ascii="宋体" w:hAnsi="宋体" w:eastAsia="宋体" w:cs="宋体"/>
                <w:color w:val="auto"/>
                <w:sz w:val="21"/>
                <w:szCs w:val="21"/>
              </w:rPr>
              <w:t>表述的不可预见费用、招标需求</w:t>
            </w:r>
            <w:r>
              <w:rPr>
                <w:rFonts w:hint="eastAsia" w:ascii="宋体" w:hAnsi="宋体" w:eastAsia="宋体" w:cs="宋体"/>
                <w:color w:val="auto"/>
                <w:sz w:val="21"/>
                <w:szCs w:val="21"/>
                <w:lang w:val="en-US" w:eastAsia="zh-CN"/>
              </w:rPr>
              <w:t>和施工现场情况</w:t>
            </w:r>
            <w:r>
              <w:rPr>
                <w:rFonts w:hint="eastAsia" w:ascii="宋体" w:hAnsi="宋体" w:eastAsia="宋体" w:cs="宋体"/>
                <w:color w:val="auto"/>
                <w:sz w:val="21"/>
                <w:szCs w:val="21"/>
              </w:rPr>
              <w:t>等，投标人需通过现场考察后考虑在最终报价内，否则后果由投标人自负）</w:t>
            </w:r>
            <w:r>
              <w:rPr>
                <w:rFonts w:hint="eastAsia" w:ascii="宋体" w:hAnsi="宋体" w:eastAsia="宋体" w:cs="宋体"/>
                <w:color w:val="auto"/>
                <w:sz w:val="21"/>
                <w:szCs w:val="21"/>
                <w:lang w:eastAsia="zh-CN"/>
              </w:rPr>
              <w:t>。</w:t>
            </w:r>
          </w:p>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color w:val="000000" w:themeColor="text1"/>
                <w:sz w:val="21"/>
                <w:szCs w:val="21"/>
                <w14:textFill>
                  <w14:solidFill>
                    <w14:schemeClr w14:val="tx1"/>
                  </w14:solidFill>
                </w14:textFill>
              </w:rPr>
              <w:t>现场考察时间为：</w:t>
            </w:r>
            <w:r>
              <w:rPr>
                <w:rFonts w:hint="eastAsia" w:ascii="宋体" w:hAnsi="宋体" w:cs="宋体"/>
                <w:color w:val="000000" w:themeColor="text1"/>
                <w:sz w:val="21"/>
                <w:szCs w:val="21"/>
                <w:lang w:eastAsia="zh-CN"/>
                <w14:textFill>
                  <w14:solidFill>
                    <w14:schemeClr w14:val="tx1"/>
                  </w14:solidFill>
                </w14:textFill>
              </w:rPr>
              <w:t>2022年12月2</w:t>
            </w:r>
            <w:r>
              <w:rPr>
                <w:rFonts w:hint="eastAsia" w:ascii="宋体" w:hAnsi="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eastAsia="zh-CN"/>
                <w14:textFill>
                  <w14:solidFill>
                    <w14:schemeClr w14:val="tx1"/>
                  </w14:solidFill>
                </w14:textFill>
              </w:rPr>
              <w:t>日</w:t>
            </w:r>
            <w:r>
              <w:rPr>
                <w:rFonts w:hint="eastAsia" w:ascii="宋体" w:hAnsi="宋体" w:cs="宋体"/>
                <w:color w:val="000000" w:themeColor="text1"/>
                <w:sz w:val="21"/>
                <w:szCs w:val="21"/>
                <w:lang w:val="en-US" w:eastAsia="zh-CN"/>
                <w14:textFill>
                  <w14:solidFill>
                    <w14:schemeClr w14:val="tx1"/>
                  </w14:solidFill>
                </w14:textFill>
              </w:rPr>
              <w:t>10:00</w:t>
            </w:r>
            <w:r>
              <w:rPr>
                <w:rFonts w:hint="eastAsia" w:ascii="宋体" w:hAnsi="宋体" w:eastAsia="宋体" w:cs="宋体"/>
                <w:color w:val="000000" w:themeColor="text1"/>
                <w:sz w:val="21"/>
                <w:szCs w:val="21"/>
                <w14:textFill>
                  <w14:solidFill>
                    <w14:schemeClr w14:val="tx1"/>
                  </w14:solidFill>
                </w14:textFill>
              </w:rPr>
              <w:t>，地点：嘉善县魏塘街道浦弄2号（嘉善县第四幼儿园教育集团硕士幼儿园）</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auto"/>
                <w:sz w:val="21"/>
                <w:szCs w:val="21"/>
              </w:rPr>
              <w:t>联系人：沈佳欢13757381722。</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0" w:type="dxa"/>
            <w:bottom w:w="0" w:type="dxa"/>
            <w:right w:w="0" w:type="dxa"/>
          </w:tblCellMar>
        </w:tblPrEx>
        <w:trPr>
          <w:trHeight w:val="1027" w:hRule="atLeast"/>
          <w:jc w:val="center"/>
        </w:trPr>
        <w:tc>
          <w:tcPr>
            <w:tcW w:w="1412" w:type="dxa"/>
            <w:tcBorders>
              <w:top w:val="single" w:color="auto"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jc w:val="center"/>
              <w:textAlignment w:val="auto"/>
              <w:rPr>
                <w:rFonts w:hint="eastAsia" w:ascii="宋体" w:hAnsi="宋体" w:eastAsia="宋体" w:cs="宋体"/>
                <w:bCs/>
                <w:color w:val="auto"/>
                <w:sz w:val="21"/>
                <w:szCs w:val="21"/>
                <w:lang w:eastAsia="zh-CN"/>
              </w:rPr>
            </w:pPr>
            <w:r>
              <w:rPr>
                <w:rStyle w:val="959"/>
                <w:rFonts w:hint="eastAsia" w:ascii="宋体" w:hAnsi="宋体" w:eastAsia="宋体" w:cs="宋体"/>
                <w:b w:val="0"/>
                <w:bCs w:val="0"/>
                <w:sz w:val="21"/>
                <w:szCs w:val="21"/>
                <w:lang w:val="en-US" w:eastAsia="zh-CN" w:bidi="ar"/>
              </w:rPr>
              <w:t>▲</w:t>
            </w:r>
            <w:r>
              <w:rPr>
                <w:rFonts w:hint="eastAsia" w:ascii="宋体" w:hAnsi="宋体" w:cs="宋体"/>
                <w:bCs/>
                <w:color w:val="auto"/>
                <w:sz w:val="21"/>
                <w:szCs w:val="21"/>
                <w:lang w:eastAsia="zh-CN"/>
              </w:rPr>
              <w:t>设计要求</w:t>
            </w:r>
          </w:p>
        </w:tc>
        <w:tc>
          <w:tcPr>
            <w:tcW w:w="8208" w:type="dxa"/>
            <w:tcBorders>
              <w:top w:val="single" w:color="auto"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合同签订前，</w:t>
            </w:r>
            <w:r>
              <w:rPr>
                <w:rFonts w:hint="eastAsia" w:ascii="宋体" w:hAnsi="宋体" w:cs="宋体"/>
                <w:bCs/>
                <w:color w:val="auto"/>
                <w:sz w:val="21"/>
                <w:szCs w:val="21"/>
                <w:lang w:eastAsia="zh-CN"/>
              </w:rPr>
              <w:t>进行</w:t>
            </w:r>
            <w:r>
              <w:rPr>
                <w:rFonts w:hint="eastAsia" w:ascii="宋体" w:hAnsi="宋体" w:eastAsia="宋体" w:cs="宋体"/>
                <w:bCs/>
                <w:color w:val="auto"/>
                <w:sz w:val="21"/>
                <w:szCs w:val="21"/>
              </w:rPr>
              <w:t>场地实际测量</w:t>
            </w:r>
            <w:r>
              <w:rPr>
                <w:rFonts w:hint="eastAsia" w:ascii="宋体" w:hAnsi="宋体" w:cs="宋体"/>
                <w:bCs/>
                <w:color w:val="auto"/>
                <w:sz w:val="21"/>
                <w:szCs w:val="21"/>
                <w:lang w:eastAsia="zh-CN"/>
              </w:rPr>
              <w:t>，对</w:t>
            </w:r>
            <w:r>
              <w:rPr>
                <w:rFonts w:hint="eastAsia" w:ascii="宋体" w:hAnsi="宋体" w:eastAsia="宋体" w:cs="宋体"/>
                <w:b w:val="0"/>
                <w:bCs w:val="0"/>
                <w:i w:val="0"/>
                <w:iCs w:val="0"/>
                <w:color w:val="000000"/>
                <w:kern w:val="0"/>
                <w:sz w:val="21"/>
                <w:szCs w:val="21"/>
                <w:u w:val="none"/>
                <w:lang w:val="en-US" w:eastAsia="zh-CN" w:bidi="ar"/>
              </w:rPr>
              <w:t>“户外体能拓展”进行</w:t>
            </w:r>
            <w:r>
              <w:rPr>
                <w:rFonts w:hint="eastAsia" w:ascii="宋体" w:hAnsi="宋体" w:eastAsia="宋体" w:cs="宋体"/>
                <w:bCs/>
                <w:color w:val="auto"/>
                <w:sz w:val="21"/>
                <w:szCs w:val="21"/>
              </w:rPr>
              <w:t>设计并</w:t>
            </w:r>
            <w:r>
              <w:rPr>
                <w:rFonts w:hint="eastAsia" w:ascii="宋体" w:hAnsi="宋体" w:cs="宋体"/>
                <w:bCs/>
                <w:color w:val="auto"/>
                <w:sz w:val="21"/>
                <w:szCs w:val="21"/>
                <w:lang w:eastAsia="zh-CN"/>
              </w:rPr>
              <w:t>提供</w:t>
            </w:r>
            <w:r>
              <w:rPr>
                <w:rFonts w:hint="eastAsia" w:ascii="宋体" w:hAnsi="宋体" w:eastAsia="宋体" w:cs="宋体"/>
                <w:bCs/>
                <w:color w:val="auto"/>
                <w:sz w:val="21"/>
                <w:szCs w:val="21"/>
              </w:rPr>
              <w:t>设计图纸、效果图（三视图）等。</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0" w:type="dxa"/>
            <w:bottom w:w="0" w:type="dxa"/>
            <w:right w:w="0" w:type="dxa"/>
          </w:tblCellMar>
        </w:tblPrEx>
        <w:trPr>
          <w:trHeight w:val="1702" w:hRule="atLeast"/>
          <w:jc w:val="center"/>
        </w:trPr>
        <w:tc>
          <w:tcPr>
            <w:tcW w:w="141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交货、验收时间及地点</w:t>
            </w:r>
          </w:p>
        </w:tc>
        <w:tc>
          <w:tcPr>
            <w:tcW w:w="8208"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交货及安装调试：合同生效后</w:t>
            </w:r>
            <w:r>
              <w:rPr>
                <w:rFonts w:hint="eastAsia" w:ascii="宋体" w:hAnsi="宋体" w:eastAsia="宋体" w:cs="宋体"/>
                <w:bCs/>
                <w:color w:val="auto"/>
                <w:sz w:val="21"/>
                <w:szCs w:val="21"/>
                <w:lang w:val="en-US" w:eastAsia="zh-CN"/>
              </w:rPr>
              <w:t>20</w:t>
            </w:r>
            <w:r>
              <w:rPr>
                <w:rFonts w:hint="eastAsia" w:ascii="宋体" w:hAnsi="宋体" w:eastAsia="宋体" w:cs="宋体"/>
                <w:bCs/>
                <w:color w:val="auto"/>
                <w:sz w:val="21"/>
                <w:szCs w:val="21"/>
              </w:rPr>
              <w:t>天内完成所有货物的</w:t>
            </w:r>
            <w:r>
              <w:rPr>
                <w:rFonts w:hint="eastAsia" w:ascii="宋体" w:hAnsi="宋体" w:eastAsia="宋体" w:cs="宋体"/>
                <w:bCs/>
                <w:color w:val="auto"/>
                <w:sz w:val="21"/>
                <w:szCs w:val="21"/>
                <w:lang w:val="en-US" w:eastAsia="zh-CN"/>
              </w:rPr>
              <w:t>供货</w:t>
            </w:r>
            <w:r>
              <w:rPr>
                <w:rFonts w:hint="eastAsia" w:ascii="宋体" w:hAnsi="宋体" w:eastAsia="宋体" w:cs="宋体"/>
                <w:bCs/>
                <w:color w:val="auto"/>
                <w:sz w:val="21"/>
                <w:szCs w:val="21"/>
              </w:rPr>
              <w:t>、安装、调试，完成后采购人组织验收。</w:t>
            </w:r>
          </w:p>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2.验收地点：采购单位指定地点。</w:t>
            </w:r>
          </w:p>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3.中标供应商安装完毕后须进行卫生清理，其他货物等破坏的须进行相应赔偿。</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0" w:type="dxa"/>
            <w:bottom w:w="0" w:type="dxa"/>
            <w:right w:w="0" w:type="dxa"/>
          </w:tblCellMar>
        </w:tblPrEx>
        <w:trPr>
          <w:trHeight w:val="4401" w:hRule="atLeast"/>
          <w:jc w:val="center"/>
        </w:trPr>
        <w:tc>
          <w:tcPr>
            <w:tcW w:w="141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验收条件</w:t>
            </w:r>
          </w:p>
        </w:tc>
        <w:tc>
          <w:tcPr>
            <w:tcW w:w="8208"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1.验收以采购文件、投标文件、合同</w:t>
            </w:r>
            <w:r>
              <w:rPr>
                <w:rFonts w:hint="eastAsia" w:ascii="宋体" w:hAnsi="宋体" w:eastAsia="宋体" w:cs="宋体"/>
                <w:bCs/>
                <w:color w:val="auto"/>
                <w:sz w:val="21"/>
                <w:szCs w:val="21"/>
                <w:lang w:eastAsia="zh-CN"/>
              </w:rPr>
              <w:t>等</w:t>
            </w:r>
            <w:r>
              <w:rPr>
                <w:rFonts w:hint="eastAsia" w:ascii="宋体" w:hAnsi="宋体" w:eastAsia="宋体" w:cs="宋体"/>
                <w:bCs/>
                <w:color w:val="auto"/>
                <w:sz w:val="21"/>
                <w:szCs w:val="21"/>
              </w:rPr>
              <w:t>为依据。</w:t>
            </w:r>
          </w:p>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2</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3.验收必须符合国家、地方有关规范、标准及设计要求。</w:t>
            </w:r>
          </w:p>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4</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符合验收条件的，由采购人组织有关部门按照国家、地方有关规范、标准及设计要求进行验收。验收后中标人应按照验收中提出的意见整改。</w:t>
            </w:r>
          </w:p>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5. 整改完毕且复验合格后将本项目货物交给采购人使用，完成日期以通过复验日期为准。</w:t>
            </w:r>
          </w:p>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lang w:val="zh-TW"/>
              </w:rPr>
            </w:pPr>
            <w:r>
              <w:rPr>
                <w:rFonts w:hint="eastAsia" w:ascii="宋体" w:hAnsi="宋体" w:eastAsia="宋体" w:cs="宋体"/>
                <w:bCs/>
                <w:color w:val="auto"/>
                <w:sz w:val="21"/>
                <w:szCs w:val="21"/>
              </w:rPr>
              <w:t>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0" w:type="dxa"/>
            <w:bottom w:w="0" w:type="dxa"/>
            <w:right w:w="0" w:type="dxa"/>
          </w:tblCellMar>
        </w:tblPrEx>
        <w:trPr>
          <w:jc w:val="center"/>
        </w:trPr>
        <w:tc>
          <w:tcPr>
            <w:tcW w:w="141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售后服务保障要求</w:t>
            </w:r>
          </w:p>
        </w:tc>
        <w:tc>
          <w:tcPr>
            <w:tcW w:w="8208"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中标人需提供专门的售后服务电话，中标人在接到采购人通知后，2小时内做出响应，4小时内派人赴现场处理问题。72小时内无法修复的，必须采取临时调换等措施，以保证采购人的正常使用。临时调换的设备要求不低于原有的设备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4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备品备件及耗材等要求</w:t>
            </w:r>
          </w:p>
        </w:tc>
        <w:tc>
          <w:tcPr>
            <w:tcW w:w="8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1418"/>
              </w:tabs>
              <w:kinsoku/>
              <w:wordWrap/>
              <w:overflowPunct/>
              <w:topLinePunct w:val="0"/>
              <w:autoSpaceDE/>
              <w:autoSpaceDN/>
              <w:bidi w:val="0"/>
              <w:adjustRightInd w:val="0"/>
              <w:snapToGrid/>
              <w:spacing w:before="120" w:after="120" w:line="288"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提供易损零部件备件。</w:t>
            </w:r>
          </w:p>
        </w:tc>
      </w:tr>
    </w:tbl>
    <w:p>
      <w:pPr>
        <w:jc w:val="center"/>
        <w:rPr>
          <w:rFonts w:ascii="仿宋" w:hAnsi="仿宋" w:eastAsia="仿宋" w:cs="仿宋_GB2312"/>
          <w:b/>
          <w:color w:val="auto"/>
          <w:sz w:val="36"/>
          <w:szCs w:val="20"/>
        </w:rPr>
      </w:pPr>
      <w:r>
        <w:rPr>
          <w:rFonts w:hint="eastAsia" w:ascii="仿宋" w:hAnsi="仿宋" w:eastAsia="仿宋" w:cs="仿宋_GB2312"/>
          <w:b/>
          <w:color w:val="auto"/>
          <w:sz w:val="36"/>
          <w:szCs w:val="20"/>
        </w:rPr>
        <w:t>第</w:t>
      </w:r>
      <w:bookmarkEnd w:id="12"/>
      <w:r>
        <w:rPr>
          <w:rFonts w:hint="eastAsia" w:ascii="仿宋" w:hAnsi="仿宋" w:eastAsia="仿宋" w:cs="仿宋_GB2312"/>
          <w:b/>
          <w:color w:val="auto"/>
          <w:sz w:val="36"/>
          <w:szCs w:val="20"/>
        </w:rPr>
        <w:t>三章</w:t>
      </w:r>
      <w:r>
        <w:rPr>
          <w:rFonts w:ascii="仿宋" w:hAnsi="仿宋" w:eastAsia="仿宋" w:cs="仿宋_GB2312"/>
          <w:b/>
          <w:color w:val="auto"/>
          <w:sz w:val="36"/>
          <w:szCs w:val="20"/>
        </w:rPr>
        <w:t xml:space="preserve"> 投标人须知</w:t>
      </w:r>
      <w:bookmarkEnd w:id="13"/>
    </w:p>
    <w:bookmarkEnd w:id="14"/>
    <w:p>
      <w:pPr>
        <w:wordWrap w:val="0"/>
        <w:overflowPunct w:val="0"/>
        <w:autoSpaceDE w:val="0"/>
        <w:autoSpaceDN w:val="0"/>
        <w:adjustRightInd/>
        <w:spacing w:beforeLines="100" w:afterLines="100" w:line="360" w:lineRule="atLeast"/>
        <w:jc w:val="center"/>
        <w:rPr>
          <w:rFonts w:ascii="宋体" w:hAnsi="宋体" w:cs="宋体"/>
          <w:b/>
          <w:bCs/>
          <w:color w:val="auto"/>
          <w:sz w:val="28"/>
          <w:szCs w:val="28"/>
        </w:rPr>
      </w:pPr>
      <w:bookmarkStart w:id="15" w:name="_Toc91899903"/>
      <w:bookmarkStart w:id="16" w:name="第三部分"/>
      <w:bookmarkStart w:id="17" w:name="_Toc164416483"/>
      <w:r>
        <w:rPr>
          <w:rFonts w:hint="eastAsia" w:ascii="宋体" w:hAnsi="宋体" w:cs="宋体"/>
          <w:b/>
          <w:bCs/>
          <w:color w:val="auto"/>
          <w:sz w:val="28"/>
          <w:szCs w:val="28"/>
        </w:rPr>
        <w:t>电子交易注意事项</w:t>
      </w:r>
    </w:p>
    <w:p>
      <w:pPr>
        <w:wordWrap w:val="0"/>
        <w:overflowPunct w:val="0"/>
        <w:autoSpaceDE w:val="0"/>
        <w:autoSpaceDN w:val="0"/>
        <w:adjustRightInd/>
        <w:spacing w:line="400" w:lineRule="exact"/>
        <w:ind w:firstLine="240" w:firstLineChars="100"/>
        <w:jc w:val="left"/>
        <w:rPr>
          <w:rFonts w:ascii="宋体" w:hAnsi="宋体" w:cs="宋体"/>
          <w:color w:val="auto"/>
          <w:sz w:val="24"/>
          <w:shd w:val="clear" w:color="auto" w:fill="FFFFFF"/>
        </w:rPr>
      </w:pPr>
      <w:r>
        <w:rPr>
          <w:rFonts w:hint="eastAsia" w:ascii="宋体" w:hAnsi="宋体" w:cs="宋体"/>
          <w:color w:val="auto"/>
          <w:sz w:val="24"/>
          <w:shd w:val="clear" w:color="auto" w:fill="FFFFFF"/>
        </w:rPr>
        <w:t>　政府采购项目电子交易活动适用《浙江省政府采购项目电子交易管理暂行办法》，现将相关注意事项告知如下：</w:t>
      </w:r>
    </w:p>
    <w:p>
      <w:pPr>
        <w:wordWrap w:val="0"/>
        <w:overflowPunct w:val="0"/>
        <w:autoSpaceDE w:val="0"/>
        <w:autoSpaceDN w:val="0"/>
        <w:adjustRightInd/>
        <w:spacing w:line="400" w:lineRule="exact"/>
        <w:ind w:firstLine="240" w:firstLineChars="100"/>
        <w:jc w:val="left"/>
        <w:rPr>
          <w:rFonts w:ascii="宋体" w:hAnsi="宋体" w:cs="宋体"/>
          <w:color w:val="auto"/>
          <w:sz w:val="24"/>
        </w:rPr>
      </w:pPr>
      <w:r>
        <w:rPr>
          <w:rFonts w:hint="eastAsia" w:ascii="宋体" w:hAnsi="宋体" w:cs="宋体"/>
          <w:color w:val="auto"/>
          <w:sz w:val="24"/>
        </w:rPr>
        <w:t>　1.集中采购机构按照招标文件规定的时间通过电子交易平台组织开标、开启投标文件，所有供应商均应当准时在线参加，直至评审结束。</w:t>
      </w:r>
    </w:p>
    <w:p>
      <w:pPr>
        <w:pStyle w:val="59"/>
        <w:widowControl w:val="0"/>
        <w:wordWrap w:val="0"/>
        <w:overflowPunct w:val="0"/>
        <w:autoSpaceDE w:val="0"/>
        <w:autoSpaceDN w:val="0"/>
        <w:adjustRightInd/>
        <w:spacing w:before="0" w:beforeAutospacing="0" w:after="0" w:afterAutospacing="0" w:line="400" w:lineRule="exact"/>
        <w:ind w:firstLine="240" w:firstLineChars="100"/>
        <w:rPr>
          <w:rFonts w:cs="宋体"/>
          <w:color w:val="auto"/>
          <w:kern w:val="2"/>
        </w:rPr>
      </w:pPr>
      <w:r>
        <w:rPr>
          <w:rFonts w:hint="eastAsia" w:cs="宋体"/>
          <w:color w:val="auto"/>
          <w:kern w:val="2"/>
        </w:rPr>
        <w:t>　2.采购过程中出现以下情形，导致电子交易平台无法正常运行，或者无法保证电子交易的公平、公正和安全时，集中采购机构可中止电子交易活动：</w:t>
      </w:r>
    </w:p>
    <w:p>
      <w:pPr>
        <w:pStyle w:val="59"/>
        <w:widowControl w:val="0"/>
        <w:wordWrap w:val="0"/>
        <w:overflowPunct w:val="0"/>
        <w:autoSpaceDE w:val="0"/>
        <w:autoSpaceDN w:val="0"/>
        <w:adjustRightInd/>
        <w:spacing w:before="0" w:beforeAutospacing="0" w:after="0" w:afterAutospacing="0" w:line="400" w:lineRule="exact"/>
        <w:ind w:firstLine="645"/>
        <w:rPr>
          <w:rFonts w:cs="宋体"/>
          <w:color w:val="auto"/>
          <w:kern w:val="2"/>
        </w:rPr>
      </w:pPr>
      <w:r>
        <w:rPr>
          <w:rFonts w:hint="eastAsia" w:cs="宋体"/>
          <w:color w:val="auto"/>
          <w:kern w:val="2"/>
        </w:rPr>
        <w:t>（一）电子交易平台发生故障而无法登录访问的； </w:t>
      </w:r>
    </w:p>
    <w:p>
      <w:pPr>
        <w:pStyle w:val="59"/>
        <w:widowControl w:val="0"/>
        <w:wordWrap w:val="0"/>
        <w:overflowPunct w:val="0"/>
        <w:autoSpaceDE w:val="0"/>
        <w:autoSpaceDN w:val="0"/>
        <w:adjustRightInd/>
        <w:spacing w:before="0" w:beforeAutospacing="0" w:after="0" w:afterAutospacing="0" w:line="400" w:lineRule="exact"/>
        <w:ind w:firstLine="645"/>
        <w:rPr>
          <w:rFonts w:cs="宋体"/>
          <w:color w:val="auto"/>
          <w:kern w:val="2"/>
        </w:rPr>
      </w:pPr>
      <w:r>
        <w:rPr>
          <w:rFonts w:hint="eastAsia" w:cs="宋体"/>
          <w:color w:val="auto"/>
          <w:kern w:val="2"/>
        </w:rPr>
        <w:t>（二）电子交易平台应用或数据库出现错误，不能进行正常操作的；</w:t>
      </w:r>
    </w:p>
    <w:p>
      <w:pPr>
        <w:pStyle w:val="59"/>
        <w:widowControl w:val="0"/>
        <w:wordWrap w:val="0"/>
        <w:overflowPunct w:val="0"/>
        <w:autoSpaceDE w:val="0"/>
        <w:autoSpaceDN w:val="0"/>
        <w:adjustRightInd/>
        <w:spacing w:before="0" w:beforeAutospacing="0" w:after="0" w:afterAutospacing="0" w:line="400" w:lineRule="exact"/>
        <w:ind w:firstLine="645"/>
        <w:rPr>
          <w:rFonts w:cs="宋体"/>
          <w:color w:val="auto"/>
          <w:kern w:val="2"/>
        </w:rPr>
      </w:pPr>
      <w:r>
        <w:rPr>
          <w:rFonts w:hint="eastAsia" w:cs="宋体"/>
          <w:color w:val="auto"/>
          <w:kern w:val="2"/>
        </w:rPr>
        <w:t>（三）电子交易平台发现严重安全漏洞，有潜在泄密危险的；</w:t>
      </w:r>
    </w:p>
    <w:p>
      <w:pPr>
        <w:pStyle w:val="59"/>
        <w:widowControl w:val="0"/>
        <w:wordWrap w:val="0"/>
        <w:overflowPunct w:val="0"/>
        <w:autoSpaceDE w:val="0"/>
        <w:autoSpaceDN w:val="0"/>
        <w:adjustRightInd/>
        <w:spacing w:before="0" w:beforeAutospacing="0" w:after="0" w:afterAutospacing="0" w:line="400" w:lineRule="exact"/>
        <w:ind w:firstLine="645"/>
        <w:rPr>
          <w:rFonts w:cs="宋体"/>
          <w:color w:val="auto"/>
          <w:kern w:val="2"/>
        </w:rPr>
      </w:pPr>
      <w:r>
        <w:rPr>
          <w:rFonts w:hint="eastAsia" w:cs="宋体"/>
          <w:color w:val="auto"/>
          <w:kern w:val="2"/>
        </w:rPr>
        <w:t>（四）病毒发作导致不能进行正常操作的； </w:t>
      </w:r>
    </w:p>
    <w:p>
      <w:pPr>
        <w:pStyle w:val="59"/>
        <w:widowControl w:val="0"/>
        <w:wordWrap w:val="0"/>
        <w:overflowPunct w:val="0"/>
        <w:autoSpaceDE w:val="0"/>
        <w:autoSpaceDN w:val="0"/>
        <w:adjustRightInd/>
        <w:spacing w:before="0" w:beforeAutospacing="0" w:after="0" w:afterAutospacing="0" w:line="400" w:lineRule="exact"/>
        <w:ind w:firstLine="645"/>
        <w:rPr>
          <w:rFonts w:cs="宋体"/>
          <w:color w:val="auto"/>
          <w:kern w:val="2"/>
        </w:rPr>
      </w:pPr>
      <w:r>
        <w:rPr>
          <w:rFonts w:hint="eastAsia" w:cs="宋体"/>
          <w:color w:val="auto"/>
          <w:kern w:val="2"/>
        </w:rPr>
        <w:t>（五）其他无法保证电子交易的公平、公正和安全的情况。</w:t>
      </w:r>
    </w:p>
    <w:p>
      <w:pPr>
        <w:pStyle w:val="59"/>
        <w:widowControl w:val="0"/>
        <w:wordWrap w:val="0"/>
        <w:overflowPunct w:val="0"/>
        <w:autoSpaceDE w:val="0"/>
        <w:autoSpaceDN w:val="0"/>
        <w:adjustRightInd/>
        <w:spacing w:before="0" w:beforeAutospacing="0" w:after="0" w:afterAutospacing="0" w:line="400" w:lineRule="exact"/>
        <w:ind w:firstLine="480"/>
        <w:rPr>
          <w:rFonts w:cs="宋体"/>
          <w:color w:val="auto"/>
          <w:kern w:val="2"/>
        </w:rPr>
      </w:pPr>
      <w:r>
        <w:rPr>
          <w:rFonts w:hint="eastAsia" w:cs="宋体"/>
          <w:color w:val="auto"/>
          <w:kern w:val="2"/>
        </w:rPr>
        <w:t>出现前款规定情形，不影响采购公平、公正性的，集中采购机构可以待上述情形消除后继续组织电子交易活动，也可以决定某些环节以纸质形式进行；影响或可能影响采购公平、公正性的，应当重新采购。</w:t>
      </w:r>
    </w:p>
    <w:p>
      <w:pPr>
        <w:pStyle w:val="59"/>
        <w:widowControl w:val="0"/>
        <w:wordWrap w:val="0"/>
        <w:overflowPunct w:val="0"/>
        <w:autoSpaceDE w:val="0"/>
        <w:autoSpaceDN w:val="0"/>
        <w:adjustRightInd/>
        <w:spacing w:before="0" w:beforeAutospacing="0" w:after="0" w:afterAutospacing="0" w:line="400" w:lineRule="exact"/>
        <w:ind w:firstLine="480"/>
        <w:rPr>
          <w:rFonts w:cs="宋体"/>
          <w:color w:val="auto"/>
          <w:shd w:val="clear" w:color="auto" w:fill="FFFFFF"/>
        </w:rPr>
      </w:pPr>
      <w:r>
        <w:rPr>
          <w:rFonts w:hint="eastAsia" w:cs="宋体"/>
          <w:color w:val="auto"/>
          <w:shd w:val="clear" w:color="auto" w:fill="FFFFFF"/>
        </w:rPr>
        <w:t>3.评审中需要供应商对投标文件作出澄清、说明或者补正的，评审小组和供应商应当通过电子交易平台交换数据电文。供应商需在半小时内提交澄清说明或补正，供应商已经明确表示澄清说明或补正完毕的除外。</w:t>
      </w:r>
    </w:p>
    <w:p>
      <w:pPr>
        <w:pStyle w:val="26"/>
        <w:wordWrap w:val="0"/>
        <w:overflowPunct w:val="0"/>
        <w:adjustRightInd/>
        <w:spacing w:line="400" w:lineRule="exact"/>
        <w:ind w:firstLine="487"/>
        <w:rPr>
          <w:rFonts w:hint="eastAsia" w:hAnsi="宋体" w:eastAsia="宋体" w:cs="宋体"/>
          <w:color w:val="auto"/>
          <w:kern w:val="0"/>
          <w:szCs w:val="24"/>
          <w:shd w:val="clear" w:color="auto" w:fill="FFFFFF"/>
          <w:lang w:eastAsia="zh-CN"/>
        </w:rPr>
      </w:pPr>
      <w:r>
        <w:rPr>
          <w:rFonts w:hint="eastAsia" w:hAnsi="宋体" w:cs="宋体"/>
          <w:color w:val="auto"/>
          <w:kern w:val="0"/>
          <w:szCs w:val="24"/>
          <w:shd w:val="clear" w:color="auto" w:fill="FFFFFF"/>
          <w:lang w:val="en-US"/>
        </w:rPr>
        <w:t>4</w:t>
      </w:r>
      <w:r>
        <w:rPr>
          <w:rFonts w:hint="eastAsia" w:hAnsi="宋体" w:cs="宋体"/>
          <w:color w:val="auto"/>
          <w:kern w:val="0"/>
          <w:szCs w:val="24"/>
          <w:shd w:val="clear" w:color="auto" w:fill="FFFFFF"/>
        </w:rPr>
        <w:t>.供应商须在集中采购代理机构宣布评审结束、产生中标候选人前时刻关注，配合专家组工作，如有询标（澄清、质疑），在约定时间内（具体时间以询标函上规定的时间为准备）通过</w:t>
      </w:r>
      <w:r>
        <w:rPr>
          <w:rFonts w:hint="eastAsia" w:hAnsi="宋体" w:cs="宋体"/>
          <w:color w:val="auto"/>
          <w:kern w:val="0"/>
          <w:szCs w:val="24"/>
          <w:shd w:val="clear" w:color="auto" w:fill="FFFFFF"/>
          <w:lang w:val="en-US"/>
        </w:rPr>
        <w:t>CA</w:t>
      </w:r>
      <w:r>
        <w:rPr>
          <w:rFonts w:hint="eastAsia" w:hAnsi="宋体" w:cs="宋体"/>
          <w:color w:val="auto"/>
          <w:kern w:val="0"/>
          <w:szCs w:val="24"/>
          <w:shd w:val="clear" w:color="auto" w:fill="FFFFFF"/>
        </w:rPr>
        <w:t>进行回复。未按要求回复的，视为放弃澄清。</w:t>
      </w:r>
    </w:p>
    <w:p>
      <w:pPr>
        <w:rPr>
          <w:rFonts w:hint="eastAsia"/>
          <w:color w:val="auto"/>
          <w:lang w:eastAsia="zh-CN"/>
        </w:rPr>
      </w:pPr>
    </w:p>
    <w:p>
      <w:pPr>
        <w:wordWrap w:val="0"/>
        <w:overflowPunct w:val="0"/>
        <w:autoSpaceDE w:val="0"/>
        <w:autoSpaceDN w:val="0"/>
        <w:snapToGrid w:val="0"/>
        <w:spacing w:line="360" w:lineRule="auto"/>
        <w:jc w:val="center"/>
        <w:rPr>
          <w:rFonts w:ascii="宋体" w:hAnsi="宋体" w:cs="宋体"/>
          <w:b/>
          <w:bCs/>
          <w:color w:val="auto"/>
          <w:sz w:val="28"/>
        </w:rPr>
      </w:pPr>
      <w:r>
        <w:rPr>
          <w:rFonts w:hint="eastAsia" w:ascii="宋体" w:hAnsi="宋体" w:cs="宋体"/>
          <w:b/>
          <w:bCs/>
          <w:color w:val="auto"/>
          <w:sz w:val="28"/>
        </w:rPr>
        <w:t>前附表</w:t>
      </w:r>
    </w:p>
    <w:tbl>
      <w:tblPr>
        <w:tblStyle w:val="63"/>
        <w:tblW w:w="9143" w:type="dxa"/>
        <w:tblInd w:w="142" w:type="dxa"/>
        <w:tblLayout w:type="fixed"/>
        <w:tblCellMar>
          <w:top w:w="0" w:type="dxa"/>
          <w:left w:w="108" w:type="dxa"/>
          <w:bottom w:w="0" w:type="dxa"/>
          <w:right w:w="108" w:type="dxa"/>
        </w:tblCellMar>
      </w:tblPr>
      <w:tblGrid>
        <w:gridCol w:w="744"/>
        <w:gridCol w:w="8399"/>
      </w:tblGrid>
      <w:tr>
        <w:tblPrEx>
          <w:tblLayout w:type="fixed"/>
          <w:tblCellMar>
            <w:top w:w="0" w:type="dxa"/>
            <w:left w:w="108" w:type="dxa"/>
            <w:bottom w:w="0" w:type="dxa"/>
            <w:right w:w="108" w:type="dxa"/>
          </w:tblCellMar>
        </w:tblPrEx>
        <w:trPr>
          <w:trHeight w:val="618" w:hRule="atLeast"/>
        </w:trPr>
        <w:tc>
          <w:tcPr>
            <w:tcW w:w="744" w:type="dxa"/>
            <w:tcBorders>
              <w:top w:val="single" w:color="auto" w:sz="4" w:space="0"/>
              <w:left w:val="single" w:color="auto" w:sz="4" w:space="0"/>
              <w:bottom w:val="single" w:color="auto" w:sz="4" w:space="0"/>
              <w:right w:val="single" w:color="auto" w:sz="4" w:space="0"/>
            </w:tcBorders>
            <w:shd w:val="clear" w:color="auto" w:fill="EEECE1"/>
            <w:vAlign w:val="center"/>
          </w:tcPr>
          <w:p>
            <w:pPr>
              <w:wordWrap w:val="0"/>
              <w:overflowPunct w:val="0"/>
              <w:autoSpaceDE w:val="0"/>
              <w:autoSpaceDN w:val="0"/>
              <w:snapToGrid w:val="0"/>
              <w:spacing w:beforeLines="10" w:afterLines="10" w:line="400" w:lineRule="exact"/>
              <w:jc w:val="center"/>
              <w:rPr>
                <w:rFonts w:ascii="宋体" w:hAnsi="宋体" w:cs="宋体"/>
                <w:b/>
                <w:color w:val="auto"/>
                <w:sz w:val="24"/>
              </w:rPr>
            </w:pPr>
            <w:r>
              <w:rPr>
                <w:rFonts w:hint="eastAsia" w:ascii="宋体" w:hAnsi="宋体" w:cs="宋体"/>
                <w:b/>
                <w:color w:val="auto"/>
                <w:sz w:val="24"/>
              </w:rPr>
              <w:t>序号</w:t>
            </w:r>
          </w:p>
        </w:tc>
        <w:tc>
          <w:tcPr>
            <w:tcW w:w="8399" w:type="dxa"/>
            <w:tcBorders>
              <w:top w:val="single" w:color="auto" w:sz="4" w:space="0"/>
              <w:left w:val="nil"/>
              <w:bottom w:val="single" w:color="auto" w:sz="4" w:space="0"/>
              <w:right w:val="single" w:color="auto" w:sz="4" w:space="0"/>
            </w:tcBorders>
            <w:shd w:val="clear" w:color="auto" w:fill="EEECE1"/>
            <w:vAlign w:val="center"/>
          </w:tcPr>
          <w:p>
            <w:pPr>
              <w:wordWrap w:val="0"/>
              <w:overflowPunct w:val="0"/>
              <w:autoSpaceDE w:val="0"/>
              <w:autoSpaceDN w:val="0"/>
              <w:snapToGrid w:val="0"/>
              <w:spacing w:beforeLines="10" w:afterLines="10" w:line="400" w:lineRule="exact"/>
              <w:jc w:val="center"/>
              <w:rPr>
                <w:rFonts w:ascii="宋体" w:hAnsi="宋体" w:cs="宋体"/>
                <w:b/>
                <w:color w:val="auto"/>
                <w:sz w:val="24"/>
              </w:rPr>
            </w:pPr>
            <w:r>
              <w:rPr>
                <w:rFonts w:hint="eastAsia" w:ascii="宋体" w:hAnsi="宋体" w:cs="宋体"/>
                <w:b/>
                <w:color w:val="auto"/>
                <w:sz w:val="24"/>
              </w:rPr>
              <w:t>内容、要求</w:t>
            </w:r>
          </w:p>
        </w:tc>
      </w:tr>
      <w:tr>
        <w:tblPrEx>
          <w:tblLayout w:type="fixed"/>
          <w:tblCellMar>
            <w:top w:w="0" w:type="dxa"/>
            <w:left w:w="108" w:type="dxa"/>
            <w:bottom w:w="0" w:type="dxa"/>
            <w:right w:w="108" w:type="dxa"/>
          </w:tblCellMar>
        </w:tblPrEx>
        <w:trPr>
          <w:trHeight w:val="380"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w:t>
            </w:r>
          </w:p>
        </w:tc>
        <w:tc>
          <w:tcPr>
            <w:tcW w:w="8399" w:type="dxa"/>
            <w:tcBorders>
              <w:top w:val="single" w:color="auto" w:sz="4" w:space="0"/>
              <w:left w:val="nil"/>
              <w:bottom w:val="single" w:color="auto" w:sz="4" w:space="0"/>
              <w:right w:val="single" w:color="auto" w:sz="4" w:space="0"/>
            </w:tcBorders>
            <w:vAlign w:val="center"/>
          </w:tcPr>
          <w:p>
            <w:pPr>
              <w:pStyle w:val="34"/>
              <w:wordWrap w:val="0"/>
              <w:overflowPunct w:val="0"/>
              <w:autoSpaceDE w:val="0"/>
              <w:autoSpaceDN w:val="0"/>
              <w:adjustRightInd/>
              <w:snapToGrid w:val="0"/>
              <w:spacing w:beforeLines="10" w:afterLines="10" w:line="400" w:lineRule="exact"/>
              <w:rPr>
                <w:rFonts w:hAnsi="宋体" w:cs="宋体"/>
                <w:color w:val="auto"/>
                <w:sz w:val="24"/>
                <w:szCs w:val="24"/>
              </w:rPr>
            </w:pPr>
            <w:r>
              <w:rPr>
                <w:rFonts w:hint="eastAsia" w:hAnsi="宋体" w:cs="宋体"/>
                <w:color w:val="auto"/>
                <w:sz w:val="24"/>
                <w:szCs w:val="24"/>
              </w:rPr>
              <w:t xml:space="preserve">    项目名称：</w:t>
            </w:r>
            <w:r>
              <w:rPr>
                <w:rFonts w:hint="eastAsia" w:hAnsi="宋体" w:cs="宋体"/>
                <w:color w:val="auto"/>
                <w:sz w:val="24"/>
                <w:szCs w:val="24"/>
                <w:lang w:eastAsia="zh-CN"/>
              </w:rPr>
              <w:t>嘉善县第四幼儿园教育集团硕士幼儿园玩具采购</w:t>
            </w:r>
            <w:r>
              <w:rPr>
                <w:rFonts w:hint="eastAsia" w:hAnsi="宋体" w:cs="宋体"/>
                <w:color w:val="auto"/>
                <w:sz w:val="24"/>
                <w:szCs w:val="24"/>
              </w:rPr>
              <w:t>项目</w:t>
            </w:r>
          </w:p>
        </w:tc>
      </w:tr>
      <w:tr>
        <w:tblPrEx>
          <w:tblLayout w:type="fixed"/>
          <w:tblCellMar>
            <w:top w:w="0" w:type="dxa"/>
            <w:left w:w="108" w:type="dxa"/>
            <w:bottom w:w="0" w:type="dxa"/>
            <w:right w:w="108" w:type="dxa"/>
          </w:tblCellMar>
        </w:tblPrEx>
        <w:trPr>
          <w:trHeight w:val="277"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2</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采购内容：详见第二章。</w:t>
            </w:r>
          </w:p>
        </w:tc>
      </w:tr>
      <w:tr>
        <w:tblPrEx>
          <w:tblLayout w:type="fixed"/>
          <w:tblCellMar>
            <w:top w:w="0" w:type="dxa"/>
            <w:left w:w="108" w:type="dxa"/>
            <w:bottom w:w="0" w:type="dxa"/>
            <w:right w:w="108" w:type="dxa"/>
          </w:tblCellMar>
        </w:tblPrEx>
        <w:trPr>
          <w:trHeight w:val="413"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3</w:t>
            </w:r>
          </w:p>
        </w:tc>
        <w:tc>
          <w:tcPr>
            <w:tcW w:w="8399" w:type="dxa"/>
            <w:tcBorders>
              <w:top w:val="single" w:color="auto" w:sz="4" w:space="0"/>
              <w:left w:val="nil"/>
              <w:bottom w:val="single" w:color="auto" w:sz="4" w:space="0"/>
              <w:right w:val="single" w:color="auto" w:sz="4" w:space="0"/>
            </w:tcBorders>
            <w:vAlign w:val="center"/>
          </w:tcPr>
          <w:p>
            <w:pPr>
              <w:pStyle w:val="59"/>
              <w:widowControl w:val="0"/>
              <w:overflowPunct w:val="0"/>
              <w:topLinePunct/>
              <w:autoSpaceDE w:val="0"/>
              <w:autoSpaceDN w:val="0"/>
              <w:spacing w:beforeLines="10" w:beforeAutospacing="0" w:afterLines="10" w:afterAutospacing="0" w:line="400" w:lineRule="exact"/>
              <w:ind w:firstLine="480" w:firstLineChars="200"/>
              <w:rPr>
                <w:rFonts w:cs="宋体"/>
                <w:color w:val="auto"/>
              </w:rPr>
            </w:pPr>
            <w:r>
              <w:rPr>
                <w:rFonts w:hint="eastAsia" w:cs="宋体"/>
                <w:color w:val="auto"/>
              </w:rPr>
              <w:t>项目预算：</w:t>
            </w:r>
            <w:r>
              <w:rPr>
                <w:rFonts w:hint="eastAsia" w:cs="宋体"/>
                <w:color w:val="auto"/>
                <w:lang w:val="en-US" w:eastAsia="zh-CN"/>
              </w:rPr>
              <w:t>40</w:t>
            </w:r>
            <w:r>
              <w:rPr>
                <w:rFonts w:hint="eastAsia" w:cs="宋体"/>
                <w:color w:val="auto"/>
              </w:rPr>
              <w:t>万元。</w:t>
            </w:r>
          </w:p>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最高限价为预算价，超预算价的投标文件无效。</w:t>
            </w:r>
          </w:p>
        </w:tc>
      </w:tr>
      <w:tr>
        <w:tblPrEx>
          <w:tblLayout w:type="fixed"/>
          <w:tblCellMar>
            <w:top w:w="0" w:type="dxa"/>
            <w:left w:w="108" w:type="dxa"/>
            <w:bottom w:w="0" w:type="dxa"/>
            <w:right w:w="108" w:type="dxa"/>
          </w:tblCellMar>
        </w:tblPrEx>
        <w:trPr>
          <w:trHeight w:val="254"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4</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投标报价及费用：</w:t>
            </w:r>
          </w:p>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1.本项目投标应以人民币报价；</w:t>
            </w:r>
          </w:p>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2.不论投标结果如何，投标人均应自行承担所有与投标有关的全部费用。</w:t>
            </w:r>
          </w:p>
        </w:tc>
      </w:tr>
      <w:tr>
        <w:tblPrEx>
          <w:tblLayout w:type="fixed"/>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5</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投标保证金：无。</w:t>
            </w:r>
          </w:p>
        </w:tc>
      </w:tr>
      <w:tr>
        <w:tblPrEx>
          <w:tblLayout w:type="fixed"/>
          <w:tblCellMar>
            <w:top w:w="0" w:type="dxa"/>
            <w:left w:w="108" w:type="dxa"/>
            <w:bottom w:w="0" w:type="dxa"/>
            <w:right w:w="108" w:type="dxa"/>
          </w:tblCellMar>
        </w:tblPrEx>
        <w:trPr>
          <w:trHeight w:val="828"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6</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答疑与澄清：投标人应认真阅读本招标文件，发现其中有误或有不合理要求的，投标人必须在知道或者应当知道之日起七个工作日内以书面形式向招标人一次性提出。采购代理机构对已发出的招标文件进行必要澄清、答复、修改或补充的，应当在招标文件要求提交投标文件截止时间十五日前，在浙江政府采购网(https://zfcg.czt.zj.gov.cn/)上发布更正公告，请投标人在投标截止前及时关注。招标文件的要澄清、答复、修改或补充，一经在上述媒体发布，即视所有投标人都已经收到相关文件。</w:t>
            </w:r>
          </w:p>
        </w:tc>
      </w:tr>
      <w:tr>
        <w:tblPrEx>
          <w:tblLayout w:type="fixed"/>
          <w:tblCellMar>
            <w:top w:w="0" w:type="dxa"/>
            <w:left w:w="108" w:type="dxa"/>
            <w:bottom w:w="0" w:type="dxa"/>
            <w:right w:w="108" w:type="dxa"/>
          </w:tblCellMar>
        </w:tblPrEx>
        <w:trPr>
          <w:trHeight w:val="586"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7</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rPr>
                <w:rFonts w:ascii="宋体" w:hAnsi="宋体" w:cs="宋体"/>
                <w:bCs/>
                <w:color w:val="auto"/>
                <w:sz w:val="24"/>
              </w:rPr>
            </w:pPr>
            <w:r>
              <w:rPr>
                <w:rFonts w:hint="eastAsia" w:ascii="宋体" w:hAnsi="宋体" w:cs="宋体"/>
                <w:bCs/>
                <w:color w:val="auto"/>
                <w:sz w:val="24"/>
              </w:rPr>
              <w:t xml:space="preserve">    采购公告发布后，在政采云平台已完成注册的供应商登录系统，申请获取采购文件，待审核通过后，可下载采购文件。如果“已申请”标签页显示状态为“审核通过”即为报名成功。</w:t>
            </w:r>
          </w:p>
          <w:p>
            <w:pPr>
              <w:wordWrap w:val="0"/>
              <w:overflowPunct w:val="0"/>
              <w:autoSpaceDE w:val="0"/>
              <w:autoSpaceDN w:val="0"/>
              <w:snapToGrid w:val="0"/>
              <w:spacing w:beforeLines="10" w:afterLines="10" w:line="400" w:lineRule="exact"/>
              <w:rPr>
                <w:rFonts w:ascii="宋体" w:hAnsi="宋体" w:cs="宋体"/>
                <w:bCs/>
                <w:color w:val="auto"/>
                <w:sz w:val="24"/>
              </w:rPr>
            </w:pPr>
            <w:r>
              <w:rPr>
                <w:rFonts w:hint="eastAsia" w:ascii="宋体" w:hAnsi="宋体" w:cs="宋体"/>
                <w:bCs/>
                <w:color w:val="auto"/>
                <w:sz w:val="24"/>
              </w:rPr>
              <w:t xml:space="preserve">    路径：用户中心——项目采购——获取采购文件管理。</w:t>
            </w:r>
          </w:p>
          <w:p>
            <w:pPr>
              <w:wordWrap w:val="0"/>
              <w:overflowPunct w:val="0"/>
              <w:autoSpaceDE w:val="0"/>
              <w:autoSpaceDN w:val="0"/>
              <w:snapToGrid w:val="0"/>
              <w:spacing w:beforeLines="10" w:afterLines="10" w:line="400" w:lineRule="exact"/>
              <w:rPr>
                <w:rFonts w:ascii="宋体" w:hAnsi="宋体" w:cs="宋体"/>
                <w:bCs/>
                <w:color w:val="auto"/>
                <w:sz w:val="24"/>
              </w:rPr>
            </w:pPr>
            <w:r>
              <w:rPr>
                <w:rFonts w:hint="eastAsia" w:ascii="宋体" w:hAnsi="宋体" w:cs="宋体"/>
                <w:bCs/>
                <w:color w:val="auto"/>
                <w:sz w:val="24"/>
              </w:rPr>
              <w:t xml:space="preserve">    在“已获取”的状态下，供应商可下载查看招标文件。</w:t>
            </w:r>
          </w:p>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bCs/>
                <w:color w:val="auto"/>
                <w:sz w:val="24"/>
              </w:rPr>
              <w:t xml:space="preserve">    获取采购文件网址：浙江政府采购网（https://zfcg.czt.zj.gov.cn/）</w:t>
            </w:r>
          </w:p>
        </w:tc>
      </w:tr>
      <w:tr>
        <w:tblPrEx>
          <w:tblLayout w:type="fixed"/>
          <w:tblCellMar>
            <w:top w:w="0" w:type="dxa"/>
            <w:left w:w="108" w:type="dxa"/>
            <w:bottom w:w="0" w:type="dxa"/>
            <w:right w:w="108" w:type="dxa"/>
          </w:tblCellMar>
        </w:tblPrEx>
        <w:trPr>
          <w:trHeight w:val="204"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8</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pacing w:beforeLines="10" w:afterLines="10" w:line="400" w:lineRule="exact"/>
              <w:rPr>
                <w:rFonts w:ascii="宋体" w:hAnsi="宋体" w:cs="宋体"/>
                <w:color w:val="auto"/>
                <w:sz w:val="24"/>
              </w:rPr>
            </w:pPr>
            <w:r>
              <w:rPr>
                <w:rFonts w:hint="eastAsia" w:ascii="宋体" w:hAnsi="宋体" w:cs="宋体"/>
                <w:color w:val="auto"/>
                <w:sz w:val="24"/>
              </w:rPr>
              <w:t xml:space="preserve">    投标文件形式、制作及组成：</w:t>
            </w:r>
          </w:p>
          <w:p>
            <w:pPr>
              <w:wordWrap w:val="0"/>
              <w:overflowPunct w:val="0"/>
              <w:autoSpaceDE w:val="0"/>
              <w:autoSpaceDN w:val="0"/>
              <w:snapToGrid w:val="0"/>
              <w:spacing w:beforeLines="10" w:afterLines="10" w:line="400" w:lineRule="exact"/>
              <w:rPr>
                <w:rFonts w:ascii="宋体" w:hAnsi="宋体" w:cs="宋体"/>
                <w:color w:val="auto"/>
                <w:kern w:val="0"/>
                <w:sz w:val="24"/>
              </w:rPr>
            </w:pPr>
            <w:r>
              <w:rPr>
                <w:rFonts w:hint="eastAsia" w:ascii="宋体" w:hAnsi="宋体" w:cs="宋体"/>
                <w:color w:val="auto"/>
                <w:kern w:val="0"/>
                <w:sz w:val="24"/>
              </w:rPr>
              <w:t xml:space="preserve">    投标人应准备电子加密投标文件，按政采云平台供应商项目采购-电子招投标操作指南（网址：https://service.zcygov.cn/#/knowledges/CW1EtGwBFdiHxlNd6I3m/6IMVAG0BFdiHxlNdQ8Na?keyword）及本招标文件要求递交。</w:t>
            </w:r>
          </w:p>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投标文件均由资格文件、商务技术文件、报价文件组成。</w:t>
            </w:r>
          </w:p>
        </w:tc>
      </w:tr>
      <w:tr>
        <w:tblPrEx>
          <w:tblLayout w:type="fixed"/>
          <w:tblCellMar>
            <w:top w:w="0" w:type="dxa"/>
            <w:left w:w="108" w:type="dxa"/>
            <w:bottom w:w="0" w:type="dxa"/>
            <w:right w:w="108" w:type="dxa"/>
          </w:tblCellMar>
        </w:tblPrEx>
        <w:trPr>
          <w:trHeight w:val="346"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9</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投标截止时间：</w:t>
            </w:r>
            <w:r>
              <w:rPr>
                <w:rFonts w:hint="eastAsia" w:ascii="仿宋_GB2312" w:hAnsi="仿宋" w:eastAsia="仿宋_GB2312"/>
                <w:color w:val="auto"/>
                <w:sz w:val="24"/>
                <w:u w:val="single"/>
                <w:lang w:eastAsia="zh-CN"/>
              </w:rPr>
              <w:t>2022年12月27日9点</w:t>
            </w:r>
            <w:r>
              <w:rPr>
                <w:rFonts w:hint="eastAsia" w:ascii="仿宋_GB2312" w:hAnsi="仿宋" w:eastAsia="仿宋_GB2312"/>
                <w:color w:val="auto"/>
                <w:sz w:val="24"/>
                <w:u w:val="single"/>
              </w:rPr>
              <w:t>30分</w:t>
            </w:r>
            <w:r>
              <w:rPr>
                <w:rFonts w:hint="eastAsia" w:ascii="仿宋_GB2312" w:hAnsi="仿宋" w:eastAsia="仿宋_GB2312"/>
                <w:bCs/>
                <w:color w:val="auto"/>
                <w:sz w:val="24"/>
                <w:u w:val="single"/>
              </w:rPr>
              <w:t xml:space="preserve"> </w:t>
            </w:r>
          </w:p>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投标地点：政采云平台（https://www.zcygov.cn/）</w:t>
            </w:r>
          </w:p>
        </w:tc>
      </w:tr>
      <w:tr>
        <w:tblPrEx>
          <w:tblLayout w:type="fixed"/>
          <w:tblCellMar>
            <w:top w:w="0" w:type="dxa"/>
            <w:left w:w="108" w:type="dxa"/>
            <w:bottom w:w="0" w:type="dxa"/>
            <w:right w:w="108" w:type="dxa"/>
          </w:tblCellMar>
        </w:tblPrEx>
        <w:trPr>
          <w:trHeight w:val="313"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10</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b/>
                <w:bCs/>
                <w:color w:val="auto"/>
                <w:kern w:val="0"/>
                <w:sz w:val="24"/>
              </w:rPr>
              <w:t xml:space="preserve">    </w:t>
            </w:r>
            <w:r>
              <w:rPr>
                <w:rFonts w:hint="eastAsia" w:ascii="宋体" w:hAnsi="宋体" w:cs="宋体"/>
                <w:color w:val="auto"/>
                <w:kern w:val="0"/>
                <w:sz w:val="24"/>
              </w:rPr>
              <w:t>电子加密投标文件的传输递交：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tc>
      </w:tr>
      <w:tr>
        <w:tblPrEx>
          <w:tblLayout w:type="fixed"/>
          <w:tblCellMar>
            <w:top w:w="0" w:type="dxa"/>
            <w:left w:w="108" w:type="dxa"/>
            <w:bottom w:w="0" w:type="dxa"/>
            <w:right w:w="108" w:type="dxa"/>
          </w:tblCellMar>
        </w:tblPrEx>
        <w:trPr>
          <w:trHeight w:val="598"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11</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开标时间：</w:t>
            </w:r>
            <w:r>
              <w:rPr>
                <w:rFonts w:hint="eastAsia" w:ascii="仿宋_GB2312" w:hAnsi="仿宋" w:eastAsia="仿宋_GB2312"/>
                <w:color w:val="auto"/>
                <w:sz w:val="24"/>
                <w:u w:val="single"/>
                <w:lang w:eastAsia="zh-CN"/>
              </w:rPr>
              <w:t>2022年12月27日9点</w:t>
            </w:r>
            <w:r>
              <w:rPr>
                <w:rFonts w:hint="eastAsia" w:ascii="仿宋_GB2312" w:hAnsi="仿宋" w:eastAsia="仿宋_GB2312"/>
                <w:color w:val="auto"/>
                <w:sz w:val="24"/>
                <w:u w:val="single"/>
              </w:rPr>
              <w:t>30分</w:t>
            </w:r>
            <w:r>
              <w:rPr>
                <w:rFonts w:hint="eastAsia" w:ascii="仿宋_GB2312" w:hAnsi="仿宋" w:eastAsia="仿宋_GB2312"/>
                <w:bCs/>
                <w:color w:val="auto"/>
                <w:sz w:val="24"/>
                <w:u w:val="single"/>
              </w:rPr>
              <w:t xml:space="preserve"> </w:t>
            </w:r>
          </w:p>
          <w:p>
            <w:pPr>
              <w:wordWrap w:val="0"/>
              <w:overflowPunct w:val="0"/>
              <w:autoSpaceDE w:val="0"/>
              <w:autoSpaceDN w:val="0"/>
              <w:snapToGrid w:val="0"/>
              <w:spacing w:beforeLines="10" w:afterLines="10" w:line="400" w:lineRule="exact"/>
              <w:rPr>
                <w:rFonts w:ascii="宋体" w:hAnsi="宋体" w:cs="宋体"/>
                <w:color w:val="auto"/>
                <w:sz w:val="24"/>
                <w:shd w:val="clear" w:color="auto" w:fill="FFFFFF"/>
              </w:rPr>
            </w:pPr>
            <w:r>
              <w:rPr>
                <w:rFonts w:hint="eastAsia" w:ascii="宋体" w:hAnsi="宋体" w:cs="宋体"/>
                <w:color w:val="auto"/>
                <w:sz w:val="24"/>
              </w:rPr>
              <w:t xml:space="preserve">    开标地点：政采云平台（https://www.zcygov.cn/）</w:t>
            </w:r>
          </w:p>
          <w:p>
            <w:pPr>
              <w:wordWrap w:val="0"/>
              <w:overflowPunct w:val="0"/>
              <w:autoSpaceDE w:val="0"/>
              <w:autoSpaceDN w:val="0"/>
              <w:snapToGrid w:val="0"/>
              <w:spacing w:beforeLines="10" w:afterLines="10" w:line="400" w:lineRule="exact"/>
              <w:rPr>
                <w:rFonts w:ascii="宋体" w:hAnsi="宋体" w:cs="宋体"/>
                <w:b/>
                <w:color w:val="auto"/>
                <w:sz w:val="24"/>
              </w:rPr>
            </w:pPr>
            <w:r>
              <w:rPr>
                <w:rFonts w:hint="eastAsia" w:ascii="宋体" w:hAnsi="宋体" w:cs="宋体"/>
                <w:b/>
                <w:bCs/>
                <w:color w:val="auto"/>
                <w:sz w:val="24"/>
                <w:shd w:val="clear" w:color="auto" w:fill="FFFFFF"/>
              </w:rPr>
              <w:t xml:space="preserve">    供应商无需到开标现场，但须准时在线参加，直至评审结束。</w:t>
            </w:r>
          </w:p>
        </w:tc>
      </w:tr>
      <w:tr>
        <w:tblPrEx>
          <w:tblLayout w:type="fixed"/>
          <w:tblCellMar>
            <w:top w:w="0" w:type="dxa"/>
            <w:left w:w="108" w:type="dxa"/>
            <w:bottom w:w="0" w:type="dxa"/>
            <w:right w:w="108" w:type="dxa"/>
          </w:tblCellMar>
        </w:tblPrEx>
        <w:trPr>
          <w:trHeight w:val="350"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12</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textAlignment w:val="bottom"/>
              <w:rPr>
                <w:rFonts w:ascii="宋体" w:hAnsi="宋体" w:cs="宋体"/>
                <w:color w:val="auto"/>
                <w:sz w:val="24"/>
              </w:rPr>
            </w:pPr>
            <w:r>
              <w:rPr>
                <w:rFonts w:hint="eastAsia" w:ascii="宋体" w:hAnsi="宋体" w:cs="宋体"/>
                <w:color w:val="auto"/>
                <w:sz w:val="24"/>
              </w:rPr>
              <w:t xml:space="preserve">    评标办法及评分标准：详见第四章。</w:t>
            </w:r>
          </w:p>
        </w:tc>
      </w:tr>
      <w:tr>
        <w:tblPrEx>
          <w:tblLayout w:type="fixed"/>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13</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textAlignment w:val="bottom"/>
              <w:rPr>
                <w:rFonts w:ascii="宋体" w:hAnsi="宋体" w:cs="宋体"/>
                <w:color w:val="auto"/>
                <w:sz w:val="24"/>
              </w:rPr>
            </w:pPr>
            <w:r>
              <w:rPr>
                <w:rFonts w:hint="eastAsia" w:ascii="宋体" w:hAnsi="宋体" w:cs="宋体"/>
                <w:color w:val="auto"/>
                <w:sz w:val="24"/>
              </w:rPr>
              <w:t xml:space="preserve">    中标公告及中标通知书：中标、成交供应商确定之日起2个工作日内，中标公告发布于浙江省政府采购网(http://zfcg.czt.zj.gov.cn/)等网站或媒体，公告期限为1个工作日。各参加政府采购活动的供应商认为该中标结果和采购过程等使自己的权益受到损害的，可以自本公告期限届满之日（本公告发布之日后第2个工作日）起7个工作日内，以书面形式向采购人或受其委托的集中采购机构提出质疑。质疑供应商对采购人、集中采购机构的答复不满意或者采购人、集中采购机构未在规定的时间内作出答复的，可以再答复期满后十五个工作日内向同级政府采购监督管理部门投诉。质疑函范本、投诉书范本请到浙江政府采购网下载专区下载。</w:t>
            </w:r>
          </w:p>
        </w:tc>
      </w:tr>
      <w:tr>
        <w:tblPrEx>
          <w:tblLayout w:type="fixed"/>
          <w:tblCellMar>
            <w:top w:w="0" w:type="dxa"/>
            <w:left w:w="108" w:type="dxa"/>
            <w:bottom w:w="0" w:type="dxa"/>
            <w:right w:w="108" w:type="dxa"/>
          </w:tblCellMar>
        </w:tblPrEx>
        <w:trPr>
          <w:trHeight w:val="70"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14</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textAlignment w:val="bottom"/>
              <w:rPr>
                <w:rFonts w:ascii="宋体" w:hAnsi="宋体" w:cs="宋体"/>
                <w:color w:val="auto"/>
                <w:sz w:val="24"/>
              </w:rPr>
            </w:pPr>
            <w:r>
              <w:rPr>
                <w:rFonts w:hint="eastAsia" w:ascii="宋体" w:hAnsi="宋体" w:cs="宋体"/>
                <w:color w:val="auto"/>
                <w:sz w:val="24"/>
              </w:rPr>
              <w:t xml:space="preserve">    合同公告：本项目政府采购合同将于签订之日起2个工作日内发布于上述媒体，但政府采购合同中涉及国家秘密、商业秘密的内容除外。</w:t>
            </w:r>
          </w:p>
        </w:tc>
      </w:tr>
      <w:tr>
        <w:tblPrEx>
          <w:tblLayout w:type="fixed"/>
          <w:tblCellMar>
            <w:top w:w="0" w:type="dxa"/>
            <w:left w:w="108" w:type="dxa"/>
            <w:bottom w:w="0" w:type="dxa"/>
            <w:right w:w="108" w:type="dxa"/>
          </w:tblCellMar>
        </w:tblPrEx>
        <w:trPr>
          <w:trHeight w:val="285"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15</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履约保证金:</w:t>
            </w:r>
            <w:r>
              <w:rPr>
                <w:rFonts w:hint="eastAsia" w:ascii="宋体" w:hAnsi="宋体" w:cs="宋体"/>
                <w:color w:val="auto"/>
                <w:kern w:val="0"/>
                <w:sz w:val="24"/>
                <w:lang w:eastAsia="zh-CN"/>
              </w:rPr>
              <w:t>无</w:t>
            </w:r>
            <w:r>
              <w:rPr>
                <w:rFonts w:hint="eastAsia" w:ascii="宋体" w:hAnsi="宋体" w:cs="宋体"/>
                <w:color w:val="auto"/>
                <w:sz w:val="24"/>
              </w:rPr>
              <w:t>。</w:t>
            </w:r>
          </w:p>
        </w:tc>
      </w:tr>
      <w:tr>
        <w:tblPrEx>
          <w:tblLayout w:type="fixed"/>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16</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ind w:firstLine="480" w:firstLineChars="200"/>
              <w:rPr>
                <w:rFonts w:hint="eastAsia" w:ascii="宋体" w:hAnsi="宋体" w:eastAsia="宋体" w:cs="宋体"/>
                <w:color w:val="auto"/>
                <w:sz w:val="24"/>
                <w:lang w:eastAsia="zh-CN"/>
              </w:rPr>
            </w:pPr>
            <w:r>
              <w:rPr>
                <w:rFonts w:hint="eastAsia" w:ascii="宋体" w:hAnsi="宋体" w:cs="宋体"/>
                <w:color w:val="auto"/>
                <w:sz w:val="24"/>
              </w:rPr>
              <w:t>付款方式：合同生效以及具备实施条件后7个工作日内支付合同金额的50%，验收合格且收到发票后7个工作日内支付至合同金额的100%。</w:t>
            </w:r>
          </w:p>
        </w:tc>
      </w:tr>
      <w:tr>
        <w:tblPrEx>
          <w:tblLayout w:type="fixed"/>
          <w:tblCellMar>
            <w:top w:w="0" w:type="dxa"/>
            <w:left w:w="108" w:type="dxa"/>
            <w:bottom w:w="0" w:type="dxa"/>
            <w:right w:w="108" w:type="dxa"/>
          </w:tblCellMar>
        </w:tblPrEx>
        <w:trPr>
          <w:trHeight w:val="260"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17</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投标文件有效期：</w:t>
            </w:r>
            <w:r>
              <w:rPr>
                <w:rFonts w:hint="eastAsia" w:ascii="宋体" w:hAnsi="宋体" w:cs="宋体"/>
                <w:color w:val="auto"/>
                <w:sz w:val="24"/>
                <w:u w:val="single"/>
              </w:rPr>
              <w:t xml:space="preserve"> 90 </w:t>
            </w:r>
            <w:r>
              <w:rPr>
                <w:rFonts w:hint="eastAsia" w:ascii="宋体" w:hAnsi="宋体" w:cs="宋体"/>
                <w:color w:val="auto"/>
                <w:sz w:val="24"/>
              </w:rPr>
              <w:t>天。</w:t>
            </w:r>
          </w:p>
        </w:tc>
      </w:tr>
      <w:tr>
        <w:tblPrEx>
          <w:tblLayout w:type="fixed"/>
          <w:tblCellMar>
            <w:top w:w="0" w:type="dxa"/>
            <w:left w:w="108" w:type="dxa"/>
            <w:bottom w:w="0" w:type="dxa"/>
            <w:right w:w="108" w:type="dxa"/>
          </w:tblCellMar>
        </w:tblPrEx>
        <w:trPr>
          <w:trHeight w:val="260"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18</w:t>
            </w:r>
          </w:p>
        </w:tc>
        <w:tc>
          <w:tcPr>
            <w:tcW w:w="8399" w:type="dxa"/>
            <w:tcBorders>
              <w:top w:val="single" w:color="auto" w:sz="4" w:space="0"/>
              <w:left w:val="nil"/>
              <w:bottom w:val="single" w:color="auto" w:sz="4" w:space="0"/>
              <w:right w:val="single" w:color="auto" w:sz="4" w:space="0"/>
            </w:tcBorders>
            <w:vAlign w:val="center"/>
          </w:tcPr>
          <w:p>
            <w:pPr>
              <w:pStyle w:val="34"/>
              <w:wordWrap w:val="0"/>
              <w:overflowPunct w:val="0"/>
              <w:autoSpaceDE w:val="0"/>
              <w:autoSpaceDN w:val="0"/>
              <w:snapToGrid w:val="0"/>
              <w:spacing w:beforeLines="10" w:afterLines="10" w:line="400" w:lineRule="exact"/>
              <w:rPr>
                <w:rFonts w:hAnsi="宋体" w:cs="宋体"/>
                <w:color w:val="auto"/>
                <w:sz w:val="24"/>
                <w:szCs w:val="24"/>
              </w:rPr>
            </w:pPr>
            <w:r>
              <w:rPr>
                <w:rFonts w:hint="eastAsia" w:hAnsi="宋体" w:cs="宋体"/>
                <w:color w:val="auto"/>
                <w:sz w:val="24"/>
                <w:szCs w:val="24"/>
              </w:rPr>
              <w:t xml:space="preserve">    承诺符合浙财采监【2013】24号《关于规范政府采购供应商资格设定及资格审查的通知》第六条规定，且未被“信用中国”（www.creditchina.gov.cn）和中国政府采购网（www.ccgp.gov.cn）列入失信被执行人、重大税收违法案件当事人名单、政府采购严重违法失信行为记录名单。</w:t>
            </w:r>
          </w:p>
        </w:tc>
      </w:tr>
      <w:tr>
        <w:tblPrEx>
          <w:tblLayout w:type="fixed"/>
          <w:tblCellMar>
            <w:top w:w="0" w:type="dxa"/>
            <w:left w:w="108" w:type="dxa"/>
            <w:bottom w:w="0" w:type="dxa"/>
            <w:right w:w="108" w:type="dxa"/>
          </w:tblCellMar>
        </w:tblPrEx>
        <w:trPr>
          <w:trHeight w:val="279" w:hRule="atLeast"/>
        </w:trPr>
        <w:tc>
          <w:tcPr>
            <w:tcW w:w="744" w:type="dxa"/>
            <w:tcBorders>
              <w:top w:val="single" w:color="auto" w:sz="4" w:space="0"/>
              <w:left w:val="single" w:color="auto" w:sz="4" w:space="0"/>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jc w:val="center"/>
              <w:rPr>
                <w:rFonts w:ascii="宋体" w:hAnsi="宋体" w:cs="宋体"/>
                <w:color w:val="auto"/>
                <w:sz w:val="24"/>
              </w:rPr>
            </w:pPr>
            <w:r>
              <w:rPr>
                <w:rFonts w:hint="eastAsia" w:ascii="宋体" w:hAnsi="宋体" w:cs="宋体"/>
                <w:color w:val="auto"/>
                <w:sz w:val="24"/>
              </w:rPr>
              <w:t>19</w:t>
            </w:r>
          </w:p>
        </w:tc>
        <w:tc>
          <w:tcPr>
            <w:tcW w:w="8399" w:type="dxa"/>
            <w:tcBorders>
              <w:top w:val="single" w:color="auto" w:sz="4" w:space="0"/>
              <w:left w:val="nil"/>
              <w:bottom w:val="single" w:color="auto" w:sz="4" w:space="0"/>
              <w:right w:val="single" w:color="auto" w:sz="4" w:space="0"/>
            </w:tcBorders>
            <w:vAlign w:val="center"/>
          </w:tcPr>
          <w:p>
            <w:pPr>
              <w:wordWrap w:val="0"/>
              <w:overflowPunct w:val="0"/>
              <w:autoSpaceDE w:val="0"/>
              <w:autoSpaceDN w:val="0"/>
              <w:adjustRightInd/>
              <w:snapToGrid w:val="0"/>
              <w:spacing w:beforeLines="10" w:afterLines="10" w:line="400" w:lineRule="exact"/>
              <w:rPr>
                <w:rFonts w:ascii="宋体" w:hAnsi="宋体" w:cs="宋体"/>
                <w:color w:val="auto"/>
                <w:sz w:val="24"/>
              </w:rPr>
            </w:pPr>
            <w:r>
              <w:rPr>
                <w:rFonts w:hint="eastAsia" w:ascii="宋体" w:hAnsi="宋体" w:cs="宋体"/>
                <w:color w:val="auto"/>
                <w:sz w:val="24"/>
              </w:rPr>
              <w:t xml:space="preserve">    解释：本招标文件的解释权属于采购</w:t>
            </w:r>
            <w:r>
              <w:rPr>
                <w:rFonts w:hint="eastAsia" w:ascii="宋体" w:hAnsi="宋体" w:cs="宋体"/>
                <w:color w:val="auto"/>
                <w:sz w:val="24"/>
                <w:lang w:val="en-US" w:eastAsia="zh-CN"/>
              </w:rPr>
              <w:t>人</w:t>
            </w:r>
            <w:r>
              <w:rPr>
                <w:rFonts w:hint="eastAsia" w:ascii="宋体" w:hAnsi="宋体" w:cs="宋体"/>
                <w:color w:val="auto"/>
                <w:sz w:val="24"/>
              </w:rPr>
              <w:t>和嘉善县公共资源交易中心。</w:t>
            </w:r>
          </w:p>
        </w:tc>
      </w:tr>
    </w:tbl>
    <w:p>
      <w:pPr>
        <w:pStyle w:val="34"/>
        <w:wordWrap w:val="0"/>
        <w:overflowPunct w:val="0"/>
        <w:autoSpaceDE w:val="0"/>
        <w:autoSpaceDN w:val="0"/>
        <w:snapToGrid w:val="0"/>
        <w:spacing w:line="400" w:lineRule="exact"/>
        <w:outlineLvl w:val="0"/>
        <w:rPr>
          <w:rFonts w:hAnsi="宋体" w:cs="宋体"/>
          <w:b/>
          <w:color w:val="auto"/>
          <w:sz w:val="24"/>
          <w:szCs w:val="24"/>
        </w:rPr>
      </w:pPr>
    </w:p>
    <w:p>
      <w:pPr>
        <w:pStyle w:val="34"/>
        <w:numPr>
          <w:ilvl w:val="0"/>
          <w:numId w:val="3"/>
        </w:numPr>
        <w:wordWrap w:val="0"/>
        <w:overflowPunct w:val="0"/>
        <w:autoSpaceDE w:val="0"/>
        <w:autoSpaceDN w:val="0"/>
        <w:snapToGrid w:val="0"/>
        <w:spacing w:line="400" w:lineRule="exact"/>
        <w:outlineLvl w:val="0"/>
        <w:rPr>
          <w:rFonts w:hAnsi="宋体" w:cs="宋体"/>
          <w:b/>
          <w:color w:val="auto"/>
          <w:sz w:val="28"/>
          <w:szCs w:val="28"/>
        </w:rPr>
      </w:pPr>
      <w:r>
        <w:rPr>
          <w:rFonts w:hint="eastAsia" w:hAnsi="宋体" w:cs="宋体"/>
          <w:b/>
          <w:color w:val="auto"/>
          <w:sz w:val="28"/>
          <w:szCs w:val="28"/>
        </w:rPr>
        <w:t>总  则</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（一）适用范围</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本招标文件适用于本项目的招标、投标、评标、定标、验收、合同履约、付款等行为（法律、法规另有规定的，从其规定）。</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（二）定义</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1.招标采购单位系指组织本次招标的代理机构（“招标人”）和采购单位。</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2.“投标人”系指向招标方提交投标文件的单位或个人。</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3.“产品”系指供方按招标文件规定，须向采购人提供的一切设备、保险、税金、备品备件、工具、手册及其它有关技术资料和材料。</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4.“服务”系指招标文件规定投标人须承担的设计、安装、调试、技术协助、校准、培训、技术指导以及其他类似的义务。</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5.“项目”系指投标人按招标文件规定向采购人提供的产品和服务。</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6.“书面形式”包括信函、传真、电报等。</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7.“▲”系指实质性要求条款。</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8.“★”系</w:t>
      </w:r>
      <w:r>
        <w:rPr>
          <w:rFonts w:hint="eastAsia" w:ascii="宋体" w:hAnsi="宋体" w:cs="宋体"/>
          <w:color w:val="auto"/>
          <w:sz w:val="24"/>
          <w:lang w:eastAsia="zh-CN"/>
        </w:rPr>
        <w:t>重要参数</w:t>
      </w:r>
      <w:r>
        <w:rPr>
          <w:rFonts w:hint="eastAsia" w:ascii="宋体" w:hAnsi="宋体" w:cs="宋体"/>
          <w:color w:val="auto"/>
          <w:sz w:val="24"/>
        </w:rPr>
        <w:t>。</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（三）招标方式</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本次招标采用公开招标方式进行。</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（四）投标委托</w:t>
      </w:r>
    </w:p>
    <w:p>
      <w:pPr>
        <w:pStyle w:val="3"/>
        <w:wordWrap w:val="0"/>
        <w:overflowPunct w:val="0"/>
        <w:autoSpaceDE w:val="0"/>
        <w:autoSpaceDN w:val="0"/>
        <w:snapToGrid w:val="0"/>
        <w:spacing w:line="400" w:lineRule="exact"/>
        <w:jc w:val="left"/>
        <w:rPr>
          <w:rFonts w:cs="宋体"/>
          <w:color w:val="auto"/>
        </w:rPr>
      </w:pPr>
      <w:r>
        <w:rPr>
          <w:rFonts w:hint="eastAsia" w:cs="宋体"/>
          <w:color w:val="auto"/>
        </w:rPr>
        <w:t>供应商无需到开标现场，但须准时在线参加，直至评审结束。</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（五）投标费用</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不论投标结果如何，投标人均应自行承担所有与投标有关的全部费用（招标文件有相反规定除外）。</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（六）联合体投标</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本项目不接受联合体投标。</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（七）转包与分包</w:t>
      </w:r>
    </w:p>
    <w:p>
      <w:pPr>
        <w:wordWrap w:val="0"/>
        <w:overflowPunct w:val="0"/>
        <w:autoSpaceDE w:val="0"/>
        <w:autoSpaceDN w:val="0"/>
        <w:snapToGrid w:val="0"/>
        <w:spacing w:line="400" w:lineRule="exact"/>
        <w:ind w:firstLine="480" w:firstLineChars="200"/>
        <w:rPr>
          <w:rFonts w:ascii="宋体" w:hAnsi="宋体" w:cs="宋体"/>
          <w:color w:val="auto"/>
          <w:kern w:val="0"/>
          <w:sz w:val="24"/>
        </w:rPr>
      </w:pPr>
      <w:r>
        <w:rPr>
          <w:rFonts w:hint="eastAsia" w:ascii="宋体" w:hAnsi="宋体" w:cs="宋体"/>
          <w:color w:val="auto"/>
          <w:kern w:val="0"/>
          <w:sz w:val="24"/>
        </w:rPr>
        <w:t>本项目不允许转包。</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（八）是否允许采购进口产品</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本项目不允许采购进口产品。</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 xml:space="preserve"> ▲（九）特别说明：</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非单一产品采购项目，采购人应当根据采购项目技术构成、产品价格比重等合理确定核心产品，并在招标文件中载明。多家投标人提供的核心产品品牌相同的，按前两款规定处理。</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2.投标人投标所使用的资格、信誉、荣誉、业绩与企业认证必须为本投标人所拥有。</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3.投标人应仔细阅读招标文件的所有内容，按照招标文件的要求提交投标文件，并对所提供的全部资料的真实性承担法律责任。</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（十）质疑和投诉</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1.投标人认为招标文件、招标过程或中标结果使自己的合法权益受到损害的，应当在知道或者应知其权益受到损害之日起七个工作日内，以书面形式向采购人、采购代理机构提出质疑。投标人对招标采购单位的质疑答复不满意或者招标采购单位未在规定时间内作出答复的，可以在答复期满后十五个工作日内向同级采购监管部门投诉。</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质疑、投诉应当采用书面形式，质疑书、投诉书均应明确阐述招标文件、招标过程或中标结果中使自己合法权益受到损害的实质性内容，提供相关事实、依据和证据及其来源或线索，便于有关单位调查、答复和处理。</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3.供应商须在法定质疑期内一次性提出针对同一采购程序环节的质疑。</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4.供应商认为集中采购机构在质疑答复程序中启用的调查和复评等程序，在该程序操作过程未明显违反法律禁止性规定时，不得提出疑义。</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5.质疑函须采用财政部发布的政府采购供应商质疑函范本（参考样式可从浙江政府采购网下载专区下载），否则采购代理机构有权要求质疑供应商改正后重新提出。</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6.政府采购供应商可以通过登录“浙江政务服务网”（http://www.zjzwfw.gov.cn/），搜索关键字“政府采购投诉处理”，或者选择“部门窗口—省财政厅—行政裁决—政府采购投诉处理”，点击“在线办理”，即可进行在线投诉。财政部门审查受理、处理决定等政府采购投诉处理相关文书均在线送达，政府采购投诉供应商明确表示需要邮寄的除外。</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7.供应商也可通过邮寄方式寄递政府采购投诉材料，邮寄地址为涉及政府采购项目采购人预算级次相应的财政部门。政府采购投诉材料中须写明邮箱地址、传真号码，财政部门审查受理、处理决定等相关文书可通过电子邮件、传真等形式送达，供应商明确表示需要邮寄的除外。</w:t>
      </w:r>
    </w:p>
    <w:p>
      <w:pPr>
        <w:wordWrap w:val="0"/>
        <w:overflowPunct w:val="0"/>
        <w:autoSpaceDE w:val="0"/>
        <w:autoSpaceDN w:val="0"/>
        <w:spacing w:line="400" w:lineRule="exact"/>
        <w:ind w:firstLine="480" w:firstLineChars="200"/>
        <w:jc w:val="left"/>
        <w:rPr>
          <w:rFonts w:ascii="宋体" w:hAnsi="宋体" w:cs="宋体"/>
          <w:color w:val="auto"/>
          <w:kern w:val="0"/>
          <w:sz w:val="24"/>
        </w:rPr>
      </w:pPr>
      <w:r>
        <w:rPr>
          <w:rFonts w:hint="eastAsia" w:ascii="宋体" w:hAnsi="宋体" w:cs="宋体"/>
          <w:color w:val="auto"/>
          <w:kern w:val="0"/>
          <w:sz w:val="24"/>
        </w:rPr>
        <w:t>8.在线或者邮寄政府采购投诉材料当日下班时间点后收到的视为下一个工作日收到。</w:t>
      </w:r>
    </w:p>
    <w:p>
      <w:pPr>
        <w:pStyle w:val="34"/>
        <w:wordWrap w:val="0"/>
        <w:overflowPunct w:val="0"/>
        <w:autoSpaceDE w:val="0"/>
        <w:autoSpaceDN w:val="0"/>
        <w:snapToGrid w:val="0"/>
        <w:spacing w:line="400" w:lineRule="exact"/>
        <w:outlineLvl w:val="0"/>
        <w:rPr>
          <w:rFonts w:hAnsi="宋体" w:cs="宋体"/>
          <w:b/>
          <w:color w:val="auto"/>
          <w:sz w:val="28"/>
          <w:szCs w:val="28"/>
        </w:rPr>
      </w:pPr>
      <w:r>
        <w:rPr>
          <w:rFonts w:hint="eastAsia" w:hAnsi="宋体" w:cs="宋体"/>
          <w:b/>
          <w:color w:val="auto"/>
          <w:sz w:val="28"/>
          <w:szCs w:val="28"/>
        </w:rPr>
        <w:t>二、招标文件</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（一）招标文件的构成。本招标文件由以下部份组成：</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1.招标公告</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2.招标需求</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3.投标人须知</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4.评标办法及标准</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5.合同主要条款</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6.投标文件格式</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7.本项目招标文件的澄清、答复、修改、补充的内容</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（二）投标人的风险</w:t>
      </w:r>
    </w:p>
    <w:p>
      <w:pPr>
        <w:pStyle w:val="54"/>
        <w:wordWrap w:val="0"/>
        <w:overflowPunct w:val="0"/>
        <w:autoSpaceDE w:val="0"/>
        <w:autoSpaceDN w:val="0"/>
        <w:spacing w:line="400" w:lineRule="exact"/>
        <w:rPr>
          <w:rFonts w:ascii="宋体" w:hAnsi="宋体" w:cs="宋体"/>
          <w:color w:val="auto"/>
          <w:szCs w:val="24"/>
        </w:rPr>
      </w:pPr>
      <w:r>
        <w:rPr>
          <w:rFonts w:hint="eastAsia" w:ascii="宋体" w:hAnsi="宋体" w:cs="宋体"/>
          <w:color w:val="auto"/>
          <w:szCs w:val="24"/>
        </w:rPr>
        <w:t>投标人没有按照招标文件要求提供全部资料，或者投标人没有对招标文件在各方面作出实质性响应是投标人的风险，并可能导致其投标为无效标。</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 xml:space="preserve">（三）招标文件的澄清与修改 </w:t>
      </w:r>
    </w:p>
    <w:p>
      <w:pPr>
        <w:pStyle w:val="54"/>
        <w:wordWrap w:val="0"/>
        <w:overflowPunct w:val="0"/>
        <w:autoSpaceDE w:val="0"/>
        <w:autoSpaceDN w:val="0"/>
        <w:spacing w:line="400" w:lineRule="exact"/>
        <w:rPr>
          <w:rFonts w:ascii="宋体" w:hAnsi="宋体" w:cs="宋体"/>
          <w:color w:val="auto"/>
          <w:szCs w:val="24"/>
        </w:rPr>
      </w:pPr>
      <w:r>
        <w:rPr>
          <w:rFonts w:hint="eastAsia" w:ascii="宋体" w:hAnsi="宋体" w:cs="宋体"/>
          <w:color w:val="auto"/>
          <w:szCs w:val="24"/>
        </w:rPr>
        <w:t>1.投标人应认真阅读本招标文件，发现其中有误或有不合理要求的，投标人必须在知道或者应当知道之日起七个工作日内以书面形式向招标人一次性提出。采购代理机构对已发出的招标文件进行必要澄清、答复、修改或补充的，应当在招标文件要求提交投标文件截止时间十五日前，在浙江政府采购网(https://zfcg.czt.zj.gov.cn/)上发布更正公告，请投标人在投标截止前及时关注。招标文件的要澄清、答复、修改或补充，一经在上述媒体发布，即视所有投标人都已经收到相关文件。</w:t>
      </w:r>
    </w:p>
    <w:p>
      <w:pPr>
        <w:pStyle w:val="54"/>
        <w:wordWrap w:val="0"/>
        <w:overflowPunct w:val="0"/>
        <w:autoSpaceDE w:val="0"/>
        <w:autoSpaceDN w:val="0"/>
        <w:spacing w:line="400" w:lineRule="exact"/>
        <w:rPr>
          <w:rFonts w:ascii="宋体" w:hAnsi="宋体" w:cs="宋体"/>
          <w:color w:val="auto"/>
          <w:szCs w:val="24"/>
        </w:rPr>
      </w:pPr>
      <w:r>
        <w:rPr>
          <w:rFonts w:hint="eastAsia" w:ascii="宋体" w:hAnsi="宋体" w:cs="宋体"/>
          <w:color w:val="auto"/>
          <w:szCs w:val="24"/>
        </w:rPr>
        <w:t>2.采购代理机构以公告形式答复投标人要求澄清的问题，但不包含问题来源；除上述媒体发布的答复以外的其他澄清方式及澄清内容均无效。</w:t>
      </w:r>
    </w:p>
    <w:p>
      <w:pPr>
        <w:pStyle w:val="54"/>
        <w:wordWrap w:val="0"/>
        <w:overflowPunct w:val="0"/>
        <w:autoSpaceDE w:val="0"/>
        <w:autoSpaceDN w:val="0"/>
        <w:spacing w:line="400" w:lineRule="exact"/>
        <w:rPr>
          <w:rFonts w:ascii="宋体" w:hAnsi="宋体" w:cs="宋体"/>
          <w:color w:val="auto"/>
          <w:szCs w:val="24"/>
        </w:rPr>
      </w:pPr>
      <w:r>
        <w:rPr>
          <w:rFonts w:hint="eastAsia" w:ascii="宋体" w:hAnsi="宋体" w:cs="宋体"/>
          <w:color w:val="auto"/>
          <w:szCs w:val="24"/>
        </w:rPr>
        <w:t>3.招标文件澄清、答复、修改、补充的内容为招标文件的组成部分。当招标文件与招标文件的答复、澄清、修改、补充通知就同一内容的表述不一致时，以最后发出的文件为准。</w:t>
      </w:r>
    </w:p>
    <w:p>
      <w:pPr>
        <w:pStyle w:val="54"/>
        <w:wordWrap w:val="0"/>
        <w:overflowPunct w:val="0"/>
        <w:autoSpaceDE w:val="0"/>
        <w:autoSpaceDN w:val="0"/>
        <w:spacing w:line="400" w:lineRule="exact"/>
        <w:rPr>
          <w:rFonts w:ascii="宋体" w:hAnsi="宋体" w:cs="宋体"/>
          <w:color w:val="auto"/>
          <w:szCs w:val="24"/>
        </w:rPr>
      </w:pPr>
      <w:r>
        <w:rPr>
          <w:rFonts w:hint="eastAsia" w:ascii="宋体" w:hAnsi="宋体" w:cs="宋体"/>
          <w:color w:val="auto"/>
          <w:szCs w:val="24"/>
        </w:rPr>
        <w:t>4.招标文件的澄清、答复、修改或补充都应该通过本代理机构以法定形式发布，采购人非通过本机构，不得擅自澄清、答复、修改或补充招标文件。</w:t>
      </w:r>
    </w:p>
    <w:p>
      <w:pPr>
        <w:pStyle w:val="34"/>
        <w:wordWrap w:val="0"/>
        <w:overflowPunct w:val="0"/>
        <w:autoSpaceDE w:val="0"/>
        <w:autoSpaceDN w:val="0"/>
        <w:snapToGrid w:val="0"/>
        <w:spacing w:line="400" w:lineRule="exact"/>
        <w:outlineLvl w:val="0"/>
        <w:rPr>
          <w:rFonts w:hAnsi="宋体" w:cs="宋体"/>
          <w:b/>
          <w:color w:val="auto"/>
          <w:sz w:val="28"/>
          <w:szCs w:val="28"/>
        </w:rPr>
      </w:pPr>
      <w:r>
        <w:rPr>
          <w:rFonts w:hint="eastAsia" w:hAnsi="宋体" w:cs="宋体"/>
          <w:b/>
          <w:color w:val="auto"/>
          <w:sz w:val="28"/>
          <w:szCs w:val="28"/>
        </w:rPr>
        <w:t>三、投标文件的编制</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(一)总体要求</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1.投标人应仔细阅读招标文件的所有内容，按本文件的要求提供投标文件，并保证所提供的全部资料的真实性，以使其投标文件对招标文件作出实质性响应，否则，投标文件可能视为无效投标文件。</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2.投标文件及投标人与采购有关的来往通知，函件和文件均应使用中文。</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3.投标文件的形式：投标文件为电子加密投标文件，按“政府采购项目电子交易管理操作指南-供应商”及本招标文件要求制作、加密并递交。</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（二）投标文件的组成</w:t>
      </w:r>
    </w:p>
    <w:p>
      <w:pPr>
        <w:pStyle w:val="34"/>
        <w:wordWrap w:val="0"/>
        <w:overflowPunct w:val="0"/>
        <w:autoSpaceDE w:val="0"/>
        <w:autoSpaceDN w:val="0"/>
        <w:snapToGrid w:val="0"/>
        <w:spacing w:line="400" w:lineRule="exact"/>
        <w:ind w:firstLine="482" w:firstLineChars="200"/>
        <w:outlineLvl w:val="0"/>
        <w:rPr>
          <w:rFonts w:hAnsi="宋体" w:cs="宋体"/>
          <w:b/>
          <w:color w:val="auto"/>
          <w:sz w:val="24"/>
          <w:szCs w:val="24"/>
        </w:rPr>
      </w:pPr>
      <w:r>
        <w:rPr>
          <w:rFonts w:hint="eastAsia" w:hAnsi="宋体" w:cs="宋体"/>
          <w:b/>
          <w:color w:val="auto"/>
          <w:sz w:val="24"/>
          <w:szCs w:val="24"/>
        </w:rPr>
        <w:t>本项目所涉投标文件格式请详见第六章，未给出的格式请自拟。资格文件及商务技术文件中不得出现报价，否则投标文件将被视为无效。投标文件中所须加盖公章部分均采用CA签章。</w:t>
      </w:r>
    </w:p>
    <w:p>
      <w:pPr>
        <w:pStyle w:val="34"/>
        <w:wordWrap w:val="0"/>
        <w:overflowPunct w:val="0"/>
        <w:autoSpaceDE w:val="0"/>
        <w:autoSpaceDN w:val="0"/>
        <w:snapToGrid w:val="0"/>
        <w:spacing w:line="400" w:lineRule="exact"/>
        <w:ind w:firstLine="482" w:firstLineChars="200"/>
        <w:rPr>
          <w:rFonts w:hAnsi="宋体" w:cs="宋体"/>
          <w:b/>
          <w:bCs/>
          <w:color w:val="auto"/>
          <w:sz w:val="24"/>
          <w:szCs w:val="24"/>
        </w:rPr>
      </w:pPr>
      <w:r>
        <w:rPr>
          <w:rFonts w:hint="eastAsia" w:hAnsi="宋体" w:cs="宋体"/>
          <w:b/>
          <w:bCs/>
          <w:color w:val="auto"/>
          <w:sz w:val="24"/>
          <w:szCs w:val="24"/>
        </w:rPr>
        <w:t>投标文件由资格文件、商务技术文件、报价文件三部分组成。</w:t>
      </w:r>
    </w:p>
    <w:p>
      <w:pPr>
        <w:pStyle w:val="34"/>
        <w:wordWrap w:val="0"/>
        <w:overflowPunct w:val="0"/>
        <w:autoSpaceDE w:val="0"/>
        <w:autoSpaceDN w:val="0"/>
        <w:snapToGrid w:val="0"/>
        <w:spacing w:line="400" w:lineRule="exact"/>
        <w:ind w:firstLine="482" w:firstLineChars="200"/>
        <w:rPr>
          <w:rFonts w:hAnsi="宋体" w:cs="宋体"/>
          <w:b/>
          <w:bCs/>
          <w:color w:val="auto"/>
          <w:sz w:val="24"/>
          <w:szCs w:val="24"/>
        </w:rPr>
      </w:pPr>
      <w:r>
        <w:rPr>
          <w:rFonts w:hint="eastAsia" w:hAnsi="宋体" w:cs="宋体"/>
          <w:b/>
          <w:bCs/>
          <w:color w:val="auto"/>
          <w:sz w:val="24"/>
          <w:szCs w:val="24"/>
        </w:rPr>
        <w:t>1.资格文件：</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1.1营业执照</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1.2符合参加政府采购活动应当具备的一般条件的承诺函</w:t>
      </w:r>
      <w:r>
        <w:rPr>
          <w:rFonts w:hint="eastAsia" w:cs="宋体"/>
          <w:color w:val="auto"/>
          <w:lang w:eastAsia="zh-CN"/>
        </w:rPr>
        <w:t>（</w:t>
      </w:r>
      <w:r>
        <w:rPr>
          <w:rFonts w:hint="eastAsia" w:cs="宋体"/>
          <w:color w:val="auto"/>
        </w:rPr>
        <w:t>格式见第六章</w:t>
      </w:r>
      <w:r>
        <w:rPr>
          <w:rFonts w:hint="eastAsia" w:cs="宋体"/>
          <w:color w:val="auto"/>
          <w:lang w:eastAsia="zh-CN"/>
        </w:rPr>
        <w:t>）</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1.3中小企业声明函或监狱和戒毒企业企业证明材料或残疾人福利性单位声明函（格式见第六章）</w:t>
      </w:r>
    </w:p>
    <w:p>
      <w:pPr>
        <w:pStyle w:val="59"/>
        <w:widowControl w:val="0"/>
        <w:overflowPunct w:val="0"/>
        <w:topLinePunct/>
        <w:autoSpaceDE w:val="0"/>
        <w:autoSpaceDN w:val="0"/>
        <w:adjustRightInd/>
        <w:spacing w:beforeAutospacing="0" w:afterAutospacing="0" w:line="400" w:lineRule="exact"/>
        <w:ind w:firstLine="481"/>
        <w:rPr>
          <w:rFonts w:hint="eastAsia" w:eastAsia="宋体" w:cs="宋体"/>
          <w:b/>
          <w:bCs/>
          <w:color w:val="auto"/>
          <w:lang w:eastAsia="zh-CN"/>
        </w:rPr>
      </w:pPr>
      <w:r>
        <w:rPr>
          <w:rFonts w:hint="eastAsia" w:cs="宋体"/>
          <w:b/>
          <w:bCs/>
          <w:color w:val="auto"/>
        </w:rPr>
        <w:t>2.商务技术文件</w:t>
      </w:r>
      <w:r>
        <w:rPr>
          <w:rFonts w:hint="eastAsia" w:cs="宋体"/>
          <w:b/>
          <w:bCs/>
          <w:color w:val="auto"/>
          <w:lang w:eastAsia="zh-CN"/>
        </w:rPr>
        <w:t>：</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2.1自评表（格式见第六章）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2.2投标声明书（格式见第六章）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2.3法定代表人授权委托书（格式见第六章）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2.4诚信承诺书（格式见第六章）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2.5设备详细清单（不含报价）（格式见第六章）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2.6商务响应表（格式见第六章）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2.7技术响应表（格式见第六章）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2.8相关证书</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w:t>
      </w:r>
      <w:r>
        <w:rPr>
          <w:rFonts w:hint="eastAsia" w:cs="宋体"/>
          <w:color w:val="auto"/>
          <w:lang w:val="en-US" w:eastAsia="zh-CN"/>
        </w:rPr>
        <w:t>9</w:t>
      </w:r>
      <w:r>
        <w:rPr>
          <w:rFonts w:hint="eastAsia" w:cs="宋体"/>
          <w:color w:val="auto"/>
        </w:rPr>
        <w:t>同类业绩（格式见第六章）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2.1</w:t>
      </w:r>
      <w:r>
        <w:rPr>
          <w:rFonts w:hint="eastAsia" w:cs="宋体"/>
          <w:color w:val="auto"/>
          <w:lang w:val="en-US" w:eastAsia="zh-CN"/>
        </w:rPr>
        <w:t>0</w:t>
      </w:r>
      <w:r>
        <w:rPr>
          <w:rFonts w:hint="eastAsia" w:cs="宋体"/>
          <w:color w:val="auto"/>
        </w:rPr>
        <w:t>技术指标满足情况</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2.1</w:t>
      </w:r>
      <w:r>
        <w:rPr>
          <w:rFonts w:hint="eastAsia" w:cs="宋体"/>
          <w:color w:val="auto"/>
          <w:lang w:val="en-US" w:eastAsia="zh-CN"/>
        </w:rPr>
        <w:t>1</w:t>
      </w:r>
      <w:r>
        <w:rPr>
          <w:rFonts w:hint="eastAsia" w:cs="宋体"/>
          <w:color w:val="auto"/>
        </w:rPr>
        <w:t>产品方案</w:t>
      </w:r>
    </w:p>
    <w:p>
      <w:pPr>
        <w:pStyle w:val="59"/>
        <w:widowControl w:val="0"/>
        <w:overflowPunct w:val="0"/>
        <w:topLinePunct/>
        <w:autoSpaceDE w:val="0"/>
        <w:autoSpaceDN w:val="0"/>
        <w:adjustRightInd/>
        <w:spacing w:beforeAutospacing="0" w:afterAutospacing="0" w:line="400" w:lineRule="exact"/>
        <w:ind w:firstLine="481"/>
        <w:rPr>
          <w:rFonts w:hint="eastAsia" w:eastAsia="宋体" w:cs="宋体"/>
          <w:color w:val="auto"/>
          <w:lang w:eastAsia="zh-CN"/>
        </w:rPr>
      </w:pPr>
      <w:r>
        <w:rPr>
          <w:rFonts w:hint="eastAsia" w:cs="宋体"/>
          <w:color w:val="auto"/>
        </w:rPr>
        <w:t>2.1</w:t>
      </w:r>
      <w:r>
        <w:rPr>
          <w:rFonts w:hint="eastAsia" w:cs="宋体"/>
          <w:color w:val="auto"/>
          <w:lang w:val="en-US" w:eastAsia="zh-CN"/>
        </w:rPr>
        <w:t>2</w:t>
      </w:r>
      <w:r>
        <w:rPr>
          <w:rFonts w:hint="eastAsia" w:cs="宋体"/>
          <w:color w:val="auto"/>
        </w:rPr>
        <w:t>实施方案</w:t>
      </w:r>
    </w:p>
    <w:p>
      <w:pPr>
        <w:pStyle w:val="59"/>
        <w:widowControl w:val="0"/>
        <w:overflowPunct w:val="0"/>
        <w:topLinePunct/>
        <w:autoSpaceDE w:val="0"/>
        <w:autoSpaceDN w:val="0"/>
        <w:adjustRightInd/>
        <w:spacing w:beforeAutospacing="0" w:afterAutospacing="0" w:line="400" w:lineRule="exact"/>
        <w:ind w:firstLine="481"/>
        <w:rPr>
          <w:rFonts w:hint="eastAsia" w:cs="宋体"/>
          <w:color w:val="auto"/>
          <w:lang w:val="en-US" w:eastAsia="zh-CN"/>
        </w:rPr>
      </w:pPr>
      <w:r>
        <w:rPr>
          <w:rFonts w:hint="eastAsia" w:cs="宋体"/>
          <w:color w:val="auto"/>
          <w:lang w:val="en-US" w:eastAsia="zh-CN"/>
        </w:rPr>
        <w:t>2.13培训方案</w:t>
      </w:r>
    </w:p>
    <w:p>
      <w:pPr>
        <w:pStyle w:val="59"/>
        <w:widowControl w:val="0"/>
        <w:overflowPunct w:val="0"/>
        <w:topLinePunct/>
        <w:autoSpaceDE w:val="0"/>
        <w:autoSpaceDN w:val="0"/>
        <w:adjustRightInd/>
        <w:spacing w:beforeAutospacing="0" w:afterAutospacing="0" w:line="400" w:lineRule="exact"/>
        <w:ind w:firstLine="481"/>
        <w:rPr>
          <w:rFonts w:hint="eastAsia" w:cs="宋体"/>
          <w:color w:val="auto"/>
          <w:lang w:val="en-US" w:eastAsia="zh-CN"/>
        </w:rPr>
      </w:pPr>
      <w:r>
        <w:rPr>
          <w:rFonts w:hint="eastAsia" w:cs="宋体"/>
          <w:color w:val="auto"/>
          <w:lang w:val="en-US" w:eastAsia="zh-CN"/>
        </w:rPr>
        <w:t>2.14现场考察</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lang w:val="en-US" w:eastAsia="zh-CN"/>
        </w:rPr>
        <w:t>2.15</w:t>
      </w:r>
      <w:r>
        <w:rPr>
          <w:rFonts w:hint="eastAsia" w:cs="宋体"/>
          <w:color w:val="auto"/>
          <w:lang w:eastAsia="zh-CN"/>
        </w:rPr>
        <w:t>专利分</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2.1</w:t>
      </w:r>
      <w:r>
        <w:rPr>
          <w:rFonts w:hint="eastAsia" w:cs="宋体"/>
          <w:color w:val="auto"/>
          <w:lang w:val="en-US" w:eastAsia="zh-CN"/>
        </w:rPr>
        <w:t>6</w:t>
      </w:r>
      <w:r>
        <w:rPr>
          <w:rFonts w:hint="eastAsia" w:ascii="宋体" w:hAnsi="宋体" w:cs="宋体"/>
          <w:color w:val="auto"/>
          <w:szCs w:val="21"/>
          <w:lang w:val="en-US" w:eastAsia="zh-CN"/>
        </w:rPr>
        <w:t>技术团队实力</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2.1</w:t>
      </w:r>
      <w:r>
        <w:rPr>
          <w:rFonts w:hint="eastAsia" w:cs="宋体"/>
          <w:color w:val="auto"/>
          <w:lang w:val="en-US" w:eastAsia="zh-CN"/>
        </w:rPr>
        <w:t>7</w:t>
      </w:r>
      <w:r>
        <w:rPr>
          <w:rFonts w:hint="eastAsia" w:cs="宋体"/>
          <w:color w:val="auto"/>
        </w:rPr>
        <w:t>产品质量保证情况（</w:t>
      </w:r>
      <w:r>
        <w:rPr>
          <w:rFonts w:hint="eastAsia" w:ascii="宋体" w:hAnsi="宋体" w:cs="宋体"/>
          <w:color w:val="auto"/>
          <w:szCs w:val="21"/>
          <w:lang w:eastAsia="zh-CN"/>
        </w:rPr>
        <w:t>主要原材料</w:t>
      </w:r>
      <w:r>
        <w:rPr>
          <w:rFonts w:hint="eastAsia" w:ascii="宋体" w:hAnsi="宋体" w:cs="宋体"/>
          <w:color w:val="auto"/>
          <w:szCs w:val="21"/>
        </w:rPr>
        <w:t>检测报告</w:t>
      </w:r>
      <w:r>
        <w:rPr>
          <w:rFonts w:hint="eastAsia" w:cs="宋体"/>
          <w:color w:val="auto"/>
        </w:rPr>
        <w:t>）</w:t>
      </w:r>
    </w:p>
    <w:p>
      <w:pPr>
        <w:pStyle w:val="59"/>
        <w:widowControl w:val="0"/>
        <w:overflowPunct w:val="0"/>
        <w:topLinePunct/>
        <w:autoSpaceDE w:val="0"/>
        <w:autoSpaceDN w:val="0"/>
        <w:adjustRightInd/>
        <w:spacing w:beforeAutospacing="0" w:afterAutospacing="0" w:line="400" w:lineRule="exact"/>
        <w:ind w:firstLine="481"/>
        <w:rPr>
          <w:rFonts w:hint="eastAsia" w:cs="宋体"/>
          <w:color w:val="auto"/>
        </w:rPr>
      </w:pPr>
      <w:r>
        <w:rPr>
          <w:rFonts w:hint="eastAsia" w:cs="宋体"/>
          <w:color w:val="auto"/>
        </w:rPr>
        <w:t>2.1</w:t>
      </w:r>
      <w:r>
        <w:rPr>
          <w:rFonts w:hint="eastAsia" w:cs="宋体"/>
          <w:color w:val="auto"/>
          <w:lang w:val="en-US" w:eastAsia="zh-CN"/>
        </w:rPr>
        <w:t>8</w:t>
      </w:r>
      <w:r>
        <w:rPr>
          <w:rFonts w:hint="eastAsia" w:cs="宋体"/>
          <w:color w:val="auto"/>
        </w:rPr>
        <w:t>售后服务方案</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lang w:val="en-US" w:eastAsia="zh-CN"/>
        </w:rPr>
        <w:t>2.19</w:t>
      </w:r>
      <w:r>
        <w:rPr>
          <w:rFonts w:hint="eastAsia" w:cs="宋体"/>
          <w:color w:val="auto"/>
        </w:rPr>
        <w:t>其他（如果有）</w:t>
      </w:r>
    </w:p>
    <w:p>
      <w:pPr>
        <w:pStyle w:val="34"/>
        <w:wordWrap w:val="0"/>
        <w:overflowPunct w:val="0"/>
        <w:autoSpaceDE w:val="0"/>
        <w:autoSpaceDN w:val="0"/>
        <w:snapToGrid w:val="0"/>
        <w:spacing w:line="400" w:lineRule="exact"/>
        <w:ind w:firstLine="482" w:firstLineChars="200"/>
        <w:rPr>
          <w:rFonts w:hAnsi="宋体" w:cs="宋体"/>
          <w:b/>
          <w:bCs/>
          <w:color w:val="auto"/>
          <w:sz w:val="24"/>
          <w:szCs w:val="24"/>
        </w:rPr>
      </w:pPr>
      <w:r>
        <w:rPr>
          <w:rFonts w:hint="eastAsia" w:hAnsi="宋体" w:cs="宋体"/>
          <w:b/>
          <w:bCs/>
          <w:color w:val="auto"/>
          <w:sz w:val="24"/>
          <w:szCs w:val="24"/>
        </w:rPr>
        <w:t>3.报价文件：</w:t>
      </w:r>
    </w:p>
    <w:p>
      <w:pPr>
        <w:pStyle w:val="34"/>
        <w:wordWrap w:val="0"/>
        <w:overflowPunct w:val="0"/>
        <w:autoSpaceDE w:val="0"/>
        <w:autoSpaceDN w:val="0"/>
        <w:adjustRightInd/>
        <w:snapToGrid w:val="0"/>
        <w:spacing w:line="400" w:lineRule="exact"/>
        <w:ind w:firstLine="480" w:firstLineChars="200"/>
        <w:rPr>
          <w:rFonts w:hAnsi="宋体" w:cs="宋体"/>
          <w:color w:val="auto"/>
          <w:sz w:val="24"/>
          <w:szCs w:val="24"/>
        </w:rPr>
      </w:pPr>
      <w:r>
        <w:rPr>
          <w:rFonts w:hint="eastAsia" w:hAnsi="宋体" w:cs="宋体"/>
          <w:color w:val="auto"/>
          <w:sz w:val="24"/>
          <w:szCs w:val="24"/>
        </w:rPr>
        <w:t>3.1投标函（格式见第六章）</w:t>
      </w:r>
    </w:p>
    <w:p>
      <w:pPr>
        <w:pStyle w:val="34"/>
        <w:wordWrap w:val="0"/>
        <w:overflowPunct w:val="0"/>
        <w:autoSpaceDE w:val="0"/>
        <w:autoSpaceDN w:val="0"/>
        <w:adjustRightInd/>
        <w:snapToGrid w:val="0"/>
        <w:spacing w:line="400" w:lineRule="exact"/>
        <w:ind w:firstLine="480" w:firstLineChars="200"/>
        <w:rPr>
          <w:rFonts w:hAnsi="宋体" w:cs="宋体"/>
          <w:color w:val="auto"/>
          <w:sz w:val="24"/>
          <w:szCs w:val="24"/>
        </w:rPr>
      </w:pPr>
      <w:r>
        <w:rPr>
          <w:rFonts w:hint="eastAsia" w:hAnsi="宋体" w:cs="宋体"/>
          <w:color w:val="auto"/>
          <w:sz w:val="24"/>
          <w:szCs w:val="24"/>
        </w:rPr>
        <w:t>3.2开标一览表（格式见第六章）</w:t>
      </w:r>
    </w:p>
    <w:p>
      <w:pPr>
        <w:pStyle w:val="34"/>
        <w:wordWrap w:val="0"/>
        <w:overflowPunct w:val="0"/>
        <w:autoSpaceDE w:val="0"/>
        <w:autoSpaceDN w:val="0"/>
        <w:adjustRightInd/>
        <w:snapToGrid w:val="0"/>
        <w:spacing w:line="400" w:lineRule="exact"/>
        <w:ind w:firstLine="480" w:firstLineChars="200"/>
        <w:rPr>
          <w:rFonts w:hAnsi="宋体" w:cs="宋体"/>
          <w:color w:val="auto"/>
          <w:sz w:val="24"/>
          <w:szCs w:val="24"/>
        </w:rPr>
      </w:pPr>
      <w:r>
        <w:rPr>
          <w:rFonts w:hint="eastAsia" w:hAnsi="宋体" w:cs="宋体"/>
          <w:color w:val="auto"/>
          <w:sz w:val="24"/>
          <w:szCs w:val="24"/>
        </w:rPr>
        <w:t>3.3投标报价明细表（格式见第六章）</w:t>
      </w:r>
    </w:p>
    <w:p>
      <w:pPr>
        <w:pStyle w:val="59"/>
        <w:widowControl w:val="0"/>
        <w:overflowPunct w:val="0"/>
        <w:topLinePunct/>
        <w:autoSpaceDE w:val="0"/>
        <w:autoSpaceDN w:val="0"/>
        <w:adjustRightInd/>
        <w:spacing w:beforeAutospacing="0" w:afterAutospacing="0" w:line="400" w:lineRule="exact"/>
        <w:ind w:firstLine="481"/>
        <w:rPr>
          <w:rFonts w:cs="宋体"/>
          <w:color w:val="auto"/>
        </w:rPr>
      </w:pPr>
      <w:r>
        <w:rPr>
          <w:rFonts w:hint="eastAsia" w:cs="宋体"/>
          <w:color w:val="auto"/>
        </w:rPr>
        <w:t>3.4其他（如果有）</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b/>
          <w:bCs/>
          <w:color w:val="auto"/>
          <w:sz w:val="24"/>
        </w:rPr>
        <w:t xml:space="preserve">  </w:t>
      </w:r>
      <w:r>
        <w:rPr>
          <w:rFonts w:hint="eastAsia" w:ascii="宋体" w:hAnsi="宋体" w:cs="宋体"/>
          <w:color w:val="auto"/>
          <w:sz w:val="24"/>
        </w:rPr>
        <w:t xml:space="preserve">  4.投标文件内容填写说明 </w:t>
      </w:r>
    </w:p>
    <w:p>
      <w:pPr>
        <w:wordWrap w:val="0"/>
        <w:overflowPunct w:val="0"/>
        <w:autoSpaceDE w:val="0"/>
        <w:autoSpaceDN w:val="0"/>
        <w:snapToGrid w:val="0"/>
        <w:spacing w:line="400" w:lineRule="exact"/>
        <w:jc w:val="left"/>
        <w:rPr>
          <w:rFonts w:ascii="宋体" w:hAnsi="宋体" w:cs="宋体"/>
          <w:bCs/>
          <w:color w:val="auto"/>
          <w:sz w:val="24"/>
        </w:rPr>
      </w:pPr>
      <w:r>
        <w:rPr>
          <w:rFonts w:hint="eastAsia" w:ascii="宋体" w:hAnsi="宋体" w:cs="宋体"/>
          <w:color w:val="auto"/>
          <w:sz w:val="24"/>
        </w:rPr>
        <w:t xml:space="preserve">   （1）投标人应在认真阅读招标文件所有内容的基础上，按照招标文件的要求编制完整的投标文件。投标文件应按照招标文件中规定的统一格式填写：</w:t>
      </w:r>
      <w:r>
        <w:rPr>
          <w:rFonts w:hint="eastAsia" w:ascii="宋体" w:hAnsi="宋体" w:cs="宋体"/>
          <w:bCs/>
          <w:color w:val="auto"/>
          <w:sz w:val="24"/>
        </w:rPr>
        <w:t>电子投标文件按政采云平台供应商项目采购-电子招投标操作指南（网址：https://service.zcygov.cn/#/knowledges/CW1EtGwBFdiHxlNd6I3m/6IMVAG0BFdiHxlNdQ8Na?keyword）及本招标文件要求制作、加密。</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（2）招标文件对投标文件格式有要求的应按格式逐项填写内容，不准有空项；无相应内容可填的项应填写“无”、“未测试”、“没有相应指标”等明确的回答文字。</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（3）投标人必须保证投标文件所提供的全部资料真实可靠，并接受招标人对其中任何资料进一步审查的要求。</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（4）《开标一览表》为在开标仪式上唱标的内容，要求按格式填写、统一规范，不得自行增减内容。</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（5）投标文件须对招标文件中的内容做出实质性的和完整的响应，否则其投标将被拒绝。如果投标文件填报的内容资料不详，或没有提供招标文件中所要求的全部资料及数据，将会导致投标被拒绝。</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6）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招标人可以拒绝其投标文件。</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（7）投标响应文件不得涂改和增删，如有错漏必须修改。</w:t>
      </w:r>
    </w:p>
    <w:p>
      <w:pPr>
        <w:wordWrap w:val="0"/>
        <w:overflowPunct w:val="0"/>
        <w:autoSpaceDE w:val="0"/>
        <w:autoSpaceDN w:val="0"/>
        <w:snapToGrid w:val="0"/>
        <w:spacing w:line="400" w:lineRule="exact"/>
        <w:rPr>
          <w:rFonts w:ascii="宋体" w:hAnsi="宋体" w:cs="宋体"/>
          <w:b/>
          <w:bCs/>
          <w:color w:val="auto"/>
          <w:sz w:val="24"/>
        </w:rPr>
      </w:pPr>
      <w:r>
        <w:rPr>
          <w:rFonts w:hint="eastAsia" w:ascii="宋体" w:hAnsi="宋体" w:cs="宋体"/>
          <w:color w:val="auto"/>
          <w:sz w:val="24"/>
        </w:rPr>
        <w:t xml:space="preserve">    （8）由于字迹模糊或表达不清引起的后果由供应商负责。</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（三）投标文件的语言及计量</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▲1投标文件以及投标方与招标方就有关投标事宜的所有来往函电，均应以中文汉语书写。除签名、盖章、专用名称等特殊情形外，以中文汉语以外的文字表述的投标文件视同未提供。</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▲2投标计量单位，招标文件已有明确规定的，使用招标文件规定的计量单位；招标文件没有规定的，应采用中华人民共和国法定计量单位（货币单位：人民币元），否则视同未响应。</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（四）投标报价</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1.投标报价应按招标文件中相关附表格式填写。</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▲2.投标报价是履行合同的最终价格，应包括所需的一切费用及不可预见的其他全部费用和税金。</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▲3.投标文件只允许有一个报价，有选择的或有条件的报价将不予接受。</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（五）投标文件的有效期</w:t>
      </w:r>
    </w:p>
    <w:p>
      <w:pPr>
        <w:pStyle w:val="16"/>
        <w:widowControl w:val="0"/>
        <w:tabs>
          <w:tab w:val="left" w:pos="720"/>
          <w:tab w:val="clear" w:pos="390"/>
        </w:tabs>
        <w:wordWrap w:val="0"/>
        <w:overflowPunct w:val="0"/>
        <w:autoSpaceDE w:val="0"/>
        <w:autoSpaceDN w:val="0"/>
        <w:snapToGrid w:val="0"/>
        <w:spacing w:afterLines="0" w:line="400" w:lineRule="exact"/>
        <w:ind w:left="0" w:firstLine="480" w:firstLineChars="200"/>
        <w:rPr>
          <w:rFonts w:ascii="宋体" w:hAnsi="宋体" w:cs="宋体"/>
          <w:color w:val="auto"/>
          <w:szCs w:val="24"/>
        </w:rPr>
      </w:pPr>
      <w:r>
        <w:rPr>
          <w:rFonts w:hint="eastAsia" w:ascii="宋体" w:hAnsi="宋体" w:cs="宋体"/>
          <w:color w:val="auto"/>
          <w:szCs w:val="24"/>
        </w:rPr>
        <w:t>▲1.自投标截止日起</w:t>
      </w:r>
      <w:r>
        <w:rPr>
          <w:rFonts w:hint="eastAsia" w:ascii="宋体" w:hAnsi="宋体" w:cs="宋体"/>
          <w:color w:val="auto"/>
          <w:szCs w:val="24"/>
          <w:u w:val="single"/>
        </w:rPr>
        <w:t xml:space="preserve"> 90</w:t>
      </w:r>
      <w:r>
        <w:rPr>
          <w:rFonts w:hint="eastAsia" w:ascii="宋体" w:hAnsi="宋体" w:cs="宋体"/>
          <w:color w:val="auto"/>
          <w:szCs w:val="24"/>
        </w:rPr>
        <w:t>天投标文件应保持有效。有效期不足的投标文件将被拒绝。</w:t>
      </w:r>
    </w:p>
    <w:p>
      <w:pPr>
        <w:pStyle w:val="16"/>
        <w:widowControl w:val="0"/>
        <w:tabs>
          <w:tab w:val="left" w:pos="720"/>
          <w:tab w:val="clear" w:pos="390"/>
        </w:tabs>
        <w:wordWrap w:val="0"/>
        <w:overflowPunct w:val="0"/>
        <w:autoSpaceDE w:val="0"/>
        <w:autoSpaceDN w:val="0"/>
        <w:snapToGrid w:val="0"/>
        <w:spacing w:afterLines="0" w:line="400" w:lineRule="exact"/>
        <w:ind w:left="0" w:firstLine="480" w:firstLineChars="200"/>
        <w:rPr>
          <w:rFonts w:ascii="宋体" w:hAnsi="宋体" w:cs="宋体"/>
          <w:color w:val="auto"/>
          <w:szCs w:val="24"/>
        </w:rPr>
      </w:pPr>
      <w:r>
        <w:rPr>
          <w:rFonts w:hint="eastAsia" w:ascii="宋体" w:hAnsi="宋体" w:cs="宋体"/>
          <w:color w:val="auto"/>
          <w:szCs w:val="24"/>
        </w:rPr>
        <w:t>2.在特殊情况下，招标人可与投标人协商延长投标书的有效期，这种要求和答复均以书面形式进行。</w:t>
      </w:r>
    </w:p>
    <w:p>
      <w:pPr>
        <w:wordWrap w:val="0"/>
        <w:overflowPunct w:val="0"/>
        <w:autoSpaceDE w:val="0"/>
        <w:autoSpaceDN w:val="0"/>
        <w:snapToGrid w:val="0"/>
        <w:spacing w:line="400" w:lineRule="exact"/>
        <w:ind w:firstLine="480" w:firstLineChars="200"/>
        <w:jc w:val="left"/>
        <w:outlineLvl w:val="0"/>
        <w:rPr>
          <w:rFonts w:ascii="宋体" w:hAnsi="宋体" w:cs="宋体"/>
          <w:color w:val="auto"/>
          <w:sz w:val="24"/>
        </w:rPr>
      </w:pPr>
      <w:r>
        <w:rPr>
          <w:rFonts w:hint="eastAsia" w:ascii="宋体" w:hAnsi="宋体" w:cs="宋体"/>
          <w:color w:val="auto"/>
          <w:sz w:val="24"/>
        </w:rPr>
        <w:t>3.中标人的投标文件自开标之日起至合同履行完毕止均应保持有效。</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（六）投标保证金：无</w:t>
      </w:r>
    </w:p>
    <w:p>
      <w:pPr>
        <w:pStyle w:val="34"/>
        <w:wordWrap w:val="0"/>
        <w:overflowPunct w:val="0"/>
        <w:autoSpaceDE w:val="0"/>
        <w:autoSpaceDN w:val="0"/>
        <w:snapToGrid w:val="0"/>
        <w:spacing w:line="400" w:lineRule="exact"/>
        <w:outlineLvl w:val="0"/>
        <w:rPr>
          <w:rFonts w:hAnsi="宋体" w:cs="宋体"/>
          <w:b/>
          <w:color w:val="auto"/>
          <w:sz w:val="24"/>
          <w:szCs w:val="24"/>
        </w:rPr>
      </w:pPr>
      <w:bookmarkStart w:id="18" w:name="_Toc359856802"/>
      <w:r>
        <w:rPr>
          <w:rFonts w:hint="eastAsia" w:hAnsi="宋体" w:cs="宋体"/>
          <w:b/>
          <w:color w:val="auto"/>
          <w:sz w:val="24"/>
          <w:szCs w:val="24"/>
        </w:rPr>
        <w:t>（七）投标文件的签署及规定</w:t>
      </w:r>
      <w:bookmarkEnd w:id="18"/>
    </w:p>
    <w:p>
      <w:pPr>
        <w:wordWrap w:val="0"/>
        <w:overflowPunct w:val="0"/>
        <w:autoSpaceDE w:val="0"/>
        <w:autoSpaceDN w:val="0"/>
        <w:snapToGrid w:val="0"/>
        <w:spacing w:line="400" w:lineRule="exact"/>
        <w:ind w:firstLine="480" w:firstLineChars="200"/>
        <w:jc w:val="left"/>
        <w:outlineLvl w:val="1"/>
        <w:rPr>
          <w:rFonts w:ascii="宋体" w:hAnsi="宋体" w:cs="宋体"/>
          <w:bCs/>
          <w:color w:val="auto"/>
          <w:sz w:val="24"/>
        </w:rPr>
      </w:pPr>
      <w:r>
        <w:rPr>
          <w:rFonts w:hint="eastAsia" w:ascii="宋体" w:hAnsi="宋体" w:cs="宋体"/>
          <w:bCs/>
          <w:color w:val="auto"/>
          <w:sz w:val="24"/>
        </w:rPr>
        <w:t>电子投标文件按政采云平台供应商项目采购-电子招投标操作指南（网址：</w:t>
      </w:r>
      <w:r>
        <w:rPr>
          <w:color w:val="auto"/>
        </w:rPr>
        <w:fldChar w:fldCharType="begin"/>
      </w:r>
      <w:r>
        <w:rPr>
          <w:color w:val="auto"/>
        </w:rPr>
        <w:instrText xml:space="preserve"> HYPERLINK "https://help.zcy.gov.cn/web/site_2/2018/12-28/2573.html）及本招标文件规定的格式和顺序编制电子投标文件并进行关联定位。" </w:instrText>
      </w:r>
      <w:r>
        <w:rPr>
          <w:color w:val="auto"/>
        </w:rPr>
        <w:fldChar w:fldCharType="separate"/>
      </w:r>
      <w:r>
        <w:rPr>
          <w:rFonts w:hint="eastAsia" w:ascii="宋体" w:hAnsi="宋体" w:cs="宋体"/>
          <w:bCs/>
          <w:color w:val="auto"/>
          <w:sz w:val="24"/>
        </w:rPr>
        <w:t>https://service.zcygov.cn/#/knowledges/CW1EtGwBFdiHxlNd6I3m/6IMVAG0BFdiHxlNdQ8Na?keyword</w:t>
      </w:r>
      <w:r>
        <w:rPr>
          <w:rStyle w:val="77"/>
          <w:rFonts w:hint="eastAsia" w:ascii="宋体" w:hAnsi="宋体" w:eastAsia="宋体" w:cs="宋体"/>
          <w:bCs/>
          <w:color w:val="auto"/>
          <w:sz w:val="24"/>
          <w:szCs w:val="24"/>
        </w:rPr>
        <w:t>）及本招标文件规定的格式和顺序编制电子投标文件并进行关联定位。</w:t>
      </w:r>
      <w:r>
        <w:rPr>
          <w:rStyle w:val="77"/>
          <w:rFonts w:hint="eastAsia" w:ascii="宋体" w:hAnsi="宋体" w:eastAsia="宋体" w:cs="宋体"/>
          <w:bCs/>
          <w:color w:val="auto"/>
          <w:sz w:val="24"/>
          <w:szCs w:val="24"/>
        </w:rPr>
        <w:fldChar w:fldCharType="end"/>
      </w:r>
    </w:p>
    <w:p>
      <w:pPr>
        <w:pStyle w:val="34"/>
        <w:wordWrap w:val="0"/>
        <w:overflowPunct w:val="0"/>
        <w:autoSpaceDE w:val="0"/>
        <w:autoSpaceDN w:val="0"/>
        <w:snapToGrid w:val="0"/>
        <w:spacing w:line="400" w:lineRule="exact"/>
        <w:outlineLvl w:val="0"/>
        <w:rPr>
          <w:rFonts w:hAnsi="宋体" w:cs="宋体"/>
          <w:b/>
          <w:color w:val="auto"/>
          <w:sz w:val="24"/>
          <w:szCs w:val="24"/>
        </w:rPr>
      </w:pPr>
      <w:bookmarkStart w:id="19" w:name="_Toc356371437"/>
      <w:bookmarkStart w:id="20" w:name="_Toc359856803"/>
      <w:r>
        <w:rPr>
          <w:rFonts w:hint="eastAsia" w:hAnsi="宋体" w:cs="宋体"/>
          <w:b/>
          <w:color w:val="auto"/>
          <w:sz w:val="24"/>
          <w:szCs w:val="24"/>
        </w:rPr>
        <w:t>（八）投标文件的递交</w:t>
      </w:r>
      <w:bookmarkEnd w:id="19"/>
      <w:bookmarkEnd w:id="20"/>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1.递交投标文件截止期</w:t>
      </w:r>
    </w:p>
    <w:p>
      <w:pPr>
        <w:wordWrap w:val="0"/>
        <w:overflowPunct w:val="0"/>
        <w:autoSpaceDE w:val="0"/>
        <w:autoSpaceDN w:val="0"/>
        <w:snapToGrid w:val="0"/>
        <w:spacing w:line="400" w:lineRule="exact"/>
        <w:ind w:firstLine="480" w:firstLineChars="200"/>
        <w:rPr>
          <w:rFonts w:ascii="宋体" w:hAnsi="宋体" w:cs="宋体"/>
          <w:bCs/>
          <w:color w:val="auto"/>
          <w:sz w:val="24"/>
        </w:rPr>
      </w:pPr>
      <w:r>
        <w:rPr>
          <w:rFonts w:hint="eastAsia" w:ascii="宋体" w:hAnsi="宋体" w:cs="宋体"/>
          <w:bCs/>
          <w:color w:val="auto"/>
          <w:sz w:val="24"/>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p>
    <w:p>
      <w:pPr>
        <w:wordWrap w:val="0"/>
        <w:overflowPunct w:val="0"/>
        <w:autoSpaceDE w:val="0"/>
        <w:autoSpaceDN w:val="0"/>
        <w:snapToGrid w:val="0"/>
        <w:spacing w:line="400" w:lineRule="exact"/>
        <w:ind w:firstLine="480" w:firstLineChars="200"/>
        <w:rPr>
          <w:rFonts w:ascii="宋体" w:hAnsi="宋体" w:cs="宋体"/>
          <w:bCs/>
          <w:color w:val="auto"/>
          <w:sz w:val="24"/>
        </w:rPr>
      </w:pPr>
      <w:r>
        <w:rPr>
          <w:rFonts w:hint="eastAsia" w:ascii="宋体" w:hAnsi="宋体" w:cs="宋体"/>
          <w:bCs/>
          <w:color w:val="auto"/>
          <w:sz w:val="24"/>
        </w:rPr>
        <w:t>2.投标文件的修改和撤销</w:t>
      </w:r>
    </w:p>
    <w:p>
      <w:pPr>
        <w:wordWrap w:val="0"/>
        <w:overflowPunct w:val="0"/>
        <w:autoSpaceDE w:val="0"/>
        <w:autoSpaceDN w:val="0"/>
        <w:snapToGrid w:val="0"/>
        <w:spacing w:line="400" w:lineRule="exact"/>
        <w:ind w:firstLine="480" w:firstLineChars="200"/>
        <w:rPr>
          <w:rFonts w:ascii="宋体" w:hAnsi="宋体" w:cs="宋体"/>
          <w:bCs/>
          <w:color w:val="auto"/>
          <w:sz w:val="24"/>
        </w:rPr>
      </w:pPr>
      <w:r>
        <w:rPr>
          <w:rFonts w:hint="eastAsia" w:ascii="宋体" w:hAnsi="宋体" w:cs="宋体"/>
          <w:bCs/>
          <w:color w:val="auto"/>
          <w:sz w:val="24"/>
        </w:rPr>
        <w:t>（1）投标人在递交投标文件后，可以修改或撤回其投标文件：递交投标文件截止时间之前补充或者修改电子投标文件的，应当先行撤回原文件，补充、修改后重新传输递交。</w:t>
      </w:r>
    </w:p>
    <w:p>
      <w:pPr>
        <w:wordWrap w:val="0"/>
        <w:overflowPunct w:val="0"/>
        <w:autoSpaceDE w:val="0"/>
        <w:autoSpaceDN w:val="0"/>
        <w:snapToGrid w:val="0"/>
        <w:spacing w:line="400" w:lineRule="exact"/>
        <w:ind w:firstLine="480" w:firstLineChars="200"/>
        <w:rPr>
          <w:rFonts w:ascii="宋体" w:hAnsi="宋体" w:cs="宋体"/>
          <w:bCs/>
          <w:color w:val="auto"/>
          <w:sz w:val="24"/>
        </w:rPr>
      </w:pPr>
      <w:r>
        <w:rPr>
          <w:rFonts w:hint="eastAsia" w:ascii="宋体" w:hAnsi="宋体" w:cs="宋体"/>
          <w:bCs/>
          <w:color w:val="auto"/>
          <w:sz w:val="24"/>
        </w:rPr>
        <w:t>（2）投标人修改后的投标文件应按原来的规定编制、密封、标记和递交。</w:t>
      </w:r>
    </w:p>
    <w:p>
      <w:pPr>
        <w:wordWrap w:val="0"/>
        <w:overflowPunct w:val="0"/>
        <w:autoSpaceDE w:val="0"/>
        <w:autoSpaceDN w:val="0"/>
        <w:snapToGrid w:val="0"/>
        <w:spacing w:line="400" w:lineRule="exact"/>
        <w:ind w:firstLine="480" w:firstLineChars="200"/>
        <w:rPr>
          <w:rFonts w:ascii="宋体" w:hAnsi="宋体" w:cs="宋体"/>
          <w:bCs/>
          <w:color w:val="auto"/>
          <w:sz w:val="24"/>
        </w:rPr>
      </w:pPr>
      <w:r>
        <w:rPr>
          <w:rFonts w:hint="eastAsia" w:ascii="宋体" w:hAnsi="宋体" w:cs="宋体"/>
          <w:bCs/>
          <w:color w:val="auto"/>
          <w:sz w:val="24"/>
        </w:rPr>
        <w:t>（3）在递交投标文件截止期之后，投标人不得对其投标文件做任何修改。</w:t>
      </w:r>
    </w:p>
    <w:p>
      <w:pPr>
        <w:wordWrap w:val="0"/>
        <w:overflowPunct w:val="0"/>
        <w:autoSpaceDE w:val="0"/>
        <w:autoSpaceDN w:val="0"/>
        <w:snapToGrid w:val="0"/>
        <w:spacing w:line="400" w:lineRule="exact"/>
        <w:ind w:firstLine="480" w:firstLineChars="200"/>
        <w:rPr>
          <w:rFonts w:ascii="宋体" w:hAnsi="宋体" w:cs="宋体"/>
          <w:bCs/>
          <w:color w:val="auto"/>
          <w:sz w:val="24"/>
        </w:rPr>
      </w:pPr>
      <w:r>
        <w:rPr>
          <w:rFonts w:hint="eastAsia" w:ascii="宋体" w:hAnsi="宋体" w:cs="宋体"/>
          <w:bCs/>
          <w:color w:val="auto"/>
          <w:sz w:val="24"/>
        </w:rPr>
        <w:t>（4）递交投标文件截止期后，投标人不得撤回其投标文件。</w:t>
      </w:r>
    </w:p>
    <w:p>
      <w:pPr>
        <w:wordWrap w:val="0"/>
        <w:overflowPunct w:val="0"/>
        <w:autoSpaceDE w:val="0"/>
        <w:autoSpaceDN w:val="0"/>
        <w:snapToGrid w:val="0"/>
        <w:spacing w:line="400" w:lineRule="exact"/>
        <w:ind w:firstLine="480" w:firstLineChars="200"/>
        <w:rPr>
          <w:rFonts w:ascii="宋体" w:hAnsi="宋体" w:cs="宋体"/>
          <w:bCs/>
          <w:color w:val="auto"/>
          <w:sz w:val="24"/>
        </w:rPr>
      </w:pPr>
      <w:r>
        <w:rPr>
          <w:rFonts w:hint="eastAsia" w:ascii="宋体" w:hAnsi="宋体" w:cs="宋体"/>
          <w:bCs/>
          <w:color w:val="auto"/>
          <w:sz w:val="24"/>
        </w:rPr>
        <w:t>（5）实质上没有响应本文件要求的投标文件将被拒绝。投标人不得通过修正或撤销不合要求的偏离或保留从而使其投标文件成为实质上响应的文件。</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3.备份投标文件</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bCs/>
          <w:color w:val="auto"/>
          <w:sz w:val="24"/>
        </w:rPr>
        <w:t>（1）</w:t>
      </w:r>
      <w:r>
        <w:rPr>
          <w:rFonts w:hint="eastAsia" w:ascii="宋体" w:hAnsi="宋体" w:cs="宋体"/>
          <w:color w:val="auto"/>
          <w:sz w:val="24"/>
        </w:rPr>
        <w:t>投标人在电子交易平台传输递交投标文件后，还可以在投标截止时间前直接提交或者以邮政快递方式递交备份投标文件1份，但采购人、采购机构不强制或变相强制投标人提交备份投标文件。</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bCs/>
          <w:color w:val="auto"/>
          <w:sz w:val="24"/>
        </w:rPr>
        <w:t>（2）</w:t>
      </w:r>
      <w:r>
        <w:rPr>
          <w:rFonts w:hint="eastAsia" w:ascii="宋体" w:hAnsi="宋体" w:cs="宋体"/>
          <w:color w:val="auto"/>
          <w:sz w:val="24"/>
        </w:rPr>
        <w:t>备份投标文件须在“政采云投标客户端”制作生成，并储存在</w:t>
      </w:r>
      <w:r>
        <w:rPr>
          <w:rFonts w:hint="eastAsia" w:ascii="宋体" w:hAnsi="宋体" w:cs="宋体"/>
          <w:color w:val="auto"/>
          <w:sz w:val="24"/>
          <w:lang w:val="en-US" w:eastAsia="zh-CN"/>
        </w:rPr>
        <w:t>U</w:t>
      </w:r>
      <w:r>
        <w:rPr>
          <w:rFonts w:hint="eastAsia" w:ascii="宋体" w:hAnsi="宋体" w:cs="宋体"/>
          <w:color w:val="auto"/>
          <w:sz w:val="24"/>
        </w:rPr>
        <w:t>盘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bCs/>
          <w:color w:val="auto"/>
          <w:sz w:val="24"/>
        </w:rPr>
        <w:t>（3）</w:t>
      </w:r>
      <w:r>
        <w:rPr>
          <w:rFonts w:hint="eastAsia" w:ascii="宋体" w:hAnsi="宋体" w:cs="宋体"/>
          <w:color w:val="auto"/>
          <w:sz w:val="24"/>
        </w:rPr>
        <w:t>直接提交备份投标文件的，投标人应于投标截止时间前在招标公告中载明的开标地点将备份投标文件提交给采购机构，采购机构将拒绝接受逾期送达的备份投标文件。</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bCs/>
          <w:color w:val="auto"/>
          <w:sz w:val="24"/>
        </w:rPr>
        <w:t>（4）</w:t>
      </w:r>
      <w:r>
        <w:rPr>
          <w:rFonts w:hint="eastAsia" w:ascii="宋体" w:hAnsi="宋体" w:cs="宋体"/>
          <w:color w:val="auto"/>
          <w:sz w:val="24"/>
        </w:rPr>
        <w:t>以邮政快递方式递交备份投标文件的，投标人应先将备份投标文件按要求密封和标记，再进行邮政快递包装后邮寄。</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bCs/>
          <w:color w:val="auto"/>
          <w:sz w:val="24"/>
        </w:rPr>
        <w:t>（5）</w:t>
      </w:r>
      <w:r>
        <w:rPr>
          <w:rFonts w:hint="eastAsia" w:ascii="宋体" w:hAnsi="宋体" w:cs="宋体"/>
          <w:color w:val="auto"/>
          <w:sz w:val="24"/>
        </w:rPr>
        <w:t>投标人仅提交备份投标文件，没有在电子交易平台传输递交投标文件的，投标无效。</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（九）投标无效的情形</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根据《政府采购货物和服务招标投标管理办法》有下列情形之一的，视为投标人串通投标，其投标无效：</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(一)不同投标人的投标文件由同一单位或者个人编制；</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(二)不同投标人委托同一单位或者个人办理投标事宜；</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(三)不同投标人的投标文件载明的项目管理成员或者联系人员为同一人；</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(四)不同投标人的投标文件异常一致或者投标报价呈规律性差异；</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(五)不同投标人的投标文件相互混装；</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(六)不同投标人的投标保证金从同一单位或者个人的账户转出。</w:t>
      </w:r>
    </w:p>
    <w:p>
      <w:pPr>
        <w:wordWrap w:val="0"/>
        <w:overflowPunct w:val="0"/>
        <w:autoSpaceDE w:val="0"/>
        <w:autoSpaceDN w:val="0"/>
        <w:snapToGrid w:val="0"/>
        <w:spacing w:line="400" w:lineRule="exact"/>
        <w:ind w:firstLine="480" w:firstLineChars="200"/>
        <w:jc w:val="left"/>
        <w:rPr>
          <w:rFonts w:ascii="宋体" w:hAnsi="宋体" w:cs="宋体"/>
          <w:color w:val="auto"/>
          <w:sz w:val="24"/>
        </w:rPr>
      </w:pPr>
      <w:r>
        <w:rPr>
          <w:rFonts w:hint="eastAsia" w:ascii="宋体" w:hAnsi="宋体" w:cs="宋体"/>
          <w:color w:val="auto"/>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numPr>
          <w:ilvl w:val="0"/>
          <w:numId w:val="4"/>
        </w:numPr>
        <w:wordWrap w:val="0"/>
        <w:overflowPunct w:val="0"/>
        <w:autoSpaceDE w:val="0"/>
        <w:autoSpaceDN w:val="0"/>
        <w:snapToGrid w:val="0"/>
        <w:spacing w:line="400" w:lineRule="exact"/>
        <w:ind w:firstLine="466" w:firstLineChars="200"/>
        <w:jc w:val="left"/>
        <w:rPr>
          <w:rFonts w:ascii="宋体" w:hAnsi="宋体" w:cs="宋体"/>
          <w:b/>
          <w:bCs/>
          <w:color w:val="auto"/>
          <w:sz w:val="24"/>
        </w:rPr>
      </w:pPr>
      <w:r>
        <w:rPr>
          <w:rFonts w:hint="eastAsia" w:ascii="宋体" w:hAnsi="宋体" w:cs="宋体"/>
          <w:b/>
          <w:bCs/>
          <w:color w:val="auto"/>
          <w:spacing w:val="-4"/>
          <w:sz w:val="24"/>
        </w:rPr>
        <w:t>电</w:t>
      </w:r>
      <w:r>
        <w:rPr>
          <w:rFonts w:hint="eastAsia" w:ascii="宋体" w:hAnsi="宋体" w:cs="宋体"/>
          <w:b/>
          <w:bCs/>
          <w:color w:val="auto"/>
          <w:sz w:val="24"/>
        </w:rPr>
        <w:t xml:space="preserve">子加密投标文件解密失败的；   </w:t>
      </w:r>
    </w:p>
    <w:p>
      <w:pPr>
        <w:wordWrap w:val="0"/>
        <w:overflowPunct w:val="0"/>
        <w:autoSpaceDE w:val="0"/>
        <w:autoSpaceDN w:val="0"/>
        <w:snapToGrid w:val="0"/>
        <w:spacing w:line="400" w:lineRule="exact"/>
        <w:jc w:val="left"/>
        <w:rPr>
          <w:rFonts w:ascii="宋体" w:hAnsi="宋体" w:cs="宋体"/>
          <w:b/>
          <w:bCs/>
          <w:color w:val="auto"/>
          <w:sz w:val="24"/>
        </w:rPr>
      </w:pPr>
      <w:r>
        <w:rPr>
          <w:rFonts w:hint="eastAsia" w:ascii="宋体" w:hAnsi="宋体" w:cs="宋体"/>
          <w:b/>
          <w:bCs/>
          <w:color w:val="auto"/>
          <w:sz w:val="24"/>
        </w:rPr>
        <w:t xml:space="preserve">    2.没有通过资格审查的，投标文件将被视为无效。</w:t>
      </w:r>
    </w:p>
    <w:p>
      <w:pPr>
        <w:wordWrap w:val="0"/>
        <w:overflowPunct w:val="0"/>
        <w:autoSpaceDE w:val="0"/>
        <w:autoSpaceDN w:val="0"/>
        <w:snapToGrid w:val="0"/>
        <w:spacing w:line="400" w:lineRule="exact"/>
        <w:ind w:firstLine="482" w:firstLineChars="200"/>
        <w:jc w:val="left"/>
        <w:rPr>
          <w:rFonts w:ascii="宋体" w:hAnsi="宋体" w:cs="宋体"/>
          <w:b/>
          <w:bCs/>
          <w:color w:val="auto"/>
          <w:sz w:val="24"/>
        </w:rPr>
      </w:pPr>
      <w:r>
        <w:rPr>
          <w:rFonts w:hint="eastAsia" w:ascii="宋体" w:hAnsi="宋体" w:cs="宋体"/>
          <w:b/>
          <w:bCs/>
          <w:color w:val="auto"/>
          <w:sz w:val="24"/>
        </w:rPr>
        <w:t>3.在符合性审查和资信商务评审时，如发现下列情形之一的，投标文件将被视为无效：</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（1）电子投标文件未按规定要求提供电子签章的。</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（2）在资格文件或商务技术文件中出现报价的；</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（3）资格证明文件不全的，或者不符合招标文件标明的资格要求的；</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（4）投标文件无法定代表人签字（或盖章）,或未</w:t>
      </w:r>
      <w:r>
        <w:rPr>
          <w:rFonts w:hint="eastAsia" w:ascii="宋体" w:hAnsi="宋体" w:cs="宋体"/>
          <w:bCs/>
          <w:color w:val="auto"/>
          <w:kern w:val="0"/>
          <w:sz w:val="24"/>
        </w:rPr>
        <w:t>提供法定代表人授权委托书、投标声明书或者填写项目不齐全的；</w:t>
      </w:r>
    </w:p>
    <w:p>
      <w:pPr>
        <w:wordWrap w:val="0"/>
        <w:overflowPunct w:val="0"/>
        <w:autoSpaceDE w:val="0"/>
        <w:autoSpaceDN w:val="0"/>
        <w:snapToGrid w:val="0"/>
        <w:spacing w:line="400" w:lineRule="exact"/>
        <w:ind w:firstLine="480" w:firstLineChars="200"/>
        <w:rPr>
          <w:rFonts w:ascii="宋体" w:hAnsi="宋体" w:cs="宋体"/>
          <w:bCs/>
          <w:color w:val="auto"/>
          <w:kern w:val="0"/>
          <w:sz w:val="24"/>
        </w:rPr>
      </w:pPr>
      <w:r>
        <w:rPr>
          <w:rFonts w:hint="eastAsia" w:ascii="宋体" w:hAnsi="宋体" w:cs="宋体"/>
          <w:color w:val="auto"/>
          <w:sz w:val="24"/>
        </w:rPr>
        <w:t>（5）投标代表人未能出具身份证明或与法定代表人授权委托人身份不符的；</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（6）投标文件项目不齐全或者内容虚假的；</w:t>
      </w:r>
    </w:p>
    <w:p>
      <w:pPr>
        <w:pStyle w:val="3"/>
        <w:wordWrap w:val="0"/>
        <w:overflowPunct w:val="0"/>
        <w:autoSpaceDE w:val="0"/>
        <w:autoSpaceDN w:val="0"/>
        <w:snapToGrid w:val="0"/>
        <w:spacing w:line="400" w:lineRule="exact"/>
        <w:rPr>
          <w:rFonts w:cs="宋体"/>
          <w:snapToGrid w:val="0"/>
          <w:color w:val="auto"/>
        </w:rPr>
      </w:pPr>
      <w:r>
        <w:rPr>
          <w:rFonts w:hint="eastAsia" w:cs="宋体"/>
          <w:color w:val="auto"/>
        </w:rPr>
        <w:t>（</w:t>
      </w:r>
      <w:r>
        <w:rPr>
          <w:rFonts w:hint="eastAsia" w:cs="宋体"/>
          <w:snapToGrid w:val="0"/>
          <w:color w:val="auto"/>
        </w:rPr>
        <w:t>7）</w:t>
      </w:r>
      <w:r>
        <w:rPr>
          <w:rFonts w:hint="eastAsia" w:cs="宋体"/>
          <w:color w:val="auto"/>
        </w:rPr>
        <w:t>投标文件的实质性内容未使用中文表述、意思表述不明确、前后矛盾或者使用计量单位不符合招标文件要求的（经评标委员会认定并允许其当场更正的笔误除外）；</w:t>
      </w:r>
    </w:p>
    <w:p>
      <w:pPr>
        <w:pStyle w:val="3"/>
        <w:wordWrap w:val="0"/>
        <w:overflowPunct w:val="0"/>
        <w:autoSpaceDE w:val="0"/>
        <w:autoSpaceDN w:val="0"/>
        <w:snapToGrid w:val="0"/>
        <w:spacing w:line="400" w:lineRule="exact"/>
        <w:rPr>
          <w:rFonts w:cs="宋体"/>
          <w:snapToGrid w:val="0"/>
          <w:color w:val="auto"/>
        </w:rPr>
      </w:pPr>
      <w:r>
        <w:rPr>
          <w:rFonts w:hint="eastAsia" w:cs="宋体"/>
          <w:color w:val="auto"/>
        </w:rPr>
        <w:t>（8）</w:t>
      </w:r>
      <w:r>
        <w:rPr>
          <w:rFonts w:hint="eastAsia" w:cs="宋体"/>
          <w:snapToGrid w:val="0"/>
          <w:color w:val="auto"/>
        </w:rPr>
        <w:t>投标有效期、交货时间、质保期等商务条款不能满足招标文件要求的；</w:t>
      </w:r>
    </w:p>
    <w:p>
      <w:pPr>
        <w:pStyle w:val="3"/>
        <w:wordWrap w:val="0"/>
        <w:overflowPunct w:val="0"/>
        <w:autoSpaceDE w:val="0"/>
        <w:autoSpaceDN w:val="0"/>
        <w:snapToGrid w:val="0"/>
        <w:spacing w:line="400" w:lineRule="exact"/>
        <w:rPr>
          <w:rFonts w:cs="宋体"/>
          <w:snapToGrid w:val="0"/>
          <w:color w:val="auto"/>
        </w:rPr>
      </w:pPr>
      <w:r>
        <w:rPr>
          <w:rFonts w:hint="eastAsia" w:cs="宋体"/>
          <w:color w:val="auto"/>
        </w:rPr>
        <w:t>（</w:t>
      </w:r>
      <w:r>
        <w:rPr>
          <w:rFonts w:hint="eastAsia" w:cs="宋体"/>
          <w:snapToGrid w:val="0"/>
          <w:color w:val="auto"/>
        </w:rPr>
        <w:t>9）</w:t>
      </w:r>
      <w:r>
        <w:rPr>
          <w:rFonts w:hint="eastAsia" w:cs="宋体"/>
          <w:color w:val="auto"/>
        </w:rPr>
        <w:t>未实质性响应招标文件要求或者投标文件有招标方不能接受的附加条件的</w:t>
      </w:r>
      <w:r>
        <w:rPr>
          <w:rFonts w:hint="eastAsia" w:cs="宋体"/>
          <w:snapToGrid w:val="0"/>
          <w:color w:val="auto"/>
        </w:rPr>
        <w:t>；</w:t>
      </w:r>
    </w:p>
    <w:p>
      <w:pPr>
        <w:pStyle w:val="3"/>
        <w:wordWrap w:val="0"/>
        <w:overflowPunct w:val="0"/>
        <w:autoSpaceDE w:val="0"/>
        <w:autoSpaceDN w:val="0"/>
        <w:snapToGrid w:val="0"/>
        <w:spacing w:line="400" w:lineRule="exact"/>
        <w:ind w:firstLine="482"/>
        <w:rPr>
          <w:rFonts w:cs="宋体"/>
          <w:b/>
          <w:bCs/>
          <w:color w:val="auto"/>
        </w:rPr>
      </w:pPr>
      <w:r>
        <w:rPr>
          <w:rFonts w:hint="eastAsia" w:cs="宋体"/>
          <w:b/>
          <w:bCs/>
          <w:color w:val="auto"/>
        </w:rPr>
        <w:t>4.在技术评审时，如发现下列情形之一的，投标文件将被视为无效：</w:t>
      </w:r>
    </w:p>
    <w:p>
      <w:pPr>
        <w:pStyle w:val="3"/>
        <w:wordWrap w:val="0"/>
        <w:overflowPunct w:val="0"/>
        <w:autoSpaceDE w:val="0"/>
        <w:autoSpaceDN w:val="0"/>
        <w:snapToGrid w:val="0"/>
        <w:spacing w:line="400" w:lineRule="exact"/>
        <w:rPr>
          <w:rFonts w:cs="宋体"/>
          <w:color w:val="auto"/>
        </w:rPr>
      </w:pPr>
      <w:r>
        <w:rPr>
          <w:rFonts w:hint="eastAsia" w:cs="宋体"/>
          <w:color w:val="auto"/>
        </w:rPr>
        <w:t>（1）未提供或未如实提供投标货物的技术参数，或者投标文件标明的响应或偏离与事实不符或虚假投标的；</w:t>
      </w:r>
    </w:p>
    <w:p>
      <w:pPr>
        <w:pStyle w:val="3"/>
        <w:wordWrap w:val="0"/>
        <w:overflowPunct w:val="0"/>
        <w:autoSpaceDE w:val="0"/>
        <w:autoSpaceDN w:val="0"/>
        <w:snapToGrid w:val="0"/>
        <w:spacing w:line="400" w:lineRule="exact"/>
        <w:rPr>
          <w:rFonts w:cs="宋体"/>
          <w:color w:val="auto"/>
        </w:rPr>
      </w:pPr>
      <w:r>
        <w:rPr>
          <w:rFonts w:hint="eastAsia" w:cs="宋体"/>
          <w:color w:val="auto"/>
        </w:rPr>
        <w:t>（2）</w:t>
      </w:r>
      <w:r>
        <w:rPr>
          <w:rFonts w:hint="eastAsia" w:cs="宋体"/>
          <w:snapToGrid w:val="0"/>
          <w:color w:val="auto"/>
        </w:rPr>
        <w:t>明显不符合招标文件要求的规格型号、质量标准，或者与</w:t>
      </w:r>
      <w:r>
        <w:rPr>
          <w:rFonts w:hint="eastAsia" w:cs="宋体"/>
          <w:color w:val="auto"/>
        </w:rPr>
        <w:t>招标文件中标“▲”的技术指标、主要功能项目发生实质性偏离的；</w:t>
      </w:r>
    </w:p>
    <w:p>
      <w:pPr>
        <w:pStyle w:val="3"/>
        <w:wordWrap w:val="0"/>
        <w:overflowPunct w:val="0"/>
        <w:autoSpaceDE w:val="0"/>
        <w:autoSpaceDN w:val="0"/>
        <w:snapToGrid w:val="0"/>
        <w:spacing w:line="400" w:lineRule="exact"/>
        <w:rPr>
          <w:rFonts w:cs="宋体"/>
          <w:color w:val="auto"/>
        </w:rPr>
      </w:pPr>
      <w:r>
        <w:rPr>
          <w:rFonts w:hint="eastAsia" w:cs="宋体"/>
          <w:color w:val="auto"/>
        </w:rPr>
        <w:t>（3）投标技术方案不明确，存在一个或一个以上备选（替代）投标方案的；</w:t>
      </w:r>
    </w:p>
    <w:p>
      <w:pPr>
        <w:pStyle w:val="3"/>
        <w:wordWrap w:val="0"/>
        <w:overflowPunct w:val="0"/>
        <w:autoSpaceDE w:val="0"/>
        <w:autoSpaceDN w:val="0"/>
        <w:snapToGrid w:val="0"/>
        <w:spacing w:line="400" w:lineRule="exact"/>
        <w:ind w:firstLine="482"/>
        <w:rPr>
          <w:rFonts w:cs="宋体"/>
          <w:b/>
          <w:bCs/>
          <w:color w:val="auto"/>
        </w:rPr>
      </w:pPr>
      <w:r>
        <w:rPr>
          <w:rFonts w:hint="eastAsia" w:cs="宋体"/>
          <w:b/>
          <w:bCs/>
          <w:color w:val="auto"/>
        </w:rPr>
        <w:t>5.在报价评审时，如发现下列情形之一的，投标文件将被视为无效：</w:t>
      </w:r>
    </w:p>
    <w:p>
      <w:pPr>
        <w:pStyle w:val="3"/>
        <w:wordWrap w:val="0"/>
        <w:overflowPunct w:val="0"/>
        <w:autoSpaceDE w:val="0"/>
        <w:autoSpaceDN w:val="0"/>
        <w:snapToGrid w:val="0"/>
        <w:spacing w:line="400" w:lineRule="exact"/>
        <w:rPr>
          <w:rFonts w:cs="宋体"/>
          <w:color w:val="auto"/>
        </w:rPr>
      </w:pPr>
      <w:r>
        <w:rPr>
          <w:rFonts w:hint="eastAsia" w:cs="宋体"/>
          <w:color w:val="auto"/>
        </w:rPr>
        <w:t>（1）未采用人民币报价或者未按照招标文件标明的币种报价的；</w:t>
      </w:r>
    </w:p>
    <w:p>
      <w:pPr>
        <w:pStyle w:val="3"/>
        <w:wordWrap w:val="0"/>
        <w:overflowPunct w:val="0"/>
        <w:autoSpaceDE w:val="0"/>
        <w:autoSpaceDN w:val="0"/>
        <w:snapToGrid w:val="0"/>
        <w:spacing w:line="400" w:lineRule="exact"/>
        <w:rPr>
          <w:rFonts w:cs="宋体"/>
          <w:color w:val="auto"/>
        </w:rPr>
      </w:pPr>
      <w:r>
        <w:rPr>
          <w:rFonts w:hint="eastAsia" w:cs="宋体"/>
          <w:color w:val="auto"/>
        </w:rPr>
        <w:t>（2）报价超出最高限价，或者超出采购预算金额；</w:t>
      </w:r>
    </w:p>
    <w:p>
      <w:pPr>
        <w:pStyle w:val="3"/>
        <w:wordWrap w:val="0"/>
        <w:overflowPunct w:val="0"/>
        <w:autoSpaceDE w:val="0"/>
        <w:autoSpaceDN w:val="0"/>
        <w:snapToGrid w:val="0"/>
        <w:spacing w:line="400" w:lineRule="exact"/>
        <w:rPr>
          <w:rFonts w:cs="宋体"/>
          <w:color w:val="auto"/>
        </w:rPr>
      </w:pPr>
      <w:r>
        <w:rPr>
          <w:rFonts w:hint="eastAsia" w:cs="宋体"/>
          <w:color w:val="auto"/>
        </w:rPr>
        <w:t>（3）投标报价具有选择性，或者开标价格与投标文件承诺的优惠（折扣）价格不一致的；</w:t>
      </w:r>
    </w:p>
    <w:p>
      <w:pPr>
        <w:pStyle w:val="3"/>
        <w:wordWrap w:val="0"/>
        <w:overflowPunct w:val="0"/>
        <w:autoSpaceDE w:val="0"/>
        <w:autoSpaceDN w:val="0"/>
        <w:snapToGrid w:val="0"/>
        <w:spacing w:line="400" w:lineRule="exact"/>
        <w:ind w:firstLine="482"/>
        <w:rPr>
          <w:rFonts w:cs="宋体"/>
          <w:b/>
          <w:color w:val="auto"/>
        </w:rPr>
      </w:pPr>
      <w:r>
        <w:rPr>
          <w:rFonts w:hint="eastAsia" w:cs="宋体"/>
          <w:b/>
          <w:color w:val="auto"/>
        </w:rPr>
        <w:t>6.被拒绝的投标文件为无效；</w:t>
      </w:r>
    </w:p>
    <w:p>
      <w:pPr>
        <w:pStyle w:val="3"/>
        <w:wordWrap w:val="0"/>
        <w:overflowPunct w:val="0"/>
        <w:autoSpaceDE w:val="0"/>
        <w:autoSpaceDN w:val="0"/>
        <w:snapToGrid w:val="0"/>
        <w:spacing w:line="400" w:lineRule="exact"/>
        <w:ind w:firstLine="482"/>
        <w:rPr>
          <w:rFonts w:cs="宋体"/>
          <w:b/>
          <w:color w:val="auto"/>
        </w:rPr>
      </w:pPr>
      <w:r>
        <w:rPr>
          <w:rFonts w:hint="eastAsia" w:cs="宋体"/>
          <w:b/>
          <w:color w:val="auto"/>
        </w:rPr>
        <w:t>7.存在带“▲”条款的负偏离的；</w:t>
      </w:r>
    </w:p>
    <w:p>
      <w:pPr>
        <w:pStyle w:val="3"/>
        <w:wordWrap w:val="0"/>
        <w:overflowPunct w:val="0"/>
        <w:autoSpaceDE w:val="0"/>
        <w:autoSpaceDN w:val="0"/>
        <w:snapToGrid w:val="0"/>
        <w:spacing w:line="400" w:lineRule="exact"/>
        <w:ind w:firstLine="482"/>
        <w:rPr>
          <w:rFonts w:cs="宋体"/>
          <w:b/>
          <w:bCs/>
          <w:color w:val="auto"/>
        </w:rPr>
      </w:pPr>
      <w:r>
        <w:rPr>
          <w:rFonts w:hint="eastAsia" w:cs="宋体"/>
          <w:b/>
          <w:bCs/>
          <w:color w:val="auto"/>
        </w:rPr>
        <w:t>8.本招标文件其他部分已规定为无效标的情形；</w:t>
      </w:r>
    </w:p>
    <w:p>
      <w:pPr>
        <w:pStyle w:val="3"/>
        <w:wordWrap w:val="0"/>
        <w:overflowPunct w:val="0"/>
        <w:autoSpaceDE w:val="0"/>
        <w:autoSpaceDN w:val="0"/>
        <w:snapToGrid w:val="0"/>
        <w:spacing w:line="400" w:lineRule="exact"/>
        <w:ind w:firstLine="482"/>
        <w:rPr>
          <w:rFonts w:cs="宋体"/>
          <w:b/>
          <w:bCs/>
          <w:color w:val="auto"/>
        </w:rPr>
      </w:pPr>
      <w:r>
        <w:rPr>
          <w:rFonts w:hint="eastAsia" w:cs="宋体"/>
          <w:b/>
          <w:bCs/>
          <w:color w:val="auto"/>
        </w:rPr>
        <w:t>9.评标专家认定的其他必须按无效标处理的。</w:t>
      </w:r>
    </w:p>
    <w:p>
      <w:pPr>
        <w:pStyle w:val="3"/>
        <w:wordWrap w:val="0"/>
        <w:overflowPunct w:val="0"/>
        <w:autoSpaceDE w:val="0"/>
        <w:autoSpaceDN w:val="0"/>
        <w:snapToGrid w:val="0"/>
        <w:spacing w:line="400" w:lineRule="exact"/>
        <w:ind w:firstLine="482"/>
        <w:rPr>
          <w:rFonts w:cs="宋体"/>
          <w:b/>
          <w:bCs/>
          <w:color w:val="auto"/>
        </w:rPr>
      </w:pPr>
      <w:r>
        <w:rPr>
          <w:rFonts w:hint="eastAsia" w:cs="宋体"/>
          <w:b/>
          <w:bCs/>
          <w:color w:val="auto"/>
        </w:rPr>
        <w:t>（十）出现以下情形，导致电子交易平台无法正常运行，或者无法保证电子交易的公平、公正和安全时，中止电子交易活动：</w:t>
      </w:r>
    </w:p>
    <w:p>
      <w:pPr>
        <w:pStyle w:val="3"/>
        <w:wordWrap w:val="0"/>
        <w:overflowPunct w:val="0"/>
        <w:autoSpaceDE w:val="0"/>
        <w:autoSpaceDN w:val="0"/>
        <w:snapToGrid w:val="0"/>
        <w:spacing w:line="400" w:lineRule="exact"/>
        <w:rPr>
          <w:rFonts w:cs="宋体"/>
          <w:color w:val="auto"/>
        </w:rPr>
      </w:pPr>
      <w:r>
        <w:rPr>
          <w:rFonts w:hint="eastAsia" w:cs="宋体"/>
          <w:color w:val="auto"/>
        </w:rPr>
        <w:t>1.电子交易平台发生故障而无法登录访问的；</w:t>
      </w:r>
    </w:p>
    <w:p>
      <w:pPr>
        <w:pStyle w:val="3"/>
        <w:wordWrap w:val="0"/>
        <w:overflowPunct w:val="0"/>
        <w:autoSpaceDE w:val="0"/>
        <w:autoSpaceDN w:val="0"/>
        <w:snapToGrid w:val="0"/>
        <w:spacing w:line="400" w:lineRule="exact"/>
        <w:rPr>
          <w:rFonts w:cs="宋体"/>
          <w:color w:val="auto"/>
        </w:rPr>
      </w:pPr>
      <w:r>
        <w:rPr>
          <w:rFonts w:hint="eastAsia" w:cs="宋体"/>
          <w:color w:val="auto"/>
        </w:rPr>
        <w:t>2.电子交易平台应用或数据库出现错误，不能进行正常操作的；</w:t>
      </w:r>
    </w:p>
    <w:p>
      <w:pPr>
        <w:pStyle w:val="3"/>
        <w:wordWrap w:val="0"/>
        <w:overflowPunct w:val="0"/>
        <w:autoSpaceDE w:val="0"/>
        <w:autoSpaceDN w:val="0"/>
        <w:snapToGrid w:val="0"/>
        <w:spacing w:line="400" w:lineRule="exact"/>
        <w:rPr>
          <w:rFonts w:cs="宋体"/>
          <w:color w:val="auto"/>
        </w:rPr>
      </w:pPr>
      <w:r>
        <w:rPr>
          <w:rFonts w:hint="eastAsia" w:cs="宋体"/>
          <w:color w:val="auto"/>
        </w:rPr>
        <w:t>3.电子交易平台发现严重安全漏洞，有潜在泄密危险的；</w:t>
      </w:r>
    </w:p>
    <w:p>
      <w:pPr>
        <w:pStyle w:val="3"/>
        <w:wordWrap w:val="0"/>
        <w:overflowPunct w:val="0"/>
        <w:autoSpaceDE w:val="0"/>
        <w:autoSpaceDN w:val="0"/>
        <w:snapToGrid w:val="0"/>
        <w:spacing w:line="400" w:lineRule="exact"/>
        <w:rPr>
          <w:rFonts w:cs="宋体"/>
          <w:color w:val="auto"/>
        </w:rPr>
      </w:pPr>
      <w:r>
        <w:rPr>
          <w:rFonts w:hint="eastAsia" w:cs="宋体"/>
          <w:color w:val="auto"/>
        </w:rPr>
        <w:t>4.病毒发作导致不能进行正常操作的；</w:t>
      </w:r>
    </w:p>
    <w:p>
      <w:pPr>
        <w:pStyle w:val="3"/>
        <w:wordWrap w:val="0"/>
        <w:overflowPunct w:val="0"/>
        <w:autoSpaceDE w:val="0"/>
        <w:autoSpaceDN w:val="0"/>
        <w:snapToGrid w:val="0"/>
        <w:spacing w:line="400" w:lineRule="exact"/>
        <w:rPr>
          <w:rFonts w:cs="宋体"/>
          <w:color w:val="auto"/>
        </w:rPr>
      </w:pPr>
      <w:r>
        <w:rPr>
          <w:rFonts w:hint="eastAsia" w:cs="宋体"/>
          <w:color w:val="auto"/>
        </w:rPr>
        <w:t>5.其他无法保证电子交易的公平、公正和安全的情况。</w:t>
      </w:r>
    </w:p>
    <w:p>
      <w:pPr>
        <w:pStyle w:val="3"/>
        <w:wordWrap w:val="0"/>
        <w:overflowPunct w:val="0"/>
        <w:autoSpaceDE w:val="0"/>
        <w:autoSpaceDN w:val="0"/>
        <w:snapToGrid w:val="0"/>
        <w:spacing w:line="400" w:lineRule="exact"/>
        <w:rPr>
          <w:rFonts w:cs="宋体"/>
          <w:color w:val="auto"/>
        </w:rPr>
      </w:pPr>
      <w:r>
        <w:rPr>
          <w:rFonts w:hint="eastAsia" w:cs="宋体"/>
          <w:color w:val="auto"/>
        </w:rPr>
        <w:t>出现前款规定情形，不影响采购公平、公正性的，采购代理机构可以待上述情形消除后继续组织电子交易活动，也可以决定某些环节以纸质形式进行；影响或可能影响采购公平、公正性的，重新采购。</w:t>
      </w:r>
    </w:p>
    <w:p>
      <w:pPr>
        <w:pStyle w:val="34"/>
        <w:wordWrap w:val="0"/>
        <w:overflowPunct w:val="0"/>
        <w:autoSpaceDE w:val="0"/>
        <w:autoSpaceDN w:val="0"/>
        <w:snapToGrid w:val="0"/>
        <w:spacing w:line="400" w:lineRule="exact"/>
        <w:outlineLvl w:val="0"/>
        <w:rPr>
          <w:rFonts w:hAnsi="宋体" w:cs="宋体"/>
          <w:b/>
          <w:color w:val="auto"/>
          <w:sz w:val="28"/>
          <w:szCs w:val="28"/>
        </w:rPr>
      </w:pPr>
      <w:r>
        <w:rPr>
          <w:rFonts w:hint="eastAsia" w:hAnsi="宋体" w:cs="宋体"/>
          <w:b/>
          <w:color w:val="auto"/>
          <w:sz w:val="28"/>
          <w:szCs w:val="28"/>
        </w:rPr>
        <w:t>四、开标</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（一）开标准备</w:t>
      </w:r>
    </w:p>
    <w:p>
      <w:pPr>
        <w:wordWrap w:val="0"/>
        <w:overflowPunct w:val="0"/>
        <w:autoSpaceDE w:val="0"/>
        <w:autoSpaceDN w:val="0"/>
        <w:snapToGrid w:val="0"/>
        <w:spacing w:line="400" w:lineRule="exact"/>
        <w:ind w:firstLine="482" w:firstLineChars="200"/>
        <w:jc w:val="left"/>
        <w:rPr>
          <w:rFonts w:ascii="宋体" w:hAnsi="宋体" w:cs="宋体"/>
          <w:b/>
          <w:color w:val="auto"/>
          <w:kern w:val="0"/>
          <w:sz w:val="24"/>
        </w:rPr>
      </w:pPr>
      <w:r>
        <w:rPr>
          <w:rFonts w:hint="eastAsia" w:ascii="宋体" w:hAnsi="宋体" w:cs="宋体"/>
          <w:b/>
          <w:color w:val="auto"/>
          <w:sz w:val="24"/>
        </w:rPr>
        <w:t>采购组织机构原则上采用电子评标，按照招标文件规定的时间通过“政府采购云平台”组织开标、开启投标文件，所有供应商可以派授权代表参加或准时在线参加。</w:t>
      </w:r>
      <w:r>
        <w:rPr>
          <w:rFonts w:hint="eastAsia" w:ascii="宋体" w:hAnsi="宋体" w:cs="宋体"/>
          <w:b/>
          <w:color w:val="auto"/>
          <w:kern w:val="0"/>
          <w:sz w:val="24"/>
        </w:rPr>
        <w:t>供应商如不参加开标会议的，视同认可开标结果，事后不得对采购相关人员、招标过程和招标结果提出异议，同时供应商因未在线参加开标而导致投标文件无法按时解密等一切后果由供应商自己承担。</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 xml:space="preserve"> (二) 采购人或者集中采购机构职责</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采购人或者集中采购机构负责组织评标工作，并履行下列职责：</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1.核对评审专家身份和采购人代表授权函，对评审专家在政府采购活动中的职责履行情况予以记录，并及时将有关违法违规行为向财政部门报告；</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2.宣布评标纪律；</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3.公布投标人名单，告知评审专家应当回避的情形；</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4.组织评标委员会推选评标组长，采购人代表不得担任组长；</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5.在评标期间采取必要的通讯管理措施，保证评标活动不受外界干扰；</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6.根据评标委员会的要求介绍政府采购相关政策法规、招标文件；</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7.维护评标秩序，监督评标委员会依照招标文件规定的评标程序、方法和标准进行独立评审，及时制止和纠正采购人代表、评审专家的倾向性言论或者违法违规行为；</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8.核对评标结果，有本办法第六十四条规定情形的，要求评标委员会复核或者书面说明理由，评标委员会拒绝的，应予记录并向本级财政部门报告；</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9.评审工作完成后，按照规定向评审专家支付劳务报酬和异地评审差旅费，不得向评审专家以外的其他人员支付评审劳务报酬；</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10.处理与评标有关的其他事项。</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（三）开标程序</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本项目原则上采用政采云电子招投标开标及评审程序，但有下情形之一的，按以下情况处理：</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1.开标会由采购代理机构主持，主持人宣布开标会议开始；</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 xml:space="preserve">2.主持人介绍参加开标会的人员名单； </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3.主持人宣布评标期间的有关事项；告知应当回避的情形,提请有关人员回避；</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4.电子投标文件开标:</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（1）投标截止时间后，投标人登录政采云平台，用“项目采购-开标评标”功能对电子投标文件进行在线解密。在线解密电子投标文件时间为开标时间起半个小时内。</w:t>
      </w:r>
    </w:p>
    <w:p>
      <w:pPr>
        <w:wordWrap w:val="0"/>
        <w:overflowPunct w:val="0"/>
        <w:autoSpaceDE w:val="0"/>
        <w:autoSpaceDN w:val="0"/>
        <w:snapToGrid w:val="0"/>
        <w:spacing w:line="400" w:lineRule="exact"/>
        <w:rPr>
          <w:rFonts w:ascii="宋体" w:hAnsi="宋体" w:cs="宋体"/>
          <w:color w:val="auto"/>
          <w:sz w:val="24"/>
        </w:rPr>
      </w:pPr>
      <w:r>
        <w:rPr>
          <w:rFonts w:hint="eastAsia" w:ascii="宋体" w:hAnsi="宋体" w:cs="宋体"/>
          <w:color w:val="auto"/>
          <w:sz w:val="24"/>
        </w:rPr>
        <w:t xml:space="preserve">   （2）由采购人代表对资格审查文件进行评审，评标委员会对技术商务文件进行评审。</w:t>
      </w:r>
    </w:p>
    <w:p>
      <w:pPr>
        <w:wordWrap w:val="0"/>
        <w:overflowPunct w:val="0"/>
        <w:autoSpaceDE w:val="0"/>
        <w:autoSpaceDN w:val="0"/>
        <w:spacing w:line="400" w:lineRule="exact"/>
        <w:rPr>
          <w:rFonts w:ascii="宋体" w:hAnsi="宋体" w:cs="宋体"/>
          <w:color w:val="auto"/>
          <w:sz w:val="24"/>
        </w:rPr>
      </w:pPr>
      <w:r>
        <w:rPr>
          <w:rFonts w:hint="eastAsia" w:ascii="宋体" w:hAnsi="宋体" w:cs="宋体"/>
          <w:color w:val="auto"/>
          <w:sz w:val="24"/>
        </w:rPr>
        <w:t xml:space="preserve">   （3）在系统上公开资格审查和技术商务评审结果；</w:t>
      </w:r>
    </w:p>
    <w:p>
      <w:pPr>
        <w:wordWrap w:val="0"/>
        <w:overflowPunct w:val="0"/>
        <w:autoSpaceDE w:val="0"/>
        <w:autoSpaceDN w:val="0"/>
        <w:spacing w:line="400" w:lineRule="exact"/>
        <w:rPr>
          <w:rFonts w:ascii="宋体" w:hAnsi="宋体" w:cs="宋体"/>
          <w:color w:val="auto"/>
          <w:sz w:val="24"/>
        </w:rPr>
      </w:pPr>
      <w:r>
        <w:rPr>
          <w:rFonts w:hint="eastAsia" w:ascii="宋体" w:hAnsi="宋体" w:cs="宋体"/>
          <w:color w:val="auto"/>
          <w:sz w:val="24"/>
        </w:rPr>
        <w:t xml:space="preserve">   （4）在系统上公开报价开标情况；</w:t>
      </w:r>
    </w:p>
    <w:p>
      <w:pPr>
        <w:wordWrap w:val="0"/>
        <w:overflowPunct w:val="0"/>
        <w:autoSpaceDE w:val="0"/>
        <w:autoSpaceDN w:val="0"/>
        <w:spacing w:line="400" w:lineRule="exact"/>
        <w:rPr>
          <w:rFonts w:ascii="宋体" w:hAnsi="宋体" w:cs="宋体"/>
          <w:color w:val="auto"/>
          <w:sz w:val="24"/>
        </w:rPr>
      </w:pPr>
      <w:r>
        <w:rPr>
          <w:rFonts w:hint="eastAsia" w:ascii="宋体" w:hAnsi="宋体" w:cs="宋体"/>
          <w:color w:val="auto"/>
          <w:sz w:val="24"/>
        </w:rPr>
        <w:t xml:space="preserve">   （5）评标委员会对报价情况进行评审；</w:t>
      </w:r>
    </w:p>
    <w:p>
      <w:pPr>
        <w:wordWrap w:val="0"/>
        <w:overflowPunct w:val="0"/>
        <w:autoSpaceDE w:val="0"/>
        <w:autoSpaceDN w:val="0"/>
        <w:spacing w:line="400" w:lineRule="exact"/>
        <w:rPr>
          <w:rFonts w:ascii="宋体" w:hAnsi="宋体" w:cs="宋体"/>
          <w:color w:val="auto"/>
          <w:sz w:val="24"/>
        </w:rPr>
      </w:pPr>
      <w:r>
        <w:rPr>
          <w:rFonts w:hint="eastAsia" w:ascii="宋体" w:hAnsi="宋体" w:cs="宋体"/>
          <w:color w:val="auto"/>
          <w:sz w:val="24"/>
        </w:rPr>
        <w:t xml:space="preserve">   （6）在系统上公布评审结果。</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特别说明：政采云公司如对电子化开标及评审程序有调整的，按调整后的程序操作。</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五、评标</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（一）</w:t>
      </w:r>
      <w:r>
        <w:rPr>
          <w:rFonts w:hint="eastAsia" w:hAnsi="宋体" w:cs="宋体"/>
          <w:b/>
          <w:bCs/>
          <w:color w:val="auto"/>
          <w:sz w:val="24"/>
          <w:szCs w:val="24"/>
        </w:rPr>
        <w:t>组建评标委员会</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本项目评标委员会由采购人代表和相关专业专家组成。评标委员会负责具体评标事务，并独立履行下列职责：</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1.审查、评价投标文件是否符合招标文件的商务、技术等实质性要求；</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2.要求投标人对投标文件有关事项作出澄清或者说明；</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3.对投标文件进行比较和评价；</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4.确定中标候选人名单，以及根据采购人委托直接确定中标人；</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5.向采购人、集中采购机构或者有关部门报告评标中发现的违法行为。</w:t>
      </w:r>
    </w:p>
    <w:p>
      <w:pPr>
        <w:wordWrap w:val="0"/>
        <w:overflowPunct w:val="0"/>
        <w:autoSpaceDE w:val="0"/>
        <w:autoSpaceDN w:val="0"/>
        <w:spacing w:line="400" w:lineRule="exact"/>
        <w:ind w:firstLine="482" w:firstLineChars="200"/>
        <w:rPr>
          <w:rFonts w:ascii="宋体" w:hAnsi="宋体" w:cs="宋体"/>
          <w:b/>
          <w:color w:val="auto"/>
          <w:sz w:val="24"/>
          <w:u w:val="single"/>
        </w:rPr>
      </w:pPr>
      <w:r>
        <w:rPr>
          <w:rFonts w:hint="eastAsia" w:ascii="宋体" w:hAnsi="宋体" w:cs="宋体"/>
          <w:b/>
          <w:color w:val="auto"/>
          <w:sz w:val="24"/>
          <w:u w:val="single"/>
        </w:rPr>
        <w:t>除采购人代表、评标现场组织人员外，采购人的其他工作人员以及与评标工作无关的人员不得进入评标现场。</w:t>
      </w:r>
    </w:p>
    <w:p>
      <w:pPr>
        <w:pStyle w:val="34"/>
        <w:wordWrap w:val="0"/>
        <w:overflowPunct w:val="0"/>
        <w:autoSpaceDE w:val="0"/>
        <w:autoSpaceDN w:val="0"/>
        <w:snapToGrid w:val="0"/>
        <w:spacing w:line="400" w:lineRule="exact"/>
        <w:rPr>
          <w:rFonts w:hAnsi="宋体" w:cs="宋体"/>
          <w:b/>
          <w:bCs/>
          <w:color w:val="auto"/>
          <w:sz w:val="24"/>
          <w:szCs w:val="24"/>
        </w:rPr>
      </w:pPr>
      <w:r>
        <w:rPr>
          <w:rFonts w:hint="eastAsia" w:hAnsi="宋体" w:cs="宋体"/>
          <w:b/>
          <w:color w:val="auto"/>
          <w:sz w:val="24"/>
          <w:szCs w:val="24"/>
        </w:rPr>
        <w:t>（二）</w:t>
      </w:r>
      <w:r>
        <w:rPr>
          <w:rFonts w:hint="eastAsia" w:hAnsi="宋体" w:cs="宋体"/>
          <w:b/>
          <w:bCs/>
          <w:color w:val="auto"/>
          <w:sz w:val="24"/>
          <w:szCs w:val="24"/>
        </w:rPr>
        <w:t>评标的方式</w:t>
      </w:r>
    </w:p>
    <w:p>
      <w:pPr>
        <w:pStyle w:val="34"/>
        <w:wordWrap w:val="0"/>
        <w:overflowPunct w:val="0"/>
        <w:autoSpaceDE w:val="0"/>
        <w:autoSpaceDN w:val="0"/>
        <w:snapToGrid w:val="0"/>
        <w:spacing w:line="400" w:lineRule="exact"/>
        <w:rPr>
          <w:rFonts w:hAnsi="宋体" w:cs="宋体"/>
          <w:color w:val="auto"/>
          <w:sz w:val="24"/>
          <w:szCs w:val="24"/>
        </w:rPr>
      </w:pPr>
      <w:r>
        <w:rPr>
          <w:rFonts w:hint="eastAsia" w:hAnsi="宋体" w:cs="宋体"/>
          <w:color w:val="auto"/>
          <w:sz w:val="24"/>
          <w:szCs w:val="24"/>
        </w:rPr>
        <w:t xml:space="preserve">     本项目采用不公开方式评标，评标的依据为招标文件和投标文件。</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（三）评标程序</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采购人可以在评标前说明项目背景和采购需求，说明内容不得含有歧视性、倾向性意见，不得超出招标文件所述范围。说明应当提交书面材料，并随采购文件一并存档。</w:t>
      </w:r>
    </w:p>
    <w:p>
      <w:pPr>
        <w:wordWrap w:val="0"/>
        <w:overflowPunct w:val="0"/>
        <w:autoSpaceDE w:val="0"/>
        <w:autoSpaceDN w:val="0"/>
        <w:snapToGrid w:val="0"/>
        <w:spacing w:line="400" w:lineRule="exact"/>
        <w:ind w:firstLine="482" w:firstLineChars="200"/>
        <w:rPr>
          <w:rFonts w:ascii="宋体" w:hAnsi="宋体" w:cs="宋体"/>
          <w:b/>
          <w:bCs/>
          <w:color w:val="auto"/>
          <w:sz w:val="24"/>
        </w:rPr>
      </w:pPr>
      <w:r>
        <w:rPr>
          <w:rFonts w:hint="eastAsia" w:ascii="宋体" w:hAnsi="宋体" w:cs="宋体"/>
          <w:b/>
          <w:bCs/>
          <w:color w:val="auto"/>
          <w:sz w:val="24"/>
        </w:rPr>
        <w:t>1.形式审查</w:t>
      </w:r>
    </w:p>
    <w:p>
      <w:pPr>
        <w:wordWrap w:val="0"/>
        <w:overflowPunct w:val="0"/>
        <w:autoSpaceDE w:val="0"/>
        <w:autoSpaceDN w:val="0"/>
        <w:snapToGrid w:val="0"/>
        <w:spacing w:line="400" w:lineRule="exact"/>
        <w:ind w:firstLine="480" w:firstLineChars="200"/>
        <w:rPr>
          <w:rFonts w:ascii="宋体" w:hAnsi="宋体" w:cs="宋体"/>
          <w:b/>
          <w:color w:val="auto"/>
          <w:sz w:val="24"/>
        </w:rPr>
      </w:pPr>
      <w:r>
        <w:rPr>
          <w:rFonts w:hint="eastAsia" w:ascii="宋体" w:hAnsi="宋体" w:cs="宋体"/>
          <w:color w:val="auto"/>
          <w:sz w:val="24"/>
        </w:rPr>
        <w:t>采购人代表和代理机构工作人员协助评标委员会对投标人的资格和投标文件的完整性、合法性等进行审查。</w:t>
      </w:r>
    </w:p>
    <w:p>
      <w:pPr>
        <w:wordWrap w:val="0"/>
        <w:overflowPunct w:val="0"/>
        <w:autoSpaceDE w:val="0"/>
        <w:autoSpaceDN w:val="0"/>
        <w:snapToGrid w:val="0"/>
        <w:spacing w:line="400" w:lineRule="exact"/>
        <w:ind w:firstLine="482" w:firstLineChars="200"/>
        <w:rPr>
          <w:rFonts w:ascii="宋体" w:hAnsi="宋体" w:cs="宋体"/>
          <w:b/>
          <w:bCs/>
          <w:color w:val="auto"/>
          <w:sz w:val="24"/>
        </w:rPr>
      </w:pPr>
      <w:r>
        <w:rPr>
          <w:rFonts w:hint="eastAsia" w:ascii="宋体" w:hAnsi="宋体" w:cs="宋体"/>
          <w:b/>
          <w:bCs/>
          <w:color w:val="auto"/>
          <w:sz w:val="24"/>
        </w:rPr>
        <w:t>2.实质审查与比较</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（1）评标委员会审查投标文件的实质性内容是否符合招标文件的实质性要求。</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（2）评标委员会将根据投标人的投标文件进行审查、核对,如有疑问,将对投标人进行询标,投标人要向评标委员会澄清有关问题,并最终以书面形式进行答复。</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投标人代表未到场、未在线或者拒绝澄清或者澄清的内容改变了投标文件的实质性内容的，评标委员会有权对该投标文件作出不利于投标人的评判。</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（3）各投标人的技术得分为所有评委的有效评分的算术平均数，由指定专人进行计算复核。</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（4）嘉善县公共资源交易中心工作人员协助评标委员会根据本项目的评分标准计算各投标人的商务报价得分。</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（5）评标委员会完成评标后,评委对各部分得分汇总,计算出本项目最终得分、性价比、评标价等。评标委员会按评标原则推荐中标候选人同时起草评标报告。</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（四）澄清问题的形式</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对投标文件中含义不明确、同类问题表述不一致或者有明显文字和计算错误的内容，评标委员会可要求供应商作出必要的澄清、说明或者纠正。</w:t>
      </w:r>
    </w:p>
    <w:p>
      <w:pPr>
        <w:wordWrap w:val="0"/>
        <w:overflowPunct w:val="0"/>
        <w:autoSpaceDE w:val="0"/>
        <w:autoSpaceDN w:val="0"/>
        <w:spacing w:line="400" w:lineRule="exact"/>
        <w:ind w:firstLine="480" w:firstLineChars="200"/>
        <w:rPr>
          <w:rFonts w:ascii="宋体" w:hAnsi="宋体" w:cs="宋体"/>
          <w:color w:val="auto"/>
          <w:sz w:val="24"/>
        </w:rPr>
      </w:pPr>
      <w:r>
        <w:rPr>
          <w:rFonts w:hint="eastAsia" w:ascii="宋体" w:hAnsi="宋体" w:cs="宋体"/>
          <w:color w:val="auto"/>
          <w:sz w:val="24"/>
        </w:rPr>
        <w:t>1.评标委员会可以在“政采云”平台在线询标或其他有效形式要求供应商对同一份投标文件含义不明确或同类问题表述不一致的内容（招标文件其它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2.如果供应商代表拒绝或未按评标委员会要求在“政采云”平台作出在线回复且无其他有效回复方式的，评标委员会可以对其作出无效标处理。</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（五）</w:t>
      </w:r>
      <w:r>
        <w:rPr>
          <w:rFonts w:hint="eastAsia" w:hAnsi="宋体" w:cs="宋体"/>
          <w:b/>
          <w:bCs/>
          <w:color w:val="auto"/>
          <w:sz w:val="24"/>
          <w:szCs w:val="24"/>
        </w:rPr>
        <w:t>错误修正</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投标文件报价出现前后不一致的，除招标文件另有规定外按照下列规定修正：</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1.投标文件中开标一览表（报价表）内容与投标文件中相应内容不一致的，以开标一览表（报价表）为准；</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2.大写金额和小写金额不一致的，以大写金额为准；</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3.单价金额小数点或者百分比有明显错位的，以开标一览表的总价为准，并修改单价；</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4.总价金额与按单价汇总金额不一致的，以单价金额计算结果为准；</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5.电子投标流程中，客户端填写的报价与以pdf格式上传文件中的报价不一致的，应以Pdf格式上传文件中的报价为准。</w:t>
      </w:r>
    </w:p>
    <w:p>
      <w:pPr>
        <w:pStyle w:val="34"/>
        <w:wordWrap w:val="0"/>
        <w:overflowPunct w:val="0"/>
        <w:autoSpaceDE w:val="0"/>
        <w:autoSpaceDN w:val="0"/>
        <w:snapToGrid w:val="0"/>
        <w:spacing w:line="400" w:lineRule="exact"/>
        <w:ind w:firstLine="482" w:firstLineChars="200"/>
        <w:rPr>
          <w:rFonts w:hAnsi="宋体" w:cs="宋体"/>
          <w:b/>
          <w:bCs/>
          <w:color w:val="auto"/>
          <w:sz w:val="24"/>
          <w:szCs w:val="24"/>
        </w:rPr>
      </w:pPr>
      <w:r>
        <w:rPr>
          <w:rFonts w:hint="eastAsia" w:hAnsi="宋体" w:cs="宋体"/>
          <w:b/>
          <w:bCs/>
          <w:color w:val="auto"/>
          <w:sz w:val="24"/>
          <w:szCs w:val="24"/>
        </w:rPr>
        <w:t>同时出现两种以上不一致的，按照前款规定的顺序修正。修正后的报价按照《政府采购货物与服务招标投标管理办法（第87号令）》第五十一条第二款的规定经投标人确认后产生约束力，投标人不确认的，其投标无效。</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（六）</w:t>
      </w:r>
      <w:r>
        <w:rPr>
          <w:rFonts w:hint="eastAsia" w:hAnsi="宋体" w:cs="宋体"/>
          <w:b/>
          <w:bCs/>
          <w:color w:val="auto"/>
          <w:sz w:val="24"/>
          <w:szCs w:val="24"/>
        </w:rPr>
        <w:t>评标原则和评标办法</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2.评标办法。本项目评标办法是</w:t>
      </w:r>
      <w:r>
        <w:rPr>
          <w:rFonts w:hint="eastAsia" w:ascii="宋体" w:hAnsi="宋体" w:cs="宋体"/>
          <w:color w:val="auto"/>
          <w:sz w:val="24"/>
          <w:u w:val="single"/>
        </w:rPr>
        <w:t xml:space="preserve"> 综合评分法 </w:t>
      </w:r>
      <w:r>
        <w:rPr>
          <w:rFonts w:hint="eastAsia" w:ascii="宋体" w:hAnsi="宋体" w:cs="宋体"/>
          <w:color w:val="auto"/>
          <w:sz w:val="24"/>
        </w:rPr>
        <w:t>，具体评标内容及评分标准等详见《第四章：评标办法及评分标准》。</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（七）</w:t>
      </w:r>
      <w:r>
        <w:rPr>
          <w:rFonts w:hint="eastAsia" w:hAnsi="宋体" w:cs="宋体"/>
          <w:b/>
          <w:bCs/>
          <w:color w:val="auto"/>
          <w:sz w:val="24"/>
          <w:szCs w:val="24"/>
        </w:rPr>
        <w:t>评标过程的监控</w:t>
      </w:r>
    </w:p>
    <w:p>
      <w:pPr>
        <w:pStyle w:val="34"/>
        <w:wordWrap w:val="0"/>
        <w:overflowPunct w:val="0"/>
        <w:autoSpaceDE w:val="0"/>
        <w:autoSpaceDN w:val="0"/>
        <w:snapToGrid w:val="0"/>
        <w:spacing w:line="400" w:lineRule="exact"/>
        <w:ind w:firstLine="480" w:firstLineChars="200"/>
        <w:rPr>
          <w:rFonts w:hAnsi="宋体" w:cs="宋体"/>
          <w:color w:val="auto"/>
          <w:sz w:val="24"/>
          <w:szCs w:val="24"/>
        </w:rPr>
      </w:pPr>
      <w:r>
        <w:rPr>
          <w:rFonts w:hint="eastAsia" w:hAnsi="宋体" w:cs="宋体"/>
          <w:color w:val="auto"/>
          <w:sz w:val="24"/>
          <w:szCs w:val="24"/>
        </w:rPr>
        <w:t>本项目评标过程实行全程录音、录像监控，且有</w:t>
      </w:r>
      <w:r>
        <w:rPr>
          <w:rFonts w:hint="eastAsia" w:hAnsi="宋体" w:cs="宋体"/>
          <w:color w:val="auto"/>
          <w:sz w:val="24"/>
          <w:szCs w:val="24"/>
          <w:u w:val="single"/>
        </w:rPr>
        <w:t xml:space="preserve"> 嘉善县公证处 </w:t>
      </w:r>
      <w:r>
        <w:rPr>
          <w:rFonts w:hint="eastAsia" w:hAnsi="宋体" w:cs="宋体"/>
          <w:color w:val="auto"/>
          <w:sz w:val="24"/>
          <w:szCs w:val="24"/>
        </w:rPr>
        <w:t>进行现场公证，投标人在评标过程中所进行的试图影响评标结果的不公正活动，可能导致其投标被拒绝。</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六、定标</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1.采购代理机构在评标结束后2个工作日内将评标报告交采购人确认，同时在发布招标公告的网站上对评标结果进行公示。</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2.投标人对评标结果无异议的，采购人应当自收到评标报告之日起5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如有投标人对评标结果提出质疑的，采购人可在质疑处理完毕后确定中标人。</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3.采购人依法确定中标人后2个工作日内，采购代理机构以书面形式发出《中标通知书》,并同时在相关网站上发布中标公告。</w:t>
      </w:r>
    </w:p>
    <w:p>
      <w:pPr>
        <w:pStyle w:val="34"/>
        <w:wordWrap w:val="0"/>
        <w:overflowPunct w:val="0"/>
        <w:autoSpaceDE w:val="0"/>
        <w:autoSpaceDN w:val="0"/>
        <w:snapToGrid w:val="0"/>
        <w:spacing w:line="400" w:lineRule="exact"/>
        <w:outlineLvl w:val="0"/>
        <w:rPr>
          <w:rFonts w:hAnsi="宋体" w:cs="宋体"/>
          <w:b/>
          <w:color w:val="auto"/>
          <w:sz w:val="24"/>
          <w:szCs w:val="24"/>
        </w:rPr>
      </w:pPr>
      <w:r>
        <w:rPr>
          <w:rFonts w:hint="eastAsia" w:hAnsi="宋体" w:cs="宋体"/>
          <w:b/>
          <w:color w:val="auto"/>
          <w:sz w:val="24"/>
          <w:szCs w:val="24"/>
        </w:rPr>
        <w:t>七、合同授予</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（一）签订合同</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1.采购人与中标人应当在《中标通知书》发出之日起30日内签订政府采购合同。同时，集中采购机构对合同内容进行审查，如发现与采购结果和投标承诺内容不一致的，将予以纠正。</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2.中标人拖延、拒签合同的,将被列入不良行为记录或黑名单，由此产生的一切不利后果由中标人自行承担。</w:t>
      </w:r>
    </w:p>
    <w:p>
      <w:pPr>
        <w:pStyle w:val="34"/>
        <w:wordWrap w:val="0"/>
        <w:overflowPunct w:val="0"/>
        <w:autoSpaceDE w:val="0"/>
        <w:autoSpaceDN w:val="0"/>
        <w:snapToGrid w:val="0"/>
        <w:spacing w:line="400" w:lineRule="exact"/>
        <w:rPr>
          <w:rFonts w:hAnsi="宋体" w:cs="宋体"/>
          <w:b/>
          <w:color w:val="auto"/>
          <w:sz w:val="24"/>
          <w:szCs w:val="24"/>
        </w:rPr>
      </w:pPr>
      <w:r>
        <w:rPr>
          <w:rFonts w:hint="eastAsia" w:hAnsi="宋体" w:cs="宋体"/>
          <w:b/>
          <w:color w:val="auto"/>
          <w:sz w:val="24"/>
          <w:szCs w:val="24"/>
        </w:rPr>
        <w:t>（二）履约保证金</w:t>
      </w:r>
    </w:p>
    <w:p>
      <w:pPr>
        <w:wordWrap w:val="0"/>
        <w:overflowPunct w:val="0"/>
        <w:autoSpaceDE w:val="0"/>
        <w:autoSpaceDN w:val="0"/>
        <w:snapToGrid w:val="0"/>
        <w:spacing w:line="400" w:lineRule="exact"/>
        <w:ind w:firstLine="480" w:firstLineChars="200"/>
        <w:rPr>
          <w:rFonts w:ascii="宋体" w:hAnsi="宋体" w:cs="宋体"/>
          <w:color w:val="auto"/>
          <w:sz w:val="24"/>
        </w:rPr>
      </w:pPr>
      <w:r>
        <w:rPr>
          <w:rFonts w:hint="eastAsia" w:ascii="宋体" w:hAnsi="宋体" w:cs="宋体"/>
          <w:color w:val="auto"/>
          <w:sz w:val="24"/>
        </w:rPr>
        <w:t>1.中标人应按照与采购人约定的履约保证金金额，向采购人交纳履约保证金，中标人可以银行、保险公司出具保函形式提交履约保证金；否则，由此产生的一切不利后果由中标人自行承担。</w:t>
      </w:r>
    </w:p>
    <w:p>
      <w:pPr>
        <w:tabs>
          <w:tab w:val="left" w:pos="0"/>
        </w:tabs>
        <w:spacing w:line="360" w:lineRule="auto"/>
        <w:ind w:firstLine="480"/>
        <w:rPr>
          <w:rFonts w:ascii="仿宋_GB2312" w:hAnsi="仿宋" w:eastAsia="仿宋_GB2312" w:cs="仿宋_GB2312"/>
          <w:color w:val="auto"/>
          <w:sz w:val="18"/>
          <w:szCs w:val="18"/>
        </w:rPr>
      </w:pPr>
      <w:r>
        <w:rPr>
          <w:rFonts w:hint="eastAsia" w:ascii="宋体" w:hAnsi="宋体" w:cs="宋体"/>
          <w:color w:val="auto"/>
          <w:sz w:val="24"/>
        </w:rPr>
        <w:t>2.签订合同后，如中标人不按双方合同约定履约，则没收其全部履约保证金，履约保证金不足以赔偿损失的，按实际损失赔偿。</w:t>
      </w:r>
    </w:p>
    <w:bookmarkEnd w:id="15"/>
    <w:p>
      <w:pPr>
        <w:tabs>
          <w:tab w:val="left" w:pos="0"/>
        </w:tabs>
        <w:spacing w:line="360" w:lineRule="auto"/>
        <w:ind w:firstLine="480"/>
        <w:rPr>
          <w:rFonts w:ascii="仿宋_GB2312" w:hAnsi="仿宋" w:eastAsia="仿宋_GB2312" w:cs="Helvetica"/>
          <w:color w:val="auto"/>
          <w:kern w:val="0"/>
          <w:sz w:val="24"/>
        </w:rPr>
        <w:sectPr>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21" w:name="_Hlt75236290"/>
      <w:bookmarkEnd w:id="21"/>
      <w:bookmarkStart w:id="22" w:name="_Hlt74729768"/>
      <w:bookmarkEnd w:id="22"/>
      <w:bookmarkStart w:id="23" w:name="_Hlt74714665"/>
      <w:bookmarkEnd w:id="23"/>
      <w:bookmarkStart w:id="24" w:name="_Hlt74730295"/>
      <w:bookmarkEnd w:id="24"/>
      <w:bookmarkStart w:id="25" w:name="_Hlt68403820"/>
      <w:bookmarkEnd w:id="25"/>
      <w:bookmarkStart w:id="26" w:name="_Hlt68057669"/>
      <w:bookmarkEnd w:id="26"/>
      <w:bookmarkStart w:id="27" w:name="_Hlt75236101"/>
      <w:bookmarkEnd w:id="27"/>
      <w:bookmarkStart w:id="28" w:name="_Hlt68072990"/>
      <w:bookmarkEnd w:id="28"/>
      <w:bookmarkStart w:id="29" w:name="_Hlt74707468"/>
      <w:bookmarkEnd w:id="29"/>
      <w:bookmarkStart w:id="30" w:name="_Hlt68073093"/>
      <w:bookmarkEnd w:id="30"/>
      <w:bookmarkStart w:id="31" w:name="_Hlt68072998"/>
      <w:bookmarkEnd w:id="31"/>
      <w:bookmarkStart w:id="32" w:name="_Hlt75236011"/>
      <w:bookmarkEnd w:id="32"/>
    </w:p>
    <w:bookmarkEnd w:id="16"/>
    <w:bookmarkEnd w:id="17"/>
    <w:p>
      <w:pPr>
        <w:snapToGrid w:val="0"/>
        <w:spacing w:line="360" w:lineRule="auto"/>
        <w:jc w:val="center"/>
        <w:rPr>
          <w:rFonts w:ascii="仿宋" w:hAnsi="仿宋" w:eastAsia="仿宋" w:cs="仿宋_GB2312"/>
          <w:b/>
          <w:color w:val="auto"/>
          <w:sz w:val="36"/>
          <w:szCs w:val="36"/>
        </w:rPr>
      </w:pPr>
      <w:bookmarkStart w:id="33" w:name="第四部分"/>
      <w:r>
        <w:rPr>
          <w:rFonts w:hint="eastAsia" w:ascii="仿宋" w:hAnsi="仿宋" w:eastAsia="仿宋" w:cs="仿宋_GB2312"/>
          <w:b/>
          <w:color w:val="auto"/>
          <w:sz w:val="36"/>
          <w:szCs w:val="36"/>
        </w:rPr>
        <w:t>第四章 评标办法及评分标准</w:t>
      </w:r>
    </w:p>
    <w:bookmarkEnd w:id="33"/>
    <w:p>
      <w:pPr>
        <w:spacing w:line="480" w:lineRule="exact"/>
        <w:ind w:firstLine="420"/>
        <w:rPr>
          <w:rFonts w:ascii="宋体" w:hAnsi="宋体" w:cs="宋体"/>
          <w:color w:val="auto"/>
          <w:sz w:val="24"/>
        </w:rPr>
      </w:pPr>
      <w:bookmarkStart w:id="34" w:name="_Toc406403000"/>
      <w:r>
        <w:rPr>
          <w:rFonts w:hint="eastAsia" w:ascii="宋体" w:hAnsi="宋体" w:cs="宋体"/>
          <w:color w:val="auto"/>
          <w:sz w:val="24"/>
        </w:rPr>
        <w:t>为公正、公平、科学地选择中标人，根据《中华人民共和国政府采购法》等有关法律法规的规定，并结合本项目的实际，制定本办法。</w:t>
      </w:r>
    </w:p>
    <w:p>
      <w:pPr>
        <w:pStyle w:val="55"/>
        <w:spacing w:line="480" w:lineRule="exact"/>
        <w:rPr>
          <w:rFonts w:ascii="宋体" w:hAnsi="宋体" w:cs="宋体"/>
          <w:color w:val="auto"/>
          <w:sz w:val="24"/>
        </w:rPr>
      </w:pPr>
      <w:r>
        <w:rPr>
          <w:rFonts w:hint="eastAsia" w:ascii="宋体" w:hAnsi="宋体" w:cs="宋体"/>
          <w:color w:val="auto"/>
          <w:sz w:val="24"/>
        </w:rPr>
        <w:t>本办法适用于</w:t>
      </w:r>
      <w:r>
        <w:rPr>
          <w:rFonts w:hint="eastAsia" w:ascii="宋体" w:hAnsi="宋体" w:cs="宋体"/>
          <w:color w:val="auto"/>
          <w:sz w:val="24"/>
          <w:lang w:eastAsia="zh-CN"/>
        </w:rPr>
        <w:t>嘉善县第四幼儿园教育集团硕士幼儿园玩具采购</w:t>
      </w:r>
      <w:r>
        <w:rPr>
          <w:rFonts w:hint="eastAsia" w:ascii="宋体" w:hAnsi="宋体" w:cs="宋体"/>
          <w:color w:val="auto"/>
          <w:sz w:val="24"/>
        </w:rPr>
        <w:t>项目的评标。</w:t>
      </w:r>
    </w:p>
    <w:p>
      <w:pPr>
        <w:spacing w:line="480" w:lineRule="exact"/>
        <w:rPr>
          <w:rFonts w:ascii="宋体" w:hAnsi="宋体" w:cs="宋体"/>
          <w:b/>
          <w:color w:val="auto"/>
          <w:sz w:val="24"/>
        </w:rPr>
      </w:pPr>
      <w:r>
        <w:rPr>
          <w:rFonts w:hint="eastAsia" w:ascii="宋体" w:hAnsi="宋体" w:cs="宋体"/>
          <w:b/>
          <w:color w:val="auto"/>
          <w:sz w:val="24"/>
        </w:rPr>
        <w:t>一 、总则</w:t>
      </w:r>
    </w:p>
    <w:p>
      <w:pPr>
        <w:snapToGrid w:val="0"/>
        <w:spacing w:line="480" w:lineRule="exact"/>
        <w:ind w:firstLine="480" w:firstLineChars="200"/>
        <w:rPr>
          <w:rFonts w:ascii="宋体" w:hAnsi="宋体"/>
          <w:color w:val="auto"/>
          <w:sz w:val="24"/>
        </w:rPr>
      </w:pPr>
      <w:r>
        <w:rPr>
          <w:rFonts w:hint="eastAsia" w:ascii="宋体" w:hAnsi="宋体"/>
          <w:color w:val="auto"/>
          <w:sz w:val="24"/>
        </w:rPr>
        <w:t>本次评标采用综合评分法，总分为100分，其中价格分30分、商务技术70分（其中：商务资信分</w:t>
      </w:r>
      <w:r>
        <w:rPr>
          <w:rFonts w:hint="eastAsia" w:ascii="宋体" w:hAnsi="宋体"/>
          <w:color w:val="auto"/>
          <w:sz w:val="24"/>
          <w:lang w:val="en-US" w:eastAsia="zh-CN"/>
        </w:rPr>
        <w:t>10</w:t>
      </w:r>
      <w:r>
        <w:rPr>
          <w:rFonts w:hint="eastAsia" w:ascii="宋体" w:hAnsi="宋体"/>
          <w:color w:val="auto"/>
          <w:sz w:val="24"/>
        </w:rPr>
        <w:t>分，技术分</w:t>
      </w:r>
      <w:r>
        <w:rPr>
          <w:rFonts w:hint="eastAsia" w:ascii="宋体" w:hAnsi="宋体"/>
          <w:color w:val="auto"/>
          <w:sz w:val="24"/>
          <w:lang w:val="en-US" w:eastAsia="zh-CN"/>
        </w:rPr>
        <w:t>60</w:t>
      </w:r>
      <w:r>
        <w:rPr>
          <w:rFonts w:hint="eastAsia" w:ascii="宋体" w:hAnsi="宋体"/>
          <w:color w:val="auto"/>
          <w:sz w:val="24"/>
        </w:rPr>
        <w:t>分）。中标候选资格按评标综合得分由高到低顺序排列，得分相同的，按投标报价由低到高顺序排列；得分且投标报价相同的，按技术分得分总分由高到低顺序排列，仍不能分出前后的，以电子投标文件解密先后顺序确定。评分过程中采用四舍五入法，并保留小数 2 位。</w:t>
      </w:r>
    </w:p>
    <w:p>
      <w:pPr>
        <w:snapToGrid w:val="0"/>
        <w:spacing w:line="480" w:lineRule="exact"/>
        <w:ind w:firstLine="480" w:firstLineChars="200"/>
        <w:rPr>
          <w:rFonts w:ascii="宋体" w:hAnsi="宋体"/>
          <w:color w:val="auto"/>
          <w:sz w:val="24"/>
        </w:rPr>
      </w:pPr>
      <w:r>
        <w:rPr>
          <w:rFonts w:hint="eastAsia" w:ascii="宋体" w:hAnsi="宋体"/>
          <w:color w:val="auto"/>
          <w:sz w:val="24"/>
        </w:rPr>
        <w:t>投标人评标综合得分=价格分+商务技术分</w:t>
      </w:r>
    </w:p>
    <w:p>
      <w:pPr>
        <w:spacing w:line="480" w:lineRule="exact"/>
        <w:rPr>
          <w:rFonts w:ascii="宋体" w:hAnsi="宋体"/>
          <w:b/>
          <w:color w:val="auto"/>
          <w:sz w:val="24"/>
        </w:rPr>
      </w:pPr>
      <w:r>
        <w:rPr>
          <w:rFonts w:hint="eastAsia" w:ascii="宋体" w:hAnsi="宋体"/>
          <w:b/>
          <w:color w:val="auto"/>
          <w:sz w:val="24"/>
        </w:rPr>
        <w:t>二</w:t>
      </w:r>
      <w:r>
        <w:rPr>
          <w:rFonts w:ascii="宋体" w:hAnsi="宋体"/>
          <w:b/>
          <w:color w:val="auto"/>
          <w:sz w:val="24"/>
        </w:rPr>
        <w:t xml:space="preserve"> </w:t>
      </w:r>
      <w:r>
        <w:rPr>
          <w:rFonts w:hint="eastAsia" w:ascii="宋体" w:hAnsi="宋体"/>
          <w:b/>
          <w:color w:val="auto"/>
          <w:sz w:val="24"/>
        </w:rPr>
        <w:t>、评标内容及标准</w:t>
      </w:r>
    </w:p>
    <w:p>
      <w:pPr>
        <w:pStyle w:val="3"/>
        <w:ind w:firstLine="482"/>
        <w:rPr>
          <w:b/>
          <w:bCs/>
          <w:color w:val="auto"/>
        </w:rPr>
      </w:pPr>
      <w:r>
        <w:rPr>
          <w:b/>
          <w:color w:val="auto"/>
        </w:rPr>
        <w:t>（一）</w:t>
      </w:r>
      <w:r>
        <w:rPr>
          <w:b/>
          <w:bCs/>
          <w:color w:val="auto"/>
        </w:rPr>
        <w:t>价格分（</w:t>
      </w:r>
      <w:r>
        <w:rPr>
          <w:rFonts w:hint="eastAsia"/>
          <w:b/>
          <w:bCs/>
          <w:color w:val="auto"/>
        </w:rPr>
        <w:t>30分）</w:t>
      </w:r>
    </w:p>
    <w:p>
      <w:pPr>
        <w:pStyle w:val="3"/>
        <w:rPr>
          <w:color w:val="auto"/>
        </w:rPr>
      </w:pPr>
      <w:r>
        <w:rPr>
          <w:rFonts w:hint="eastAsia"/>
          <w:color w:val="auto"/>
        </w:rPr>
        <w:t>1.价格分采用低价优先法计算，即满足招标文件要求且投标价格最低的投标报价为评标基准价，其他投标人的价格分按照下列公式计算：</w:t>
      </w:r>
    </w:p>
    <w:p>
      <w:pPr>
        <w:spacing w:line="480" w:lineRule="exact"/>
        <w:ind w:firstLine="480" w:firstLineChars="200"/>
        <w:rPr>
          <w:rFonts w:ascii="宋体" w:hAnsi="宋体"/>
          <w:color w:val="auto"/>
          <w:sz w:val="24"/>
        </w:rPr>
      </w:pPr>
      <w:r>
        <w:rPr>
          <w:rFonts w:hint="eastAsia" w:ascii="宋体" w:hAnsi="宋体"/>
          <w:color w:val="auto"/>
          <w:sz w:val="24"/>
        </w:rPr>
        <w:t>价格分=（评标基准价/投标报价）×30%×100</w:t>
      </w:r>
    </w:p>
    <w:p>
      <w:pPr>
        <w:spacing w:line="480" w:lineRule="exact"/>
        <w:ind w:firstLine="480" w:firstLineChars="200"/>
        <w:rPr>
          <w:rFonts w:hAnsi="宋体"/>
          <w:bCs/>
          <w:color w:val="auto"/>
          <w:sz w:val="24"/>
        </w:rPr>
      </w:pPr>
      <w:r>
        <w:rPr>
          <w:rFonts w:hint="eastAsia" w:hAnsi="宋体"/>
          <w:bCs/>
          <w:color w:val="auto"/>
          <w:sz w:val="24"/>
        </w:rPr>
        <w:t>2.投标人的投标报价超过采购人设定的最高限价，将作为无效标。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
        <w:spacing w:beforeLines="50" w:afterLines="50" w:line="360" w:lineRule="auto"/>
        <w:ind w:firstLine="482"/>
        <w:rPr>
          <w:rFonts w:cs="宋体"/>
          <w:b/>
          <w:color w:val="auto"/>
        </w:rPr>
      </w:pPr>
      <w:r>
        <w:rPr>
          <w:rFonts w:hint="eastAsia" w:cs="宋体"/>
          <w:b/>
          <w:color w:val="auto"/>
        </w:rPr>
        <w:t>（二）商务资信分（</w:t>
      </w:r>
      <w:r>
        <w:rPr>
          <w:rFonts w:hint="eastAsia" w:cs="宋体"/>
          <w:b/>
          <w:color w:val="auto"/>
          <w:lang w:val="en-US" w:eastAsia="zh-CN"/>
        </w:rPr>
        <w:t>10</w:t>
      </w:r>
      <w:r>
        <w:rPr>
          <w:rFonts w:hint="eastAsia" w:cs="宋体"/>
          <w:b/>
          <w:color w:val="auto"/>
        </w:rPr>
        <w:t>分）</w:t>
      </w:r>
    </w:p>
    <w:tbl>
      <w:tblPr>
        <w:tblStyle w:val="63"/>
        <w:tblW w:w="10291" w:type="dxa"/>
        <w:jc w:val="center"/>
        <w:tblInd w:w="0" w:type="dxa"/>
        <w:tblLayout w:type="fixed"/>
        <w:tblCellMar>
          <w:top w:w="0" w:type="dxa"/>
          <w:left w:w="108" w:type="dxa"/>
          <w:bottom w:w="0" w:type="dxa"/>
          <w:right w:w="108" w:type="dxa"/>
        </w:tblCellMar>
      </w:tblPr>
      <w:tblGrid>
        <w:gridCol w:w="1022"/>
        <w:gridCol w:w="982"/>
        <w:gridCol w:w="6068"/>
        <w:gridCol w:w="846"/>
        <w:gridCol w:w="1373"/>
      </w:tblGrid>
      <w:tr>
        <w:tblPrEx>
          <w:tblLayout w:type="fixed"/>
          <w:tblCellMar>
            <w:top w:w="0" w:type="dxa"/>
            <w:left w:w="108" w:type="dxa"/>
            <w:bottom w:w="0" w:type="dxa"/>
            <w:right w:w="108" w:type="dxa"/>
          </w:tblCellMar>
        </w:tblPrEx>
        <w:trPr>
          <w:trHeight w:val="1760" w:hRule="exact"/>
          <w:jc w:val="center"/>
        </w:trPr>
        <w:tc>
          <w:tcPr>
            <w:tcW w:w="1022" w:type="dxa"/>
            <w:vMerge w:val="restart"/>
            <w:tcBorders>
              <w:top w:val="single" w:color="auto" w:sz="4" w:space="0"/>
              <w:left w:val="single" w:color="auto" w:sz="4" w:space="0"/>
              <w:bottom w:val="single" w:color="auto" w:sz="4" w:space="0"/>
              <w:right w:val="single" w:color="auto" w:sz="4" w:space="0"/>
            </w:tcBorders>
            <w:vAlign w:val="center"/>
          </w:tcPr>
          <w:p>
            <w:pPr>
              <w:pStyle w:val="838"/>
              <w:widowControl/>
              <w:tabs>
                <w:tab w:val="left" w:pos="0"/>
                <w:tab w:val="clear" w:pos="8268"/>
              </w:tabs>
              <w:spacing w:line="400" w:lineRule="atLeast"/>
              <w:ind w:firstLine="0" w:firstLineChars="0"/>
              <w:rPr>
                <w:rFonts w:ascii="宋体" w:hAnsi="宋体" w:eastAsia="宋体" w:cs="宋体"/>
                <w:color w:val="auto"/>
                <w:kern w:val="0"/>
                <w:sz w:val="21"/>
                <w:szCs w:val="21"/>
              </w:rPr>
            </w:pPr>
            <w:r>
              <w:rPr>
                <w:rFonts w:hint="eastAsia" w:ascii="宋体" w:hAnsi="宋体" w:eastAsia="宋体" w:cs="宋体"/>
                <w:color w:val="auto"/>
                <w:kern w:val="0"/>
                <w:sz w:val="21"/>
                <w:szCs w:val="21"/>
                <w:lang w:eastAsia="zh-CN"/>
              </w:rPr>
              <w:t>商务</w:t>
            </w:r>
            <w:r>
              <w:rPr>
                <w:rFonts w:hint="eastAsia" w:ascii="宋体" w:hAnsi="宋体" w:eastAsia="宋体" w:cs="宋体"/>
                <w:color w:val="auto"/>
                <w:kern w:val="0"/>
                <w:sz w:val="21"/>
                <w:szCs w:val="21"/>
              </w:rPr>
              <w:t>资信分</w:t>
            </w:r>
            <w:r>
              <w:rPr>
                <w:rFonts w:hint="eastAsia" w:ascii="宋体" w:hAnsi="宋体" w:eastAsia="宋体" w:cs="宋体"/>
                <w:color w:val="auto"/>
                <w:kern w:val="0"/>
                <w:sz w:val="21"/>
                <w:szCs w:val="21"/>
                <w:lang w:val="en-US" w:eastAsia="zh-CN"/>
              </w:rPr>
              <w:t>10</w:t>
            </w:r>
            <w:r>
              <w:rPr>
                <w:rFonts w:hint="eastAsia" w:ascii="宋体" w:hAnsi="宋体" w:eastAsia="宋体" w:cs="宋体"/>
                <w:color w:val="auto"/>
                <w:kern w:val="0"/>
                <w:sz w:val="21"/>
                <w:szCs w:val="21"/>
              </w:rPr>
              <w:t>分</w:t>
            </w:r>
          </w:p>
          <w:p>
            <w:pPr>
              <w:pStyle w:val="838"/>
              <w:tabs>
                <w:tab w:val="left" w:pos="0"/>
                <w:tab w:val="clear" w:pos="8268"/>
              </w:tabs>
              <w:spacing w:line="302" w:lineRule="auto"/>
              <w:ind w:firstLine="420"/>
              <w:jc w:val="center"/>
              <w:rPr>
                <w:rFonts w:ascii="宋体" w:hAnsi="宋体" w:eastAsia="宋体" w:cs="宋体"/>
                <w:color w:val="auto"/>
                <w:kern w:val="0"/>
                <w:sz w:val="21"/>
                <w:szCs w:val="21"/>
              </w:rPr>
            </w:pPr>
          </w:p>
          <w:p>
            <w:pPr>
              <w:pStyle w:val="838"/>
              <w:tabs>
                <w:tab w:val="left" w:pos="0"/>
                <w:tab w:val="clear" w:pos="8268"/>
              </w:tabs>
              <w:spacing w:line="302" w:lineRule="auto"/>
              <w:jc w:val="center"/>
              <w:rPr>
                <w:rFonts w:ascii="宋体" w:hAnsi="宋体" w:eastAsia="宋体" w:cs="宋体"/>
                <w:color w:val="auto"/>
                <w:sz w:val="21"/>
                <w:szCs w:val="21"/>
              </w:rPr>
            </w:pPr>
          </w:p>
        </w:tc>
        <w:tc>
          <w:tcPr>
            <w:tcW w:w="982" w:type="dxa"/>
            <w:tcBorders>
              <w:top w:val="single" w:color="auto" w:sz="4" w:space="0"/>
              <w:left w:val="single" w:color="auto" w:sz="4" w:space="0"/>
              <w:bottom w:val="single" w:color="auto" w:sz="4" w:space="0"/>
              <w:right w:val="single" w:color="auto" w:sz="4" w:space="0"/>
            </w:tcBorders>
            <w:vAlign w:val="center"/>
          </w:tcPr>
          <w:p>
            <w:pPr>
              <w:pStyle w:val="961"/>
              <w:snapToGrid w:val="0"/>
              <w:spacing w:line="360" w:lineRule="auto"/>
              <w:jc w:val="left"/>
              <w:rPr>
                <w:rFonts w:hint="default" w:ascii="宋体" w:hAnsi="宋体" w:cs="宋体"/>
                <w:color w:val="auto"/>
                <w:kern w:val="0"/>
                <w:sz w:val="21"/>
                <w:szCs w:val="21"/>
              </w:rPr>
            </w:pPr>
            <w:r>
              <w:rPr>
                <w:rFonts w:ascii="宋体" w:hAnsi="宋体" w:cs="宋体"/>
                <w:color w:val="auto"/>
                <w:kern w:val="0"/>
                <w:sz w:val="21"/>
                <w:szCs w:val="21"/>
              </w:rPr>
              <w:t>诚信分</w:t>
            </w:r>
          </w:p>
          <w:p>
            <w:pPr>
              <w:pStyle w:val="961"/>
              <w:snapToGrid w:val="0"/>
              <w:spacing w:line="360" w:lineRule="auto"/>
              <w:jc w:val="left"/>
              <w:rPr>
                <w:rFonts w:hint="default" w:ascii="宋体" w:hAnsi="宋体" w:cs="宋体"/>
                <w:color w:val="auto"/>
                <w:kern w:val="0"/>
                <w:sz w:val="21"/>
                <w:szCs w:val="21"/>
              </w:rPr>
            </w:pPr>
            <w:r>
              <w:rPr>
                <w:rFonts w:hint="eastAsia" w:ascii="宋体" w:hAnsi="宋体" w:cs="宋体"/>
                <w:color w:val="auto"/>
                <w:kern w:val="0"/>
                <w:sz w:val="21"/>
                <w:szCs w:val="21"/>
                <w:lang w:val="en-US" w:eastAsia="zh-CN"/>
              </w:rPr>
              <w:t>3</w:t>
            </w:r>
            <w:r>
              <w:rPr>
                <w:rFonts w:ascii="宋体" w:hAnsi="宋体" w:cs="宋体"/>
                <w:color w:val="auto"/>
                <w:kern w:val="0"/>
                <w:sz w:val="21"/>
                <w:szCs w:val="21"/>
              </w:rPr>
              <w:t>分</w:t>
            </w:r>
          </w:p>
        </w:tc>
        <w:tc>
          <w:tcPr>
            <w:tcW w:w="6068" w:type="dxa"/>
            <w:tcBorders>
              <w:top w:val="single" w:color="auto" w:sz="4" w:space="0"/>
              <w:left w:val="single" w:color="auto" w:sz="4" w:space="0"/>
              <w:bottom w:val="single" w:color="auto" w:sz="4" w:space="0"/>
              <w:right w:val="single" w:color="auto" w:sz="4" w:space="0"/>
            </w:tcBorders>
            <w:vAlign w:val="center"/>
          </w:tcPr>
          <w:p>
            <w:pPr>
              <w:pStyle w:val="961"/>
              <w:snapToGrid w:val="0"/>
              <w:spacing w:line="360" w:lineRule="auto"/>
              <w:jc w:val="left"/>
              <w:rPr>
                <w:rFonts w:hint="default" w:ascii="宋体" w:hAnsi="宋体" w:cs="宋体"/>
                <w:color w:val="auto"/>
                <w:kern w:val="0"/>
                <w:sz w:val="21"/>
                <w:szCs w:val="21"/>
              </w:rPr>
            </w:pPr>
            <w:r>
              <w:rPr>
                <w:rFonts w:ascii="宋体" w:hAnsi="宋体" w:cs="宋体"/>
                <w:color w:val="auto"/>
                <w:kern w:val="0"/>
                <w:sz w:val="21"/>
                <w:szCs w:val="21"/>
              </w:rPr>
              <w:t>凡在投标截止时间前三年受到行政处罚、行政处理（含通报）或记入不良行为的，此项得分为0，若无处罚、行政处理（含通报）或记入不良行为的得</w:t>
            </w:r>
            <w:r>
              <w:rPr>
                <w:rFonts w:hint="eastAsia" w:ascii="宋体" w:hAnsi="宋体" w:cs="宋体"/>
                <w:color w:val="auto"/>
                <w:kern w:val="0"/>
                <w:sz w:val="21"/>
                <w:szCs w:val="21"/>
                <w:lang w:val="en-US" w:eastAsia="zh-CN"/>
              </w:rPr>
              <w:t>3</w:t>
            </w:r>
            <w:r>
              <w:rPr>
                <w:rFonts w:ascii="宋体" w:hAnsi="宋体" w:cs="宋体"/>
                <w:color w:val="auto"/>
                <w:kern w:val="0"/>
                <w:sz w:val="21"/>
                <w:szCs w:val="21"/>
              </w:rPr>
              <w:t>分（供应商自行提供，如有不良记录又虚假隐瞒的，一经发现将取消投标资格）。</w:t>
            </w:r>
          </w:p>
        </w:tc>
        <w:tc>
          <w:tcPr>
            <w:tcW w:w="846" w:type="dxa"/>
            <w:tcBorders>
              <w:top w:val="single" w:color="auto" w:sz="4" w:space="0"/>
              <w:left w:val="single" w:color="auto" w:sz="4" w:space="0"/>
              <w:bottom w:val="single" w:color="auto" w:sz="4" w:space="0"/>
              <w:right w:val="single" w:color="auto" w:sz="4" w:space="0"/>
            </w:tcBorders>
            <w:vAlign w:val="center"/>
          </w:tcPr>
          <w:p>
            <w:pPr>
              <w:pStyle w:val="961"/>
              <w:snapToGrid w:val="0"/>
              <w:spacing w:line="360" w:lineRule="auto"/>
              <w:jc w:val="center"/>
              <w:rPr>
                <w:rFonts w:hint="eastAsia" w:ascii="宋体" w:hAnsi="宋体" w:eastAsia="宋体" w:cs="宋体"/>
                <w:color w:val="auto"/>
                <w:kern w:val="0"/>
                <w:sz w:val="21"/>
                <w:szCs w:val="21"/>
                <w:lang w:eastAsia="zh-CN"/>
              </w:rPr>
            </w:pPr>
            <w:r>
              <w:rPr>
                <w:rFonts w:ascii="宋体" w:hAnsi="宋体" w:cs="宋体"/>
                <w:color w:val="auto"/>
                <w:kern w:val="0"/>
                <w:sz w:val="21"/>
                <w:szCs w:val="21"/>
              </w:rPr>
              <w:t>0-</w:t>
            </w:r>
            <w:r>
              <w:rPr>
                <w:rFonts w:hint="eastAsia" w:ascii="宋体" w:hAnsi="宋体" w:cs="宋体"/>
                <w:color w:val="auto"/>
                <w:kern w:val="0"/>
                <w:sz w:val="21"/>
                <w:szCs w:val="21"/>
                <w:lang w:val="en-US" w:eastAsia="zh-CN"/>
              </w:rPr>
              <w:t>3</w:t>
            </w:r>
          </w:p>
        </w:tc>
        <w:tc>
          <w:tcPr>
            <w:tcW w:w="1373" w:type="dxa"/>
            <w:tcBorders>
              <w:top w:val="single" w:color="auto" w:sz="4" w:space="0"/>
              <w:left w:val="single" w:color="auto" w:sz="4" w:space="0"/>
              <w:bottom w:val="single" w:color="auto" w:sz="4" w:space="0"/>
              <w:right w:val="single" w:color="auto" w:sz="4" w:space="0"/>
            </w:tcBorders>
            <w:vAlign w:val="center"/>
          </w:tcPr>
          <w:p>
            <w:pPr>
              <w:pStyle w:val="961"/>
              <w:snapToGrid w:val="0"/>
              <w:spacing w:line="360" w:lineRule="auto"/>
              <w:jc w:val="center"/>
              <w:rPr>
                <w:rFonts w:hint="default" w:ascii="宋体" w:hAnsi="宋体" w:cs="宋体"/>
                <w:color w:val="auto"/>
                <w:kern w:val="0"/>
                <w:sz w:val="21"/>
                <w:szCs w:val="21"/>
              </w:rPr>
            </w:pPr>
            <w:r>
              <w:rPr>
                <w:rFonts w:ascii="宋体" w:hAnsi="宋体" w:cs="宋体"/>
                <w:color w:val="auto"/>
                <w:kern w:val="0"/>
                <w:sz w:val="21"/>
                <w:szCs w:val="21"/>
              </w:rPr>
              <w:t>客观分</w:t>
            </w:r>
          </w:p>
        </w:tc>
      </w:tr>
      <w:tr>
        <w:tblPrEx>
          <w:tblLayout w:type="fixed"/>
          <w:tblCellMar>
            <w:top w:w="0" w:type="dxa"/>
            <w:left w:w="108" w:type="dxa"/>
            <w:bottom w:w="0" w:type="dxa"/>
            <w:right w:w="108" w:type="dxa"/>
          </w:tblCellMar>
        </w:tblPrEx>
        <w:trPr>
          <w:trHeight w:val="3117" w:hRule="exact"/>
          <w:jc w:val="center"/>
        </w:trPr>
        <w:tc>
          <w:tcPr>
            <w:tcW w:w="1022" w:type="dxa"/>
            <w:vMerge w:val="continue"/>
            <w:tcBorders>
              <w:top w:val="single" w:color="auto" w:sz="4" w:space="0"/>
              <w:left w:val="single" w:color="auto" w:sz="4" w:space="0"/>
              <w:bottom w:val="single" w:color="auto" w:sz="4" w:space="0"/>
              <w:right w:val="single" w:color="auto" w:sz="4" w:space="0"/>
            </w:tcBorders>
            <w:vAlign w:val="center"/>
          </w:tcPr>
          <w:p>
            <w:pPr>
              <w:pStyle w:val="838"/>
              <w:widowControl/>
              <w:tabs>
                <w:tab w:val="left" w:pos="0"/>
                <w:tab w:val="clear" w:pos="8268"/>
              </w:tabs>
              <w:spacing w:line="400" w:lineRule="atLeast"/>
              <w:rPr>
                <w:rFonts w:ascii="宋体" w:hAnsi="宋体" w:eastAsia="宋体" w:cs="宋体"/>
                <w:color w:val="auto"/>
                <w:sz w:val="21"/>
                <w:szCs w:val="21"/>
              </w:rPr>
            </w:pPr>
          </w:p>
        </w:tc>
        <w:tc>
          <w:tcPr>
            <w:tcW w:w="982" w:type="dxa"/>
            <w:tcBorders>
              <w:top w:val="single" w:color="auto" w:sz="4" w:space="0"/>
              <w:left w:val="single" w:color="auto" w:sz="4" w:space="0"/>
              <w:bottom w:val="single" w:color="auto" w:sz="4" w:space="0"/>
              <w:right w:val="single" w:color="auto" w:sz="4" w:space="0"/>
            </w:tcBorders>
            <w:vAlign w:val="center"/>
          </w:tcPr>
          <w:p>
            <w:pPr>
              <w:spacing w:line="300" w:lineRule="auto"/>
              <w:jc w:val="left"/>
              <w:rPr>
                <w:rFonts w:ascii="宋体" w:hAnsi="宋体" w:cs="宋体"/>
                <w:color w:val="auto"/>
                <w:kern w:val="0"/>
                <w:sz w:val="21"/>
                <w:szCs w:val="21"/>
              </w:rPr>
            </w:pPr>
            <w:r>
              <w:rPr>
                <w:rFonts w:hint="eastAsia" w:ascii="宋体" w:hAnsi="宋体" w:cs="宋体"/>
                <w:color w:val="auto"/>
                <w:kern w:val="0"/>
                <w:sz w:val="21"/>
                <w:szCs w:val="21"/>
              </w:rPr>
              <w:t xml:space="preserve">相关证书 </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分</w:t>
            </w:r>
          </w:p>
        </w:tc>
        <w:tc>
          <w:tcPr>
            <w:tcW w:w="606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cs="宋体"/>
                <w:color w:val="auto"/>
                <w:sz w:val="21"/>
                <w:szCs w:val="21"/>
              </w:rPr>
            </w:pPr>
            <w:r>
              <w:rPr>
                <w:rFonts w:hint="eastAsia" w:ascii="宋体" w:hAnsi="宋体" w:cs="宋体"/>
                <w:color w:val="auto"/>
                <w:sz w:val="21"/>
                <w:szCs w:val="21"/>
              </w:rPr>
              <w:t>投标人或所投核心产品的制造商具有：</w:t>
            </w:r>
          </w:p>
          <w:p>
            <w:pPr>
              <w:widowControl/>
              <w:spacing w:line="400" w:lineRule="exact"/>
              <w:jc w:val="left"/>
              <w:rPr>
                <w:rFonts w:ascii="宋体" w:hAnsi="宋体" w:cs="宋体"/>
                <w:color w:val="auto"/>
                <w:sz w:val="21"/>
                <w:szCs w:val="21"/>
              </w:rPr>
            </w:pPr>
            <w:r>
              <w:rPr>
                <w:rFonts w:hint="eastAsia" w:ascii="宋体" w:hAnsi="宋体" w:cs="宋体"/>
                <w:color w:val="auto"/>
                <w:sz w:val="21"/>
                <w:szCs w:val="21"/>
              </w:rPr>
              <w:t>1</w:t>
            </w:r>
            <w:r>
              <w:rPr>
                <w:rFonts w:hint="eastAsia" w:ascii="宋体" w:hAnsi="宋体" w:cs="宋体"/>
                <w:color w:val="auto"/>
                <w:sz w:val="21"/>
                <w:szCs w:val="21"/>
                <w:lang w:eastAsia="zh-CN"/>
              </w:rPr>
              <w:t>、</w:t>
            </w:r>
            <w:r>
              <w:rPr>
                <w:rFonts w:hint="eastAsia" w:ascii="宋体" w:hAnsi="宋体" w:cs="宋体"/>
                <w:color w:val="auto"/>
                <w:sz w:val="21"/>
                <w:szCs w:val="21"/>
              </w:rPr>
              <w:t>有效期内的ISO9001质量管理体系认证证书的得1分。</w:t>
            </w:r>
          </w:p>
          <w:p>
            <w:pPr>
              <w:widowControl/>
              <w:spacing w:line="400" w:lineRule="exact"/>
              <w:jc w:val="left"/>
              <w:rPr>
                <w:rFonts w:ascii="宋体" w:hAnsi="宋体" w:cs="宋体"/>
                <w:color w:val="auto"/>
                <w:sz w:val="21"/>
                <w:szCs w:val="21"/>
              </w:rPr>
            </w:pPr>
            <w:r>
              <w:rPr>
                <w:rFonts w:hint="eastAsia" w:ascii="宋体" w:hAnsi="宋体" w:cs="宋体"/>
                <w:color w:val="auto"/>
                <w:sz w:val="21"/>
                <w:szCs w:val="21"/>
              </w:rPr>
              <w:t>2、有效期内的ISO14001环境管理体系认证证书的得1分。</w:t>
            </w:r>
          </w:p>
          <w:p>
            <w:pPr>
              <w:widowControl/>
              <w:spacing w:line="400" w:lineRule="exact"/>
              <w:jc w:val="left"/>
              <w:rPr>
                <w:rFonts w:ascii="宋体" w:hAnsi="宋体" w:cs="宋体"/>
                <w:color w:val="auto"/>
                <w:sz w:val="21"/>
                <w:szCs w:val="21"/>
              </w:rPr>
            </w:pPr>
            <w:r>
              <w:rPr>
                <w:rFonts w:hint="eastAsia" w:ascii="宋体" w:hAnsi="宋体" w:cs="宋体"/>
                <w:color w:val="auto"/>
                <w:sz w:val="21"/>
                <w:szCs w:val="21"/>
                <w:lang w:val="en-US" w:eastAsia="zh-CN"/>
              </w:rPr>
              <w:t>3</w:t>
            </w:r>
            <w:r>
              <w:rPr>
                <w:rFonts w:hint="eastAsia" w:ascii="宋体" w:hAnsi="宋体" w:cs="宋体"/>
                <w:color w:val="auto"/>
                <w:sz w:val="21"/>
                <w:szCs w:val="21"/>
              </w:rPr>
              <w:t>、有效期内的ISO45001职业健康安全管理体系认证证书或(GB/T 28001职业健康安全管理体系认证证书)的得1分。</w:t>
            </w:r>
          </w:p>
          <w:p>
            <w:pPr>
              <w:widowControl/>
              <w:spacing w:line="400" w:lineRule="exact"/>
              <w:jc w:val="left"/>
              <w:rPr>
                <w:rFonts w:ascii="宋体" w:hAnsi="宋体" w:cs="宋体"/>
                <w:color w:val="auto"/>
                <w:sz w:val="21"/>
                <w:szCs w:val="21"/>
              </w:rPr>
            </w:pPr>
            <w:r>
              <w:rPr>
                <w:rFonts w:hint="eastAsia" w:ascii="宋体" w:hAnsi="宋体" w:cs="宋体"/>
                <w:color w:val="auto"/>
                <w:sz w:val="21"/>
                <w:szCs w:val="21"/>
              </w:rPr>
              <w:t>4、有效期内的</w:t>
            </w:r>
            <w:r>
              <w:rPr>
                <w:rFonts w:hint="eastAsia" w:ascii="宋体" w:hAnsi="宋体" w:cs="宋体"/>
                <w:color w:val="auto"/>
                <w:sz w:val="21"/>
                <w:szCs w:val="21"/>
                <w:lang w:val="en-US" w:eastAsia="zh-CN"/>
              </w:rPr>
              <w:t>中国质量认证中心</w:t>
            </w:r>
            <w:r>
              <w:rPr>
                <w:rFonts w:hint="eastAsia" w:ascii="宋体" w:hAnsi="宋体" w:cs="宋体"/>
                <w:color w:val="auto"/>
                <w:sz w:val="21"/>
                <w:szCs w:val="21"/>
              </w:rPr>
              <w:t>CQC认证证书</w:t>
            </w:r>
            <w:r>
              <w:rPr>
                <w:rFonts w:hint="eastAsia" w:ascii="宋体" w:hAnsi="宋体" w:cs="宋体"/>
                <w:color w:val="auto"/>
                <w:sz w:val="21"/>
                <w:szCs w:val="21"/>
                <w:lang w:eastAsia="zh-CN"/>
              </w:rPr>
              <w:t>且认证范围为玩具类的</w:t>
            </w:r>
            <w:r>
              <w:rPr>
                <w:rFonts w:hint="eastAsia" w:ascii="宋体" w:hAnsi="宋体" w:cs="宋体"/>
                <w:color w:val="auto"/>
                <w:sz w:val="21"/>
                <w:szCs w:val="21"/>
                <w:lang w:val="en-US" w:eastAsia="zh-CN"/>
              </w:rPr>
              <w:t>得1分</w:t>
            </w:r>
            <w:r>
              <w:rPr>
                <w:rFonts w:hint="eastAsia" w:ascii="宋体" w:hAnsi="宋体" w:cs="宋体"/>
                <w:color w:val="auto"/>
                <w:sz w:val="21"/>
                <w:szCs w:val="21"/>
              </w:rPr>
              <w:t>。</w:t>
            </w:r>
          </w:p>
        </w:tc>
        <w:tc>
          <w:tcPr>
            <w:tcW w:w="846" w:type="dxa"/>
            <w:tcBorders>
              <w:top w:val="single" w:color="auto" w:sz="4" w:space="0"/>
              <w:left w:val="single" w:color="auto" w:sz="4" w:space="0"/>
              <w:bottom w:val="single" w:color="auto" w:sz="4" w:space="0"/>
              <w:right w:val="single" w:color="auto" w:sz="4" w:space="0"/>
            </w:tcBorders>
            <w:vAlign w:val="center"/>
          </w:tcPr>
          <w:p>
            <w:pPr>
              <w:pStyle w:val="838"/>
              <w:tabs>
                <w:tab w:val="left" w:pos="0"/>
                <w:tab w:val="clear" w:pos="8268"/>
              </w:tabs>
              <w:snapToGrid w:val="0"/>
              <w:spacing w:line="360" w:lineRule="auto"/>
              <w:ind w:firstLine="0" w:firstLineChars="0"/>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0-</w:t>
            </w:r>
            <w:r>
              <w:rPr>
                <w:rFonts w:hint="eastAsia" w:ascii="宋体" w:hAnsi="宋体" w:eastAsia="宋体" w:cs="宋体"/>
                <w:color w:val="auto"/>
                <w:kern w:val="0"/>
                <w:sz w:val="21"/>
                <w:szCs w:val="21"/>
                <w:lang w:val="en-US" w:eastAsia="zh-CN"/>
              </w:rPr>
              <w:t>4</w:t>
            </w:r>
          </w:p>
        </w:tc>
        <w:tc>
          <w:tcPr>
            <w:tcW w:w="1373" w:type="dxa"/>
            <w:tcBorders>
              <w:top w:val="single" w:color="auto" w:sz="4" w:space="0"/>
              <w:left w:val="single" w:color="auto" w:sz="4" w:space="0"/>
              <w:bottom w:val="single" w:color="auto" w:sz="4" w:space="0"/>
              <w:right w:val="single" w:color="auto" w:sz="4" w:space="0"/>
            </w:tcBorders>
            <w:vAlign w:val="center"/>
          </w:tcPr>
          <w:p>
            <w:pPr>
              <w:pStyle w:val="838"/>
              <w:tabs>
                <w:tab w:val="left" w:pos="0"/>
                <w:tab w:val="clear" w:pos="8268"/>
              </w:tabs>
              <w:spacing w:line="360" w:lineRule="auto"/>
              <w:ind w:firstLine="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客观分</w:t>
            </w:r>
          </w:p>
        </w:tc>
      </w:tr>
      <w:tr>
        <w:tblPrEx>
          <w:tblLayout w:type="fixed"/>
          <w:tblCellMar>
            <w:top w:w="0" w:type="dxa"/>
            <w:left w:w="108" w:type="dxa"/>
            <w:bottom w:w="0" w:type="dxa"/>
            <w:right w:w="108" w:type="dxa"/>
          </w:tblCellMar>
        </w:tblPrEx>
        <w:trPr>
          <w:trHeight w:val="2201" w:hRule="exact"/>
          <w:jc w:val="center"/>
        </w:trPr>
        <w:tc>
          <w:tcPr>
            <w:tcW w:w="1022" w:type="dxa"/>
            <w:vMerge w:val="continue"/>
            <w:tcBorders>
              <w:top w:val="single" w:color="auto" w:sz="4" w:space="0"/>
              <w:left w:val="single" w:color="auto" w:sz="4" w:space="0"/>
              <w:bottom w:val="single" w:color="auto" w:sz="4" w:space="0"/>
              <w:right w:val="single" w:color="auto" w:sz="4" w:space="0"/>
            </w:tcBorders>
            <w:vAlign w:val="center"/>
          </w:tcPr>
          <w:p>
            <w:pPr>
              <w:pStyle w:val="838"/>
              <w:widowControl/>
              <w:tabs>
                <w:tab w:val="left" w:pos="0"/>
                <w:tab w:val="clear" w:pos="8268"/>
              </w:tabs>
              <w:spacing w:line="400" w:lineRule="atLeast"/>
              <w:rPr>
                <w:rFonts w:ascii="宋体" w:hAnsi="宋体" w:eastAsia="宋体" w:cs="宋体"/>
                <w:color w:val="auto"/>
                <w:sz w:val="21"/>
                <w:szCs w:val="21"/>
              </w:rPr>
            </w:pPr>
          </w:p>
        </w:tc>
        <w:tc>
          <w:tcPr>
            <w:tcW w:w="982" w:type="dxa"/>
            <w:tcBorders>
              <w:top w:val="single" w:color="auto" w:sz="4" w:space="0"/>
              <w:left w:val="single" w:color="auto" w:sz="4" w:space="0"/>
              <w:bottom w:val="single" w:color="auto" w:sz="4" w:space="0"/>
              <w:right w:val="single" w:color="auto" w:sz="4" w:space="0"/>
            </w:tcBorders>
            <w:vAlign w:val="center"/>
          </w:tcPr>
          <w:p>
            <w:pPr>
              <w:spacing w:line="300" w:lineRule="auto"/>
              <w:jc w:val="left"/>
              <w:rPr>
                <w:rFonts w:ascii="宋体" w:hAnsi="宋体" w:cs="宋体"/>
                <w:color w:val="auto"/>
                <w:kern w:val="0"/>
                <w:sz w:val="21"/>
                <w:szCs w:val="21"/>
              </w:rPr>
            </w:pPr>
            <w:r>
              <w:rPr>
                <w:rFonts w:hint="eastAsia" w:ascii="宋体" w:hAnsi="宋体" w:cs="宋体"/>
                <w:color w:val="auto"/>
                <w:kern w:val="0"/>
                <w:sz w:val="21"/>
                <w:szCs w:val="21"/>
              </w:rPr>
              <w:t>同类业绩3分</w:t>
            </w:r>
          </w:p>
        </w:tc>
        <w:tc>
          <w:tcPr>
            <w:tcW w:w="6068" w:type="dxa"/>
            <w:tcBorders>
              <w:top w:val="single" w:color="auto" w:sz="4" w:space="0"/>
              <w:left w:val="single" w:color="auto" w:sz="4" w:space="0"/>
              <w:bottom w:val="single" w:color="auto" w:sz="4" w:space="0"/>
              <w:right w:val="single" w:color="auto" w:sz="4" w:space="0"/>
            </w:tcBorders>
            <w:vAlign w:val="center"/>
          </w:tcPr>
          <w:p>
            <w:pPr>
              <w:spacing w:line="300" w:lineRule="auto"/>
              <w:jc w:val="left"/>
              <w:rPr>
                <w:rFonts w:ascii="宋体" w:hAnsi="宋体" w:cs="宋体"/>
                <w:color w:val="auto"/>
                <w:kern w:val="0"/>
                <w:sz w:val="21"/>
                <w:szCs w:val="21"/>
              </w:rPr>
            </w:pPr>
            <w:r>
              <w:rPr>
                <w:rFonts w:hint="eastAsia" w:ascii="宋体" w:hAnsi="宋体" w:cs="宋体"/>
                <w:color w:val="auto"/>
                <w:sz w:val="21"/>
                <w:szCs w:val="21"/>
              </w:rPr>
              <w:t>近三年以来（自投标截止日起往前追溯3年）的同类业绩，每提供一个同类业绩得1分，最高得3分。需提供合同和验收材料。</w:t>
            </w:r>
            <w:r>
              <w:rPr>
                <w:rFonts w:hint="eastAsia" w:ascii="宋体" w:hAnsi="宋体" w:eastAsia="宋体" w:cs="宋体"/>
                <w:b/>
                <w:bCs/>
                <w:color w:val="auto"/>
                <w:kern w:val="0"/>
                <w:sz w:val="21"/>
                <w:szCs w:val="21"/>
                <w:highlight w:val="none"/>
                <w:lang w:val="en-US" w:eastAsia="zh-CN" w:bidi="ar"/>
              </w:rPr>
              <w:t>注：根据浙财采监〔2022〕8号文规定，对省级以上主管部门认定的首台套产品，自纳入《省推广应用指导目录》起三年内参加政府采购活动，视同已具备相应销售业绩，业绩分为满分。投标时提供相关证明材料。</w:t>
            </w:r>
          </w:p>
        </w:tc>
        <w:tc>
          <w:tcPr>
            <w:tcW w:w="846" w:type="dxa"/>
            <w:tcBorders>
              <w:top w:val="single" w:color="auto" w:sz="4" w:space="0"/>
              <w:left w:val="single" w:color="auto" w:sz="4" w:space="0"/>
              <w:bottom w:val="single" w:color="auto" w:sz="4" w:space="0"/>
              <w:right w:val="single" w:color="auto" w:sz="4" w:space="0"/>
            </w:tcBorders>
            <w:vAlign w:val="center"/>
          </w:tcPr>
          <w:p>
            <w:pPr>
              <w:pStyle w:val="838"/>
              <w:tabs>
                <w:tab w:val="left" w:pos="0"/>
                <w:tab w:val="clear" w:pos="8268"/>
              </w:tabs>
              <w:snapToGrid w:val="0"/>
              <w:spacing w:line="360" w:lineRule="auto"/>
              <w:ind w:firstLine="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0-3</w:t>
            </w:r>
          </w:p>
        </w:tc>
        <w:tc>
          <w:tcPr>
            <w:tcW w:w="1373" w:type="dxa"/>
            <w:tcBorders>
              <w:top w:val="single" w:color="auto" w:sz="4" w:space="0"/>
              <w:left w:val="single" w:color="auto" w:sz="4" w:space="0"/>
              <w:bottom w:val="single" w:color="auto" w:sz="4" w:space="0"/>
              <w:right w:val="single" w:color="auto" w:sz="4" w:space="0"/>
            </w:tcBorders>
            <w:vAlign w:val="center"/>
          </w:tcPr>
          <w:p>
            <w:pPr>
              <w:pStyle w:val="838"/>
              <w:tabs>
                <w:tab w:val="left" w:pos="0"/>
                <w:tab w:val="clear" w:pos="8268"/>
              </w:tabs>
              <w:spacing w:line="360" w:lineRule="auto"/>
              <w:ind w:firstLine="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客观分</w:t>
            </w:r>
          </w:p>
        </w:tc>
      </w:tr>
    </w:tbl>
    <w:p>
      <w:pPr>
        <w:spacing w:beforeLines="50" w:line="360" w:lineRule="auto"/>
        <w:rPr>
          <w:rFonts w:ascii="宋体" w:hAnsi="宋体" w:cs="宋体"/>
          <w:b/>
          <w:bCs/>
          <w:color w:val="auto"/>
          <w:kern w:val="0"/>
          <w:szCs w:val="21"/>
        </w:rPr>
      </w:pPr>
      <w:r>
        <w:rPr>
          <w:rFonts w:hint="eastAsia" w:ascii="宋体" w:hAnsi="宋体" w:cs="宋体"/>
          <w:b/>
          <w:bCs/>
          <w:color w:val="auto"/>
          <w:kern w:val="0"/>
          <w:szCs w:val="21"/>
        </w:rPr>
        <w:t>注：上述要求提供证书、证明材料、发票、检测报告等均必须在电子标书中上传原件扫描件或图片，不是原件的该项不得分。</w:t>
      </w:r>
    </w:p>
    <w:p>
      <w:pPr>
        <w:snapToGrid w:val="0"/>
        <w:spacing w:beforeLines="30" w:line="400" w:lineRule="exact"/>
        <w:jc w:val="left"/>
        <w:outlineLvl w:val="1"/>
        <w:rPr>
          <w:rFonts w:ascii="宋体" w:hAnsi="宋体" w:cs="宋体"/>
          <w:b/>
          <w:color w:val="auto"/>
          <w:sz w:val="24"/>
        </w:rPr>
      </w:pPr>
      <w:r>
        <w:rPr>
          <w:rFonts w:hint="eastAsia" w:ascii="宋体" w:hAnsi="宋体"/>
          <w:b/>
          <w:color w:val="auto"/>
          <w:sz w:val="24"/>
        </w:rPr>
        <w:t>（</w:t>
      </w:r>
      <w:r>
        <w:rPr>
          <w:rFonts w:ascii="宋体" w:hAnsi="宋体"/>
          <w:b/>
          <w:color w:val="auto"/>
          <w:sz w:val="24"/>
        </w:rPr>
        <w:t>三</w:t>
      </w:r>
      <w:r>
        <w:rPr>
          <w:rFonts w:hint="eastAsia" w:ascii="宋体" w:hAnsi="宋体"/>
          <w:b/>
          <w:color w:val="auto"/>
          <w:sz w:val="24"/>
        </w:rPr>
        <w:t>）技术分</w:t>
      </w:r>
      <w:r>
        <w:rPr>
          <w:rFonts w:hint="eastAsia" w:ascii="宋体" w:hAnsi="宋体" w:cs="宋体"/>
          <w:b/>
          <w:color w:val="auto"/>
          <w:sz w:val="24"/>
        </w:rPr>
        <w:t>（</w:t>
      </w:r>
      <w:r>
        <w:rPr>
          <w:rFonts w:hint="eastAsia" w:ascii="宋体" w:hAnsi="宋体" w:cs="宋体"/>
          <w:b/>
          <w:color w:val="auto"/>
          <w:sz w:val="24"/>
          <w:lang w:val="en-US" w:eastAsia="zh-CN"/>
        </w:rPr>
        <w:t>60</w:t>
      </w:r>
      <w:r>
        <w:rPr>
          <w:rFonts w:hint="eastAsia" w:ascii="宋体" w:hAnsi="宋体" w:cs="宋体"/>
          <w:b/>
          <w:color w:val="auto"/>
          <w:sz w:val="24"/>
        </w:rPr>
        <w:t>分）</w:t>
      </w:r>
    </w:p>
    <w:tbl>
      <w:tblPr>
        <w:tblStyle w:val="63"/>
        <w:tblW w:w="103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500"/>
        <w:gridCol w:w="6059"/>
        <w:gridCol w:w="849"/>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54" w:type="dxa"/>
            <w:vMerge w:val="restart"/>
            <w:tcBorders>
              <w:tl2br w:val="nil"/>
              <w:tr2bl w:val="nil"/>
            </w:tcBorders>
            <w:vAlign w:val="center"/>
          </w:tcPr>
          <w:p>
            <w:pPr>
              <w:pStyle w:val="838"/>
              <w:widowControl/>
              <w:tabs>
                <w:tab w:val="left" w:pos="0"/>
                <w:tab w:val="clear" w:pos="8268"/>
              </w:tabs>
              <w:spacing w:line="360" w:lineRule="auto"/>
              <w:ind w:firstLine="0" w:firstLineChars="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技术分</w:t>
            </w:r>
            <w:r>
              <w:rPr>
                <w:rFonts w:hint="eastAsia" w:ascii="宋体" w:hAnsi="宋体" w:eastAsia="宋体" w:cs="宋体"/>
                <w:color w:val="auto"/>
                <w:kern w:val="0"/>
                <w:sz w:val="21"/>
                <w:szCs w:val="21"/>
                <w:lang w:val="en-US" w:eastAsia="zh-CN"/>
              </w:rPr>
              <w:t>60</w:t>
            </w:r>
            <w:r>
              <w:rPr>
                <w:rFonts w:hint="eastAsia" w:ascii="宋体" w:hAnsi="宋体" w:eastAsia="宋体" w:cs="宋体"/>
                <w:color w:val="auto"/>
                <w:kern w:val="0"/>
                <w:sz w:val="21"/>
                <w:szCs w:val="21"/>
              </w:rPr>
              <w:t>分</w:t>
            </w:r>
          </w:p>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技术指标满足情况</w:t>
            </w: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分</w:t>
            </w:r>
          </w:p>
        </w:tc>
        <w:tc>
          <w:tcPr>
            <w:tcW w:w="6059" w:type="dxa"/>
            <w:tcBorders>
              <w:tl2br w:val="nil"/>
              <w:tr2bl w:val="nil"/>
            </w:tcBorders>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采购文件第二章采购清单中标注★的重要参数，有一项满足需求的得1分，共</w:t>
            </w: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此项</w:t>
            </w:r>
            <w:r>
              <w:rPr>
                <w:rFonts w:hint="eastAsia" w:ascii="宋体" w:hAnsi="宋体" w:eastAsia="宋体" w:cs="宋体"/>
                <w:color w:val="auto"/>
                <w:sz w:val="21"/>
                <w:szCs w:val="21"/>
                <w:lang w:val="en-US" w:eastAsia="zh-CN"/>
              </w:rPr>
              <w:t>合计</w:t>
            </w:r>
            <w:r>
              <w:rPr>
                <w:rFonts w:hint="eastAsia" w:ascii="宋体" w:hAnsi="宋体" w:eastAsia="宋体" w:cs="宋体"/>
                <w:color w:val="auto"/>
                <w:sz w:val="21"/>
                <w:szCs w:val="21"/>
              </w:rPr>
              <w:t>最高得</w:t>
            </w: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分。</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须提供</w:t>
            </w:r>
            <w:r>
              <w:rPr>
                <w:rFonts w:hint="eastAsia" w:ascii="宋体" w:hAnsi="宋体" w:eastAsia="宋体" w:cs="宋体"/>
                <w:color w:val="auto"/>
                <w:sz w:val="21"/>
                <w:szCs w:val="21"/>
                <w:lang w:eastAsia="zh-CN"/>
              </w:rPr>
              <w:t>产品制造商</w:t>
            </w:r>
            <w:r>
              <w:rPr>
                <w:rFonts w:hint="eastAsia" w:ascii="宋体" w:hAnsi="宋体" w:eastAsia="宋体" w:cs="宋体"/>
                <w:color w:val="auto"/>
                <w:sz w:val="21"/>
                <w:szCs w:val="21"/>
              </w:rPr>
              <w:t>证明材料，不提供不得分。</w:t>
            </w:r>
          </w:p>
        </w:tc>
        <w:tc>
          <w:tcPr>
            <w:tcW w:w="849" w:type="dxa"/>
            <w:tcBorders>
              <w:tl2br w:val="nil"/>
              <w:tr2bl w:val="nil"/>
            </w:tcBorders>
            <w:vAlign w:val="center"/>
          </w:tcPr>
          <w:p>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3</w:t>
            </w:r>
          </w:p>
        </w:tc>
        <w:tc>
          <w:tcPr>
            <w:tcW w:w="1401" w:type="dxa"/>
            <w:tcBorders>
              <w:tl2br w:val="nil"/>
              <w:tr2bl w:val="nil"/>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5" w:hRule="atLeast"/>
          <w:jc w:val="center"/>
        </w:trPr>
        <w:tc>
          <w:tcPr>
            <w:tcW w:w="554" w:type="dxa"/>
            <w:vMerge w:val="continue"/>
            <w:tcBorders>
              <w:tl2br w:val="nil"/>
              <w:tr2bl w:val="nil"/>
            </w:tcBorders>
            <w:vAlign w:val="center"/>
          </w:tcPr>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产品方案15分</w:t>
            </w:r>
          </w:p>
        </w:tc>
        <w:tc>
          <w:tcPr>
            <w:tcW w:w="6059" w:type="dxa"/>
            <w:tcBorders>
              <w:tl2br w:val="nil"/>
              <w:tr2bl w:val="nil"/>
            </w:tcBorders>
            <w:vAlign w:val="center"/>
          </w:tcPr>
          <w:p>
            <w:pPr>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1、产品实力：根据玩具品牌市场占有率、好评率、产品耐用性等进行评分，1-4分。</w:t>
            </w:r>
          </w:p>
          <w:p>
            <w:pPr>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2、整体设计：阐述设计理念与思路，体现设计的整体性、合理性。根据整体设计方案，</w:t>
            </w:r>
            <w:r>
              <w:rPr>
                <w:rFonts w:hint="eastAsia" w:ascii="宋体" w:hAnsi="宋体" w:eastAsia="宋体" w:cs="宋体"/>
                <w:i w:val="0"/>
                <w:iCs w:val="0"/>
                <w:color w:val="auto"/>
                <w:kern w:val="0"/>
                <w:sz w:val="21"/>
                <w:szCs w:val="21"/>
                <w:u w:val="none"/>
                <w:lang w:val="en-US" w:eastAsia="zh-CN" w:bidi="ar"/>
              </w:rPr>
              <w:t>平面图、效果图等</w:t>
            </w:r>
            <w:r>
              <w:rPr>
                <w:rFonts w:hint="eastAsia" w:ascii="宋体" w:hAnsi="宋体" w:eastAsia="宋体" w:cs="宋体"/>
                <w:color w:val="auto"/>
                <w:kern w:val="0"/>
                <w:sz w:val="21"/>
                <w:szCs w:val="21"/>
                <w:lang w:val="en-US" w:eastAsia="zh-CN"/>
              </w:rPr>
              <w:t>，对整体方案，空间利用合理性、颜色搭配等评分，1-4分。</w:t>
            </w:r>
          </w:p>
          <w:p>
            <w:pPr>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3、产品安全性：介绍并体现产品设备各部分的主要构成材质及其安全环保性，符合儿童使用标准。各防护措施及边角细节设计安全到位等评分，1-4分。</w:t>
            </w:r>
          </w:p>
          <w:p>
            <w:pPr>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4、制作工艺：玩具工艺的先进性、做工精细等评分，1-3分。</w:t>
            </w:r>
          </w:p>
        </w:tc>
        <w:tc>
          <w:tcPr>
            <w:tcW w:w="849" w:type="dxa"/>
            <w:tcBorders>
              <w:tl2br w:val="nil"/>
              <w:tr2bl w:val="nil"/>
            </w:tcBorders>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4-15</w:t>
            </w:r>
          </w:p>
        </w:tc>
        <w:tc>
          <w:tcPr>
            <w:tcW w:w="1401" w:type="dxa"/>
            <w:tcBorders>
              <w:tl2br w:val="nil"/>
              <w:tr2bl w:val="nil"/>
            </w:tcBorders>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5" w:hRule="atLeast"/>
          <w:jc w:val="center"/>
        </w:trPr>
        <w:tc>
          <w:tcPr>
            <w:tcW w:w="554" w:type="dxa"/>
            <w:vMerge w:val="continue"/>
            <w:tcBorders>
              <w:tl2br w:val="nil"/>
              <w:tr2bl w:val="nil"/>
            </w:tcBorders>
            <w:vAlign w:val="center"/>
          </w:tcPr>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rPr>
              <w:t>项目实施方案</w:t>
            </w:r>
            <w:r>
              <w:rPr>
                <w:rFonts w:hint="eastAsia" w:ascii="宋体" w:hAnsi="宋体" w:eastAsia="宋体" w:cs="宋体"/>
                <w:b w:val="0"/>
                <w:bCs w:val="0"/>
                <w:color w:val="auto"/>
                <w:sz w:val="21"/>
                <w:szCs w:val="21"/>
                <w:lang w:val="en-US" w:eastAsia="zh-CN"/>
              </w:rPr>
              <w:t>5分</w:t>
            </w:r>
          </w:p>
        </w:tc>
        <w:tc>
          <w:tcPr>
            <w:tcW w:w="6059" w:type="dxa"/>
            <w:tcBorders>
              <w:tl2br w:val="nil"/>
              <w:tr2bl w:val="nil"/>
            </w:tcBorders>
            <w:vAlign w:val="center"/>
          </w:tcPr>
          <w:p>
            <w:pPr>
              <w:numPr>
                <w:ilvl w:val="0"/>
                <w:numId w:val="5"/>
              </w:num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根据投标人实施方案中确保供货的组织措施、质量保证措施、安装、技术组织计划等情况</w:t>
            </w:r>
            <w:r>
              <w:rPr>
                <w:rFonts w:hint="eastAsia" w:ascii="宋体" w:hAnsi="宋体" w:eastAsia="宋体" w:cs="宋体"/>
                <w:color w:val="auto"/>
                <w:sz w:val="21"/>
                <w:szCs w:val="21"/>
                <w:lang w:val="en-US" w:eastAsia="zh-CN"/>
              </w:rPr>
              <w:t>进行</w:t>
            </w:r>
            <w:r>
              <w:rPr>
                <w:rFonts w:hint="eastAsia" w:ascii="宋体" w:hAnsi="宋体" w:eastAsia="宋体" w:cs="宋体"/>
                <w:color w:val="auto"/>
                <w:sz w:val="21"/>
                <w:szCs w:val="21"/>
              </w:rPr>
              <w:t>评分</w:t>
            </w:r>
            <w:r>
              <w:rPr>
                <w:rFonts w:hint="eastAsia" w:ascii="宋体" w:hAnsi="宋体" w:eastAsia="宋体" w:cs="宋体"/>
                <w:color w:val="auto"/>
                <w:sz w:val="21"/>
                <w:szCs w:val="21"/>
                <w:lang w:eastAsia="zh-CN"/>
              </w:rPr>
              <w:t>。</w:t>
            </w:r>
          </w:p>
          <w:p>
            <w:pPr>
              <w:numPr>
                <w:ilvl w:val="0"/>
                <w:numId w:val="5"/>
              </w:num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进度承诺：签订合同后20天内完成所有货物的供货、安装、调试。</w:t>
            </w:r>
          </w:p>
        </w:tc>
        <w:tc>
          <w:tcPr>
            <w:tcW w:w="849" w:type="dxa"/>
            <w:tcBorders>
              <w:tl2br w:val="nil"/>
              <w:tr2bl w:val="nil"/>
            </w:tcBorders>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1、0-3</w:t>
            </w:r>
          </w:p>
          <w:p>
            <w:pPr>
              <w:autoSpaceDE w:val="0"/>
              <w:autoSpaceDN w:val="0"/>
              <w:adjustRightInd w:val="0"/>
              <w:spacing w:line="40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2、0-2</w:t>
            </w:r>
          </w:p>
        </w:tc>
        <w:tc>
          <w:tcPr>
            <w:tcW w:w="1401" w:type="dxa"/>
            <w:tcBorders>
              <w:tl2br w:val="nil"/>
              <w:tr2bl w:val="nil"/>
            </w:tcBorders>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1、主观分</w:t>
            </w:r>
          </w:p>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val="en-US" w:eastAsia="zh-CN"/>
              </w:rPr>
              <w:t>2、客观分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554" w:type="dxa"/>
            <w:vMerge w:val="continue"/>
            <w:tcBorders>
              <w:tl2br w:val="nil"/>
              <w:tr2bl w:val="nil"/>
            </w:tcBorders>
            <w:vAlign w:val="center"/>
          </w:tcPr>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spacing w:line="30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培训</w:t>
            </w:r>
            <w:r>
              <w:rPr>
                <w:rFonts w:hint="eastAsia" w:ascii="宋体" w:hAnsi="宋体" w:eastAsia="宋体" w:cs="宋体"/>
                <w:color w:val="auto"/>
                <w:sz w:val="21"/>
                <w:szCs w:val="21"/>
              </w:rPr>
              <w:t>方案</w:t>
            </w:r>
          </w:p>
          <w:p>
            <w:pPr>
              <w:spacing w:line="360" w:lineRule="auto"/>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分</w:t>
            </w:r>
          </w:p>
        </w:tc>
        <w:tc>
          <w:tcPr>
            <w:tcW w:w="6059" w:type="dxa"/>
            <w:tcBorders>
              <w:tl2br w:val="nil"/>
              <w:tr2bl w:val="nil"/>
            </w:tcBorders>
            <w:vAlign w:val="top"/>
          </w:tcPr>
          <w:p>
            <w:pPr>
              <w:pStyle w:val="26"/>
              <w:spacing w:line="360" w:lineRule="auto"/>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snapToGrid/>
                <w:color w:val="auto"/>
                <w:kern w:val="2"/>
                <w:sz w:val="21"/>
                <w:szCs w:val="21"/>
                <w:lang w:val="en-US" w:eastAsia="zh-CN" w:bidi="ar-SA"/>
              </w:rPr>
              <w:t>组织对教师使用投标产品的培训方案，以及提供相关培训承诺等。</w:t>
            </w:r>
          </w:p>
        </w:tc>
        <w:tc>
          <w:tcPr>
            <w:tcW w:w="849" w:type="dxa"/>
            <w:tcBorders>
              <w:tl2br w:val="nil"/>
              <w:tr2bl w:val="nil"/>
            </w:tcBorders>
            <w:vAlign w:val="center"/>
          </w:tcPr>
          <w:p>
            <w:pPr>
              <w:spacing w:line="360" w:lineRule="auto"/>
              <w:jc w:val="center"/>
              <w:rPr>
                <w:rFonts w:hint="eastAsia" w:ascii="宋体" w:hAnsi="宋体" w:eastAsia="宋体" w:cs="宋体"/>
                <w:sz w:val="21"/>
                <w:szCs w:val="21"/>
                <w:lang w:val="en-US"/>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3</w:t>
            </w:r>
          </w:p>
        </w:tc>
        <w:tc>
          <w:tcPr>
            <w:tcW w:w="1401" w:type="dxa"/>
            <w:tcBorders>
              <w:tl2br w:val="nil"/>
              <w:tr2bl w:val="nil"/>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8" w:hRule="atLeast"/>
          <w:jc w:val="center"/>
        </w:trPr>
        <w:tc>
          <w:tcPr>
            <w:tcW w:w="554" w:type="dxa"/>
            <w:vMerge w:val="continue"/>
            <w:tcBorders>
              <w:tl2br w:val="nil"/>
              <w:tr2bl w:val="nil"/>
            </w:tcBorders>
            <w:vAlign w:val="center"/>
          </w:tcPr>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adjustRightInd w:val="0"/>
              <w:snapToGrid w:val="0"/>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lang w:eastAsia="zh-CN"/>
              </w:rPr>
              <w:t>现场考察</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tc>
        <w:tc>
          <w:tcPr>
            <w:tcW w:w="6059" w:type="dxa"/>
            <w:tcBorders>
              <w:tl2br w:val="nil"/>
              <w:tr2bl w:val="nil"/>
            </w:tcBorders>
            <w:vAlign w:val="center"/>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lang w:val="en-US" w:eastAsia="zh-CN"/>
              </w:rPr>
              <w:t>参加采购人统一组织的现场考察</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并</w:t>
            </w:r>
            <w:r>
              <w:rPr>
                <w:rFonts w:hint="eastAsia" w:ascii="宋体" w:hAnsi="宋体" w:eastAsia="宋体" w:cs="宋体"/>
                <w:color w:val="auto"/>
                <w:sz w:val="21"/>
                <w:szCs w:val="21"/>
              </w:rPr>
              <w:t>取得</w:t>
            </w:r>
            <w:r>
              <w:rPr>
                <w:rFonts w:hint="eastAsia" w:ascii="宋体" w:hAnsi="宋体" w:eastAsia="宋体" w:cs="宋体"/>
                <w:color w:val="auto"/>
                <w:sz w:val="21"/>
                <w:szCs w:val="21"/>
                <w:lang w:val="en-US" w:eastAsia="zh-CN"/>
              </w:rPr>
              <w:t>采购人</w:t>
            </w:r>
            <w:r>
              <w:rPr>
                <w:rFonts w:hint="eastAsia" w:ascii="宋体" w:hAnsi="宋体" w:eastAsia="宋体" w:cs="宋体"/>
                <w:color w:val="auto"/>
                <w:sz w:val="21"/>
                <w:szCs w:val="21"/>
              </w:rPr>
              <w:t>出具的</w:t>
            </w:r>
            <w:r>
              <w:rPr>
                <w:rFonts w:hint="eastAsia" w:ascii="宋体" w:hAnsi="宋体" w:eastAsia="宋体" w:cs="宋体"/>
                <w:color w:val="auto"/>
                <w:sz w:val="21"/>
                <w:szCs w:val="21"/>
                <w:lang w:val="en-US" w:eastAsia="zh-CN"/>
              </w:rPr>
              <w:t>现场</w:t>
            </w:r>
            <w:r>
              <w:rPr>
                <w:rFonts w:hint="eastAsia" w:ascii="宋体" w:hAnsi="宋体" w:eastAsia="宋体" w:cs="宋体"/>
                <w:color w:val="auto"/>
                <w:sz w:val="21"/>
                <w:szCs w:val="21"/>
              </w:rPr>
              <w:t>考察证明得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r>
              <w:rPr>
                <w:rFonts w:hint="eastAsia" w:ascii="宋体" w:hAnsi="宋体" w:eastAsia="宋体" w:cs="宋体"/>
                <w:color w:val="auto"/>
                <w:sz w:val="21"/>
                <w:szCs w:val="21"/>
                <w:lang w:val="en-US" w:eastAsia="zh-CN"/>
              </w:rPr>
              <w:t>不提供</w:t>
            </w:r>
            <w:r>
              <w:rPr>
                <w:rFonts w:hint="eastAsia" w:ascii="宋体" w:hAnsi="宋体" w:eastAsia="宋体" w:cs="宋体"/>
                <w:color w:val="auto"/>
                <w:sz w:val="21"/>
                <w:szCs w:val="21"/>
              </w:rPr>
              <w:t>不得分。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详见第二章商务条款中“</w:t>
            </w:r>
            <w:r>
              <w:rPr>
                <w:rFonts w:hint="eastAsia" w:ascii="宋体" w:hAnsi="宋体" w:eastAsia="宋体" w:cs="宋体"/>
                <w:color w:val="auto"/>
                <w:sz w:val="21"/>
                <w:szCs w:val="21"/>
                <w:lang w:eastAsia="zh-CN"/>
              </w:rPr>
              <w:t>现场考察</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w:t>
            </w:r>
          </w:p>
          <w:p>
            <w:pPr>
              <w:autoSpaceDE w:val="0"/>
              <w:autoSpaceDN w:val="0"/>
              <w:adjustRightInd w:val="0"/>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rPr>
              <w:t>根据考察情况，提出优化的合理化建议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进行</w:t>
            </w:r>
            <w:r>
              <w:rPr>
                <w:rFonts w:hint="eastAsia" w:ascii="宋体" w:hAnsi="宋体" w:eastAsia="宋体" w:cs="宋体"/>
                <w:color w:val="auto"/>
                <w:sz w:val="21"/>
                <w:szCs w:val="21"/>
              </w:rPr>
              <w:t>打分。</w:t>
            </w:r>
          </w:p>
        </w:tc>
        <w:tc>
          <w:tcPr>
            <w:tcW w:w="849" w:type="dxa"/>
            <w:tcBorders>
              <w:tl2br w:val="nil"/>
              <w:tr2bl w:val="nil"/>
            </w:tcBorders>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1、0-2</w:t>
            </w:r>
          </w:p>
          <w:p>
            <w:pPr>
              <w:autoSpaceDE w:val="0"/>
              <w:autoSpaceDN w:val="0"/>
              <w:adjustRightInd w:val="0"/>
              <w:spacing w:line="40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lang w:val="en-US" w:eastAsia="zh-CN"/>
              </w:rPr>
              <w:t>2、0-3</w:t>
            </w:r>
          </w:p>
        </w:tc>
        <w:tc>
          <w:tcPr>
            <w:tcW w:w="1401" w:type="dxa"/>
            <w:tcBorders>
              <w:tl2br w:val="nil"/>
              <w:tr2bl w:val="nil"/>
            </w:tcBorders>
            <w:vAlign w:val="center"/>
          </w:tcPr>
          <w:p>
            <w:pPr>
              <w:autoSpaceDE w:val="0"/>
              <w:autoSpaceDN w:val="0"/>
              <w:adjustRightInd w:val="0"/>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1、客观分</w:t>
            </w:r>
          </w:p>
          <w:p>
            <w:pPr>
              <w:spacing w:line="36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lang w:val="en-US" w:eastAsia="zh-CN"/>
              </w:rPr>
              <w:t>2、主观分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4" w:hRule="atLeast"/>
          <w:jc w:val="center"/>
        </w:trPr>
        <w:tc>
          <w:tcPr>
            <w:tcW w:w="554" w:type="dxa"/>
            <w:vMerge w:val="continue"/>
            <w:tcBorders>
              <w:tl2br w:val="nil"/>
              <w:tr2bl w:val="nil"/>
            </w:tcBorders>
            <w:vAlign w:val="center"/>
          </w:tcPr>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专利分3</w:t>
            </w:r>
            <w:r>
              <w:rPr>
                <w:rFonts w:hint="eastAsia" w:ascii="宋体" w:hAnsi="宋体" w:eastAsia="宋体" w:cs="宋体"/>
                <w:color w:val="auto"/>
                <w:sz w:val="21"/>
                <w:szCs w:val="21"/>
              </w:rPr>
              <w:t>分</w:t>
            </w:r>
          </w:p>
        </w:tc>
        <w:tc>
          <w:tcPr>
            <w:tcW w:w="6059" w:type="dxa"/>
            <w:tcBorders>
              <w:tl2br w:val="nil"/>
              <w:tr2bl w:val="nil"/>
            </w:tcBorders>
            <w:vAlign w:val="center"/>
          </w:tcPr>
          <w:p>
            <w:pPr>
              <w:pStyle w:val="26"/>
              <w:spacing w:line="360" w:lineRule="auto"/>
              <w:ind w:firstLine="0" w:firstLineChars="0"/>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与采购标的相关的外观、结构、工艺及技术专利（发明、实用新型、外观设计得分不同，专利须在保护期内）：每项发明专利得1分，最高得3分；每项实用新型专利得0.5分，最高得1分；每项外观专利得0.25分，最高得0.5分。本项合计最高得3分。</w:t>
            </w:r>
          </w:p>
        </w:tc>
        <w:tc>
          <w:tcPr>
            <w:tcW w:w="849" w:type="dxa"/>
            <w:tcBorders>
              <w:tl2br w:val="nil"/>
              <w:tr2bl w:val="nil"/>
            </w:tcBorders>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eastAsia="宋体" w:cs="宋体"/>
                <w:color w:val="auto"/>
                <w:sz w:val="21"/>
                <w:szCs w:val="21"/>
                <w:lang w:val="en-US" w:eastAsia="zh-CN"/>
              </w:rPr>
              <w:t>3</w:t>
            </w:r>
          </w:p>
          <w:p>
            <w:pPr>
              <w:spacing w:line="360" w:lineRule="auto"/>
              <w:jc w:val="center"/>
              <w:rPr>
                <w:rFonts w:hint="eastAsia" w:ascii="宋体" w:hAnsi="宋体" w:eastAsia="宋体" w:cs="宋体"/>
                <w:color w:val="auto"/>
                <w:sz w:val="21"/>
                <w:szCs w:val="21"/>
              </w:rPr>
            </w:pPr>
          </w:p>
        </w:tc>
        <w:tc>
          <w:tcPr>
            <w:tcW w:w="1401" w:type="dxa"/>
            <w:tcBorders>
              <w:tl2br w:val="nil"/>
              <w:tr2bl w:val="nil"/>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客观</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jc w:val="center"/>
        </w:trPr>
        <w:tc>
          <w:tcPr>
            <w:tcW w:w="554" w:type="dxa"/>
            <w:vMerge w:val="continue"/>
            <w:tcBorders>
              <w:tl2br w:val="nil"/>
              <w:tr2bl w:val="nil"/>
            </w:tcBorders>
            <w:vAlign w:val="center"/>
          </w:tcPr>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技术团队实力</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分</w:t>
            </w:r>
          </w:p>
        </w:tc>
        <w:tc>
          <w:tcPr>
            <w:tcW w:w="6059" w:type="dxa"/>
            <w:tcBorders>
              <w:tl2br w:val="nil"/>
              <w:tr2bl w:val="nil"/>
            </w:tcBorders>
            <w:vAlign w:val="center"/>
          </w:tcPr>
          <w:p>
            <w:pPr>
              <w:pStyle w:val="26"/>
              <w:spacing w:line="36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技术团队履历及能力，根据提供的项目负责人、技术人员、安装人员的资格证、职称证明、履历情况、社保证明等进行评分。</w:t>
            </w:r>
          </w:p>
        </w:tc>
        <w:tc>
          <w:tcPr>
            <w:tcW w:w="849" w:type="dxa"/>
            <w:tcBorders>
              <w:tl2br w:val="nil"/>
              <w:tr2bl w:val="nil"/>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w:t>
            </w:r>
          </w:p>
        </w:tc>
        <w:tc>
          <w:tcPr>
            <w:tcW w:w="1401" w:type="dxa"/>
            <w:tcBorders>
              <w:tl2br w:val="nil"/>
              <w:tr2bl w:val="nil"/>
            </w:tcBorders>
            <w:vAlign w:val="center"/>
          </w:tcPr>
          <w:p>
            <w:pPr>
              <w:spacing w:line="36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3" w:hRule="atLeast"/>
          <w:jc w:val="center"/>
        </w:trPr>
        <w:tc>
          <w:tcPr>
            <w:tcW w:w="554" w:type="dxa"/>
            <w:vMerge w:val="continue"/>
            <w:tcBorders>
              <w:tl2br w:val="nil"/>
              <w:tr2bl w:val="nil"/>
            </w:tcBorders>
            <w:vAlign w:val="center"/>
          </w:tcPr>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产品质量保证情况（</w:t>
            </w:r>
            <w:r>
              <w:rPr>
                <w:rFonts w:hint="eastAsia" w:ascii="宋体" w:hAnsi="宋体" w:eastAsia="宋体" w:cs="宋体"/>
                <w:color w:val="auto"/>
                <w:sz w:val="21"/>
                <w:szCs w:val="21"/>
                <w:lang w:eastAsia="zh-CN"/>
              </w:rPr>
              <w:t>主要原材料</w:t>
            </w:r>
            <w:r>
              <w:rPr>
                <w:rFonts w:hint="eastAsia" w:ascii="宋体" w:hAnsi="宋体" w:eastAsia="宋体" w:cs="宋体"/>
                <w:color w:val="auto"/>
                <w:sz w:val="21"/>
                <w:szCs w:val="21"/>
              </w:rPr>
              <w:t>检测报告）</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分</w:t>
            </w:r>
          </w:p>
        </w:tc>
        <w:tc>
          <w:tcPr>
            <w:tcW w:w="6059" w:type="dxa"/>
            <w:tcBorders>
              <w:tl2br w:val="nil"/>
              <w:tr2bl w:val="nil"/>
            </w:tcBorders>
            <w:vAlign w:val="center"/>
          </w:tcPr>
          <w:p>
            <w:pPr>
              <w:pStyle w:val="26"/>
              <w:spacing w:line="360" w:lineRule="auto"/>
              <w:ind w:firstLine="0" w:firstLineChars="0"/>
              <w:rPr>
                <w:rFonts w:hint="eastAsia" w:ascii="宋体" w:hAnsi="宋体" w:eastAsia="宋体" w:cs="宋体"/>
                <w:b w:val="0"/>
                <w:bCs w:val="0"/>
                <w:color w:val="auto"/>
                <w:sz w:val="21"/>
                <w:szCs w:val="21"/>
                <w:lang w:val="en-US" w:eastAsia="zh-CN"/>
              </w:rPr>
            </w:pPr>
            <w:r>
              <w:rPr>
                <w:rFonts w:hint="eastAsia" w:ascii="宋体" w:hAnsi="宋体" w:eastAsia="宋体" w:cs="宋体"/>
                <w:color w:val="auto"/>
                <w:sz w:val="21"/>
                <w:szCs w:val="21"/>
                <w:lang w:val="en-US" w:eastAsia="zh-CN"/>
              </w:rPr>
              <w:t>须提供符合国家标准或行业标准要求的主要原材料</w:t>
            </w:r>
            <w:r>
              <w:rPr>
                <w:rFonts w:hint="eastAsia" w:ascii="宋体" w:hAnsi="宋体" w:eastAsia="宋体" w:cs="宋体"/>
                <w:color w:val="auto"/>
                <w:sz w:val="21"/>
                <w:szCs w:val="21"/>
                <w:highlight w:val="none"/>
                <w:lang w:val="en-US" w:eastAsia="zh-CN"/>
              </w:rPr>
              <w:t>（榉木</w:t>
            </w:r>
            <w:r>
              <w:rPr>
                <w:rFonts w:hint="eastAsia" w:hAnsi="宋体" w:cs="宋体"/>
                <w:color w:val="auto"/>
                <w:sz w:val="21"/>
                <w:szCs w:val="21"/>
                <w:highlight w:val="none"/>
                <w:lang w:val="en-US" w:eastAsia="zh-CN"/>
              </w:rPr>
              <w:t>、碳化榉木</w:t>
            </w:r>
            <w:r>
              <w:rPr>
                <w:rFonts w:hint="eastAsia" w:ascii="宋体" w:hAnsi="宋体" w:eastAsia="宋体" w:cs="宋体"/>
                <w:color w:val="auto"/>
                <w:sz w:val="21"/>
                <w:szCs w:val="21"/>
                <w:highlight w:val="none"/>
                <w:lang w:val="en-US" w:eastAsia="zh-CN"/>
              </w:rPr>
              <w:t>、聚氨酯清漆</w:t>
            </w:r>
            <w:r>
              <w:rPr>
                <w:rFonts w:hint="eastAsia" w:hAnsi="宋体" w:cs="宋体"/>
                <w:color w:val="auto"/>
                <w:sz w:val="21"/>
                <w:szCs w:val="21"/>
                <w:highlight w:val="none"/>
                <w:lang w:val="en-US" w:eastAsia="zh-CN"/>
              </w:rPr>
              <w:t>、PEVA</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lang w:val="en-US" w:eastAsia="zh-CN"/>
              </w:rPr>
              <w:t>的检测报告（三年内）。每提供一种检测报告得2分，共</w:t>
            </w:r>
            <w:r>
              <w:rPr>
                <w:rFonts w:hint="eastAsia" w:hAnsi="宋体" w:cs="宋体"/>
                <w:color w:val="auto"/>
                <w:sz w:val="21"/>
                <w:szCs w:val="21"/>
                <w:lang w:val="en-US" w:eastAsia="zh-CN"/>
              </w:rPr>
              <w:t>4</w:t>
            </w:r>
            <w:r>
              <w:rPr>
                <w:rFonts w:hint="eastAsia" w:ascii="宋体" w:hAnsi="宋体" w:eastAsia="宋体" w:cs="宋体"/>
                <w:color w:val="auto"/>
                <w:sz w:val="21"/>
                <w:szCs w:val="21"/>
                <w:lang w:val="en-US" w:eastAsia="zh-CN"/>
              </w:rPr>
              <w:t>项，最高得</w:t>
            </w:r>
            <w:r>
              <w:rPr>
                <w:rFonts w:hint="eastAsia" w:hAnsi="宋体" w:cs="宋体"/>
                <w:color w:val="auto"/>
                <w:sz w:val="21"/>
                <w:szCs w:val="21"/>
                <w:lang w:val="en-US" w:eastAsia="zh-CN"/>
              </w:rPr>
              <w:t>8</w:t>
            </w:r>
            <w:r>
              <w:rPr>
                <w:rFonts w:hint="eastAsia" w:ascii="宋体" w:hAnsi="宋体" w:eastAsia="宋体" w:cs="宋体"/>
                <w:color w:val="auto"/>
                <w:sz w:val="21"/>
                <w:szCs w:val="21"/>
                <w:lang w:val="en-US" w:eastAsia="zh-CN"/>
              </w:rPr>
              <w:t>分。原材料供应商提供符合上述要求的检</w:t>
            </w:r>
            <w:r>
              <w:rPr>
                <w:rFonts w:hint="eastAsia" w:ascii="宋体" w:hAnsi="宋体" w:eastAsia="宋体" w:cs="宋体"/>
                <w:b w:val="0"/>
                <w:bCs w:val="0"/>
                <w:color w:val="auto"/>
                <w:sz w:val="21"/>
                <w:szCs w:val="21"/>
                <w:lang w:val="en-US" w:eastAsia="zh-CN"/>
              </w:rPr>
              <w:t>测报告（三年内）也可采用，但必须提供供应商购买对应原材料的发票（三年内）。</w:t>
            </w:r>
          </w:p>
          <w:p>
            <w:pPr>
              <w:pStyle w:val="26"/>
              <w:spacing w:line="36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备注：出具的检测报告必须有CMA或CNAS认证。</w:t>
            </w:r>
          </w:p>
        </w:tc>
        <w:tc>
          <w:tcPr>
            <w:tcW w:w="849" w:type="dxa"/>
            <w:tcBorders>
              <w:tl2br w:val="nil"/>
              <w:tr2bl w:val="nil"/>
            </w:tcBorders>
            <w:vAlign w:val="center"/>
          </w:tcPr>
          <w:p>
            <w:pPr>
              <w:spacing w:line="360"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8</w:t>
            </w:r>
          </w:p>
          <w:p>
            <w:pPr>
              <w:spacing w:line="360" w:lineRule="auto"/>
              <w:jc w:val="center"/>
              <w:rPr>
                <w:rFonts w:hint="eastAsia" w:ascii="宋体" w:hAnsi="宋体" w:eastAsia="宋体" w:cs="宋体"/>
                <w:color w:val="auto"/>
                <w:sz w:val="21"/>
                <w:szCs w:val="21"/>
              </w:rPr>
            </w:pPr>
          </w:p>
        </w:tc>
        <w:tc>
          <w:tcPr>
            <w:tcW w:w="1401" w:type="dxa"/>
            <w:tcBorders>
              <w:tl2br w:val="nil"/>
              <w:tr2bl w:val="nil"/>
            </w:tcBorders>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jc w:val="center"/>
        </w:trPr>
        <w:tc>
          <w:tcPr>
            <w:tcW w:w="554" w:type="dxa"/>
            <w:vMerge w:val="continue"/>
            <w:tcBorders>
              <w:tl2br w:val="nil"/>
              <w:tr2bl w:val="nil"/>
            </w:tcBorders>
            <w:vAlign w:val="center"/>
          </w:tcPr>
          <w:p>
            <w:pPr>
              <w:pStyle w:val="838"/>
              <w:widowControl/>
              <w:tabs>
                <w:tab w:val="left" w:pos="0"/>
                <w:tab w:val="clear" w:pos="8268"/>
              </w:tabs>
              <w:spacing w:line="360" w:lineRule="auto"/>
              <w:jc w:val="center"/>
              <w:rPr>
                <w:rFonts w:hint="eastAsia" w:ascii="宋体" w:hAnsi="宋体" w:eastAsia="宋体" w:cs="宋体"/>
                <w:color w:val="auto"/>
                <w:sz w:val="21"/>
                <w:szCs w:val="21"/>
              </w:rPr>
            </w:pPr>
          </w:p>
        </w:tc>
        <w:tc>
          <w:tcPr>
            <w:tcW w:w="1500" w:type="dxa"/>
            <w:tcBorders>
              <w:tl2br w:val="nil"/>
              <w:tr2bl w:val="nil"/>
            </w:tcBorders>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售后服务方案</w:t>
            </w:r>
            <w:r>
              <w:rPr>
                <w:rFonts w:hint="eastAsia" w:ascii="宋体" w:hAnsi="宋体" w:cs="宋体"/>
                <w:sz w:val="21"/>
                <w:szCs w:val="21"/>
                <w:lang w:val="en-US" w:eastAsia="zh-CN"/>
              </w:rPr>
              <w:t>7</w:t>
            </w:r>
            <w:r>
              <w:rPr>
                <w:rFonts w:hint="eastAsia" w:ascii="宋体" w:hAnsi="宋体" w:eastAsia="宋体" w:cs="宋体"/>
                <w:sz w:val="21"/>
                <w:szCs w:val="21"/>
              </w:rPr>
              <w:t>分</w:t>
            </w:r>
          </w:p>
        </w:tc>
        <w:tc>
          <w:tcPr>
            <w:tcW w:w="6059" w:type="dxa"/>
            <w:tcBorders>
              <w:tl2br w:val="nil"/>
              <w:tr2bl w:val="nil"/>
            </w:tcBorders>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免费质保期为</w:t>
            </w:r>
            <w:r>
              <w:rPr>
                <w:rFonts w:hint="eastAsia" w:ascii="宋体" w:hAnsi="宋体" w:eastAsia="宋体" w:cs="宋体"/>
                <w:sz w:val="21"/>
                <w:szCs w:val="21"/>
                <w:lang w:val="en-US" w:eastAsia="zh-CN"/>
              </w:rPr>
              <w:t>1年基础上，</w:t>
            </w:r>
            <w:r>
              <w:rPr>
                <w:rFonts w:hint="eastAsia" w:ascii="宋体" w:hAnsi="宋体" w:eastAsia="宋体" w:cs="宋体"/>
                <w:sz w:val="21"/>
                <w:szCs w:val="21"/>
              </w:rPr>
              <w:t>每</w:t>
            </w:r>
            <w:r>
              <w:rPr>
                <w:rFonts w:hint="eastAsia" w:ascii="宋体" w:hAnsi="宋体" w:eastAsia="宋体" w:cs="宋体"/>
                <w:sz w:val="21"/>
                <w:szCs w:val="21"/>
                <w:lang w:eastAsia="zh-CN"/>
              </w:rPr>
              <w:t>增加</w:t>
            </w:r>
            <w:r>
              <w:rPr>
                <w:rFonts w:hint="eastAsia" w:ascii="宋体" w:hAnsi="宋体" w:eastAsia="宋体" w:cs="宋体"/>
                <w:sz w:val="21"/>
                <w:szCs w:val="21"/>
                <w:lang w:val="en-US" w:eastAsia="zh-CN"/>
              </w:rPr>
              <w:t>半</w:t>
            </w:r>
            <w:r>
              <w:rPr>
                <w:rFonts w:hint="eastAsia" w:ascii="宋体" w:hAnsi="宋体" w:eastAsia="宋体" w:cs="宋体"/>
                <w:sz w:val="21"/>
                <w:szCs w:val="21"/>
              </w:rPr>
              <w:t>年</w:t>
            </w:r>
            <w:r>
              <w:rPr>
                <w:rFonts w:hint="eastAsia" w:ascii="宋体" w:hAnsi="宋体" w:eastAsia="宋体" w:cs="宋体"/>
                <w:sz w:val="21"/>
                <w:szCs w:val="21"/>
                <w:lang w:val="en-US" w:eastAsia="zh-CN"/>
              </w:rPr>
              <w:t>得1</w:t>
            </w:r>
            <w:r>
              <w:rPr>
                <w:rFonts w:hint="eastAsia" w:ascii="宋体" w:hAnsi="宋体" w:eastAsia="宋体" w:cs="宋体"/>
                <w:sz w:val="21"/>
                <w:szCs w:val="21"/>
              </w:rPr>
              <w:t>分，最高得</w:t>
            </w:r>
            <w:r>
              <w:rPr>
                <w:rFonts w:hint="eastAsia" w:ascii="宋体" w:hAnsi="宋体" w:eastAsia="宋体" w:cs="宋体"/>
                <w:sz w:val="21"/>
                <w:szCs w:val="21"/>
                <w:lang w:val="en-US" w:eastAsia="zh-CN"/>
              </w:rPr>
              <w:t>4</w:t>
            </w:r>
            <w:r>
              <w:rPr>
                <w:rFonts w:hint="eastAsia" w:ascii="宋体" w:hAnsi="宋体" w:eastAsia="宋体" w:cs="宋体"/>
                <w:sz w:val="21"/>
                <w:szCs w:val="21"/>
              </w:rPr>
              <w:t xml:space="preserve">分； </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2.提供详细完整的“三包”措施及售后服务措施和方案（包括服务措施、产品质量保证、回访、技术培训等）。根据供应商提供的方案能否满足采购需求得0-</w:t>
            </w:r>
            <w:r>
              <w:rPr>
                <w:rFonts w:hint="eastAsia" w:ascii="宋体" w:hAnsi="宋体" w:eastAsia="宋体" w:cs="宋体"/>
                <w:sz w:val="21"/>
                <w:szCs w:val="21"/>
                <w:lang w:val="en-US" w:eastAsia="zh-CN"/>
              </w:rPr>
              <w:t>2</w:t>
            </w:r>
            <w:r>
              <w:rPr>
                <w:rFonts w:hint="eastAsia" w:ascii="宋体" w:hAnsi="宋体" w:eastAsia="宋体" w:cs="宋体"/>
                <w:sz w:val="21"/>
                <w:szCs w:val="21"/>
              </w:rPr>
              <w:t>分</w:t>
            </w:r>
            <w:r>
              <w:rPr>
                <w:rFonts w:hint="eastAsia" w:ascii="宋体" w:hAnsi="宋体" w:eastAsia="宋体" w:cs="宋体"/>
                <w:sz w:val="21"/>
                <w:szCs w:val="21"/>
                <w:lang w:eastAsia="zh-CN"/>
              </w:rPr>
              <w:t>；</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bookmarkStart w:id="97" w:name="_GoBack"/>
            <w:r>
              <w:rPr>
                <w:rFonts w:hint="eastAsia" w:ascii="宋体" w:hAnsi="宋体" w:eastAsia="宋体" w:cs="宋体"/>
                <w:sz w:val="21"/>
                <w:szCs w:val="21"/>
                <w:lang w:val="en-US" w:eastAsia="zh-CN"/>
              </w:rPr>
              <w:t>承诺响应时间</w:t>
            </w:r>
            <w:bookmarkEnd w:id="97"/>
            <w:r>
              <w:rPr>
                <w:rFonts w:hint="eastAsia" w:ascii="宋体" w:hAnsi="宋体" w:eastAsia="宋体" w:cs="宋体"/>
                <w:sz w:val="21"/>
                <w:szCs w:val="21"/>
                <w:lang w:val="en-US" w:eastAsia="zh-CN"/>
              </w:rPr>
              <w:t>：</w:t>
            </w:r>
            <w:r>
              <w:rPr>
                <w:rFonts w:hint="eastAsia" w:ascii="宋体" w:hAnsi="宋体" w:eastAsia="宋体" w:cs="宋体"/>
                <w:bCs/>
                <w:color w:val="auto"/>
                <w:sz w:val="21"/>
                <w:szCs w:val="21"/>
              </w:rPr>
              <w:t>接到采购人通知后，2小时内做出响应，4小时内派人赴现场处理问题。72小时内无法修复的，必须采取临时调换等措施，以保证采购人的正常使用。临时调换的设备要求不低于原有的设备要求</w:t>
            </w:r>
            <w:r>
              <w:rPr>
                <w:rFonts w:hint="eastAsia" w:ascii="宋体" w:hAnsi="宋体" w:eastAsia="宋体" w:cs="宋体"/>
                <w:sz w:val="21"/>
                <w:szCs w:val="21"/>
                <w:lang w:val="en-US" w:eastAsia="zh-CN"/>
              </w:rPr>
              <w:t>。</w:t>
            </w:r>
          </w:p>
        </w:tc>
        <w:tc>
          <w:tcPr>
            <w:tcW w:w="849" w:type="dxa"/>
            <w:tcBorders>
              <w:tl2br w:val="nil"/>
              <w:tr2bl w:val="nil"/>
            </w:tcBorders>
            <w:vAlign w:val="center"/>
          </w:tcPr>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1.0-</w:t>
            </w:r>
            <w:r>
              <w:rPr>
                <w:rFonts w:hint="eastAsia" w:ascii="宋体" w:hAnsi="宋体" w:eastAsia="宋体" w:cs="宋体"/>
                <w:sz w:val="21"/>
                <w:szCs w:val="21"/>
                <w:lang w:val="en-US" w:eastAsia="zh-CN"/>
              </w:rPr>
              <w:t>4</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2</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r>
              <w:rPr>
                <w:rFonts w:hint="eastAsia" w:ascii="宋体" w:hAnsi="宋体" w:cs="宋体"/>
                <w:sz w:val="21"/>
                <w:szCs w:val="21"/>
                <w:lang w:val="en-US" w:eastAsia="zh-CN"/>
              </w:rPr>
              <w:t>1</w:t>
            </w:r>
          </w:p>
        </w:tc>
        <w:tc>
          <w:tcPr>
            <w:tcW w:w="1401" w:type="dxa"/>
            <w:tcBorders>
              <w:tl2br w:val="nil"/>
              <w:tr2bl w:val="nil"/>
            </w:tcBorders>
            <w:vAlign w:val="center"/>
          </w:tcPr>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客观分</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主观分</w:t>
            </w:r>
          </w:p>
          <w:p>
            <w:pPr>
              <w:pStyle w:val="2"/>
              <w:ind w:left="0" w:leftChars="0"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3.客观分</w:t>
            </w:r>
          </w:p>
        </w:tc>
      </w:tr>
    </w:tbl>
    <w:p>
      <w:pPr>
        <w:spacing w:beforeLines="50" w:line="360" w:lineRule="auto"/>
        <w:rPr>
          <w:rFonts w:hint="eastAsia" w:ascii="宋体" w:hAnsi="宋体" w:cs="宋体"/>
          <w:b/>
          <w:bCs/>
          <w:color w:val="auto"/>
          <w:kern w:val="0"/>
          <w:szCs w:val="21"/>
          <w:lang w:eastAsia="zh-CN"/>
        </w:rPr>
      </w:pPr>
      <w:r>
        <w:rPr>
          <w:rFonts w:hint="eastAsia" w:ascii="宋体" w:hAnsi="宋体" w:cs="宋体"/>
          <w:b/>
          <w:bCs/>
          <w:color w:val="auto"/>
          <w:kern w:val="0"/>
          <w:szCs w:val="21"/>
        </w:rPr>
        <w:t>注：上述要求提供证书、证明材料、发票、检测报告等均必须在电子标书中上传原件扫描件或图片，不是原件的该项不得分</w:t>
      </w:r>
      <w:r>
        <w:rPr>
          <w:rFonts w:hint="eastAsia" w:ascii="宋体" w:hAnsi="宋体" w:cs="宋体"/>
          <w:b/>
          <w:bCs/>
          <w:color w:val="auto"/>
          <w:kern w:val="0"/>
          <w:szCs w:val="21"/>
          <w:lang w:eastAsia="zh-CN"/>
        </w:rPr>
        <w:t>。</w:t>
      </w:r>
    </w:p>
    <w:p>
      <w:pPr>
        <w:pStyle w:val="2"/>
        <w:rPr>
          <w:rFonts w:hint="eastAsia" w:ascii="宋体" w:hAnsi="宋体" w:cs="宋体"/>
          <w:b/>
          <w:bCs/>
          <w:color w:val="auto"/>
          <w:kern w:val="0"/>
          <w:szCs w:val="21"/>
          <w:lang w:eastAsia="zh-CN"/>
        </w:rPr>
      </w:pPr>
    </w:p>
    <w:p>
      <w:pPr>
        <w:pStyle w:val="3"/>
        <w:rPr>
          <w:rFonts w:hint="eastAsia" w:ascii="宋体" w:hAnsi="宋体" w:cs="宋体"/>
          <w:b/>
          <w:bCs/>
          <w:color w:val="auto"/>
          <w:kern w:val="0"/>
          <w:szCs w:val="21"/>
          <w:lang w:eastAsia="zh-CN"/>
        </w:rPr>
      </w:pPr>
    </w:p>
    <w:p>
      <w:pPr>
        <w:rPr>
          <w:rFonts w:hint="eastAsia" w:ascii="宋体" w:hAnsi="宋体" w:cs="宋体"/>
          <w:b/>
          <w:bCs/>
          <w:color w:val="auto"/>
          <w:kern w:val="0"/>
          <w:szCs w:val="21"/>
          <w:lang w:eastAsia="zh-CN"/>
        </w:rPr>
      </w:pPr>
    </w:p>
    <w:p>
      <w:pPr>
        <w:pStyle w:val="2"/>
        <w:rPr>
          <w:rFonts w:hint="eastAsia" w:ascii="宋体" w:hAnsi="宋体" w:cs="宋体"/>
          <w:b/>
          <w:bCs/>
          <w:color w:val="auto"/>
          <w:kern w:val="0"/>
          <w:szCs w:val="21"/>
          <w:lang w:eastAsia="zh-CN"/>
        </w:rPr>
      </w:pPr>
    </w:p>
    <w:p>
      <w:pPr>
        <w:spacing w:beforeLines="50" w:line="360" w:lineRule="auto"/>
        <w:jc w:val="center"/>
        <w:rPr>
          <w:color w:val="auto"/>
        </w:rPr>
      </w:pPr>
      <w:r>
        <w:rPr>
          <w:rFonts w:hint="eastAsia" w:ascii="仿宋" w:hAnsi="仿宋" w:eastAsia="仿宋" w:cs="仿宋_GB2312"/>
          <w:b/>
          <w:color w:val="auto"/>
          <w:sz w:val="36"/>
          <w:szCs w:val="36"/>
        </w:rPr>
        <w:t>第五章  嘉善县政府采购合同（指引）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8"/>
          <w:szCs w:val="28"/>
        </w:rPr>
      </w:pPr>
      <w:r>
        <w:rPr>
          <w:rFonts w:hint="eastAsia" w:ascii="宋体" w:hAnsi="宋体" w:cs="宋体"/>
          <w:color w:val="auto"/>
          <w:kern w:val="0"/>
          <w:sz w:val="28"/>
          <w:szCs w:val="28"/>
        </w:rPr>
        <w:t>一、通用必备条款部分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rPr>
        <w:t>合同编号：</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rPr>
        <w:t>政府采购计划（预算）确认书编号：</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rPr>
        <w:t>预算金额：</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rPr>
        <w:t>采购人（以下称甲方）：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rPr>
        <w:t>供应商（以下称乙方）：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rPr>
        <w:t>采购代理机构：嘉善县公共资源交易中心</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rPr>
        <w:t>采购方式：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rPr>
        <w:t>采购文件编号：</w:t>
      </w:r>
      <w:r>
        <w:rPr>
          <w:rFonts w:hint="eastAsia" w:ascii="宋体" w:hAnsi="宋体" w:cs="宋体"/>
          <w:color w:val="auto"/>
          <w:kern w:val="0"/>
          <w:sz w:val="24"/>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根据《中华人民共和国政府采购法》、《中华人民共和国合同法》等法律法规的规定，甲乙双方按照</w:t>
      </w:r>
      <w:r>
        <w:rPr>
          <w:rFonts w:hint="eastAsia" w:ascii="宋体" w:hAnsi="宋体" w:cs="宋体"/>
          <w:color w:val="auto"/>
          <w:kern w:val="0"/>
          <w:sz w:val="24"/>
          <w:u w:val="single"/>
        </w:rPr>
        <w:t xml:space="preserve">                              </w:t>
      </w:r>
      <w:r>
        <w:rPr>
          <w:rFonts w:hint="eastAsia" w:ascii="宋体" w:hAnsi="宋体" w:cs="宋体"/>
          <w:color w:val="auto"/>
          <w:kern w:val="0"/>
          <w:sz w:val="24"/>
        </w:rPr>
        <w:t>项目采购结果签订本合同。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第一条 合同组成</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本次政府采购活动的相关文件为本合同的组成部分，这些文件包括但不限于：</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（1）本合同文本；</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（2）采购文件与投标文件（或采购响应文件）；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（3）中标或成交通知书；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组成本合同的所有文件必须为书面形式。政府采购合同备案时，须提供以上（1）、（3）两项，如由社会中介机构代理，须提供代理协议，合同如有变更的，须提供变更协议。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第二条 合同标的与相关属性</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u w:val="single"/>
        </w:rPr>
      </w:pPr>
      <w:r>
        <w:rPr>
          <w:rFonts w:hint="eastAsia" w:ascii="宋体" w:hAnsi="宋体" w:cs="宋体"/>
          <w:color w:val="auto"/>
          <w:kern w:val="0"/>
          <w:sz w:val="24"/>
        </w:rPr>
        <w:t>1、本次采购的是</w:t>
      </w:r>
      <w:r>
        <w:rPr>
          <w:rFonts w:hint="eastAsia" w:ascii="宋体" w:hAnsi="宋体" w:cs="宋体"/>
          <w:color w:val="auto"/>
          <w:kern w:val="0"/>
          <w:sz w:val="24"/>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left"/>
        <w:rPr>
          <w:rFonts w:ascii="宋体" w:hAnsi="宋体" w:cs="宋体"/>
          <w:color w:val="auto"/>
          <w:kern w:val="0"/>
          <w:sz w:val="24"/>
        </w:rPr>
      </w:pP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2、乙方是否属于中小微企业：□是□否</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3、本合同项下产品属于（可多选）：□环保产品；□节能产品；□进口产品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第三条 合同价款</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1、本合同项下总价款为人民币（大写）</w:t>
      </w:r>
      <w:r>
        <w:rPr>
          <w:rFonts w:hint="eastAsia" w:ascii="宋体" w:hAnsi="宋体" w:cs="宋体"/>
          <w:color w:val="auto"/>
          <w:kern w:val="0"/>
          <w:sz w:val="24"/>
          <w:u w:val="single"/>
        </w:rPr>
        <w:t xml:space="preserve">                                 </w:t>
      </w:r>
      <w:r>
        <w:rPr>
          <w:rFonts w:hint="eastAsia" w:ascii="宋体" w:hAnsi="宋体" w:cs="宋体"/>
          <w:color w:val="auto"/>
          <w:kern w:val="0"/>
          <w:sz w:val="24"/>
        </w:rPr>
        <w:t>，分项价款见“价格清单”（如有）”。</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2、本合同总价款含所有税费(包括货款、标准附件、备品备件、专用工具、包装、运输、装卸、保险、税金、货到就位以及安装、调试、培训、保修等一切税金和费用。)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3、本项目资金来源性质为以下第</w:t>
      </w:r>
      <w:r>
        <w:rPr>
          <w:rFonts w:hint="eastAsia" w:ascii="宋体" w:hAnsi="宋体" w:cs="宋体"/>
          <w:color w:val="auto"/>
          <w:kern w:val="0"/>
          <w:sz w:val="24"/>
          <w:u w:val="single"/>
        </w:rPr>
        <w:t xml:space="preserve">           </w:t>
      </w:r>
      <w:r>
        <w:rPr>
          <w:rFonts w:hint="eastAsia" w:ascii="宋体" w:hAnsi="宋体" w:cs="宋体"/>
          <w:color w:val="auto"/>
          <w:kern w:val="0"/>
          <w:sz w:val="24"/>
        </w:rPr>
        <w:t>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（1）一般预算；（2）政府基金；（3）专户核拨的预算外资金；（4）其他财政资金；（5）其他资金。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4、本合同付款方式为以下第</w:t>
      </w:r>
      <w:r>
        <w:rPr>
          <w:rFonts w:hint="eastAsia" w:ascii="宋体" w:hAnsi="宋体" w:cs="宋体"/>
          <w:color w:val="auto"/>
          <w:kern w:val="0"/>
          <w:sz w:val="24"/>
          <w:u w:val="single"/>
        </w:rPr>
        <w:t xml:space="preserve">           </w:t>
      </w:r>
      <w:r>
        <w:rPr>
          <w:rFonts w:hint="eastAsia" w:ascii="宋体" w:hAnsi="宋体" w:cs="宋体"/>
          <w:color w:val="auto"/>
          <w:kern w:val="0"/>
          <w:sz w:val="24"/>
        </w:rPr>
        <w:t>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（1）本合同项下的采购资金系甲方自行支付，付款程序为</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（2）本合同项下的采购资金须财政直接支付，付款程序为</w:t>
      </w:r>
      <w:r>
        <w:rPr>
          <w:rFonts w:hint="eastAsia" w:ascii="宋体" w:hAnsi="宋体" w:cs="宋体"/>
          <w:color w:val="auto"/>
          <w:kern w:val="0"/>
          <w:sz w:val="24"/>
          <w:u w:val="single"/>
        </w:rPr>
        <w:t>甲方根据年初预算申请生成用款计划，再在支付管理系统中发起授权支付申请，财政核算（支付)中心凭确认书、合同、验收单、发票进行审核支付</w:t>
      </w:r>
      <w:r>
        <w:rPr>
          <w:rFonts w:hint="eastAsia" w:ascii="宋体" w:hAnsi="宋体" w:cs="宋体"/>
          <w:color w:val="auto"/>
          <w:kern w:val="0"/>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（3）其他方式。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5、本合同项下的采购资金付款进度按采购文件与投标文件（或采购响应文件）规定，未规定时按以下第</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项支付：</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（1）一次性付款：乙方合同履行达到</w:t>
      </w:r>
      <w:r>
        <w:rPr>
          <w:rFonts w:hint="eastAsia" w:ascii="宋体" w:hAnsi="宋体" w:cs="宋体"/>
          <w:color w:val="auto"/>
          <w:kern w:val="0"/>
          <w:sz w:val="24"/>
          <w:u w:val="single"/>
        </w:rPr>
        <w:t xml:space="preserve">         </w:t>
      </w:r>
      <w:r>
        <w:rPr>
          <w:rFonts w:hint="eastAsia" w:ascii="宋体" w:hAnsi="宋体" w:cs="宋体"/>
          <w:color w:val="auto"/>
          <w:kern w:val="0"/>
          <w:sz w:val="24"/>
        </w:rPr>
        <w:t>（条件）时，一次性付款；</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（2）分期付款：</w:t>
      </w:r>
      <w:r>
        <w:rPr>
          <w:rFonts w:hint="eastAsia" w:ascii="宋体" w:hAnsi="宋体" w:cs="宋体"/>
          <w:color w:val="auto"/>
          <w:kern w:val="0"/>
          <w:sz w:val="24"/>
          <w:u w:val="single"/>
        </w:rPr>
        <w:t xml:space="preserve">              </w:t>
      </w:r>
      <w:r>
        <w:rPr>
          <w:rFonts w:hint="eastAsia" w:ascii="宋体" w:hAnsi="宋体" w:cs="宋体"/>
          <w:color w:val="auto"/>
          <w:kern w:val="0"/>
          <w:sz w:val="24"/>
        </w:rPr>
        <w:t>时支付</w:t>
      </w:r>
      <w:r>
        <w:rPr>
          <w:rFonts w:hint="eastAsia" w:ascii="宋体" w:hAnsi="宋体" w:cs="宋体"/>
          <w:color w:val="auto"/>
          <w:kern w:val="0"/>
          <w:sz w:val="24"/>
          <w:u w:val="single"/>
        </w:rPr>
        <w:t xml:space="preserve">                </w:t>
      </w:r>
      <w:r>
        <w:rPr>
          <w:rFonts w:hint="eastAsia" w:ascii="宋体" w:hAnsi="宋体" w:cs="宋体"/>
          <w:color w:val="auto"/>
          <w:kern w:val="0"/>
          <w:sz w:val="24"/>
        </w:rPr>
        <w:t>；</w:t>
      </w:r>
      <w:r>
        <w:rPr>
          <w:rFonts w:hint="eastAsia" w:ascii="宋体" w:hAnsi="宋体" w:cs="宋体"/>
          <w:color w:val="auto"/>
          <w:kern w:val="0"/>
          <w:sz w:val="24"/>
          <w:u w:val="single"/>
        </w:rPr>
        <w:t xml:space="preserve">               </w:t>
      </w:r>
      <w:r>
        <w:rPr>
          <w:rFonts w:hint="eastAsia" w:ascii="宋体" w:hAnsi="宋体" w:cs="宋体"/>
          <w:color w:val="auto"/>
          <w:kern w:val="0"/>
          <w:sz w:val="24"/>
        </w:rPr>
        <w:t>时支付</w:t>
      </w:r>
      <w:r>
        <w:rPr>
          <w:rFonts w:hint="eastAsia" w:ascii="宋体" w:hAnsi="宋体" w:cs="宋体"/>
          <w:color w:val="auto"/>
          <w:kern w:val="0"/>
          <w:sz w:val="24"/>
          <w:u w:val="single"/>
        </w:rPr>
        <w:t xml:space="preserve">           </w:t>
      </w:r>
      <w:r>
        <w:rPr>
          <w:rFonts w:hint="eastAsia" w:ascii="宋体" w:hAnsi="宋体" w:cs="宋体"/>
          <w:color w:val="auto"/>
          <w:kern w:val="0"/>
          <w:sz w:val="24"/>
        </w:rPr>
        <w:t>；</w:t>
      </w:r>
      <w:r>
        <w:rPr>
          <w:rFonts w:hint="eastAsia" w:ascii="宋体" w:hAnsi="宋体" w:cs="宋体"/>
          <w:color w:val="auto"/>
          <w:kern w:val="0"/>
          <w:sz w:val="24"/>
          <w:u w:val="single"/>
        </w:rPr>
        <w:t xml:space="preserve">            </w:t>
      </w:r>
      <w:r>
        <w:rPr>
          <w:rFonts w:hint="eastAsia" w:ascii="宋体" w:hAnsi="宋体" w:cs="宋体"/>
          <w:color w:val="auto"/>
          <w:kern w:val="0"/>
          <w:sz w:val="24"/>
        </w:rPr>
        <w:t>时支付</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若收取了履约保证金，则不应重复设置尾款支付条件。</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第四条 履约保证金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b/>
          <w:color w:val="auto"/>
          <w:kern w:val="0"/>
          <w:sz w:val="24"/>
        </w:rPr>
      </w:pPr>
      <w:r>
        <w:rPr>
          <w:rFonts w:hint="eastAsia" w:ascii="宋体" w:hAnsi="宋体" w:cs="宋体"/>
          <w:color w:val="auto"/>
          <w:kern w:val="0"/>
          <w:sz w:val="24"/>
        </w:rPr>
        <w:t>按以下第</w:t>
      </w:r>
      <w:r>
        <w:rPr>
          <w:rFonts w:hint="eastAsia" w:ascii="宋体" w:hAnsi="宋体" w:cs="宋体"/>
          <w:color w:val="auto"/>
          <w:kern w:val="0"/>
          <w:sz w:val="24"/>
          <w:u w:val="single"/>
        </w:rPr>
        <w:t xml:space="preserve">         </w:t>
      </w:r>
      <w:r>
        <w:rPr>
          <w:rFonts w:hint="eastAsia" w:ascii="宋体" w:hAnsi="宋体" w:cs="宋体"/>
          <w:color w:val="auto"/>
          <w:kern w:val="0"/>
          <w:sz w:val="24"/>
        </w:rPr>
        <w:t>项处理：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1、本项目设置履约保证金，乙方应于</w:t>
      </w:r>
      <w:r>
        <w:rPr>
          <w:rFonts w:hint="eastAsia" w:ascii="宋体" w:hAnsi="宋体" w:cs="宋体"/>
          <w:color w:val="auto"/>
          <w:kern w:val="0"/>
          <w:sz w:val="24"/>
          <w:u w:val="single"/>
        </w:rPr>
        <w:t xml:space="preserve">         </w:t>
      </w:r>
      <w:r>
        <w:rPr>
          <w:rFonts w:hint="eastAsia" w:ascii="宋体" w:hAnsi="宋体" w:cs="宋体"/>
          <w:color w:val="auto"/>
          <w:kern w:val="0"/>
          <w:sz w:val="24"/>
        </w:rPr>
        <w:t>（时间）向甲方提交履约保证金</w:t>
      </w:r>
      <w:r>
        <w:rPr>
          <w:rFonts w:hint="eastAsia" w:ascii="宋体" w:hAnsi="宋体" w:cs="宋体"/>
          <w:color w:val="auto"/>
          <w:kern w:val="0"/>
          <w:sz w:val="24"/>
          <w:u w:val="single"/>
        </w:rPr>
        <w:t xml:space="preserve">         </w:t>
      </w:r>
      <w:r>
        <w:rPr>
          <w:rFonts w:hint="eastAsia" w:ascii="宋体" w:hAnsi="宋体" w:cs="宋体"/>
          <w:color w:val="auto"/>
          <w:kern w:val="0"/>
          <w:sz w:val="24"/>
        </w:rPr>
        <w:t>元（不得高于本合同金额的</w:t>
      </w:r>
      <w:r>
        <w:rPr>
          <w:rFonts w:hint="eastAsia" w:ascii="宋体" w:hAnsi="宋体" w:cs="宋体"/>
          <w:color w:val="auto"/>
          <w:kern w:val="0"/>
          <w:sz w:val="24"/>
          <w:lang w:val="en-US" w:eastAsia="zh-CN"/>
        </w:rPr>
        <w:t>1</w:t>
      </w:r>
      <w:r>
        <w:rPr>
          <w:rFonts w:hint="eastAsia" w:ascii="宋体" w:hAnsi="宋体" w:cs="宋体"/>
          <w:color w:val="auto"/>
          <w:kern w:val="0"/>
          <w:sz w:val="24"/>
        </w:rPr>
        <w:t>%）。履约保证金在</w:t>
      </w:r>
      <w:r>
        <w:rPr>
          <w:rFonts w:hint="eastAsia" w:ascii="宋体" w:hAnsi="宋体" w:cs="宋体"/>
          <w:color w:val="auto"/>
          <w:kern w:val="0"/>
          <w:sz w:val="24"/>
          <w:u w:val="single"/>
        </w:rPr>
        <w:t xml:space="preserve">         </w:t>
      </w:r>
      <w:r>
        <w:rPr>
          <w:rFonts w:hint="eastAsia" w:ascii="宋体" w:hAnsi="宋体" w:cs="宋体"/>
          <w:color w:val="auto"/>
          <w:kern w:val="0"/>
          <w:sz w:val="24"/>
        </w:rPr>
        <w:t>（时间）退还乙方。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b/>
          <w:color w:val="auto"/>
          <w:kern w:val="0"/>
          <w:sz w:val="24"/>
        </w:rPr>
      </w:pPr>
      <w:r>
        <w:rPr>
          <w:rFonts w:hint="eastAsia" w:ascii="宋体" w:hAnsi="宋体" w:cs="宋体"/>
          <w:color w:val="auto"/>
          <w:kern w:val="0"/>
          <w:sz w:val="24"/>
        </w:rPr>
        <w:t>2、本项目不设置履约保证金</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第五条 合同的变更和终止</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除《政府采购法》第49条、第50条第二款规定的情形外，本合同一经签订，甲乙双方不得擅自终止合同或对合同实质性条款进行变更。确有特殊情况的，须经同级财政部门备案同意。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第六条 合同的转让与分包</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乙方不得擅自部分或全部转让其应履行的合同义务。乙方分包的，应经过甲方书面同意。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第七条 争议的解决</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因履行本合同引起的或与本合同有关的争议，甲、乙双方应首先通过友好协商解决，如果协商不能解决争议，则采取以下第</w:t>
      </w:r>
      <w:r>
        <w:rPr>
          <w:rFonts w:hint="eastAsia" w:ascii="宋体" w:hAnsi="宋体" w:cs="宋体"/>
          <w:color w:val="auto"/>
          <w:kern w:val="0"/>
          <w:sz w:val="24"/>
          <w:u w:val="single"/>
        </w:rPr>
        <w:t xml:space="preserve">         </w:t>
      </w:r>
      <w:r>
        <w:rPr>
          <w:rFonts w:hint="eastAsia" w:ascii="宋体" w:hAnsi="宋体" w:cs="宋体"/>
          <w:color w:val="auto"/>
          <w:kern w:val="0"/>
          <w:sz w:val="24"/>
        </w:rPr>
        <w:t>种方式解决争议：</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（1）向甲方所在地有管辖权的人民法院提起诉讼；</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（2）向</w:t>
      </w:r>
      <w:r>
        <w:rPr>
          <w:rFonts w:hint="eastAsia" w:ascii="宋体" w:hAnsi="宋体" w:cs="宋体"/>
          <w:color w:val="auto"/>
          <w:kern w:val="0"/>
          <w:sz w:val="24"/>
          <w:u w:val="single"/>
        </w:rPr>
        <w:t xml:space="preserve">         </w:t>
      </w:r>
      <w:r>
        <w:rPr>
          <w:rFonts w:hint="eastAsia" w:ascii="宋体" w:hAnsi="宋体" w:cs="宋体"/>
          <w:color w:val="auto"/>
          <w:kern w:val="0"/>
          <w:sz w:val="24"/>
        </w:rPr>
        <w:t>仲裁委员申请仲裁。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firstLineChars="200"/>
        <w:jc w:val="left"/>
        <w:rPr>
          <w:rFonts w:ascii="宋体" w:hAnsi="宋体" w:cs="宋体"/>
          <w:b/>
          <w:color w:val="auto"/>
          <w:kern w:val="0"/>
          <w:sz w:val="24"/>
        </w:rPr>
      </w:pPr>
      <w:r>
        <w:rPr>
          <w:rFonts w:hint="eastAsia" w:ascii="宋体" w:hAnsi="宋体" w:cs="宋体"/>
          <w:b/>
          <w:color w:val="auto"/>
          <w:kern w:val="0"/>
          <w:sz w:val="24"/>
        </w:rPr>
        <w:t>第八条 合同备案及其他</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本合同一式五份，甲乙双方、财政支付（核算）中心、县财政局、县公共资源交易中心各持一份。</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ascii="宋体" w:hAnsi="宋体" w:cs="宋体"/>
          <w:color w:val="auto"/>
          <w:kern w:val="0"/>
          <w:sz w:val="24"/>
        </w:rPr>
      </w:pPr>
      <w:r>
        <w:rPr>
          <w:rFonts w:hint="eastAsia" w:ascii="宋体" w:hAnsi="宋体" w:cs="宋体"/>
          <w:color w:val="auto"/>
          <w:kern w:val="0"/>
          <w:sz w:val="24"/>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rPr>
      </w:pPr>
      <w:r>
        <w:rPr>
          <w:rFonts w:hint="eastAsia" w:ascii="宋体" w:hAnsi="宋体" w:cs="宋体"/>
          <w:color w:val="auto"/>
          <w:kern w:val="0"/>
          <w:sz w:val="24"/>
        </w:rPr>
        <w:t>二、特殊专用条款部分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jc w:val="center"/>
        <w:rPr>
          <w:rFonts w:ascii="宋体" w:hAnsi="宋体" w:cs="宋体"/>
          <w:color w:val="auto"/>
          <w:kern w:val="0"/>
          <w:sz w:val="24"/>
        </w:rPr>
      </w:pPr>
    </w:p>
    <w:p>
      <w:pPr>
        <w:spacing w:line="480" w:lineRule="exact"/>
        <w:rPr>
          <w:rFonts w:ascii="宋体" w:hAnsi="宋体" w:cs="宋体"/>
          <w:b/>
          <w:color w:val="auto"/>
          <w:sz w:val="24"/>
        </w:rPr>
      </w:pPr>
      <w:r>
        <w:rPr>
          <w:rFonts w:hint="eastAsia" w:ascii="宋体" w:hAnsi="宋体" w:cs="宋体"/>
          <w:b/>
          <w:color w:val="auto"/>
          <w:sz w:val="24"/>
        </w:rPr>
        <w:t>采购人（甲方公章）                    供应商（乙方公章）：</w:t>
      </w:r>
    </w:p>
    <w:p>
      <w:pPr>
        <w:spacing w:line="480" w:lineRule="exact"/>
        <w:rPr>
          <w:rFonts w:ascii="宋体" w:hAnsi="宋体" w:cs="宋体"/>
          <w:b/>
          <w:color w:val="auto"/>
          <w:sz w:val="24"/>
        </w:rPr>
      </w:pPr>
      <w:r>
        <w:rPr>
          <w:rFonts w:hint="eastAsia" w:ascii="宋体" w:hAnsi="宋体" w:cs="宋体"/>
          <w:b/>
          <w:color w:val="auto"/>
          <w:sz w:val="24"/>
        </w:rPr>
        <w:t>法定代表人                            法定代表人</w:t>
      </w:r>
    </w:p>
    <w:p>
      <w:pPr>
        <w:spacing w:line="480" w:lineRule="exact"/>
        <w:rPr>
          <w:rFonts w:ascii="宋体" w:hAnsi="宋体" w:cs="宋体"/>
          <w:b/>
          <w:color w:val="auto"/>
          <w:sz w:val="24"/>
        </w:rPr>
      </w:pPr>
      <w:r>
        <w:rPr>
          <w:rFonts w:hint="eastAsia" w:ascii="宋体" w:hAnsi="宋体" w:cs="宋体"/>
          <w:b/>
          <w:color w:val="auto"/>
          <w:sz w:val="24"/>
        </w:rPr>
        <w:t xml:space="preserve">或被授权人（签字）：                   或被授权人（签字）：     </w:t>
      </w:r>
    </w:p>
    <w:p>
      <w:pPr>
        <w:spacing w:line="480" w:lineRule="exact"/>
        <w:rPr>
          <w:rFonts w:ascii="宋体" w:hAnsi="宋体" w:cs="宋体"/>
          <w:b/>
          <w:color w:val="auto"/>
          <w:sz w:val="24"/>
        </w:rPr>
      </w:pPr>
      <w:r>
        <w:rPr>
          <w:rFonts w:hint="eastAsia" w:ascii="宋体" w:hAnsi="宋体" w:cs="宋体"/>
          <w:b/>
          <w:color w:val="auto"/>
          <w:sz w:val="24"/>
        </w:rPr>
        <w:t xml:space="preserve">电话：                                电话：  </w:t>
      </w:r>
    </w:p>
    <w:p>
      <w:pPr>
        <w:spacing w:line="480" w:lineRule="exact"/>
        <w:ind w:right="480" w:firstLine="2160" w:firstLineChars="900"/>
        <w:jc w:val="center"/>
        <w:rPr>
          <w:rFonts w:ascii="宋体" w:hAnsi="宋体" w:cs="宋体"/>
          <w:color w:val="auto"/>
          <w:sz w:val="24"/>
        </w:rPr>
      </w:pPr>
      <w:r>
        <w:rPr>
          <w:rFonts w:hint="eastAsia" w:ascii="宋体" w:hAnsi="宋体" w:cs="宋体"/>
          <w:color w:val="auto"/>
          <w:sz w:val="24"/>
        </w:rPr>
        <w:t xml:space="preserve">                 </w:t>
      </w:r>
    </w:p>
    <w:p>
      <w:pPr>
        <w:spacing w:line="480" w:lineRule="exact"/>
        <w:ind w:right="480" w:firstLine="2160" w:firstLineChars="900"/>
        <w:jc w:val="center"/>
        <w:rPr>
          <w:rFonts w:ascii="宋体" w:hAnsi="宋体" w:cs="宋体"/>
          <w:color w:val="auto"/>
          <w:sz w:val="24"/>
        </w:rPr>
      </w:pPr>
      <w:r>
        <w:rPr>
          <w:rFonts w:hint="eastAsia" w:ascii="宋体" w:hAnsi="宋体" w:cs="宋体"/>
          <w:color w:val="auto"/>
          <w:sz w:val="24"/>
        </w:rPr>
        <w:t xml:space="preserve">       合同签订日期：     年    月   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3480" w:firstLineChars="1450"/>
        <w:rPr>
          <w:rFonts w:ascii="宋体" w:hAnsi="宋体" w:cs="宋体"/>
          <w:color w:val="auto"/>
          <w:kern w:val="0"/>
          <w:sz w:val="24"/>
        </w:rPr>
      </w:pPr>
      <w:r>
        <w:rPr>
          <w:rFonts w:hint="eastAsia" w:ascii="宋体" w:hAnsi="宋体" w:cs="宋体"/>
          <w:color w:val="auto"/>
          <w:sz w:val="24"/>
        </w:rPr>
        <w:t xml:space="preserve">签约地点：               </w:t>
      </w:r>
    </w:p>
    <w:p>
      <w:pPr>
        <w:pStyle w:val="34"/>
        <w:spacing w:before="120" w:after="120" w:line="420" w:lineRule="exact"/>
        <w:rPr>
          <w:rFonts w:hAnsi="宋体" w:cs="宋体"/>
          <w:bCs/>
          <w:color w:val="auto"/>
        </w:rPr>
        <w:sectPr>
          <w:footerReference r:id="rId6" w:type="default"/>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pPr>
        <w:pStyle w:val="4"/>
        <w:numPr>
          <w:ilvl w:val="0"/>
          <w:numId w:val="6"/>
        </w:numPr>
        <w:jc w:val="center"/>
        <w:rPr>
          <w:rFonts w:ascii="仿宋" w:hAnsi="仿宋" w:eastAsia="仿宋" w:cs="仿宋_GB2312"/>
          <w:bCs w:val="0"/>
          <w:color w:val="auto"/>
          <w:kern w:val="2"/>
          <w:sz w:val="36"/>
          <w:szCs w:val="36"/>
        </w:rPr>
      </w:pPr>
      <w:r>
        <w:rPr>
          <w:rFonts w:hint="eastAsia" w:ascii="仿宋" w:hAnsi="仿宋" w:eastAsia="仿宋" w:cs="仿宋_GB2312"/>
          <w:bCs w:val="0"/>
          <w:color w:val="auto"/>
          <w:kern w:val="2"/>
          <w:sz w:val="36"/>
          <w:szCs w:val="36"/>
        </w:rPr>
        <w:t>投标文件格式</w:t>
      </w:r>
      <w:bookmarkEnd w:id="34"/>
    </w:p>
    <w:p>
      <w:pPr>
        <w:snapToGrid w:val="0"/>
        <w:spacing w:line="360" w:lineRule="auto"/>
        <w:ind w:right="480"/>
        <w:jc w:val="center"/>
        <w:rPr>
          <w:rFonts w:ascii="仿宋_GB2312" w:hAnsi="仿宋" w:eastAsia="仿宋_GB2312" w:cs="仿宋_GB2312"/>
          <w:b/>
          <w:color w:val="auto"/>
          <w:kern w:val="0"/>
          <w:sz w:val="28"/>
          <w:szCs w:val="28"/>
        </w:rPr>
      </w:pPr>
      <w:r>
        <w:rPr>
          <w:rFonts w:ascii="仿宋_GB2312" w:hAnsi="仿宋" w:eastAsia="仿宋_GB2312" w:cs="仿宋_GB2312"/>
          <w:b/>
          <w:color w:val="auto"/>
          <w:kern w:val="0"/>
          <w:sz w:val="28"/>
          <w:szCs w:val="28"/>
        </w:rPr>
        <w:t>符合参加政府采购活动应当具备的一般条件的承诺函</w:t>
      </w:r>
    </w:p>
    <w:p>
      <w:pPr>
        <w:snapToGrid w:val="0"/>
        <w:spacing w:line="360" w:lineRule="auto"/>
        <w:rPr>
          <w:rFonts w:ascii="仿宋_GB2312" w:hAnsi="仿宋" w:eastAsia="仿宋_GB2312" w:cs="仿宋_GB2312"/>
          <w:color w:val="auto"/>
          <w:sz w:val="24"/>
        </w:rPr>
      </w:pPr>
      <w:r>
        <w:rPr>
          <w:rFonts w:hint="eastAsia" w:ascii="仿宋_GB2312" w:hAnsi="仿宋" w:eastAsia="仿宋_GB2312" w:cs="仿宋_GB2312"/>
          <w:color w:val="auto"/>
          <w:sz w:val="24"/>
        </w:rPr>
        <w:t>（采购人）、（采购代理机构）：</w:t>
      </w:r>
    </w:p>
    <w:p>
      <w:pPr>
        <w:snapToGrid w:val="0"/>
        <w:spacing w:line="360" w:lineRule="auto"/>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我方参与（项目名称）【</w:t>
      </w:r>
      <w:r>
        <w:rPr>
          <w:rFonts w:hint="eastAsia" w:ascii="仿宋_GB2312" w:hAnsi="仿宋" w:eastAsia="仿宋_GB2312" w:cs="仿宋_GB2312"/>
          <w:color w:val="auto"/>
          <w:sz w:val="24"/>
          <w:lang w:eastAsia="zh-CN"/>
        </w:rPr>
        <w:t>项目</w:t>
      </w:r>
      <w:r>
        <w:rPr>
          <w:rFonts w:hint="eastAsia" w:ascii="仿宋_GB2312" w:hAnsi="仿宋" w:eastAsia="仿宋_GB2312" w:cs="仿宋_GB2312"/>
          <w:color w:val="auto"/>
          <w:sz w:val="24"/>
        </w:rPr>
        <w:t>编号：</w:t>
      </w:r>
      <w:r>
        <w:rPr>
          <w:rFonts w:hint="eastAsia" w:ascii="仿宋_GB2312" w:hAnsi="仿宋" w:eastAsia="仿宋_GB2312" w:cs="仿宋_GB2312"/>
          <w:color w:val="auto"/>
          <w:sz w:val="24"/>
          <w:lang w:val="en-US" w:eastAsia="zh-CN"/>
        </w:rPr>
        <w:t>XXXX</w:t>
      </w:r>
      <w:r>
        <w:rPr>
          <w:rFonts w:hint="eastAsia" w:ascii="仿宋_GB2312" w:hAnsi="仿宋" w:eastAsia="仿宋_GB2312" w:cs="仿宋_GB2312"/>
          <w:color w:val="auto"/>
          <w:sz w:val="24"/>
        </w:rPr>
        <w:t>】政府采购活动，郑重承诺：</w:t>
      </w:r>
    </w:p>
    <w:p>
      <w:pPr>
        <w:snapToGrid w:val="0"/>
        <w:spacing w:line="360" w:lineRule="auto"/>
        <w:ind w:firstLine="360" w:firstLineChars="150"/>
        <w:rPr>
          <w:rFonts w:ascii="仿宋_GB2312" w:hAnsi="仿宋" w:eastAsia="仿宋_GB2312" w:cs="仿宋_GB2312"/>
          <w:color w:val="auto"/>
          <w:sz w:val="24"/>
        </w:rPr>
      </w:pPr>
      <w:r>
        <w:rPr>
          <w:rFonts w:hint="eastAsia" w:ascii="仿宋_GB2312" w:hAnsi="仿宋" w:eastAsia="仿宋_GB2312" w:cs="仿宋_GB2312"/>
          <w:color w:val="auto"/>
          <w:sz w:val="24"/>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1、</w:t>
      </w:r>
      <w:r>
        <w:rPr>
          <w:rFonts w:ascii="仿宋_GB2312" w:hAnsi="仿宋" w:eastAsia="仿宋_GB2312" w:cs="仿宋_GB2312"/>
          <w:color w:val="auto"/>
          <w:sz w:val="24"/>
        </w:rPr>
        <w:t>具有独立承担民事责任的能力；</w:t>
      </w:r>
    </w:p>
    <w:p>
      <w:pPr>
        <w:snapToGrid w:val="0"/>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w:t>
      </w:r>
      <w:r>
        <w:rPr>
          <w:rFonts w:ascii="仿宋_GB2312" w:hAnsi="仿宋" w:eastAsia="仿宋_GB2312"/>
          <w:color w:val="auto"/>
          <w:sz w:val="24"/>
        </w:rPr>
        <w:t xml:space="preserve">具有良好的商业信誉和健全的财务会计制度； </w:t>
      </w:r>
    </w:p>
    <w:p>
      <w:pPr>
        <w:snapToGrid w:val="0"/>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w:t>
      </w:r>
      <w:r>
        <w:rPr>
          <w:rFonts w:ascii="仿宋_GB2312" w:hAnsi="仿宋" w:eastAsia="仿宋_GB2312"/>
          <w:color w:val="auto"/>
          <w:sz w:val="24"/>
        </w:rPr>
        <w:t>具有履行合同所必需的设备和专业技术能力；</w:t>
      </w:r>
    </w:p>
    <w:p>
      <w:pPr>
        <w:snapToGrid w:val="0"/>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w:t>
      </w:r>
      <w:r>
        <w:rPr>
          <w:rFonts w:ascii="仿宋_GB2312" w:hAnsi="仿宋" w:eastAsia="仿宋_GB2312"/>
          <w:color w:val="auto"/>
          <w:sz w:val="24"/>
        </w:rPr>
        <w:t>有依法缴纳税收和社会保障资金的良好记录；</w:t>
      </w:r>
    </w:p>
    <w:p>
      <w:pPr>
        <w:snapToGrid w:val="0"/>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w:t>
      </w:r>
      <w:r>
        <w:rPr>
          <w:rFonts w:ascii="仿宋_GB2312" w:hAnsi="仿宋" w:eastAsia="仿宋_GB2312"/>
          <w:color w:val="auto"/>
          <w:sz w:val="24"/>
        </w:rPr>
        <w:t>参加政府采购活动前三年内，在经营活动中没有重大违法记录；</w:t>
      </w:r>
    </w:p>
    <w:p>
      <w:pPr>
        <w:snapToGrid w:val="0"/>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w:t>
      </w:r>
      <w:r>
        <w:rPr>
          <w:rFonts w:ascii="仿宋_GB2312" w:hAnsi="仿宋" w:eastAsia="仿宋_GB2312"/>
          <w:color w:val="auto"/>
          <w:sz w:val="24"/>
        </w:rPr>
        <w:t>具有法律、行政法规规定的其他条件。</w:t>
      </w:r>
    </w:p>
    <w:p>
      <w:pPr>
        <w:snapToGrid w:val="0"/>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（二）未被信用中国（</w:t>
      </w:r>
      <w:r>
        <w:rPr>
          <w:rFonts w:ascii="仿宋_GB2312" w:hAnsi="仿宋" w:eastAsia="仿宋_GB2312"/>
          <w:color w:val="auto"/>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（三）不存在以下情况：</w:t>
      </w:r>
    </w:p>
    <w:p>
      <w:pPr>
        <w:snapToGrid w:val="0"/>
        <w:spacing w:line="360" w:lineRule="auto"/>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1、</w:t>
      </w:r>
      <w:r>
        <w:rPr>
          <w:rFonts w:ascii="仿宋_GB2312" w:hAnsi="仿宋" w:eastAsia="仿宋_GB2312" w:cs="仿宋_GB2312"/>
          <w:color w:val="auto"/>
          <w:sz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2、</w:t>
      </w:r>
      <w:r>
        <w:rPr>
          <w:rFonts w:ascii="仿宋_GB2312" w:hAnsi="仿宋" w:eastAsia="仿宋_GB2312" w:cs="仿宋_GB2312"/>
          <w:color w:val="auto"/>
          <w:sz w:val="24"/>
        </w:rPr>
        <w:t>为采购项目提供整体设计、规范编制或者项目管理、监理、检测等服务后再参加该采购项目的其他采购活动的。</w:t>
      </w:r>
    </w:p>
    <w:p>
      <w:pPr>
        <w:pStyle w:val="963"/>
        <w:snapToGrid w:val="0"/>
        <w:ind w:firstLine="4809" w:firstLineChars="2004"/>
        <w:jc w:val="right"/>
        <w:rPr>
          <w:rFonts w:hint="eastAsia" w:ascii="宋体" w:eastAsia="宋体"/>
          <w:bCs/>
          <w:color w:val="auto"/>
          <w:sz w:val="24"/>
          <w:szCs w:val="24"/>
        </w:rPr>
      </w:pPr>
    </w:p>
    <w:p>
      <w:pPr>
        <w:pStyle w:val="963"/>
        <w:snapToGrid w:val="0"/>
        <w:ind w:firstLine="4809" w:firstLineChars="2004"/>
        <w:jc w:val="right"/>
        <w:rPr>
          <w:rFonts w:hint="eastAsia" w:ascii="宋体" w:eastAsia="宋体"/>
          <w:bCs/>
          <w:color w:val="auto"/>
          <w:sz w:val="24"/>
          <w:szCs w:val="24"/>
        </w:rPr>
      </w:pPr>
    </w:p>
    <w:p>
      <w:pPr>
        <w:pStyle w:val="963"/>
        <w:snapToGrid w:val="0"/>
        <w:ind w:firstLine="4809" w:firstLineChars="2004"/>
        <w:jc w:val="right"/>
        <w:rPr>
          <w:rFonts w:ascii="宋体" w:eastAsia="宋体"/>
          <w:bCs/>
          <w:color w:val="auto"/>
          <w:sz w:val="24"/>
          <w:szCs w:val="24"/>
        </w:rPr>
      </w:pPr>
      <w:r>
        <w:rPr>
          <w:rFonts w:hint="eastAsia" w:ascii="宋体" w:eastAsia="宋体"/>
          <w:bCs/>
          <w:color w:val="auto"/>
          <w:sz w:val="24"/>
          <w:szCs w:val="24"/>
        </w:rPr>
        <w:t>投标人名称（盖章）：</w:t>
      </w:r>
    </w:p>
    <w:p>
      <w:pPr>
        <w:snapToGrid w:val="0"/>
        <w:jc w:val="right"/>
        <w:rPr>
          <w:rFonts w:hint="eastAsia" w:ascii="宋体" w:eastAsia="宋体"/>
          <w:color w:val="auto"/>
          <w:sz w:val="24"/>
          <w:szCs w:val="24"/>
        </w:rPr>
      </w:pPr>
      <w:r>
        <w:rPr>
          <w:rFonts w:hint="eastAsia" w:ascii="宋体" w:eastAsia="宋体"/>
          <w:bCs/>
          <w:color w:val="auto"/>
          <w:sz w:val="24"/>
          <w:szCs w:val="24"/>
        </w:rPr>
        <w:t>日 期：</w:t>
      </w:r>
      <w:r>
        <w:rPr>
          <w:rFonts w:hint="eastAsia" w:ascii="宋体" w:eastAsia="宋体"/>
          <w:color w:val="auto"/>
          <w:sz w:val="24"/>
          <w:szCs w:val="24"/>
          <w:u w:val="single"/>
        </w:rPr>
        <w:t xml:space="preserve">     </w:t>
      </w:r>
      <w:r>
        <w:rPr>
          <w:rFonts w:hint="eastAsia" w:ascii="宋体" w:eastAsia="宋体"/>
          <w:color w:val="auto"/>
          <w:sz w:val="24"/>
          <w:szCs w:val="24"/>
        </w:rPr>
        <w:t>年</w:t>
      </w:r>
      <w:r>
        <w:rPr>
          <w:rFonts w:hint="eastAsia" w:ascii="宋体" w:eastAsia="宋体"/>
          <w:color w:val="auto"/>
          <w:sz w:val="24"/>
          <w:szCs w:val="24"/>
          <w:u w:val="single"/>
        </w:rPr>
        <w:t xml:space="preserve">   </w:t>
      </w:r>
      <w:r>
        <w:rPr>
          <w:rFonts w:hint="eastAsia" w:ascii="宋体" w:eastAsia="宋体"/>
          <w:color w:val="auto"/>
          <w:sz w:val="24"/>
          <w:szCs w:val="24"/>
        </w:rPr>
        <w:t>月</w:t>
      </w:r>
      <w:r>
        <w:rPr>
          <w:rFonts w:hint="eastAsia" w:ascii="宋体" w:eastAsia="宋体"/>
          <w:color w:val="auto"/>
          <w:sz w:val="24"/>
          <w:szCs w:val="24"/>
          <w:u w:val="single"/>
        </w:rPr>
        <w:t xml:space="preserve">   </w:t>
      </w:r>
      <w:r>
        <w:rPr>
          <w:rFonts w:hint="eastAsia" w:ascii="宋体" w:eastAsia="宋体"/>
          <w:color w:val="auto"/>
          <w:sz w:val="24"/>
          <w:szCs w:val="24"/>
        </w:rPr>
        <w:t>日</w:t>
      </w:r>
    </w:p>
    <w:p>
      <w:pPr>
        <w:snapToGrid w:val="0"/>
        <w:jc w:val="center"/>
        <w:rPr>
          <w:rFonts w:hint="eastAsia" w:ascii="宋体" w:eastAsia="宋体"/>
          <w:color w:val="auto"/>
          <w:sz w:val="24"/>
          <w:szCs w:val="24"/>
        </w:rPr>
      </w:pPr>
    </w:p>
    <w:p>
      <w:pPr>
        <w:snapToGrid w:val="0"/>
        <w:jc w:val="center"/>
        <w:rPr>
          <w:rFonts w:hint="eastAsia" w:ascii="宋体" w:eastAsia="宋体"/>
          <w:color w:val="auto"/>
          <w:sz w:val="24"/>
          <w:szCs w:val="24"/>
        </w:rPr>
      </w:pPr>
    </w:p>
    <w:p>
      <w:pPr>
        <w:snapToGrid w:val="0"/>
        <w:jc w:val="center"/>
        <w:rPr>
          <w:rFonts w:hint="eastAsia" w:ascii="宋体" w:eastAsia="宋体"/>
          <w:color w:val="auto"/>
          <w:sz w:val="24"/>
          <w:szCs w:val="24"/>
        </w:rPr>
      </w:pPr>
    </w:p>
    <w:p>
      <w:pPr>
        <w:snapToGrid w:val="0"/>
        <w:jc w:val="center"/>
        <w:rPr>
          <w:rFonts w:hint="eastAsia" w:ascii="宋体" w:eastAsia="宋体"/>
          <w:color w:val="auto"/>
          <w:sz w:val="24"/>
          <w:szCs w:val="24"/>
        </w:rPr>
      </w:pPr>
    </w:p>
    <w:p>
      <w:pPr>
        <w:snapToGrid w:val="0"/>
        <w:jc w:val="center"/>
        <w:rPr>
          <w:rFonts w:hint="eastAsia" w:ascii="宋体" w:eastAsia="宋体"/>
          <w:color w:val="auto"/>
          <w:sz w:val="24"/>
          <w:szCs w:val="24"/>
        </w:rPr>
      </w:pPr>
    </w:p>
    <w:p>
      <w:pPr>
        <w:snapToGrid w:val="0"/>
        <w:jc w:val="center"/>
        <w:rPr>
          <w:rFonts w:ascii="宋体" w:hAnsi="宋体"/>
          <w:b/>
          <w:color w:val="auto"/>
          <w:sz w:val="24"/>
        </w:rPr>
      </w:pPr>
      <w:r>
        <w:rPr>
          <w:rFonts w:hint="eastAsia" w:ascii="宋体" w:hAnsi="宋体"/>
          <w:b/>
          <w:color w:val="auto"/>
          <w:sz w:val="24"/>
        </w:rPr>
        <w:t>中小企业声明函（货物）</w:t>
      </w:r>
    </w:p>
    <w:p>
      <w:pPr>
        <w:pStyle w:val="963"/>
        <w:snapToGrid w:val="0"/>
        <w:spacing w:line="480" w:lineRule="exact"/>
        <w:ind w:firstLine="494"/>
        <w:rPr>
          <w:rFonts w:ascii="宋体" w:eastAsia="宋体"/>
          <w:bCs/>
          <w:color w:val="auto"/>
          <w:sz w:val="24"/>
          <w:szCs w:val="24"/>
        </w:rPr>
      </w:pPr>
      <w:r>
        <w:rPr>
          <w:rFonts w:hint="eastAsia" w:ascii="宋体" w:eastAsia="宋体"/>
          <w:bCs/>
          <w:color w:val="auto"/>
          <w:sz w:val="24"/>
          <w:szCs w:val="24"/>
        </w:rPr>
        <w:t>本公司郑重声明，根据《政府采购促进中小企业发展管理办法》（财库﹝2020﹞46 号）的规定，本公司参加</w:t>
      </w:r>
      <w:r>
        <w:rPr>
          <w:rFonts w:hint="eastAsia" w:ascii="宋体" w:eastAsia="宋体"/>
          <w:bCs/>
          <w:color w:val="auto"/>
          <w:sz w:val="24"/>
          <w:szCs w:val="24"/>
          <w:u w:val="single"/>
        </w:rPr>
        <w:t xml:space="preserve">  （项目名称）    </w:t>
      </w:r>
      <w:r>
        <w:rPr>
          <w:rFonts w:hint="eastAsia" w:ascii="宋体" w:eastAsia="宋体"/>
          <w:bCs/>
          <w:color w:val="auto"/>
          <w:sz w:val="24"/>
          <w:szCs w:val="24"/>
        </w:rPr>
        <w:t>编号：</w:t>
      </w:r>
      <w:r>
        <w:rPr>
          <w:rFonts w:hint="eastAsia" w:ascii="宋体" w:eastAsia="宋体"/>
          <w:bCs/>
          <w:color w:val="auto"/>
          <w:sz w:val="24"/>
          <w:szCs w:val="24"/>
          <w:u w:val="single"/>
        </w:rPr>
        <w:t xml:space="preserve"> （项目编号） </w:t>
      </w:r>
      <w:r>
        <w:rPr>
          <w:rFonts w:hint="eastAsia" w:ascii="宋体" w:eastAsia="宋体"/>
          <w:bCs/>
          <w:color w:val="auto"/>
          <w:sz w:val="24"/>
          <w:szCs w:val="24"/>
        </w:rPr>
        <w:t>的采购活动，提供的以下货物由符合政策要求的中小企业制造。相关企业的具体情况如下：</w:t>
      </w:r>
    </w:p>
    <w:p>
      <w:pPr>
        <w:pStyle w:val="963"/>
        <w:snapToGrid w:val="0"/>
        <w:spacing w:line="480" w:lineRule="exact"/>
        <w:ind w:firstLine="494"/>
        <w:rPr>
          <w:rFonts w:ascii="宋体" w:eastAsia="宋体"/>
          <w:bCs/>
          <w:color w:val="auto"/>
          <w:sz w:val="24"/>
          <w:szCs w:val="24"/>
        </w:rPr>
      </w:pPr>
      <w:r>
        <w:rPr>
          <w:rFonts w:hint="eastAsia" w:ascii="宋体" w:eastAsia="宋体"/>
          <w:bCs/>
          <w:color w:val="auto"/>
          <w:sz w:val="24"/>
          <w:szCs w:val="24"/>
        </w:rPr>
        <w:t xml:space="preserve">1. </w:t>
      </w:r>
      <w:r>
        <w:rPr>
          <w:rFonts w:hint="eastAsia" w:ascii="宋体" w:eastAsia="宋体"/>
          <w:bCs/>
          <w:color w:val="auto"/>
          <w:sz w:val="24"/>
          <w:szCs w:val="24"/>
          <w:u w:val="single"/>
        </w:rPr>
        <w:t>（标的名称）</w:t>
      </w:r>
      <w:r>
        <w:rPr>
          <w:rFonts w:hint="eastAsia" w:ascii="宋体" w:eastAsia="宋体"/>
          <w:bCs/>
          <w:color w:val="auto"/>
          <w:sz w:val="24"/>
          <w:szCs w:val="24"/>
        </w:rPr>
        <w:t xml:space="preserve"> ，属于</w:t>
      </w:r>
      <w:r>
        <w:rPr>
          <w:rFonts w:hint="eastAsia" w:ascii="宋体" w:eastAsia="宋体"/>
          <w:bCs/>
          <w:color w:val="auto"/>
          <w:sz w:val="24"/>
          <w:szCs w:val="24"/>
          <w:u w:val="single"/>
        </w:rPr>
        <w:t xml:space="preserve"> （采购文件中明确的所属行业）</w:t>
      </w:r>
      <w:r>
        <w:rPr>
          <w:rFonts w:hint="eastAsia" w:ascii="宋体" w:eastAsia="宋体"/>
          <w:bCs/>
          <w:color w:val="auto"/>
          <w:sz w:val="24"/>
          <w:szCs w:val="24"/>
        </w:rPr>
        <w:t xml:space="preserve">行业 ；制造商为 </w:t>
      </w:r>
      <w:r>
        <w:rPr>
          <w:rFonts w:hint="eastAsia" w:ascii="宋体" w:eastAsia="宋体"/>
          <w:bCs/>
          <w:color w:val="auto"/>
          <w:sz w:val="24"/>
          <w:szCs w:val="24"/>
          <w:u w:val="single"/>
        </w:rPr>
        <w:t>（企业名称）</w:t>
      </w:r>
      <w:r>
        <w:rPr>
          <w:rFonts w:hint="eastAsia" w:ascii="宋体" w:eastAsia="宋体"/>
          <w:bCs/>
          <w:color w:val="auto"/>
          <w:sz w:val="24"/>
          <w:szCs w:val="24"/>
        </w:rPr>
        <w:t xml:space="preserve"> ，从业人员</w:t>
      </w:r>
      <w:r>
        <w:rPr>
          <w:rFonts w:hint="eastAsia" w:ascii="宋体" w:eastAsia="宋体"/>
          <w:bCs/>
          <w:color w:val="auto"/>
          <w:sz w:val="24"/>
          <w:szCs w:val="24"/>
          <w:u w:val="single"/>
        </w:rPr>
        <w:t xml:space="preserve">     </w:t>
      </w:r>
      <w:r>
        <w:rPr>
          <w:rFonts w:hint="eastAsia" w:ascii="宋体" w:eastAsia="宋体"/>
          <w:bCs/>
          <w:color w:val="auto"/>
          <w:sz w:val="24"/>
          <w:szCs w:val="24"/>
        </w:rPr>
        <w:t xml:space="preserve"> 人，营业收入为</w:t>
      </w:r>
      <w:r>
        <w:rPr>
          <w:rFonts w:hint="eastAsia" w:ascii="宋体" w:eastAsia="宋体"/>
          <w:bCs/>
          <w:color w:val="auto"/>
          <w:sz w:val="24"/>
          <w:szCs w:val="24"/>
          <w:u w:val="single"/>
        </w:rPr>
        <w:t xml:space="preserve">          </w:t>
      </w:r>
      <w:r>
        <w:rPr>
          <w:rFonts w:hint="eastAsia" w:ascii="宋体" w:eastAsia="宋体"/>
          <w:bCs/>
          <w:color w:val="auto"/>
          <w:sz w:val="24"/>
          <w:szCs w:val="24"/>
        </w:rPr>
        <w:t>万元，资产总额为</w:t>
      </w:r>
      <w:r>
        <w:rPr>
          <w:rFonts w:hint="eastAsia" w:ascii="宋体" w:eastAsia="宋体"/>
          <w:bCs/>
          <w:color w:val="auto"/>
          <w:sz w:val="24"/>
          <w:szCs w:val="24"/>
          <w:u w:val="single"/>
        </w:rPr>
        <w:t xml:space="preserve">          </w:t>
      </w:r>
      <w:r>
        <w:rPr>
          <w:rFonts w:hint="eastAsia" w:ascii="宋体" w:eastAsia="宋体"/>
          <w:bCs/>
          <w:color w:val="auto"/>
          <w:sz w:val="24"/>
          <w:szCs w:val="24"/>
        </w:rPr>
        <w:t xml:space="preserve">万元，属于 </w:t>
      </w:r>
      <w:r>
        <w:rPr>
          <w:rFonts w:hint="eastAsia" w:ascii="宋体" w:eastAsia="宋体"/>
          <w:bCs/>
          <w:color w:val="auto"/>
          <w:sz w:val="24"/>
          <w:szCs w:val="24"/>
          <w:u w:val="single"/>
        </w:rPr>
        <w:t>（中型企业、小型企业、微型企业）</w:t>
      </w:r>
      <w:r>
        <w:rPr>
          <w:rFonts w:hint="eastAsia" w:ascii="宋体" w:eastAsia="宋体"/>
          <w:bCs/>
          <w:color w:val="auto"/>
          <w:sz w:val="24"/>
          <w:szCs w:val="24"/>
        </w:rPr>
        <w:t xml:space="preserve"> ；</w:t>
      </w:r>
    </w:p>
    <w:p>
      <w:pPr>
        <w:pStyle w:val="963"/>
        <w:snapToGrid w:val="0"/>
        <w:spacing w:line="480" w:lineRule="exact"/>
        <w:ind w:firstLine="494"/>
        <w:rPr>
          <w:rFonts w:ascii="宋体" w:eastAsia="宋体"/>
          <w:bCs/>
          <w:color w:val="auto"/>
          <w:sz w:val="24"/>
          <w:szCs w:val="24"/>
          <w:u w:val="single"/>
        </w:rPr>
      </w:pPr>
      <w:r>
        <w:rPr>
          <w:rFonts w:hint="eastAsia" w:ascii="宋体" w:eastAsia="宋体"/>
          <w:bCs/>
          <w:color w:val="auto"/>
          <w:sz w:val="24"/>
          <w:szCs w:val="24"/>
        </w:rPr>
        <w:t xml:space="preserve">2. </w:t>
      </w:r>
      <w:r>
        <w:rPr>
          <w:rFonts w:hint="eastAsia" w:ascii="宋体" w:eastAsia="宋体"/>
          <w:bCs/>
          <w:color w:val="auto"/>
          <w:sz w:val="24"/>
          <w:szCs w:val="24"/>
          <w:u w:val="single"/>
        </w:rPr>
        <w:t>（标的名称）</w:t>
      </w:r>
      <w:r>
        <w:rPr>
          <w:rFonts w:hint="eastAsia" w:ascii="宋体" w:eastAsia="宋体"/>
          <w:bCs/>
          <w:color w:val="auto"/>
          <w:sz w:val="24"/>
          <w:szCs w:val="24"/>
        </w:rPr>
        <w:t xml:space="preserve"> ，属于</w:t>
      </w:r>
      <w:r>
        <w:rPr>
          <w:rFonts w:hint="eastAsia" w:ascii="宋体" w:eastAsia="宋体"/>
          <w:bCs/>
          <w:color w:val="auto"/>
          <w:sz w:val="24"/>
          <w:szCs w:val="24"/>
          <w:u w:val="single"/>
        </w:rPr>
        <w:t xml:space="preserve"> （采购文件中明确的所属行业）</w:t>
      </w:r>
      <w:r>
        <w:rPr>
          <w:rFonts w:hint="eastAsia" w:ascii="宋体" w:eastAsia="宋体"/>
          <w:bCs/>
          <w:color w:val="auto"/>
          <w:sz w:val="24"/>
          <w:szCs w:val="24"/>
        </w:rPr>
        <w:t xml:space="preserve">行业 ；制造商为 </w:t>
      </w:r>
      <w:r>
        <w:rPr>
          <w:rFonts w:hint="eastAsia" w:ascii="宋体" w:eastAsia="宋体"/>
          <w:bCs/>
          <w:color w:val="auto"/>
          <w:sz w:val="24"/>
          <w:szCs w:val="24"/>
          <w:u w:val="single"/>
        </w:rPr>
        <w:t>（企业名称）</w:t>
      </w:r>
      <w:r>
        <w:rPr>
          <w:rFonts w:hint="eastAsia" w:ascii="宋体" w:eastAsia="宋体"/>
          <w:bCs/>
          <w:color w:val="auto"/>
          <w:sz w:val="24"/>
          <w:szCs w:val="24"/>
        </w:rPr>
        <w:t xml:space="preserve"> ，从业人员</w:t>
      </w:r>
      <w:r>
        <w:rPr>
          <w:rFonts w:hint="eastAsia" w:ascii="宋体" w:eastAsia="宋体"/>
          <w:bCs/>
          <w:color w:val="auto"/>
          <w:sz w:val="24"/>
          <w:szCs w:val="24"/>
          <w:u w:val="single"/>
        </w:rPr>
        <w:t xml:space="preserve">     </w:t>
      </w:r>
      <w:r>
        <w:rPr>
          <w:rFonts w:hint="eastAsia" w:ascii="宋体" w:eastAsia="宋体"/>
          <w:bCs/>
          <w:color w:val="auto"/>
          <w:sz w:val="24"/>
          <w:szCs w:val="24"/>
        </w:rPr>
        <w:t xml:space="preserve"> 人，营业收入为</w:t>
      </w:r>
      <w:r>
        <w:rPr>
          <w:rFonts w:hint="eastAsia" w:ascii="宋体" w:eastAsia="宋体"/>
          <w:bCs/>
          <w:color w:val="auto"/>
          <w:sz w:val="24"/>
          <w:szCs w:val="24"/>
          <w:u w:val="single"/>
        </w:rPr>
        <w:t xml:space="preserve">          </w:t>
      </w:r>
      <w:r>
        <w:rPr>
          <w:rFonts w:hint="eastAsia" w:ascii="宋体" w:eastAsia="宋体"/>
          <w:bCs/>
          <w:color w:val="auto"/>
          <w:sz w:val="24"/>
          <w:szCs w:val="24"/>
        </w:rPr>
        <w:t>万元，资产总额为</w:t>
      </w:r>
      <w:r>
        <w:rPr>
          <w:rFonts w:hint="eastAsia" w:ascii="宋体" w:eastAsia="宋体"/>
          <w:bCs/>
          <w:color w:val="auto"/>
          <w:sz w:val="24"/>
          <w:szCs w:val="24"/>
          <w:u w:val="single"/>
        </w:rPr>
        <w:t xml:space="preserve">          </w:t>
      </w:r>
      <w:r>
        <w:rPr>
          <w:rFonts w:hint="eastAsia" w:ascii="宋体" w:eastAsia="宋体"/>
          <w:bCs/>
          <w:color w:val="auto"/>
          <w:sz w:val="24"/>
          <w:szCs w:val="24"/>
        </w:rPr>
        <w:t xml:space="preserve">万元，属于 </w:t>
      </w:r>
      <w:r>
        <w:rPr>
          <w:rFonts w:hint="eastAsia" w:ascii="宋体" w:eastAsia="宋体"/>
          <w:bCs/>
          <w:color w:val="auto"/>
          <w:sz w:val="24"/>
          <w:szCs w:val="24"/>
          <w:u w:val="single"/>
        </w:rPr>
        <w:t>（中型企业、小型企业、微型企业）</w:t>
      </w:r>
      <w:r>
        <w:rPr>
          <w:rFonts w:hint="eastAsia" w:ascii="宋体" w:eastAsia="宋体"/>
          <w:bCs/>
          <w:color w:val="auto"/>
          <w:sz w:val="24"/>
          <w:szCs w:val="24"/>
        </w:rPr>
        <w:t xml:space="preserve"> ；</w:t>
      </w:r>
    </w:p>
    <w:p>
      <w:pPr>
        <w:pStyle w:val="963"/>
        <w:snapToGrid w:val="0"/>
        <w:spacing w:line="480" w:lineRule="exact"/>
        <w:ind w:firstLine="494"/>
        <w:rPr>
          <w:rFonts w:ascii="宋体" w:eastAsia="宋体"/>
          <w:bCs/>
          <w:color w:val="auto"/>
          <w:sz w:val="24"/>
          <w:szCs w:val="24"/>
        </w:rPr>
      </w:pPr>
      <w:r>
        <w:rPr>
          <w:rFonts w:hint="eastAsia" w:ascii="宋体" w:eastAsia="宋体"/>
          <w:bCs/>
          <w:color w:val="auto"/>
          <w:sz w:val="24"/>
          <w:szCs w:val="24"/>
        </w:rPr>
        <w:t>……</w:t>
      </w:r>
    </w:p>
    <w:p>
      <w:pPr>
        <w:pStyle w:val="963"/>
        <w:snapToGrid w:val="0"/>
        <w:spacing w:line="480" w:lineRule="exact"/>
        <w:ind w:firstLine="494"/>
        <w:rPr>
          <w:rFonts w:ascii="宋体" w:eastAsia="宋体"/>
          <w:bCs/>
          <w:color w:val="auto"/>
          <w:sz w:val="24"/>
          <w:szCs w:val="24"/>
        </w:rPr>
      </w:pPr>
      <w:r>
        <w:rPr>
          <w:rFonts w:hint="eastAsia" w:ascii="宋体" w:eastAsia="宋体"/>
          <w:bCs/>
          <w:color w:val="auto"/>
          <w:sz w:val="24"/>
          <w:szCs w:val="24"/>
        </w:rPr>
        <w:t>以上企业，不属于大中企业的分支机构，不存在控股股东为大中企业的情形，也不存在与大中企业的负责人为同一人的情形。</w:t>
      </w:r>
    </w:p>
    <w:p>
      <w:pPr>
        <w:pStyle w:val="963"/>
        <w:snapToGrid w:val="0"/>
        <w:spacing w:line="480" w:lineRule="exact"/>
        <w:ind w:firstLine="494"/>
        <w:rPr>
          <w:rFonts w:ascii="宋体" w:eastAsia="宋体"/>
          <w:bCs/>
          <w:color w:val="auto"/>
          <w:sz w:val="24"/>
          <w:szCs w:val="24"/>
        </w:rPr>
      </w:pPr>
      <w:r>
        <w:rPr>
          <w:rFonts w:hint="eastAsia" w:ascii="宋体" w:eastAsia="宋体"/>
          <w:bCs/>
          <w:color w:val="auto"/>
          <w:sz w:val="24"/>
          <w:szCs w:val="24"/>
        </w:rPr>
        <w:t>本企业对上述声明内容的真实性负责。如有虚假，将依法承担相应责任。</w:t>
      </w:r>
    </w:p>
    <w:p>
      <w:pPr>
        <w:pStyle w:val="963"/>
        <w:snapToGrid w:val="0"/>
        <w:ind w:firstLine="494"/>
        <w:rPr>
          <w:rFonts w:ascii="宋体" w:eastAsia="宋体"/>
          <w:bCs/>
          <w:color w:val="auto"/>
          <w:sz w:val="24"/>
          <w:szCs w:val="24"/>
        </w:rPr>
      </w:pPr>
    </w:p>
    <w:p>
      <w:pPr>
        <w:pStyle w:val="963"/>
        <w:snapToGrid w:val="0"/>
        <w:ind w:firstLine="4809" w:firstLineChars="2004"/>
        <w:rPr>
          <w:rFonts w:ascii="宋体" w:eastAsia="宋体"/>
          <w:bCs/>
          <w:color w:val="auto"/>
          <w:sz w:val="24"/>
          <w:szCs w:val="24"/>
        </w:rPr>
      </w:pPr>
      <w:r>
        <w:rPr>
          <w:rFonts w:hint="eastAsia" w:ascii="宋体" w:eastAsia="宋体"/>
          <w:bCs/>
          <w:color w:val="auto"/>
          <w:sz w:val="24"/>
          <w:szCs w:val="24"/>
        </w:rPr>
        <w:t>投标人名称（盖章）：</w:t>
      </w:r>
    </w:p>
    <w:p>
      <w:pPr>
        <w:pStyle w:val="963"/>
        <w:snapToGrid w:val="0"/>
        <w:ind w:firstLine="4809" w:firstLineChars="2004"/>
        <w:rPr>
          <w:rFonts w:ascii="宋体" w:eastAsia="宋体"/>
          <w:bCs/>
          <w:color w:val="auto"/>
          <w:sz w:val="24"/>
          <w:szCs w:val="24"/>
        </w:rPr>
      </w:pPr>
      <w:r>
        <w:rPr>
          <w:rFonts w:hint="eastAsia" w:ascii="宋体" w:eastAsia="宋体"/>
          <w:bCs/>
          <w:color w:val="auto"/>
          <w:sz w:val="24"/>
          <w:szCs w:val="24"/>
        </w:rPr>
        <w:t>日 期：</w:t>
      </w:r>
      <w:r>
        <w:rPr>
          <w:rFonts w:hint="eastAsia" w:ascii="宋体" w:eastAsia="宋体"/>
          <w:color w:val="auto"/>
          <w:sz w:val="24"/>
          <w:szCs w:val="24"/>
          <w:u w:val="single"/>
        </w:rPr>
        <w:t xml:space="preserve">     </w:t>
      </w:r>
      <w:r>
        <w:rPr>
          <w:rFonts w:hint="eastAsia" w:ascii="宋体" w:eastAsia="宋体"/>
          <w:color w:val="auto"/>
          <w:sz w:val="24"/>
          <w:szCs w:val="24"/>
        </w:rPr>
        <w:t>年</w:t>
      </w:r>
      <w:r>
        <w:rPr>
          <w:rFonts w:hint="eastAsia" w:ascii="宋体" w:eastAsia="宋体"/>
          <w:color w:val="auto"/>
          <w:sz w:val="24"/>
          <w:szCs w:val="24"/>
          <w:u w:val="single"/>
        </w:rPr>
        <w:t xml:space="preserve">   </w:t>
      </w:r>
      <w:r>
        <w:rPr>
          <w:rFonts w:hint="eastAsia" w:ascii="宋体" w:eastAsia="宋体"/>
          <w:color w:val="auto"/>
          <w:sz w:val="24"/>
          <w:szCs w:val="24"/>
        </w:rPr>
        <w:t>月</w:t>
      </w:r>
      <w:r>
        <w:rPr>
          <w:rFonts w:hint="eastAsia" w:ascii="宋体" w:eastAsia="宋体"/>
          <w:color w:val="auto"/>
          <w:sz w:val="24"/>
          <w:szCs w:val="24"/>
          <w:u w:val="single"/>
        </w:rPr>
        <w:t xml:space="preserve">   </w:t>
      </w:r>
      <w:r>
        <w:rPr>
          <w:rFonts w:hint="eastAsia" w:ascii="宋体" w:eastAsia="宋体"/>
          <w:color w:val="auto"/>
          <w:sz w:val="24"/>
          <w:szCs w:val="24"/>
        </w:rPr>
        <w:t>日</w:t>
      </w:r>
    </w:p>
    <w:p>
      <w:pPr>
        <w:pStyle w:val="963"/>
        <w:snapToGrid w:val="0"/>
        <w:spacing w:line="240" w:lineRule="auto"/>
        <w:ind w:firstLine="0" w:firstLineChars="0"/>
        <w:rPr>
          <w:rFonts w:ascii="宋体" w:eastAsia="宋体"/>
          <w:bCs/>
          <w:color w:val="auto"/>
          <w:sz w:val="24"/>
          <w:szCs w:val="24"/>
        </w:rPr>
      </w:pPr>
    </w:p>
    <w:p>
      <w:pPr>
        <w:pStyle w:val="963"/>
        <w:snapToGrid w:val="0"/>
        <w:spacing w:line="240" w:lineRule="auto"/>
        <w:ind w:firstLine="0" w:firstLineChars="0"/>
        <w:rPr>
          <w:rFonts w:ascii="宋体" w:eastAsia="宋体"/>
          <w:bCs/>
          <w:color w:val="auto"/>
          <w:sz w:val="24"/>
          <w:szCs w:val="24"/>
        </w:rPr>
      </w:pPr>
      <w:r>
        <w:rPr>
          <w:rFonts w:hint="eastAsia" w:ascii="宋体" w:eastAsia="宋体"/>
          <w:bCs/>
          <w:color w:val="auto"/>
          <w:sz w:val="24"/>
          <w:szCs w:val="24"/>
        </w:rPr>
        <w:t>注：</w:t>
      </w:r>
    </w:p>
    <w:p>
      <w:pPr>
        <w:pStyle w:val="963"/>
        <w:snapToGrid w:val="0"/>
        <w:spacing w:line="240" w:lineRule="auto"/>
        <w:ind w:firstLine="0" w:firstLineChars="0"/>
        <w:rPr>
          <w:rFonts w:ascii="宋体" w:eastAsia="宋体"/>
          <w:bCs/>
          <w:color w:val="auto"/>
          <w:sz w:val="24"/>
          <w:szCs w:val="24"/>
        </w:rPr>
      </w:pPr>
      <w:r>
        <w:rPr>
          <w:rFonts w:hint="eastAsia" w:ascii="宋体" w:eastAsia="宋体"/>
          <w:bCs/>
          <w:color w:val="auto"/>
          <w:sz w:val="24"/>
          <w:szCs w:val="24"/>
        </w:rPr>
        <w:t>1.从业人员、营业收入、资产总额填报上一年度数据，无上一年度数据的新成立企业可不填报；</w:t>
      </w:r>
    </w:p>
    <w:p>
      <w:pPr>
        <w:pStyle w:val="963"/>
        <w:snapToGrid w:val="0"/>
        <w:spacing w:line="240" w:lineRule="auto"/>
        <w:ind w:firstLine="0" w:firstLineChars="0"/>
        <w:rPr>
          <w:rFonts w:ascii="宋体" w:eastAsia="宋体"/>
          <w:bCs/>
          <w:color w:val="auto"/>
          <w:sz w:val="24"/>
          <w:szCs w:val="24"/>
        </w:rPr>
      </w:pPr>
      <w:r>
        <w:rPr>
          <w:rFonts w:hint="eastAsia" w:ascii="宋体" w:eastAsia="宋体"/>
          <w:bCs/>
          <w:color w:val="auto"/>
          <w:sz w:val="24"/>
          <w:szCs w:val="24"/>
        </w:rPr>
        <w:t>2.本项目中小企业政策所属行业为</w:t>
      </w:r>
      <w:r>
        <w:rPr>
          <w:rFonts w:hint="eastAsia" w:ascii="宋体" w:eastAsia="宋体"/>
          <w:b/>
          <w:bCs w:val="0"/>
          <w:color w:val="auto"/>
          <w:sz w:val="24"/>
          <w:szCs w:val="24"/>
          <w:u w:val="none"/>
        </w:rPr>
        <w:t>制造业</w:t>
      </w:r>
      <w:r>
        <w:rPr>
          <w:rFonts w:hint="eastAsia" w:ascii="宋体" w:eastAsia="宋体"/>
          <w:bCs/>
          <w:color w:val="auto"/>
          <w:sz w:val="24"/>
          <w:szCs w:val="24"/>
        </w:rPr>
        <w:t>；</w:t>
      </w:r>
    </w:p>
    <w:p>
      <w:pPr>
        <w:pStyle w:val="963"/>
        <w:snapToGrid w:val="0"/>
        <w:spacing w:line="240" w:lineRule="auto"/>
        <w:ind w:firstLine="0" w:firstLineChars="0"/>
        <w:rPr>
          <w:rFonts w:ascii="宋体" w:eastAsia="宋体"/>
          <w:bCs/>
          <w:color w:val="auto"/>
          <w:sz w:val="24"/>
          <w:szCs w:val="24"/>
        </w:rPr>
      </w:pPr>
      <w:r>
        <w:rPr>
          <w:rFonts w:hint="eastAsia" w:ascii="宋体" w:eastAsia="宋体"/>
          <w:bCs/>
          <w:color w:val="auto"/>
          <w:sz w:val="24"/>
          <w:szCs w:val="24"/>
        </w:rPr>
        <w:t>3.符合《关于促进残疾人就业政府采购政策的通知》（财库〔2017〕141号）规定的条件并提供《残疾人福利性单位声明函》的残疾人福利性单位视同小型、微型企业；</w:t>
      </w:r>
    </w:p>
    <w:p>
      <w:pPr>
        <w:pStyle w:val="963"/>
        <w:snapToGrid w:val="0"/>
        <w:spacing w:line="240" w:lineRule="auto"/>
        <w:ind w:firstLine="0" w:firstLineChars="0"/>
        <w:rPr>
          <w:rFonts w:ascii="宋体" w:eastAsia="宋体"/>
          <w:bCs/>
          <w:color w:val="auto"/>
          <w:sz w:val="24"/>
          <w:szCs w:val="24"/>
        </w:rPr>
      </w:pPr>
      <w:r>
        <w:rPr>
          <w:rFonts w:hint="eastAsia" w:ascii="宋体" w:eastAsia="宋体"/>
          <w:bCs/>
          <w:color w:val="auto"/>
          <w:sz w:val="24"/>
          <w:szCs w:val="24"/>
        </w:rPr>
        <w:t>4.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jc w:val="center"/>
        <w:rPr>
          <w:rFonts w:hint="eastAsia" w:ascii="宋体" w:hAnsi="宋体"/>
          <w:b/>
          <w:bCs/>
          <w:color w:val="auto"/>
          <w:sz w:val="24"/>
        </w:rPr>
      </w:pPr>
    </w:p>
    <w:p>
      <w:pPr>
        <w:snapToGrid w:val="0"/>
        <w:jc w:val="center"/>
        <w:rPr>
          <w:rFonts w:hint="eastAsia" w:ascii="宋体" w:hAnsi="宋体"/>
          <w:b/>
          <w:bCs/>
          <w:color w:val="auto"/>
          <w:sz w:val="24"/>
        </w:rPr>
      </w:pPr>
    </w:p>
    <w:p>
      <w:pPr>
        <w:snapToGrid w:val="0"/>
        <w:jc w:val="center"/>
        <w:rPr>
          <w:rFonts w:hint="eastAsia" w:ascii="宋体" w:hAnsi="宋体"/>
          <w:b/>
          <w:bCs/>
          <w:color w:val="auto"/>
          <w:sz w:val="24"/>
        </w:rPr>
      </w:pPr>
    </w:p>
    <w:p>
      <w:pPr>
        <w:snapToGrid w:val="0"/>
        <w:jc w:val="center"/>
        <w:rPr>
          <w:rFonts w:hint="eastAsia" w:ascii="宋体" w:hAnsi="宋体"/>
          <w:b/>
          <w:bCs/>
          <w:color w:val="auto"/>
          <w:sz w:val="24"/>
        </w:rPr>
      </w:pPr>
    </w:p>
    <w:p>
      <w:pPr>
        <w:snapToGrid w:val="0"/>
        <w:jc w:val="center"/>
        <w:rPr>
          <w:rFonts w:hint="eastAsia" w:ascii="宋体" w:hAnsi="宋体"/>
          <w:b/>
          <w:bCs/>
          <w:color w:val="auto"/>
          <w:sz w:val="24"/>
        </w:rPr>
      </w:pPr>
    </w:p>
    <w:p>
      <w:pPr>
        <w:snapToGrid w:val="0"/>
        <w:jc w:val="center"/>
        <w:rPr>
          <w:rFonts w:ascii="宋体" w:hAnsi="宋体"/>
          <w:b/>
          <w:bCs/>
          <w:color w:val="auto"/>
          <w:sz w:val="24"/>
        </w:rPr>
      </w:pPr>
      <w:r>
        <w:rPr>
          <w:rFonts w:hint="eastAsia" w:ascii="宋体" w:hAnsi="宋体"/>
          <w:b/>
          <w:bCs/>
          <w:color w:val="auto"/>
          <w:sz w:val="24"/>
        </w:rPr>
        <w:t>监狱和戒毒企业证明材料</w:t>
      </w:r>
    </w:p>
    <w:p>
      <w:pPr>
        <w:pStyle w:val="964"/>
        <w:snapToGrid w:val="0"/>
        <w:jc w:val="center"/>
        <w:rPr>
          <w:rFonts w:ascii="宋体" w:hAnsi="宋体"/>
          <w:b/>
          <w:color w:val="auto"/>
          <w:sz w:val="24"/>
          <w:lang w:val="en-GB"/>
        </w:rPr>
      </w:pPr>
    </w:p>
    <w:p>
      <w:pPr>
        <w:snapToGrid w:val="0"/>
        <w:spacing w:line="480" w:lineRule="exact"/>
        <w:ind w:firstLine="480" w:firstLineChars="200"/>
        <w:rPr>
          <w:rFonts w:ascii="宋体" w:hAnsi="宋体"/>
          <w:color w:val="auto"/>
          <w:sz w:val="24"/>
        </w:rPr>
      </w:pPr>
      <w:r>
        <w:rPr>
          <w:rFonts w:hint="eastAsia" w:ascii="宋体" w:hAnsi="宋体"/>
          <w:color w:val="auto"/>
          <w:sz w:val="24"/>
        </w:rPr>
        <w:t>监狱和戒毒企业参加投标时应提供由省级以上监狱管理局、戒毒管理局（含新疆生产建设兵团）出具的属于监狱企业的证明文件。</w:t>
      </w:r>
    </w:p>
    <w:p>
      <w:pPr>
        <w:snapToGrid w:val="0"/>
        <w:spacing w:line="480" w:lineRule="exact"/>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ind w:firstLine="480" w:firstLineChars="200"/>
        <w:rPr>
          <w:rFonts w:ascii="宋体" w:hAnsi="宋体"/>
          <w:color w:val="auto"/>
          <w:sz w:val="24"/>
        </w:rPr>
      </w:pPr>
    </w:p>
    <w:p>
      <w:pPr>
        <w:snapToGrid w:val="0"/>
        <w:jc w:val="center"/>
        <w:rPr>
          <w:rFonts w:ascii="宋体" w:hAnsi="宋体"/>
          <w:b/>
          <w:color w:val="auto"/>
          <w:spacing w:val="6"/>
          <w:sz w:val="24"/>
        </w:rPr>
      </w:pPr>
    </w:p>
    <w:p>
      <w:pPr>
        <w:snapToGrid w:val="0"/>
        <w:jc w:val="center"/>
        <w:rPr>
          <w:rFonts w:ascii="宋体" w:hAnsi="宋体"/>
          <w:b/>
          <w:bCs/>
          <w:color w:val="auto"/>
          <w:sz w:val="24"/>
        </w:rPr>
      </w:pPr>
      <w:r>
        <w:rPr>
          <w:rFonts w:hint="eastAsia" w:ascii="宋体" w:hAnsi="宋体"/>
          <w:b/>
          <w:bCs/>
          <w:color w:val="auto"/>
          <w:sz w:val="24"/>
        </w:rPr>
        <w:t>残疾人福利性单位声明函</w:t>
      </w:r>
    </w:p>
    <w:p>
      <w:pPr>
        <w:snapToGrid w:val="0"/>
        <w:rPr>
          <w:rFonts w:ascii="宋体" w:hAnsi="宋体"/>
          <w:b/>
          <w:color w:val="auto"/>
          <w:spacing w:val="6"/>
          <w:sz w:val="24"/>
        </w:rPr>
      </w:pPr>
    </w:p>
    <w:p>
      <w:pPr>
        <w:snapToGrid w:val="0"/>
        <w:spacing w:line="480" w:lineRule="exact"/>
        <w:ind w:firstLine="480" w:firstLineChars="200"/>
        <w:rPr>
          <w:rFonts w:ascii="宋体" w:hAnsi="宋体"/>
          <w:color w:val="auto"/>
          <w:sz w:val="24"/>
        </w:rPr>
      </w:pPr>
      <w:r>
        <w:rPr>
          <w:rFonts w:hint="eastAsia" w:ascii="宋体" w:hAnsi="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480" w:lineRule="exact"/>
        <w:ind w:firstLine="480" w:firstLineChars="200"/>
        <w:rPr>
          <w:rFonts w:ascii="宋体" w:hAnsi="宋体"/>
          <w:color w:val="auto"/>
          <w:sz w:val="24"/>
        </w:rPr>
      </w:pPr>
      <w:r>
        <w:rPr>
          <w:rFonts w:hint="eastAsia" w:ascii="宋体" w:hAnsi="宋体"/>
          <w:color w:val="auto"/>
          <w:sz w:val="24"/>
        </w:rPr>
        <w:t>本单位对上述声明的真实性负责。如有虚假，将依法承担相应责任。</w:t>
      </w:r>
    </w:p>
    <w:p>
      <w:pPr>
        <w:snapToGrid w:val="0"/>
        <w:spacing w:line="480" w:lineRule="exact"/>
        <w:rPr>
          <w:rFonts w:ascii="宋体" w:hAnsi="宋体"/>
          <w:color w:val="auto"/>
          <w:sz w:val="24"/>
        </w:rPr>
      </w:pPr>
    </w:p>
    <w:p>
      <w:pPr>
        <w:snapToGrid w:val="0"/>
        <w:rPr>
          <w:rFonts w:ascii="宋体" w:hAnsi="宋体"/>
          <w:color w:val="auto"/>
          <w:sz w:val="24"/>
        </w:rPr>
      </w:pPr>
    </w:p>
    <w:p>
      <w:pPr>
        <w:snapToGrid w:val="0"/>
        <w:ind w:firstLine="5520" w:firstLineChars="2300"/>
        <w:rPr>
          <w:rFonts w:ascii="宋体" w:hAnsi="宋体"/>
          <w:color w:val="auto"/>
          <w:sz w:val="24"/>
        </w:rPr>
      </w:pPr>
      <w:r>
        <w:rPr>
          <w:rFonts w:hint="eastAsia" w:ascii="宋体" w:hAnsi="宋体"/>
          <w:color w:val="auto"/>
          <w:sz w:val="24"/>
        </w:rPr>
        <w:t>投标人（盖章）：</w:t>
      </w:r>
    </w:p>
    <w:p>
      <w:pPr>
        <w:snapToGrid w:val="0"/>
        <w:rPr>
          <w:rFonts w:ascii="宋体" w:hAnsi="宋体"/>
          <w:color w:val="auto"/>
          <w:sz w:val="24"/>
        </w:rPr>
      </w:pPr>
      <w:r>
        <w:rPr>
          <w:rFonts w:hint="eastAsia" w:ascii="宋体" w:hAnsi="宋体"/>
          <w:color w:val="auto"/>
          <w:sz w:val="24"/>
        </w:rPr>
        <w:t xml:space="preserve">   </w:t>
      </w:r>
    </w:p>
    <w:p>
      <w:pPr>
        <w:snapToGrid w:val="0"/>
        <w:rPr>
          <w:rFonts w:ascii="宋体" w:hAnsi="宋体"/>
          <w:color w:val="auto"/>
          <w:sz w:val="24"/>
        </w:rPr>
      </w:pPr>
    </w:p>
    <w:p>
      <w:pPr>
        <w:snapToGrid w:val="0"/>
        <w:ind w:firstLine="5520" w:firstLineChars="2300"/>
        <w:outlineLvl w:val="0"/>
        <w:rPr>
          <w:rFonts w:ascii="宋体" w:hAnsi="宋体"/>
          <w:color w:val="auto"/>
          <w:sz w:val="24"/>
        </w:rPr>
      </w:pPr>
      <w:r>
        <w:rPr>
          <w:rFonts w:hint="eastAsia" w:ascii="宋体" w:hAnsi="宋体"/>
          <w:color w:val="auto"/>
          <w:sz w:val="24"/>
        </w:rPr>
        <w:t>日期：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pPr>
        <w:pStyle w:val="34"/>
        <w:snapToGrid w:val="0"/>
        <w:spacing w:beforeLines="10" w:afterLines="10"/>
        <w:rPr>
          <w:rFonts w:ascii="仿宋" w:hAnsi="仿宋" w:eastAsia="仿宋" w:cs="仿宋"/>
          <w:b/>
          <w:bCs/>
          <w:color w:val="auto"/>
          <w:sz w:val="44"/>
          <w:szCs w:val="44"/>
        </w:rPr>
      </w:pPr>
    </w:p>
    <w:p>
      <w:pPr>
        <w:pStyle w:val="34"/>
        <w:snapToGrid w:val="0"/>
        <w:spacing w:beforeLines="10" w:afterLines="10"/>
        <w:rPr>
          <w:rFonts w:ascii="仿宋" w:hAnsi="仿宋" w:eastAsia="仿宋" w:cs="仿宋"/>
          <w:b/>
          <w:bCs/>
          <w:color w:val="auto"/>
          <w:sz w:val="44"/>
          <w:szCs w:val="44"/>
        </w:rPr>
      </w:pPr>
    </w:p>
    <w:p>
      <w:pPr>
        <w:rPr>
          <w:rFonts w:ascii="仿宋" w:hAnsi="仿宋" w:eastAsia="仿宋" w:cs="仿宋"/>
          <w:b/>
          <w:bCs/>
          <w:color w:val="auto"/>
          <w:sz w:val="44"/>
          <w:szCs w:val="44"/>
        </w:rPr>
      </w:pPr>
    </w:p>
    <w:p>
      <w:pPr>
        <w:spacing w:line="360" w:lineRule="auto"/>
        <w:ind w:right="420"/>
        <w:rPr>
          <w:color w:val="auto"/>
        </w:rPr>
      </w:pPr>
    </w:p>
    <w:p>
      <w:pPr>
        <w:spacing w:line="360" w:lineRule="auto"/>
        <w:rPr>
          <w:rFonts w:ascii="仿宋" w:hAnsi="仿宋" w:eastAsia="仿宋"/>
          <w:bCs/>
          <w:color w:val="auto"/>
          <w:sz w:val="24"/>
        </w:rPr>
      </w:pPr>
    </w:p>
    <w:p>
      <w:pPr>
        <w:rPr>
          <w:color w:val="auto"/>
        </w:rPr>
      </w:pPr>
    </w:p>
    <w:p>
      <w:pPr>
        <w:snapToGrid w:val="0"/>
        <w:spacing w:beforeLines="50" w:after="50"/>
        <w:rPr>
          <w:b/>
          <w:bCs/>
          <w:color w:val="auto"/>
          <w:sz w:val="32"/>
          <w:szCs w:val="20"/>
        </w:rPr>
      </w:pPr>
      <w:bookmarkStart w:id="35" w:name="_Toc219619166"/>
      <w:r>
        <w:rPr>
          <w:rFonts w:hint="eastAsia"/>
          <w:b/>
          <w:color w:val="auto"/>
          <w:sz w:val="24"/>
        </w:rPr>
        <w:t>商务技术响应文件封面格式：</w:t>
      </w:r>
      <w:r>
        <w:rPr>
          <w:color w:val="auto"/>
          <w:sz w:val="24"/>
        </w:rPr>
        <w:t xml:space="preserve">                                               </w:t>
      </w:r>
    </w:p>
    <w:p>
      <w:pPr>
        <w:snapToGrid w:val="0"/>
        <w:spacing w:beforeLines="50" w:after="50"/>
        <w:jc w:val="center"/>
        <w:rPr>
          <w:b/>
          <w:bCs/>
          <w:color w:val="auto"/>
          <w:sz w:val="32"/>
          <w:szCs w:val="32"/>
        </w:rPr>
      </w:pPr>
    </w:p>
    <w:p>
      <w:pPr>
        <w:snapToGrid w:val="0"/>
        <w:spacing w:beforeLines="50" w:after="50"/>
        <w:jc w:val="center"/>
        <w:rPr>
          <w:b/>
          <w:bCs/>
          <w:color w:val="auto"/>
          <w:sz w:val="32"/>
          <w:szCs w:val="32"/>
        </w:rPr>
      </w:pPr>
    </w:p>
    <w:p>
      <w:pPr>
        <w:snapToGrid w:val="0"/>
        <w:spacing w:beforeLines="50" w:after="50"/>
        <w:jc w:val="center"/>
        <w:rPr>
          <w:b/>
          <w:bCs/>
          <w:color w:val="auto"/>
          <w:sz w:val="32"/>
          <w:szCs w:val="32"/>
        </w:rPr>
      </w:pPr>
    </w:p>
    <w:p>
      <w:pPr>
        <w:snapToGrid w:val="0"/>
        <w:spacing w:beforeLines="50" w:after="50"/>
        <w:jc w:val="center"/>
        <w:rPr>
          <w:b/>
          <w:bCs/>
          <w:color w:val="auto"/>
          <w:sz w:val="32"/>
          <w:szCs w:val="32"/>
        </w:rPr>
      </w:pPr>
      <w:r>
        <w:rPr>
          <w:rFonts w:hint="eastAsia"/>
          <w:b/>
          <w:bCs/>
          <w:color w:val="auto"/>
          <w:sz w:val="32"/>
          <w:szCs w:val="32"/>
        </w:rPr>
        <w:t>商务技术文件</w:t>
      </w:r>
    </w:p>
    <w:p>
      <w:pPr>
        <w:snapToGrid w:val="0"/>
        <w:spacing w:beforeLines="50" w:after="50" w:line="320" w:lineRule="exact"/>
        <w:ind w:firstLine="1068" w:firstLineChars="445"/>
        <w:rPr>
          <w:bCs/>
          <w:color w:val="auto"/>
          <w:sz w:val="24"/>
          <w:szCs w:val="20"/>
        </w:rPr>
      </w:pPr>
      <w:r>
        <w:rPr>
          <w:rFonts w:hint="eastAsia"/>
          <w:bCs/>
          <w:color w:val="auto"/>
          <w:sz w:val="24"/>
        </w:rPr>
        <w:t>项目名称：</w:t>
      </w:r>
    </w:p>
    <w:p>
      <w:pPr>
        <w:snapToGrid w:val="0"/>
        <w:spacing w:beforeLines="50" w:after="50" w:line="320" w:lineRule="exact"/>
        <w:ind w:firstLine="1068" w:firstLineChars="445"/>
        <w:rPr>
          <w:bCs/>
          <w:color w:val="auto"/>
          <w:sz w:val="24"/>
        </w:rPr>
      </w:pPr>
      <w:r>
        <w:rPr>
          <w:rFonts w:hint="eastAsia"/>
          <w:bCs/>
          <w:color w:val="auto"/>
          <w:sz w:val="24"/>
        </w:rPr>
        <w:t>项目编号：</w:t>
      </w:r>
      <w:r>
        <w:rPr>
          <w:bCs/>
          <w:color w:val="auto"/>
          <w:sz w:val="24"/>
        </w:rPr>
        <w:t xml:space="preserve"> </w:t>
      </w:r>
    </w:p>
    <w:p>
      <w:pPr>
        <w:pStyle w:val="17"/>
        <w:spacing w:before="50" w:after="50" w:line="320" w:lineRule="exact"/>
        <w:ind w:firstLine="1068" w:firstLineChars="445"/>
        <w:rPr>
          <w:bCs/>
          <w:color w:val="auto"/>
          <w:sz w:val="24"/>
        </w:rPr>
      </w:pPr>
      <w:r>
        <w:rPr>
          <w:rFonts w:hint="eastAsia"/>
          <w:bCs/>
          <w:color w:val="auto"/>
          <w:sz w:val="24"/>
        </w:rPr>
        <w:t xml:space="preserve">投标人名称：   </w:t>
      </w:r>
      <w:r>
        <w:rPr>
          <w:rFonts w:hint="eastAsia" w:hAnsi="宋体"/>
          <w:bCs/>
          <w:color w:val="auto"/>
          <w:sz w:val="24"/>
        </w:rPr>
        <w:t>（公章）</w:t>
      </w:r>
    </w:p>
    <w:p>
      <w:pPr>
        <w:pStyle w:val="17"/>
        <w:spacing w:before="50" w:after="50" w:line="320" w:lineRule="exact"/>
        <w:ind w:firstLine="1068" w:firstLineChars="445"/>
        <w:rPr>
          <w:bCs/>
          <w:color w:val="auto"/>
          <w:sz w:val="24"/>
        </w:rPr>
      </w:pPr>
      <w:r>
        <w:rPr>
          <w:rFonts w:hint="eastAsia"/>
          <w:bCs/>
          <w:color w:val="auto"/>
          <w:sz w:val="24"/>
        </w:rPr>
        <w:t>投标人地址：</w:t>
      </w:r>
    </w:p>
    <w:p>
      <w:pPr>
        <w:snapToGrid w:val="0"/>
        <w:spacing w:beforeLines="50" w:after="50" w:line="360" w:lineRule="auto"/>
        <w:ind w:firstLine="645"/>
        <w:jc w:val="center"/>
        <w:rPr>
          <w:color w:val="auto"/>
          <w:sz w:val="24"/>
          <w:szCs w:val="20"/>
        </w:rPr>
      </w:pPr>
      <w:r>
        <w:rPr>
          <w:color w:val="auto"/>
          <w:sz w:val="24"/>
        </w:rPr>
        <w:t xml:space="preserve">                        </w:t>
      </w:r>
      <w:r>
        <w:rPr>
          <w:rFonts w:hint="eastAsia"/>
          <w:color w:val="auto"/>
          <w:sz w:val="24"/>
        </w:rPr>
        <w:t xml:space="preserve">                       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pPr>
        <w:snapToGrid w:val="0"/>
        <w:spacing w:beforeLines="50" w:after="50"/>
        <w:jc w:val="center"/>
        <w:rPr>
          <w:rFonts w:ascii="宋体" w:hAnsi="宋体" w:cs="宋体"/>
          <w:b/>
          <w:color w:val="auto"/>
          <w:sz w:val="32"/>
          <w:szCs w:val="32"/>
        </w:rPr>
      </w:pPr>
    </w:p>
    <w:p>
      <w:pPr>
        <w:pStyle w:val="4"/>
        <w:rPr>
          <w:rFonts w:ascii="宋体" w:hAnsi="宋体" w:cs="宋体"/>
          <w:b w:val="0"/>
          <w:color w:val="auto"/>
          <w:szCs w:val="32"/>
        </w:rPr>
      </w:pPr>
    </w:p>
    <w:p>
      <w:pPr>
        <w:rPr>
          <w:color w:val="auto"/>
        </w:rPr>
      </w:pPr>
    </w:p>
    <w:p>
      <w:pPr>
        <w:rPr>
          <w:color w:val="auto"/>
        </w:rPr>
      </w:pPr>
    </w:p>
    <w:p>
      <w:pPr>
        <w:snapToGrid w:val="0"/>
        <w:spacing w:beforeLines="50" w:after="50"/>
        <w:rPr>
          <w:color w:val="auto"/>
          <w:sz w:val="24"/>
          <w:szCs w:val="20"/>
        </w:rPr>
      </w:pPr>
      <w:r>
        <w:rPr>
          <w:rFonts w:hint="eastAsia"/>
          <w:b/>
          <w:color w:val="auto"/>
          <w:sz w:val="24"/>
        </w:rPr>
        <w:t>报价文件响应封面格式：</w:t>
      </w:r>
      <w:r>
        <w:rPr>
          <w:b/>
          <w:color w:val="auto"/>
          <w:sz w:val="24"/>
        </w:rPr>
        <w:t xml:space="preserve"> </w:t>
      </w:r>
    </w:p>
    <w:p>
      <w:pPr>
        <w:snapToGrid w:val="0"/>
        <w:spacing w:beforeLines="50" w:after="50"/>
        <w:rPr>
          <w:b/>
          <w:bCs/>
          <w:color w:val="auto"/>
          <w:sz w:val="32"/>
          <w:szCs w:val="20"/>
        </w:rPr>
      </w:pPr>
      <w:r>
        <w:rPr>
          <w:color w:val="auto"/>
          <w:sz w:val="24"/>
        </w:rPr>
        <w:t xml:space="preserve">                                                    </w:t>
      </w:r>
    </w:p>
    <w:p>
      <w:pPr>
        <w:snapToGrid w:val="0"/>
        <w:spacing w:beforeLines="50" w:after="50"/>
        <w:jc w:val="center"/>
        <w:rPr>
          <w:b/>
          <w:bCs/>
          <w:color w:val="auto"/>
          <w:sz w:val="32"/>
          <w:szCs w:val="32"/>
        </w:rPr>
      </w:pPr>
      <w:r>
        <w:rPr>
          <w:rFonts w:hint="eastAsia"/>
          <w:b/>
          <w:bCs/>
          <w:color w:val="auto"/>
          <w:sz w:val="32"/>
          <w:szCs w:val="32"/>
        </w:rPr>
        <w:t>报  价</w:t>
      </w:r>
      <w:r>
        <w:rPr>
          <w:b/>
          <w:bCs/>
          <w:color w:val="auto"/>
          <w:sz w:val="32"/>
          <w:szCs w:val="32"/>
        </w:rPr>
        <w:t xml:space="preserve"> </w:t>
      </w:r>
      <w:r>
        <w:rPr>
          <w:rFonts w:hint="eastAsia"/>
          <w:b/>
          <w:bCs/>
          <w:color w:val="auto"/>
          <w:sz w:val="32"/>
          <w:szCs w:val="32"/>
        </w:rPr>
        <w:t>文</w:t>
      </w:r>
      <w:r>
        <w:rPr>
          <w:b/>
          <w:bCs/>
          <w:color w:val="auto"/>
          <w:sz w:val="32"/>
          <w:szCs w:val="32"/>
        </w:rPr>
        <w:t xml:space="preserve"> </w:t>
      </w:r>
      <w:r>
        <w:rPr>
          <w:rFonts w:hint="eastAsia"/>
          <w:b/>
          <w:bCs/>
          <w:color w:val="auto"/>
          <w:sz w:val="32"/>
          <w:szCs w:val="32"/>
        </w:rPr>
        <w:t>件</w:t>
      </w:r>
    </w:p>
    <w:p>
      <w:pPr>
        <w:snapToGrid w:val="0"/>
        <w:spacing w:beforeLines="50" w:after="50" w:line="320" w:lineRule="exact"/>
        <w:ind w:firstLine="1068" w:firstLineChars="445"/>
        <w:rPr>
          <w:bCs/>
          <w:color w:val="auto"/>
          <w:sz w:val="24"/>
          <w:szCs w:val="20"/>
        </w:rPr>
      </w:pPr>
      <w:r>
        <w:rPr>
          <w:rFonts w:hint="eastAsia"/>
          <w:bCs/>
          <w:color w:val="auto"/>
          <w:sz w:val="24"/>
        </w:rPr>
        <w:t>项目名称：</w:t>
      </w:r>
    </w:p>
    <w:p>
      <w:pPr>
        <w:snapToGrid w:val="0"/>
        <w:spacing w:beforeLines="50" w:after="50" w:line="320" w:lineRule="exact"/>
        <w:ind w:firstLine="1068" w:firstLineChars="445"/>
        <w:rPr>
          <w:bCs/>
          <w:color w:val="auto"/>
          <w:sz w:val="24"/>
        </w:rPr>
      </w:pPr>
      <w:r>
        <w:rPr>
          <w:rFonts w:hint="eastAsia"/>
          <w:bCs/>
          <w:color w:val="auto"/>
          <w:sz w:val="24"/>
        </w:rPr>
        <w:t>项目编号：</w:t>
      </w:r>
      <w:r>
        <w:rPr>
          <w:bCs/>
          <w:color w:val="auto"/>
          <w:sz w:val="24"/>
        </w:rPr>
        <w:t xml:space="preserve"> </w:t>
      </w:r>
    </w:p>
    <w:p>
      <w:pPr>
        <w:pStyle w:val="17"/>
        <w:spacing w:before="50" w:after="50" w:line="320" w:lineRule="exact"/>
        <w:ind w:firstLine="1068" w:firstLineChars="445"/>
        <w:rPr>
          <w:bCs/>
          <w:color w:val="auto"/>
          <w:sz w:val="24"/>
        </w:rPr>
      </w:pPr>
      <w:r>
        <w:rPr>
          <w:rFonts w:hint="eastAsia"/>
          <w:bCs/>
          <w:color w:val="auto"/>
          <w:sz w:val="24"/>
        </w:rPr>
        <w:t xml:space="preserve">投标人名称：   </w:t>
      </w:r>
      <w:r>
        <w:rPr>
          <w:rFonts w:hint="eastAsia" w:hAnsi="宋体"/>
          <w:bCs/>
          <w:color w:val="auto"/>
          <w:sz w:val="24"/>
        </w:rPr>
        <w:t>（公章）</w:t>
      </w:r>
    </w:p>
    <w:p>
      <w:pPr>
        <w:pStyle w:val="17"/>
        <w:spacing w:before="50" w:after="50" w:line="320" w:lineRule="exact"/>
        <w:ind w:firstLine="1068" w:firstLineChars="445"/>
        <w:rPr>
          <w:bCs/>
          <w:color w:val="auto"/>
          <w:sz w:val="24"/>
        </w:rPr>
      </w:pPr>
      <w:r>
        <w:rPr>
          <w:rFonts w:hint="eastAsia"/>
          <w:bCs/>
          <w:color w:val="auto"/>
          <w:sz w:val="24"/>
        </w:rPr>
        <w:t>投标人地址：</w:t>
      </w:r>
    </w:p>
    <w:p>
      <w:pPr>
        <w:snapToGrid w:val="0"/>
        <w:spacing w:beforeLines="50" w:after="50"/>
        <w:jc w:val="center"/>
        <w:rPr>
          <w:rFonts w:ascii="宋体" w:hAnsi="宋体" w:cs="宋体"/>
          <w:b/>
          <w:color w:val="auto"/>
          <w:sz w:val="32"/>
          <w:szCs w:val="32"/>
        </w:rPr>
      </w:pPr>
      <w:r>
        <w:rPr>
          <w:color w:val="auto"/>
          <w:sz w:val="24"/>
        </w:rPr>
        <w:t xml:space="preserve">                        </w:t>
      </w:r>
      <w:r>
        <w:rPr>
          <w:rFonts w:hint="eastAsia"/>
          <w:color w:val="auto"/>
          <w:sz w:val="24"/>
        </w:rPr>
        <w:t xml:space="preserve">                       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pPr>
        <w:snapToGrid w:val="0"/>
        <w:spacing w:beforeLines="50" w:after="50"/>
        <w:jc w:val="center"/>
        <w:rPr>
          <w:rFonts w:ascii="宋体" w:hAnsi="宋体" w:cs="宋体"/>
          <w:b/>
          <w:color w:val="auto"/>
          <w:sz w:val="32"/>
          <w:szCs w:val="32"/>
        </w:rPr>
      </w:pPr>
    </w:p>
    <w:p>
      <w:pPr>
        <w:snapToGrid w:val="0"/>
        <w:spacing w:beforeLines="50" w:after="50"/>
        <w:jc w:val="center"/>
        <w:rPr>
          <w:rFonts w:ascii="宋体" w:hAnsi="宋体" w:cs="宋体"/>
          <w:b/>
          <w:color w:val="auto"/>
          <w:sz w:val="32"/>
          <w:szCs w:val="32"/>
        </w:rPr>
      </w:pPr>
    </w:p>
    <w:p>
      <w:pPr>
        <w:pStyle w:val="25"/>
        <w:rPr>
          <w:rFonts w:ascii="宋体" w:hAnsi="宋体" w:cs="宋体"/>
          <w:b/>
          <w:color w:val="auto"/>
          <w:sz w:val="32"/>
          <w:szCs w:val="32"/>
        </w:rPr>
      </w:pPr>
    </w:p>
    <w:p>
      <w:pPr>
        <w:pStyle w:val="26"/>
        <w:rPr>
          <w:rFonts w:ascii="宋体" w:hAnsi="宋体" w:cs="宋体"/>
          <w:b/>
          <w:color w:val="auto"/>
          <w:sz w:val="32"/>
          <w:szCs w:val="32"/>
        </w:rPr>
      </w:pPr>
    </w:p>
    <w:p>
      <w:pPr>
        <w:rPr>
          <w:color w:val="auto"/>
        </w:rPr>
      </w:pPr>
    </w:p>
    <w:p>
      <w:pPr>
        <w:snapToGrid w:val="0"/>
        <w:spacing w:beforeLines="50" w:after="50"/>
        <w:jc w:val="center"/>
        <w:rPr>
          <w:rFonts w:ascii="宋体" w:hAnsi="宋体" w:cs="宋体"/>
          <w:b/>
          <w:color w:val="auto"/>
          <w:sz w:val="32"/>
          <w:szCs w:val="32"/>
        </w:rPr>
      </w:pPr>
      <w:r>
        <w:rPr>
          <w:rFonts w:hint="eastAsia" w:ascii="宋体" w:hAnsi="宋体" w:cs="宋体"/>
          <w:b/>
          <w:color w:val="auto"/>
          <w:sz w:val="32"/>
          <w:szCs w:val="32"/>
        </w:rPr>
        <w:t>投标声明书</w:t>
      </w:r>
    </w:p>
    <w:p>
      <w:pPr>
        <w:snapToGrid w:val="0"/>
        <w:spacing w:beforeLines="50" w:after="50" w:line="400" w:lineRule="exact"/>
        <w:rPr>
          <w:rFonts w:ascii="宋体" w:hAnsi="宋体" w:cs="宋体"/>
          <w:color w:val="auto"/>
          <w:sz w:val="24"/>
          <w:szCs w:val="20"/>
        </w:rPr>
      </w:pPr>
      <w:r>
        <w:rPr>
          <w:rFonts w:hint="eastAsia" w:ascii="宋体" w:hAnsi="宋体" w:cs="宋体"/>
          <w:color w:val="auto"/>
          <w:sz w:val="24"/>
        </w:rPr>
        <w:t xml:space="preserve">致 </w:t>
      </w:r>
      <w:r>
        <w:rPr>
          <w:rFonts w:hint="eastAsia" w:ascii="宋体" w:hAnsi="宋体" w:cs="宋体"/>
          <w:color w:val="auto"/>
          <w:sz w:val="24"/>
          <w:u w:val="single"/>
        </w:rPr>
        <w:t xml:space="preserve">               </w:t>
      </w:r>
      <w:r>
        <w:rPr>
          <w:rFonts w:hint="eastAsia" w:ascii="宋体" w:hAnsi="宋体" w:cs="宋体"/>
          <w:color w:val="auto"/>
          <w:sz w:val="24"/>
        </w:rPr>
        <w:t>（采购人）：</w:t>
      </w:r>
    </w:p>
    <w:p>
      <w:pPr>
        <w:snapToGrid w:val="0"/>
        <w:spacing w:beforeLines="50" w:after="50" w:line="400" w:lineRule="exact"/>
        <w:ind w:firstLine="720" w:firstLineChars="300"/>
        <w:rPr>
          <w:rFonts w:ascii="宋体" w:hAnsi="宋体" w:cs="宋体"/>
          <w:color w:val="auto"/>
          <w:sz w:val="24"/>
          <w:szCs w:val="20"/>
        </w:rPr>
      </w:pPr>
      <w:r>
        <w:rPr>
          <w:rFonts w:hint="eastAsia" w:ascii="宋体" w:hAnsi="宋体" w:cs="宋体"/>
          <w:color w:val="auto"/>
          <w:sz w:val="24"/>
          <w:u w:val="single"/>
        </w:rPr>
        <w:t xml:space="preserve">               </w:t>
      </w:r>
      <w:r>
        <w:rPr>
          <w:rFonts w:hint="eastAsia" w:ascii="宋体" w:hAnsi="宋体" w:cs="宋体"/>
          <w:color w:val="auto"/>
          <w:sz w:val="24"/>
        </w:rPr>
        <w:t>（投标人名称）系中华人民共和国合法企业，经营地址</w:t>
      </w:r>
      <w:r>
        <w:rPr>
          <w:rFonts w:hint="eastAsia" w:ascii="宋体" w:hAnsi="宋体" w:cs="宋体"/>
          <w:color w:val="auto"/>
          <w:sz w:val="24"/>
          <w:u w:val="single"/>
        </w:rPr>
        <w:t xml:space="preserve">                               </w:t>
      </w:r>
      <w:r>
        <w:rPr>
          <w:rFonts w:hint="eastAsia" w:ascii="宋体" w:hAnsi="宋体" w:cs="宋体"/>
          <w:color w:val="auto"/>
          <w:sz w:val="24"/>
        </w:rPr>
        <w:t>。</w:t>
      </w:r>
    </w:p>
    <w:p>
      <w:pPr>
        <w:snapToGrid w:val="0"/>
        <w:spacing w:beforeLines="50" w:after="50" w:line="400" w:lineRule="exact"/>
        <w:ind w:firstLine="645"/>
        <w:rPr>
          <w:rFonts w:ascii="宋体" w:hAnsi="宋体" w:cs="宋体"/>
          <w:color w:val="auto"/>
          <w:sz w:val="24"/>
          <w:szCs w:val="20"/>
        </w:rPr>
      </w:pPr>
      <w:r>
        <w:rPr>
          <w:rFonts w:hint="eastAsia" w:ascii="宋体" w:hAnsi="宋体" w:cs="宋体"/>
          <w:color w:val="auto"/>
          <w:sz w:val="24"/>
        </w:rPr>
        <w:t>我</w:t>
      </w:r>
      <w:r>
        <w:rPr>
          <w:rFonts w:hint="eastAsia" w:ascii="宋体" w:hAnsi="宋体" w:cs="宋体"/>
          <w:color w:val="auto"/>
          <w:sz w:val="24"/>
          <w:u w:val="single"/>
        </w:rPr>
        <w:t xml:space="preserve">         </w:t>
      </w:r>
      <w:r>
        <w:rPr>
          <w:rFonts w:hint="eastAsia" w:ascii="宋体" w:hAnsi="宋体" w:cs="宋体"/>
          <w:color w:val="auto"/>
          <w:sz w:val="24"/>
        </w:rPr>
        <w:t>（姓名）系</w:t>
      </w:r>
      <w:r>
        <w:rPr>
          <w:rFonts w:hint="eastAsia" w:ascii="宋体" w:hAnsi="宋体" w:cs="宋体"/>
          <w:color w:val="auto"/>
          <w:sz w:val="24"/>
          <w:u w:val="single"/>
        </w:rPr>
        <w:t xml:space="preserve">                 </w:t>
      </w:r>
      <w:r>
        <w:rPr>
          <w:rFonts w:hint="eastAsia" w:ascii="宋体" w:hAnsi="宋体" w:cs="宋体"/>
          <w:color w:val="auto"/>
          <w:sz w:val="24"/>
        </w:rPr>
        <w:t>（投标人名称）的法定代表人，我方愿意参加贵方组织的</w:t>
      </w:r>
      <w:r>
        <w:rPr>
          <w:rFonts w:hint="eastAsia" w:ascii="宋体" w:hAnsi="宋体" w:cs="宋体"/>
          <w:color w:val="auto"/>
          <w:sz w:val="24"/>
          <w:u w:val="single"/>
        </w:rPr>
        <w:t xml:space="preserve">                    采购项目</w:t>
      </w:r>
      <w:r>
        <w:rPr>
          <w:rFonts w:hint="eastAsia" w:ascii="宋体" w:hAnsi="宋体" w:cs="宋体"/>
          <w:color w:val="auto"/>
          <w:sz w:val="24"/>
        </w:rPr>
        <w:t>的投标，为便于贵方公正、择优地确定中标人及其投标产品和服务，我方就本次投标有关事项郑重声明如下：</w:t>
      </w:r>
    </w:p>
    <w:p>
      <w:pPr>
        <w:snapToGrid w:val="0"/>
        <w:spacing w:line="400" w:lineRule="exact"/>
        <w:ind w:firstLine="480" w:firstLineChars="200"/>
        <w:rPr>
          <w:rFonts w:ascii="宋体" w:hAnsi="宋体" w:cs="宋体"/>
          <w:color w:val="auto"/>
          <w:sz w:val="24"/>
          <w:szCs w:val="20"/>
        </w:rPr>
      </w:pPr>
      <w:r>
        <w:rPr>
          <w:rFonts w:hint="eastAsia" w:ascii="宋体" w:hAnsi="宋体" w:cs="宋体"/>
          <w:color w:val="auto"/>
          <w:sz w:val="24"/>
        </w:rPr>
        <w:t>1.我方向贵方提交的所有投标文件、资料都是准确的和真实的。</w:t>
      </w:r>
    </w:p>
    <w:p>
      <w:pPr>
        <w:snapToGrid w:val="0"/>
        <w:spacing w:beforeLines="50" w:line="400" w:lineRule="exact"/>
        <w:ind w:firstLine="480" w:firstLineChars="200"/>
        <w:rPr>
          <w:rFonts w:ascii="宋体" w:hAnsi="宋体" w:cs="宋体"/>
          <w:color w:val="auto"/>
          <w:sz w:val="24"/>
          <w:szCs w:val="20"/>
        </w:rPr>
      </w:pPr>
      <w:r>
        <w:rPr>
          <w:rFonts w:hint="eastAsia" w:ascii="宋体" w:hAnsi="宋体" w:cs="宋体"/>
          <w:color w:val="auto"/>
          <w:sz w:val="24"/>
        </w:rPr>
        <w:t>2.我方不是采购人的附属机构；在获知本项目采购信息后，与采购人聘请的为此项目提供咨询服务的公司及其附属机构没有任何联系。</w:t>
      </w:r>
    </w:p>
    <w:p>
      <w:pPr>
        <w:snapToGrid w:val="0"/>
        <w:spacing w:line="276" w:lineRule="auto"/>
        <w:ind w:firstLine="480" w:firstLineChars="200"/>
        <w:rPr>
          <w:rFonts w:ascii="宋体" w:hAnsi="宋体" w:cs="宋体"/>
          <w:color w:val="auto"/>
          <w:sz w:val="24"/>
        </w:rPr>
      </w:pPr>
      <w:r>
        <w:rPr>
          <w:rFonts w:hint="eastAsia" w:ascii="宋体" w:hAnsi="宋体" w:cs="宋体"/>
          <w:color w:val="auto"/>
          <w:sz w:val="24"/>
        </w:rPr>
        <w:t>3、我方此次向贵方提供的服务名称为：</w:t>
      </w:r>
      <w:r>
        <w:rPr>
          <w:rFonts w:hint="eastAsia" w:ascii="宋体" w:hAnsi="宋体" w:cs="宋体"/>
          <w:color w:val="auto"/>
          <w:sz w:val="24"/>
          <w:u w:val="single"/>
        </w:rPr>
        <w:t xml:space="preserve">                              </w:t>
      </w:r>
      <w:r>
        <w:rPr>
          <w:rFonts w:hint="eastAsia" w:ascii="宋体" w:hAnsi="宋体" w:cs="宋体"/>
          <w:color w:val="auto"/>
          <w:sz w:val="24"/>
        </w:rPr>
        <w:t>。</w:t>
      </w:r>
    </w:p>
    <w:p>
      <w:pPr>
        <w:snapToGrid w:val="0"/>
        <w:spacing w:beforeLines="50" w:line="400" w:lineRule="exact"/>
        <w:ind w:firstLine="480" w:firstLineChars="200"/>
        <w:rPr>
          <w:rFonts w:ascii="宋体" w:hAnsi="宋体" w:cs="宋体"/>
          <w:color w:val="auto"/>
          <w:sz w:val="24"/>
          <w:szCs w:val="20"/>
        </w:rPr>
      </w:pPr>
      <w:r>
        <w:rPr>
          <w:rFonts w:hint="eastAsia" w:ascii="宋体" w:hAnsi="宋体" w:cs="宋体"/>
          <w:color w:val="auto"/>
          <w:sz w:val="24"/>
        </w:rPr>
        <w:t>4.我方诚意提请贵方关注：近期有关该型号产品的生产、供货、售后服务以及性能等方面的重大决策和事项有：</w:t>
      </w:r>
    </w:p>
    <w:p>
      <w:pPr>
        <w:snapToGrid w:val="0"/>
        <w:spacing w:beforeLines="50" w:line="400" w:lineRule="exact"/>
        <w:ind w:firstLine="480" w:firstLineChars="200"/>
        <w:rPr>
          <w:rFonts w:ascii="宋体" w:hAnsi="宋体" w:cs="宋体"/>
          <w:color w:val="auto"/>
          <w:sz w:val="24"/>
          <w:szCs w:val="20"/>
          <w:u w:val="single"/>
        </w:rPr>
      </w:pPr>
      <w:r>
        <w:rPr>
          <w:rFonts w:hint="eastAsia" w:ascii="宋体" w:hAnsi="宋体" w:cs="宋体"/>
          <w:color w:val="auto"/>
          <w:sz w:val="24"/>
          <w:u w:val="single"/>
        </w:rPr>
        <w:t>　　　　　　　　　　　　　　　　　　　　　　　　　　　</w:t>
      </w:r>
    </w:p>
    <w:p>
      <w:pPr>
        <w:pStyle w:val="3"/>
        <w:snapToGrid w:val="0"/>
        <w:spacing w:line="400" w:lineRule="exact"/>
        <w:rPr>
          <w:rFonts w:cs="宋体"/>
          <w:color w:val="auto"/>
        </w:rPr>
      </w:pPr>
      <w:r>
        <w:rPr>
          <w:rFonts w:hint="eastAsia" w:cs="宋体"/>
          <w:color w:val="auto"/>
        </w:rPr>
        <w:t>5.我方及由本人担任法定代表人的其他机构最近三年内被通报或者被处罚的违法行为有：（若有，请如实填写；若无，请作出“参加政府采购活动前三年内，在经营活动中没有重大违法记录”的承诺）</w:t>
      </w:r>
    </w:p>
    <w:p>
      <w:pPr>
        <w:snapToGrid w:val="0"/>
        <w:spacing w:beforeLines="50" w:line="400" w:lineRule="exact"/>
        <w:ind w:firstLine="480" w:firstLineChars="200"/>
        <w:rPr>
          <w:rFonts w:ascii="宋体" w:hAnsi="宋体" w:cs="宋体"/>
          <w:color w:val="auto"/>
          <w:sz w:val="24"/>
          <w:szCs w:val="20"/>
          <w:u w:val="single"/>
        </w:rPr>
      </w:pPr>
      <w:r>
        <w:rPr>
          <w:rFonts w:hint="eastAsia" w:ascii="宋体" w:hAnsi="宋体" w:cs="宋体"/>
          <w:color w:val="auto"/>
          <w:sz w:val="24"/>
          <w:u w:val="single"/>
        </w:rPr>
        <w:t>　　　　　　　　　　　　　　　　　　　　　　　　　　　</w:t>
      </w:r>
    </w:p>
    <w:p>
      <w:pPr>
        <w:snapToGrid w:val="0"/>
        <w:spacing w:line="400" w:lineRule="exact"/>
        <w:ind w:firstLine="480" w:firstLineChars="200"/>
        <w:rPr>
          <w:rFonts w:ascii="宋体" w:hAnsi="宋体" w:cs="宋体"/>
          <w:color w:val="auto"/>
          <w:sz w:val="24"/>
          <w:szCs w:val="20"/>
        </w:rPr>
      </w:pPr>
      <w:r>
        <w:rPr>
          <w:rFonts w:hint="eastAsia" w:ascii="宋体" w:hAnsi="宋体" w:cs="宋体"/>
          <w:color w:val="auto"/>
          <w:sz w:val="24"/>
        </w:rPr>
        <w:t>6.以上事项如有虚假或隐瞒，我方愿意承担一切后果，并不再寻求任何旨在减轻或免除法律责任的辩解。</w:t>
      </w:r>
    </w:p>
    <w:p>
      <w:pPr>
        <w:pStyle w:val="28"/>
        <w:tabs>
          <w:tab w:val="left" w:pos="939"/>
        </w:tabs>
        <w:snapToGrid w:val="0"/>
        <w:spacing w:line="400" w:lineRule="exact"/>
        <w:ind w:left="773" w:leftChars="150" w:hanging="458" w:hangingChars="191"/>
        <w:rPr>
          <w:rFonts w:ascii="宋体" w:hAnsi="宋体" w:cs="宋体"/>
          <w:color w:val="auto"/>
          <w:sz w:val="24"/>
        </w:rPr>
      </w:pPr>
    </w:p>
    <w:p>
      <w:pPr>
        <w:snapToGrid w:val="0"/>
        <w:spacing w:beforeLines="50" w:line="400" w:lineRule="exact"/>
        <w:ind w:firstLine="200"/>
        <w:rPr>
          <w:rFonts w:ascii="宋体" w:hAnsi="宋体" w:cs="宋体"/>
          <w:color w:val="auto"/>
          <w:sz w:val="24"/>
          <w:szCs w:val="20"/>
          <w:u w:val="single"/>
        </w:rPr>
      </w:pPr>
      <w:r>
        <w:rPr>
          <w:rFonts w:hint="eastAsia" w:ascii="宋体" w:hAnsi="宋体" w:cs="宋体"/>
          <w:color w:val="auto"/>
          <w:sz w:val="24"/>
        </w:rPr>
        <w:t>法定代表人或被授权人签字（或盖章）：</w:t>
      </w:r>
      <w:r>
        <w:rPr>
          <w:rFonts w:hint="eastAsia" w:ascii="宋体" w:hAnsi="宋体" w:cs="宋体"/>
          <w:color w:val="auto"/>
          <w:sz w:val="24"/>
          <w:u w:val="single"/>
        </w:rPr>
        <w:t xml:space="preserve">             </w:t>
      </w:r>
    </w:p>
    <w:p>
      <w:pPr>
        <w:snapToGrid w:val="0"/>
        <w:spacing w:beforeLines="50" w:after="50" w:line="400" w:lineRule="exact"/>
        <w:ind w:firstLine="240" w:firstLineChars="100"/>
        <w:rPr>
          <w:rFonts w:ascii="宋体" w:hAnsi="宋体" w:cs="宋体"/>
          <w:color w:val="auto"/>
          <w:sz w:val="24"/>
        </w:rPr>
      </w:pPr>
      <w:r>
        <w:rPr>
          <w:rFonts w:hint="eastAsia" w:ascii="宋体" w:hAnsi="宋体" w:cs="宋体"/>
          <w:color w:val="auto"/>
          <w:sz w:val="24"/>
        </w:rPr>
        <w:t>投标人公章：</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napToGrid w:val="0"/>
        <w:spacing w:beforeLines="50" w:after="50" w:line="400" w:lineRule="exact"/>
        <w:ind w:firstLine="240" w:firstLineChars="100"/>
        <w:rPr>
          <w:rFonts w:ascii="宋体" w:hAnsi="宋体" w:cs="宋体"/>
          <w:color w:val="auto"/>
          <w:sz w:val="24"/>
        </w:rPr>
      </w:pPr>
    </w:p>
    <w:p>
      <w:pPr>
        <w:pStyle w:val="962"/>
        <w:spacing w:line="360" w:lineRule="auto"/>
        <w:jc w:val="right"/>
        <w:rPr>
          <w:rFonts w:hAnsi="宋体" w:eastAsia="宋体" w:cs="宋体"/>
          <w:color w:val="auto"/>
          <w:sz w:val="24"/>
          <w:szCs w:val="24"/>
        </w:rPr>
      </w:pPr>
      <w:r>
        <w:rPr>
          <w:rFonts w:hint="eastAsia" w:hAnsi="宋体" w:eastAsia="宋体" w:cs="宋体"/>
          <w:color w:val="auto"/>
          <w:sz w:val="24"/>
          <w:szCs w:val="24"/>
        </w:rPr>
        <w:t>年    月    日</w:t>
      </w:r>
    </w:p>
    <w:p>
      <w:pPr>
        <w:spacing w:line="360" w:lineRule="auto"/>
        <w:jc w:val="left"/>
        <w:rPr>
          <w:rFonts w:ascii="宋体" w:hAnsi="宋体" w:cs="宋体"/>
          <w:b/>
          <w:color w:val="auto"/>
          <w:sz w:val="24"/>
        </w:rPr>
      </w:pPr>
      <w:r>
        <w:rPr>
          <w:rFonts w:ascii="宋体" w:hAnsi="宋体" w:cs="宋体"/>
          <w:b/>
          <w:color w:val="auto"/>
          <w:sz w:val="24"/>
        </w:rPr>
        <w:br w:type="page"/>
      </w:r>
    </w:p>
    <w:p>
      <w:pPr>
        <w:snapToGrid w:val="0"/>
        <w:spacing w:beforeLines="50" w:after="50" w:line="360" w:lineRule="auto"/>
        <w:jc w:val="center"/>
        <w:rPr>
          <w:rFonts w:ascii="宋体" w:hAnsi="宋体" w:cs="宋体"/>
          <w:b/>
          <w:color w:val="auto"/>
          <w:sz w:val="32"/>
          <w:szCs w:val="32"/>
        </w:rPr>
      </w:pPr>
      <w:r>
        <w:rPr>
          <w:rFonts w:hint="eastAsia" w:ascii="宋体" w:hAnsi="宋体" w:cs="宋体"/>
          <w:b/>
          <w:color w:val="auto"/>
          <w:sz w:val="32"/>
          <w:szCs w:val="32"/>
        </w:rPr>
        <w:t>法定代表人授权委托书</w:t>
      </w:r>
    </w:p>
    <w:p>
      <w:pPr>
        <w:snapToGrid w:val="0"/>
        <w:spacing w:beforeLines="50" w:after="50" w:line="360" w:lineRule="auto"/>
        <w:rPr>
          <w:rFonts w:ascii="宋体" w:hAnsi="宋体" w:cs="宋体"/>
          <w:b/>
          <w:bCs/>
          <w:color w:val="auto"/>
          <w:sz w:val="24"/>
          <w:szCs w:val="20"/>
        </w:rPr>
      </w:pPr>
      <w:r>
        <w:rPr>
          <w:rFonts w:hint="eastAsia" w:ascii="宋体" w:hAnsi="宋体" w:cs="宋体"/>
          <w:bCs/>
          <w:color w:val="auto"/>
          <w:sz w:val="24"/>
        </w:rPr>
        <w:t>致</w:t>
      </w:r>
      <w:r>
        <w:rPr>
          <w:rFonts w:hint="eastAsia" w:ascii="宋体" w:hAnsi="宋体" w:cs="宋体"/>
          <w:color w:val="auto"/>
          <w:sz w:val="24"/>
          <w:u w:val="single"/>
        </w:rPr>
        <w:t xml:space="preserve">               </w:t>
      </w:r>
      <w:r>
        <w:rPr>
          <w:rFonts w:hint="eastAsia" w:ascii="宋体" w:hAnsi="宋体" w:cs="宋体"/>
          <w:color w:val="auto"/>
          <w:sz w:val="24"/>
        </w:rPr>
        <w:t>（采购人）：</w:t>
      </w:r>
    </w:p>
    <w:p>
      <w:pPr>
        <w:snapToGrid w:val="0"/>
        <w:spacing w:beforeLines="50" w:after="50" w:line="360" w:lineRule="auto"/>
        <w:ind w:firstLine="720" w:firstLineChars="300"/>
        <w:rPr>
          <w:rFonts w:ascii="宋体" w:hAnsi="宋体" w:cs="宋体"/>
          <w:color w:val="auto"/>
          <w:sz w:val="24"/>
          <w:szCs w:val="20"/>
        </w:rPr>
      </w:pPr>
      <w:r>
        <w:rPr>
          <w:rFonts w:hint="eastAsia" w:ascii="宋体" w:hAnsi="宋体" w:cs="宋体"/>
          <w:color w:val="auto"/>
          <w:sz w:val="24"/>
        </w:rPr>
        <w:t>我</w:t>
      </w:r>
      <w:r>
        <w:rPr>
          <w:rFonts w:hint="eastAsia" w:ascii="宋体" w:hAnsi="宋体" w:cs="宋体"/>
          <w:color w:val="auto"/>
          <w:sz w:val="24"/>
          <w:u w:val="single"/>
        </w:rPr>
        <w:t xml:space="preserve">               </w:t>
      </w:r>
      <w:r>
        <w:rPr>
          <w:rFonts w:hint="eastAsia" w:ascii="宋体" w:hAnsi="宋体" w:cs="宋体"/>
          <w:color w:val="auto"/>
          <w:sz w:val="24"/>
        </w:rPr>
        <w:t>（姓名）系</w:t>
      </w:r>
      <w:r>
        <w:rPr>
          <w:rFonts w:hint="eastAsia" w:ascii="宋体" w:hAnsi="宋体" w:cs="宋体"/>
          <w:color w:val="auto"/>
          <w:sz w:val="24"/>
          <w:u w:val="single"/>
        </w:rPr>
        <w:t xml:space="preserve">                </w:t>
      </w:r>
      <w:r>
        <w:rPr>
          <w:rFonts w:hint="eastAsia" w:ascii="宋体" w:hAnsi="宋体" w:cs="宋体"/>
          <w:color w:val="auto"/>
          <w:sz w:val="24"/>
        </w:rPr>
        <w:t>（投标人名称）的法定代表人，现授权委托</w:t>
      </w:r>
      <w:r>
        <w:rPr>
          <w:rFonts w:hint="eastAsia" w:ascii="宋体" w:hAnsi="宋体" w:cs="宋体"/>
          <w:color w:val="auto"/>
          <w:sz w:val="24"/>
          <w:u w:val="single"/>
        </w:rPr>
        <w:t xml:space="preserve">             </w:t>
      </w:r>
      <w:r>
        <w:rPr>
          <w:rFonts w:hint="eastAsia" w:ascii="宋体" w:hAnsi="宋体" w:cs="宋体"/>
          <w:color w:val="auto"/>
          <w:sz w:val="24"/>
        </w:rPr>
        <w:t>（姓名）以我方的名义参加</w:t>
      </w:r>
      <w:r>
        <w:rPr>
          <w:rFonts w:hint="eastAsia" w:ascii="宋体" w:hAnsi="宋体" w:cs="宋体"/>
          <w:color w:val="auto"/>
          <w:sz w:val="24"/>
          <w:u w:val="single"/>
        </w:rPr>
        <w:t xml:space="preserve">              政府采购项目</w:t>
      </w:r>
      <w:r>
        <w:rPr>
          <w:rFonts w:hint="eastAsia" w:ascii="宋体" w:hAnsi="宋体" w:cs="宋体"/>
          <w:color w:val="auto"/>
          <w:sz w:val="24"/>
        </w:rPr>
        <w:t>的投标活动，并代表我方全权办理针对上述项目的投标、开标、评标、签约等具体事务和签署相关文件。</w:t>
      </w:r>
    </w:p>
    <w:p>
      <w:pPr>
        <w:snapToGrid w:val="0"/>
        <w:spacing w:beforeLines="50" w:after="50" w:line="360" w:lineRule="auto"/>
        <w:rPr>
          <w:rFonts w:ascii="宋体" w:hAnsi="宋体" w:cs="宋体"/>
          <w:color w:val="auto"/>
          <w:sz w:val="24"/>
          <w:szCs w:val="20"/>
        </w:rPr>
      </w:pPr>
      <w:r>
        <w:rPr>
          <w:rFonts w:hint="eastAsia" w:ascii="宋体" w:hAnsi="宋体" w:cs="宋体"/>
          <w:color w:val="auto"/>
          <w:sz w:val="24"/>
        </w:rPr>
        <w:t xml:space="preserve">    我方对被授权人的签字事项负全部责任。</w:t>
      </w:r>
    </w:p>
    <w:p>
      <w:pPr>
        <w:snapToGrid w:val="0"/>
        <w:spacing w:beforeLines="50" w:after="50" w:line="360" w:lineRule="auto"/>
        <w:ind w:firstLine="480"/>
        <w:rPr>
          <w:rFonts w:ascii="宋体" w:hAnsi="宋体" w:cs="宋体"/>
          <w:color w:val="auto"/>
          <w:sz w:val="24"/>
          <w:szCs w:val="20"/>
        </w:rPr>
      </w:pPr>
      <w:r>
        <w:rPr>
          <w:rFonts w:hint="eastAsia" w:ascii="宋体" w:hAnsi="宋体" w:cs="宋体"/>
          <w:color w:val="auto"/>
          <w:sz w:val="24"/>
          <w:u w:val="single"/>
        </w:rPr>
        <w:t>在撤销授权的书面通知以前，本授权书一直有效。</w:t>
      </w:r>
      <w:r>
        <w:rPr>
          <w:rFonts w:hint="eastAsia" w:ascii="宋体" w:hAnsi="宋体" w:cs="宋体"/>
          <w:color w:val="auto"/>
          <w:sz w:val="24"/>
        </w:rPr>
        <w:t>被授权人在授权书有效期内签署的所有文件不因授权的撤销而失效。</w:t>
      </w:r>
    </w:p>
    <w:p>
      <w:pPr>
        <w:snapToGrid w:val="0"/>
        <w:spacing w:beforeLines="50" w:after="50" w:line="360" w:lineRule="auto"/>
        <w:ind w:firstLine="480"/>
        <w:rPr>
          <w:rFonts w:ascii="宋体" w:hAnsi="宋体" w:cs="宋体"/>
          <w:color w:val="auto"/>
          <w:sz w:val="24"/>
          <w:szCs w:val="20"/>
        </w:rPr>
      </w:pPr>
      <w:r>
        <w:rPr>
          <w:rFonts w:hint="eastAsia" w:ascii="宋体" w:hAnsi="宋体" w:cs="宋体"/>
          <w:color w:val="auto"/>
          <w:sz w:val="24"/>
        </w:rPr>
        <w:t>被授权人无转委托权，特此委托。</w:t>
      </w:r>
    </w:p>
    <w:p>
      <w:pPr>
        <w:snapToGrid w:val="0"/>
        <w:spacing w:beforeLines="50" w:after="50" w:line="360" w:lineRule="auto"/>
        <w:rPr>
          <w:rFonts w:ascii="宋体" w:hAnsi="宋体" w:cs="宋体"/>
          <w:color w:val="auto"/>
          <w:sz w:val="24"/>
          <w:szCs w:val="20"/>
        </w:rPr>
      </w:pPr>
    </w:p>
    <w:p>
      <w:pPr>
        <w:snapToGrid w:val="0"/>
        <w:spacing w:beforeLines="50" w:after="50" w:line="360" w:lineRule="auto"/>
        <w:rPr>
          <w:rFonts w:ascii="宋体" w:hAnsi="宋体" w:cs="宋体"/>
          <w:color w:val="auto"/>
          <w:sz w:val="24"/>
          <w:szCs w:val="20"/>
          <w:u w:val="single"/>
        </w:rPr>
      </w:pPr>
      <w:r>
        <w:rPr>
          <w:rFonts w:hint="eastAsia" w:ascii="宋体" w:hAnsi="宋体" w:cs="宋体"/>
          <w:color w:val="auto"/>
          <w:sz w:val="24"/>
        </w:rPr>
        <w:t>法定代表人签字（或盖章）：</w:t>
      </w:r>
      <w:r>
        <w:rPr>
          <w:rFonts w:hint="eastAsia" w:ascii="宋体" w:hAnsi="宋体" w:cs="宋体"/>
          <w:color w:val="auto"/>
          <w:sz w:val="24"/>
          <w:u w:val="single"/>
        </w:rPr>
        <w:t xml:space="preserve">          </w:t>
      </w:r>
      <w:r>
        <w:rPr>
          <w:rFonts w:hint="eastAsia" w:ascii="宋体" w:hAnsi="宋体" w:cs="宋体"/>
          <w:color w:val="auto"/>
          <w:sz w:val="24"/>
        </w:rPr>
        <w:t xml:space="preserve">  被授权人签字（或盖章）：</w:t>
      </w:r>
      <w:r>
        <w:rPr>
          <w:rFonts w:hint="eastAsia" w:ascii="宋体" w:hAnsi="宋体" w:cs="宋体"/>
          <w:color w:val="auto"/>
          <w:sz w:val="24"/>
          <w:u w:val="single"/>
        </w:rPr>
        <w:t xml:space="preserve">          </w:t>
      </w:r>
    </w:p>
    <w:p>
      <w:pPr>
        <w:snapToGrid w:val="0"/>
        <w:spacing w:beforeLines="50" w:after="50" w:line="360" w:lineRule="auto"/>
        <w:ind w:firstLine="960" w:firstLineChars="400"/>
        <w:rPr>
          <w:rFonts w:ascii="宋体" w:hAnsi="宋体" w:cs="宋体"/>
          <w:color w:val="auto"/>
          <w:sz w:val="24"/>
          <w:u w:val="single"/>
        </w:rPr>
      </w:pPr>
      <w:r>
        <w:rPr>
          <w:rFonts w:hint="eastAsia" w:ascii="宋体" w:hAnsi="宋体" w:cs="宋体"/>
          <w:color w:val="auto"/>
          <w:sz w:val="24"/>
        </w:rPr>
        <w:t>职务：</w:t>
      </w:r>
      <w:r>
        <w:rPr>
          <w:rFonts w:hint="eastAsia" w:ascii="宋体" w:hAnsi="宋体" w:cs="宋体"/>
          <w:color w:val="auto"/>
          <w:sz w:val="24"/>
          <w:u w:val="single"/>
        </w:rPr>
        <w:t xml:space="preserve">           </w:t>
      </w:r>
      <w:r>
        <w:rPr>
          <w:rFonts w:hint="eastAsia" w:ascii="宋体" w:hAnsi="宋体" w:cs="宋体"/>
          <w:color w:val="auto"/>
          <w:sz w:val="24"/>
        </w:rPr>
        <w:t xml:space="preserve">                          职务：</w:t>
      </w:r>
      <w:r>
        <w:rPr>
          <w:rFonts w:hint="eastAsia" w:ascii="宋体" w:hAnsi="宋体" w:cs="宋体"/>
          <w:color w:val="auto"/>
          <w:sz w:val="24"/>
          <w:u w:val="single"/>
        </w:rPr>
        <w:t xml:space="preserve">           </w:t>
      </w:r>
    </w:p>
    <w:p>
      <w:pPr>
        <w:snapToGrid w:val="0"/>
        <w:spacing w:beforeLines="50" w:after="50" w:line="360" w:lineRule="auto"/>
        <w:rPr>
          <w:rFonts w:ascii="宋体" w:hAnsi="宋体" w:cs="宋体"/>
          <w:color w:val="auto"/>
          <w:sz w:val="24"/>
          <w:szCs w:val="20"/>
        </w:rPr>
      </w:pPr>
    </w:p>
    <w:p>
      <w:pPr>
        <w:snapToGrid w:val="0"/>
        <w:spacing w:beforeLines="50" w:after="50" w:line="360" w:lineRule="auto"/>
        <w:rPr>
          <w:rFonts w:ascii="宋体" w:hAnsi="宋体" w:cs="宋体"/>
          <w:color w:val="auto"/>
          <w:sz w:val="24"/>
        </w:rPr>
      </w:pPr>
      <w:r>
        <w:rPr>
          <w:rFonts w:hint="eastAsia" w:ascii="宋体" w:hAnsi="宋体" w:cs="宋体"/>
          <w:color w:val="auto"/>
          <w:sz w:val="24"/>
        </w:rPr>
        <w:t>法定代表人身份证粘贴处（正反面）       被授权人身份证粘贴处（正反面）</w:t>
      </w:r>
    </w:p>
    <w:p>
      <w:pPr>
        <w:snapToGrid w:val="0"/>
        <w:spacing w:beforeLines="50" w:after="50" w:line="360" w:lineRule="auto"/>
        <w:rPr>
          <w:rFonts w:ascii="宋体" w:hAnsi="宋体" w:cs="宋体"/>
          <w:color w:val="auto"/>
          <w:sz w:val="24"/>
        </w:rPr>
      </w:pPr>
    </w:p>
    <w:p>
      <w:pPr>
        <w:snapToGrid w:val="0"/>
        <w:spacing w:beforeLines="50" w:after="50" w:line="360" w:lineRule="auto"/>
        <w:rPr>
          <w:rFonts w:ascii="宋体" w:hAnsi="宋体" w:cs="宋体"/>
          <w:color w:val="auto"/>
          <w:sz w:val="24"/>
        </w:rPr>
      </w:pPr>
    </w:p>
    <w:p>
      <w:pPr>
        <w:snapToGrid w:val="0"/>
        <w:spacing w:beforeLines="50" w:after="50" w:line="360" w:lineRule="auto"/>
        <w:rPr>
          <w:rFonts w:ascii="宋体" w:hAnsi="宋体" w:cs="宋体"/>
          <w:color w:val="auto"/>
          <w:sz w:val="24"/>
        </w:rPr>
      </w:pPr>
    </w:p>
    <w:p>
      <w:pPr>
        <w:snapToGrid w:val="0"/>
        <w:spacing w:beforeLines="50" w:after="50" w:line="360" w:lineRule="auto"/>
        <w:rPr>
          <w:rFonts w:ascii="宋体" w:hAnsi="宋体" w:cs="宋体"/>
          <w:color w:val="auto"/>
          <w:sz w:val="24"/>
        </w:rPr>
      </w:pPr>
      <w:r>
        <w:rPr>
          <w:rFonts w:hint="eastAsia" w:ascii="宋体" w:hAnsi="宋体" w:cs="宋体"/>
          <w:color w:val="auto"/>
          <w:sz w:val="24"/>
        </w:rPr>
        <w:t>投标人公章：</w:t>
      </w:r>
    </w:p>
    <w:p>
      <w:pPr>
        <w:snapToGrid w:val="0"/>
        <w:spacing w:beforeLines="50" w:after="50" w:line="360" w:lineRule="auto"/>
        <w:rPr>
          <w:rFonts w:ascii="宋体" w:hAnsi="宋体" w:cs="宋体"/>
          <w:color w:val="auto"/>
          <w:sz w:val="24"/>
          <w:szCs w:val="20"/>
        </w:rPr>
      </w:pPr>
    </w:p>
    <w:p>
      <w:pPr>
        <w:snapToGrid w:val="0"/>
        <w:spacing w:beforeLines="50" w:after="50" w:line="360" w:lineRule="auto"/>
        <w:rPr>
          <w:rFonts w:ascii="宋体" w:hAnsi="宋体" w:cs="宋体"/>
          <w:color w:val="auto"/>
          <w:sz w:val="24"/>
          <w:szCs w:val="20"/>
        </w:rPr>
      </w:pPr>
    </w:p>
    <w:p>
      <w:pPr>
        <w:snapToGrid w:val="0"/>
        <w:spacing w:beforeLines="50" w:after="50"/>
        <w:jc w:val="right"/>
        <w:rPr>
          <w:rFonts w:ascii="宋体" w:hAnsi="宋体" w:cs="宋体"/>
          <w:color w:val="auto"/>
          <w:sz w:val="24"/>
        </w:rPr>
      </w:pPr>
      <w:r>
        <w:rPr>
          <w:rFonts w:hint="eastAsia" w:ascii="宋体" w:hAnsi="宋体" w:cs="宋体"/>
          <w:color w:val="auto"/>
          <w:sz w:val="24"/>
        </w:rPr>
        <w:t xml:space="preserve">                                        年    月    日</w:t>
      </w:r>
    </w:p>
    <w:p>
      <w:pPr>
        <w:pStyle w:val="962"/>
        <w:spacing w:line="360" w:lineRule="auto"/>
        <w:rPr>
          <w:rFonts w:hAnsi="宋体" w:eastAsia="宋体" w:cs="宋体"/>
          <w:color w:val="auto"/>
          <w:sz w:val="24"/>
        </w:rPr>
      </w:pPr>
    </w:p>
    <w:p>
      <w:pPr>
        <w:snapToGrid w:val="0"/>
        <w:spacing w:beforeLines="50" w:after="50" w:line="360" w:lineRule="auto"/>
        <w:rPr>
          <w:rFonts w:ascii="宋体" w:hAnsi="宋体" w:cs="宋体"/>
          <w:color w:val="auto"/>
          <w:sz w:val="24"/>
        </w:rPr>
      </w:pPr>
      <w:r>
        <w:rPr>
          <w:rFonts w:hint="eastAsia" w:ascii="宋体" w:hAnsi="宋体" w:cs="宋体"/>
          <w:b/>
          <w:color w:val="auto"/>
          <w:sz w:val="28"/>
          <w:szCs w:val="28"/>
        </w:rPr>
        <w:t>注：此表请放一页，如要放2页及以上请在每页上都加盖公章。</w:t>
      </w:r>
    </w:p>
    <w:p>
      <w:pPr>
        <w:spacing w:line="360" w:lineRule="auto"/>
        <w:jc w:val="left"/>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诚信承诺书</w:t>
      </w:r>
    </w:p>
    <w:p>
      <w:pPr>
        <w:spacing w:line="360" w:lineRule="auto"/>
        <w:rPr>
          <w:rFonts w:ascii="宋体" w:hAnsi="宋体" w:cs="宋体"/>
          <w:color w:val="auto"/>
          <w:sz w:val="24"/>
        </w:rPr>
      </w:pPr>
      <w:r>
        <w:rPr>
          <w:rFonts w:hint="eastAsia" w:ascii="宋体" w:hAnsi="宋体" w:cs="宋体"/>
          <w:color w:val="auto"/>
          <w:sz w:val="24"/>
          <w:u w:val="single"/>
        </w:rPr>
        <w:t xml:space="preserve">（采购人或招标组织机构） </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我方在参加贵单位的</w:t>
      </w:r>
      <w:r>
        <w:rPr>
          <w:rFonts w:hint="eastAsia" w:ascii="宋体" w:hAnsi="宋体" w:cs="宋体"/>
          <w:color w:val="auto"/>
          <w:sz w:val="24"/>
          <w:u w:val="single"/>
        </w:rPr>
        <w:t xml:space="preserve">                   </w:t>
      </w:r>
      <w:r>
        <w:rPr>
          <w:rFonts w:hint="eastAsia" w:ascii="宋体" w:hAnsi="宋体" w:cs="宋体"/>
          <w:color w:val="auto"/>
          <w:sz w:val="24"/>
        </w:rPr>
        <w:t>政府采购项目的招投标活动中，郑重承诺如下：</w:t>
      </w:r>
    </w:p>
    <w:p>
      <w:pPr>
        <w:spacing w:line="360" w:lineRule="auto"/>
        <w:ind w:firstLine="480" w:firstLineChars="200"/>
        <w:rPr>
          <w:rFonts w:ascii="宋体" w:hAnsi="宋体" w:cs="宋体"/>
          <w:color w:val="auto"/>
          <w:sz w:val="24"/>
        </w:rPr>
      </w:pPr>
      <w:r>
        <w:rPr>
          <w:rFonts w:hint="eastAsia" w:ascii="宋体" w:hAnsi="宋体" w:cs="宋体"/>
          <w:color w:val="auto"/>
          <w:sz w:val="24"/>
        </w:rPr>
        <w:t>1、我方申报的所有资料都是真实、准确、完整的；</w:t>
      </w:r>
    </w:p>
    <w:p>
      <w:pPr>
        <w:spacing w:line="360" w:lineRule="auto"/>
        <w:ind w:firstLine="480" w:firstLineChars="200"/>
        <w:rPr>
          <w:rFonts w:ascii="宋体" w:hAnsi="宋体" w:cs="宋体"/>
          <w:color w:val="auto"/>
          <w:sz w:val="24"/>
        </w:rPr>
      </w:pPr>
      <w:r>
        <w:rPr>
          <w:rFonts w:hint="eastAsia" w:ascii="宋体" w:hAnsi="宋体" w:cs="宋体"/>
          <w:color w:val="auto"/>
          <w:sz w:val="24"/>
        </w:rPr>
        <w:t>2、我方无资质挂靠情形，保证不参与串标、围标及抬标；</w:t>
      </w:r>
    </w:p>
    <w:p>
      <w:pPr>
        <w:spacing w:line="360" w:lineRule="auto"/>
        <w:ind w:firstLine="480" w:firstLineChars="200"/>
        <w:rPr>
          <w:rFonts w:ascii="宋体" w:hAnsi="宋体" w:cs="宋体"/>
          <w:color w:val="auto"/>
          <w:sz w:val="24"/>
        </w:rPr>
      </w:pPr>
      <w:r>
        <w:rPr>
          <w:rFonts w:hint="eastAsia" w:ascii="宋体" w:hAnsi="宋体" w:cs="宋体"/>
          <w:color w:val="auto"/>
          <w:sz w:val="24"/>
        </w:rPr>
        <w:t>3、我方未处于被各级行政主管部门做出停止市场行为处罚的期限内；</w:t>
      </w:r>
    </w:p>
    <w:p>
      <w:pPr>
        <w:spacing w:line="360" w:lineRule="auto"/>
        <w:ind w:firstLine="480" w:firstLineChars="200"/>
        <w:rPr>
          <w:rFonts w:ascii="宋体" w:hAnsi="宋体" w:cs="宋体"/>
          <w:color w:val="auto"/>
          <w:sz w:val="24"/>
        </w:rPr>
      </w:pPr>
      <w:r>
        <w:rPr>
          <w:rFonts w:hint="eastAsia" w:ascii="宋体" w:hAnsi="宋体" w:cs="宋体"/>
          <w:color w:val="auto"/>
          <w:sz w:val="24"/>
        </w:rPr>
        <w:t>4、我方参加本项目政府采购活动前3年内在经营活动中没有重大违法记录；</w:t>
      </w:r>
    </w:p>
    <w:p>
      <w:pPr>
        <w:spacing w:line="360" w:lineRule="auto"/>
        <w:ind w:firstLine="480" w:firstLineChars="200"/>
        <w:rPr>
          <w:rFonts w:ascii="宋体" w:hAnsi="宋体" w:cs="宋体"/>
          <w:color w:val="auto"/>
          <w:sz w:val="24"/>
        </w:rPr>
      </w:pPr>
      <w:r>
        <w:rPr>
          <w:rFonts w:hint="eastAsia" w:ascii="宋体" w:hAnsi="宋体" w:cs="宋体"/>
          <w:color w:val="auto"/>
          <w:sz w:val="24"/>
        </w:rPr>
        <w:t>5、若我方中标，将严格按照规定及时与采购人签订合同；</w:t>
      </w:r>
    </w:p>
    <w:p>
      <w:pPr>
        <w:spacing w:line="360" w:lineRule="auto"/>
        <w:ind w:firstLine="480" w:firstLineChars="200"/>
        <w:rPr>
          <w:rFonts w:ascii="宋体" w:hAnsi="宋体" w:cs="宋体"/>
          <w:color w:val="auto"/>
          <w:sz w:val="24"/>
        </w:rPr>
      </w:pPr>
      <w:r>
        <w:rPr>
          <w:rFonts w:hint="eastAsia" w:ascii="宋体" w:hAnsi="宋体" w:cs="宋体"/>
          <w:color w:val="auto"/>
          <w:sz w:val="24"/>
        </w:rPr>
        <w:t>6、若我方中标，将严格按照招标文件要求及投标文件承诺的报价、质量、工期、投标方案、项目负责人等内容组织实施；</w:t>
      </w:r>
    </w:p>
    <w:p>
      <w:pPr>
        <w:spacing w:line="360" w:lineRule="auto"/>
        <w:ind w:firstLine="480" w:firstLineChars="200"/>
        <w:rPr>
          <w:rFonts w:ascii="宋体" w:hAnsi="宋体" w:cs="宋体"/>
          <w:color w:val="auto"/>
          <w:sz w:val="24"/>
        </w:rPr>
      </w:pPr>
      <w:r>
        <w:rPr>
          <w:rFonts w:hint="eastAsia" w:ascii="宋体" w:hAnsi="宋体" w:cs="宋体"/>
          <w:color w:val="auto"/>
          <w:sz w:val="24"/>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pPr>
        <w:spacing w:line="360" w:lineRule="auto"/>
        <w:ind w:firstLine="480" w:firstLineChars="200"/>
        <w:rPr>
          <w:rFonts w:ascii="宋体" w:hAnsi="宋体" w:cs="宋体"/>
          <w:color w:val="auto"/>
          <w:sz w:val="24"/>
        </w:rPr>
      </w:pPr>
      <w:r>
        <w:rPr>
          <w:rFonts w:hint="eastAsia" w:ascii="宋体" w:hAnsi="宋体" w:cs="宋体"/>
          <w:color w:val="auto"/>
          <w:sz w:val="24"/>
        </w:rPr>
        <w:t>特此承诺。</w:t>
      </w:r>
    </w:p>
    <w:p>
      <w:pPr>
        <w:spacing w:line="360" w:lineRule="auto"/>
        <w:ind w:firstLine="480" w:firstLineChars="200"/>
        <w:rPr>
          <w:rFonts w:ascii="宋体" w:hAnsi="宋体" w:cs="宋体"/>
          <w:color w:val="auto"/>
          <w:sz w:val="24"/>
        </w:rPr>
      </w:pPr>
      <w:r>
        <w:rPr>
          <w:rFonts w:hint="eastAsia" w:ascii="宋体" w:hAnsi="宋体" w:cs="宋体"/>
          <w:color w:val="auto"/>
          <w:sz w:val="24"/>
        </w:rPr>
        <w:t>投标人（加盖公章）：</w:t>
      </w:r>
      <w:r>
        <w:rPr>
          <w:rFonts w:hint="eastAsia" w:ascii="宋体" w:hAnsi="宋体" w:cs="宋体"/>
          <w:color w:val="auto"/>
          <w:sz w:val="24"/>
          <w:u w:val="single"/>
        </w:rPr>
        <w:t xml:space="preserve">                         </w:t>
      </w:r>
    </w:p>
    <w:p>
      <w:pPr>
        <w:spacing w:line="360" w:lineRule="auto"/>
        <w:ind w:firstLine="480" w:firstLineChars="200"/>
        <w:rPr>
          <w:rFonts w:ascii="宋体" w:hAnsi="宋体" w:cs="宋体"/>
          <w:color w:val="auto"/>
          <w:sz w:val="24"/>
        </w:rPr>
      </w:pPr>
      <w:r>
        <w:rPr>
          <w:rFonts w:hint="eastAsia" w:ascii="宋体" w:hAnsi="宋体" w:cs="宋体"/>
          <w:color w:val="auto"/>
          <w:sz w:val="24"/>
        </w:rPr>
        <w:t>投标人代表（签名）：</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pacing w:line="360" w:lineRule="auto"/>
        <w:ind w:firstLine="480" w:firstLineChars="200"/>
        <w:rPr>
          <w:rFonts w:ascii="宋体" w:hAnsi="宋体" w:cs="宋体"/>
          <w:color w:val="auto"/>
          <w:sz w:val="24"/>
        </w:rPr>
      </w:pPr>
    </w:p>
    <w:p>
      <w:pPr>
        <w:spacing w:line="360" w:lineRule="auto"/>
        <w:ind w:firstLine="4920" w:firstLineChars="2050"/>
        <w:rPr>
          <w:rFonts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pStyle w:val="962"/>
        <w:spacing w:line="360" w:lineRule="auto"/>
        <w:rPr>
          <w:rFonts w:hAnsi="宋体" w:eastAsia="宋体" w:cs="宋体"/>
          <w:color w:val="auto"/>
          <w:sz w:val="24"/>
        </w:rPr>
      </w:pPr>
    </w:p>
    <w:p>
      <w:pPr>
        <w:pStyle w:val="962"/>
        <w:spacing w:line="360" w:lineRule="auto"/>
        <w:rPr>
          <w:rFonts w:hAnsi="宋体" w:eastAsia="宋体" w:cs="宋体"/>
          <w:color w:val="auto"/>
          <w:sz w:val="24"/>
        </w:rPr>
      </w:pPr>
    </w:p>
    <w:p>
      <w:pPr>
        <w:pStyle w:val="962"/>
        <w:spacing w:line="360" w:lineRule="auto"/>
        <w:rPr>
          <w:rFonts w:hAnsi="宋体" w:eastAsia="宋体" w:cs="宋体"/>
          <w:color w:val="auto"/>
          <w:sz w:val="24"/>
        </w:rPr>
      </w:pPr>
    </w:p>
    <w:p>
      <w:pPr>
        <w:pStyle w:val="962"/>
        <w:spacing w:line="360" w:lineRule="auto"/>
        <w:rPr>
          <w:rFonts w:hAnsi="宋体" w:eastAsia="宋体" w:cs="宋体"/>
          <w:color w:val="auto"/>
          <w:sz w:val="24"/>
        </w:rPr>
      </w:pPr>
    </w:p>
    <w:p>
      <w:pPr>
        <w:pStyle w:val="962"/>
        <w:spacing w:line="360" w:lineRule="auto"/>
        <w:rPr>
          <w:rFonts w:hAnsi="宋体" w:eastAsia="宋体" w:cs="宋体"/>
          <w:color w:val="auto"/>
          <w:sz w:val="24"/>
        </w:rPr>
      </w:pPr>
    </w:p>
    <w:p>
      <w:pPr>
        <w:pStyle w:val="962"/>
        <w:spacing w:line="360" w:lineRule="auto"/>
        <w:rPr>
          <w:rFonts w:hAnsi="宋体" w:eastAsia="宋体" w:cs="宋体"/>
          <w:color w:val="auto"/>
          <w:sz w:val="24"/>
        </w:rPr>
      </w:pPr>
    </w:p>
    <w:p>
      <w:pPr>
        <w:pStyle w:val="962"/>
        <w:spacing w:line="360" w:lineRule="auto"/>
        <w:rPr>
          <w:rFonts w:hAnsi="宋体" w:eastAsia="宋体" w:cs="宋体"/>
          <w:color w:val="auto"/>
          <w:sz w:val="24"/>
        </w:rPr>
      </w:pPr>
    </w:p>
    <w:p>
      <w:pPr>
        <w:pStyle w:val="962"/>
        <w:spacing w:line="360" w:lineRule="auto"/>
        <w:rPr>
          <w:rFonts w:hAnsi="宋体" w:eastAsia="宋体" w:cs="宋体"/>
          <w:color w:val="auto"/>
          <w:sz w:val="24"/>
        </w:rPr>
      </w:pPr>
    </w:p>
    <w:p>
      <w:pPr>
        <w:spacing w:line="360" w:lineRule="auto"/>
        <w:jc w:val="center"/>
        <w:rPr>
          <w:rFonts w:ascii="宋体" w:hAnsi="宋体" w:cs="宋体"/>
          <w:b/>
          <w:color w:val="auto"/>
          <w:sz w:val="24"/>
        </w:rPr>
      </w:pPr>
    </w:p>
    <w:p>
      <w:pPr>
        <w:spacing w:line="360" w:lineRule="auto"/>
        <w:jc w:val="center"/>
        <w:rPr>
          <w:rFonts w:ascii="宋体" w:hAnsi="宋体" w:cs="宋体"/>
          <w:b/>
          <w:bCs/>
          <w:color w:val="auto"/>
          <w:sz w:val="24"/>
        </w:rPr>
      </w:pPr>
      <w:r>
        <w:rPr>
          <w:rFonts w:hint="eastAsia" w:ascii="宋体" w:hAnsi="宋体" w:cs="宋体"/>
          <w:b/>
          <w:color w:val="auto"/>
          <w:sz w:val="24"/>
        </w:rPr>
        <w:t>自评表</w:t>
      </w:r>
    </w:p>
    <w:tbl>
      <w:tblPr>
        <w:tblStyle w:val="63"/>
        <w:tblW w:w="87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0"/>
        <w:gridCol w:w="3300"/>
        <w:gridCol w:w="2145"/>
        <w:gridCol w:w="2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510" w:type="dxa"/>
            <w:gridSpan w:val="2"/>
            <w:vMerge w:val="restart"/>
            <w:vAlign w:val="center"/>
          </w:tcPr>
          <w:p>
            <w:pPr>
              <w:spacing w:line="360" w:lineRule="auto"/>
              <w:jc w:val="center"/>
              <w:rPr>
                <w:rFonts w:ascii="宋体" w:hAnsi="宋体" w:cs="宋体"/>
                <w:b/>
                <w:bCs/>
                <w:color w:val="auto"/>
                <w:sz w:val="24"/>
              </w:rPr>
            </w:pPr>
            <w:r>
              <w:rPr>
                <w:rFonts w:hint="eastAsia" w:ascii="宋体" w:hAnsi="宋体" w:cs="宋体"/>
                <w:b/>
                <w:bCs/>
                <w:color w:val="auto"/>
                <w:sz w:val="24"/>
              </w:rPr>
              <w:t>评标内容及分值</w:t>
            </w:r>
          </w:p>
        </w:tc>
        <w:tc>
          <w:tcPr>
            <w:tcW w:w="4254" w:type="dxa"/>
            <w:gridSpan w:val="2"/>
            <w:vAlign w:val="center"/>
          </w:tcPr>
          <w:p>
            <w:pPr>
              <w:spacing w:line="360" w:lineRule="auto"/>
              <w:jc w:val="center"/>
              <w:rPr>
                <w:rFonts w:ascii="宋体" w:hAnsi="宋体" w:cs="宋体"/>
                <w:b/>
                <w:bCs/>
                <w:color w:val="auto"/>
                <w:sz w:val="24"/>
              </w:rPr>
            </w:pPr>
            <w:r>
              <w:rPr>
                <w:rFonts w:hint="eastAsia" w:ascii="宋体" w:hAnsi="宋体" w:cs="宋体"/>
                <w:b/>
                <w:bCs/>
                <w:color w:val="auto"/>
                <w:sz w:val="24"/>
              </w:rPr>
              <w:t>供应商自评栏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3" w:hRule="atLeast"/>
          <w:jc w:val="center"/>
        </w:trPr>
        <w:tc>
          <w:tcPr>
            <w:tcW w:w="4510" w:type="dxa"/>
            <w:gridSpan w:val="2"/>
            <w:vMerge w:val="continue"/>
            <w:vAlign w:val="center"/>
          </w:tcPr>
          <w:p>
            <w:pPr>
              <w:spacing w:line="360" w:lineRule="auto"/>
              <w:jc w:val="center"/>
              <w:rPr>
                <w:rFonts w:ascii="宋体" w:hAnsi="宋体" w:cs="宋体"/>
                <w:b/>
                <w:bCs/>
                <w:color w:val="auto"/>
                <w:sz w:val="24"/>
              </w:rPr>
            </w:pPr>
          </w:p>
        </w:tc>
        <w:tc>
          <w:tcPr>
            <w:tcW w:w="2145" w:type="dxa"/>
            <w:vAlign w:val="center"/>
          </w:tcPr>
          <w:p>
            <w:pPr>
              <w:spacing w:line="360" w:lineRule="auto"/>
              <w:jc w:val="center"/>
              <w:rPr>
                <w:rFonts w:ascii="宋体" w:hAnsi="宋体" w:cs="宋体"/>
                <w:b/>
                <w:bCs/>
                <w:color w:val="auto"/>
                <w:sz w:val="24"/>
              </w:rPr>
            </w:pPr>
            <w:r>
              <w:rPr>
                <w:rFonts w:hint="eastAsia" w:ascii="宋体" w:hAnsi="宋体" w:cs="宋体"/>
                <w:b/>
                <w:bCs/>
                <w:color w:val="auto"/>
                <w:sz w:val="24"/>
              </w:rPr>
              <w:t>自评分</w:t>
            </w:r>
          </w:p>
        </w:tc>
        <w:tc>
          <w:tcPr>
            <w:tcW w:w="2109" w:type="dxa"/>
            <w:vAlign w:val="center"/>
          </w:tcPr>
          <w:p>
            <w:pPr>
              <w:spacing w:line="360" w:lineRule="auto"/>
              <w:jc w:val="center"/>
              <w:rPr>
                <w:rFonts w:ascii="宋体" w:hAnsi="宋体" w:cs="宋体"/>
                <w:b/>
                <w:bCs/>
                <w:color w:val="auto"/>
                <w:sz w:val="24"/>
              </w:rPr>
            </w:pPr>
            <w:r>
              <w:rPr>
                <w:rFonts w:hint="eastAsia" w:ascii="宋体" w:hAnsi="宋体" w:cs="宋体"/>
                <w:b/>
                <w:bCs/>
                <w:color w:val="auto"/>
                <w:sz w:val="24"/>
              </w:rPr>
              <w:t>自评依据及标书页码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9" w:hRule="atLeast"/>
          <w:jc w:val="center"/>
        </w:trPr>
        <w:tc>
          <w:tcPr>
            <w:tcW w:w="1210" w:type="dxa"/>
            <w:vMerge w:val="restart"/>
            <w:vAlign w:val="center"/>
          </w:tcPr>
          <w:p>
            <w:pPr>
              <w:spacing w:line="360" w:lineRule="auto"/>
              <w:rPr>
                <w:rFonts w:ascii="宋体" w:hAnsi="宋体" w:cs="宋体"/>
                <w:color w:val="auto"/>
                <w:sz w:val="24"/>
              </w:rPr>
            </w:pPr>
            <w:r>
              <w:rPr>
                <w:rFonts w:hint="eastAsia" w:ascii="宋体" w:hAnsi="宋体" w:cs="宋体"/>
                <w:b/>
                <w:bCs/>
                <w:color w:val="auto"/>
                <w:sz w:val="28"/>
                <w:szCs w:val="28"/>
                <w:lang w:eastAsia="zh-CN"/>
              </w:rPr>
              <w:t>商务资信</w:t>
            </w:r>
            <w:r>
              <w:rPr>
                <w:rFonts w:hint="eastAsia" w:ascii="宋体" w:hAnsi="宋体" w:cs="宋体"/>
                <w:b/>
                <w:bCs/>
                <w:color w:val="auto"/>
                <w:sz w:val="28"/>
                <w:szCs w:val="28"/>
              </w:rPr>
              <w:t>分（X分）</w:t>
            </w:r>
          </w:p>
        </w:tc>
        <w:tc>
          <w:tcPr>
            <w:tcW w:w="3300" w:type="dxa"/>
            <w:tcBorders>
              <w:bottom w:val="single" w:color="auto" w:sz="4" w:space="0"/>
            </w:tcBorders>
            <w:vAlign w:val="center"/>
          </w:tcPr>
          <w:p>
            <w:pPr>
              <w:widowControl/>
              <w:spacing w:line="360" w:lineRule="auto"/>
              <w:jc w:val="center"/>
              <w:rPr>
                <w:rFonts w:ascii="宋体" w:hAnsi="宋体" w:cs="宋体"/>
                <w:color w:val="auto"/>
                <w:kern w:val="0"/>
                <w:szCs w:val="21"/>
              </w:rPr>
            </w:pPr>
          </w:p>
        </w:tc>
        <w:tc>
          <w:tcPr>
            <w:tcW w:w="2145" w:type="dxa"/>
            <w:tcBorders>
              <w:bottom w:val="single" w:color="auto" w:sz="4" w:space="0"/>
            </w:tcBorders>
            <w:vAlign w:val="center"/>
          </w:tcPr>
          <w:p>
            <w:pPr>
              <w:spacing w:line="360" w:lineRule="auto"/>
              <w:jc w:val="left"/>
              <w:rPr>
                <w:rFonts w:ascii="宋体" w:hAnsi="宋体" w:cs="宋体"/>
                <w:color w:val="auto"/>
                <w:szCs w:val="21"/>
              </w:rPr>
            </w:pPr>
          </w:p>
        </w:tc>
        <w:tc>
          <w:tcPr>
            <w:tcW w:w="2109" w:type="dxa"/>
            <w:tcBorders>
              <w:bottom w:val="single" w:color="auto" w:sz="4" w:space="0"/>
            </w:tcBorders>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4" w:hRule="atLeast"/>
          <w:jc w:val="center"/>
        </w:trPr>
        <w:tc>
          <w:tcPr>
            <w:tcW w:w="1210" w:type="dxa"/>
            <w:vMerge w:val="continue"/>
            <w:vAlign w:val="center"/>
          </w:tcPr>
          <w:p>
            <w:pPr>
              <w:spacing w:line="360" w:lineRule="auto"/>
              <w:jc w:val="center"/>
              <w:rPr>
                <w:rFonts w:ascii="宋体" w:hAnsi="宋体" w:cs="宋体"/>
                <w:color w:val="auto"/>
                <w:sz w:val="24"/>
              </w:rPr>
            </w:pPr>
          </w:p>
        </w:tc>
        <w:tc>
          <w:tcPr>
            <w:tcW w:w="3300" w:type="dxa"/>
            <w:tcBorders>
              <w:top w:val="single" w:color="auto" w:sz="4" w:space="0"/>
            </w:tcBorders>
            <w:vAlign w:val="center"/>
          </w:tcPr>
          <w:p>
            <w:pPr>
              <w:widowControl/>
              <w:spacing w:line="360" w:lineRule="auto"/>
              <w:jc w:val="center"/>
              <w:rPr>
                <w:rFonts w:ascii="宋体" w:hAnsi="宋体" w:cs="宋体"/>
                <w:color w:val="auto"/>
                <w:kern w:val="0"/>
                <w:szCs w:val="21"/>
              </w:rPr>
            </w:pPr>
          </w:p>
        </w:tc>
        <w:tc>
          <w:tcPr>
            <w:tcW w:w="2145" w:type="dxa"/>
            <w:tcBorders>
              <w:top w:val="single" w:color="auto" w:sz="4" w:space="0"/>
              <w:bottom w:val="single" w:color="auto" w:sz="4" w:space="0"/>
            </w:tcBorders>
            <w:vAlign w:val="center"/>
          </w:tcPr>
          <w:p>
            <w:pPr>
              <w:spacing w:line="360" w:lineRule="auto"/>
              <w:jc w:val="left"/>
              <w:rPr>
                <w:rFonts w:ascii="宋体" w:hAnsi="宋体" w:cs="宋体"/>
                <w:color w:val="auto"/>
                <w:szCs w:val="21"/>
              </w:rPr>
            </w:pPr>
          </w:p>
        </w:tc>
        <w:tc>
          <w:tcPr>
            <w:tcW w:w="2109" w:type="dxa"/>
            <w:tcBorders>
              <w:top w:val="single" w:color="auto" w:sz="4" w:space="0"/>
              <w:bottom w:val="single" w:color="auto" w:sz="4" w:space="0"/>
            </w:tcBorders>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4" w:hRule="atLeast"/>
          <w:jc w:val="center"/>
        </w:trPr>
        <w:tc>
          <w:tcPr>
            <w:tcW w:w="1210" w:type="dxa"/>
            <w:vMerge w:val="continue"/>
            <w:vAlign w:val="center"/>
          </w:tcPr>
          <w:p>
            <w:pPr>
              <w:spacing w:line="360" w:lineRule="auto"/>
              <w:jc w:val="center"/>
              <w:rPr>
                <w:rFonts w:ascii="宋体" w:hAnsi="宋体" w:cs="宋体"/>
                <w:color w:val="auto"/>
                <w:sz w:val="24"/>
              </w:rPr>
            </w:pPr>
          </w:p>
        </w:tc>
        <w:tc>
          <w:tcPr>
            <w:tcW w:w="3300" w:type="dxa"/>
            <w:tcBorders>
              <w:top w:val="single" w:color="auto" w:sz="4" w:space="0"/>
            </w:tcBorders>
            <w:vAlign w:val="center"/>
          </w:tcPr>
          <w:p>
            <w:pPr>
              <w:widowControl/>
              <w:spacing w:line="360" w:lineRule="auto"/>
              <w:jc w:val="center"/>
              <w:rPr>
                <w:rFonts w:ascii="宋体" w:hAnsi="宋体" w:cs="宋体"/>
                <w:color w:val="auto"/>
                <w:kern w:val="0"/>
                <w:szCs w:val="21"/>
              </w:rPr>
            </w:pPr>
          </w:p>
        </w:tc>
        <w:tc>
          <w:tcPr>
            <w:tcW w:w="2145" w:type="dxa"/>
            <w:tcBorders>
              <w:top w:val="single" w:color="auto" w:sz="4" w:space="0"/>
              <w:bottom w:val="single" w:color="auto" w:sz="4" w:space="0"/>
            </w:tcBorders>
            <w:vAlign w:val="center"/>
          </w:tcPr>
          <w:p>
            <w:pPr>
              <w:spacing w:line="360" w:lineRule="auto"/>
              <w:jc w:val="left"/>
              <w:rPr>
                <w:rFonts w:ascii="宋体" w:hAnsi="宋体" w:cs="宋体"/>
                <w:color w:val="auto"/>
                <w:szCs w:val="21"/>
              </w:rPr>
            </w:pPr>
          </w:p>
        </w:tc>
        <w:tc>
          <w:tcPr>
            <w:tcW w:w="2109" w:type="dxa"/>
            <w:tcBorders>
              <w:top w:val="single" w:color="auto" w:sz="4" w:space="0"/>
              <w:bottom w:val="single" w:color="auto" w:sz="4" w:space="0"/>
            </w:tcBorders>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4" w:hRule="atLeast"/>
          <w:jc w:val="center"/>
        </w:trPr>
        <w:tc>
          <w:tcPr>
            <w:tcW w:w="1210" w:type="dxa"/>
            <w:vMerge w:val="continue"/>
            <w:vAlign w:val="center"/>
          </w:tcPr>
          <w:p>
            <w:pPr>
              <w:spacing w:line="360" w:lineRule="auto"/>
              <w:jc w:val="center"/>
              <w:rPr>
                <w:rFonts w:ascii="宋体" w:hAnsi="宋体" w:cs="宋体"/>
                <w:color w:val="auto"/>
                <w:sz w:val="24"/>
              </w:rPr>
            </w:pPr>
          </w:p>
        </w:tc>
        <w:tc>
          <w:tcPr>
            <w:tcW w:w="3300" w:type="dxa"/>
            <w:tcBorders>
              <w:top w:val="single" w:color="auto" w:sz="4" w:space="0"/>
            </w:tcBorders>
            <w:vAlign w:val="center"/>
          </w:tcPr>
          <w:p>
            <w:pPr>
              <w:widowControl/>
              <w:spacing w:line="360" w:lineRule="auto"/>
              <w:jc w:val="center"/>
              <w:rPr>
                <w:rFonts w:ascii="宋体" w:hAnsi="宋体" w:cs="宋体"/>
                <w:color w:val="auto"/>
                <w:kern w:val="0"/>
                <w:szCs w:val="21"/>
              </w:rPr>
            </w:pPr>
          </w:p>
        </w:tc>
        <w:tc>
          <w:tcPr>
            <w:tcW w:w="2145" w:type="dxa"/>
            <w:tcBorders>
              <w:top w:val="single" w:color="auto" w:sz="4" w:space="0"/>
              <w:bottom w:val="single" w:color="auto" w:sz="4" w:space="0"/>
            </w:tcBorders>
            <w:vAlign w:val="center"/>
          </w:tcPr>
          <w:p>
            <w:pPr>
              <w:spacing w:line="360" w:lineRule="auto"/>
              <w:jc w:val="left"/>
              <w:rPr>
                <w:rFonts w:ascii="宋体" w:hAnsi="宋体" w:cs="宋体"/>
                <w:color w:val="auto"/>
                <w:szCs w:val="21"/>
              </w:rPr>
            </w:pPr>
          </w:p>
        </w:tc>
        <w:tc>
          <w:tcPr>
            <w:tcW w:w="2109" w:type="dxa"/>
            <w:tcBorders>
              <w:top w:val="single" w:color="auto" w:sz="4" w:space="0"/>
              <w:bottom w:val="single" w:color="auto" w:sz="4" w:space="0"/>
            </w:tcBorders>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4" w:hRule="atLeast"/>
          <w:jc w:val="center"/>
        </w:trPr>
        <w:tc>
          <w:tcPr>
            <w:tcW w:w="1210" w:type="dxa"/>
            <w:vMerge w:val="continue"/>
            <w:vAlign w:val="center"/>
          </w:tcPr>
          <w:p>
            <w:pPr>
              <w:spacing w:line="360" w:lineRule="auto"/>
              <w:jc w:val="center"/>
              <w:rPr>
                <w:rFonts w:ascii="宋体" w:hAnsi="宋体" w:cs="宋体"/>
                <w:color w:val="auto"/>
                <w:sz w:val="24"/>
              </w:rPr>
            </w:pPr>
          </w:p>
        </w:tc>
        <w:tc>
          <w:tcPr>
            <w:tcW w:w="3300" w:type="dxa"/>
            <w:tcBorders>
              <w:top w:val="single" w:color="auto" w:sz="4" w:space="0"/>
            </w:tcBorders>
            <w:vAlign w:val="center"/>
          </w:tcPr>
          <w:p>
            <w:pPr>
              <w:widowControl/>
              <w:spacing w:line="360" w:lineRule="auto"/>
              <w:jc w:val="center"/>
              <w:rPr>
                <w:rFonts w:ascii="宋体" w:hAnsi="宋体" w:cs="宋体"/>
                <w:color w:val="auto"/>
                <w:kern w:val="0"/>
                <w:szCs w:val="21"/>
              </w:rPr>
            </w:pPr>
          </w:p>
        </w:tc>
        <w:tc>
          <w:tcPr>
            <w:tcW w:w="2145" w:type="dxa"/>
            <w:tcBorders>
              <w:top w:val="single" w:color="auto" w:sz="4" w:space="0"/>
              <w:bottom w:val="single" w:color="auto" w:sz="4" w:space="0"/>
            </w:tcBorders>
            <w:vAlign w:val="center"/>
          </w:tcPr>
          <w:p>
            <w:pPr>
              <w:spacing w:line="360" w:lineRule="auto"/>
              <w:jc w:val="left"/>
              <w:rPr>
                <w:rFonts w:ascii="宋体" w:hAnsi="宋体" w:cs="宋体"/>
                <w:color w:val="auto"/>
                <w:szCs w:val="21"/>
              </w:rPr>
            </w:pPr>
          </w:p>
        </w:tc>
        <w:tc>
          <w:tcPr>
            <w:tcW w:w="2109" w:type="dxa"/>
            <w:tcBorders>
              <w:top w:val="single" w:color="auto" w:sz="4" w:space="0"/>
              <w:bottom w:val="single" w:color="auto" w:sz="4" w:space="0"/>
            </w:tcBorders>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4" w:hRule="atLeast"/>
          <w:jc w:val="center"/>
        </w:trPr>
        <w:tc>
          <w:tcPr>
            <w:tcW w:w="1210" w:type="dxa"/>
            <w:vMerge w:val="continue"/>
            <w:vAlign w:val="center"/>
          </w:tcPr>
          <w:p>
            <w:pPr>
              <w:spacing w:line="360" w:lineRule="exact"/>
              <w:jc w:val="left"/>
              <w:rPr>
                <w:rFonts w:ascii="宋体" w:hAnsi="宋体" w:cs="宋体"/>
                <w:b/>
                <w:bCs/>
                <w:color w:val="auto"/>
                <w:sz w:val="28"/>
                <w:szCs w:val="28"/>
              </w:rPr>
            </w:pPr>
          </w:p>
        </w:tc>
        <w:tc>
          <w:tcPr>
            <w:tcW w:w="3300" w:type="dxa"/>
            <w:tcBorders>
              <w:top w:val="single" w:color="auto" w:sz="4" w:space="0"/>
            </w:tcBorders>
            <w:vAlign w:val="center"/>
          </w:tcPr>
          <w:p>
            <w:pPr>
              <w:widowControl/>
              <w:spacing w:line="360" w:lineRule="auto"/>
              <w:jc w:val="center"/>
              <w:rPr>
                <w:rFonts w:ascii="宋体" w:hAnsi="宋体" w:cs="宋体"/>
                <w:color w:val="auto"/>
                <w:kern w:val="0"/>
                <w:szCs w:val="21"/>
              </w:rPr>
            </w:pPr>
          </w:p>
        </w:tc>
        <w:tc>
          <w:tcPr>
            <w:tcW w:w="2145" w:type="dxa"/>
            <w:tcBorders>
              <w:top w:val="single" w:color="auto" w:sz="4" w:space="0"/>
              <w:bottom w:val="single" w:color="auto" w:sz="4" w:space="0"/>
            </w:tcBorders>
            <w:vAlign w:val="center"/>
          </w:tcPr>
          <w:p>
            <w:pPr>
              <w:spacing w:line="360" w:lineRule="auto"/>
              <w:jc w:val="left"/>
              <w:rPr>
                <w:rFonts w:ascii="宋体" w:hAnsi="宋体" w:cs="宋体"/>
                <w:color w:val="auto"/>
                <w:szCs w:val="21"/>
              </w:rPr>
            </w:pPr>
          </w:p>
        </w:tc>
        <w:tc>
          <w:tcPr>
            <w:tcW w:w="2109" w:type="dxa"/>
            <w:tcBorders>
              <w:top w:val="single" w:color="auto" w:sz="4" w:space="0"/>
              <w:bottom w:val="single" w:color="auto" w:sz="4" w:space="0"/>
            </w:tcBorders>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9" w:hRule="atLeast"/>
          <w:jc w:val="center"/>
        </w:trPr>
        <w:tc>
          <w:tcPr>
            <w:tcW w:w="1210" w:type="dxa"/>
            <w:vMerge w:val="restart"/>
            <w:vAlign w:val="center"/>
          </w:tcPr>
          <w:p>
            <w:pPr>
              <w:spacing w:line="360" w:lineRule="auto"/>
              <w:rPr>
                <w:rFonts w:ascii="宋体" w:hAnsi="宋体" w:cs="宋体"/>
                <w:b/>
                <w:bCs/>
                <w:color w:val="auto"/>
                <w:sz w:val="28"/>
                <w:szCs w:val="28"/>
              </w:rPr>
            </w:pPr>
            <w:r>
              <w:rPr>
                <w:rFonts w:hint="eastAsia" w:ascii="宋体" w:hAnsi="宋体" w:cs="宋体"/>
                <w:b/>
                <w:bCs/>
                <w:color w:val="auto"/>
                <w:sz w:val="28"/>
                <w:szCs w:val="28"/>
              </w:rPr>
              <w:t>技术分（X分）</w:t>
            </w:r>
          </w:p>
        </w:tc>
        <w:tc>
          <w:tcPr>
            <w:tcW w:w="3300" w:type="dxa"/>
            <w:vAlign w:val="center"/>
          </w:tcPr>
          <w:p>
            <w:pPr>
              <w:widowControl/>
              <w:spacing w:line="360" w:lineRule="auto"/>
              <w:jc w:val="center"/>
              <w:rPr>
                <w:rFonts w:ascii="宋体" w:hAnsi="宋体" w:cs="宋体"/>
                <w:color w:val="auto"/>
                <w:kern w:val="0"/>
                <w:szCs w:val="21"/>
              </w:rPr>
            </w:pPr>
          </w:p>
        </w:tc>
        <w:tc>
          <w:tcPr>
            <w:tcW w:w="2145" w:type="dxa"/>
            <w:vAlign w:val="center"/>
          </w:tcPr>
          <w:p>
            <w:pPr>
              <w:spacing w:line="360" w:lineRule="auto"/>
              <w:jc w:val="left"/>
              <w:rPr>
                <w:rFonts w:ascii="宋体" w:hAnsi="宋体" w:cs="宋体"/>
                <w:color w:val="auto"/>
                <w:szCs w:val="21"/>
              </w:rPr>
            </w:pPr>
          </w:p>
        </w:tc>
        <w:tc>
          <w:tcPr>
            <w:tcW w:w="2109" w:type="dxa"/>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10" w:type="dxa"/>
            <w:vMerge w:val="continue"/>
            <w:vAlign w:val="center"/>
          </w:tcPr>
          <w:p>
            <w:pPr>
              <w:spacing w:line="360" w:lineRule="auto"/>
              <w:rPr>
                <w:rFonts w:ascii="宋体" w:hAnsi="宋体" w:cs="宋体"/>
                <w:color w:val="auto"/>
                <w:szCs w:val="21"/>
              </w:rPr>
            </w:pPr>
          </w:p>
        </w:tc>
        <w:tc>
          <w:tcPr>
            <w:tcW w:w="3300" w:type="dxa"/>
            <w:vAlign w:val="center"/>
          </w:tcPr>
          <w:p>
            <w:pPr>
              <w:widowControl/>
              <w:spacing w:line="360" w:lineRule="auto"/>
              <w:jc w:val="center"/>
              <w:rPr>
                <w:rFonts w:ascii="宋体" w:hAnsi="宋体" w:cs="宋体"/>
                <w:color w:val="auto"/>
                <w:kern w:val="0"/>
                <w:szCs w:val="21"/>
              </w:rPr>
            </w:pPr>
          </w:p>
        </w:tc>
        <w:tc>
          <w:tcPr>
            <w:tcW w:w="2145" w:type="dxa"/>
            <w:vAlign w:val="center"/>
          </w:tcPr>
          <w:p>
            <w:pPr>
              <w:spacing w:line="360" w:lineRule="auto"/>
              <w:jc w:val="left"/>
              <w:rPr>
                <w:rFonts w:ascii="宋体" w:hAnsi="宋体" w:cs="宋体"/>
                <w:color w:val="auto"/>
                <w:szCs w:val="21"/>
              </w:rPr>
            </w:pPr>
          </w:p>
        </w:tc>
        <w:tc>
          <w:tcPr>
            <w:tcW w:w="2109" w:type="dxa"/>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10" w:type="dxa"/>
            <w:vMerge w:val="continue"/>
            <w:vAlign w:val="center"/>
          </w:tcPr>
          <w:p>
            <w:pPr>
              <w:spacing w:line="360" w:lineRule="auto"/>
              <w:rPr>
                <w:rFonts w:ascii="宋体" w:hAnsi="宋体" w:cs="宋体"/>
                <w:color w:val="auto"/>
                <w:szCs w:val="21"/>
              </w:rPr>
            </w:pPr>
          </w:p>
        </w:tc>
        <w:tc>
          <w:tcPr>
            <w:tcW w:w="3300" w:type="dxa"/>
            <w:vAlign w:val="center"/>
          </w:tcPr>
          <w:p>
            <w:pPr>
              <w:widowControl/>
              <w:spacing w:line="360" w:lineRule="auto"/>
              <w:jc w:val="center"/>
              <w:rPr>
                <w:rFonts w:ascii="宋体" w:hAnsi="宋体" w:cs="宋体"/>
                <w:color w:val="auto"/>
                <w:kern w:val="0"/>
                <w:szCs w:val="21"/>
              </w:rPr>
            </w:pPr>
          </w:p>
        </w:tc>
        <w:tc>
          <w:tcPr>
            <w:tcW w:w="2145" w:type="dxa"/>
            <w:vAlign w:val="center"/>
          </w:tcPr>
          <w:p>
            <w:pPr>
              <w:spacing w:line="360" w:lineRule="auto"/>
              <w:jc w:val="left"/>
              <w:rPr>
                <w:rFonts w:ascii="宋体" w:hAnsi="宋体" w:cs="宋体"/>
                <w:color w:val="auto"/>
                <w:szCs w:val="21"/>
              </w:rPr>
            </w:pPr>
          </w:p>
        </w:tc>
        <w:tc>
          <w:tcPr>
            <w:tcW w:w="2109" w:type="dxa"/>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10" w:type="dxa"/>
            <w:vMerge w:val="continue"/>
            <w:vAlign w:val="center"/>
          </w:tcPr>
          <w:p>
            <w:pPr>
              <w:spacing w:line="360" w:lineRule="auto"/>
              <w:rPr>
                <w:rFonts w:ascii="宋体" w:hAnsi="宋体" w:cs="宋体"/>
                <w:color w:val="auto"/>
                <w:szCs w:val="21"/>
              </w:rPr>
            </w:pPr>
          </w:p>
        </w:tc>
        <w:tc>
          <w:tcPr>
            <w:tcW w:w="3300" w:type="dxa"/>
            <w:vAlign w:val="center"/>
          </w:tcPr>
          <w:p>
            <w:pPr>
              <w:widowControl/>
              <w:spacing w:line="360" w:lineRule="auto"/>
              <w:jc w:val="center"/>
              <w:rPr>
                <w:rFonts w:ascii="宋体" w:hAnsi="宋体" w:cs="宋体"/>
                <w:color w:val="auto"/>
                <w:kern w:val="0"/>
                <w:szCs w:val="21"/>
              </w:rPr>
            </w:pPr>
          </w:p>
        </w:tc>
        <w:tc>
          <w:tcPr>
            <w:tcW w:w="2145" w:type="dxa"/>
            <w:vAlign w:val="center"/>
          </w:tcPr>
          <w:p>
            <w:pPr>
              <w:spacing w:line="360" w:lineRule="auto"/>
              <w:jc w:val="left"/>
              <w:rPr>
                <w:rFonts w:ascii="宋体" w:hAnsi="宋体" w:cs="宋体"/>
                <w:color w:val="auto"/>
                <w:szCs w:val="21"/>
              </w:rPr>
            </w:pPr>
          </w:p>
        </w:tc>
        <w:tc>
          <w:tcPr>
            <w:tcW w:w="2109" w:type="dxa"/>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10" w:type="dxa"/>
            <w:vMerge w:val="continue"/>
            <w:vAlign w:val="center"/>
          </w:tcPr>
          <w:p>
            <w:pPr>
              <w:spacing w:line="360" w:lineRule="auto"/>
              <w:rPr>
                <w:rFonts w:ascii="宋体" w:hAnsi="宋体" w:cs="宋体"/>
                <w:color w:val="auto"/>
                <w:szCs w:val="21"/>
              </w:rPr>
            </w:pPr>
          </w:p>
        </w:tc>
        <w:tc>
          <w:tcPr>
            <w:tcW w:w="3300" w:type="dxa"/>
            <w:vAlign w:val="center"/>
          </w:tcPr>
          <w:p>
            <w:pPr>
              <w:widowControl/>
              <w:spacing w:line="360" w:lineRule="auto"/>
              <w:jc w:val="center"/>
              <w:rPr>
                <w:rFonts w:ascii="宋体" w:hAnsi="宋体" w:cs="宋体"/>
                <w:color w:val="auto"/>
                <w:kern w:val="0"/>
                <w:szCs w:val="21"/>
              </w:rPr>
            </w:pPr>
          </w:p>
        </w:tc>
        <w:tc>
          <w:tcPr>
            <w:tcW w:w="2145" w:type="dxa"/>
            <w:vAlign w:val="center"/>
          </w:tcPr>
          <w:p>
            <w:pPr>
              <w:spacing w:line="360" w:lineRule="auto"/>
              <w:jc w:val="left"/>
              <w:rPr>
                <w:rFonts w:ascii="宋体" w:hAnsi="宋体" w:cs="宋体"/>
                <w:color w:val="auto"/>
                <w:szCs w:val="21"/>
              </w:rPr>
            </w:pPr>
          </w:p>
        </w:tc>
        <w:tc>
          <w:tcPr>
            <w:tcW w:w="2109" w:type="dxa"/>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210" w:type="dxa"/>
            <w:vMerge w:val="continue"/>
            <w:vAlign w:val="center"/>
          </w:tcPr>
          <w:p>
            <w:pPr>
              <w:spacing w:line="360" w:lineRule="auto"/>
              <w:rPr>
                <w:rFonts w:ascii="宋体" w:hAnsi="宋体" w:cs="宋体"/>
                <w:color w:val="auto"/>
                <w:szCs w:val="21"/>
              </w:rPr>
            </w:pPr>
          </w:p>
        </w:tc>
        <w:tc>
          <w:tcPr>
            <w:tcW w:w="3300" w:type="dxa"/>
            <w:vAlign w:val="center"/>
          </w:tcPr>
          <w:p>
            <w:pPr>
              <w:widowControl/>
              <w:spacing w:line="360" w:lineRule="auto"/>
              <w:jc w:val="center"/>
              <w:rPr>
                <w:rFonts w:ascii="宋体" w:hAnsi="宋体" w:cs="宋体"/>
                <w:color w:val="auto"/>
                <w:kern w:val="0"/>
                <w:szCs w:val="21"/>
              </w:rPr>
            </w:pPr>
          </w:p>
        </w:tc>
        <w:tc>
          <w:tcPr>
            <w:tcW w:w="2145" w:type="dxa"/>
            <w:vAlign w:val="center"/>
          </w:tcPr>
          <w:p>
            <w:pPr>
              <w:spacing w:line="360" w:lineRule="auto"/>
              <w:jc w:val="left"/>
              <w:rPr>
                <w:rFonts w:ascii="宋体" w:hAnsi="宋体" w:cs="宋体"/>
                <w:color w:val="auto"/>
                <w:szCs w:val="21"/>
              </w:rPr>
            </w:pPr>
          </w:p>
        </w:tc>
        <w:tc>
          <w:tcPr>
            <w:tcW w:w="2109" w:type="dxa"/>
            <w:vAlign w:val="center"/>
          </w:tcPr>
          <w:p>
            <w:pPr>
              <w:spacing w:line="360" w:lineRule="auto"/>
              <w:jc w:val="center"/>
              <w:rPr>
                <w:rFonts w:ascii="宋体" w:hAnsi="宋体" w:cs="宋体"/>
                <w:b/>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510" w:type="dxa"/>
            <w:gridSpan w:val="2"/>
            <w:vAlign w:val="center"/>
          </w:tcPr>
          <w:p>
            <w:pPr>
              <w:spacing w:line="380" w:lineRule="exact"/>
              <w:jc w:val="center"/>
              <w:rPr>
                <w:rFonts w:ascii="宋体" w:hAnsi="宋体" w:cs="宋体"/>
                <w:color w:val="auto"/>
                <w:sz w:val="24"/>
              </w:rPr>
            </w:pPr>
            <w:r>
              <w:rPr>
                <w:rFonts w:hint="eastAsia" w:ascii="宋体" w:hAnsi="宋体" w:cs="宋体"/>
                <w:bCs/>
                <w:color w:val="auto"/>
                <w:sz w:val="24"/>
              </w:rPr>
              <w:t>合计（满分X分）</w:t>
            </w:r>
          </w:p>
        </w:tc>
        <w:tc>
          <w:tcPr>
            <w:tcW w:w="4254" w:type="dxa"/>
            <w:gridSpan w:val="2"/>
            <w:vAlign w:val="center"/>
          </w:tcPr>
          <w:p>
            <w:pPr>
              <w:spacing w:line="360" w:lineRule="auto"/>
              <w:jc w:val="center"/>
              <w:rPr>
                <w:rFonts w:ascii="宋体" w:hAnsi="宋体" w:cs="宋体"/>
                <w:b/>
                <w:bCs/>
                <w:color w:val="auto"/>
                <w:sz w:val="24"/>
              </w:rPr>
            </w:pPr>
          </w:p>
        </w:tc>
      </w:tr>
    </w:tbl>
    <w:p>
      <w:pPr>
        <w:pStyle w:val="34"/>
        <w:snapToGrid w:val="0"/>
        <w:spacing w:beforeLines="10" w:afterLines="10"/>
        <w:rPr>
          <w:rFonts w:hAnsi="宋体" w:cs="宋体"/>
          <w:color w:val="auto"/>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p>
    <w:p>
      <w:pPr>
        <w:pStyle w:val="962"/>
        <w:spacing w:line="360" w:lineRule="auto"/>
        <w:jc w:val="center"/>
        <w:rPr>
          <w:rFonts w:hAnsi="宋体" w:eastAsia="宋体" w:cs="宋体"/>
          <w:b/>
          <w:color w:val="auto"/>
          <w:sz w:val="24"/>
          <w:szCs w:val="24"/>
        </w:rPr>
      </w:pPr>
      <w:r>
        <w:rPr>
          <w:rFonts w:hint="eastAsia" w:hAnsi="宋体" w:eastAsia="宋体" w:cs="宋体"/>
          <w:b/>
          <w:color w:val="auto"/>
          <w:sz w:val="24"/>
          <w:szCs w:val="24"/>
        </w:rPr>
        <w:t>同类业绩一览表</w:t>
      </w:r>
    </w:p>
    <w:tbl>
      <w:tblPr>
        <w:tblStyle w:val="63"/>
        <w:tblW w:w="90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330"/>
        <w:gridCol w:w="1511"/>
        <w:gridCol w:w="1259"/>
        <w:gridCol w:w="943"/>
        <w:gridCol w:w="818"/>
        <w:gridCol w:w="1331"/>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5" w:type="dxa"/>
            <w:vAlign w:val="center"/>
          </w:tcPr>
          <w:p>
            <w:pPr>
              <w:jc w:val="center"/>
              <w:rPr>
                <w:rFonts w:ascii="宋体" w:hAnsi="宋体" w:cs="宋体"/>
                <w:b/>
                <w:color w:val="auto"/>
                <w:szCs w:val="21"/>
              </w:rPr>
            </w:pPr>
            <w:r>
              <w:rPr>
                <w:rFonts w:hint="eastAsia" w:ascii="宋体" w:hAnsi="宋体" w:cs="宋体"/>
                <w:b/>
                <w:color w:val="auto"/>
                <w:szCs w:val="21"/>
              </w:rPr>
              <w:t>序号</w:t>
            </w:r>
          </w:p>
        </w:tc>
        <w:tc>
          <w:tcPr>
            <w:tcW w:w="1330" w:type="dxa"/>
            <w:vAlign w:val="center"/>
          </w:tcPr>
          <w:p>
            <w:pPr>
              <w:jc w:val="center"/>
              <w:rPr>
                <w:rFonts w:hint="eastAsia" w:ascii="宋体" w:hAnsi="宋体" w:eastAsia="宋体" w:cs="宋体"/>
                <w:b/>
                <w:color w:val="auto"/>
                <w:szCs w:val="21"/>
                <w:lang w:eastAsia="zh-CN"/>
              </w:rPr>
            </w:pPr>
            <w:r>
              <w:rPr>
                <w:rFonts w:hint="eastAsia" w:ascii="宋体" w:hAnsi="宋体" w:cs="宋体"/>
                <w:b/>
                <w:color w:val="auto"/>
                <w:szCs w:val="21"/>
              </w:rPr>
              <w:t>采购人</w:t>
            </w:r>
          </w:p>
          <w:p>
            <w:pPr>
              <w:jc w:val="center"/>
              <w:rPr>
                <w:rFonts w:ascii="宋体" w:hAnsi="宋体" w:cs="宋体"/>
                <w:b/>
                <w:color w:val="auto"/>
                <w:szCs w:val="21"/>
              </w:rPr>
            </w:pPr>
            <w:r>
              <w:rPr>
                <w:rFonts w:hint="eastAsia" w:ascii="宋体" w:hAnsi="宋体" w:cs="宋体"/>
                <w:b/>
                <w:color w:val="auto"/>
                <w:szCs w:val="21"/>
              </w:rPr>
              <w:t>名   称</w:t>
            </w:r>
          </w:p>
        </w:tc>
        <w:tc>
          <w:tcPr>
            <w:tcW w:w="1511" w:type="dxa"/>
            <w:vAlign w:val="center"/>
          </w:tcPr>
          <w:p>
            <w:pPr>
              <w:tabs>
                <w:tab w:val="left" w:pos="6252"/>
              </w:tabs>
              <w:spacing w:line="360" w:lineRule="auto"/>
              <w:jc w:val="center"/>
              <w:rPr>
                <w:rFonts w:ascii="宋体" w:hAnsi="宋体" w:cs="宋体"/>
                <w:b/>
                <w:color w:val="auto"/>
                <w:szCs w:val="21"/>
              </w:rPr>
            </w:pPr>
            <w:r>
              <w:rPr>
                <w:rFonts w:hint="eastAsia" w:ascii="宋体" w:hAnsi="宋体" w:cs="宋体"/>
                <w:b/>
                <w:color w:val="auto"/>
                <w:szCs w:val="21"/>
              </w:rPr>
              <w:t>项目起止时间</w:t>
            </w:r>
          </w:p>
        </w:tc>
        <w:tc>
          <w:tcPr>
            <w:tcW w:w="1259" w:type="dxa"/>
            <w:vAlign w:val="center"/>
          </w:tcPr>
          <w:p>
            <w:pPr>
              <w:tabs>
                <w:tab w:val="left" w:pos="6252"/>
              </w:tabs>
              <w:spacing w:line="360" w:lineRule="auto"/>
              <w:jc w:val="center"/>
              <w:rPr>
                <w:rFonts w:ascii="宋体" w:hAnsi="宋体" w:cs="宋体"/>
                <w:b/>
                <w:color w:val="auto"/>
                <w:szCs w:val="21"/>
              </w:rPr>
            </w:pPr>
            <w:r>
              <w:rPr>
                <w:rFonts w:hint="eastAsia" w:ascii="宋体" w:hAnsi="宋体" w:cs="宋体"/>
                <w:b/>
                <w:color w:val="auto"/>
                <w:szCs w:val="21"/>
              </w:rPr>
              <w:t>设备或项目名称</w:t>
            </w:r>
          </w:p>
        </w:tc>
        <w:tc>
          <w:tcPr>
            <w:tcW w:w="943" w:type="dxa"/>
            <w:vAlign w:val="center"/>
          </w:tcPr>
          <w:p>
            <w:pPr>
              <w:tabs>
                <w:tab w:val="left" w:pos="6252"/>
              </w:tabs>
              <w:spacing w:line="360" w:lineRule="auto"/>
              <w:jc w:val="center"/>
              <w:rPr>
                <w:rFonts w:hint="eastAsia" w:ascii="宋体" w:hAnsi="宋体" w:eastAsia="宋体" w:cs="宋体"/>
                <w:b/>
                <w:color w:val="auto"/>
                <w:szCs w:val="21"/>
                <w:lang w:eastAsia="zh-CN"/>
              </w:rPr>
            </w:pPr>
            <w:r>
              <w:rPr>
                <w:rFonts w:hint="eastAsia" w:ascii="宋体" w:hAnsi="宋体" w:cs="宋体"/>
                <w:b/>
                <w:color w:val="auto"/>
                <w:szCs w:val="21"/>
              </w:rPr>
              <w:t>采购</w:t>
            </w:r>
          </w:p>
          <w:p>
            <w:pPr>
              <w:tabs>
                <w:tab w:val="left" w:pos="6252"/>
              </w:tabs>
              <w:spacing w:line="360" w:lineRule="auto"/>
              <w:jc w:val="center"/>
              <w:rPr>
                <w:rFonts w:ascii="宋体" w:hAnsi="宋体" w:cs="宋体"/>
                <w:b/>
                <w:color w:val="auto"/>
                <w:szCs w:val="21"/>
              </w:rPr>
            </w:pPr>
            <w:r>
              <w:rPr>
                <w:rFonts w:hint="eastAsia" w:ascii="宋体" w:hAnsi="宋体" w:cs="宋体"/>
                <w:b/>
                <w:color w:val="auto"/>
                <w:szCs w:val="21"/>
              </w:rPr>
              <w:t>数量</w:t>
            </w:r>
          </w:p>
        </w:tc>
        <w:tc>
          <w:tcPr>
            <w:tcW w:w="818" w:type="dxa"/>
            <w:vAlign w:val="center"/>
          </w:tcPr>
          <w:p>
            <w:pPr>
              <w:tabs>
                <w:tab w:val="left" w:pos="6252"/>
              </w:tabs>
              <w:spacing w:line="360" w:lineRule="auto"/>
              <w:jc w:val="center"/>
              <w:rPr>
                <w:rFonts w:ascii="宋体" w:hAnsi="宋体" w:cs="宋体"/>
                <w:b/>
                <w:color w:val="auto"/>
                <w:szCs w:val="21"/>
              </w:rPr>
            </w:pPr>
            <w:r>
              <w:rPr>
                <w:rFonts w:hint="eastAsia" w:ascii="宋体" w:hAnsi="宋体" w:cs="宋体"/>
                <w:b/>
                <w:color w:val="auto"/>
                <w:szCs w:val="21"/>
              </w:rPr>
              <w:t>单价</w:t>
            </w:r>
          </w:p>
        </w:tc>
        <w:tc>
          <w:tcPr>
            <w:tcW w:w="1331" w:type="dxa"/>
            <w:vAlign w:val="center"/>
          </w:tcPr>
          <w:p>
            <w:pPr>
              <w:tabs>
                <w:tab w:val="left" w:pos="6252"/>
              </w:tabs>
              <w:spacing w:line="360" w:lineRule="auto"/>
              <w:jc w:val="center"/>
              <w:rPr>
                <w:rFonts w:ascii="宋体" w:hAnsi="宋体" w:cs="宋体"/>
                <w:b/>
                <w:color w:val="auto"/>
                <w:szCs w:val="21"/>
              </w:rPr>
            </w:pPr>
            <w:r>
              <w:rPr>
                <w:rFonts w:hint="eastAsia" w:ascii="宋体" w:hAnsi="宋体" w:cs="宋体"/>
                <w:b/>
                <w:color w:val="auto"/>
                <w:szCs w:val="21"/>
              </w:rPr>
              <w:t>合同金额</w:t>
            </w:r>
          </w:p>
          <w:p>
            <w:pPr>
              <w:tabs>
                <w:tab w:val="left" w:pos="6252"/>
              </w:tabs>
              <w:spacing w:line="360" w:lineRule="auto"/>
              <w:jc w:val="center"/>
              <w:rPr>
                <w:rFonts w:ascii="宋体" w:hAnsi="宋体" w:cs="宋体"/>
                <w:b/>
                <w:color w:val="auto"/>
                <w:szCs w:val="21"/>
              </w:rPr>
            </w:pPr>
            <w:r>
              <w:rPr>
                <w:rFonts w:hint="eastAsia" w:ascii="宋体" w:hAnsi="宋体" w:cs="宋体"/>
                <w:b/>
                <w:color w:val="auto"/>
                <w:szCs w:val="21"/>
              </w:rPr>
              <w:t>（万元）</w:t>
            </w:r>
          </w:p>
        </w:tc>
        <w:tc>
          <w:tcPr>
            <w:tcW w:w="1378" w:type="dxa"/>
            <w:vAlign w:val="center"/>
          </w:tcPr>
          <w:p>
            <w:pPr>
              <w:tabs>
                <w:tab w:val="left" w:pos="6252"/>
              </w:tabs>
              <w:spacing w:line="360" w:lineRule="auto"/>
              <w:jc w:val="center"/>
              <w:rPr>
                <w:rFonts w:ascii="宋体" w:hAnsi="宋体" w:cs="宋体"/>
                <w:b/>
                <w:color w:val="auto"/>
                <w:szCs w:val="21"/>
              </w:rPr>
            </w:pPr>
            <w:r>
              <w:rPr>
                <w:rFonts w:hint="eastAsia" w:ascii="宋体" w:hAnsi="宋体" w:cs="宋体"/>
                <w:b/>
                <w:color w:val="auto"/>
                <w:szCs w:val="21"/>
              </w:rPr>
              <w:t>采购人联系人及联系电话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475"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330" w:type="dxa"/>
            <w:vAlign w:val="center"/>
          </w:tcPr>
          <w:p>
            <w:pPr>
              <w:jc w:val="center"/>
              <w:rPr>
                <w:rFonts w:ascii="宋体" w:hAnsi="宋体" w:cs="宋体"/>
                <w:color w:val="auto"/>
                <w:szCs w:val="21"/>
              </w:rPr>
            </w:pPr>
          </w:p>
        </w:tc>
        <w:tc>
          <w:tcPr>
            <w:tcW w:w="1511" w:type="dxa"/>
          </w:tcPr>
          <w:p>
            <w:pPr>
              <w:jc w:val="center"/>
              <w:rPr>
                <w:rFonts w:ascii="宋体" w:hAnsi="宋体" w:cs="宋体"/>
                <w:color w:val="auto"/>
                <w:szCs w:val="21"/>
              </w:rPr>
            </w:pPr>
          </w:p>
        </w:tc>
        <w:tc>
          <w:tcPr>
            <w:tcW w:w="1259" w:type="dxa"/>
          </w:tcPr>
          <w:p>
            <w:pPr>
              <w:jc w:val="center"/>
              <w:rPr>
                <w:rFonts w:ascii="宋体" w:hAnsi="宋体" w:cs="宋体"/>
                <w:color w:val="auto"/>
                <w:szCs w:val="21"/>
              </w:rPr>
            </w:pPr>
          </w:p>
        </w:tc>
        <w:tc>
          <w:tcPr>
            <w:tcW w:w="943" w:type="dxa"/>
          </w:tcPr>
          <w:p>
            <w:pPr>
              <w:jc w:val="center"/>
              <w:rPr>
                <w:rFonts w:ascii="宋体" w:hAnsi="宋体" w:cs="宋体"/>
                <w:color w:val="auto"/>
                <w:szCs w:val="21"/>
              </w:rPr>
            </w:pPr>
          </w:p>
        </w:tc>
        <w:tc>
          <w:tcPr>
            <w:tcW w:w="818" w:type="dxa"/>
          </w:tcPr>
          <w:p>
            <w:pPr>
              <w:jc w:val="center"/>
              <w:rPr>
                <w:rFonts w:ascii="宋体" w:hAnsi="宋体" w:cs="宋体"/>
                <w:color w:val="auto"/>
                <w:szCs w:val="21"/>
              </w:rPr>
            </w:pPr>
          </w:p>
        </w:tc>
        <w:tc>
          <w:tcPr>
            <w:tcW w:w="1331" w:type="dxa"/>
            <w:vAlign w:val="center"/>
          </w:tcPr>
          <w:p>
            <w:pPr>
              <w:jc w:val="center"/>
              <w:rPr>
                <w:rFonts w:ascii="宋体" w:hAnsi="宋体" w:cs="宋体"/>
                <w:color w:val="auto"/>
                <w:szCs w:val="21"/>
              </w:rPr>
            </w:pPr>
          </w:p>
        </w:tc>
        <w:tc>
          <w:tcPr>
            <w:tcW w:w="1378"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475"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330" w:type="dxa"/>
            <w:vAlign w:val="center"/>
          </w:tcPr>
          <w:p>
            <w:pPr>
              <w:jc w:val="center"/>
              <w:rPr>
                <w:rFonts w:ascii="宋体" w:hAnsi="宋体" w:cs="宋体"/>
                <w:color w:val="auto"/>
                <w:szCs w:val="21"/>
              </w:rPr>
            </w:pPr>
          </w:p>
        </w:tc>
        <w:tc>
          <w:tcPr>
            <w:tcW w:w="1511" w:type="dxa"/>
          </w:tcPr>
          <w:p>
            <w:pPr>
              <w:jc w:val="center"/>
              <w:rPr>
                <w:rFonts w:ascii="宋体" w:hAnsi="宋体" w:cs="宋体"/>
                <w:color w:val="auto"/>
                <w:szCs w:val="21"/>
              </w:rPr>
            </w:pPr>
          </w:p>
        </w:tc>
        <w:tc>
          <w:tcPr>
            <w:tcW w:w="1259" w:type="dxa"/>
          </w:tcPr>
          <w:p>
            <w:pPr>
              <w:jc w:val="center"/>
              <w:rPr>
                <w:rFonts w:ascii="宋体" w:hAnsi="宋体" w:cs="宋体"/>
                <w:color w:val="auto"/>
                <w:szCs w:val="21"/>
              </w:rPr>
            </w:pPr>
          </w:p>
        </w:tc>
        <w:tc>
          <w:tcPr>
            <w:tcW w:w="943" w:type="dxa"/>
          </w:tcPr>
          <w:p>
            <w:pPr>
              <w:jc w:val="center"/>
              <w:rPr>
                <w:rFonts w:ascii="宋体" w:hAnsi="宋体" w:cs="宋体"/>
                <w:color w:val="auto"/>
                <w:szCs w:val="21"/>
              </w:rPr>
            </w:pPr>
          </w:p>
        </w:tc>
        <w:tc>
          <w:tcPr>
            <w:tcW w:w="818" w:type="dxa"/>
          </w:tcPr>
          <w:p>
            <w:pPr>
              <w:jc w:val="center"/>
              <w:rPr>
                <w:rFonts w:ascii="宋体" w:hAnsi="宋体" w:cs="宋体"/>
                <w:color w:val="auto"/>
                <w:szCs w:val="21"/>
              </w:rPr>
            </w:pPr>
          </w:p>
        </w:tc>
        <w:tc>
          <w:tcPr>
            <w:tcW w:w="1331" w:type="dxa"/>
            <w:vAlign w:val="center"/>
          </w:tcPr>
          <w:p>
            <w:pPr>
              <w:jc w:val="center"/>
              <w:rPr>
                <w:rFonts w:ascii="宋体" w:hAnsi="宋体" w:cs="宋体"/>
                <w:color w:val="auto"/>
                <w:szCs w:val="21"/>
              </w:rPr>
            </w:pPr>
          </w:p>
        </w:tc>
        <w:tc>
          <w:tcPr>
            <w:tcW w:w="1378"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475"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330" w:type="dxa"/>
            <w:vAlign w:val="center"/>
          </w:tcPr>
          <w:p>
            <w:pPr>
              <w:jc w:val="center"/>
              <w:rPr>
                <w:rFonts w:ascii="宋体" w:hAnsi="宋体" w:cs="宋体"/>
                <w:color w:val="auto"/>
                <w:szCs w:val="21"/>
              </w:rPr>
            </w:pPr>
          </w:p>
        </w:tc>
        <w:tc>
          <w:tcPr>
            <w:tcW w:w="1511" w:type="dxa"/>
          </w:tcPr>
          <w:p>
            <w:pPr>
              <w:jc w:val="center"/>
              <w:rPr>
                <w:rFonts w:ascii="宋体" w:hAnsi="宋体" w:cs="宋体"/>
                <w:color w:val="auto"/>
                <w:szCs w:val="21"/>
              </w:rPr>
            </w:pPr>
          </w:p>
        </w:tc>
        <w:tc>
          <w:tcPr>
            <w:tcW w:w="1259" w:type="dxa"/>
          </w:tcPr>
          <w:p>
            <w:pPr>
              <w:jc w:val="center"/>
              <w:rPr>
                <w:rFonts w:ascii="宋体" w:hAnsi="宋体" w:cs="宋体"/>
                <w:color w:val="auto"/>
                <w:szCs w:val="21"/>
              </w:rPr>
            </w:pPr>
          </w:p>
        </w:tc>
        <w:tc>
          <w:tcPr>
            <w:tcW w:w="943" w:type="dxa"/>
          </w:tcPr>
          <w:p>
            <w:pPr>
              <w:jc w:val="center"/>
              <w:rPr>
                <w:rFonts w:ascii="宋体" w:hAnsi="宋体" w:cs="宋体"/>
                <w:color w:val="auto"/>
                <w:szCs w:val="21"/>
              </w:rPr>
            </w:pPr>
          </w:p>
        </w:tc>
        <w:tc>
          <w:tcPr>
            <w:tcW w:w="818" w:type="dxa"/>
          </w:tcPr>
          <w:p>
            <w:pPr>
              <w:jc w:val="center"/>
              <w:rPr>
                <w:rFonts w:ascii="宋体" w:hAnsi="宋体" w:cs="宋体"/>
                <w:color w:val="auto"/>
                <w:szCs w:val="21"/>
              </w:rPr>
            </w:pPr>
          </w:p>
        </w:tc>
        <w:tc>
          <w:tcPr>
            <w:tcW w:w="1331" w:type="dxa"/>
            <w:vAlign w:val="center"/>
          </w:tcPr>
          <w:p>
            <w:pPr>
              <w:jc w:val="center"/>
              <w:rPr>
                <w:rFonts w:ascii="宋体" w:hAnsi="宋体" w:cs="宋体"/>
                <w:color w:val="auto"/>
                <w:szCs w:val="21"/>
              </w:rPr>
            </w:pPr>
          </w:p>
        </w:tc>
        <w:tc>
          <w:tcPr>
            <w:tcW w:w="1378" w:type="dxa"/>
            <w:vAlign w:val="center"/>
          </w:tcPr>
          <w:p>
            <w:pPr>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475" w:type="dxa"/>
            <w:vAlign w:val="center"/>
          </w:tcPr>
          <w:p>
            <w:pPr>
              <w:jc w:val="center"/>
              <w:rPr>
                <w:rFonts w:ascii="宋体" w:hAnsi="宋体" w:cs="宋体"/>
                <w:color w:val="auto"/>
                <w:szCs w:val="21"/>
              </w:rPr>
            </w:pPr>
            <w:r>
              <w:rPr>
                <w:rFonts w:hint="eastAsia" w:ascii="宋体" w:hAnsi="宋体" w:cs="宋体"/>
                <w:color w:val="auto"/>
                <w:szCs w:val="21"/>
              </w:rPr>
              <w:t>…</w:t>
            </w:r>
          </w:p>
        </w:tc>
        <w:tc>
          <w:tcPr>
            <w:tcW w:w="1330" w:type="dxa"/>
            <w:vAlign w:val="center"/>
          </w:tcPr>
          <w:p>
            <w:pPr>
              <w:jc w:val="center"/>
              <w:rPr>
                <w:rFonts w:ascii="宋体" w:hAnsi="宋体" w:cs="宋体"/>
                <w:color w:val="auto"/>
                <w:szCs w:val="21"/>
              </w:rPr>
            </w:pPr>
          </w:p>
        </w:tc>
        <w:tc>
          <w:tcPr>
            <w:tcW w:w="1511" w:type="dxa"/>
          </w:tcPr>
          <w:p>
            <w:pPr>
              <w:jc w:val="center"/>
              <w:rPr>
                <w:rFonts w:ascii="宋体" w:hAnsi="宋体" w:cs="宋体"/>
                <w:color w:val="auto"/>
                <w:szCs w:val="21"/>
              </w:rPr>
            </w:pPr>
          </w:p>
        </w:tc>
        <w:tc>
          <w:tcPr>
            <w:tcW w:w="1259" w:type="dxa"/>
          </w:tcPr>
          <w:p>
            <w:pPr>
              <w:jc w:val="center"/>
              <w:rPr>
                <w:rFonts w:ascii="宋体" w:hAnsi="宋体" w:cs="宋体"/>
                <w:color w:val="auto"/>
                <w:szCs w:val="21"/>
              </w:rPr>
            </w:pPr>
          </w:p>
        </w:tc>
        <w:tc>
          <w:tcPr>
            <w:tcW w:w="943" w:type="dxa"/>
          </w:tcPr>
          <w:p>
            <w:pPr>
              <w:jc w:val="center"/>
              <w:rPr>
                <w:rFonts w:ascii="宋体" w:hAnsi="宋体" w:cs="宋体"/>
                <w:color w:val="auto"/>
                <w:szCs w:val="21"/>
              </w:rPr>
            </w:pPr>
          </w:p>
        </w:tc>
        <w:tc>
          <w:tcPr>
            <w:tcW w:w="818" w:type="dxa"/>
          </w:tcPr>
          <w:p>
            <w:pPr>
              <w:jc w:val="center"/>
              <w:rPr>
                <w:rFonts w:ascii="宋体" w:hAnsi="宋体" w:cs="宋体"/>
                <w:color w:val="auto"/>
                <w:szCs w:val="21"/>
              </w:rPr>
            </w:pPr>
          </w:p>
        </w:tc>
        <w:tc>
          <w:tcPr>
            <w:tcW w:w="1331" w:type="dxa"/>
            <w:vAlign w:val="center"/>
          </w:tcPr>
          <w:p>
            <w:pPr>
              <w:jc w:val="center"/>
              <w:rPr>
                <w:rFonts w:ascii="宋体" w:hAnsi="宋体" w:cs="宋体"/>
                <w:color w:val="auto"/>
                <w:szCs w:val="21"/>
              </w:rPr>
            </w:pPr>
          </w:p>
        </w:tc>
        <w:tc>
          <w:tcPr>
            <w:tcW w:w="1378" w:type="dxa"/>
            <w:vAlign w:val="center"/>
          </w:tcPr>
          <w:p>
            <w:pPr>
              <w:jc w:val="center"/>
              <w:rPr>
                <w:rFonts w:ascii="宋体" w:hAnsi="宋体" w:cs="宋体"/>
                <w:color w:val="auto"/>
                <w:szCs w:val="21"/>
              </w:rPr>
            </w:pPr>
          </w:p>
        </w:tc>
      </w:tr>
    </w:tbl>
    <w:p>
      <w:pPr>
        <w:snapToGrid w:val="0"/>
        <w:spacing w:beforeLines="50" w:line="400" w:lineRule="exact"/>
        <w:ind w:firstLine="200"/>
        <w:rPr>
          <w:rFonts w:ascii="宋体" w:hAnsi="宋体" w:cs="宋体"/>
          <w:b/>
          <w:color w:val="auto"/>
          <w:szCs w:val="21"/>
        </w:rPr>
      </w:pPr>
      <w:r>
        <w:rPr>
          <w:rFonts w:hint="eastAsia" w:ascii="宋体" w:hAnsi="宋体" w:cs="宋体"/>
          <w:b/>
          <w:color w:val="auto"/>
          <w:szCs w:val="21"/>
        </w:rPr>
        <w:t>注：附合同、验收材料</w:t>
      </w:r>
    </w:p>
    <w:p>
      <w:pPr>
        <w:pStyle w:val="34"/>
        <w:snapToGrid w:val="0"/>
        <w:spacing w:beforeLines="10" w:afterLines="10"/>
        <w:ind w:right="960"/>
        <w:jc w:val="right"/>
        <w:rPr>
          <w:rFonts w:hAnsi="宋体" w:cs="宋体"/>
          <w:color w:val="auto"/>
        </w:rPr>
      </w:pPr>
      <w:r>
        <w:rPr>
          <w:rFonts w:hint="eastAsia" w:hAnsi="宋体" w:cs="宋体"/>
          <w:color w:val="auto"/>
        </w:rPr>
        <w:t>法定代表人或授权委托人（签名）：            投标人（加盖公章）：                                          年    月    日</w:t>
      </w:r>
    </w:p>
    <w:p>
      <w:pPr>
        <w:spacing w:line="360" w:lineRule="auto"/>
        <w:rPr>
          <w:rFonts w:ascii="宋体" w:hAnsi="宋体" w:cs="宋体"/>
          <w:color w:val="auto"/>
          <w:sz w:val="24"/>
        </w:rPr>
      </w:pPr>
    </w:p>
    <w:p>
      <w:pPr>
        <w:pStyle w:val="5"/>
        <w:rPr>
          <w:rFonts w:ascii="宋体" w:hAnsi="宋体" w:cs="宋体"/>
          <w:color w:val="auto"/>
          <w:sz w:val="24"/>
        </w:rPr>
      </w:pPr>
    </w:p>
    <w:p>
      <w:pPr>
        <w:pStyle w:val="80"/>
        <w:ind w:left="420" w:firstLine="480"/>
        <w:rPr>
          <w:color w:val="auto"/>
        </w:rPr>
      </w:pPr>
    </w:p>
    <w:p>
      <w:pPr>
        <w:pStyle w:val="962"/>
        <w:spacing w:line="360" w:lineRule="auto"/>
        <w:jc w:val="center"/>
        <w:rPr>
          <w:rFonts w:hAnsi="宋体" w:eastAsia="宋体"/>
          <w:b/>
          <w:color w:val="auto"/>
          <w:sz w:val="28"/>
          <w:szCs w:val="28"/>
        </w:rPr>
      </w:pPr>
      <w:r>
        <w:rPr>
          <w:rFonts w:hint="eastAsia" w:hAnsi="宋体" w:eastAsia="宋体"/>
          <w:b/>
          <w:color w:val="auto"/>
          <w:sz w:val="28"/>
          <w:szCs w:val="28"/>
        </w:rPr>
        <w:t>商务响应表</w:t>
      </w:r>
    </w:p>
    <w:p>
      <w:pPr>
        <w:ind w:firstLine="210" w:firstLineChars="100"/>
        <w:rPr>
          <w:rFonts w:ascii="宋体" w:hAnsi="宋体"/>
          <w:color w:val="auto"/>
          <w:szCs w:val="21"/>
        </w:rPr>
      </w:pPr>
      <w:r>
        <w:rPr>
          <w:rFonts w:hint="eastAsia" w:ascii="宋体" w:hAnsi="宋体"/>
          <w:color w:val="auto"/>
          <w:szCs w:val="21"/>
        </w:rPr>
        <w:t>单位名称（盖章）：</w:t>
      </w:r>
    </w:p>
    <w:tbl>
      <w:tblPr>
        <w:tblStyle w:val="63"/>
        <w:tblW w:w="8493" w:type="dxa"/>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086"/>
        <w:gridCol w:w="1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910" w:type="dxa"/>
          </w:tcPr>
          <w:p>
            <w:pPr>
              <w:spacing w:before="240" w:after="240"/>
              <w:jc w:val="center"/>
              <w:rPr>
                <w:rFonts w:ascii="宋体" w:hAnsi="宋体"/>
                <w:color w:val="auto"/>
                <w:szCs w:val="21"/>
              </w:rPr>
            </w:pPr>
            <w:r>
              <w:rPr>
                <w:rFonts w:hint="eastAsia" w:ascii="宋体" w:hAnsi="宋体"/>
                <w:color w:val="auto"/>
                <w:szCs w:val="21"/>
              </w:rPr>
              <w:t>序号</w:t>
            </w:r>
          </w:p>
        </w:tc>
        <w:tc>
          <w:tcPr>
            <w:tcW w:w="3086" w:type="dxa"/>
          </w:tcPr>
          <w:p>
            <w:pPr>
              <w:spacing w:before="240" w:after="240"/>
              <w:jc w:val="center"/>
              <w:rPr>
                <w:rFonts w:ascii="宋体" w:hAnsi="宋体"/>
                <w:color w:val="auto"/>
                <w:szCs w:val="21"/>
              </w:rPr>
            </w:pPr>
            <w:r>
              <w:rPr>
                <w:rFonts w:hint="eastAsia" w:ascii="宋体" w:hAnsi="宋体"/>
                <w:color w:val="auto"/>
                <w:szCs w:val="21"/>
              </w:rPr>
              <w:t>招标文件的规定</w:t>
            </w:r>
          </w:p>
        </w:tc>
        <w:tc>
          <w:tcPr>
            <w:tcW w:w="3086" w:type="dxa"/>
          </w:tcPr>
          <w:p>
            <w:pPr>
              <w:spacing w:before="240" w:after="240"/>
              <w:jc w:val="center"/>
              <w:rPr>
                <w:rFonts w:ascii="宋体" w:hAnsi="宋体"/>
                <w:color w:val="auto"/>
                <w:szCs w:val="21"/>
              </w:rPr>
            </w:pPr>
            <w:r>
              <w:rPr>
                <w:rFonts w:hint="eastAsia" w:ascii="宋体" w:hAnsi="宋体"/>
                <w:color w:val="auto"/>
                <w:szCs w:val="21"/>
              </w:rPr>
              <w:t>投标文件的相应</w:t>
            </w:r>
          </w:p>
        </w:tc>
        <w:tc>
          <w:tcPr>
            <w:tcW w:w="1411" w:type="dxa"/>
          </w:tcPr>
          <w:p>
            <w:pPr>
              <w:spacing w:before="240" w:after="240"/>
              <w:jc w:val="center"/>
              <w:rPr>
                <w:rFonts w:ascii="宋体" w:hAnsi="宋体"/>
                <w:color w:val="auto"/>
                <w:szCs w:val="21"/>
              </w:rPr>
            </w:pPr>
            <w:r>
              <w:rPr>
                <w:rFonts w:hint="eastAsia" w:ascii="宋体" w:hAnsi="宋体"/>
                <w:color w:val="auto"/>
                <w:szCs w:val="21"/>
              </w:rPr>
              <w:t>偏离说明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910" w:type="dxa"/>
          </w:tcPr>
          <w:p>
            <w:pPr>
              <w:spacing w:before="240" w:after="240"/>
              <w:rPr>
                <w:rFonts w:ascii="宋体" w:hAnsi="宋体"/>
                <w:color w:val="auto"/>
                <w:szCs w:val="21"/>
              </w:rPr>
            </w:pPr>
          </w:p>
        </w:tc>
        <w:tc>
          <w:tcPr>
            <w:tcW w:w="3086" w:type="dxa"/>
          </w:tcPr>
          <w:p>
            <w:pPr>
              <w:spacing w:before="240" w:after="240"/>
              <w:rPr>
                <w:rFonts w:ascii="宋体" w:hAnsi="宋体"/>
                <w:color w:val="auto"/>
                <w:szCs w:val="21"/>
              </w:rPr>
            </w:pPr>
          </w:p>
        </w:tc>
        <w:tc>
          <w:tcPr>
            <w:tcW w:w="3086" w:type="dxa"/>
          </w:tcPr>
          <w:p>
            <w:pPr>
              <w:spacing w:before="240" w:after="240"/>
              <w:rPr>
                <w:rFonts w:ascii="宋体" w:hAnsi="宋体"/>
                <w:color w:val="auto"/>
                <w:szCs w:val="21"/>
              </w:rPr>
            </w:pPr>
          </w:p>
        </w:tc>
        <w:tc>
          <w:tcPr>
            <w:tcW w:w="1411" w:type="dxa"/>
          </w:tcPr>
          <w:p>
            <w:pPr>
              <w:spacing w:before="240" w:after="24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910" w:type="dxa"/>
          </w:tcPr>
          <w:p>
            <w:pPr>
              <w:spacing w:before="240" w:after="240"/>
              <w:rPr>
                <w:rFonts w:ascii="宋体" w:hAnsi="宋体"/>
                <w:color w:val="auto"/>
                <w:szCs w:val="21"/>
              </w:rPr>
            </w:pPr>
          </w:p>
        </w:tc>
        <w:tc>
          <w:tcPr>
            <w:tcW w:w="3086" w:type="dxa"/>
          </w:tcPr>
          <w:p>
            <w:pPr>
              <w:spacing w:before="240" w:after="240"/>
              <w:rPr>
                <w:rFonts w:ascii="宋体" w:hAnsi="宋体"/>
                <w:color w:val="auto"/>
                <w:szCs w:val="21"/>
              </w:rPr>
            </w:pPr>
          </w:p>
        </w:tc>
        <w:tc>
          <w:tcPr>
            <w:tcW w:w="3086" w:type="dxa"/>
          </w:tcPr>
          <w:p>
            <w:pPr>
              <w:spacing w:before="240" w:after="240"/>
              <w:rPr>
                <w:rFonts w:ascii="宋体" w:hAnsi="宋体"/>
                <w:color w:val="auto"/>
                <w:szCs w:val="21"/>
              </w:rPr>
            </w:pPr>
          </w:p>
        </w:tc>
        <w:tc>
          <w:tcPr>
            <w:tcW w:w="1411" w:type="dxa"/>
          </w:tcPr>
          <w:p>
            <w:pPr>
              <w:spacing w:before="240" w:after="240"/>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910" w:type="dxa"/>
          </w:tcPr>
          <w:p>
            <w:pPr>
              <w:spacing w:before="240" w:after="240"/>
              <w:rPr>
                <w:rFonts w:ascii="宋体" w:hAnsi="宋体"/>
                <w:color w:val="auto"/>
                <w:szCs w:val="21"/>
              </w:rPr>
            </w:pPr>
          </w:p>
        </w:tc>
        <w:tc>
          <w:tcPr>
            <w:tcW w:w="3086" w:type="dxa"/>
          </w:tcPr>
          <w:p>
            <w:pPr>
              <w:spacing w:before="240" w:after="240"/>
              <w:rPr>
                <w:rFonts w:ascii="宋体" w:hAnsi="宋体"/>
                <w:color w:val="auto"/>
                <w:szCs w:val="21"/>
              </w:rPr>
            </w:pPr>
          </w:p>
        </w:tc>
        <w:tc>
          <w:tcPr>
            <w:tcW w:w="3086" w:type="dxa"/>
          </w:tcPr>
          <w:p>
            <w:pPr>
              <w:spacing w:before="240" w:after="240"/>
              <w:rPr>
                <w:rFonts w:ascii="宋体" w:hAnsi="宋体"/>
                <w:color w:val="auto"/>
                <w:szCs w:val="21"/>
              </w:rPr>
            </w:pPr>
          </w:p>
        </w:tc>
        <w:tc>
          <w:tcPr>
            <w:tcW w:w="1411" w:type="dxa"/>
          </w:tcPr>
          <w:p>
            <w:pPr>
              <w:spacing w:before="240" w:after="240"/>
              <w:rPr>
                <w:rFonts w:ascii="宋体" w:hAnsi="宋体"/>
                <w:color w:val="auto"/>
                <w:szCs w:val="21"/>
              </w:rPr>
            </w:pPr>
          </w:p>
        </w:tc>
      </w:tr>
    </w:tbl>
    <w:p>
      <w:pPr>
        <w:spacing w:line="360" w:lineRule="auto"/>
        <w:rPr>
          <w:rFonts w:ascii="宋体" w:hAnsi="宋体"/>
          <w:b/>
          <w:color w:val="auto"/>
          <w:szCs w:val="21"/>
        </w:rPr>
      </w:pPr>
      <w:r>
        <w:rPr>
          <w:rFonts w:hint="eastAsia" w:ascii="宋体" w:hAnsi="宋体"/>
          <w:b/>
          <w:color w:val="auto"/>
          <w:szCs w:val="21"/>
        </w:rPr>
        <w:t>注：供应商的投标文件（除技术规格部分）与招标文件之规定存在偏离的，应在此表中如实说明。未在上表中说明的，将被认为完全响应招标文件的规定。</w:t>
      </w:r>
    </w:p>
    <w:p>
      <w:pPr>
        <w:snapToGrid w:val="0"/>
        <w:spacing w:beforeLines="50" w:line="400" w:lineRule="exact"/>
        <w:ind w:firstLine="200"/>
        <w:rPr>
          <w:rFonts w:ascii="宋体" w:hAnsi="宋体"/>
          <w:color w:val="auto"/>
          <w:sz w:val="24"/>
          <w:szCs w:val="20"/>
          <w:u w:val="single"/>
        </w:rPr>
      </w:pPr>
      <w:r>
        <w:rPr>
          <w:rFonts w:hint="eastAsia" w:ascii="宋体" w:hAnsi="宋体"/>
          <w:color w:val="auto"/>
          <w:sz w:val="24"/>
        </w:rPr>
        <w:t>被授权人签字（或盖章）：</w:t>
      </w:r>
      <w:r>
        <w:rPr>
          <w:rFonts w:ascii="宋体" w:hAnsi="宋体"/>
          <w:color w:val="auto"/>
          <w:sz w:val="24"/>
          <w:u w:val="single"/>
        </w:rPr>
        <w:t xml:space="preserve">             </w:t>
      </w:r>
    </w:p>
    <w:p>
      <w:pPr>
        <w:snapToGrid w:val="0"/>
        <w:spacing w:beforeLines="50" w:after="50" w:line="400" w:lineRule="exact"/>
        <w:ind w:firstLine="240" w:firstLineChars="100"/>
        <w:rPr>
          <w:rFonts w:hAnsi="宋体"/>
          <w:color w:val="auto"/>
          <w:sz w:val="24"/>
        </w:rPr>
      </w:pPr>
      <w:r>
        <w:rPr>
          <w:rFonts w:hint="eastAsia" w:ascii="宋体" w:hAnsi="宋体"/>
          <w:color w:val="auto"/>
          <w:sz w:val="24"/>
        </w:rPr>
        <w:t>供应商公章：</w:t>
      </w:r>
      <w:r>
        <w:rPr>
          <w:rFonts w:ascii="宋体" w:hAnsi="宋体"/>
          <w:color w:val="auto"/>
          <w:sz w:val="24"/>
        </w:rPr>
        <w:t xml:space="preserve">                   </w:t>
      </w:r>
      <w:r>
        <w:rPr>
          <w:rFonts w:hint="eastAsia" w:ascii="宋体" w:hAnsi="宋体"/>
          <w:color w:val="auto"/>
          <w:sz w:val="24"/>
        </w:rPr>
        <w:t xml:space="preserve">                </w:t>
      </w:r>
      <w:r>
        <w:rPr>
          <w:rFonts w:hint="eastAsia" w:hAnsi="宋体"/>
          <w:color w:val="auto"/>
          <w:sz w:val="24"/>
        </w:rPr>
        <w:t>年</w:t>
      </w:r>
      <w:r>
        <w:rPr>
          <w:rFonts w:hAnsi="宋体"/>
          <w:color w:val="auto"/>
          <w:sz w:val="24"/>
        </w:rPr>
        <w:t xml:space="preserve">    </w:t>
      </w:r>
      <w:r>
        <w:rPr>
          <w:rFonts w:hint="eastAsia" w:hAnsi="宋体"/>
          <w:color w:val="auto"/>
          <w:sz w:val="24"/>
        </w:rPr>
        <w:t>月</w:t>
      </w:r>
      <w:r>
        <w:rPr>
          <w:rFonts w:hAnsi="宋体"/>
          <w:color w:val="auto"/>
          <w:sz w:val="24"/>
        </w:rPr>
        <w:t xml:space="preserve">    </w:t>
      </w:r>
      <w:r>
        <w:rPr>
          <w:rFonts w:hint="eastAsia" w:hAnsi="宋体"/>
          <w:color w:val="auto"/>
          <w:sz w:val="24"/>
        </w:rPr>
        <w:t>日</w:t>
      </w:r>
    </w:p>
    <w:p>
      <w:pPr>
        <w:pStyle w:val="80"/>
        <w:ind w:left="420" w:firstLine="0" w:firstLineChars="0"/>
        <w:rPr>
          <w:rFonts w:ascii="宋体" w:hAnsi="宋体"/>
          <w:b/>
          <w:color w:val="auto"/>
          <w:sz w:val="28"/>
          <w:szCs w:val="28"/>
        </w:rPr>
      </w:pPr>
    </w:p>
    <w:p>
      <w:pPr>
        <w:pStyle w:val="80"/>
        <w:ind w:left="420" w:firstLine="0" w:firstLineChars="0"/>
        <w:rPr>
          <w:rFonts w:ascii="宋体" w:hAnsi="宋体"/>
          <w:b/>
          <w:color w:val="auto"/>
          <w:sz w:val="28"/>
          <w:szCs w:val="28"/>
        </w:rPr>
      </w:pPr>
    </w:p>
    <w:p>
      <w:pPr>
        <w:spacing w:line="360" w:lineRule="auto"/>
        <w:ind w:firstLine="562" w:firstLineChars="200"/>
        <w:jc w:val="center"/>
        <w:rPr>
          <w:rFonts w:ascii="宋体" w:hAnsi="宋体"/>
          <w:b/>
          <w:color w:val="auto"/>
          <w:sz w:val="28"/>
          <w:szCs w:val="28"/>
        </w:rPr>
      </w:pPr>
      <w:r>
        <w:rPr>
          <w:rFonts w:hint="eastAsia" w:ascii="宋体" w:hAnsi="宋体"/>
          <w:b/>
          <w:color w:val="auto"/>
          <w:sz w:val="28"/>
          <w:szCs w:val="28"/>
        </w:rPr>
        <w:t>设备详细清单</w:t>
      </w:r>
      <w:r>
        <w:rPr>
          <w:rFonts w:hint="eastAsia" w:ascii="宋体" w:hAnsi="宋体"/>
          <w:b/>
          <w:color w:val="auto"/>
          <w:sz w:val="24"/>
        </w:rPr>
        <w:t>（不含报价）</w:t>
      </w:r>
    </w:p>
    <w:p>
      <w:pPr>
        <w:spacing w:line="360" w:lineRule="auto"/>
        <w:ind w:firstLine="480" w:firstLineChars="200"/>
        <w:rPr>
          <w:rFonts w:ascii="宋体" w:hAnsi="宋体"/>
          <w:color w:val="auto"/>
          <w:sz w:val="24"/>
        </w:rPr>
      </w:pPr>
      <w:r>
        <w:rPr>
          <w:rFonts w:hint="eastAsia" w:ascii="宋体" w:hAnsi="宋体"/>
          <w:color w:val="auto"/>
          <w:sz w:val="24"/>
        </w:rPr>
        <w:t>填表说明：详细列明所投项目主要设备清单，完整配置方案及技术指标，项目的核心产品必须明确所投品牌、规格型号及具体技术指标。任何含糊不清的表述对评标结果的影响将是供应商的责任，可附具体的介绍图文资料。</w:t>
      </w:r>
      <w:r>
        <w:rPr>
          <w:rFonts w:hint="eastAsia" w:hAnsi="宋体"/>
          <w:color w:val="auto"/>
          <w:sz w:val="24"/>
        </w:rPr>
        <w:t>▲</w:t>
      </w:r>
      <w:r>
        <w:rPr>
          <w:rFonts w:hint="eastAsia" w:ascii="宋体" w:hAnsi="宋体"/>
          <w:color w:val="auto"/>
          <w:sz w:val="24"/>
        </w:rPr>
        <w:t>以下内容不得含有报价。</w:t>
      </w:r>
    </w:p>
    <w:tbl>
      <w:tblPr>
        <w:tblStyle w:val="63"/>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77"/>
        <w:gridCol w:w="708"/>
        <w:gridCol w:w="851"/>
        <w:gridCol w:w="1276"/>
        <w:gridCol w:w="992"/>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498" w:type="dxa"/>
            <w:vAlign w:val="center"/>
          </w:tcPr>
          <w:p>
            <w:pPr>
              <w:jc w:val="center"/>
              <w:rPr>
                <w:color w:val="auto"/>
                <w:sz w:val="24"/>
              </w:rPr>
            </w:pPr>
            <w:r>
              <w:rPr>
                <w:rFonts w:hint="eastAsia"/>
                <w:color w:val="auto"/>
                <w:sz w:val="24"/>
              </w:rPr>
              <w:t>序号</w:t>
            </w:r>
          </w:p>
        </w:tc>
        <w:tc>
          <w:tcPr>
            <w:tcW w:w="1277" w:type="dxa"/>
            <w:vAlign w:val="center"/>
          </w:tcPr>
          <w:p>
            <w:pPr>
              <w:jc w:val="center"/>
              <w:rPr>
                <w:color w:val="auto"/>
                <w:sz w:val="24"/>
              </w:rPr>
            </w:pPr>
            <w:r>
              <w:rPr>
                <w:rFonts w:hint="eastAsia"/>
                <w:color w:val="auto"/>
                <w:sz w:val="24"/>
              </w:rPr>
              <w:t>设备名称</w:t>
            </w:r>
          </w:p>
        </w:tc>
        <w:tc>
          <w:tcPr>
            <w:tcW w:w="708" w:type="dxa"/>
            <w:vAlign w:val="center"/>
          </w:tcPr>
          <w:p>
            <w:pPr>
              <w:jc w:val="center"/>
              <w:rPr>
                <w:color w:val="auto"/>
                <w:sz w:val="24"/>
              </w:rPr>
            </w:pPr>
            <w:r>
              <w:rPr>
                <w:rFonts w:hint="eastAsia"/>
                <w:color w:val="auto"/>
                <w:sz w:val="24"/>
              </w:rPr>
              <w:t>数量</w:t>
            </w:r>
          </w:p>
        </w:tc>
        <w:tc>
          <w:tcPr>
            <w:tcW w:w="851" w:type="dxa"/>
            <w:vAlign w:val="center"/>
          </w:tcPr>
          <w:p>
            <w:pPr>
              <w:jc w:val="center"/>
              <w:rPr>
                <w:color w:val="auto"/>
                <w:sz w:val="24"/>
              </w:rPr>
            </w:pPr>
            <w:r>
              <w:rPr>
                <w:rFonts w:hint="eastAsia"/>
                <w:color w:val="auto"/>
                <w:sz w:val="24"/>
              </w:rPr>
              <w:t>品牌</w:t>
            </w:r>
          </w:p>
        </w:tc>
        <w:tc>
          <w:tcPr>
            <w:tcW w:w="1276" w:type="dxa"/>
            <w:vAlign w:val="center"/>
          </w:tcPr>
          <w:p>
            <w:pPr>
              <w:jc w:val="center"/>
              <w:rPr>
                <w:color w:val="auto"/>
                <w:sz w:val="24"/>
              </w:rPr>
            </w:pPr>
            <w:r>
              <w:rPr>
                <w:rFonts w:hint="eastAsia"/>
                <w:color w:val="auto"/>
                <w:sz w:val="24"/>
              </w:rPr>
              <w:t>规格型号</w:t>
            </w:r>
          </w:p>
        </w:tc>
        <w:tc>
          <w:tcPr>
            <w:tcW w:w="992" w:type="dxa"/>
            <w:vAlign w:val="center"/>
          </w:tcPr>
          <w:p>
            <w:pPr>
              <w:jc w:val="center"/>
              <w:rPr>
                <w:color w:val="auto"/>
                <w:sz w:val="24"/>
              </w:rPr>
            </w:pPr>
            <w:r>
              <w:rPr>
                <w:rFonts w:hint="eastAsia"/>
                <w:color w:val="auto"/>
                <w:sz w:val="24"/>
              </w:rPr>
              <w:t>制造商</w:t>
            </w:r>
          </w:p>
        </w:tc>
        <w:tc>
          <w:tcPr>
            <w:tcW w:w="2714" w:type="dxa"/>
          </w:tcPr>
          <w:p>
            <w:pPr>
              <w:jc w:val="center"/>
              <w:rPr>
                <w:color w:val="auto"/>
                <w:szCs w:val="21"/>
              </w:rPr>
            </w:pPr>
            <w:r>
              <w:rPr>
                <w:rFonts w:hint="eastAsia"/>
                <w:color w:val="auto"/>
                <w:szCs w:val="21"/>
              </w:rPr>
              <w:t>制造商是否属于中型企业、小型企业、微型企业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498" w:type="dxa"/>
            <w:vAlign w:val="center"/>
          </w:tcPr>
          <w:p>
            <w:pPr>
              <w:jc w:val="center"/>
              <w:rPr>
                <w:color w:val="auto"/>
                <w:sz w:val="24"/>
              </w:rPr>
            </w:pPr>
            <w:r>
              <w:rPr>
                <w:rFonts w:hint="eastAsia"/>
                <w:color w:val="auto"/>
                <w:sz w:val="24"/>
              </w:rPr>
              <w:t>1</w:t>
            </w:r>
          </w:p>
        </w:tc>
        <w:tc>
          <w:tcPr>
            <w:tcW w:w="1277" w:type="dxa"/>
            <w:vAlign w:val="center"/>
          </w:tcPr>
          <w:p>
            <w:pPr>
              <w:jc w:val="center"/>
              <w:rPr>
                <w:color w:val="auto"/>
                <w:sz w:val="24"/>
              </w:rPr>
            </w:pPr>
          </w:p>
        </w:tc>
        <w:tc>
          <w:tcPr>
            <w:tcW w:w="708" w:type="dxa"/>
            <w:vAlign w:val="center"/>
          </w:tcPr>
          <w:p>
            <w:pPr>
              <w:jc w:val="center"/>
              <w:rPr>
                <w:color w:val="auto"/>
                <w:sz w:val="24"/>
              </w:rPr>
            </w:pPr>
          </w:p>
        </w:tc>
        <w:tc>
          <w:tcPr>
            <w:tcW w:w="851" w:type="dxa"/>
            <w:vAlign w:val="center"/>
          </w:tcPr>
          <w:p>
            <w:pPr>
              <w:jc w:val="center"/>
              <w:rPr>
                <w:color w:val="auto"/>
                <w:sz w:val="24"/>
              </w:rPr>
            </w:pPr>
          </w:p>
        </w:tc>
        <w:tc>
          <w:tcPr>
            <w:tcW w:w="1276" w:type="dxa"/>
            <w:vAlign w:val="center"/>
          </w:tcPr>
          <w:p>
            <w:pPr>
              <w:jc w:val="center"/>
              <w:rPr>
                <w:color w:val="auto"/>
                <w:sz w:val="24"/>
              </w:rPr>
            </w:pPr>
          </w:p>
        </w:tc>
        <w:tc>
          <w:tcPr>
            <w:tcW w:w="992" w:type="dxa"/>
            <w:vAlign w:val="center"/>
          </w:tcPr>
          <w:p>
            <w:pPr>
              <w:jc w:val="center"/>
              <w:rPr>
                <w:color w:val="auto"/>
                <w:sz w:val="24"/>
              </w:rPr>
            </w:pPr>
          </w:p>
        </w:tc>
        <w:tc>
          <w:tcPr>
            <w:tcW w:w="2714" w:type="dxa"/>
          </w:tcPr>
          <w:p>
            <w:pPr>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498" w:type="dxa"/>
            <w:vAlign w:val="center"/>
          </w:tcPr>
          <w:p>
            <w:pPr>
              <w:jc w:val="center"/>
              <w:rPr>
                <w:color w:val="auto"/>
                <w:sz w:val="24"/>
              </w:rPr>
            </w:pPr>
            <w:r>
              <w:rPr>
                <w:rFonts w:hint="eastAsia"/>
                <w:color w:val="auto"/>
                <w:sz w:val="24"/>
              </w:rPr>
              <w:t>2</w:t>
            </w:r>
          </w:p>
        </w:tc>
        <w:tc>
          <w:tcPr>
            <w:tcW w:w="1277" w:type="dxa"/>
            <w:vAlign w:val="center"/>
          </w:tcPr>
          <w:p>
            <w:pPr>
              <w:jc w:val="center"/>
              <w:rPr>
                <w:color w:val="auto"/>
                <w:sz w:val="24"/>
              </w:rPr>
            </w:pPr>
          </w:p>
        </w:tc>
        <w:tc>
          <w:tcPr>
            <w:tcW w:w="708" w:type="dxa"/>
            <w:vAlign w:val="center"/>
          </w:tcPr>
          <w:p>
            <w:pPr>
              <w:jc w:val="center"/>
              <w:rPr>
                <w:color w:val="auto"/>
                <w:sz w:val="24"/>
              </w:rPr>
            </w:pPr>
          </w:p>
        </w:tc>
        <w:tc>
          <w:tcPr>
            <w:tcW w:w="851" w:type="dxa"/>
            <w:vAlign w:val="center"/>
          </w:tcPr>
          <w:p>
            <w:pPr>
              <w:jc w:val="center"/>
              <w:rPr>
                <w:color w:val="auto"/>
                <w:sz w:val="24"/>
              </w:rPr>
            </w:pPr>
          </w:p>
        </w:tc>
        <w:tc>
          <w:tcPr>
            <w:tcW w:w="1276" w:type="dxa"/>
            <w:vAlign w:val="center"/>
          </w:tcPr>
          <w:p>
            <w:pPr>
              <w:jc w:val="center"/>
              <w:rPr>
                <w:color w:val="auto"/>
                <w:sz w:val="24"/>
              </w:rPr>
            </w:pPr>
          </w:p>
        </w:tc>
        <w:tc>
          <w:tcPr>
            <w:tcW w:w="992" w:type="dxa"/>
            <w:vAlign w:val="center"/>
          </w:tcPr>
          <w:p>
            <w:pPr>
              <w:jc w:val="center"/>
              <w:rPr>
                <w:color w:val="auto"/>
                <w:sz w:val="24"/>
              </w:rPr>
            </w:pPr>
          </w:p>
        </w:tc>
        <w:tc>
          <w:tcPr>
            <w:tcW w:w="2714" w:type="dxa"/>
          </w:tcPr>
          <w:p>
            <w:pPr>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498" w:type="dxa"/>
            <w:vAlign w:val="center"/>
          </w:tcPr>
          <w:p>
            <w:pPr>
              <w:jc w:val="center"/>
              <w:rPr>
                <w:color w:val="auto"/>
                <w:sz w:val="24"/>
              </w:rPr>
            </w:pPr>
            <w:r>
              <w:rPr>
                <w:rFonts w:hint="eastAsia"/>
                <w:color w:val="auto"/>
                <w:sz w:val="24"/>
              </w:rPr>
              <w:t>3</w:t>
            </w:r>
          </w:p>
        </w:tc>
        <w:tc>
          <w:tcPr>
            <w:tcW w:w="1277" w:type="dxa"/>
            <w:vAlign w:val="center"/>
          </w:tcPr>
          <w:p>
            <w:pPr>
              <w:jc w:val="center"/>
              <w:rPr>
                <w:color w:val="auto"/>
                <w:sz w:val="24"/>
              </w:rPr>
            </w:pPr>
          </w:p>
        </w:tc>
        <w:tc>
          <w:tcPr>
            <w:tcW w:w="708" w:type="dxa"/>
            <w:vAlign w:val="center"/>
          </w:tcPr>
          <w:p>
            <w:pPr>
              <w:jc w:val="center"/>
              <w:rPr>
                <w:color w:val="auto"/>
                <w:sz w:val="24"/>
              </w:rPr>
            </w:pPr>
          </w:p>
        </w:tc>
        <w:tc>
          <w:tcPr>
            <w:tcW w:w="851" w:type="dxa"/>
            <w:vAlign w:val="center"/>
          </w:tcPr>
          <w:p>
            <w:pPr>
              <w:jc w:val="center"/>
              <w:rPr>
                <w:color w:val="auto"/>
                <w:sz w:val="24"/>
              </w:rPr>
            </w:pPr>
          </w:p>
        </w:tc>
        <w:tc>
          <w:tcPr>
            <w:tcW w:w="1276" w:type="dxa"/>
            <w:vAlign w:val="center"/>
          </w:tcPr>
          <w:p>
            <w:pPr>
              <w:jc w:val="center"/>
              <w:rPr>
                <w:color w:val="auto"/>
                <w:sz w:val="24"/>
              </w:rPr>
            </w:pPr>
          </w:p>
        </w:tc>
        <w:tc>
          <w:tcPr>
            <w:tcW w:w="992" w:type="dxa"/>
            <w:vAlign w:val="center"/>
          </w:tcPr>
          <w:p>
            <w:pPr>
              <w:jc w:val="center"/>
              <w:rPr>
                <w:color w:val="auto"/>
                <w:sz w:val="24"/>
              </w:rPr>
            </w:pPr>
          </w:p>
        </w:tc>
        <w:tc>
          <w:tcPr>
            <w:tcW w:w="2714" w:type="dxa"/>
          </w:tcPr>
          <w:p>
            <w:pPr>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498" w:type="dxa"/>
            <w:vAlign w:val="center"/>
          </w:tcPr>
          <w:p>
            <w:pPr>
              <w:jc w:val="center"/>
              <w:rPr>
                <w:color w:val="auto"/>
                <w:sz w:val="24"/>
              </w:rPr>
            </w:pPr>
            <w:r>
              <w:rPr>
                <w:color w:val="auto"/>
                <w:sz w:val="24"/>
              </w:rPr>
              <w:t>…</w:t>
            </w:r>
          </w:p>
        </w:tc>
        <w:tc>
          <w:tcPr>
            <w:tcW w:w="1277" w:type="dxa"/>
            <w:vAlign w:val="center"/>
          </w:tcPr>
          <w:p>
            <w:pPr>
              <w:jc w:val="center"/>
              <w:rPr>
                <w:color w:val="auto"/>
                <w:sz w:val="24"/>
              </w:rPr>
            </w:pPr>
          </w:p>
        </w:tc>
        <w:tc>
          <w:tcPr>
            <w:tcW w:w="708" w:type="dxa"/>
            <w:vAlign w:val="center"/>
          </w:tcPr>
          <w:p>
            <w:pPr>
              <w:jc w:val="center"/>
              <w:rPr>
                <w:color w:val="auto"/>
                <w:sz w:val="24"/>
              </w:rPr>
            </w:pPr>
          </w:p>
        </w:tc>
        <w:tc>
          <w:tcPr>
            <w:tcW w:w="851" w:type="dxa"/>
            <w:vAlign w:val="center"/>
          </w:tcPr>
          <w:p>
            <w:pPr>
              <w:jc w:val="center"/>
              <w:rPr>
                <w:color w:val="auto"/>
                <w:sz w:val="24"/>
              </w:rPr>
            </w:pPr>
          </w:p>
        </w:tc>
        <w:tc>
          <w:tcPr>
            <w:tcW w:w="1276" w:type="dxa"/>
            <w:vAlign w:val="center"/>
          </w:tcPr>
          <w:p>
            <w:pPr>
              <w:jc w:val="center"/>
              <w:rPr>
                <w:color w:val="auto"/>
                <w:sz w:val="24"/>
              </w:rPr>
            </w:pPr>
          </w:p>
        </w:tc>
        <w:tc>
          <w:tcPr>
            <w:tcW w:w="992" w:type="dxa"/>
            <w:vAlign w:val="center"/>
          </w:tcPr>
          <w:p>
            <w:pPr>
              <w:jc w:val="center"/>
              <w:rPr>
                <w:color w:val="auto"/>
                <w:sz w:val="24"/>
              </w:rPr>
            </w:pPr>
            <w:r>
              <w:rPr>
                <w:color w:val="auto"/>
                <w:sz w:val="24"/>
              </w:rPr>
              <w:t>…</w:t>
            </w:r>
          </w:p>
        </w:tc>
        <w:tc>
          <w:tcPr>
            <w:tcW w:w="2714" w:type="dxa"/>
          </w:tcPr>
          <w:p>
            <w:pPr>
              <w:jc w:val="center"/>
              <w:rPr>
                <w:color w:val="auto"/>
                <w:sz w:val="24"/>
              </w:rPr>
            </w:pPr>
          </w:p>
        </w:tc>
      </w:tr>
    </w:tbl>
    <w:p>
      <w:pPr>
        <w:spacing w:line="360" w:lineRule="auto"/>
        <w:jc w:val="left"/>
        <w:rPr>
          <w:rFonts w:ascii="宋体" w:hAnsi="宋体"/>
          <w:color w:val="auto"/>
          <w:sz w:val="24"/>
        </w:rPr>
      </w:pPr>
      <w:r>
        <w:rPr>
          <w:rFonts w:hint="eastAsia" w:ascii="宋体" w:hAnsi="宋体"/>
          <w:color w:val="auto"/>
          <w:sz w:val="24"/>
        </w:rPr>
        <w:t>注：1.请对照采购清单序列编制上表，表格行数不够可自行添加。</w:t>
      </w:r>
    </w:p>
    <w:p>
      <w:pPr>
        <w:spacing w:line="360" w:lineRule="auto"/>
        <w:jc w:val="left"/>
        <w:rPr>
          <w:rFonts w:ascii="宋体" w:hAnsi="宋体"/>
          <w:color w:val="auto"/>
          <w:sz w:val="24"/>
        </w:rPr>
      </w:pPr>
      <w:r>
        <w:rPr>
          <w:rFonts w:hint="eastAsia" w:ascii="宋体" w:hAnsi="宋体"/>
          <w:color w:val="auto"/>
          <w:sz w:val="24"/>
        </w:rPr>
        <w:t xml:space="preserve">     2.若有一项设备制造商为大型企业，则无须提供《中小企业声明函》。</w:t>
      </w:r>
    </w:p>
    <w:p>
      <w:pPr>
        <w:spacing w:line="360" w:lineRule="auto"/>
        <w:jc w:val="left"/>
        <w:rPr>
          <w:rFonts w:ascii="宋体" w:hAnsi="宋体"/>
          <w:color w:val="auto"/>
          <w:sz w:val="24"/>
        </w:rPr>
      </w:pPr>
      <w:r>
        <w:rPr>
          <w:rFonts w:hint="eastAsia" w:ascii="宋体" w:hAnsi="宋体"/>
          <w:color w:val="auto"/>
          <w:sz w:val="24"/>
        </w:rPr>
        <w:t xml:space="preserve">  被授权人签字（或盖章）：                         供应商（加盖公章）：</w:t>
      </w:r>
    </w:p>
    <w:p>
      <w:pPr>
        <w:spacing w:line="360" w:lineRule="auto"/>
        <w:ind w:firstLine="5160" w:firstLineChars="2150"/>
        <w:rPr>
          <w:rFonts w:ascii="宋体" w:hAnsi="宋体"/>
          <w:color w:val="auto"/>
          <w:sz w:val="24"/>
        </w:rPr>
      </w:pPr>
      <w:r>
        <w:rPr>
          <w:rFonts w:hint="eastAsia" w:ascii="宋体" w:hAnsi="宋体"/>
          <w:color w:val="auto"/>
          <w:sz w:val="24"/>
        </w:rPr>
        <w:t xml:space="preserve">  日期：   年   月   日</w:t>
      </w:r>
    </w:p>
    <w:p>
      <w:pPr>
        <w:spacing w:line="360" w:lineRule="auto"/>
        <w:ind w:firstLine="3132" w:firstLineChars="1300"/>
        <w:jc w:val="left"/>
        <w:rPr>
          <w:rFonts w:ascii="宋体" w:hAnsi="宋体"/>
          <w:color w:val="auto"/>
          <w:sz w:val="24"/>
          <w:u w:val="single"/>
        </w:rPr>
      </w:pPr>
      <w:r>
        <w:rPr>
          <w:rFonts w:hint="eastAsia" w:ascii="宋体" w:hAnsi="宋体"/>
          <w:b/>
          <w:color w:val="auto"/>
          <w:sz w:val="24"/>
        </w:rPr>
        <w:t>技术响应表</w:t>
      </w:r>
    </w:p>
    <w:tbl>
      <w:tblPr>
        <w:tblStyle w:val="63"/>
        <w:tblW w:w="82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056"/>
        <w:gridCol w:w="1896"/>
        <w:gridCol w:w="1896"/>
        <w:gridCol w:w="2106"/>
        <w:gridCol w:w="6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0" w:hRule="atLeast"/>
        </w:trPr>
        <w:tc>
          <w:tcPr>
            <w:tcW w:w="636" w:type="dxa"/>
            <w:tcBorders>
              <w:top w:val="single" w:color="auto" w:sz="4" w:space="0"/>
              <w:left w:val="single" w:color="auto" w:sz="4" w:space="0"/>
              <w:bottom w:val="single" w:color="auto" w:sz="4" w:space="0"/>
              <w:right w:val="single" w:color="auto" w:sz="4" w:space="0"/>
            </w:tcBorders>
          </w:tcPr>
          <w:p>
            <w:pPr>
              <w:pStyle w:val="34"/>
              <w:snapToGrid w:val="0"/>
              <w:jc w:val="center"/>
              <w:outlineLvl w:val="0"/>
              <w:rPr>
                <w:rFonts w:hAnsi="宋体"/>
                <w:color w:val="auto"/>
              </w:rPr>
            </w:pPr>
            <w:bookmarkStart w:id="36" w:name="_Toc465368115"/>
            <w:r>
              <w:rPr>
                <w:rFonts w:hint="eastAsia" w:hAnsi="宋体"/>
                <w:color w:val="auto"/>
              </w:rPr>
              <w:t>序号</w:t>
            </w:r>
            <w:bookmarkEnd w:id="36"/>
          </w:p>
        </w:tc>
        <w:tc>
          <w:tcPr>
            <w:tcW w:w="1056" w:type="dxa"/>
            <w:tcBorders>
              <w:top w:val="single" w:color="auto" w:sz="4" w:space="0"/>
              <w:left w:val="single" w:color="auto" w:sz="4" w:space="0"/>
              <w:bottom w:val="single" w:color="auto" w:sz="4" w:space="0"/>
              <w:right w:val="single" w:color="auto" w:sz="4" w:space="0"/>
            </w:tcBorders>
          </w:tcPr>
          <w:p>
            <w:pPr>
              <w:pStyle w:val="34"/>
              <w:snapToGrid w:val="0"/>
              <w:jc w:val="center"/>
              <w:outlineLvl w:val="0"/>
              <w:rPr>
                <w:rFonts w:hAnsi="宋体"/>
                <w:color w:val="auto"/>
              </w:rPr>
            </w:pPr>
            <w:bookmarkStart w:id="37" w:name="_Toc702241305"/>
            <w:r>
              <w:rPr>
                <w:rFonts w:hint="eastAsia" w:hAnsi="宋体"/>
                <w:color w:val="auto"/>
              </w:rPr>
              <w:t>设备名称</w:t>
            </w:r>
            <w:bookmarkEnd w:id="37"/>
          </w:p>
        </w:tc>
        <w:tc>
          <w:tcPr>
            <w:tcW w:w="1896" w:type="dxa"/>
            <w:tcBorders>
              <w:top w:val="single" w:color="auto" w:sz="4" w:space="0"/>
              <w:left w:val="single" w:color="auto" w:sz="4" w:space="0"/>
              <w:bottom w:val="single" w:color="auto" w:sz="4" w:space="0"/>
              <w:right w:val="single" w:color="auto" w:sz="4" w:space="0"/>
            </w:tcBorders>
          </w:tcPr>
          <w:p>
            <w:pPr>
              <w:pStyle w:val="34"/>
              <w:snapToGrid w:val="0"/>
              <w:jc w:val="center"/>
              <w:outlineLvl w:val="0"/>
              <w:rPr>
                <w:rFonts w:hAnsi="宋体"/>
                <w:color w:val="auto"/>
              </w:rPr>
            </w:pPr>
            <w:bookmarkStart w:id="38" w:name="_Toc377028119"/>
            <w:bookmarkStart w:id="39" w:name="_Toc402963128"/>
            <w:bookmarkStart w:id="40" w:name="_Toc401570290"/>
            <w:bookmarkStart w:id="41" w:name="_Toc402963095"/>
            <w:bookmarkStart w:id="42" w:name="_Toc377028057"/>
            <w:bookmarkStart w:id="43" w:name="_Toc401570314"/>
            <w:bookmarkStart w:id="44" w:name="_Toc382928236"/>
            <w:bookmarkStart w:id="45" w:name="_Toc381081903"/>
            <w:bookmarkStart w:id="46" w:name="_Toc385854156"/>
            <w:bookmarkStart w:id="47" w:name="_Toc377653976"/>
            <w:bookmarkStart w:id="48" w:name="_Toc406403001"/>
            <w:bookmarkStart w:id="49" w:name="_Toc385854110"/>
            <w:bookmarkStart w:id="50" w:name="_Toc406402957"/>
            <w:bookmarkStart w:id="51" w:name="_Toc382928118"/>
            <w:bookmarkStart w:id="52" w:name="_Toc381081907"/>
            <w:bookmarkStart w:id="53" w:name="_Toc406403005"/>
            <w:bookmarkStart w:id="54" w:name="_Toc401570318"/>
            <w:bookmarkStart w:id="55" w:name="_Toc734611807"/>
            <w:bookmarkStart w:id="56" w:name="_Toc382928240"/>
            <w:bookmarkStart w:id="57" w:name="_Toc385854114"/>
            <w:bookmarkStart w:id="58" w:name="_Toc382928122"/>
            <w:bookmarkStart w:id="59" w:name="_Toc402963132"/>
            <w:bookmarkStart w:id="60" w:name="_Toc406402961"/>
            <w:bookmarkStart w:id="61" w:name="_Toc402963099"/>
            <w:bookmarkStart w:id="62" w:name="_Toc377653980"/>
            <w:bookmarkStart w:id="63" w:name="_Toc401570294"/>
            <w:bookmarkStart w:id="64" w:name="_Toc377028061"/>
            <w:bookmarkStart w:id="65" w:name="_Toc377028123"/>
            <w:bookmarkStart w:id="66" w:name="_Toc385854160"/>
            <w:r>
              <w:rPr>
                <w:rFonts w:hint="eastAsia" w:hAnsi="宋体"/>
                <w:color w:val="auto"/>
              </w:rPr>
              <w:t>招标文件要求</w:t>
            </w:r>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hint="eastAsia" w:hAnsi="宋体"/>
                <w:color w:val="auto"/>
              </w:rPr>
              <w:t>要求</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c>
        <w:tc>
          <w:tcPr>
            <w:tcW w:w="1896" w:type="dxa"/>
            <w:tcBorders>
              <w:top w:val="single" w:color="auto" w:sz="4" w:space="0"/>
              <w:left w:val="single" w:color="auto" w:sz="4" w:space="0"/>
              <w:bottom w:val="single" w:color="auto" w:sz="4" w:space="0"/>
              <w:right w:val="single" w:color="auto" w:sz="4" w:space="0"/>
            </w:tcBorders>
          </w:tcPr>
          <w:p>
            <w:pPr>
              <w:pStyle w:val="34"/>
              <w:snapToGrid w:val="0"/>
              <w:jc w:val="center"/>
              <w:outlineLvl w:val="0"/>
              <w:rPr>
                <w:rFonts w:hAnsi="宋体"/>
                <w:color w:val="auto"/>
              </w:rPr>
            </w:pPr>
            <w:bookmarkStart w:id="67" w:name="_Toc401570291"/>
            <w:bookmarkStart w:id="68" w:name="_Toc401570315"/>
            <w:bookmarkStart w:id="69" w:name="_Toc385854157"/>
            <w:bookmarkStart w:id="70" w:name="_Toc406403002"/>
            <w:bookmarkStart w:id="71" w:name="_Toc377028058"/>
            <w:bookmarkStart w:id="72" w:name="_Toc402963096"/>
            <w:bookmarkStart w:id="73" w:name="_Toc402963129"/>
            <w:bookmarkStart w:id="74" w:name="_Toc381081904"/>
            <w:bookmarkStart w:id="75" w:name="_Toc382928119"/>
            <w:bookmarkStart w:id="76" w:name="_Toc382928237"/>
            <w:bookmarkStart w:id="77" w:name="_Toc377653977"/>
            <w:bookmarkStart w:id="78" w:name="_Toc406402958"/>
            <w:bookmarkStart w:id="79" w:name="_Toc385854111"/>
            <w:bookmarkStart w:id="80" w:name="_Toc377028120"/>
            <w:bookmarkStart w:id="81" w:name="_Toc929162729"/>
            <w:r>
              <w:rPr>
                <w:rFonts w:hint="eastAsia" w:hAnsi="宋体"/>
                <w:color w:val="auto"/>
              </w:rPr>
              <w:t>投标文件</w:t>
            </w:r>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hint="eastAsia" w:hAnsi="宋体"/>
                <w:color w:val="auto"/>
              </w:rPr>
              <w:t>性能指标</w:t>
            </w:r>
            <w:bookmarkEnd w:id="81"/>
          </w:p>
        </w:tc>
        <w:tc>
          <w:tcPr>
            <w:tcW w:w="2106" w:type="dxa"/>
            <w:tcBorders>
              <w:top w:val="single" w:color="auto" w:sz="4" w:space="0"/>
              <w:left w:val="single" w:color="auto" w:sz="4" w:space="0"/>
              <w:bottom w:val="single" w:color="auto" w:sz="4" w:space="0"/>
              <w:right w:val="single" w:color="auto" w:sz="4" w:space="0"/>
            </w:tcBorders>
          </w:tcPr>
          <w:p>
            <w:pPr>
              <w:pStyle w:val="34"/>
              <w:snapToGrid w:val="0"/>
              <w:jc w:val="center"/>
              <w:outlineLvl w:val="0"/>
              <w:rPr>
                <w:rFonts w:hAnsi="宋体"/>
                <w:color w:val="auto"/>
              </w:rPr>
            </w:pPr>
            <w:bookmarkStart w:id="82" w:name="_Toc402963097"/>
            <w:bookmarkStart w:id="83" w:name="_Toc401570316"/>
            <w:bookmarkStart w:id="84" w:name="_Toc402963130"/>
            <w:bookmarkStart w:id="85" w:name="_Toc377653978"/>
            <w:bookmarkStart w:id="86" w:name="_Toc382928238"/>
            <w:bookmarkStart w:id="87" w:name="_Toc377028121"/>
            <w:bookmarkStart w:id="88" w:name="_Toc382928120"/>
            <w:bookmarkStart w:id="89" w:name="_Toc385854158"/>
            <w:bookmarkStart w:id="90" w:name="_Toc401570292"/>
            <w:bookmarkStart w:id="91" w:name="_Toc381081905"/>
            <w:bookmarkStart w:id="92" w:name="_Toc385854112"/>
            <w:bookmarkStart w:id="93" w:name="_Toc377028059"/>
            <w:bookmarkStart w:id="94" w:name="_Toc406403003"/>
            <w:bookmarkStart w:id="95" w:name="_Toc406402959"/>
            <w:bookmarkStart w:id="96" w:name="_Toc961276098"/>
            <w:r>
              <w:rPr>
                <w:rFonts w:hint="eastAsia" w:hAnsi="宋体"/>
                <w:color w:val="auto"/>
              </w:rPr>
              <w:t>偏离情况</w:t>
            </w:r>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hAnsi="宋体"/>
                <w:color w:val="auto"/>
              </w:rPr>
              <w:t>及证明材料</w:t>
            </w:r>
            <w:bookmarkEnd w:id="96"/>
          </w:p>
        </w:tc>
        <w:tc>
          <w:tcPr>
            <w:tcW w:w="63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szCs w:val="21"/>
              </w:rPr>
            </w:pPr>
            <w:r>
              <w:rPr>
                <w:rFonts w:hint="eastAsia" w:ascii="宋体" w:hAnsi="宋体"/>
                <w:color w:val="auto"/>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hAnsi="宋体"/>
                <w:color w:val="auto"/>
              </w:rPr>
            </w:pPr>
          </w:p>
        </w:tc>
        <w:tc>
          <w:tcPr>
            <w:tcW w:w="105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1896" w:type="dxa"/>
            <w:tcBorders>
              <w:top w:val="single" w:color="auto" w:sz="4" w:space="0"/>
              <w:left w:val="single" w:color="auto" w:sz="4" w:space="0"/>
              <w:bottom w:val="single" w:color="auto" w:sz="4" w:space="0"/>
              <w:right w:val="single" w:color="auto" w:sz="4" w:space="0"/>
            </w:tcBorders>
            <w:vAlign w:val="center"/>
          </w:tcPr>
          <w:p>
            <w:pPr>
              <w:pStyle w:val="34"/>
              <w:snapToGrid w:val="0"/>
              <w:outlineLvl w:val="0"/>
              <w:rPr>
                <w:rFonts w:hAnsi="宋体"/>
                <w:color w:val="auto"/>
              </w:rPr>
            </w:pPr>
          </w:p>
        </w:tc>
        <w:tc>
          <w:tcPr>
            <w:tcW w:w="189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210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63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auto"/>
                <w:szCs w:val="21"/>
              </w:rPr>
            </w:pPr>
          </w:p>
        </w:tc>
        <w:tc>
          <w:tcPr>
            <w:tcW w:w="105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1896" w:type="dxa"/>
            <w:tcBorders>
              <w:top w:val="single" w:color="auto" w:sz="4" w:space="0"/>
              <w:left w:val="single" w:color="auto" w:sz="4" w:space="0"/>
              <w:bottom w:val="single" w:color="auto" w:sz="4" w:space="0"/>
              <w:right w:val="single" w:color="auto" w:sz="4" w:space="0"/>
            </w:tcBorders>
            <w:vAlign w:val="center"/>
          </w:tcPr>
          <w:p>
            <w:pPr>
              <w:pStyle w:val="34"/>
              <w:snapToGrid w:val="0"/>
              <w:outlineLvl w:val="0"/>
              <w:rPr>
                <w:rFonts w:hAnsi="宋体"/>
                <w:color w:val="auto"/>
              </w:rPr>
            </w:pPr>
          </w:p>
        </w:tc>
        <w:tc>
          <w:tcPr>
            <w:tcW w:w="189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210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63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hAnsi="宋体"/>
                <w:color w:val="auto"/>
              </w:rPr>
            </w:pPr>
          </w:p>
        </w:tc>
        <w:tc>
          <w:tcPr>
            <w:tcW w:w="105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1896" w:type="dxa"/>
            <w:tcBorders>
              <w:top w:val="single" w:color="auto" w:sz="4" w:space="0"/>
              <w:left w:val="single" w:color="auto" w:sz="4" w:space="0"/>
              <w:bottom w:val="single" w:color="auto" w:sz="4" w:space="0"/>
              <w:right w:val="single" w:color="auto" w:sz="4" w:space="0"/>
            </w:tcBorders>
            <w:vAlign w:val="center"/>
          </w:tcPr>
          <w:p>
            <w:pPr>
              <w:pStyle w:val="34"/>
              <w:snapToGrid w:val="0"/>
              <w:outlineLvl w:val="0"/>
              <w:rPr>
                <w:rFonts w:hAnsi="宋体"/>
                <w:color w:val="auto"/>
              </w:rPr>
            </w:pPr>
          </w:p>
        </w:tc>
        <w:tc>
          <w:tcPr>
            <w:tcW w:w="189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210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63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pPr>
              <w:pStyle w:val="34"/>
              <w:snapToGrid w:val="0"/>
              <w:spacing w:before="120" w:after="120"/>
              <w:outlineLvl w:val="0"/>
              <w:rPr>
                <w:rFonts w:hAnsi="宋体"/>
                <w:color w:val="auto"/>
              </w:rPr>
            </w:pPr>
          </w:p>
        </w:tc>
        <w:tc>
          <w:tcPr>
            <w:tcW w:w="105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1896" w:type="dxa"/>
            <w:tcBorders>
              <w:top w:val="single" w:color="auto" w:sz="4" w:space="0"/>
              <w:left w:val="single" w:color="auto" w:sz="4" w:space="0"/>
              <w:bottom w:val="single" w:color="auto" w:sz="4" w:space="0"/>
              <w:right w:val="single" w:color="auto" w:sz="4" w:space="0"/>
            </w:tcBorders>
            <w:vAlign w:val="center"/>
          </w:tcPr>
          <w:p>
            <w:pPr>
              <w:pStyle w:val="34"/>
              <w:snapToGrid w:val="0"/>
              <w:outlineLvl w:val="0"/>
              <w:rPr>
                <w:rFonts w:hAnsi="宋体"/>
                <w:color w:val="auto"/>
              </w:rPr>
            </w:pPr>
          </w:p>
        </w:tc>
        <w:tc>
          <w:tcPr>
            <w:tcW w:w="189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210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c>
          <w:tcPr>
            <w:tcW w:w="636" w:type="dxa"/>
            <w:tcBorders>
              <w:top w:val="single" w:color="auto" w:sz="4" w:space="0"/>
              <w:left w:val="single" w:color="auto" w:sz="4" w:space="0"/>
              <w:bottom w:val="single" w:color="auto" w:sz="4" w:space="0"/>
              <w:right w:val="single" w:color="auto" w:sz="4" w:space="0"/>
            </w:tcBorders>
          </w:tcPr>
          <w:p>
            <w:pPr>
              <w:pStyle w:val="34"/>
              <w:snapToGrid w:val="0"/>
              <w:outlineLvl w:val="0"/>
              <w:rPr>
                <w:rFonts w:hAnsi="宋体"/>
                <w:color w:val="auto"/>
              </w:rPr>
            </w:pPr>
          </w:p>
        </w:tc>
      </w:tr>
    </w:tbl>
    <w:p>
      <w:pPr>
        <w:pStyle w:val="23"/>
        <w:rPr>
          <w:rFonts w:ascii="宋体"/>
          <w:color w:val="auto"/>
          <w:szCs w:val="21"/>
        </w:rPr>
      </w:pPr>
      <w:r>
        <w:rPr>
          <w:rFonts w:ascii="宋体"/>
          <w:color w:val="auto"/>
          <w:szCs w:val="21"/>
        </w:rPr>
        <w:t>注：供应商应根据</w:t>
      </w:r>
      <w:r>
        <w:rPr>
          <w:rFonts w:hint="eastAsia" w:ascii="宋体"/>
          <w:color w:val="auto"/>
          <w:szCs w:val="21"/>
        </w:rPr>
        <w:t>投标产品</w:t>
      </w:r>
      <w:r>
        <w:rPr>
          <w:rFonts w:ascii="宋体"/>
          <w:color w:val="auto"/>
          <w:szCs w:val="21"/>
        </w:rPr>
        <w:t>的性能指标、对照招标文件要求注明“正偏离”、“负偏离”或“无偏离”。</w:t>
      </w:r>
    </w:p>
    <w:p>
      <w:pPr>
        <w:snapToGrid w:val="0"/>
        <w:spacing w:before="50" w:after="50" w:line="360" w:lineRule="auto"/>
        <w:rPr>
          <w:rFonts w:ascii="宋体" w:hAnsi="宋体"/>
          <w:color w:val="auto"/>
          <w:spacing w:val="20"/>
          <w:sz w:val="24"/>
        </w:rPr>
      </w:pPr>
      <w:r>
        <w:rPr>
          <w:rFonts w:hint="eastAsia" w:ascii="宋体" w:hAnsi="宋体"/>
          <w:color w:val="auto"/>
          <w:sz w:val="24"/>
        </w:rPr>
        <w:t>被授权人签字（或盖章）</w:t>
      </w:r>
      <w:r>
        <w:rPr>
          <w:rFonts w:hint="eastAsia" w:ascii="宋体" w:hAnsi="宋体"/>
          <w:color w:val="auto"/>
          <w:spacing w:val="20"/>
          <w:sz w:val="24"/>
        </w:rPr>
        <w:t>：</w:t>
      </w:r>
    </w:p>
    <w:p>
      <w:pPr>
        <w:snapToGrid w:val="0"/>
        <w:spacing w:before="50" w:after="50" w:line="360" w:lineRule="auto"/>
        <w:rPr>
          <w:rFonts w:ascii="宋体" w:hAnsi="宋体"/>
          <w:color w:val="auto"/>
          <w:spacing w:val="20"/>
          <w:sz w:val="24"/>
          <w:szCs w:val="20"/>
          <w:u w:val="single"/>
        </w:rPr>
      </w:pPr>
      <w:r>
        <w:rPr>
          <w:rFonts w:hint="eastAsia" w:hAnsi="宋体"/>
          <w:color w:val="auto"/>
          <w:sz w:val="24"/>
        </w:rPr>
        <w:t>供应商公章：</w:t>
      </w:r>
      <w:r>
        <w:rPr>
          <w:rFonts w:hAnsi="宋体"/>
          <w:color w:val="auto"/>
          <w:sz w:val="24"/>
        </w:rPr>
        <w:t xml:space="preserve">   </w:t>
      </w:r>
      <w:r>
        <w:rPr>
          <w:rFonts w:ascii="宋体" w:hAnsi="宋体"/>
          <w:color w:val="auto"/>
          <w:spacing w:val="20"/>
          <w:sz w:val="24"/>
          <w:u w:val="single"/>
        </w:rPr>
        <w:t xml:space="preserve">      </w:t>
      </w:r>
    </w:p>
    <w:p>
      <w:pPr>
        <w:pStyle w:val="962"/>
        <w:spacing w:line="360" w:lineRule="auto"/>
        <w:ind w:right="480"/>
        <w:rPr>
          <w:rFonts w:hAnsi="宋体" w:eastAsia="宋体" w:cs="宋体"/>
          <w:color w:val="auto"/>
          <w:sz w:val="24"/>
          <w:szCs w:val="24"/>
        </w:rPr>
      </w:pPr>
      <w:r>
        <w:rPr>
          <w:rFonts w:hAnsi="宋体" w:eastAsia="宋体"/>
          <w:color w:val="auto"/>
          <w:sz w:val="24"/>
          <w:szCs w:val="24"/>
        </w:rPr>
        <w:t xml:space="preserve">                             </w:t>
      </w:r>
      <w:r>
        <w:rPr>
          <w:rFonts w:hint="eastAsia" w:hAnsi="宋体" w:eastAsia="宋体"/>
          <w:color w:val="auto"/>
          <w:sz w:val="24"/>
          <w:szCs w:val="24"/>
        </w:rPr>
        <w:t xml:space="preserve"> </w:t>
      </w:r>
      <w:r>
        <w:rPr>
          <w:rFonts w:hAnsi="宋体" w:eastAsia="宋体"/>
          <w:color w:val="auto"/>
          <w:sz w:val="24"/>
          <w:szCs w:val="24"/>
        </w:rPr>
        <w:t xml:space="preserve">  </w:t>
      </w:r>
      <w:r>
        <w:rPr>
          <w:rFonts w:hint="eastAsia" w:hAnsi="宋体" w:eastAsia="宋体"/>
          <w:color w:val="auto"/>
          <w:sz w:val="24"/>
          <w:szCs w:val="24"/>
        </w:rPr>
        <w:t xml:space="preserve"> 年</w:t>
      </w:r>
      <w:r>
        <w:rPr>
          <w:rFonts w:hAnsi="宋体" w:eastAsia="宋体"/>
          <w:color w:val="auto"/>
          <w:sz w:val="24"/>
          <w:szCs w:val="24"/>
        </w:rPr>
        <w:t xml:space="preserve">    </w:t>
      </w:r>
      <w:r>
        <w:rPr>
          <w:rFonts w:hint="eastAsia" w:hAnsi="宋体" w:eastAsia="宋体"/>
          <w:color w:val="auto"/>
          <w:sz w:val="24"/>
          <w:szCs w:val="24"/>
        </w:rPr>
        <w:t>月</w:t>
      </w:r>
      <w:r>
        <w:rPr>
          <w:rFonts w:hAnsi="宋体" w:eastAsia="宋体"/>
          <w:color w:val="auto"/>
          <w:sz w:val="24"/>
          <w:szCs w:val="24"/>
        </w:rPr>
        <w:t xml:space="preserve">    </w:t>
      </w:r>
      <w:r>
        <w:rPr>
          <w:rFonts w:hint="eastAsia" w:hAnsi="宋体" w:eastAsia="宋体"/>
          <w:color w:val="auto"/>
          <w:sz w:val="24"/>
          <w:szCs w:val="24"/>
        </w:rPr>
        <w:t>日</w:t>
      </w:r>
    </w:p>
    <w:p>
      <w:pPr>
        <w:pStyle w:val="962"/>
        <w:spacing w:line="360" w:lineRule="auto"/>
        <w:rPr>
          <w:rFonts w:hAnsi="宋体" w:eastAsia="宋体"/>
          <w:b/>
          <w:color w:val="auto"/>
          <w:sz w:val="24"/>
        </w:rPr>
      </w:pPr>
    </w:p>
    <w:p>
      <w:pPr>
        <w:snapToGrid w:val="0"/>
        <w:spacing w:beforeLines="50" w:after="50"/>
        <w:jc w:val="center"/>
        <w:rPr>
          <w:rFonts w:ascii="宋体" w:hAnsi="宋体" w:cs="宋体"/>
          <w:b/>
          <w:color w:val="auto"/>
          <w:sz w:val="32"/>
          <w:szCs w:val="32"/>
        </w:rPr>
      </w:pPr>
      <w:r>
        <w:rPr>
          <w:rFonts w:hint="eastAsia" w:ascii="宋体" w:hAnsi="宋体" w:cs="宋体"/>
          <w:b/>
          <w:color w:val="auto"/>
          <w:sz w:val="32"/>
          <w:szCs w:val="32"/>
        </w:rPr>
        <w:t>投 标 函</w:t>
      </w:r>
    </w:p>
    <w:p>
      <w:pPr>
        <w:snapToGrid w:val="0"/>
        <w:spacing w:line="360" w:lineRule="auto"/>
        <w:rPr>
          <w:rFonts w:ascii="宋体" w:hAnsi="宋体" w:cs="宋体"/>
          <w:color w:val="auto"/>
          <w:sz w:val="24"/>
          <w:szCs w:val="20"/>
        </w:rPr>
      </w:pPr>
      <w:r>
        <w:rPr>
          <w:rFonts w:hint="eastAsia" w:ascii="宋体" w:hAnsi="宋体" w:cs="宋体"/>
          <w:color w:val="auto"/>
          <w:sz w:val="24"/>
        </w:rPr>
        <w:t>致</w:t>
      </w:r>
      <w:r>
        <w:rPr>
          <w:rFonts w:hint="eastAsia" w:ascii="宋体" w:hAnsi="宋体" w:cs="宋体"/>
          <w:color w:val="auto"/>
          <w:sz w:val="24"/>
          <w:u w:val="single"/>
        </w:rPr>
        <w:t xml:space="preserve">               </w:t>
      </w:r>
      <w:r>
        <w:rPr>
          <w:rFonts w:hint="eastAsia" w:ascii="宋体" w:hAnsi="宋体" w:cs="宋体"/>
          <w:color w:val="auto"/>
          <w:sz w:val="24"/>
        </w:rPr>
        <w:t xml:space="preserve">（采购人）：  </w:t>
      </w:r>
    </w:p>
    <w:p>
      <w:pPr>
        <w:snapToGrid w:val="0"/>
        <w:spacing w:beforeLines="50" w:after="50" w:line="360" w:lineRule="auto"/>
        <w:ind w:firstLine="480" w:firstLineChars="200"/>
        <w:rPr>
          <w:rFonts w:ascii="宋体" w:hAnsi="宋体" w:cs="宋体"/>
          <w:bCs/>
          <w:color w:val="auto"/>
          <w:sz w:val="24"/>
          <w:szCs w:val="20"/>
        </w:rPr>
      </w:pPr>
      <w:r>
        <w:rPr>
          <w:rFonts w:hint="eastAsia" w:ascii="宋体" w:hAnsi="宋体" w:cs="宋体"/>
          <w:color w:val="auto"/>
          <w:sz w:val="24"/>
        </w:rPr>
        <w:t>根据贵方为</w:t>
      </w:r>
      <w:r>
        <w:rPr>
          <w:rFonts w:hint="eastAsia" w:ascii="宋体" w:hAnsi="宋体" w:cs="宋体"/>
          <w:bCs/>
          <w:color w:val="auto"/>
          <w:sz w:val="24"/>
        </w:rPr>
        <w:t>项目名称：</w:t>
      </w:r>
      <w:r>
        <w:rPr>
          <w:rFonts w:hint="eastAsia" w:ascii="宋体" w:hAnsi="宋体" w:cs="宋体"/>
          <w:color w:val="auto"/>
          <w:sz w:val="24"/>
          <w:u w:val="single"/>
        </w:rPr>
        <w:t xml:space="preserve">                                     </w:t>
      </w:r>
      <w:r>
        <w:rPr>
          <w:rFonts w:hint="eastAsia" w:ascii="宋体" w:hAnsi="宋体" w:cs="宋体"/>
          <w:color w:val="auto"/>
          <w:sz w:val="24"/>
        </w:rPr>
        <w:t>的招标公告（项目编号：</w:t>
      </w:r>
      <w:r>
        <w:rPr>
          <w:rFonts w:hint="eastAsia" w:ascii="宋体" w:hAnsi="宋体" w:cs="宋体"/>
          <w:color w:val="auto"/>
          <w:sz w:val="24"/>
          <w:u w:val="single"/>
        </w:rPr>
        <w:t xml:space="preserve">               </w:t>
      </w:r>
      <w:r>
        <w:rPr>
          <w:rFonts w:hint="eastAsia" w:ascii="宋体" w:hAnsi="宋体" w:cs="宋体"/>
          <w:color w:val="auto"/>
          <w:sz w:val="24"/>
        </w:rPr>
        <w:t>），签字代表</w:t>
      </w:r>
      <w:r>
        <w:rPr>
          <w:rFonts w:hint="eastAsia" w:ascii="宋体" w:hAnsi="宋体" w:cs="宋体"/>
          <w:color w:val="auto"/>
          <w:sz w:val="24"/>
          <w:u w:val="single"/>
        </w:rPr>
        <w:t xml:space="preserve">               </w:t>
      </w:r>
      <w:r>
        <w:rPr>
          <w:rFonts w:hint="eastAsia" w:ascii="宋体" w:hAnsi="宋体" w:cs="宋体"/>
          <w:color w:val="auto"/>
          <w:sz w:val="24"/>
        </w:rPr>
        <w:t>（全名）经正式授权并代表投标人_</w:t>
      </w:r>
      <w:r>
        <w:rPr>
          <w:rFonts w:hint="eastAsia" w:ascii="宋体" w:hAnsi="宋体" w:cs="宋体"/>
          <w:color w:val="auto"/>
          <w:sz w:val="24"/>
          <w:u w:val="single"/>
        </w:rPr>
        <w:t xml:space="preserve">                      </w:t>
      </w:r>
      <w:r>
        <w:rPr>
          <w:rFonts w:hint="eastAsia" w:ascii="宋体" w:hAnsi="宋体" w:cs="宋体"/>
          <w:color w:val="auto"/>
          <w:sz w:val="24"/>
        </w:rPr>
        <w:t>（投标人名称）提交电子版投标文件（资格响应文件、商务技术响应文件、报价响应文件）。</w:t>
      </w:r>
    </w:p>
    <w:p>
      <w:pPr>
        <w:snapToGrid w:val="0"/>
        <w:spacing w:line="360" w:lineRule="auto"/>
        <w:ind w:firstLine="480" w:firstLineChars="200"/>
        <w:rPr>
          <w:rFonts w:ascii="宋体" w:hAnsi="宋体" w:cs="宋体"/>
          <w:color w:val="auto"/>
          <w:sz w:val="24"/>
          <w:szCs w:val="20"/>
        </w:rPr>
      </w:pPr>
      <w:r>
        <w:rPr>
          <w:rFonts w:hint="eastAsia" w:ascii="宋体" w:hAnsi="宋体" w:cs="宋体"/>
          <w:color w:val="auto"/>
          <w:sz w:val="24"/>
        </w:rPr>
        <w:t>据此函，签字代表宣布同意如下：</w:t>
      </w:r>
    </w:p>
    <w:p>
      <w:pPr>
        <w:snapToGrid w:val="0"/>
        <w:spacing w:line="360" w:lineRule="auto"/>
        <w:ind w:firstLine="480" w:firstLineChars="200"/>
        <w:rPr>
          <w:rFonts w:ascii="宋体" w:hAnsi="宋体" w:cs="宋体"/>
          <w:color w:val="auto"/>
          <w:sz w:val="24"/>
          <w:szCs w:val="20"/>
        </w:rPr>
      </w:pPr>
      <w:r>
        <w:rPr>
          <w:rFonts w:hint="eastAsia" w:ascii="宋体" w:hAnsi="宋体" w:cs="宋体"/>
          <w:color w:val="auto"/>
          <w:sz w:val="24"/>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ascii="宋体" w:hAnsi="宋体" w:cs="宋体"/>
          <w:color w:val="auto"/>
          <w:sz w:val="24"/>
          <w:szCs w:val="20"/>
        </w:rPr>
      </w:pPr>
      <w:r>
        <w:rPr>
          <w:rFonts w:hint="eastAsia" w:ascii="宋体" w:hAnsi="宋体" w:cs="宋体"/>
          <w:color w:val="auto"/>
          <w:sz w:val="24"/>
        </w:rPr>
        <w:t>2.投标人在投标之前已经与贵方进行了充分的沟通，完全理解并接受招标文件的各项规定和要求，对招标文件的合理性、合法性不再有异议。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ascii="宋体" w:hAnsi="宋体" w:cs="宋体"/>
          <w:color w:val="auto"/>
          <w:sz w:val="24"/>
          <w:szCs w:val="20"/>
        </w:rPr>
      </w:pPr>
      <w:r>
        <w:rPr>
          <w:rFonts w:hint="eastAsia" w:ascii="宋体" w:hAnsi="宋体" w:cs="宋体"/>
          <w:color w:val="auto"/>
          <w:sz w:val="24"/>
        </w:rPr>
        <w:t>3.本投标有效期自开标日起 ______个日。</w:t>
      </w:r>
    </w:p>
    <w:p>
      <w:pPr>
        <w:snapToGrid w:val="0"/>
        <w:spacing w:line="360" w:lineRule="auto"/>
        <w:ind w:firstLine="480" w:firstLineChars="200"/>
        <w:rPr>
          <w:rFonts w:ascii="宋体" w:hAnsi="宋体" w:cs="宋体"/>
          <w:color w:val="auto"/>
          <w:sz w:val="24"/>
          <w:szCs w:val="20"/>
        </w:rPr>
      </w:pPr>
      <w:r>
        <w:rPr>
          <w:rFonts w:hint="eastAsia" w:ascii="宋体" w:hAnsi="宋体" w:cs="宋体"/>
          <w:color w:val="auto"/>
          <w:sz w:val="24"/>
        </w:rPr>
        <w:t>4.如中标，本投标文件至本项目合同履行完毕止均保持有效，本投标人将按“招标文件”及政府采购法律、法规的规定履行合同责任和义务。</w:t>
      </w:r>
    </w:p>
    <w:p>
      <w:pPr>
        <w:snapToGrid w:val="0"/>
        <w:spacing w:line="360" w:lineRule="auto"/>
        <w:ind w:firstLine="480" w:firstLineChars="200"/>
        <w:rPr>
          <w:rFonts w:ascii="宋体" w:hAnsi="宋体" w:cs="宋体"/>
          <w:color w:val="auto"/>
          <w:sz w:val="24"/>
          <w:szCs w:val="20"/>
        </w:rPr>
      </w:pPr>
      <w:r>
        <w:rPr>
          <w:rFonts w:hint="eastAsia" w:ascii="宋体" w:hAnsi="宋体" w:cs="宋体"/>
          <w:color w:val="auto"/>
          <w:sz w:val="24"/>
        </w:rPr>
        <w:t>5.投标人同意按照贵方要求提供与投标有关的一切数据或资料。</w:t>
      </w:r>
    </w:p>
    <w:p>
      <w:pPr>
        <w:snapToGrid w:val="0"/>
        <w:spacing w:line="360" w:lineRule="auto"/>
        <w:ind w:firstLine="480" w:firstLineChars="200"/>
        <w:rPr>
          <w:rFonts w:ascii="宋体" w:hAnsi="宋体" w:cs="宋体"/>
          <w:color w:val="auto"/>
          <w:sz w:val="24"/>
          <w:szCs w:val="20"/>
        </w:rPr>
      </w:pPr>
      <w:r>
        <w:rPr>
          <w:rFonts w:hint="eastAsia" w:ascii="宋体" w:hAnsi="宋体" w:cs="宋体"/>
          <w:color w:val="auto"/>
          <w:sz w:val="24"/>
        </w:rPr>
        <w:t>6.与本投标有关的一切正式往来信函请寄：</w:t>
      </w:r>
    </w:p>
    <w:p>
      <w:pPr>
        <w:snapToGrid w:val="0"/>
        <w:spacing w:line="360" w:lineRule="auto"/>
        <w:rPr>
          <w:rFonts w:ascii="宋体" w:hAnsi="宋体" w:cs="宋体"/>
          <w:color w:val="auto"/>
          <w:sz w:val="24"/>
          <w:szCs w:val="20"/>
        </w:rPr>
      </w:pPr>
      <w:r>
        <w:rPr>
          <w:rFonts w:hint="eastAsia" w:ascii="宋体" w:hAnsi="宋体" w:cs="宋体"/>
          <w:color w:val="auto"/>
          <w:sz w:val="24"/>
        </w:rPr>
        <w:t>地址：</w:t>
      </w:r>
      <w:r>
        <w:rPr>
          <w:rFonts w:hint="eastAsia" w:ascii="宋体" w:hAnsi="宋体" w:cs="宋体"/>
          <w:color w:val="auto"/>
          <w:sz w:val="24"/>
          <w:u w:val="single"/>
        </w:rPr>
        <w:t xml:space="preserve">                            </w:t>
      </w:r>
      <w:r>
        <w:rPr>
          <w:rFonts w:hint="eastAsia" w:ascii="宋体" w:hAnsi="宋体" w:cs="宋体"/>
          <w:color w:val="auto"/>
          <w:sz w:val="24"/>
        </w:rPr>
        <w:t>邮编：__________  电话：_____________</w:t>
      </w:r>
    </w:p>
    <w:p>
      <w:pPr>
        <w:snapToGrid w:val="0"/>
        <w:spacing w:line="360" w:lineRule="auto"/>
        <w:rPr>
          <w:rFonts w:ascii="宋体" w:hAnsi="宋体" w:cs="宋体"/>
          <w:color w:val="auto"/>
          <w:sz w:val="24"/>
          <w:u w:val="single"/>
        </w:rPr>
      </w:pPr>
      <w:r>
        <w:rPr>
          <w:rFonts w:hint="eastAsia" w:ascii="宋体" w:hAnsi="宋体" w:cs="宋体"/>
          <w:color w:val="auto"/>
          <w:sz w:val="24"/>
        </w:rPr>
        <w:t>传真：______________投标人代表姓名：__________  职务：</w:t>
      </w:r>
      <w:r>
        <w:rPr>
          <w:rFonts w:hint="eastAsia" w:ascii="宋体" w:hAnsi="宋体" w:cs="宋体"/>
          <w:color w:val="auto"/>
          <w:sz w:val="24"/>
          <w:u w:val="single"/>
        </w:rPr>
        <w:t xml:space="preserve">               </w:t>
      </w:r>
    </w:p>
    <w:p>
      <w:pPr>
        <w:snapToGrid w:val="0"/>
        <w:spacing w:line="360" w:lineRule="auto"/>
        <w:rPr>
          <w:rFonts w:ascii="宋体" w:hAnsi="宋体" w:cs="宋体"/>
          <w:color w:val="auto"/>
          <w:sz w:val="24"/>
          <w:szCs w:val="20"/>
        </w:rPr>
      </w:pPr>
      <w:r>
        <w:rPr>
          <w:rFonts w:hint="eastAsia" w:ascii="宋体" w:hAnsi="宋体" w:cs="宋体"/>
          <w:color w:val="auto"/>
          <w:sz w:val="24"/>
        </w:rPr>
        <w:t>投标人名称(公章):___________________</w:t>
      </w:r>
    </w:p>
    <w:p>
      <w:pPr>
        <w:snapToGrid w:val="0"/>
        <w:spacing w:line="360" w:lineRule="auto"/>
        <w:rPr>
          <w:rFonts w:ascii="宋体" w:hAnsi="宋体" w:cs="宋体"/>
          <w:color w:val="auto"/>
          <w:sz w:val="24"/>
          <w:szCs w:val="20"/>
        </w:rPr>
      </w:pPr>
      <w:r>
        <w:rPr>
          <w:rFonts w:hint="eastAsia" w:ascii="宋体" w:hAnsi="宋体" w:cs="宋体"/>
          <w:color w:val="auto"/>
          <w:sz w:val="24"/>
        </w:rPr>
        <w:t>开户银行：</w:t>
      </w:r>
      <w:r>
        <w:rPr>
          <w:rFonts w:hint="eastAsia" w:ascii="宋体" w:hAnsi="宋体" w:cs="宋体"/>
          <w:color w:val="auto"/>
          <w:sz w:val="24"/>
          <w:u w:val="single"/>
        </w:rPr>
        <w:t xml:space="preserve">                      </w:t>
      </w:r>
      <w:r>
        <w:rPr>
          <w:rFonts w:hint="eastAsia" w:ascii="宋体" w:hAnsi="宋体" w:cs="宋体"/>
          <w:color w:val="auto"/>
          <w:sz w:val="24"/>
        </w:rPr>
        <w:t xml:space="preserve">   银行帐号：</w:t>
      </w:r>
      <w:r>
        <w:rPr>
          <w:rFonts w:hint="eastAsia" w:ascii="宋体" w:hAnsi="宋体" w:cs="宋体"/>
          <w:color w:val="auto"/>
          <w:sz w:val="24"/>
          <w:u w:val="single"/>
        </w:rPr>
        <w:t xml:space="preserve">                    </w:t>
      </w:r>
      <w:r>
        <w:rPr>
          <w:rFonts w:hint="eastAsia" w:ascii="宋体" w:hAnsi="宋体" w:cs="宋体"/>
          <w:color w:val="auto"/>
          <w:sz w:val="24"/>
        </w:rPr>
        <w:t xml:space="preserve"> </w:t>
      </w:r>
    </w:p>
    <w:p>
      <w:pPr>
        <w:snapToGrid w:val="0"/>
        <w:spacing w:line="360" w:lineRule="auto"/>
        <w:rPr>
          <w:rFonts w:ascii="宋体" w:hAnsi="宋体" w:cs="宋体"/>
          <w:color w:val="auto"/>
          <w:sz w:val="24"/>
        </w:rPr>
      </w:pPr>
      <w:r>
        <w:rPr>
          <w:rFonts w:hint="eastAsia" w:ascii="宋体" w:hAnsi="宋体" w:cs="宋体"/>
          <w:color w:val="auto"/>
          <w:sz w:val="24"/>
        </w:rPr>
        <w:t xml:space="preserve">法定代表人或授权委托人（签名）：            投标人（加盖公章）：          </w:t>
      </w:r>
    </w:p>
    <w:p>
      <w:pPr>
        <w:snapToGrid w:val="0"/>
        <w:spacing w:line="360" w:lineRule="auto"/>
        <w:ind w:firstLine="5040" w:firstLineChars="2100"/>
        <w:rPr>
          <w:rFonts w:ascii="宋体" w:hAnsi="宋体" w:cs="宋体"/>
          <w:color w:val="auto"/>
          <w:sz w:val="24"/>
        </w:rPr>
      </w:pPr>
    </w:p>
    <w:p>
      <w:pPr>
        <w:snapToGrid w:val="0"/>
        <w:spacing w:line="360" w:lineRule="auto"/>
        <w:ind w:firstLine="5040" w:firstLineChars="2100"/>
        <w:rPr>
          <w:rFonts w:ascii="宋体" w:hAnsi="宋体" w:cs="宋体"/>
          <w:color w:val="auto"/>
          <w:sz w:val="24"/>
        </w:rPr>
      </w:pPr>
      <w:r>
        <w:rPr>
          <w:rFonts w:hint="eastAsia" w:ascii="宋体" w:hAnsi="宋体" w:cs="宋体"/>
          <w:color w:val="auto"/>
          <w:sz w:val="24"/>
        </w:rPr>
        <w:t>日期:_____年___月___日</w:t>
      </w:r>
    </w:p>
    <w:p>
      <w:pPr>
        <w:snapToGrid w:val="0"/>
        <w:spacing w:before="50" w:after="50"/>
        <w:rPr>
          <w:rFonts w:ascii="宋体" w:hAnsi="宋体" w:cs="宋体"/>
          <w:color w:val="auto"/>
        </w:rPr>
      </w:pPr>
    </w:p>
    <w:p>
      <w:pPr>
        <w:snapToGrid w:val="0"/>
        <w:spacing w:before="50" w:after="50"/>
        <w:rPr>
          <w:rFonts w:ascii="宋体" w:hAnsi="宋体" w:cs="宋体"/>
          <w:color w:val="auto"/>
        </w:rPr>
      </w:pPr>
    </w:p>
    <w:p>
      <w:pPr>
        <w:snapToGrid w:val="0"/>
        <w:spacing w:before="50" w:after="50"/>
        <w:rPr>
          <w:rFonts w:ascii="宋体" w:hAnsi="宋体" w:cs="宋体"/>
          <w:color w:val="auto"/>
        </w:rPr>
      </w:pPr>
    </w:p>
    <w:p>
      <w:pPr>
        <w:snapToGrid w:val="0"/>
        <w:spacing w:before="50" w:after="50"/>
        <w:rPr>
          <w:rFonts w:ascii="宋体" w:hAnsi="宋体" w:cs="宋体"/>
          <w:color w:val="auto"/>
        </w:rPr>
      </w:pPr>
    </w:p>
    <w:p>
      <w:pPr>
        <w:snapToGrid w:val="0"/>
        <w:spacing w:before="50" w:after="50"/>
        <w:rPr>
          <w:rFonts w:ascii="宋体" w:hAnsi="宋体" w:cs="宋体"/>
          <w:color w:val="auto"/>
        </w:rPr>
      </w:pPr>
    </w:p>
    <w:p>
      <w:pPr>
        <w:pStyle w:val="25"/>
        <w:rPr>
          <w:rFonts w:ascii="宋体" w:hAnsi="宋体" w:cs="宋体"/>
          <w:color w:val="auto"/>
        </w:rPr>
      </w:pPr>
    </w:p>
    <w:p>
      <w:pPr>
        <w:pStyle w:val="26"/>
        <w:rPr>
          <w:color w:val="auto"/>
        </w:rPr>
      </w:pPr>
    </w:p>
    <w:bookmarkEnd w:id="35"/>
    <w:p>
      <w:pPr>
        <w:snapToGrid w:val="0"/>
        <w:spacing w:before="50" w:after="50"/>
        <w:jc w:val="center"/>
        <w:rPr>
          <w:rFonts w:ascii="宋体" w:hAnsi="宋体" w:cs="宋体"/>
          <w:b/>
          <w:color w:val="auto"/>
          <w:sz w:val="24"/>
        </w:rPr>
      </w:pPr>
      <w:r>
        <w:rPr>
          <w:rFonts w:hint="eastAsia" w:ascii="宋体" w:hAnsi="宋体" w:cs="宋体"/>
          <w:b/>
          <w:color w:val="auto"/>
          <w:sz w:val="24"/>
        </w:rPr>
        <w:t>开标一览表</w:t>
      </w:r>
    </w:p>
    <w:p>
      <w:pPr>
        <w:snapToGrid w:val="0"/>
        <w:spacing w:before="50" w:after="50"/>
        <w:jc w:val="center"/>
        <w:rPr>
          <w:rFonts w:ascii="宋体" w:hAnsi="宋体" w:cs="宋体"/>
          <w:b/>
          <w:color w:val="auto"/>
          <w:sz w:val="24"/>
          <w:szCs w:val="20"/>
        </w:rPr>
      </w:pPr>
    </w:p>
    <w:p>
      <w:pPr>
        <w:snapToGrid w:val="0"/>
        <w:spacing w:before="50" w:after="50"/>
        <w:ind w:right="480"/>
        <w:rPr>
          <w:rFonts w:ascii="宋体" w:hAnsi="宋体" w:cs="宋体"/>
          <w:color w:val="auto"/>
          <w:sz w:val="24"/>
          <w:u w:val="single"/>
        </w:rPr>
      </w:pPr>
      <w:r>
        <w:rPr>
          <w:rFonts w:hint="eastAsia" w:ascii="宋体" w:hAnsi="宋体" w:cs="宋体"/>
          <w:color w:val="auto"/>
          <w:sz w:val="24"/>
        </w:rPr>
        <w:t>项目编号：</w:t>
      </w:r>
      <w:r>
        <w:rPr>
          <w:rFonts w:hint="eastAsia" w:ascii="宋体" w:hAnsi="宋体" w:cs="宋体"/>
          <w:color w:val="auto"/>
          <w:sz w:val="24"/>
          <w:u w:val="single"/>
        </w:rPr>
        <w:t xml:space="preserve">                    </w:t>
      </w:r>
      <w:r>
        <w:rPr>
          <w:rFonts w:hint="eastAsia" w:ascii="宋体" w:hAnsi="宋体" w:cs="宋体"/>
          <w:color w:val="auto"/>
          <w:sz w:val="24"/>
        </w:rPr>
        <w:t xml:space="preserve">                           单位：元</w:t>
      </w:r>
    </w:p>
    <w:p>
      <w:pPr>
        <w:snapToGrid w:val="0"/>
        <w:spacing w:before="50" w:after="50"/>
        <w:ind w:right="480"/>
        <w:jc w:val="right"/>
        <w:rPr>
          <w:rFonts w:ascii="宋体" w:hAnsi="宋体" w:cs="宋体"/>
          <w:color w:val="auto"/>
          <w:sz w:val="24"/>
        </w:rPr>
      </w:pPr>
      <w:r>
        <w:rPr>
          <w:rFonts w:hint="eastAsia" w:ascii="宋体" w:hAnsi="宋体" w:cs="宋体"/>
          <w:color w:val="auto"/>
          <w:sz w:val="24"/>
        </w:rPr>
        <w:t xml:space="preserve">            </w:t>
      </w:r>
    </w:p>
    <w:tbl>
      <w:tblPr>
        <w:tblStyle w:val="63"/>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88"/>
        <w:gridCol w:w="6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7" w:hRule="atLeast"/>
        </w:trPr>
        <w:tc>
          <w:tcPr>
            <w:tcW w:w="2088" w:type="dxa"/>
            <w:tcBorders>
              <w:top w:val="single" w:color="auto" w:sz="4" w:space="0"/>
              <w:left w:val="single" w:color="auto" w:sz="4" w:space="0"/>
              <w:bottom w:val="single" w:color="auto" w:sz="4" w:space="0"/>
              <w:right w:val="single" w:color="auto" w:sz="4" w:space="0"/>
            </w:tcBorders>
            <w:vAlign w:val="center"/>
          </w:tcPr>
          <w:p>
            <w:pPr>
              <w:snapToGrid w:val="0"/>
              <w:spacing w:before="100" w:beforeAutospacing="1" w:after="100" w:afterAutospacing="1" w:line="276" w:lineRule="auto"/>
              <w:jc w:val="center"/>
              <w:rPr>
                <w:rFonts w:ascii="宋体" w:hAnsi="宋体" w:cs="宋体"/>
                <w:b/>
                <w:color w:val="auto"/>
                <w:szCs w:val="21"/>
              </w:rPr>
            </w:pPr>
            <w:r>
              <w:rPr>
                <w:rFonts w:hint="eastAsia" w:ascii="宋体" w:hAnsi="宋体" w:cs="宋体"/>
                <w:b/>
                <w:color w:val="auto"/>
                <w:szCs w:val="21"/>
              </w:rPr>
              <w:t>项目名称</w:t>
            </w:r>
          </w:p>
        </w:tc>
        <w:tc>
          <w:tcPr>
            <w:tcW w:w="6440" w:type="dxa"/>
            <w:tcBorders>
              <w:top w:val="single" w:color="auto" w:sz="4" w:space="0"/>
              <w:left w:val="single" w:color="auto" w:sz="4" w:space="0"/>
              <w:bottom w:val="single" w:color="auto" w:sz="4" w:space="0"/>
              <w:right w:val="single" w:color="auto" w:sz="4" w:space="0"/>
            </w:tcBorders>
            <w:vAlign w:val="center"/>
          </w:tcPr>
          <w:p>
            <w:pPr>
              <w:snapToGrid w:val="0"/>
              <w:spacing w:before="100" w:beforeAutospacing="1" w:after="100" w:afterAutospacing="1" w:line="276" w:lineRule="auto"/>
              <w:rPr>
                <w:rFonts w:ascii="宋体" w:hAnsi="宋体" w:cs="宋体"/>
                <w:b/>
                <w:color w:val="auto"/>
                <w:szCs w:val="21"/>
              </w:rPr>
            </w:pPr>
            <w:r>
              <w:rPr>
                <w:rFonts w:hint="eastAsia" w:ascii="宋体" w:hAnsi="宋体" w:cs="宋体"/>
                <w:b/>
                <w:color w:val="auto"/>
                <w:szCs w:val="21"/>
                <w:lang w:eastAsia="zh-CN"/>
              </w:rPr>
              <w:t>嘉善县第四幼儿园教育集团硕士幼儿园玩具采购</w:t>
            </w:r>
            <w:r>
              <w:rPr>
                <w:rFonts w:hint="eastAsia" w:ascii="宋体" w:hAnsi="宋体" w:cs="宋体"/>
                <w:b/>
                <w:color w:val="auto"/>
                <w:szCs w:val="21"/>
              </w:rPr>
              <w:t>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07" w:hRule="atLeast"/>
        </w:trPr>
        <w:tc>
          <w:tcPr>
            <w:tcW w:w="2088" w:type="dxa"/>
            <w:tcBorders>
              <w:top w:val="single" w:color="auto" w:sz="4" w:space="0"/>
              <w:left w:val="single" w:color="auto" w:sz="4" w:space="0"/>
              <w:bottom w:val="single" w:color="auto" w:sz="4" w:space="0"/>
              <w:right w:val="single" w:color="auto" w:sz="4" w:space="0"/>
            </w:tcBorders>
            <w:vAlign w:val="center"/>
          </w:tcPr>
          <w:p>
            <w:pPr>
              <w:snapToGrid w:val="0"/>
              <w:spacing w:before="100" w:beforeAutospacing="1" w:after="100" w:afterAutospacing="1" w:line="276" w:lineRule="auto"/>
              <w:jc w:val="center"/>
              <w:rPr>
                <w:rFonts w:ascii="宋体" w:hAnsi="宋体" w:cs="宋体"/>
                <w:b/>
                <w:color w:val="auto"/>
                <w:szCs w:val="21"/>
              </w:rPr>
            </w:pPr>
            <w:r>
              <w:rPr>
                <w:rFonts w:hint="eastAsia" w:ascii="宋体" w:hAnsi="宋体" w:cs="宋体"/>
                <w:b/>
                <w:color w:val="auto"/>
                <w:szCs w:val="21"/>
              </w:rPr>
              <w:t xml:space="preserve">总报价（小写） </w:t>
            </w:r>
          </w:p>
        </w:tc>
        <w:tc>
          <w:tcPr>
            <w:tcW w:w="6440" w:type="dxa"/>
            <w:tcBorders>
              <w:top w:val="single" w:color="auto" w:sz="4" w:space="0"/>
              <w:left w:val="single" w:color="auto" w:sz="4" w:space="0"/>
              <w:bottom w:val="single" w:color="auto" w:sz="4" w:space="0"/>
              <w:right w:val="single" w:color="auto" w:sz="4" w:space="0"/>
            </w:tcBorders>
            <w:vAlign w:val="center"/>
          </w:tcPr>
          <w:p>
            <w:pPr>
              <w:snapToGrid w:val="0"/>
              <w:spacing w:before="100" w:beforeAutospacing="1" w:after="100" w:afterAutospacing="1" w:line="276" w:lineRule="auto"/>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07" w:hRule="atLeast"/>
        </w:trPr>
        <w:tc>
          <w:tcPr>
            <w:tcW w:w="2088" w:type="dxa"/>
            <w:tcBorders>
              <w:top w:val="single" w:color="auto" w:sz="4" w:space="0"/>
              <w:left w:val="single" w:color="auto" w:sz="4" w:space="0"/>
              <w:bottom w:val="single" w:color="auto" w:sz="4" w:space="0"/>
              <w:right w:val="single" w:color="auto" w:sz="4" w:space="0"/>
            </w:tcBorders>
            <w:vAlign w:val="center"/>
          </w:tcPr>
          <w:p>
            <w:pPr>
              <w:snapToGrid w:val="0"/>
              <w:spacing w:before="100" w:beforeAutospacing="1" w:after="100" w:afterAutospacing="1" w:line="276" w:lineRule="auto"/>
              <w:jc w:val="center"/>
              <w:rPr>
                <w:rFonts w:ascii="宋体" w:hAnsi="宋体" w:cs="宋体"/>
                <w:b/>
                <w:color w:val="auto"/>
                <w:szCs w:val="21"/>
              </w:rPr>
            </w:pPr>
            <w:r>
              <w:rPr>
                <w:rFonts w:hint="eastAsia" w:ascii="宋体" w:hAnsi="宋体" w:cs="宋体"/>
                <w:b/>
                <w:color w:val="auto"/>
                <w:szCs w:val="21"/>
              </w:rPr>
              <w:t>总报价（大写）</w:t>
            </w:r>
          </w:p>
        </w:tc>
        <w:tc>
          <w:tcPr>
            <w:tcW w:w="6440" w:type="dxa"/>
            <w:tcBorders>
              <w:top w:val="single" w:color="auto" w:sz="4" w:space="0"/>
              <w:left w:val="single" w:color="auto" w:sz="4" w:space="0"/>
              <w:bottom w:val="single" w:color="auto" w:sz="4" w:space="0"/>
              <w:right w:val="single" w:color="auto" w:sz="4" w:space="0"/>
            </w:tcBorders>
            <w:vAlign w:val="center"/>
          </w:tcPr>
          <w:p>
            <w:pPr>
              <w:snapToGrid w:val="0"/>
              <w:spacing w:before="100" w:beforeAutospacing="1" w:after="100" w:afterAutospacing="1" w:line="276" w:lineRule="auto"/>
              <w:rPr>
                <w:rFonts w:ascii="宋体" w:hAnsi="宋体" w:cs="宋体"/>
                <w:color w:val="auto"/>
                <w:szCs w:val="21"/>
              </w:rPr>
            </w:pPr>
            <w:r>
              <w:rPr>
                <w:rFonts w:hint="eastAsia" w:ascii="宋体" w:hAnsi="宋体" w:cs="宋体"/>
                <w:color w:val="auto"/>
                <w:szCs w:val="21"/>
              </w:rPr>
              <w:t>人民币</w:t>
            </w:r>
          </w:p>
        </w:tc>
      </w:tr>
    </w:tbl>
    <w:p>
      <w:pPr>
        <w:snapToGrid w:val="0"/>
        <w:spacing w:line="480" w:lineRule="exact"/>
        <w:jc w:val="left"/>
        <w:rPr>
          <w:rFonts w:ascii="宋体" w:hAnsi="宋体" w:cs="宋体"/>
          <w:color w:val="auto"/>
          <w:szCs w:val="21"/>
        </w:rPr>
      </w:pPr>
      <w:r>
        <w:rPr>
          <w:rFonts w:hint="eastAsia" w:ascii="宋体" w:hAnsi="宋体" w:cs="宋体"/>
          <w:color w:val="auto"/>
          <w:szCs w:val="21"/>
        </w:rPr>
        <w:t>注: 1、报价一经涂改，应在涂改处加盖单位公章或者由法定代表人或被授权人签字或盖章，否则其投标作无效标处理。</w:t>
      </w:r>
    </w:p>
    <w:p>
      <w:pPr>
        <w:snapToGrid w:val="0"/>
        <w:spacing w:line="480" w:lineRule="exact"/>
        <w:ind w:firstLine="420" w:firstLineChars="200"/>
        <w:jc w:val="left"/>
        <w:rPr>
          <w:rFonts w:ascii="宋体" w:hAnsi="宋体" w:cs="宋体"/>
          <w:color w:val="auto"/>
          <w:szCs w:val="21"/>
        </w:rPr>
      </w:pPr>
      <w:r>
        <w:rPr>
          <w:rFonts w:hint="eastAsia" w:ascii="宋体" w:hAnsi="宋体" w:cs="宋体"/>
          <w:color w:val="auto"/>
          <w:szCs w:val="21"/>
        </w:rPr>
        <w:t>2、凡需用专用耗材的专用设备类采购项目，应按招标文件规定的耗材量或按耗材的常规试用量提供报价。</w:t>
      </w:r>
    </w:p>
    <w:p>
      <w:pPr>
        <w:snapToGrid w:val="0"/>
        <w:spacing w:line="480" w:lineRule="exact"/>
        <w:ind w:firstLine="420" w:firstLineChars="200"/>
        <w:jc w:val="left"/>
        <w:rPr>
          <w:rFonts w:ascii="宋体" w:hAnsi="宋体" w:cs="宋体"/>
          <w:color w:val="auto"/>
          <w:szCs w:val="21"/>
        </w:rPr>
      </w:pPr>
      <w:r>
        <w:rPr>
          <w:rFonts w:hint="eastAsia" w:ascii="宋体" w:hAnsi="宋体" w:cs="宋体"/>
          <w:color w:val="auto"/>
          <w:szCs w:val="21"/>
        </w:rPr>
        <w:t>3、以上报价应与“投标</w:t>
      </w:r>
      <w:r>
        <w:rPr>
          <w:rFonts w:hint="eastAsia" w:ascii="宋体" w:hAnsi="宋体" w:cs="宋体"/>
          <w:color w:val="auto"/>
        </w:rPr>
        <w:t>报价</w:t>
      </w:r>
      <w:r>
        <w:rPr>
          <w:rFonts w:hint="eastAsia" w:ascii="宋体" w:hAnsi="宋体" w:cs="宋体"/>
          <w:color w:val="auto"/>
          <w:szCs w:val="21"/>
        </w:rPr>
        <w:t>明细表”中的“投标总价”数相一致。</w:t>
      </w:r>
    </w:p>
    <w:p>
      <w:pPr>
        <w:snapToGrid w:val="0"/>
        <w:spacing w:line="480" w:lineRule="exact"/>
        <w:ind w:firstLine="420" w:firstLineChars="200"/>
        <w:jc w:val="left"/>
        <w:rPr>
          <w:rFonts w:ascii="宋体" w:hAnsi="宋体" w:cs="宋体"/>
          <w:color w:val="auto"/>
          <w:sz w:val="24"/>
          <w:szCs w:val="20"/>
        </w:rPr>
      </w:pPr>
      <w:r>
        <w:rPr>
          <w:rFonts w:hint="eastAsia" w:ascii="宋体" w:hAnsi="宋体" w:cs="宋体"/>
          <w:color w:val="auto"/>
          <w:szCs w:val="21"/>
        </w:rPr>
        <w:t>4、项目费用包括项目实施所需的人工费、服务费、运输费、安装调试费、领取及制作标书费、税费及其他一切费用。</w:t>
      </w:r>
    </w:p>
    <w:p>
      <w:pPr>
        <w:snapToGrid w:val="0"/>
        <w:spacing w:line="480" w:lineRule="exact"/>
        <w:ind w:left="-3" w:leftChars="-72" w:right="-817" w:rightChars="-389" w:hanging="148" w:hangingChars="62"/>
        <w:rPr>
          <w:rFonts w:ascii="宋体" w:hAnsi="宋体" w:cs="宋体"/>
          <w:color w:val="auto"/>
          <w:sz w:val="24"/>
        </w:rPr>
      </w:pPr>
    </w:p>
    <w:p>
      <w:pPr>
        <w:snapToGrid w:val="0"/>
        <w:spacing w:line="480" w:lineRule="exact"/>
        <w:ind w:left="-3" w:leftChars="-72" w:right="-817" w:rightChars="-389" w:hanging="148" w:hangingChars="62"/>
        <w:rPr>
          <w:rFonts w:ascii="宋体" w:hAnsi="宋体" w:cs="宋体"/>
          <w:color w:val="auto"/>
          <w:sz w:val="24"/>
        </w:rPr>
      </w:pPr>
      <w:r>
        <w:rPr>
          <w:rFonts w:hint="eastAsia" w:ascii="宋体" w:hAnsi="宋体" w:cs="宋体"/>
          <w:color w:val="auto"/>
          <w:sz w:val="24"/>
        </w:rPr>
        <w:t>法定代表人或授权委托人（签名）：            投标人（公章）：</w:t>
      </w:r>
    </w:p>
    <w:p>
      <w:pPr>
        <w:snapToGrid w:val="0"/>
        <w:spacing w:before="50" w:after="50"/>
        <w:ind w:left="-2" w:leftChars="-1" w:right="-817" w:rightChars="-389" w:firstLine="4800" w:firstLineChars="2000"/>
        <w:rPr>
          <w:rFonts w:ascii="宋体" w:hAnsi="宋体" w:cs="宋体"/>
          <w:color w:val="auto"/>
          <w:sz w:val="24"/>
        </w:rPr>
      </w:pPr>
    </w:p>
    <w:p>
      <w:pPr>
        <w:snapToGrid w:val="0"/>
        <w:spacing w:before="50" w:after="50"/>
        <w:ind w:left="-2" w:leftChars="-1" w:right="-817" w:rightChars="-389" w:firstLine="4800" w:firstLineChars="2000"/>
        <w:rPr>
          <w:rFonts w:ascii="宋体" w:hAnsi="宋体" w:cs="宋体"/>
          <w:color w:val="auto"/>
          <w:sz w:val="24"/>
          <w:szCs w:val="20"/>
        </w:rPr>
      </w:pPr>
      <w:r>
        <w:rPr>
          <w:rFonts w:hint="eastAsia" w:ascii="宋体" w:hAnsi="宋体" w:cs="宋体"/>
          <w:color w:val="auto"/>
          <w:sz w:val="24"/>
        </w:rPr>
        <w:t>日期：    年   月   日</w:t>
      </w:r>
    </w:p>
    <w:p>
      <w:pPr>
        <w:widowControl/>
        <w:spacing w:line="360" w:lineRule="auto"/>
        <w:ind w:left="212" w:hanging="572"/>
        <w:rPr>
          <w:rFonts w:ascii="宋体" w:hAnsi="宋体" w:cs="宋体"/>
          <w:b/>
          <w:color w:val="auto"/>
        </w:rPr>
        <w:sectPr>
          <w:pgSz w:w="11906" w:h="16838"/>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pPr>
        <w:widowControl/>
        <w:spacing w:line="360" w:lineRule="auto"/>
        <w:ind w:left="212" w:hanging="572"/>
        <w:jc w:val="center"/>
        <w:rPr>
          <w:rFonts w:ascii="宋体" w:hAnsi="宋体"/>
          <w:b/>
          <w:color w:val="auto"/>
          <w:sz w:val="28"/>
          <w:szCs w:val="28"/>
        </w:rPr>
      </w:pPr>
      <w:r>
        <w:rPr>
          <w:rFonts w:hint="eastAsia" w:ascii="宋体" w:hAnsi="宋体"/>
          <w:b/>
          <w:color w:val="auto"/>
          <w:sz w:val="28"/>
          <w:szCs w:val="28"/>
        </w:rPr>
        <w:t>投标报价明细表</w:t>
      </w:r>
    </w:p>
    <w:p>
      <w:pPr>
        <w:pStyle w:val="962"/>
        <w:spacing w:line="360" w:lineRule="auto"/>
        <w:rPr>
          <w:rFonts w:hAnsi="宋体" w:eastAsia="宋体"/>
          <w:color w:val="auto"/>
          <w:sz w:val="24"/>
          <w:szCs w:val="24"/>
          <w:u w:val="single"/>
        </w:rPr>
      </w:pPr>
      <w:r>
        <w:rPr>
          <w:rFonts w:hint="eastAsia" w:hAnsi="宋体" w:eastAsia="宋体"/>
          <w:color w:val="auto"/>
          <w:sz w:val="24"/>
          <w:szCs w:val="24"/>
        </w:rPr>
        <w:t>项目编号：</w:t>
      </w:r>
      <w:r>
        <w:rPr>
          <w:rFonts w:hAnsi="宋体" w:eastAsia="宋体"/>
          <w:color w:val="auto"/>
          <w:sz w:val="24"/>
          <w:szCs w:val="24"/>
          <w:u w:val="single"/>
        </w:rPr>
        <w:t xml:space="preserve">      </w:t>
      </w:r>
      <w:r>
        <w:rPr>
          <w:rFonts w:hint="eastAsia" w:hAnsi="宋体" w:eastAsia="宋体"/>
          <w:color w:val="auto"/>
          <w:sz w:val="24"/>
          <w:szCs w:val="24"/>
          <w:u w:val="single"/>
        </w:rPr>
        <w:t xml:space="preserve">     </w:t>
      </w:r>
      <w:r>
        <w:rPr>
          <w:rFonts w:hAnsi="宋体" w:eastAsia="宋体"/>
          <w:color w:val="auto"/>
          <w:sz w:val="24"/>
          <w:szCs w:val="24"/>
          <w:u w:val="single"/>
        </w:rPr>
        <w:t xml:space="preserve"> </w:t>
      </w:r>
      <w:r>
        <w:rPr>
          <w:rFonts w:hAnsi="宋体" w:eastAsia="宋体"/>
          <w:color w:val="auto"/>
          <w:sz w:val="24"/>
          <w:szCs w:val="24"/>
        </w:rPr>
        <w:t xml:space="preserve">  </w:t>
      </w:r>
    </w:p>
    <w:p>
      <w:pPr>
        <w:pStyle w:val="962"/>
        <w:wordWrap w:val="0"/>
        <w:spacing w:line="360" w:lineRule="auto"/>
        <w:rPr>
          <w:rFonts w:hAnsi="宋体" w:eastAsia="宋体"/>
          <w:color w:val="auto"/>
          <w:sz w:val="24"/>
          <w:szCs w:val="24"/>
        </w:rPr>
      </w:pPr>
      <w:r>
        <w:rPr>
          <w:rFonts w:hint="eastAsia" w:hAnsi="宋体" w:eastAsia="宋体"/>
          <w:color w:val="auto"/>
          <w:sz w:val="24"/>
          <w:szCs w:val="24"/>
        </w:rPr>
        <w:t>投标人名称：</w:t>
      </w:r>
      <w:r>
        <w:rPr>
          <w:rFonts w:hAnsi="宋体" w:eastAsia="宋体"/>
          <w:color w:val="auto"/>
          <w:sz w:val="24"/>
          <w:szCs w:val="24"/>
          <w:u w:val="single"/>
        </w:rPr>
        <w:t xml:space="preserve">      </w:t>
      </w:r>
      <w:r>
        <w:rPr>
          <w:rFonts w:hint="eastAsia" w:hAnsi="宋体" w:eastAsia="宋体"/>
          <w:color w:val="auto"/>
          <w:sz w:val="24"/>
          <w:szCs w:val="24"/>
          <w:u w:val="single"/>
        </w:rPr>
        <w:t xml:space="preserve">     </w:t>
      </w:r>
      <w:r>
        <w:rPr>
          <w:rFonts w:hAnsi="宋体" w:eastAsia="宋体"/>
          <w:color w:val="auto"/>
          <w:sz w:val="24"/>
          <w:szCs w:val="24"/>
          <w:u w:val="single"/>
        </w:rPr>
        <w:t xml:space="preserve"> </w:t>
      </w:r>
      <w:r>
        <w:rPr>
          <w:rFonts w:hAnsi="宋体" w:eastAsia="宋体"/>
          <w:color w:val="auto"/>
          <w:sz w:val="24"/>
          <w:szCs w:val="24"/>
        </w:rPr>
        <w:t xml:space="preserve">                       </w:t>
      </w:r>
      <w:r>
        <w:rPr>
          <w:rFonts w:hint="eastAsia" w:hAnsi="宋体" w:eastAsia="宋体"/>
          <w:color w:val="auto"/>
          <w:sz w:val="24"/>
          <w:szCs w:val="24"/>
        </w:rPr>
        <w:t xml:space="preserve">    金额单位：人民币（元）</w:t>
      </w:r>
    </w:p>
    <w:p>
      <w:pPr>
        <w:snapToGrid w:val="0"/>
        <w:spacing w:before="50" w:after="50"/>
        <w:ind w:left="-2" w:leftChars="-1" w:right="-817" w:rightChars="-389" w:firstLine="4800" w:firstLineChars="2000"/>
        <w:rPr>
          <w:rFonts w:ascii="宋体" w:hAnsi="宋体" w:cs="宋体"/>
          <w:color w:val="auto"/>
          <w:sz w:val="24"/>
          <w:szCs w:val="20"/>
        </w:rPr>
      </w:pPr>
    </w:p>
    <w:tbl>
      <w:tblPr>
        <w:tblStyle w:val="63"/>
        <w:tblW w:w="904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63"/>
        <w:gridCol w:w="672"/>
        <w:gridCol w:w="852"/>
        <w:gridCol w:w="1029"/>
        <w:gridCol w:w="957"/>
        <w:gridCol w:w="852"/>
        <w:gridCol w:w="891"/>
        <w:gridCol w:w="1277"/>
        <w:gridCol w:w="14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trPr>
        <w:tc>
          <w:tcPr>
            <w:tcW w:w="1096" w:type="dxa"/>
            <w:gridSpan w:val="2"/>
            <w:vMerge w:val="restart"/>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r>
              <w:rPr>
                <w:rFonts w:hint="eastAsia" w:ascii="宋体" w:hAnsi="宋体" w:cs="宋体"/>
                <w:bCs/>
                <w:color w:val="auto"/>
                <w:sz w:val="24"/>
              </w:rPr>
              <w:t>货物</w:t>
            </w:r>
          </w:p>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名称</w:t>
            </w:r>
          </w:p>
        </w:tc>
        <w:tc>
          <w:tcPr>
            <w:tcW w:w="672" w:type="dxa"/>
            <w:vMerge w:val="restart"/>
            <w:tcBorders>
              <w:top w:val="single" w:color="auto" w:sz="4" w:space="0"/>
              <w:left w:val="single" w:color="auto" w:sz="4" w:space="0"/>
              <w:bottom w:val="nil"/>
              <w:right w:val="single" w:color="auto" w:sz="4" w:space="0"/>
            </w:tcBorders>
            <w:vAlign w:val="center"/>
          </w:tcPr>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品牌</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产地</w:t>
            </w:r>
          </w:p>
        </w:tc>
        <w:tc>
          <w:tcPr>
            <w:tcW w:w="1029" w:type="dxa"/>
            <w:vMerge w:val="restart"/>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r>
              <w:rPr>
                <w:rFonts w:hint="eastAsia" w:ascii="宋体" w:hAnsi="宋体" w:cs="宋体"/>
                <w:bCs/>
                <w:color w:val="auto"/>
                <w:sz w:val="24"/>
              </w:rPr>
              <w:t>规格</w:t>
            </w:r>
          </w:p>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型号</w:t>
            </w:r>
          </w:p>
        </w:tc>
        <w:tc>
          <w:tcPr>
            <w:tcW w:w="957" w:type="dxa"/>
            <w:vMerge w:val="restart"/>
            <w:tcBorders>
              <w:top w:val="single" w:color="auto" w:sz="4" w:space="0"/>
              <w:left w:val="single" w:color="auto" w:sz="4" w:space="0"/>
              <w:bottom w:val="nil"/>
              <w:right w:val="single" w:color="auto" w:sz="4" w:space="0"/>
            </w:tcBorders>
            <w:vAlign w:val="center"/>
          </w:tcPr>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数量</w:t>
            </w:r>
          </w:p>
        </w:tc>
        <w:tc>
          <w:tcPr>
            <w:tcW w:w="852" w:type="dxa"/>
            <w:vMerge w:val="restart"/>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r>
              <w:rPr>
                <w:rFonts w:hint="eastAsia" w:ascii="宋体" w:hAnsi="宋体" w:cs="宋体"/>
                <w:bCs/>
                <w:color w:val="auto"/>
                <w:sz w:val="24"/>
              </w:rPr>
              <w:t>单价</w:t>
            </w:r>
          </w:p>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（元）</w:t>
            </w:r>
          </w:p>
        </w:tc>
        <w:tc>
          <w:tcPr>
            <w:tcW w:w="891" w:type="dxa"/>
            <w:vMerge w:val="restart"/>
            <w:tcBorders>
              <w:top w:val="single" w:color="auto" w:sz="4" w:space="0"/>
              <w:left w:val="single" w:color="auto" w:sz="4" w:space="0"/>
              <w:bottom w:val="nil"/>
              <w:right w:val="single" w:color="auto" w:sz="4" w:space="0"/>
            </w:tcBorders>
            <w:vAlign w:val="center"/>
          </w:tcPr>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总价（元）</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制造商情况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trPr>
        <w:tc>
          <w:tcPr>
            <w:tcW w:w="1096" w:type="dxa"/>
            <w:gridSpan w:val="2"/>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p>
        </w:tc>
        <w:tc>
          <w:tcPr>
            <w:tcW w:w="672"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p>
        </w:tc>
        <w:tc>
          <w:tcPr>
            <w:tcW w:w="852"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p>
        </w:tc>
        <w:tc>
          <w:tcPr>
            <w:tcW w:w="1029"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p>
        </w:tc>
        <w:tc>
          <w:tcPr>
            <w:tcW w:w="957"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p>
        </w:tc>
        <w:tc>
          <w:tcPr>
            <w:tcW w:w="852"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p>
        </w:tc>
        <w:tc>
          <w:tcPr>
            <w:tcW w:w="891" w:type="dxa"/>
            <w:vMerge w:val="continue"/>
            <w:tcBorders>
              <w:top w:val="single" w:color="auto" w:sz="4" w:space="0"/>
              <w:left w:val="single" w:color="auto" w:sz="4" w:space="0"/>
              <w:bottom w:val="nil"/>
              <w:right w:val="single" w:color="auto" w:sz="4" w:space="0"/>
            </w:tcBorders>
            <w:vAlign w:val="center"/>
          </w:tcPr>
          <w:p>
            <w:pPr>
              <w:spacing w:line="360" w:lineRule="auto"/>
              <w:jc w:val="center"/>
              <w:rPr>
                <w:rFonts w:ascii="宋体" w:hAnsi="宋体" w:cs="宋体"/>
                <w:bCs/>
                <w:color w:val="auto"/>
                <w:sz w:val="24"/>
              </w:rPr>
            </w:pPr>
          </w:p>
        </w:tc>
        <w:tc>
          <w:tcPr>
            <w:tcW w:w="1277" w:type="dxa"/>
            <w:tcBorders>
              <w:top w:val="single" w:color="auto" w:sz="4" w:space="0"/>
              <w:left w:val="single" w:color="auto" w:sz="4" w:space="0"/>
              <w:bottom w:val="nil"/>
              <w:right w:val="single" w:color="auto" w:sz="4" w:space="0"/>
            </w:tcBorders>
            <w:vAlign w:val="center"/>
          </w:tcPr>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是否中小微企业</w:t>
            </w:r>
          </w:p>
        </w:tc>
        <w:tc>
          <w:tcPr>
            <w:tcW w:w="1419" w:type="dxa"/>
            <w:tcBorders>
              <w:top w:val="single" w:color="auto" w:sz="4" w:space="0"/>
              <w:left w:val="single" w:color="auto" w:sz="4" w:space="0"/>
              <w:bottom w:val="nil"/>
              <w:right w:val="single" w:color="auto" w:sz="4" w:space="0"/>
            </w:tcBorders>
            <w:vAlign w:val="center"/>
          </w:tcPr>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企业全称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67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029"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color w:val="auto"/>
              </w:rPr>
            </w:pPr>
          </w:p>
          <w:p>
            <w:pPr>
              <w:pStyle w:val="25"/>
              <w:rPr>
                <w:color w:val="auto"/>
              </w:rPr>
            </w:pPr>
          </w:p>
        </w:tc>
        <w:tc>
          <w:tcPr>
            <w:tcW w:w="67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029"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67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029"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r>
              <w:rPr>
                <w:rFonts w:hint="eastAsia" w:ascii="宋体" w:hAnsi="宋体" w:cs="宋体"/>
                <w:bCs/>
                <w:color w:val="auto"/>
                <w:sz w:val="24"/>
              </w:rPr>
              <w:t>…</w:t>
            </w:r>
          </w:p>
        </w:tc>
        <w:tc>
          <w:tcPr>
            <w:tcW w:w="67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029"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jc w:val="center"/>
              <w:rPr>
                <w:rFonts w:ascii="宋体" w:hAnsi="宋体" w:cs="宋体"/>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1" w:hRule="atLeast"/>
        </w:trPr>
        <w:tc>
          <w:tcPr>
            <w:tcW w:w="9045" w:type="dxa"/>
            <w:gridSpan w:val="10"/>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rPr>
                <w:rFonts w:ascii="宋体" w:hAnsi="宋体" w:cs="宋体"/>
                <w:bCs/>
                <w:color w:val="auto"/>
                <w:sz w:val="24"/>
              </w:rPr>
            </w:pPr>
            <w:r>
              <w:rPr>
                <w:rFonts w:hint="eastAsia" w:ascii="宋体" w:hAnsi="宋体" w:cs="宋体"/>
                <w:bCs/>
                <w:color w:val="auto"/>
                <w:sz w:val="24"/>
              </w:rPr>
              <w:t xml:space="preserve">投标总价合计金额大写：                               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spacing w:after="200" w:line="360" w:lineRule="auto"/>
              <w:rPr>
                <w:rFonts w:ascii="宋体" w:hAnsi="宋体" w:cs="宋体"/>
                <w:color w:val="auto"/>
                <w:sz w:val="24"/>
              </w:rPr>
            </w:pPr>
            <w:r>
              <w:rPr>
                <w:rFonts w:hint="eastAsia" w:ascii="宋体" w:hAnsi="宋体" w:cs="宋体"/>
                <w:color w:val="auto"/>
                <w:sz w:val="24"/>
              </w:rPr>
              <w:t>备注</w:t>
            </w:r>
          </w:p>
        </w:tc>
        <w:tc>
          <w:tcPr>
            <w:tcW w:w="8512"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1、此表应按项目的明细情况列项填报,在填写时，如上表不适合本项目的实际情况，可在确保投标明细内容完整的情况下，根据上表格式自行划表填写。</w:t>
            </w:r>
          </w:p>
          <w:p>
            <w:pPr>
              <w:spacing w:line="360" w:lineRule="auto"/>
              <w:rPr>
                <w:rFonts w:ascii="宋体" w:hAnsi="宋体" w:cs="宋体"/>
                <w:color w:val="auto"/>
                <w:kern w:val="0"/>
                <w:sz w:val="24"/>
              </w:rPr>
            </w:pPr>
            <w:r>
              <w:rPr>
                <w:rFonts w:hint="eastAsia" w:ascii="宋体" w:hAnsi="宋体" w:cs="宋体"/>
                <w:color w:val="auto"/>
                <w:sz w:val="24"/>
              </w:rPr>
              <w:t>2、报价要求：项目费用包括项目实施所需的工程费、工时费、服务费、运输费、安装调试费、税费及其他一切费用。</w:t>
            </w:r>
          </w:p>
          <w:p>
            <w:pPr>
              <w:spacing w:line="360" w:lineRule="auto"/>
              <w:rPr>
                <w:rFonts w:ascii="宋体" w:hAnsi="宋体" w:cs="宋体"/>
                <w:color w:val="auto"/>
                <w:sz w:val="24"/>
              </w:rPr>
            </w:pPr>
            <w:r>
              <w:rPr>
                <w:rFonts w:hint="eastAsia" w:ascii="宋体" w:hAnsi="宋体" w:cs="宋体"/>
                <w:color w:val="auto"/>
                <w:sz w:val="24"/>
              </w:rPr>
              <w:t>3、报价中不允许出现报价优惠等字样,投标总价合计金额应与明细报价汇总相等。</w:t>
            </w:r>
          </w:p>
        </w:tc>
      </w:tr>
    </w:tbl>
    <w:p>
      <w:pPr>
        <w:spacing w:line="400" w:lineRule="exact"/>
        <w:rPr>
          <w:rFonts w:ascii="仿宋" w:hAnsi="仿宋" w:eastAsia="仿宋"/>
          <w:color w:val="auto"/>
          <w:sz w:val="24"/>
        </w:rPr>
      </w:pPr>
    </w:p>
    <w:p>
      <w:pPr>
        <w:tabs>
          <w:tab w:val="left" w:pos="1418"/>
        </w:tabs>
        <w:spacing w:line="360" w:lineRule="auto"/>
        <w:rPr>
          <w:rFonts w:ascii="宋体" w:hAnsi="宋体"/>
          <w:bCs/>
          <w:color w:val="auto"/>
          <w:sz w:val="24"/>
        </w:rPr>
      </w:pPr>
      <w:r>
        <w:rPr>
          <w:rFonts w:ascii="宋体" w:hAnsi="宋体"/>
          <w:color w:val="auto"/>
          <w:sz w:val="24"/>
        </w:rPr>
        <w:t>法定代表人或委托代理人签名：</w:t>
      </w:r>
      <w:r>
        <w:rPr>
          <w:rFonts w:hint="eastAsia" w:ascii="宋体" w:hAnsi="宋体"/>
          <w:bCs/>
          <w:color w:val="auto"/>
          <w:sz w:val="24"/>
        </w:rPr>
        <w:t xml:space="preserve"> </w:t>
      </w:r>
    </w:p>
    <w:p>
      <w:pPr>
        <w:tabs>
          <w:tab w:val="left" w:pos="1418"/>
        </w:tabs>
        <w:spacing w:line="360" w:lineRule="auto"/>
        <w:rPr>
          <w:rFonts w:ascii="宋体" w:hAnsi="宋体"/>
          <w:bCs/>
          <w:color w:val="auto"/>
          <w:sz w:val="24"/>
        </w:rPr>
      </w:pPr>
      <w:r>
        <w:rPr>
          <w:rFonts w:hint="eastAsia" w:ascii="宋体" w:hAnsi="宋体"/>
          <w:bCs/>
          <w:color w:val="auto"/>
          <w:sz w:val="24"/>
        </w:rPr>
        <w:t>投 标 人（盖章）：                              年  月  日</w:t>
      </w:r>
    </w:p>
    <w:p>
      <w:pPr>
        <w:snapToGrid w:val="0"/>
        <w:spacing w:line="360" w:lineRule="auto"/>
        <w:rPr>
          <w:rFonts w:ascii="宋体" w:hAnsi="宋体"/>
          <w:color w:val="auto"/>
          <w:sz w:val="24"/>
        </w:rPr>
      </w:pPr>
    </w:p>
    <w:p>
      <w:pPr>
        <w:snapToGrid w:val="0"/>
        <w:spacing w:line="360" w:lineRule="auto"/>
        <w:rPr>
          <w:rFonts w:ascii="宋体" w:hAnsi="宋体"/>
          <w:color w:val="auto"/>
          <w:sz w:val="24"/>
        </w:rPr>
      </w:pPr>
    </w:p>
    <w:p>
      <w:pPr>
        <w:widowControl/>
        <w:spacing w:line="360" w:lineRule="auto"/>
        <w:ind w:left="212" w:hanging="572"/>
        <w:jc w:val="center"/>
        <w:rPr>
          <w:rFonts w:hAnsi="宋体" w:cs="宋体"/>
          <w:color w:val="auto"/>
          <w:sz w:val="24"/>
        </w:rPr>
      </w:pPr>
    </w:p>
    <w:p>
      <w:pPr>
        <w:spacing w:line="360" w:lineRule="auto"/>
        <w:rPr>
          <w:rFonts w:ascii="仿宋" w:hAnsi="仿宋" w:eastAsia="仿宋"/>
          <w:bCs/>
          <w:color w:val="auto"/>
          <w:sz w:val="24"/>
        </w:rPr>
      </w:pPr>
    </w:p>
    <w:sectPr>
      <w:headerReference r:id="rId8" w:type="first"/>
      <w:footerReference r:id="rId11" w:type="first"/>
      <w:headerReference r:id="rId7" w:type="default"/>
      <w:footerReference r:id="rId9" w:type="default"/>
      <w:footerReference r:id="rId10"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创艺简标宋">
    <w:altName w:val="黑体"/>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gzMrnhoCAAAiBAAADgAA&#10;AAAAAAABACAAAAAfAQAAZHJzL2Uyb0RvYy54bWxQSwUGAAAAAAYABgBZAQAAq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8</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Wp4YbAgAAIgQAAA4AAABkcnMvZTJvRG9jLnhtbK1TzY7TMBC+I/EO&#10;lu80aStW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IWp4YbAgAAIgQAAA4A&#10;AAAAAAAAAQAgAAAAHwEAAGRycy9lMm9Eb2MueG1sUEsFBgAAAAAGAAYAWQEAAKw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8</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uA80cAgAAIg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F7gPNHAIAACIEAAAO&#10;AAAAAAAAAAEAIAAAAB8BAABkcnMvZTJvRG9jLnhtbFBLBQYAAAAABgAGAFkBAACt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p>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42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Lj9UbAgAAIgQAAA4AAABkcnMvZTJvRG9jLnhtbK1TzY7TMBC+I/EO&#10;lu80aVFX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TLj9UbAgAAIgQAAA4A&#10;AAAAAAAAAQAgAAAAHwEAAGRycy9lMm9Eb2MueG1sUEsFBgAAAAAGAAYAWQEAAKw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42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elG/wbAgAAIgQAAA4A&#10;AAAAAAAAAQAgAAAAHwEAAGRycy9lMm9Eb2MueG1sUEsFBgAAAAAGAAYAWQEAAKw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tabs>
        <w:tab w:val="clear" w:pos="4153"/>
        <w:tab w:val="clear" w:pos="8306"/>
      </w:tabs>
      <w:jc w:val="both"/>
      <w:rPr>
        <w:rFonts w:ascii="仿宋_GB2312" w:eastAsia="仿宋_GB2312"/>
        <w:b/>
        <w:i/>
        <w:i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tabs>
        <w:tab w:val="left" w:pos="5675"/>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CA3B46"/>
    <w:multiLevelType w:val="singleLevel"/>
    <w:tmpl w:val="B5CA3B46"/>
    <w:lvl w:ilvl="0" w:tentative="0">
      <w:start w:val="6"/>
      <w:numFmt w:val="chineseCounting"/>
      <w:suff w:val="nothing"/>
      <w:lvlText w:val="第%1章　"/>
      <w:lvlJc w:val="left"/>
      <w:rPr>
        <w:rFonts w:hint="eastAsia"/>
      </w:rPr>
    </w:lvl>
  </w:abstractNum>
  <w:abstractNum w:abstractNumId="1">
    <w:nsid w:val="BC792504"/>
    <w:multiLevelType w:val="singleLevel"/>
    <w:tmpl w:val="BC792504"/>
    <w:lvl w:ilvl="0" w:tentative="0">
      <w:start w:val="2"/>
      <w:numFmt w:val="chineseCounting"/>
      <w:suff w:val="space"/>
      <w:lvlText w:val="第%1章"/>
      <w:lvlJc w:val="left"/>
      <w:rPr>
        <w:rFonts w:hint="eastAsia"/>
      </w:rPr>
    </w:lvl>
  </w:abstractNum>
  <w:abstractNum w:abstractNumId="2">
    <w:nsid w:val="03C3D9C8"/>
    <w:multiLevelType w:val="singleLevel"/>
    <w:tmpl w:val="03C3D9C8"/>
    <w:lvl w:ilvl="0" w:tentative="0">
      <w:start w:val="1"/>
      <w:numFmt w:val="chineseCounting"/>
      <w:suff w:val="nothing"/>
      <w:lvlText w:val="%1、"/>
      <w:lvlJc w:val="left"/>
      <w:rPr>
        <w:rFonts w:hint="eastAsia" w:ascii="宋体" w:hAnsi="宋体" w:eastAsia="宋体" w:cs="宋体"/>
        <w:b/>
        <w:bCs/>
        <w:sz w:val="24"/>
        <w:szCs w:val="24"/>
      </w:rPr>
    </w:lvl>
  </w:abstractNum>
  <w:abstractNum w:abstractNumId="3">
    <w:nsid w:val="19549691"/>
    <w:multiLevelType w:val="singleLevel"/>
    <w:tmpl w:val="19549691"/>
    <w:lvl w:ilvl="0" w:tentative="0">
      <w:start w:val="1"/>
      <w:numFmt w:val="decimal"/>
      <w:suff w:val="nothing"/>
      <w:lvlText w:val="%1、"/>
      <w:lvlJc w:val="left"/>
    </w:lvl>
  </w:abstractNum>
  <w:abstractNum w:abstractNumId="4">
    <w:nsid w:val="5D804704"/>
    <w:multiLevelType w:val="singleLevel"/>
    <w:tmpl w:val="5D804704"/>
    <w:lvl w:ilvl="0" w:tentative="0">
      <w:start w:val="1"/>
      <w:numFmt w:val="chineseCounting"/>
      <w:suff w:val="nothing"/>
      <w:lvlText w:val="%1、"/>
      <w:lvlJc w:val="left"/>
    </w:lvl>
  </w:abstractNum>
  <w:abstractNum w:abstractNumId="5">
    <w:nsid w:val="5D804826"/>
    <w:multiLevelType w:val="singleLevel"/>
    <w:tmpl w:val="5D804826"/>
    <w:lvl w:ilvl="0" w:tentative="0">
      <w:start w:val="1"/>
      <w:numFmt w:val="decimal"/>
      <w:suff w:val="nothing"/>
      <w:lvlText w:val="%1."/>
      <w:lvlJc w:val="left"/>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jNDZlNmRjZjg4MDY0MWI4OTc0NDY1NWQ0MmY0ZG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90D"/>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B4D"/>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2711"/>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23C4"/>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D92"/>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D1D14"/>
    <w:rsid w:val="011F6449"/>
    <w:rsid w:val="01236AFB"/>
    <w:rsid w:val="0155173E"/>
    <w:rsid w:val="019F7441"/>
    <w:rsid w:val="01A319FB"/>
    <w:rsid w:val="01B37585"/>
    <w:rsid w:val="01D55165"/>
    <w:rsid w:val="01DF6BF8"/>
    <w:rsid w:val="01E020F4"/>
    <w:rsid w:val="01EC2C57"/>
    <w:rsid w:val="02335B61"/>
    <w:rsid w:val="026B2E25"/>
    <w:rsid w:val="02824D4D"/>
    <w:rsid w:val="02B6358C"/>
    <w:rsid w:val="02C46BBB"/>
    <w:rsid w:val="02DB517C"/>
    <w:rsid w:val="02DC4B10"/>
    <w:rsid w:val="02DD76CE"/>
    <w:rsid w:val="02F36323"/>
    <w:rsid w:val="02F5619C"/>
    <w:rsid w:val="0326446A"/>
    <w:rsid w:val="032D5555"/>
    <w:rsid w:val="036634D2"/>
    <w:rsid w:val="03B3000A"/>
    <w:rsid w:val="03CA7DC7"/>
    <w:rsid w:val="03DD35E4"/>
    <w:rsid w:val="03DF4853"/>
    <w:rsid w:val="03E903BE"/>
    <w:rsid w:val="04076900"/>
    <w:rsid w:val="041A5A3B"/>
    <w:rsid w:val="042311BA"/>
    <w:rsid w:val="042B157A"/>
    <w:rsid w:val="045650B3"/>
    <w:rsid w:val="048F763B"/>
    <w:rsid w:val="049F330E"/>
    <w:rsid w:val="04AA775C"/>
    <w:rsid w:val="04AB3433"/>
    <w:rsid w:val="04AF1889"/>
    <w:rsid w:val="04F66F48"/>
    <w:rsid w:val="05251E14"/>
    <w:rsid w:val="054B2EBB"/>
    <w:rsid w:val="05541A7D"/>
    <w:rsid w:val="055F25E4"/>
    <w:rsid w:val="05A16594"/>
    <w:rsid w:val="05A7762D"/>
    <w:rsid w:val="06011897"/>
    <w:rsid w:val="060E5941"/>
    <w:rsid w:val="06110FAF"/>
    <w:rsid w:val="061B4D44"/>
    <w:rsid w:val="06493CA7"/>
    <w:rsid w:val="064E099C"/>
    <w:rsid w:val="065A6178"/>
    <w:rsid w:val="066F1CF3"/>
    <w:rsid w:val="06833150"/>
    <w:rsid w:val="06930BB8"/>
    <w:rsid w:val="07245D42"/>
    <w:rsid w:val="07264C62"/>
    <w:rsid w:val="0779354C"/>
    <w:rsid w:val="079F6195"/>
    <w:rsid w:val="07D15156"/>
    <w:rsid w:val="08061376"/>
    <w:rsid w:val="080D354F"/>
    <w:rsid w:val="08452D77"/>
    <w:rsid w:val="085C073A"/>
    <w:rsid w:val="086401F8"/>
    <w:rsid w:val="086D51E8"/>
    <w:rsid w:val="08751CAA"/>
    <w:rsid w:val="087E4C40"/>
    <w:rsid w:val="08964B65"/>
    <w:rsid w:val="08B977A9"/>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9E271BD"/>
    <w:rsid w:val="0A1C0718"/>
    <w:rsid w:val="0A3E7710"/>
    <w:rsid w:val="0A5B7E63"/>
    <w:rsid w:val="0AA374A5"/>
    <w:rsid w:val="0AAB7649"/>
    <w:rsid w:val="0ABC5606"/>
    <w:rsid w:val="0AD31944"/>
    <w:rsid w:val="0B30404E"/>
    <w:rsid w:val="0B3155FB"/>
    <w:rsid w:val="0B4C6C14"/>
    <w:rsid w:val="0B631A88"/>
    <w:rsid w:val="0B683D45"/>
    <w:rsid w:val="0B7F3F11"/>
    <w:rsid w:val="0B884417"/>
    <w:rsid w:val="0B973B9D"/>
    <w:rsid w:val="0BC84A1D"/>
    <w:rsid w:val="0BE54E32"/>
    <w:rsid w:val="0BF508D2"/>
    <w:rsid w:val="0BF6188C"/>
    <w:rsid w:val="0BF73C91"/>
    <w:rsid w:val="0C170175"/>
    <w:rsid w:val="0C571A41"/>
    <w:rsid w:val="0C5C1171"/>
    <w:rsid w:val="0C5E1CBC"/>
    <w:rsid w:val="0C615B50"/>
    <w:rsid w:val="0C8445DA"/>
    <w:rsid w:val="0C87121B"/>
    <w:rsid w:val="0C9B6BDE"/>
    <w:rsid w:val="0CC007F7"/>
    <w:rsid w:val="0CFE707A"/>
    <w:rsid w:val="0D063BDA"/>
    <w:rsid w:val="0D08375F"/>
    <w:rsid w:val="0D184CFB"/>
    <w:rsid w:val="0D1E7791"/>
    <w:rsid w:val="0D4A7419"/>
    <w:rsid w:val="0D5D43BD"/>
    <w:rsid w:val="0D827401"/>
    <w:rsid w:val="0D84094E"/>
    <w:rsid w:val="0D8A00E9"/>
    <w:rsid w:val="0D8D589E"/>
    <w:rsid w:val="0DA01C73"/>
    <w:rsid w:val="0DD63300"/>
    <w:rsid w:val="0DF50604"/>
    <w:rsid w:val="0DF702FE"/>
    <w:rsid w:val="0E060E51"/>
    <w:rsid w:val="0E5604B2"/>
    <w:rsid w:val="0E6D5D79"/>
    <w:rsid w:val="0E9D0089"/>
    <w:rsid w:val="0EB803EE"/>
    <w:rsid w:val="0ECC08A9"/>
    <w:rsid w:val="0EF94D4B"/>
    <w:rsid w:val="0F264DFC"/>
    <w:rsid w:val="0F4958DC"/>
    <w:rsid w:val="0F515DF7"/>
    <w:rsid w:val="0F596BA8"/>
    <w:rsid w:val="0F6248D2"/>
    <w:rsid w:val="0F693536"/>
    <w:rsid w:val="0F6C4446"/>
    <w:rsid w:val="0F7554C5"/>
    <w:rsid w:val="0F7B0511"/>
    <w:rsid w:val="0F7B76D9"/>
    <w:rsid w:val="0F816ACD"/>
    <w:rsid w:val="0F9832DB"/>
    <w:rsid w:val="0FBF3FD2"/>
    <w:rsid w:val="0FBF7FF3"/>
    <w:rsid w:val="0FDE0547"/>
    <w:rsid w:val="0FE22011"/>
    <w:rsid w:val="10043AE6"/>
    <w:rsid w:val="104D42F7"/>
    <w:rsid w:val="10646583"/>
    <w:rsid w:val="107D4B15"/>
    <w:rsid w:val="107D65A4"/>
    <w:rsid w:val="108A3C80"/>
    <w:rsid w:val="10AA73F0"/>
    <w:rsid w:val="10C26171"/>
    <w:rsid w:val="10F33360"/>
    <w:rsid w:val="10FC16EA"/>
    <w:rsid w:val="110F1D40"/>
    <w:rsid w:val="1118721F"/>
    <w:rsid w:val="11266F33"/>
    <w:rsid w:val="11507B96"/>
    <w:rsid w:val="11525A28"/>
    <w:rsid w:val="115343AE"/>
    <w:rsid w:val="118963A1"/>
    <w:rsid w:val="11A52973"/>
    <w:rsid w:val="11C6522A"/>
    <w:rsid w:val="11E104CC"/>
    <w:rsid w:val="11E20309"/>
    <w:rsid w:val="12136D2D"/>
    <w:rsid w:val="12255233"/>
    <w:rsid w:val="124E30D3"/>
    <w:rsid w:val="12530213"/>
    <w:rsid w:val="127723A9"/>
    <w:rsid w:val="12862074"/>
    <w:rsid w:val="12883966"/>
    <w:rsid w:val="129E45B4"/>
    <w:rsid w:val="12D81596"/>
    <w:rsid w:val="12FF3D91"/>
    <w:rsid w:val="13072A44"/>
    <w:rsid w:val="135F4BE2"/>
    <w:rsid w:val="139B1A0A"/>
    <w:rsid w:val="139D25C7"/>
    <w:rsid w:val="13A91D9B"/>
    <w:rsid w:val="13BF3CE4"/>
    <w:rsid w:val="13E34051"/>
    <w:rsid w:val="13F8497F"/>
    <w:rsid w:val="141008D8"/>
    <w:rsid w:val="14125FE6"/>
    <w:rsid w:val="146D271E"/>
    <w:rsid w:val="149066C3"/>
    <w:rsid w:val="14982588"/>
    <w:rsid w:val="149A5AD9"/>
    <w:rsid w:val="14A7619D"/>
    <w:rsid w:val="14EA71B5"/>
    <w:rsid w:val="150536C3"/>
    <w:rsid w:val="150C1963"/>
    <w:rsid w:val="151447A0"/>
    <w:rsid w:val="15485B77"/>
    <w:rsid w:val="154A6454"/>
    <w:rsid w:val="15762120"/>
    <w:rsid w:val="157F5F94"/>
    <w:rsid w:val="166A18FC"/>
    <w:rsid w:val="169F2681"/>
    <w:rsid w:val="16A8729C"/>
    <w:rsid w:val="16B33777"/>
    <w:rsid w:val="16BC70A7"/>
    <w:rsid w:val="16C6339E"/>
    <w:rsid w:val="172F2D79"/>
    <w:rsid w:val="17557BEF"/>
    <w:rsid w:val="175E19F6"/>
    <w:rsid w:val="17D349C1"/>
    <w:rsid w:val="180D7700"/>
    <w:rsid w:val="1830729E"/>
    <w:rsid w:val="186B04F1"/>
    <w:rsid w:val="1870062C"/>
    <w:rsid w:val="187E7934"/>
    <w:rsid w:val="18817102"/>
    <w:rsid w:val="18830A15"/>
    <w:rsid w:val="18852B28"/>
    <w:rsid w:val="188B5321"/>
    <w:rsid w:val="18F6646D"/>
    <w:rsid w:val="19932372"/>
    <w:rsid w:val="199B1288"/>
    <w:rsid w:val="19A20DD5"/>
    <w:rsid w:val="19AE03F1"/>
    <w:rsid w:val="1A071A03"/>
    <w:rsid w:val="1A1F16AE"/>
    <w:rsid w:val="1A3B5C77"/>
    <w:rsid w:val="1A4062D0"/>
    <w:rsid w:val="1A984BAD"/>
    <w:rsid w:val="1AAC1FB7"/>
    <w:rsid w:val="1AB8220E"/>
    <w:rsid w:val="1AE4166C"/>
    <w:rsid w:val="1AE4237D"/>
    <w:rsid w:val="1AF06CFB"/>
    <w:rsid w:val="1AF11B8D"/>
    <w:rsid w:val="1B11359C"/>
    <w:rsid w:val="1B2A271F"/>
    <w:rsid w:val="1B420360"/>
    <w:rsid w:val="1B48020D"/>
    <w:rsid w:val="1B530544"/>
    <w:rsid w:val="1B713184"/>
    <w:rsid w:val="1BA209CF"/>
    <w:rsid w:val="1BB4777D"/>
    <w:rsid w:val="1BD75AB8"/>
    <w:rsid w:val="1C0459C2"/>
    <w:rsid w:val="1C1B3B4A"/>
    <w:rsid w:val="1C88086E"/>
    <w:rsid w:val="1D266CE1"/>
    <w:rsid w:val="1D3963AF"/>
    <w:rsid w:val="1D676C06"/>
    <w:rsid w:val="1D6A673C"/>
    <w:rsid w:val="1D9247AE"/>
    <w:rsid w:val="1DA84AD0"/>
    <w:rsid w:val="1DB567EC"/>
    <w:rsid w:val="1DC63A87"/>
    <w:rsid w:val="1DC97EE6"/>
    <w:rsid w:val="1DF51A98"/>
    <w:rsid w:val="1E2C3B3A"/>
    <w:rsid w:val="1E3D060F"/>
    <w:rsid w:val="1E3F7D2E"/>
    <w:rsid w:val="1E4134E4"/>
    <w:rsid w:val="1E5062B3"/>
    <w:rsid w:val="1E523514"/>
    <w:rsid w:val="1E714A66"/>
    <w:rsid w:val="1E7B4DB7"/>
    <w:rsid w:val="1E802593"/>
    <w:rsid w:val="1EA703CC"/>
    <w:rsid w:val="1EB7330C"/>
    <w:rsid w:val="1EF4766D"/>
    <w:rsid w:val="1F0A0FF3"/>
    <w:rsid w:val="1F4E1A47"/>
    <w:rsid w:val="1F5771FF"/>
    <w:rsid w:val="1F737547"/>
    <w:rsid w:val="1F7B14DC"/>
    <w:rsid w:val="1F8B350E"/>
    <w:rsid w:val="1FE868A9"/>
    <w:rsid w:val="20034907"/>
    <w:rsid w:val="20173E4B"/>
    <w:rsid w:val="204E48BC"/>
    <w:rsid w:val="208921B3"/>
    <w:rsid w:val="20973DEB"/>
    <w:rsid w:val="20B26522"/>
    <w:rsid w:val="20B44310"/>
    <w:rsid w:val="211116EB"/>
    <w:rsid w:val="211B79BD"/>
    <w:rsid w:val="21476F87"/>
    <w:rsid w:val="216133FC"/>
    <w:rsid w:val="216E5E94"/>
    <w:rsid w:val="217B4FBB"/>
    <w:rsid w:val="21B5289E"/>
    <w:rsid w:val="21D56769"/>
    <w:rsid w:val="21E52EF3"/>
    <w:rsid w:val="21FB5D7B"/>
    <w:rsid w:val="220B1C3D"/>
    <w:rsid w:val="221D1D20"/>
    <w:rsid w:val="22334A87"/>
    <w:rsid w:val="22813073"/>
    <w:rsid w:val="22BE6801"/>
    <w:rsid w:val="233500BF"/>
    <w:rsid w:val="23377FF7"/>
    <w:rsid w:val="236B425F"/>
    <w:rsid w:val="23836192"/>
    <w:rsid w:val="23901F29"/>
    <w:rsid w:val="239C0061"/>
    <w:rsid w:val="23B908A4"/>
    <w:rsid w:val="23E95BEF"/>
    <w:rsid w:val="23FD0064"/>
    <w:rsid w:val="24171825"/>
    <w:rsid w:val="245375B0"/>
    <w:rsid w:val="24642C0A"/>
    <w:rsid w:val="24B22173"/>
    <w:rsid w:val="24B95AD9"/>
    <w:rsid w:val="24BE24DA"/>
    <w:rsid w:val="24CF5825"/>
    <w:rsid w:val="24D24C4C"/>
    <w:rsid w:val="24D663E6"/>
    <w:rsid w:val="24D77F2B"/>
    <w:rsid w:val="24DE5462"/>
    <w:rsid w:val="25250834"/>
    <w:rsid w:val="258B00E2"/>
    <w:rsid w:val="258D68E9"/>
    <w:rsid w:val="25A917A6"/>
    <w:rsid w:val="25BE27CC"/>
    <w:rsid w:val="25F74A5C"/>
    <w:rsid w:val="2628662C"/>
    <w:rsid w:val="262D45DE"/>
    <w:rsid w:val="2662090A"/>
    <w:rsid w:val="26A53EF9"/>
    <w:rsid w:val="26A94201"/>
    <w:rsid w:val="26AC274F"/>
    <w:rsid w:val="26F727C6"/>
    <w:rsid w:val="27044A29"/>
    <w:rsid w:val="271D34C8"/>
    <w:rsid w:val="27432FD3"/>
    <w:rsid w:val="276142BF"/>
    <w:rsid w:val="27783712"/>
    <w:rsid w:val="277B51EB"/>
    <w:rsid w:val="27907362"/>
    <w:rsid w:val="28333E1D"/>
    <w:rsid w:val="28454BD6"/>
    <w:rsid w:val="28455253"/>
    <w:rsid w:val="28551971"/>
    <w:rsid w:val="285B1C53"/>
    <w:rsid w:val="2895356C"/>
    <w:rsid w:val="289A38F7"/>
    <w:rsid w:val="289F7086"/>
    <w:rsid w:val="28C32028"/>
    <w:rsid w:val="28CC490F"/>
    <w:rsid w:val="28DE40AA"/>
    <w:rsid w:val="28FC3BD8"/>
    <w:rsid w:val="29345E77"/>
    <w:rsid w:val="294C65AD"/>
    <w:rsid w:val="2959783F"/>
    <w:rsid w:val="29806583"/>
    <w:rsid w:val="298B3C4C"/>
    <w:rsid w:val="29F26D24"/>
    <w:rsid w:val="2A15033F"/>
    <w:rsid w:val="2A1662C1"/>
    <w:rsid w:val="2A1C7367"/>
    <w:rsid w:val="2A2815FA"/>
    <w:rsid w:val="2A6D6092"/>
    <w:rsid w:val="2A7D76B4"/>
    <w:rsid w:val="2A8939E9"/>
    <w:rsid w:val="2A8F53BC"/>
    <w:rsid w:val="2AB34AA5"/>
    <w:rsid w:val="2B210395"/>
    <w:rsid w:val="2B437463"/>
    <w:rsid w:val="2B7807EE"/>
    <w:rsid w:val="2BBF00EC"/>
    <w:rsid w:val="2BC37CFD"/>
    <w:rsid w:val="2BD5237F"/>
    <w:rsid w:val="2BE536CE"/>
    <w:rsid w:val="2BE758D9"/>
    <w:rsid w:val="2C09049E"/>
    <w:rsid w:val="2C0A653C"/>
    <w:rsid w:val="2C191F85"/>
    <w:rsid w:val="2C874F6F"/>
    <w:rsid w:val="2CA7770C"/>
    <w:rsid w:val="2CDB4BC7"/>
    <w:rsid w:val="2CE82D6F"/>
    <w:rsid w:val="2D04629E"/>
    <w:rsid w:val="2D343236"/>
    <w:rsid w:val="2DD15014"/>
    <w:rsid w:val="2DF72DE4"/>
    <w:rsid w:val="2E0220AF"/>
    <w:rsid w:val="2E0E6DB8"/>
    <w:rsid w:val="2E4B082A"/>
    <w:rsid w:val="2E54035B"/>
    <w:rsid w:val="2E5D4E86"/>
    <w:rsid w:val="2E5D790B"/>
    <w:rsid w:val="2E946CCD"/>
    <w:rsid w:val="2E9A3C18"/>
    <w:rsid w:val="2EBB0FEE"/>
    <w:rsid w:val="2EBC6814"/>
    <w:rsid w:val="2EC02900"/>
    <w:rsid w:val="2EC63002"/>
    <w:rsid w:val="2EC75BE6"/>
    <w:rsid w:val="2F0A6B38"/>
    <w:rsid w:val="2F6F7335"/>
    <w:rsid w:val="2F93773A"/>
    <w:rsid w:val="2F946CCB"/>
    <w:rsid w:val="2F96634D"/>
    <w:rsid w:val="2FD25781"/>
    <w:rsid w:val="2FFD7934"/>
    <w:rsid w:val="30733ACD"/>
    <w:rsid w:val="308840B1"/>
    <w:rsid w:val="308C3862"/>
    <w:rsid w:val="309379D8"/>
    <w:rsid w:val="30A270F7"/>
    <w:rsid w:val="30DF1478"/>
    <w:rsid w:val="30EC586F"/>
    <w:rsid w:val="31334FE4"/>
    <w:rsid w:val="319C6071"/>
    <w:rsid w:val="31AC537E"/>
    <w:rsid w:val="31B249AB"/>
    <w:rsid w:val="31D23205"/>
    <w:rsid w:val="31E3679B"/>
    <w:rsid w:val="31E732FD"/>
    <w:rsid w:val="32517576"/>
    <w:rsid w:val="327E352D"/>
    <w:rsid w:val="32BE5C2C"/>
    <w:rsid w:val="32DF4298"/>
    <w:rsid w:val="32FB6478"/>
    <w:rsid w:val="33263B3F"/>
    <w:rsid w:val="336963EB"/>
    <w:rsid w:val="33816EEB"/>
    <w:rsid w:val="338F52EF"/>
    <w:rsid w:val="33C85C5B"/>
    <w:rsid w:val="33EB55CD"/>
    <w:rsid w:val="33EC4C02"/>
    <w:rsid w:val="340D2360"/>
    <w:rsid w:val="3410665D"/>
    <w:rsid w:val="34211214"/>
    <w:rsid w:val="342E63AB"/>
    <w:rsid w:val="34950E68"/>
    <w:rsid w:val="34977F25"/>
    <w:rsid w:val="34986E94"/>
    <w:rsid w:val="349E5F81"/>
    <w:rsid w:val="34AF62C9"/>
    <w:rsid w:val="34CB4388"/>
    <w:rsid w:val="34FA6E12"/>
    <w:rsid w:val="35790290"/>
    <w:rsid w:val="35821D62"/>
    <w:rsid w:val="358D5588"/>
    <w:rsid w:val="363A3B40"/>
    <w:rsid w:val="365302AE"/>
    <w:rsid w:val="36607A0A"/>
    <w:rsid w:val="366E227C"/>
    <w:rsid w:val="366F2E0D"/>
    <w:rsid w:val="36735F09"/>
    <w:rsid w:val="367B6A5C"/>
    <w:rsid w:val="36A74ADA"/>
    <w:rsid w:val="36AC716F"/>
    <w:rsid w:val="36AD60D5"/>
    <w:rsid w:val="36B224F9"/>
    <w:rsid w:val="36C55E55"/>
    <w:rsid w:val="36EC0CC9"/>
    <w:rsid w:val="36FC69B5"/>
    <w:rsid w:val="371C30BD"/>
    <w:rsid w:val="373F410B"/>
    <w:rsid w:val="378D1886"/>
    <w:rsid w:val="37EE7094"/>
    <w:rsid w:val="38296C89"/>
    <w:rsid w:val="383002EB"/>
    <w:rsid w:val="38586797"/>
    <w:rsid w:val="38615D99"/>
    <w:rsid w:val="38BC0149"/>
    <w:rsid w:val="38C66A93"/>
    <w:rsid w:val="38D87D1C"/>
    <w:rsid w:val="392C07B0"/>
    <w:rsid w:val="39636459"/>
    <w:rsid w:val="396B7F6C"/>
    <w:rsid w:val="39B417A9"/>
    <w:rsid w:val="39C46EC5"/>
    <w:rsid w:val="39F94929"/>
    <w:rsid w:val="39FC5695"/>
    <w:rsid w:val="3A006D8E"/>
    <w:rsid w:val="3A1C7D49"/>
    <w:rsid w:val="3A1E1258"/>
    <w:rsid w:val="3A2879A0"/>
    <w:rsid w:val="3A3651E5"/>
    <w:rsid w:val="3A744481"/>
    <w:rsid w:val="3A8C7BEF"/>
    <w:rsid w:val="3A906246"/>
    <w:rsid w:val="3AD06B5A"/>
    <w:rsid w:val="3AE217F4"/>
    <w:rsid w:val="3B2349B7"/>
    <w:rsid w:val="3B33091F"/>
    <w:rsid w:val="3B3C7E67"/>
    <w:rsid w:val="3B616CFF"/>
    <w:rsid w:val="3B6259F6"/>
    <w:rsid w:val="3B6C398C"/>
    <w:rsid w:val="3B8E41E9"/>
    <w:rsid w:val="3B976654"/>
    <w:rsid w:val="3BC01EFC"/>
    <w:rsid w:val="3BCA786A"/>
    <w:rsid w:val="3BD31E2F"/>
    <w:rsid w:val="3BF15831"/>
    <w:rsid w:val="3BF71A94"/>
    <w:rsid w:val="3C105946"/>
    <w:rsid w:val="3C471448"/>
    <w:rsid w:val="3C523328"/>
    <w:rsid w:val="3C5F759A"/>
    <w:rsid w:val="3C6C525A"/>
    <w:rsid w:val="3CC43FAC"/>
    <w:rsid w:val="3CCE23CB"/>
    <w:rsid w:val="3CD17D17"/>
    <w:rsid w:val="3CD41DF9"/>
    <w:rsid w:val="3D076286"/>
    <w:rsid w:val="3D3C7F39"/>
    <w:rsid w:val="3D440F09"/>
    <w:rsid w:val="3D4504A0"/>
    <w:rsid w:val="3D8734BB"/>
    <w:rsid w:val="3D9A11D4"/>
    <w:rsid w:val="3DA16D89"/>
    <w:rsid w:val="3DA364BE"/>
    <w:rsid w:val="3DE041CB"/>
    <w:rsid w:val="3E0D48F6"/>
    <w:rsid w:val="3E1868B4"/>
    <w:rsid w:val="3E374CA5"/>
    <w:rsid w:val="3E377251"/>
    <w:rsid w:val="3E42664B"/>
    <w:rsid w:val="3E5661DC"/>
    <w:rsid w:val="3E5A7334"/>
    <w:rsid w:val="3E7B5D6B"/>
    <w:rsid w:val="3E843E66"/>
    <w:rsid w:val="3E8F51FE"/>
    <w:rsid w:val="3E926F87"/>
    <w:rsid w:val="3E9A59DE"/>
    <w:rsid w:val="3EAF4836"/>
    <w:rsid w:val="3EBC162D"/>
    <w:rsid w:val="3EC33DFA"/>
    <w:rsid w:val="3F060E16"/>
    <w:rsid w:val="3F1D1096"/>
    <w:rsid w:val="3F1F6663"/>
    <w:rsid w:val="3F2F0234"/>
    <w:rsid w:val="3F3A3404"/>
    <w:rsid w:val="3F6363FE"/>
    <w:rsid w:val="3F756B8F"/>
    <w:rsid w:val="3F93647A"/>
    <w:rsid w:val="3F95482B"/>
    <w:rsid w:val="3FA57E6B"/>
    <w:rsid w:val="3FC050A0"/>
    <w:rsid w:val="4019356B"/>
    <w:rsid w:val="4046605F"/>
    <w:rsid w:val="40592157"/>
    <w:rsid w:val="406E1CAE"/>
    <w:rsid w:val="40817E61"/>
    <w:rsid w:val="40A0133A"/>
    <w:rsid w:val="40C31A53"/>
    <w:rsid w:val="40FF545D"/>
    <w:rsid w:val="410067C8"/>
    <w:rsid w:val="41193901"/>
    <w:rsid w:val="41193C2B"/>
    <w:rsid w:val="414448C4"/>
    <w:rsid w:val="418F0D2A"/>
    <w:rsid w:val="41D01505"/>
    <w:rsid w:val="42474939"/>
    <w:rsid w:val="424C3C57"/>
    <w:rsid w:val="42613FF3"/>
    <w:rsid w:val="42660D96"/>
    <w:rsid w:val="428667D2"/>
    <w:rsid w:val="429A368A"/>
    <w:rsid w:val="42C24025"/>
    <w:rsid w:val="42CD1CE0"/>
    <w:rsid w:val="42E1381E"/>
    <w:rsid w:val="42EA7097"/>
    <w:rsid w:val="42EA75C3"/>
    <w:rsid w:val="42ED6459"/>
    <w:rsid w:val="42FE58DD"/>
    <w:rsid w:val="43174B3D"/>
    <w:rsid w:val="434B790E"/>
    <w:rsid w:val="4360274F"/>
    <w:rsid w:val="43977AB6"/>
    <w:rsid w:val="43A3342B"/>
    <w:rsid w:val="43C77C27"/>
    <w:rsid w:val="43DD77C9"/>
    <w:rsid w:val="43DE09EE"/>
    <w:rsid w:val="44002FAD"/>
    <w:rsid w:val="44007573"/>
    <w:rsid w:val="44186EC3"/>
    <w:rsid w:val="449101DD"/>
    <w:rsid w:val="449B0822"/>
    <w:rsid w:val="44DE1391"/>
    <w:rsid w:val="451B225C"/>
    <w:rsid w:val="452410C9"/>
    <w:rsid w:val="45247B78"/>
    <w:rsid w:val="45317DFB"/>
    <w:rsid w:val="456D3CE4"/>
    <w:rsid w:val="4579042C"/>
    <w:rsid w:val="457F0571"/>
    <w:rsid w:val="45851176"/>
    <w:rsid w:val="45C63B94"/>
    <w:rsid w:val="460E7DA5"/>
    <w:rsid w:val="46302CD3"/>
    <w:rsid w:val="46422483"/>
    <w:rsid w:val="4659254A"/>
    <w:rsid w:val="465B0637"/>
    <w:rsid w:val="465E3F0D"/>
    <w:rsid w:val="466A16E6"/>
    <w:rsid w:val="46893F2B"/>
    <w:rsid w:val="4697118E"/>
    <w:rsid w:val="46B8564B"/>
    <w:rsid w:val="46C4686E"/>
    <w:rsid w:val="46D744B8"/>
    <w:rsid w:val="47065779"/>
    <w:rsid w:val="47255EDF"/>
    <w:rsid w:val="477B778F"/>
    <w:rsid w:val="478203EC"/>
    <w:rsid w:val="47B025FA"/>
    <w:rsid w:val="47C439C4"/>
    <w:rsid w:val="47FE483C"/>
    <w:rsid w:val="4809698F"/>
    <w:rsid w:val="4811697D"/>
    <w:rsid w:val="487A3E25"/>
    <w:rsid w:val="488B5503"/>
    <w:rsid w:val="48937E21"/>
    <w:rsid w:val="489A0361"/>
    <w:rsid w:val="48B94FF3"/>
    <w:rsid w:val="48E37AAB"/>
    <w:rsid w:val="48FD4B4C"/>
    <w:rsid w:val="490A68E0"/>
    <w:rsid w:val="491055FE"/>
    <w:rsid w:val="495A44E3"/>
    <w:rsid w:val="495F5B3E"/>
    <w:rsid w:val="496F77D7"/>
    <w:rsid w:val="497654FD"/>
    <w:rsid w:val="497D73E8"/>
    <w:rsid w:val="49AD1F29"/>
    <w:rsid w:val="49B64211"/>
    <w:rsid w:val="49B73477"/>
    <w:rsid w:val="49C4186F"/>
    <w:rsid w:val="49F6167F"/>
    <w:rsid w:val="4A064FA0"/>
    <w:rsid w:val="4A16615C"/>
    <w:rsid w:val="4A4424D7"/>
    <w:rsid w:val="4A6465F1"/>
    <w:rsid w:val="4AB82D0F"/>
    <w:rsid w:val="4AEB7664"/>
    <w:rsid w:val="4AFD7C19"/>
    <w:rsid w:val="4B0567D1"/>
    <w:rsid w:val="4B236AAE"/>
    <w:rsid w:val="4B707271"/>
    <w:rsid w:val="4B9739F7"/>
    <w:rsid w:val="4BEE2503"/>
    <w:rsid w:val="4C1B0BC7"/>
    <w:rsid w:val="4C245A30"/>
    <w:rsid w:val="4C8A70A4"/>
    <w:rsid w:val="4CB6685F"/>
    <w:rsid w:val="4CC367FE"/>
    <w:rsid w:val="4CE930BC"/>
    <w:rsid w:val="4D077F3C"/>
    <w:rsid w:val="4D123355"/>
    <w:rsid w:val="4D2A3B31"/>
    <w:rsid w:val="4D312C52"/>
    <w:rsid w:val="4D553C64"/>
    <w:rsid w:val="4D905305"/>
    <w:rsid w:val="4D964A72"/>
    <w:rsid w:val="4D9C1254"/>
    <w:rsid w:val="4DA54892"/>
    <w:rsid w:val="4DC36632"/>
    <w:rsid w:val="4E364051"/>
    <w:rsid w:val="4E793892"/>
    <w:rsid w:val="4E800872"/>
    <w:rsid w:val="4EC569ED"/>
    <w:rsid w:val="4ED50EA1"/>
    <w:rsid w:val="4EE766A0"/>
    <w:rsid w:val="4EEC050C"/>
    <w:rsid w:val="4F104EC3"/>
    <w:rsid w:val="4F47354A"/>
    <w:rsid w:val="4F911C54"/>
    <w:rsid w:val="4F9F4791"/>
    <w:rsid w:val="4FE625E0"/>
    <w:rsid w:val="50081631"/>
    <w:rsid w:val="5021480F"/>
    <w:rsid w:val="50962ECB"/>
    <w:rsid w:val="509A29A6"/>
    <w:rsid w:val="50A42E38"/>
    <w:rsid w:val="50A4577F"/>
    <w:rsid w:val="50B73D1F"/>
    <w:rsid w:val="50BD5BC9"/>
    <w:rsid w:val="50C11EEE"/>
    <w:rsid w:val="50E97CFC"/>
    <w:rsid w:val="50FA4028"/>
    <w:rsid w:val="50FA59A0"/>
    <w:rsid w:val="510D65B7"/>
    <w:rsid w:val="511157AB"/>
    <w:rsid w:val="513314AB"/>
    <w:rsid w:val="513526AC"/>
    <w:rsid w:val="5142540C"/>
    <w:rsid w:val="517A1653"/>
    <w:rsid w:val="518832C8"/>
    <w:rsid w:val="51A0432A"/>
    <w:rsid w:val="51A86090"/>
    <w:rsid w:val="51AC0513"/>
    <w:rsid w:val="51B66CF7"/>
    <w:rsid w:val="51B7396D"/>
    <w:rsid w:val="51C67F4C"/>
    <w:rsid w:val="520C4B71"/>
    <w:rsid w:val="522E4CC3"/>
    <w:rsid w:val="5244713B"/>
    <w:rsid w:val="52564FB8"/>
    <w:rsid w:val="52615633"/>
    <w:rsid w:val="52977FD4"/>
    <w:rsid w:val="52A25790"/>
    <w:rsid w:val="52A96B6F"/>
    <w:rsid w:val="52B45975"/>
    <w:rsid w:val="52C80959"/>
    <w:rsid w:val="52D94AA4"/>
    <w:rsid w:val="52EA3A62"/>
    <w:rsid w:val="52F50BB8"/>
    <w:rsid w:val="53097272"/>
    <w:rsid w:val="530F15BF"/>
    <w:rsid w:val="531A393F"/>
    <w:rsid w:val="53544462"/>
    <w:rsid w:val="53946913"/>
    <w:rsid w:val="5397158E"/>
    <w:rsid w:val="53A01C0D"/>
    <w:rsid w:val="53C463B8"/>
    <w:rsid w:val="53CE4770"/>
    <w:rsid w:val="54013861"/>
    <w:rsid w:val="543C3DD0"/>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B51D81"/>
    <w:rsid w:val="55DC29B6"/>
    <w:rsid w:val="55DD4241"/>
    <w:rsid w:val="566B6D1E"/>
    <w:rsid w:val="56B55C84"/>
    <w:rsid w:val="56B600CC"/>
    <w:rsid w:val="57032A2C"/>
    <w:rsid w:val="570F5219"/>
    <w:rsid w:val="575D12B5"/>
    <w:rsid w:val="57610A87"/>
    <w:rsid w:val="57791C08"/>
    <w:rsid w:val="577B1140"/>
    <w:rsid w:val="577B7F21"/>
    <w:rsid w:val="577F181B"/>
    <w:rsid w:val="57921984"/>
    <w:rsid w:val="579737F0"/>
    <w:rsid w:val="57AB7B30"/>
    <w:rsid w:val="57AF5251"/>
    <w:rsid w:val="57B26373"/>
    <w:rsid w:val="57B63F04"/>
    <w:rsid w:val="57CD20C2"/>
    <w:rsid w:val="57D675AB"/>
    <w:rsid w:val="57D95FDD"/>
    <w:rsid w:val="57E37F1A"/>
    <w:rsid w:val="57FD3FEF"/>
    <w:rsid w:val="58917D2F"/>
    <w:rsid w:val="5894085C"/>
    <w:rsid w:val="58AE4F0C"/>
    <w:rsid w:val="58B85899"/>
    <w:rsid w:val="58C730A5"/>
    <w:rsid w:val="58E363A9"/>
    <w:rsid w:val="58E6255C"/>
    <w:rsid w:val="592B249A"/>
    <w:rsid w:val="5956737B"/>
    <w:rsid w:val="595E1678"/>
    <w:rsid w:val="596D5BD4"/>
    <w:rsid w:val="597E3DD8"/>
    <w:rsid w:val="59D634DF"/>
    <w:rsid w:val="59F80043"/>
    <w:rsid w:val="5A09252F"/>
    <w:rsid w:val="5A0B2778"/>
    <w:rsid w:val="5A2A7C7B"/>
    <w:rsid w:val="5A3E2560"/>
    <w:rsid w:val="5A5D3B6E"/>
    <w:rsid w:val="5A637A76"/>
    <w:rsid w:val="5A6D33BA"/>
    <w:rsid w:val="5A792B1F"/>
    <w:rsid w:val="5A874767"/>
    <w:rsid w:val="5A8C7BCC"/>
    <w:rsid w:val="5A8D7133"/>
    <w:rsid w:val="5AAD6F28"/>
    <w:rsid w:val="5AC56DAB"/>
    <w:rsid w:val="5AD63A24"/>
    <w:rsid w:val="5AD6628F"/>
    <w:rsid w:val="5AEA62E5"/>
    <w:rsid w:val="5B2E1A1D"/>
    <w:rsid w:val="5B6B0A58"/>
    <w:rsid w:val="5B843A1C"/>
    <w:rsid w:val="5B873E3F"/>
    <w:rsid w:val="5B897053"/>
    <w:rsid w:val="5BEE749F"/>
    <w:rsid w:val="5C02690E"/>
    <w:rsid w:val="5C1569DF"/>
    <w:rsid w:val="5C196DA7"/>
    <w:rsid w:val="5C1D0043"/>
    <w:rsid w:val="5C2A048C"/>
    <w:rsid w:val="5C80234E"/>
    <w:rsid w:val="5C8A680C"/>
    <w:rsid w:val="5D0C4701"/>
    <w:rsid w:val="5D0F0395"/>
    <w:rsid w:val="5D221076"/>
    <w:rsid w:val="5D397964"/>
    <w:rsid w:val="5D5A391C"/>
    <w:rsid w:val="5D5F10C0"/>
    <w:rsid w:val="5D891B7B"/>
    <w:rsid w:val="5D9C7036"/>
    <w:rsid w:val="5D9D1469"/>
    <w:rsid w:val="5DAD38EE"/>
    <w:rsid w:val="5DD43DF9"/>
    <w:rsid w:val="5E006862"/>
    <w:rsid w:val="5E0207B9"/>
    <w:rsid w:val="5E172C0F"/>
    <w:rsid w:val="5E1810E0"/>
    <w:rsid w:val="5E1834A1"/>
    <w:rsid w:val="5E261785"/>
    <w:rsid w:val="5E4356BB"/>
    <w:rsid w:val="5E4A7017"/>
    <w:rsid w:val="5E4F2952"/>
    <w:rsid w:val="5E552BBA"/>
    <w:rsid w:val="5E611C10"/>
    <w:rsid w:val="5E6D21E6"/>
    <w:rsid w:val="5E8F0172"/>
    <w:rsid w:val="5E920903"/>
    <w:rsid w:val="5EFC7377"/>
    <w:rsid w:val="5F06174D"/>
    <w:rsid w:val="5F3A3602"/>
    <w:rsid w:val="5F6277C6"/>
    <w:rsid w:val="5F6D0B1D"/>
    <w:rsid w:val="5F7D530C"/>
    <w:rsid w:val="5F862FAA"/>
    <w:rsid w:val="5F8D0B82"/>
    <w:rsid w:val="5FCC5339"/>
    <w:rsid w:val="5FE34A5B"/>
    <w:rsid w:val="5FFE1E36"/>
    <w:rsid w:val="60232584"/>
    <w:rsid w:val="607330CE"/>
    <w:rsid w:val="60825176"/>
    <w:rsid w:val="609F2AC4"/>
    <w:rsid w:val="60F67C50"/>
    <w:rsid w:val="60FA2EE8"/>
    <w:rsid w:val="61054A27"/>
    <w:rsid w:val="610A52BC"/>
    <w:rsid w:val="611D2366"/>
    <w:rsid w:val="612514D4"/>
    <w:rsid w:val="6129060A"/>
    <w:rsid w:val="61421856"/>
    <w:rsid w:val="615227C4"/>
    <w:rsid w:val="61654E3F"/>
    <w:rsid w:val="6182292A"/>
    <w:rsid w:val="618D5C6B"/>
    <w:rsid w:val="619F7F92"/>
    <w:rsid w:val="61B60EF8"/>
    <w:rsid w:val="61B801E6"/>
    <w:rsid w:val="61DB17B3"/>
    <w:rsid w:val="61F94C26"/>
    <w:rsid w:val="61FE227F"/>
    <w:rsid w:val="62000E56"/>
    <w:rsid w:val="620A1913"/>
    <w:rsid w:val="624D10DB"/>
    <w:rsid w:val="624F3E49"/>
    <w:rsid w:val="62632286"/>
    <w:rsid w:val="62885958"/>
    <w:rsid w:val="62AB7107"/>
    <w:rsid w:val="62CB0FB1"/>
    <w:rsid w:val="62D7588B"/>
    <w:rsid w:val="62F40B65"/>
    <w:rsid w:val="62FC2CFE"/>
    <w:rsid w:val="62FD682F"/>
    <w:rsid w:val="63024505"/>
    <w:rsid w:val="63495597"/>
    <w:rsid w:val="635B1DB5"/>
    <w:rsid w:val="63711FED"/>
    <w:rsid w:val="63880DDC"/>
    <w:rsid w:val="638D750D"/>
    <w:rsid w:val="63AC6CC0"/>
    <w:rsid w:val="64055776"/>
    <w:rsid w:val="640C0875"/>
    <w:rsid w:val="64211BD8"/>
    <w:rsid w:val="64240056"/>
    <w:rsid w:val="643E143A"/>
    <w:rsid w:val="645E1B43"/>
    <w:rsid w:val="648939A6"/>
    <w:rsid w:val="648B6EEF"/>
    <w:rsid w:val="648C1B70"/>
    <w:rsid w:val="64C158BF"/>
    <w:rsid w:val="64CE2EAA"/>
    <w:rsid w:val="653C3090"/>
    <w:rsid w:val="65405CCA"/>
    <w:rsid w:val="65854376"/>
    <w:rsid w:val="658767BE"/>
    <w:rsid w:val="65892531"/>
    <w:rsid w:val="65B40776"/>
    <w:rsid w:val="660E1E90"/>
    <w:rsid w:val="66195831"/>
    <w:rsid w:val="662B5A52"/>
    <w:rsid w:val="662E75B1"/>
    <w:rsid w:val="66342C2E"/>
    <w:rsid w:val="663E784C"/>
    <w:rsid w:val="66691FFD"/>
    <w:rsid w:val="668B6A45"/>
    <w:rsid w:val="668E571F"/>
    <w:rsid w:val="66A45BDC"/>
    <w:rsid w:val="672F3F24"/>
    <w:rsid w:val="673E055F"/>
    <w:rsid w:val="67551CE3"/>
    <w:rsid w:val="679D009F"/>
    <w:rsid w:val="67A22552"/>
    <w:rsid w:val="67B22DCC"/>
    <w:rsid w:val="67BE71AA"/>
    <w:rsid w:val="67D807AF"/>
    <w:rsid w:val="67D90273"/>
    <w:rsid w:val="67DE5875"/>
    <w:rsid w:val="67E55852"/>
    <w:rsid w:val="67EB1AB4"/>
    <w:rsid w:val="67FA1285"/>
    <w:rsid w:val="68551F4F"/>
    <w:rsid w:val="685847A6"/>
    <w:rsid w:val="687C10C9"/>
    <w:rsid w:val="68807546"/>
    <w:rsid w:val="68840C16"/>
    <w:rsid w:val="68876EFB"/>
    <w:rsid w:val="68884654"/>
    <w:rsid w:val="689F444F"/>
    <w:rsid w:val="68B96DBB"/>
    <w:rsid w:val="68CA2805"/>
    <w:rsid w:val="68E937A3"/>
    <w:rsid w:val="69196B57"/>
    <w:rsid w:val="692E06C5"/>
    <w:rsid w:val="693E15D3"/>
    <w:rsid w:val="694E7060"/>
    <w:rsid w:val="69627681"/>
    <w:rsid w:val="696911F2"/>
    <w:rsid w:val="69701FBE"/>
    <w:rsid w:val="6977531D"/>
    <w:rsid w:val="698B59FD"/>
    <w:rsid w:val="69B221C9"/>
    <w:rsid w:val="69CC2BFF"/>
    <w:rsid w:val="69FD55B8"/>
    <w:rsid w:val="6A0B1C62"/>
    <w:rsid w:val="6A2406C8"/>
    <w:rsid w:val="6A5F4AE6"/>
    <w:rsid w:val="6ADE0BD1"/>
    <w:rsid w:val="6AE96859"/>
    <w:rsid w:val="6B147746"/>
    <w:rsid w:val="6B24787C"/>
    <w:rsid w:val="6B573233"/>
    <w:rsid w:val="6B5B6274"/>
    <w:rsid w:val="6B5C494D"/>
    <w:rsid w:val="6B6017D1"/>
    <w:rsid w:val="6B86676D"/>
    <w:rsid w:val="6B876D83"/>
    <w:rsid w:val="6B935D53"/>
    <w:rsid w:val="6C196F71"/>
    <w:rsid w:val="6C226FCB"/>
    <w:rsid w:val="6C31226F"/>
    <w:rsid w:val="6C552F0B"/>
    <w:rsid w:val="6C5940EC"/>
    <w:rsid w:val="6C8C67B7"/>
    <w:rsid w:val="6C9D744C"/>
    <w:rsid w:val="6CB611D0"/>
    <w:rsid w:val="6CC56A5C"/>
    <w:rsid w:val="6D167928"/>
    <w:rsid w:val="6D1D4BE9"/>
    <w:rsid w:val="6D26299B"/>
    <w:rsid w:val="6D4772EC"/>
    <w:rsid w:val="6D536D97"/>
    <w:rsid w:val="6D9078AF"/>
    <w:rsid w:val="6DAA3FEF"/>
    <w:rsid w:val="6DAB32A6"/>
    <w:rsid w:val="6DC0172B"/>
    <w:rsid w:val="6DCB690C"/>
    <w:rsid w:val="6DD41A5B"/>
    <w:rsid w:val="6DE42B43"/>
    <w:rsid w:val="6DF43C2E"/>
    <w:rsid w:val="6DF51CA3"/>
    <w:rsid w:val="6E0863D3"/>
    <w:rsid w:val="6E373EBE"/>
    <w:rsid w:val="6E3E5E1B"/>
    <w:rsid w:val="6E8335BD"/>
    <w:rsid w:val="6E8E12EF"/>
    <w:rsid w:val="6E972936"/>
    <w:rsid w:val="6ED446C5"/>
    <w:rsid w:val="6F2A7D94"/>
    <w:rsid w:val="6F5002D8"/>
    <w:rsid w:val="6F8331F1"/>
    <w:rsid w:val="6F8A0F8C"/>
    <w:rsid w:val="6FAE1A09"/>
    <w:rsid w:val="6FD44A65"/>
    <w:rsid w:val="6FD75BF8"/>
    <w:rsid w:val="6FFC4BE1"/>
    <w:rsid w:val="70553DF8"/>
    <w:rsid w:val="707723D0"/>
    <w:rsid w:val="70F5661B"/>
    <w:rsid w:val="710E183A"/>
    <w:rsid w:val="712274EB"/>
    <w:rsid w:val="71360107"/>
    <w:rsid w:val="713B688E"/>
    <w:rsid w:val="718A2711"/>
    <w:rsid w:val="71D43752"/>
    <w:rsid w:val="71F1796A"/>
    <w:rsid w:val="72154626"/>
    <w:rsid w:val="72262B5D"/>
    <w:rsid w:val="72283FF7"/>
    <w:rsid w:val="722E7212"/>
    <w:rsid w:val="723A0474"/>
    <w:rsid w:val="725923E4"/>
    <w:rsid w:val="72864BF7"/>
    <w:rsid w:val="729023FC"/>
    <w:rsid w:val="72964784"/>
    <w:rsid w:val="72A025D3"/>
    <w:rsid w:val="72B23526"/>
    <w:rsid w:val="72C13775"/>
    <w:rsid w:val="72DC3417"/>
    <w:rsid w:val="72FF458D"/>
    <w:rsid w:val="73366BED"/>
    <w:rsid w:val="733C17FC"/>
    <w:rsid w:val="73C0646E"/>
    <w:rsid w:val="73E6120B"/>
    <w:rsid w:val="742222F5"/>
    <w:rsid w:val="743716CF"/>
    <w:rsid w:val="74476126"/>
    <w:rsid w:val="74706664"/>
    <w:rsid w:val="747F3682"/>
    <w:rsid w:val="749C4185"/>
    <w:rsid w:val="74B66E2F"/>
    <w:rsid w:val="75067759"/>
    <w:rsid w:val="7528708E"/>
    <w:rsid w:val="752E6DCD"/>
    <w:rsid w:val="7551380D"/>
    <w:rsid w:val="75600BE5"/>
    <w:rsid w:val="7564475C"/>
    <w:rsid w:val="75811530"/>
    <w:rsid w:val="7583797F"/>
    <w:rsid w:val="75A3E0C1"/>
    <w:rsid w:val="75D20F1D"/>
    <w:rsid w:val="75DA2C18"/>
    <w:rsid w:val="75F54412"/>
    <w:rsid w:val="761D08E0"/>
    <w:rsid w:val="762962B4"/>
    <w:rsid w:val="765D347C"/>
    <w:rsid w:val="76826699"/>
    <w:rsid w:val="76B455F0"/>
    <w:rsid w:val="76B97263"/>
    <w:rsid w:val="76C87133"/>
    <w:rsid w:val="76CD08D5"/>
    <w:rsid w:val="76DB4B92"/>
    <w:rsid w:val="77052AA4"/>
    <w:rsid w:val="77136511"/>
    <w:rsid w:val="77340A39"/>
    <w:rsid w:val="77351FD0"/>
    <w:rsid w:val="77472422"/>
    <w:rsid w:val="7776645C"/>
    <w:rsid w:val="777F31F2"/>
    <w:rsid w:val="778A4783"/>
    <w:rsid w:val="77D1700D"/>
    <w:rsid w:val="77EC04CC"/>
    <w:rsid w:val="782934BA"/>
    <w:rsid w:val="78775729"/>
    <w:rsid w:val="78A228C2"/>
    <w:rsid w:val="78A42DB0"/>
    <w:rsid w:val="78A656AB"/>
    <w:rsid w:val="78B2245C"/>
    <w:rsid w:val="78E172CC"/>
    <w:rsid w:val="78EA1D1F"/>
    <w:rsid w:val="78EC0B29"/>
    <w:rsid w:val="7904172F"/>
    <w:rsid w:val="790F7E27"/>
    <w:rsid w:val="792A231A"/>
    <w:rsid w:val="79316829"/>
    <w:rsid w:val="793A2BA3"/>
    <w:rsid w:val="794C4385"/>
    <w:rsid w:val="79616FB5"/>
    <w:rsid w:val="797E66A9"/>
    <w:rsid w:val="79A97383"/>
    <w:rsid w:val="79D35D8D"/>
    <w:rsid w:val="79E27E8B"/>
    <w:rsid w:val="79F850CE"/>
    <w:rsid w:val="79FD443C"/>
    <w:rsid w:val="7A1D1975"/>
    <w:rsid w:val="7A3E5150"/>
    <w:rsid w:val="7A4670D6"/>
    <w:rsid w:val="7A534B63"/>
    <w:rsid w:val="7A615382"/>
    <w:rsid w:val="7A67303B"/>
    <w:rsid w:val="7A796F16"/>
    <w:rsid w:val="7AAB1D04"/>
    <w:rsid w:val="7ABA4368"/>
    <w:rsid w:val="7AD05746"/>
    <w:rsid w:val="7B257FFD"/>
    <w:rsid w:val="7B343476"/>
    <w:rsid w:val="7B5A2978"/>
    <w:rsid w:val="7B5A7E4C"/>
    <w:rsid w:val="7B667AF9"/>
    <w:rsid w:val="7B7125DF"/>
    <w:rsid w:val="7B7468F8"/>
    <w:rsid w:val="7B95470E"/>
    <w:rsid w:val="7BEE0103"/>
    <w:rsid w:val="7C0A0FE4"/>
    <w:rsid w:val="7C0E32B1"/>
    <w:rsid w:val="7C254906"/>
    <w:rsid w:val="7C30396B"/>
    <w:rsid w:val="7C590818"/>
    <w:rsid w:val="7C7C10F6"/>
    <w:rsid w:val="7C853BEA"/>
    <w:rsid w:val="7C881368"/>
    <w:rsid w:val="7CE27788"/>
    <w:rsid w:val="7CEE00BC"/>
    <w:rsid w:val="7D0C32F1"/>
    <w:rsid w:val="7D0F408D"/>
    <w:rsid w:val="7D491C6C"/>
    <w:rsid w:val="7D4D437C"/>
    <w:rsid w:val="7D5429C0"/>
    <w:rsid w:val="7D6E6D43"/>
    <w:rsid w:val="7D943785"/>
    <w:rsid w:val="7DB57A34"/>
    <w:rsid w:val="7DE60973"/>
    <w:rsid w:val="7DEF0916"/>
    <w:rsid w:val="7E152B1F"/>
    <w:rsid w:val="7E1E5218"/>
    <w:rsid w:val="7E8D00FD"/>
    <w:rsid w:val="7E9A4E1F"/>
    <w:rsid w:val="7EA7723A"/>
    <w:rsid w:val="7EB22240"/>
    <w:rsid w:val="7ECC7E3D"/>
    <w:rsid w:val="7EF56FBB"/>
    <w:rsid w:val="7F0768EB"/>
    <w:rsid w:val="7F143BEC"/>
    <w:rsid w:val="7F225F6E"/>
    <w:rsid w:val="7F71503A"/>
    <w:rsid w:val="7F715AF2"/>
    <w:rsid w:val="7F886E69"/>
    <w:rsid w:val="7FBB9BE8"/>
    <w:rsid w:val="7FBFB9B6"/>
    <w:rsid w:val="7FDC6599"/>
    <w:rsid w:val="BB7FA927"/>
    <w:rsid w:val="F5FFD31F"/>
    <w:rsid w:val="FEE638FA"/>
    <w:rsid w:val="FFBED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styleId="3">
    <w:name w:val="Body Text Indent"/>
    <w:basedOn w:val="1"/>
    <w:next w:val="1"/>
    <w:link w:val="264"/>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0"/>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7"/>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paragraph" w:styleId="62">
    <w:name w:val="Body Text First Indent 2"/>
    <w:basedOn w:val="3"/>
    <w:link w:val="120"/>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basedOn w:val="70"/>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标准正文"/>
    <w:basedOn w:val="1"/>
    <w:qFormat/>
    <w:uiPriority w:val="0"/>
    <w:pPr>
      <w:tabs>
        <w:tab w:val="left" w:pos="780"/>
      </w:tabs>
      <w:adjustRightInd/>
      <w:spacing w:line="360" w:lineRule="auto"/>
      <w:ind w:left="200" w:leftChars="200" w:firstLine="200" w:firstLineChars="200"/>
    </w:pPr>
    <w:rPr>
      <w:sz w:val="24"/>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basedOn w:val="70"/>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basedOn w:val="70"/>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basedOn w:val="70"/>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70"/>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basedOn w:val="70"/>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70"/>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0"/>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Lines="0" w:afterLines="0"/>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next w:val="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数字标题5"/>
    <w:basedOn w:val="8"/>
    <w:next w:val="1"/>
    <w:qFormat/>
    <w:uiPriority w:val="0"/>
    <w:pPr>
      <w:tabs>
        <w:tab w:val="left" w:pos="1080"/>
      </w:tabs>
      <w:ind w:left="1080" w:hanging="1080"/>
    </w:pPr>
  </w:style>
  <w:style w:type="paragraph" w:customStyle="1" w:styleId="894">
    <w:name w:val="数字标题1"/>
    <w:basedOn w:val="4"/>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2"/>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1"/>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19">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0">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1">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2">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3">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9"/>
    <w:qFormat/>
    <w:uiPriority w:val="0"/>
    <w:rPr>
      <w:kern w:val="2"/>
      <w:sz w:val="21"/>
      <w:szCs w:val="24"/>
      <w:lang w:val="zh-CN"/>
    </w:rPr>
  </w:style>
  <w:style w:type="character" w:customStyle="1" w:styleId="930">
    <w:name w:val="无间隔 Char"/>
    <w:link w:val="482"/>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7"/>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70"/>
    <w:qFormat/>
    <w:uiPriority w:val="0"/>
    <w:rPr>
      <w:color w:val="000000"/>
      <w:shd w:val="clear" w:color="auto" w:fill="EFD200"/>
    </w:rPr>
  </w:style>
  <w:style w:type="character" w:customStyle="1" w:styleId="959">
    <w:name w:val="font71"/>
    <w:basedOn w:val="70"/>
    <w:qFormat/>
    <w:uiPriority w:val="0"/>
    <w:rPr>
      <w:rFonts w:hint="eastAsia" w:ascii="宋体" w:hAnsi="宋体" w:eastAsia="宋体" w:cs="宋体"/>
      <w:color w:val="000000"/>
      <w:sz w:val="22"/>
      <w:szCs w:val="22"/>
      <w:u w:val="none"/>
    </w:rPr>
  </w:style>
  <w:style w:type="character" w:customStyle="1" w:styleId="960">
    <w:name w:val="font91"/>
    <w:basedOn w:val="70"/>
    <w:qFormat/>
    <w:uiPriority w:val="0"/>
    <w:rPr>
      <w:rFonts w:hint="eastAsia" w:ascii="仿宋" w:hAnsi="仿宋" w:eastAsia="仿宋" w:cs="仿宋"/>
      <w:color w:val="000000"/>
      <w:sz w:val="22"/>
      <w:szCs w:val="22"/>
      <w:u w:val="none"/>
    </w:rPr>
  </w:style>
  <w:style w:type="paragraph" w:customStyle="1" w:styleId="961">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62">
    <w:name w:val="纯文本3"/>
    <w:basedOn w:val="1"/>
    <w:qFormat/>
    <w:uiPriority w:val="0"/>
    <w:pPr>
      <w:textAlignment w:val="baseline"/>
    </w:pPr>
    <w:rPr>
      <w:rFonts w:ascii="宋体" w:hAnsi="Courier New" w:eastAsia="楷体_GB2312"/>
      <w:sz w:val="26"/>
      <w:szCs w:val="20"/>
    </w:rPr>
  </w:style>
  <w:style w:type="paragraph" w:customStyle="1" w:styleId="963">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96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5">
    <w:name w:val="Heading1"/>
    <w:basedOn w:val="1"/>
    <w:next w:val="1"/>
    <w:qFormat/>
    <w:uiPriority w:val="0"/>
    <w:pPr>
      <w:keepNext/>
      <w:keepLines/>
      <w:spacing w:before="340" w:after="330" w:line="578" w:lineRule="auto"/>
      <w:textAlignment w:val="baseline"/>
    </w:pPr>
    <w:rPr>
      <w:b/>
      <w:bCs/>
      <w:kern w:val="44"/>
      <w:sz w:val="44"/>
      <w:szCs w:val="44"/>
    </w:rPr>
  </w:style>
  <w:style w:type="character" w:customStyle="1" w:styleId="966">
    <w:name w:val="font101"/>
    <w:basedOn w:val="70"/>
    <w:qFormat/>
    <w:uiPriority w:val="0"/>
    <w:rPr>
      <w:rFonts w:hint="eastAsia" w:ascii="宋体" w:hAnsi="宋体" w:eastAsia="宋体" w:cs="宋体"/>
      <w:color w:val="FF0000"/>
      <w:sz w:val="22"/>
      <w:szCs w:val="22"/>
      <w:u w:val="none"/>
    </w:rPr>
  </w:style>
  <w:style w:type="character" w:customStyle="1" w:styleId="967">
    <w:name w:val="font241"/>
    <w:basedOn w:val="70"/>
    <w:qFormat/>
    <w:uiPriority w:val="0"/>
    <w:rPr>
      <w:rFonts w:hint="eastAsia" w:ascii="微软雅黑" w:hAnsi="微软雅黑" w:eastAsia="微软雅黑" w:cs="微软雅黑"/>
      <w:color w:val="000000"/>
      <w:sz w:val="20"/>
      <w:szCs w:val="20"/>
      <w:u w:val="none"/>
    </w:rPr>
  </w:style>
  <w:style w:type="character" w:customStyle="1" w:styleId="968">
    <w:name w:val="font221"/>
    <w:basedOn w:val="70"/>
    <w:qFormat/>
    <w:uiPriority w:val="0"/>
    <w:rPr>
      <w:rFonts w:hint="eastAsia" w:ascii="微软雅黑" w:hAnsi="微软雅黑" w:eastAsia="微软雅黑" w:cs="微软雅黑"/>
      <w:color w:val="000000"/>
      <w:sz w:val="20"/>
      <w:szCs w:val="20"/>
      <w:u w:val="none"/>
    </w:rPr>
  </w:style>
  <w:style w:type="character" w:customStyle="1" w:styleId="969">
    <w:name w:val="font281"/>
    <w:basedOn w:val="70"/>
    <w:qFormat/>
    <w:uiPriority w:val="0"/>
    <w:rPr>
      <w:rFonts w:hint="eastAsia" w:ascii="微软雅黑" w:hAnsi="微软雅黑" w:eastAsia="微软雅黑" w:cs="微软雅黑"/>
      <w:b/>
      <w:bCs/>
      <w:color w:val="FF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4.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header" Target="header3.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3.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theme" Target="theme/theme1.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6.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43</Pages>
  <Words>23527</Words>
  <Characters>25040</Characters>
  <Lines>451</Lines>
  <Paragraphs>127</Paragraphs>
  <TotalTime>24</TotalTime>
  <ScaleCrop>false</ScaleCrop>
  <LinksUpToDate>false</LinksUpToDate>
  <CharactersWithSpaces>27817</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曜</cp:lastModifiedBy>
  <cp:lastPrinted>2021-12-28T11:06:00Z</cp:lastPrinted>
  <dcterms:modified xsi:type="dcterms:W3CDTF">2022-12-06T06:42:14Z</dcterms:modified>
  <dc:title>杭州市市民卡扩大发卡工程</dc:title>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A9002ED1C74C44A2AFEAA7827BE9845F</vt:lpwstr>
  </property>
  <property fmtid="{D5CDD505-2E9C-101B-9397-08002B2CF9AE}" pid="5" name="commondata">
    <vt:lpwstr>eyJoZGlkIjoiNWYyZjc4ZmQ0ZjNiZDk2YzliMGYyNzg3ZmQwOGUzOWUifQ==</vt:lpwstr>
  </property>
</Properties>
</file>