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 w:hAnsi="仿宋" w:eastAsia="仿宋" w:cs="仿宋_GB2312"/>
          <w:b/>
          <w:color w:val="auto"/>
          <w:sz w:val="24"/>
        </w:rPr>
      </w:pPr>
    </w:p>
    <w:p>
      <w:pPr>
        <w:pStyle w:val="24"/>
        <w:rPr>
          <w:color w:val="auto"/>
        </w:rPr>
      </w:pPr>
    </w:p>
    <w:p>
      <w:pPr>
        <w:spacing w:line="1160" w:lineRule="exact"/>
        <w:jc w:val="center"/>
        <w:rPr>
          <w:rFonts w:hint="eastAsia" w:ascii="宋体" w:hAnsi="宋体"/>
          <w:b/>
          <w:color w:val="auto"/>
          <w:sz w:val="52"/>
          <w:szCs w:val="52"/>
        </w:rPr>
      </w:pPr>
      <w:bookmarkStart w:id="0" w:name="_Hlt67893495"/>
      <w:bookmarkEnd w:id="0"/>
      <w:r>
        <w:rPr>
          <w:rFonts w:hint="eastAsia" w:ascii="宋体" w:hAnsi="宋体"/>
          <w:b/>
          <w:color w:val="auto"/>
          <w:sz w:val="52"/>
          <w:szCs w:val="52"/>
        </w:rPr>
        <w:t>嘉善信息技术工程学校物联网智能</w:t>
      </w:r>
    </w:p>
    <w:p>
      <w:pPr>
        <w:spacing w:line="1160" w:lineRule="exact"/>
        <w:jc w:val="center"/>
        <w:rPr>
          <w:rFonts w:ascii="宋体" w:hAnsi="宋体"/>
          <w:b/>
          <w:color w:val="auto"/>
          <w:sz w:val="52"/>
          <w:szCs w:val="52"/>
        </w:rPr>
      </w:pPr>
      <w:r>
        <w:rPr>
          <w:rFonts w:hint="eastAsia" w:ascii="宋体" w:hAnsi="宋体"/>
          <w:b/>
          <w:color w:val="auto"/>
          <w:sz w:val="52"/>
          <w:szCs w:val="52"/>
        </w:rPr>
        <w:t>交互设备采购项目</w:t>
      </w:r>
    </w:p>
    <w:p>
      <w:pPr>
        <w:spacing w:beforeLines="50"/>
        <w:rPr>
          <w:rFonts w:ascii="宋体" w:hAnsi="宋体"/>
          <w:color w:val="auto"/>
          <w:sz w:val="72"/>
          <w:szCs w:val="72"/>
        </w:rPr>
      </w:pPr>
    </w:p>
    <w:p>
      <w:pPr>
        <w:spacing w:beforeLines="50"/>
        <w:jc w:val="center"/>
        <w:rPr>
          <w:rFonts w:ascii="宋体" w:hAnsi="宋体"/>
          <w:color w:val="auto"/>
          <w:sz w:val="72"/>
          <w:szCs w:val="72"/>
        </w:rPr>
      </w:pPr>
      <w:r>
        <w:rPr>
          <w:rFonts w:hint="eastAsia" w:ascii="宋体" w:hAnsi="宋体"/>
          <w:color w:val="auto"/>
          <w:sz w:val="72"/>
          <w:szCs w:val="72"/>
        </w:rPr>
        <w:t>公开招标文件</w:t>
      </w:r>
    </w:p>
    <w:p>
      <w:pPr>
        <w:pStyle w:val="24"/>
        <w:jc w:val="center"/>
        <w:rPr>
          <w:color w:val="auto"/>
        </w:rPr>
      </w:pPr>
    </w:p>
    <w:p>
      <w:pPr>
        <w:pStyle w:val="25"/>
        <w:rPr>
          <w:color w:val="auto"/>
        </w:rPr>
      </w:pPr>
    </w:p>
    <w:p>
      <w:pPr>
        <w:snapToGrid w:val="0"/>
        <w:spacing w:beforeLines="50" w:line="360" w:lineRule="auto"/>
        <w:jc w:val="center"/>
        <w:rPr>
          <w:rFonts w:ascii="宋体" w:hAnsi="宋体"/>
          <w:color w:val="auto"/>
          <w:sz w:val="30"/>
          <w:szCs w:val="72"/>
        </w:rPr>
      </w:pPr>
    </w:p>
    <w:p>
      <w:pPr>
        <w:snapToGrid w:val="0"/>
        <w:spacing w:beforeLines="50" w:line="360" w:lineRule="auto"/>
        <w:rPr>
          <w:rFonts w:ascii="宋体" w:hAnsi="宋体"/>
          <w:color w:val="auto"/>
          <w:sz w:val="30"/>
          <w:szCs w:val="72"/>
        </w:rPr>
      </w:pPr>
    </w:p>
    <w:p>
      <w:pPr>
        <w:pStyle w:val="34"/>
        <w:snapToGrid w:val="0"/>
        <w:spacing w:line="360" w:lineRule="auto"/>
        <w:rPr>
          <w:b/>
          <w:color w:val="auto"/>
          <w:sz w:val="30"/>
          <w:szCs w:val="30"/>
        </w:rPr>
      </w:pPr>
      <w:r>
        <w:rPr>
          <w:b/>
          <w:color w:val="auto"/>
          <w:sz w:val="30"/>
          <w:szCs w:val="30"/>
        </w:rPr>
        <w:t>项目编号：</w:t>
      </w:r>
      <w:r>
        <w:rPr>
          <w:rFonts w:hint="eastAsia" w:hAnsi="宋体"/>
          <w:b/>
          <w:color w:val="auto"/>
          <w:sz w:val="30"/>
          <w:szCs w:val="48"/>
          <w:lang w:eastAsia="zh-CN"/>
        </w:rPr>
        <w:t>JSCG2022043</w:t>
      </w:r>
      <w:r>
        <w:rPr>
          <w:rFonts w:hint="eastAsia" w:hAnsi="宋体"/>
          <w:b/>
          <w:color w:val="auto"/>
          <w:sz w:val="30"/>
          <w:szCs w:val="48"/>
        </w:rPr>
        <w:t>(G)</w:t>
      </w:r>
    </w:p>
    <w:p>
      <w:pPr>
        <w:pStyle w:val="34"/>
        <w:snapToGrid w:val="0"/>
        <w:spacing w:line="360" w:lineRule="auto"/>
        <w:rPr>
          <w:b/>
          <w:color w:val="auto"/>
          <w:sz w:val="30"/>
          <w:szCs w:val="30"/>
        </w:rPr>
      </w:pPr>
      <w:r>
        <w:rPr>
          <w:rFonts w:hint="eastAsia"/>
          <w:b/>
          <w:color w:val="auto"/>
          <w:sz w:val="30"/>
          <w:szCs w:val="30"/>
        </w:rPr>
        <w:t>项目名称：</w:t>
      </w:r>
      <w:r>
        <w:rPr>
          <w:rFonts w:hint="eastAsia"/>
          <w:b/>
          <w:color w:val="auto"/>
          <w:sz w:val="30"/>
          <w:szCs w:val="30"/>
          <w:lang w:eastAsia="zh-CN"/>
        </w:rPr>
        <w:t>嘉善信息技术工程学校物联网智能交互设备采购</w:t>
      </w:r>
      <w:r>
        <w:rPr>
          <w:rFonts w:hint="eastAsia"/>
          <w:b/>
          <w:color w:val="auto"/>
          <w:sz w:val="30"/>
          <w:szCs w:val="30"/>
        </w:rPr>
        <w:t>项目</w:t>
      </w:r>
    </w:p>
    <w:p>
      <w:pPr>
        <w:pStyle w:val="34"/>
        <w:snapToGrid w:val="0"/>
        <w:spacing w:line="360" w:lineRule="auto"/>
        <w:rPr>
          <w:rFonts w:hint="eastAsia" w:hAnsi="宋体" w:eastAsia="宋体"/>
          <w:b/>
          <w:color w:val="auto"/>
          <w:sz w:val="30"/>
          <w:szCs w:val="30"/>
          <w:lang w:eastAsia="zh-CN"/>
        </w:rPr>
      </w:pPr>
      <w:r>
        <w:rPr>
          <w:b/>
          <w:color w:val="auto"/>
          <w:sz w:val="30"/>
          <w:szCs w:val="30"/>
        </w:rPr>
        <w:t>采购人：</w:t>
      </w:r>
      <w:r>
        <w:rPr>
          <w:rFonts w:hint="eastAsia"/>
          <w:b/>
          <w:color w:val="auto"/>
          <w:sz w:val="30"/>
          <w:szCs w:val="30"/>
          <w:lang w:eastAsia="zh-CN"/>
        </w:rPr>
        <w:t>嘉善信息技术工程学校</w:t>
      </w:r>
    </w:p>
    <w:p>
      <w:pPr>
        <w:pStyle w:val="34"/>
        <w:snapToGrid w:val="0"/>
        <w:spacing w:line="360" w:lineRule="auto"/>
        <w:rPr>
          <w:rFonts w:hAnsi="宋体"/>
          <w:b/>
          <w:bCs/>
          <w:color w:val="auto"/>
          <w:sz w:val="30"/>
          <w:szCs w:val="30"/>
        </w:rPr>
      </w:pPr>
      <w:r>
        <w:rPr>
          <w:rFonts w:hint="eastAsia"/>
          <w:b/>
          <w:color w:val="auto"/>
          <w:sz w:val="30"/>
          <w:szCs w:val="30"/>
        </w:rPr>
        <w:t>采购组织</w:t>
      </w:r>
      <w:r>
        <w:rPr>
          <w:b/>
          <w:color w:val="auto"/>
          <w:sz w:val="30"/>
          <w:szCs w:val="30"/>
        </w:rPr>
        <w:t>机构：</w:t>
      </w:r>
      <w:r>
        <w:rPr>
          <w:rFonts w:hint="eastAsia" w:hAnsi="宋体"/>
          <w:b/>
          <w:color w:val="auto"/>
          <w:sz w:val="30"/>
          <w:szCs w:val="48"/>
        </w:rPr>
        <w:t>嘉善县公共资源交易中心</w:t>
      </w:r>
    </w:p>
    <w:p>
      <w:pPr>
        <w:pStyle w:val="34"/>
        <w:snapToGrid w:val="0"/>
        <w:spacing w:line="360" w:lineRule="auto"/>
        <w:rPr>
          <w:rFonts w:hAnsi="宋体"/>
          <w:b/>
          <w:bCs/>
          <w:color w:val="auto"/>
          <w:w w:val="95"/>
          <w:sz w:val="30"/>
          <w:szCs w:val="30"/>
        </w:rPr>
      </w:pPr>
    </w:p>
    <w:p>
      <w:pPr>
        <w:rPr>
          <w:color w:val="auto"/>
        </w:rPr>
      </w:pPr>
    </w:p>
    <w:p>
      <w:pPr>
        <w:snapToGrid w:val="0"/>
        <w:spacing w:beforeLines="50" w:line="360" w:lineRule="auto"/>
        <w:ind w:left="384" w:leftChars="183" w:firstLine="4599" w:firstLineChars="1607"/>
        <w:rPr>
          <w:rFonts w:ascii="宋体" w:hAnsi="宋体"/>
          <w:b/>
          <w:bCs/>
          <w:color w:val="auto"/>
          <w:w w:val="95"/>
          <w:sz w:val="30"/>
          <w:szCs w:val="30"/>
        </w:rPr>
      </w:pPr>
    </w:p>
    <w:p>
      <w:pPr>
        <w:pStyle w:val="25"/>
        <w:rPr>
          <w:rFonts w:hAnsi="宋体"/>
          <w:b/>
          <w:bCs/>
          <w:color w:val="auto"/>
          <w:w w:val="95"/>
          <w:sz w:val="30"/>
          <w:szCs w:val="30"/>
        </w:rPr>
      </w:pPr>
    </w:p>
    <w:p>
      <w:pPr>
        <w:rPr>
          <w:color w:val="auto"/>
        </w:rPr>
      </w:pPr>
    </w:p>
    <w:p>
      <w:pPr>
        <w:spacing w:line="360" w:lineRule="auto"/>
        <w:jc w:val="right"/>
        <w:rPr>
          <w:rFonts w:ascii="仿宋" w:hAnsi="仿宋" w:eastAsia="仿宋" w:cs="仿宋_GB2312"/>
          <w:color w:val="auto"/>
          <w:sz w:val="24"/>
        </w:rPr>
      </w:pPr>
      <w:r>
        <w:rPr>
          <w:rFonts w:hint="eastAsia" w:ascii="宋体" w:hAnsi="宋体"/>
          <w:b/>
          <w:bCs/>
          <w:color w:val="auto"/>
          <w:w w:val="95"/>
          <w:sz w:val="30"/>
          <w:szCs w:val="30"/>
        </w:rPr>
        <w:t>2022年</w:t>
      </w:r>
      <w:r>
        <w:rPr>
          <w:rFonts w:hint="eastAsia" w:ascii="宋体" w:hAnsi="宋体"/>
          <w:b/>
          <w:bCs/>
          <w:color w:val="auto"/>
          <w:w w:val="95"/>
          <w:sz w:val="30"/>
          <w:szCs w:val="30"/>
          <w:lang w:val="en-US" w:eastAsia="zh-CN"/>
        </w:rPr>
        <w:t>11</w:t>
      </w:r>
      <w:r>
        <w:rPr>
          <w:rFonts w:hint="eastAsia" w:ascii="宋体" w:hAnsi="宋体"/>
          <w:b/>
          <w:bCs/>
          <w:color w:val="auto"/>
          <w:w w:val="95"/>
          <w:sz w:val="30"/>
          <w:szCs w:val="30"/>
        </w:rPr>
        <w:t>月</w:t>
      </w:r>
      <w:r>
        <w:rPr>
          <w:rFonts w:hint="eastAsia" w:ascii="宋体" w:hAnsi="宋体"/>
          <w:b/>
          <w:bCs/>
          <w:color w:val="auto"/>
          <w:w w:val="95"/>
          <w:sz w:val="30"/>
          <w:szCs w:val="30"/>
          <w:lang w:val="en-US" w:eastAsia="zh-CN"/>
        </w:rPr>
        <w:t>8</w:t>
      </w:r>
      <w:r>
        <w:rPr>
          <w:rFonts w:hint="eastAsia" w:ascii="宋体" w:hAnsi="宋体"/>
          <w:b/>
          <w:bCs/>
          <w:color w:val="auto"/>
          <w:w w:val="95"/>
          <w:sz w:val="30"/>
          <w:szCs w:val="30"/>
        </w:rPr>
        <w:t>日</w:t>
      </w:r>
    </w:p>
    <w:p>
      <w:pPr>
        <w:spacing w:line="360" w:lineRule="auto"/>
        <w:jc w:val="center"/>
        <w:rPr>
          <w:rFonts w:ascii="仿宋" w:hAnsi="仿宋" w:eastAsia="仿宋" w:cs="仿宋_GB2312"/>
          <w:color w:val="auto"/>
          <w:sz w:val="24"/>
        </w:rPr>
      </w:pPr>
    </w:p>
    <w:p>
      <w:pPr>
        <w:pStyle w:val="24"/>
        <w:rPr>
          <w:color w:val="auto"/>
        </w:rPr>
      </w:pPr>
    </w:p>
    <w:p>
      <w:pPr>
        <w:pStyle w:val="25"/>
        <w:rPr>
          <w:rFonts w:ascii="仿宋" w:hAnsi="仿宋" w:eastAsia="仿宋" w:cs="仿宋_GB2312"/>
          <w:color w:val="auto"/>
        </w:rPr>
      </w:pPr>
    </w:p>
    <w:p>
      <w:pPr>
        <w:rPr>
          <w:rFonts w:ascii="仿宋" w:hAnsi="仿宋" w:eastAsia="仿宋" w:cs="仿宋_GB2312"/>
          <w:color w:val="auto"/>
          <w:sz w:val="24"/>
        </w:rPr>
      </w:pPr>
    </w:p>
    <w:p>
      <w:pPr>
        <w:pStyle w:val="34"/>
        <w:spacing w:line="600" w:lineRule="exact"/>
        <w:jc w:val="center"/>
        <w:rPr>
          <w:rFonts w:ascii="创艺简标宋" w:hAnsi="宋体" w:eastAsia="创艺简标宋"/>
          <w:b/>
          <w:color w:val="auto"/>
          <w:sz w:val="44"/>
          <w:szCs w:val="44"/>
        </w:rPr>
      </w:pPr>
      <w:bookmarkStart w:id="1" w:name="_Hlt91233176"/>
      <w:bookmarkEnd w:id="1"/>
      <w:bookmarkStart w:id="2" w:name="_Toc91899869"/>
      <w:r>
        <w:rPr>
          <w:rFonts w:hint="eastAsia" w:ascii="创艺简标宋" w:hAnsi="宋体" w:eastAsia="创艺简标宋"/>
          <w:b/>
          <w:color w:val="auto"/>
          <w:sz w:val="44"/>
          <w:szCs w:val="44"/>
        </w:rPr>
        <w:t>目    录</w:t>
      </w:r>
    </w:p>
    <w:p>
      <w:pPr>
        <w:pStyle w:val="34"/>
        <w:tabs>
          <w:tab w:val="left" w:pos="6645"/>
        </w:tabs>
        <w:spacing w:line="600" w:lineRule="exact"/>
        <w:jc w:val="left"/>
        <w:rPr>
          <w:rFonts w:ascii="创艺简标宋" w:hAnsi="宋体" w:eastAsia="创艺简标宋"/>
          <w:b/>
          <w:color w:val="auto"/>
          <w:sz w:val="44"/>
          <w:szCs w:val="44"/>
        </w:rPr>
      </w:pPr>
      <w:r>
        <w:rPr>
          <w:rFonts w:ascii="创艺简标宋" w:hAnsi="宋体" w:eastAsia="创艺简标宋"/>
          <w:b/>
          <w:color w:val="auto"/>
          <w:sz w:val="44"/>
          <w:szCs w:val="44"/>
        </w:rPr>
        <w:tab/>
      </w:r>
    </w:p>
    <w:p>
      <w:pPr>
        <w:pStyle w:val="44"/>
        <w:tabs>
          <w:tab w:val="right" w:leader="dot" w:pos="8834"/>
        </w:tabs>
        <w:spacing w:line="480" w:lineRule="auto"/>
        <w:rPr>
          <w:b/>
          <w:color w:val="auto"/>
          <w:sz w:val="32"/>
          <w:szCs w:val="32"/>
        </w:rPr>
      </w:pPr>
      <w:r>
        <w:rPr>
          <w:b/>
          <w:color w:val="auto"/>
          <w:sz w:val="32"/>
          <w:szCs w:val="32"/>
        </w:rPr>
        <w:fldChar w:fldCharType="begin"/>
      </w:r>
      <w:r>
        <w:rPr>
          <w:b/>
          <w:color w:val="auto"/>
          <w:sz w:val="32"/>
          <w:szCs w:val="32"/>
        </w:rPr>
        <w:instrText xml:space="preserve"> TOC \o "1-1" \h \z \u </w:instrText>
      </w:r>
      <w:r>
        <w:rPr>
          <w:b/>
          <w:color w:val="auto"/>
          <w:sz w:val="32"/>
          <w:szCs w:val="32"/>
        </w:rPr>
        <w:fldChar w:fldCharType="separate"/>
      </w:r>
      <w:r>
        <w:rPr>
          <w:color w:val="auto"/>
        </w:rPr>
        <w:fldChar w:fldCharType="begin"/>
      </w:r>
      <w:r>
        <w:rPr>
          <w:color w:val="auto"/>
        </w:rPr>
        <w:instrText xml:space="preserve"> HYPERLINK \l "_Toc406402981" </w:instrText>
      </w:r>
      <w:r>
        <w:rPr>
          <w:color w:val="auto"/>
        </w:rPr>
        <w:fldChar w:fldCharType="separate"/>
      </w:r>
      <w:r>
        <w:rPr>
          <w:rStyle w:val="77"/>
          <w:rFonts w:hint="eastAsia"/>
          <w:b/>
          <w:color w:val="auto"/>
          <w:sz w:val="32"/>
          <w:szCs w:val="32"/>
        </w:rPr>
        <w:t>第一章</w:t>
      </w:r>
      <w:r>
        <w:rPr>
          <w:rStyle w:val="77"/>
          <w:b/>
          <w:color w:val="auto"/>
          <w:sz w:val="32"/>
          <w:szCs w:val="32"/>
        </w:rPr>
        <w:t xml:space="preserve">  </w:t>
      </w:r>
      <w:r>
        <w:rPr>
          <w:rStyle w:val="77"/>
          <w:rFonts w:hint="eastAsia"/>
          <w:b/>
          <w:color w:val="auto"/>
          <w:sz w:val="32"/>
          <w:szCs w:val="32"/>
        </w:rPr>
        <w:t>公开招标采购公告</w:t>
      </w:r>
      <w:r>
        <w:rPr>
          <w:b/>
          <w:color w:val="auto"/>
          <w:sz w:val="32"/>
          <w:szCs w:val="32"/>
        </w:rPr>
        <w:tab/>
      </w:r>
      <w:r>
        <w:rPr>
          <w:rFonts w:hint="eastAsia"/>
          <w:b/>
          <w:color w:val="auto"/>
          <w:sz w:val="32"/>
          <w:szCs w:val="32"/>
        </w:rPr>
        <w:t>3</w:t>
      </w:r>
      <w:r>
        <w:rPr>
          <w:rFonts w:hint="eastAsia"/>
          <w:b/>
          <w:color w:val="auto"/>
          <w:sz w:val="32"/>
          <w:szCs w:val="32"/>
        </w:rPr>
        <w:fldChar w:fldCharType="end"/>
      </w:r>
    </w:p>
    <w:p>
      <w:pPr>
        <w:pStyle w:val="44"/>
        <w:tabs>
          <w:tab w:val="right" w:leader="dot" w:pos="8834"/>
        </w:tabs>
        <w:spacing w:line="480" w:lineRule="auto"/>
        <w:rPr>
          <w:b/>
          <w:color w:val="auto"/>
          <w:sz w:val="32"/>
          <w:szCs w:val="32"/>
        </w:rPr>
      </w:pPr>
      <w:r>
        <w:rPr>
          <w:color w:val="auto"/>
        </w:rPr>
        <w:fldChar w:fldCharType="begin"/>
      </w:r>
      <w:r>
        <w:rPr>
          <w:color w:val="auto"/>
        </w:rPr>
        <w:instrText xml:space="preserve"> HYPERLINK \l "_Toc406402982" </w:instrText>
      </w:r>
      <w:r>
        <w:rPr>
          <w:color w:val="auto"/>
        </w:rPr>
        <w:fldChar w:fldCharType="separate"/>
      </w:r>
      <w:r>
        <w:rPr>
          <w:rStyle w:val="77"/>
          <w:rFonts w:hint="eastAsia"/>
          <w:b/>
          <w:color w:val="auto"/>
          <w:sz w:val="32"/>
          <w:szCs w:val="32"/>
        </w:rPr>
        <w:t>第二章</w:t>
      </w:r>
      <w:r>
        <w:rPr>
          <w:rStyle w:val="77"/>
          <w:b/>
          <w:color w:val="auto"/>
          <w:sz w:val="32"/>
          <w:szCs w:val="32"/>
        </w:rPr>
        <w:t xml:space="preserve">  </w:t>
      </w:r>
      <w:r>
        <w:rPr>
          <w:rStyle w:val="77"/>
          <w:rFonts w:hint="eastAsia"/>
          <w:b/>
          <w:color w:val="auto"/>
          <w:sz w:val="32"/>
          <w:szCs w:val="32"/>
        </w:rPr>
        <w:t>招标需求</w:t>
      </w:r>
      <w:r>
        <w:rPr>
          <w:b/>
          <w:color w:val="auto"/>
          <w:sz w:val="32"/>
          <w:szCs w:val="32"/>
        </w:rPr>
        <w:tab/>
      </w:r>
      <w:r>
        <w:rPr>
          <w:rFonts w:hint="eastAsia"/>
          <w:b/>
          <w:color w:val="auto"/>
          <w:sz w:val="32"/>
          <w:szCs w:val="32"/>
        </w:rPr>
        <w:t>7</w:t>
      </w:r>
      <w:r>
        <w:rPr>
          <w:rFonts w:hint="eastAsia"/>
          <w:b/>
          <w:color w:val="auto"/>
          <w:sz w:val="32"/>
          <w:szCs w:val="32"/>
        </w:rPr>
        <w:fldChar w:fldCharType="end"/>
      </w:r>
    </w:p>
    <w:p>
      <w:pPr>
        <w:pStyle w:val="44"/>
        <w:tabs>
          <w:tab w:val="right" w:leader="dot" w:pos="8834"/>
        </w:tabs>
        <w:spacing w:line="480" w:lineRule="auto"/>
        <w:rPr>
          <w:rFonts w:hint="default" w:eastAsia="宋体"/>
          <w:b/>
          <w:color w:val="auto"/>
          <w:sz w:val="32"/>
          <w:szCs w:val="32"/>
          <w:lang w:val="en-US" w:eastAsia="zh-CN"/>
        </w:rPr>
      </w:pPr>
      <w:r>
        <w:rPr>
          <w:color w:val="auto"/>
        </w:rPr>
        <w:fldChar w:fldCharType="begin"/>
      </w:r>
      <w:r>
        <w:rPr>
          <w:color w:val="auto"/>
        </w:rPr>
        <w:instrText xml:space="preserve"> HYPERLINK \l "_Toc406402986" </w:instrText>
      </w:r>
      <w:r>
        <w:rPr>
          <w:color w:val="auto"/>
        </w:rPr>
        <w:fldChar w:fldCharType="separate"/>
      </w:r>
      <w:r>
        <w:rPr>
          <w:rStyle w:val="77"/>
          <w:rFonts w:hint="eastAsia"/>
          <w:b/>
          <w:color w:val="auto"/>
          <w:sz w:val="32"/>
          <w:szCs w:val="32"/>
        </w:rPr>
        <w:t>第三章</w:t>
      </w:r>
      <w:r>
        <w:rPr>
          <w:rStyle w:val="77"/>
          <w:b/>
          <w:color w:val="auto"/>
          <w:sz w:val="32"/>
          <w:szCs w:val="32"/>
        </w:rPr>
        <w:t xml:space="preserve">  </w:t>
      </w:r>
      <w:r>
        <w:rPr>
          <w:rStyle w:val="77"/>
          <w:rFonts w:hint="eastAsia"/>
          <w:b/>
          <w:color w:val="auto"/>
          <w:sz w:val="32"/>
          <w:szCs w:val="32"/>
        </w:rPr>
        <w:t>投标人须知</w:t>
      </w:r>
      <w:r>
        <w:rPr>
          <w:b/>
          <w:color w:val="auto"/>
          <w:sz w:val="32"/>
          <w:szCs w:val="32"/>
        </w:rPr>
        <w:tab/>
      </w:r>
      <w:r>
        <w:rPr>
          <w:b/>
          <w:color w:val="auto"/>
          <w:sz w:val="32"/>
          <w:szCs w:val="32"/>
        </w:rPr>
        <w:fldChar w:fldCharType="end"/>
      </w:r>
      <w:r>
        <w:rPr>
          <w:rFonts w:hint="eastAsia"/>
          <w:b/>
          <w:color w:val="auto"/>
          <w:sz w:val="32"/>
          <w:szCs w:val="32"/>
          <w:lang w:val="en-US" w:eastAsia="zh-CN"/>
        </w:rPr>
        <w:t>15</w:t>
      </w:r>
    </w:p>
    <w:p>
      <w:pPr>
        <w:pStyle w:val="44"/>
        <w:tabs>
          <w:tab w:val="right" w:leader="dot" w:pos="8834"/>
        </w:tabs>
        <w:spacing w:line="480" w:lineRule="auto"/>
        <w:rPr>
          <w:rFonts w:hint="default" w:eastAsia="宋体"/>
          <w:b/>
          <w:color w:val="auto"/>
          <w:sz w:val="32"/>
          <w:szCs w:val="32"/>
          <w:lang w:val="en-US" w:eastAsia="zh-CN"/>
        </w:rPr>
      </w:pPr>
      <w:r>
        <w:rPr>
          <w:color w:val="auto"/>
        </w:rPr>
        <w:fldChar w:fldCharType="begin"/>
      </w:r>
      <w:r>
        <w:rPr>
          <w:color w:val="auto"/>
        </w:rPr>
        <w:instrText xml:space="preserve"> HYPERLINK \l "_Toc406402996" </w:instrText>
      </w:r>
      <w:r>
        <w:rPr>
          <w:color w:val="auto"/>
        </w:rPr>
        <w:fldChar w:fldCharType="separate"/>
      </w:r>
      <w:r>
        <w:rPr>
          <w:rStyle w:val="77"/>
          <w:rFonts w:hint="eastAsia"/>
          <w:b/>
          <w:color w:val="auto"/>
          <w:sz w:val="32"/>
          <w:szCs w:val="32"/>
        </w:rPr>
        <w:t xml:space="preserve">第四章 </w:t>
      </w:r>
      <w:r>
        <w:rPr>
          <w:rStyle w:val="77"/>
          <w:b/>
          <w:color w:val="auto"/>
          <w:sz w:val="32"/>
          <w:szCs w:val="32"/>
        </w:rPr>
        <w:t xml:space="preserve"> </w:t>
      </w:r>
      <w:r>
        <w:rPr>
          <w:rStyle w:val="77"/>
          <w:rFonts w:hint="eastAsia"/>
          <w:b/>
          <w:color w:val="auto"/>
          <w:sz w:val="32"/>
          <w:szCs w:val="32"/>
        </w:rPr>
        <w:t>评标办法及评分标准</w:t>
      </w:r>
      <w:r>
        <w:rPr>
          <w:b/>
          <w:color w:val="auto"/>
          <w:sz w:val="32"/>
          <w:szCs w:val="32"/>
        </w:rPr>
        <w:tab/>
      </w:r>
      <w:r>
        <w:rPr>
          <w:rFonts w:hint="eastAsia"/>
          <w:b/>
          <w:color w:val="auto"/>
          <w:sz w:val="32"/>
          <w:szCs w:val="32"/>
        </w:rPr>
        <w:fldChar w:fldCharType="end"/>
      </w:r>
      <w:r>
        <w:rPr>
          <w:rFonts w:hint="eastAsia"/>
          <w:b/>
          <w:color w:val="auto"/>
          <w:sz w:val="32"/>
          <w:szCs w:val="32"/>
          <w:lang w:val="en-US" w:eastAsia="zh-CN"/>
        </w:rPr>
        <w:t>29</w:t>
      </w:r>
    </w:p>
    <w:p>
      <w:pPr>
        <w:pStyle w:val="44"/>
        <w:tabs>
          <w:tab w:val="right" w:leader="dot" w:pos="8834"/>
        </w:tabs>
        <w:spacing w:line="480" w:lineRule="auto"/>
        <w:rPr>
          <w:rFonts w:hint="default" w:eastAsia="宋体"/>
          <w:b/>
          <w:color w:val="auto"/>
          <w:sz w:val="32"/>
          <w:szCs w:val="32"/>
          <w:lang w:val="en-US" w:eastAsia="zh-CN"/>
        </w:rPr>
      </w:pPr>
      <w:r>
        <w:rPr>
          <w:color w:val="auto"/>
        </w:rPr>
        <w:fldChar w:fldCharType="begin"/>
      </w:r>
      <w:r>
        <w:rPr>
          <w:color w:val="auto"/>
        </w:rPr>
        <w:instrText xml:space="preserve"> HYPERLINK \l "_Toc406402998" </w:instrText>
      </w:r>
      <w:r>
        <w:rPr>
          <w:color w:val="auto"/>
        </w:rPr>
        <w:fldChar w:fldCharType="separate"/>
      </w:r>
      <w:r>
        <w:rPr>
          <w:rStyle w:val="77"/>
          <w:rFonts w:hint="eastAsia"/>
          <w:b/>
          <w:color w:val="auto"/>
          <w:sz w:val="32"/>
          <w:szCs w:val="32"/>
        </w:rPr>
        <w:t>第五章</w:t>
      </w:r>
      <w:r>
        <w:rPr>
          <w:rStyle w:val="77"/>
          <w:b/>
          <w:color w:val="auto"/>
          <w:sz w:val="32"/>
          <w:szCs w:val="32"/>
        </w:rPr>
        <w:t xml:space="preserve">  </w:t>
      </w:r>
      <w:r>
        <w:rPr>
          <w:rStyle w:val="77"/>
          <w:rFonts w:hint="eastAsia"/>
          <w:b/>
          <w:color w:val="auto"/>
          <w:sz w:val="32"/>
          <w:szCs w:val="32"/>
        </w:rPr>
        <w:t>嘉善县政府采购合同（</w:t>
      </w:r>
      <w:bookmarkStart w:id="3" w:name="_Hlt497308216"/>
      <w:r>
        <w:rPr>
          <w:rStyle w:val="77"/>
          <w:rFonts w:hint="eastAsia"/>
          <w:b/>
          <w:color w:val="auto"/>
          <w:sz w:val="32"/>
          <w:szCs w:val="32"/>
        </w:rPr>
        <w:t>指</w:t>
      </w:r>
      <w:bookmarkEnd w:id="3"/>
      <w:bookmarkStart w:id="4" w:name="_Hlt497308220"/>
      <w:r>
        <w:rPr>
          <w:rStyle w:val="77"/>
          <w:rFonts w:hint="eastAsia"/>
          <w:b/>
          <w:color w:val="auto"/>
          <w:sz w:val="32"/>
          <w:szCs w:val="32"/>
        </w:rPr>
        <w:t>引</w:t>
      </w:r>
      <w:bookmarkEnd w:id="4"/>
      <w:r>
        <w:rPr>
          <w:rStyle w:val="77"/>
          <w:rFonts w:hint="eastAsia"/>
          <w:b/>
          <w:color w:val="auto"/>
          <w:sz w:val="32"/>
          <w:szCs w:val="32"/>
        </w:rPr>
        <w:t>）</w:t>
      </w:r>
      <w:bookmarkStart w:id="5" w:name="_Hlt497308212"/>
      <w:bookmarkStart w:id="6" w:name="_Hlt497308213"/>
      <w:r>
        <w:rPr>
          <w:b/>
          <w:color w:val="auto"/>
          <w:sz w:val="32"/>
          <w:szCs w:val="32"/>
        </w:rPr>
        <w:tab/>
      </w:r>
      <w:bookmarkEnd w:id="5"/>
      <w:bookmarkEnd w:id="6"/>
      <w:r>
        <w:rPr>
          <w:rFonts w:hint="eastAsia"/>
          <w:b/>
          <w:color w:val="auto"/>
          <w:sz w:val="32"/>
          <w:szCs w:val="32"/>
        </w:rPr>
        <w:fldChar w:fldCharType="end"/>
      </w:r>
      <w:r>
        <w:rPr>
          <w:rFonts w:hint="eastAsia"/>
          <w:b/>
          <w:color w:val="auto"/>
          <w:sz w:val="32"/>
          <w:szCs w:val="32"/>
          <w:lang w:val="en-US" w:eastAsia="zh-CN"/>
        </w:rPr>
        <w:t>32</w:t>
      </w:r>
    </w:p>
    <w:p>
      <w:pPr>
        <w:pStyle w:val="44"/>
        <w:tabs>
          <w:tab w:val="right" w:leader="dot" w:pos="8834"/>
        </w:tabs>
        <w:spacing w:line="480" w:lineRule="auto"/>
        <w:rPr>
          <w:rFonts w:hint="default"/>
          <w:b/>
          <w:color w:val="auto"/>
          <w:sz w:val="32"/>
          <w:szCs w:val="32"/>
          <w:lang w:val="en-US"/>
        </w:rPr>
      </w:pPr>
      <w:r>
        <w:rPr>
          <w:color w:val="auto"/>
        </w:rPr>
        <w:fldChar w:fldCharType="begin"/>
      </w:r>
      <w:r>
        <w:rPr>
          <w:color w:val="auto"/>
        </w:rPr>
        <w:instrText xml:space="preserve"> HYPERLINK \l "_Toc406403000" </w:instrText>
      </w:r>
      <w:r>
        <w:rPr>
          <w:color w:val="auto"/>
        </w:rPr>
        <w:fldChar w:fldCharType="separate"/>
      </w:r>
      <w:r>
        <w:rPr>
          <w:rStyle w:val="77"/>
          <w:rFonts w:hint="eastAsia"/>
          <w:b/>
          <w:color w:val="auto"/>
          <w:sz w:val="32"/>
          <w:szCs w:val="32"/>
        </w:rPr>
        <w:t>第六章　投标文件格式</w:t>
      </w:r>
      <w:r>
        <w:rPr>
          <w:b/>
          <w:color w:val="auto"/>
          <w:sz w:val="32"/>
          <w:szCs w:val="32"/>
        </w:rPr>
        <w:tab/>
      </w:r>
      <w:r>
        <w:rPr>
          <w:b/>
          <w:color w:val="auto"/>
          <w:sz w:val="32"/>
          <w:szCs w:val="32"/>
        </w:rPr>
        <w:fldChar w:fldCharType="end"/>
      </w:r>
      <w:r>
        <w:rPr>
          <w:rFonts w:hint="eastAsia"/>
          <w:b/>
          <w:color w:val="auto"/>
          <w:sz w:val="32"/>
          <w:szCs w:val="32"/>
          <w:lang w:val="en-US" w:eastAsia="zh-CN"/>
        </w:rPr>
        <w:t>35</w:t>
      </w:r>
    </w:p>
    <w:p>
      <w:pPr>
        <w:pStyle w:val="44"/>
        <w:tabs>
          <w:tab w:val="right" w:leader="dot" w:pos="8834"/>
        </w:tabs>
        <w:spacing w:line="480" w:lineRule="auto"/>
        <w:rPr>
          <w:b/>
          <w:color w:val="auto"/>
          <w:sz w:val="32"/>
          <w:szCs w:val="32"/>
        </w:rPr>
      </w:pPr>
    </w:p>
    <w:p>
      <w:pPr>
        <w:spacing w:line="360" w:lineRule="auto"/>
        <w:ind w:firstLine="480" w:firstLineChars="229"/>
        <w:rPr>
          <w:rFonts w:ascii="仿宋" w:hAnsi="仿宋" w:eastAsia="仿宋" w:cs="仿宋_GB2312"/>
          <w:color w:val="auto"/>
          <w:sz w:val="24"/>
        </w:rPr>
      </w:pPr>
      <w:r>
        <w:rPr>
          <w:color w:val="auto"/>
          <w:szCs w:val="32"/>
        </w:rPr>
        <w:fldChar w:fldCharType="end"/>
      </w: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7" w:name="第一部分"/>
      <w:r>
        <w:rPr>
          <w:rFonts w:ascii="仿宋" w:hAnsi="仿宋" w:eastAsia="仿宋" w:cs="仿宋_GB2312"/>
          <w:b/>
          <w:color w:val="auto"/>
          <w:sz w:val="36"/>
          <w:szCs w:val="36"/>
        </w:rPr>
        <w:br w:type="page"/>
      </w:r>
      <w:bookmarkEnd w:id="2"/>
      <w:bookmarkEnd w:id="7"/>
      <w:bookmarkStart w:id="8" w:name="_Hlt74707423"/>
      <w:bookmarkEnd w:id="8"/>
      <w:bookmarkStart w:id="9" w:name="_Hlt74649545"/>
      <w:bookmarkEnd w:id="9"/>
      <w:bookmarkStart w:id="10" w:name="_Hlt74728647"/>
      <w:bookmarkEnd w:id="10"/>
      <w:bookmarkStart w:id="11" w:name="_Hlt74729822"/>
      <w:bookmarkEnd w:id="11"/>
      <w:bookmarkStart w:id="12" w:name="第二部分"/>
      <w:bookmarkStart w:id="13" w:name="_Toc91899870"/>
      <w:bookmarkStart w:id="14" w:name="_Toc91899871"/>
      <w:r>
        <w:rPr>
          <w:rFonts w:hint="eastAsia" w:ascii="仿宋" w:hAnsi="仿宋" w:eastAsia="仿宋" w:cs="仿宋_GB2312"/>
          <w:b/>
          <w:color w:val="auto"/>
          <w:sz w:val="36"/>
          <w:szCs w:val="20"/>
        </w:rPr>
        <w:t>第一章</w:t>
      </w:r>
      <w:r>
        <w:rPr>
          <w:rFonts w:ascii="仿宋" w:hAnsi="仿宋" w:eastAsia="仿宋" w:cs="仿宋_GB2312"/>
          <w:b/>
          <w:color w:val="auto"/>
          <w:sz w:val="36"/>
          <w:szCs w:val="20"/>
        </w:rPr>
        <w:t xml:space="preserve"> </w:t>
      </w:r>
      <w:r>
        <w:rPr>
          <w:rFonts w:hint="eastAsia" w:ascii="仿宋" w:hAnsi="仿宋" w:eastAsia="仿宋" w:cs="仿宋_GB2312"/>
          <w:b/>
          <w:color w:val="auto"/>
          <w:sz w:val="36"/>
          <w:szCs w:val="20"/>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s="仿宋_GB2312"/>
          <w:color w:val="auto"/>
          <w:sz w:val="24"/>
          <w:u w:val="single"/>
        </w:rPr>
        <w:t>（</w:t>
      </w:r>
      <w:r>
        <w:rPr>
          <w:rFonts w:hint="eastAsia" w:ascii="仿宋_GB2312" w:hAnsi="仿宋" w:eastAsia="仿宋_GB2312" w:cs="仿宋_GB2312"/>
          <w:color w:val="auto"/>
          <w:sz w:val="24"/>
          <w:u w:val="single"/>
          <w:lang w:eastAsia="zh-CN"/>
        </w:rPr>
        <w:t>嘉善信息技术工程学校物联网智能交互设备采购</w:t>
      </w:r>
      <w:r>
        <w:rPr>
          <w:rFonts w:hint="eastAsia" w:ascii="仿宋_GB2312" w:hAnsi="仿宋" w:eastAsia="仿宋_GB2312" w:cs="仿宋_GB2312"/>
          <w:color w:val="auto"/>
          <w:sz w:val="24"/>
          <w:u w:val="single"/>
        </w:rPr>
        <w:t>项目）</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color w:val="auto"/>
          <w:sz w:val="24"/>
          <w:u w:val="single"/>
          <w:lang w:eastAsia="zh-CN"/>
        </w:rPr>
        <w:t>2022年11月29日9点</w:t>
      </w:r>
      <w:r>
        <w:rPr>
          <w:rFonts w:hint="eastAsia" w:ascii="仿宋_GB2312" w:hAnsi="仿宋" w:eastAsia="仿宋_GB2312"/>
          <w:color w:val="auto"/>
          <w:sz w:val="24"/>
          <w:u w:val="single"/>
        </w:rPr>
        <w:t>30分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hint="eastAsia" w:ascii="仿宋_GB2312" w:hAnsi="仿宋" w:eastAsia="仿宋_GB2312"/>
          <w:b/>
          <w:color w:val="auto"/>
          <w:sz w:val="24"/>
        </w:rPr>
        <w:t>项目编号：</w:t>
      </w:r>
      <w:r>
        <w:rPr>
          <w:rFonts w:hint="eastAsia" w:ascii="仿宋_GB2312" w:hAnsi="仿宋" w:eastAsia="仿宋_GB2312"/>
          <w:b/>
          <w:color w:val="auto"/>
          <w:sz w:val="24"/>
          <w:lang w:eastAsia="zh-CN"/>
        </w:rPr>
        <w:t>JSCG2022043</w:t>
      </w:r>
      <w:r>
        <w:rPr>
          <w:rFonts w:hint="eastAsia" w:ascii="仿宋_GB2312" w:hAnsi="仿宋" w:eastAsia="仿宋_GB2312"/>
          <w:b/>
          <w:color w:val="auto"/>
          <w:sz w:val="24"/>
        </w:rPr>
        <w:t>(G)</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ascii="仿宋_GB2312" w:hAnsi="仿宋" w:eastAsia="仿宋_GB2312"/>
          <w:b/>
          <w:color w:val="auto"/>
          <w:sz w:val="24"/>
        </w:rPr>
        <w:t xml:space="preserve"> 项目名称：</w:t>
      </w:r>
      <w:r>
        <w:rPr>
          <w:rFonts w:hint="eastAsia" w:ascii="仿宋_GB2312" w:hAnsi="仿宋" w:eastAsia="仿宋_GB2312"/>
          <w:b/>
          <w:color w:val="auto"/>
          <w:sz w:val="24"/>
          <w:lang w:eastAsia="zh-CN"/>
        </w:rPr>
        <w:t>嘉善信息技术工程学校物联网智能交互设备采购</w:t>
      </w:r>
      <w:r>
        <w:rPr>
          <w:rFonts w:hint="eastAsia" w:ascii="仿宋_GB2312" w:hAnsi="仿宋" w:eastAsia="仿宋_GB2312"/>
          <w:b/>
          <w:color w:val="auto"/>
          <w:sz w:val="24"/>
        </w:rPr>
        <w:t>项目</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ascii="仿宋_GB2312" w:hAnsi="仿宋" w:eastAsia="仿宋_GB2312"/>
          <w:b/>
          <w:color w:val="auto"/>
          <w:sz w:val="24"/>
        </w:rPr>
        <w:t xml:space="preserve"> 预算金额（元）：</w:t>
      </w:r>
      <w:r>
        <w:rPr>
          <w:rFonts w:hint="eastAsia" w:ascii="仿宋_GB2312" w:hAnsi="仿宋" w:eastAsia="仿宋_GB2312"/>
          <w:b/>
          <w:color w:val="auto"/>
          <w:sz w:val="24"/>
          <w:lang w:val="en-US" w:eastAsia="zh-CN"/>
        </w:rPr>
        <w:t>600000</w:t>
      </w:r>
      <w:r>
        <w:rPr>
          <w:rFonts w:ascii="仿宋_GB2312" w:hAnsi="仿宋" w:eastAsia="仿宋_GB2312"/>
          <w:color w:val="auto"/>
          <w:sz w:val="24"/>
        </w:rPr>
        <w:t xml:space="preserve"> </w:t>
      </w:r>
      <w:r>
        <w:rPr>
          <w:rFonts w:hint="eastAsia"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rPr>
        <w:t>最高限价（元）：</w:t>
      </w:r>
      <w:r>
        <w:rPr>
          <w:rFonts w:ascii="仿宋_GB2312" w:hAnsi="仿宋" w:eastAsia="仿宋_GB2312"/>
          <w:color w:val="auto"/>
          <w:sz w:val="24"/>
        </w:rPr>
        <w:t xml:space="preserve"> </w:t>
      </w:r>
      <w:r>
        <w:rPr>
          <w:rFonts w:hint="eastAsia" w:ascii="仿宋_GB2312" w:hAnsi="仿宋" w:eastAsia="仿宋_GB2312"/>
          <w:color w:val="auto"/>
          <w:sz w:val="24"/>
        </w:rPr>
        <w:t xml:space="preserve">无 </w:t>
      </w:r>
    </w:p>
    <w:p>
      <w:pPr>
        <w:pStyle w:val="16"/>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详见招标文件第二章招标需求</w:t>
      </w:r>
    </w:p>
    <w:p>
      <w:pPr>
        <w:pStyle w:val="130"/>
        <w:ind w:firstLine="482"/>
        <w:outlineLvl w:val="2"/>
        <w:rPr>
          <w:rFonts w:hint="eastAsia" w:ascii="仿宋_GB2312" w:hAnsi="仿宋" w:eastAsia="仿宋_GB2312"/>
          <w:color w:val="auto"/>
          <w:lang w:eastAsia="zh-CN"/>
        </w:rPr>
      </w:pPr>
      <w:r>
        <w:rPr>
          <w:rFonts w:hint="eastAsia" w:ascii="仿宋_GB2312" w:hAnsi="仿宋" w:eastAsia="仿宋_GB2312"/>
          <w:b/>
          <w:color w:val="auto"/>
        </w:rPr>
        <w:t>合同履约期限：</w:t>
      </w:r>
      <w:r>
        <w:rPr>
          <w:rFonts w:hint="eastAsia" w:ascii="仿宋_GB2312" w:hAnsi="仿宋" w:eastAsia="仿宋_GB2312"/>
          <w:b w:val="0"/>
          <w:bCs/>
          <w:color w:val="auto"/>
        </w:rPr>
        <w:t>合同签订后</w:t>
      </w:r>
      <w:r>
        <w:rPr>
          <w:rFonts w:hint="eastAsia" w:ascii="仿宋_GB2312" w:hAnsi="仿宋" w:eastAsia="仿宋_GB2312"/>
          <w:b w:val="0"/>
          <w:bCs/>
          <w:color w:val="auto"/>
          <w:lang w:eastAsia="zh-CN"/>
        </w:rPr>
        <w:t>45</w:t>
      </w:r>
      <w:r>
        <w:rPr>
          <w:rFonts w:hint="eastAsia" w:ascii="仿宋_GB2312" w:hAnsi="仿宋" w:eastAsia="仿宋_GB2312"/>
          <w:b w:val="0"/>
          <w:bCs/>
          <w:color w:val="auto"/>
        </w:rPr>
        <w:t>日历天内送货到学校指定地点并完成安装调试</w:t>
      </w:r>
    </w:p>
    <w:p>
      <w:pPr>
        <w:pStyle w:val="16"/>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pacing w:line="360" w:lineRule="auto"/>
        <w:ind w:firstLine="480" w:firstLineChars="200"/>
        <w:rPr>
          <w:rFonts w:ascii="仿宋_GB2312" w:hAnsi="仿宋" w:eastAsia="仿宋_GB2312"/>
          <w:color w:val="auto"/>
          <w:sz w:val="24"/>
        </w:rPr>
      </w:pPr>
      <w:sdt>
        <w:sdtPr>
          <w:rPr>
            <w:rFonts w:hint="eastAsia" w:ascii="仿宋_GB2312" w:hAnsi="仿宋" w:eastAsia="仿宋_GB2312" w:cs="Arial"/>
            <w:color w:val="auto"/>
            <w:kern w:val="0"/>
            <w:sz w:val="24"/>
          </w:rPr>
          <w:id w:val="1928616923"/>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sdt>
        <w:sdtPr>
          <w:rPr>
            <w:rFonts w:hint="eastAsia" w:ascii="仿宋_GB2312" w:hAnsi="仿宋" w:eastAsia="仿宋_GB2312" w:cs="Arial"/>
            <w:color w:val="auto"/>
            <w:kern w:val="0"/>
            <w:sz w:val="24"/>
          </w:rPr>
          <w:id w:val="-1024704304"/>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pacing w:line="360" w:lineRule="auto"/>
        <w:ind w:firstLine="897" w:firstLineChars="374"/>
        <w:rPr>
          <w:rFonts w:ascii="仿宋_GB2312" w:hAnsi="仿宋" w:eastAsia="仿宋_GB2312"/>
          <w:color w:val="auto"/>
          <w:sz w:val="24"/>
          <w:u w:val="single"/>
        </w:rPr>
      </w:pPr>
      <w:sdt>
        <w:sdtPr>
          <w:rPr>
            <w:rFonts w:hint="eastAsia" w:ascii="仿宋_GB2312" w:hAnsi="仿宋" w:eastAsia="仿宋_GB2312" w:cs="Arial"/>
            <w:color w:val="auto"/>
            <w:kern w:val="0"/>
            <w:sz w:val="24"/>
          </w:rPr>
          <w:id w:val="-924730588"/>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color w:val="auto"/>
          <w:sz w:val="24"/>
        </w:rPr>
        <w:t>货物全部由符合政策要求的中小企业制造，提供中小企业声明函；</w:t>
      </w:r>
    </w:p>
    <w:p>
      <w:pPr>
        <w:spacing w:line="360" w:lineRule="auto"/>
        <w:ind w:firstLine="897" w:firstLineChars="374"/>
        <w:rPr>
          <w:rFonts w:ascii="仿宋_GB2312" w:hAnsi="仿宋" w:eastAsia="仿宋_GB2312"/>
          <w:color w:val="auto"/>
          <w:sz w:val="24"/>
        </w:rPr>
      </w:pPr>
      <w:sdt>
        <w:sdtPr>
          <w:rPr>
            <w:rFonts w:hint="eastAsia" w:ascii="仿宋_GB2312" w:hAnsi="仿宋" w:eastAsia="仿宋_GB2312" w:cs="Arial"/>
            <w:color w:val="auto"/>
            <w:kern w:val="0"/>
            <w:sz w:val="24"/>
          </w:rPr>
          <w:id w:val="-1152604937"/>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hint="eastAsia" w:ascii="仿宋_GB2312" w:hAnsi="仿宋" w:eastAsia="仿宋_GB2312"/>
          <w:color w:val="auto"/>
          <w:sz w:val="24"/>
        </w:rPr>
        <w:t>货物全部由符合政策要求的小微企业制造，提供中小企业声明函；</w:t>
      </w:r>
    </w:p>
    <w:p>
      <w:pPr>
        <w:spacing w:line="360" w:lineRule="auto"/>
        <w:ind w:firstLine="897" w:firstLineChars="374"/>
        <w:rPr>
          <w:rFonts w:ascii="仿宋_GB2312" w:hAnsi="仿宋" w:eastAsia="仿宋_GB2312"/>
          <w:color w:val="auto"/>
          <w:sz w:val="24"/>
        </w:rPr>
      </w:pPr>
      <w:sdt>
        <w:sdtPr>
          <w:rPr>
            <w:rFonts w:hint="eastAsia" w:ascii="仿宋_GB2312" w:hAnsi="仿宋" w:eastAsia="仿宋_GB2312" w:cs="Arial"/>
            <w:color w:val="auto"/>
            <w:kern w:val="0"/>
            <w:sz w:val="24"/>
          </w:rPr>
          <w:id w:val="-333685401"/>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hint="eastAsia" w:ascii="仿宋_GB2312" w:hAnsi="仿宋" w:eastAsia="仿宋_GB2312"/>
          <w:color w:val="auto"/>
          <w:sz w:val="24"/>
        </w:rPr>
        <w:t>服务全部由符合政策要求的中小企业承接，提供中小企业声明函；</w:t>
      </w:r>
    </w:p>
    <w:p>
      <w:pPr>
        <w:spacing w:line="360" w:lineRule="auto"/>
        <w:ind w:firstLine="897" w:firstLineChars="374"/>
        <w:rPr>
          <w:rFonts w:ascii="仿宋_GB2312" w:hAnsi="仿宋" w:eastAsia="仿宋_GB2312"/>
          <w:color w:val="auto"/>
          <w:sz w:val="24"/>
        </w:rPr>
      </w:pPr>
      <w:sdt>
        <w:sdtPr>
          <w:rPr>
            <w:rFonts w:hint="eastAsia" w:ascii="仿宋_GB2312" w:hAnsi="仿宋" w:eastAsia="仿宋_GB2312" w:cs="Arial"/>
            <w:color w:val="auto"/>
            <w:kern w:val="0"/>
            <w:sz w:val="24"/>
          </w:rPr>
          <w:id w:val="-2141025358"/>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hint="eastAsia" w:ascii="仿宋_GB2312" w:hAnsi="仿宋" w:eastAsia="仿宋_GB2312"/>
          <w:color w:val="auto"/>
          <w:sz w:val="24"/>
        </w:rPr>
        <w:t>服务全部由符合政策要求的小微企业承接，提供中小企业声明函；</w:t>
      </w:r>
    </w:p>
    <w:p>
      <w:pPr>
        <w:rPr>
          <w:color w:val="auto"/>
        </w:rPr>
      </w:pPr>
    </w:p>
    <w:p>
      <w:pPr>
        <w:spacing w:line="360" w:lineRule="auto"/>
        <w:ind w:firstLine="480" w:firstLineChars="200"/>
        <w:rPr>
          <w:rFonts w:ascii="仿宋" w:hAnsi="仿宋" w:eastAsia="仿宋"/>
          <w:color w:val="auto"/>
          <w:sz w:val="24"/>
        </w:rPr>
      </w:pPr>
      <w:sdt>
        <w:sdtPr>
          <w:rPr>
            <w:rFonts w:hint="eastAsia" w:ascii="仿宋_GB2312" w:hAnsi="仿宋" w:eastAsia="仿宋_GB2312" w:cs="Arial"/>
            <w:color w:val="auto"/>
            <w:kern w:val="0"/>
            <w:sz w:val="24"/>
          </w:rPr>
          <w:id w:val="-1985607795"/>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hint="eastAsia" w:ascii="仿宋_GB2312" w:hAnsi="仿宋" w:eastAsia="仿宋_GB2312"/>
          <w:color w:val="auto"/>
          <w:sz w:val="24"/>
        </w:rPr>
        <w:t>要求以联合体形式参加，提供联合协议和中小企业声明函，联合协议中中小企业合同金额应当达到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 w:hAnsi="仿宋" w:eastAsia="仿宋"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sdt>
        <w:sdtPr>
          <w:rPr>
            <w:rFonts w:hint="eastAsia" w:ascii="仿宋_GB2312" w:hAnsi="仿宋" w:eastAsia="仿宋_GB2312" w:cs="Arial"/>
            <w:color w:val="auto"/>
            <w:kern w:val="0"/>
            <w:sz w:val="24"/>
          </w:rPr>
          <w:id w:val="34630645"/>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hint="eastAsia" w:ascii="仿宋" w:hAnsi="仿宋" w:eastAsia="仿宋"/>
          <w:color w:val="auto"/>
          <w:sz w:val="24"/>
        </w:rPr>
        <w:t>要求合同分包，提供分包意向协议和中小企业声明函，分包意向协议中中小企业合同金额应当达到</w:t>
      </w:r>
      <w:r>
        <w:rPr>
          <w:rFonts w:hint="eastAsia" w:ascii="仿宋_GB2312" w:hAnsi="仿宋" w:eastAsia="仿宋_GB2312"/>
          <w:color w:val="auto"/>
          <w:sz w:val="24"/>
        </w:rPr>
        <w:t>达到</w:t>
      </w:r>
      <w:r>
        <w:rPr>
          <w:rFonts w:ascii="仿宋_GB2312" w:hAnsi="仿宋" w:eastAsia="仿宋_GB2312"/>
          <w:color w:val="auto"/>
          <w:sz w:val="24"/>
          <w:u w:val="single"/>
        </w:rPr>
        <w:t xml:space="preserve">  </w:t>
      </w:r>
      <w:r>
        <w:rPr>
          <w:rFonts w:ascii="仿宋_GB2312" w:hAnsi="仿宋" w:eastAsia="仿宋_GB2312"/>
          <w:color w:val="auto"/>
          <w:sz w:val="24"/>
        </w:rPr>
        <w:t xml:space="preserve">% </w:t>
      </w:r>
      <w:r>
        <w:rPr>
          <w:rFonts w:hint="eastAsia" w:ascii="仿宋_GB2312" w:hAnsi="仿宋" w:eastAsia="仿宋_GB2312"/>
          <w:color w:val="auto"/>
          <w:sz w:val="24"/>
        </w:rPr>
        <w:t>，小微企业合同金额应当达到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 ;</w:t>
      </w:r>
      <w:r>
        <w:rPr>
          <w:rFonts w:hint="eastAsia" w:ascii="仿宋" w:hAnsi="仿宋" w:eastAsia="仿宋" w:cs="宋体"/>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olor w:val="auto"/>
          <w:sz w:val="24"/>
        </w:rPr>
        <w:t>；</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3.本项目的特定资格要求：无</w:t>
      </w:r>
      <w:r>
        <w:rPr>
          <w:rFonts w:ascii="仿宋_GB2312" w:hAnsi="仿宋" w:eastAsia="仿宋_GB2312" w:cs="仿宋_GB2312"/>
          <w:color w:val="auto"/>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lang w:eastAsia="zh-CN"/>
        </w:rPr>
        <w:t>2022年11月29日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hint="eastAsia" w:ascii="仿宋_GB2312" w:hAnsi="仿宋" w:eastAsia="仿宋_GB2312"/>
          <w:color w:val="auto"/>
          <w:sz w:val="24"/>
          <w:u w:val="single"/>
          <w:lang w:eastAsia="zh-CN"/>
        </w:rPr>
        <w:t>2022年11月29日9点</w:t>
      </w:r>
      <w:r>
        <w:rPr>
          <w:rFonts w:hint="eastAsia" w:ascii="仿宋_GB2312" w:hAnsi="仿宋" w:eastAsia="仿宋_GB2312"/>
          <w:color w:val="auto"/>
          <w:sz w:val="24"/>
          <w:u w:val="single"/>
        </w:rPr>
        <w:t>30分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rPr>
        <w:t>开标时间：</w:t>
      </w:r>
      <w:r>
        <w:rPr>
          <w:rFonts w:hint="eastAsia" w:ascii="仿宋_GB2312" w:hAnsi="仿宋" w:eastAsia="仿宋_GB2312"/>
          <w:color w:val="auto"/>
          <w:sz w:val="24"/>
          <w:u w:val="single"/>
          <w:lang w:eastAsia="zh-CN"/>
        </w:rPr>
        <w:t>2022年11月29日9点</w:t>
      </w:r>
      <w:r>
        <w:rPr>
          <w:rFonts w:hint="eastAsia" w:ascii="仿宋_GB2312" w:hAnsi="仿宋" w:eastAsia="仿宋_GB2312"/>
          <w:color w:val="auto"/>
          <w:sz w:val="24"/>
          <w:u w:val="single"/>
        </w:rPr>
        <w:t>30分</w:t>
      </w:r>
      <w:r>
        <w:rPr>
          <w:rFonts w:hint="eastAsia" w:ascii="仿宋_GB2312" w:hAnsi="仿宋" w:eastAsia="仿宋_GB2312"/>
          <w:bCs/>
          <w:color w:val="auto"/>
          <w:sz w:val="24"/>
          <w:u w:val="single"/>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spacing w:line="360" w:lineRule="auto"/>
        <w:rPr>
          <w:rFonts w:ascii="仿宋_GB2312" w:hAnsi="仿宋" w:eastAsia="仿宋_GB2312"/>
          <w:color w:val="auto"/>
          <w:sz w:val="24"/>
        </w:rPr>
      </w:pPr>
      <w:r>
        <w:rPr>
          <w:rFonts w:hint="eastAsia" w:ascii="仿宋_GB2312" w:hAnsi="仿宋" w:eastAsia="仿宋_GB2312"/>
          <w:b/>
          <w:color w:val="auto"/>
          <w:sz w:val="24"/>
        </w:rPr>
        <w:t>五、公告期限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六、其他补充事宜</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4.其他事项：</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rPr>
        <w:t>【地址：</w:t>
      </w:r>
      <w:r>
        <w:rPr>
          <w:rFonts w:hint="eastAsia" w:ascii="仿宋_GB2312" w:hAnsi="仿宋" w:eastAsia="仿宋_GB2312"/>
          <w:color w:val="auto"/>
          <w:sz w:val="24"/>
        </w:rPr>
        <w:t>嘉善县魏塘街道环北西路261-263号嘉善县公共资源交易中心</w:t>
      </w:r>
      <w:r>
        <w:rPr>
          <w:rFonts w:hint="eastAsia" w:ascii="仿宋_GB2312" w:hAnsi="仿宋" w:eastAsia="仿宋_GB2312" w:cs="仿宋_GB2312"/>
          <w:color w:val="auto"/>
          <w:sz w:val="24"/>
        </w:rPr>
        <w:t>；收件人：陆俊余；电话：0573-84129502；快递寄出同时，项目被授权代表须以邮件方式将快递单号、项目名称、公司名称、被授权代表姓名及联系方式等内容（邮件格式为：项目编号+快递单号+公司名称+被授权代表姓名及联系方式）发送至集中采购机构联系人邮箱(330292078@qq.com)。如供应商选择快递费到付，集中采购机构将拒签。】</w:t>
      </w:r>
      <w:r>
        <w:rPr>
          <w:rFonts w:ascii="仿宋_GB2312" w:hAnsi="仿宋" w:eastAsia="仿宋_GB2312" w:cs="仿宋_GB2312"/>
          <w:color w:val="auto"/>
          <w:sz w:val="24"/>
        </w:rPr>
        <w:t>备份投标文件的制作、存储、密封详见招标文件第</w:t>
      </w:r>
      <w:r>
        <w:rPr>
          <w:rFonts w:hint="eastAsia" w:ascii="仿宋_GB2312" w:hAnsi="仿宋" w:eastAsia="仿宋_GB2312" w:cs="仿宋_GB2312"/>
          <w:color w:val="auto"/>
          <w:sz w:val="24"/>
        </w:rPr>
        <w:t>三章</w:t>
      </w:r>
      <w:r>
        <w:rPr>
          <w:rFonts w:ascii="仿宋_GB2312" w:hAnsi="仿宋" w:eastAsia="仿宋_GB2312" w:cs="仿宋_GB2312"/>
          <w:color w:val="auto"/>
          <w:sz w:val="24"/>
        </w:rPr>
        <w:t>—“备份投标文件”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七、对本次招标提出询问，请按以下方式联系</w:t>
      </w:r>
    </w:p>
    <w:p>
      <w:pPr>
        <w:spacing w:line="360" w:lineRule="auto"/>
        <w:rPr>
          <w:rFonts w:ascii="仿宋_GB2312" w:hAnsi="仿宋" w:eastAsia="仿宋_GB2312"/>
          <w:color w:val="auto"/>
          <w:sz w:val="24"/>
        </w:rPr>
      </w:pPr>
      <w:r>
        <w:rPr>
          <w:rFonts w:ascii="仿宋_GB2312" w:hAnsi="仿宋" w:eastAsia="仿宋_GB2312"/>
          <w:color w:val="auto"/>
          <w:sz w:val="24"/>
        </w:rPr>
        <w:t xml:space="preserve">    1.采购人信息</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w:t>
      </w:r>
      <w:r>
        <w:rPr>
          <w:rFonts w:hint="eastAsia" w:ascii="仿宋_GB2312" w:hAnsi="仿宋" w:eastAsia="仿宋_GB2312"/>
          <w:color w:val="auto"/>
          <w:sz w:val="24"/>
          <w:lang w:eastAsia="zh-CN"/>
        </w:rPr>
        <w:t>嘉善信息技术工程学校</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仿宋_GB2312" w:hAnsi="仿宋" w:eastAsia="仿宋_GB2312"/>
          <w:color w:val="auto"/>
          <w:sz w:val="24"/>
        </w:rPr>
        <w:t>嘉善县晋阳西路1155号</w:t>
      </w:r>
      <w:r>
        <w:rPr>
          <w:rFonts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rPr>
          <w:rFonts w:ascii="仿宋_GB2312" w:hAnsi="仿宋" w:eastAsia="仿宋"/>
          <w:color w:val="auto"/>
          <w:sz w:val="24"/>
        </w:rPr>
      </w:pPr>
      <w:r>
        <w:rPr>
          <w:rFonts w:hint="eastAsia" w:ascii="仿宋_GB2312" w:hAnsi="仿宋" w:eastAsia="仿宋_GB2312"/>
          <w:color w:val="auto"/>
          <w:sz w:val="24"/>
        </w:rPr>
        <w:t>项目联系人（询问）：阮鑫华</w:t>
      </w:r>
      <w:r>
        <w:rPr>
          <w:rFonts w:ascii="仿宋_GB2312" w:hAnsi="仿宋" w:eastAsia="仿宋_GB2312"/>
          <w:color w:val="auto"/>
          <w:sz w:val="24"/>
        </w:rPr>
        <w:t xml:space="preserve"> </w:t>
      </w:r>
      <w:r>
        <w:rPr>
          <w:rFonts w:hint="eastAsia" w:ascii="仿宋" w:hAnsi="仿宋" w:eastAsia="仿宋"/>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ascii="仿宋_GB2312" w:hAnsi="仿宋" w:eastAsia="仿宋_GB2312"/>
          <w:color w:val="auto"/>
          <w:sz w:val="24"/>
        </w:rPr>
        <w:t xml:space="preserve">0573-84208406 </w:t>
      </w:r>
    </w:p>
    <w:p>
      <w:pPr>
        <w:spacing w:line="360" w:lineRule="auto"/>
        <w:rPr>
          <w:rFonts w:ascii="仿宋" w:hAnsi="仿宋" w:eastAsia="仿宋"/>
          <w:sz w:val="24"/>
        </w:rPr>
      </w:pPr>
      <w:r>
        <w:rPr>
          <w:rFonts w:ascii="仿宋_GB2312" w:hAnsi="仿宋" w:eastAsia="仿宋_GB2312"/>
          <w:color w:val="auto"/>
          <w:sz w:val="24"/>
        </w:rPr>
        <w:t xml:space="preserve">    </w:t>
      </w:r>
      <w:r>
        <w:rPr>
          <w:rFonts w:ascii="仿宋_GB2312" w:hAnsi="仿宋" w:eastAsia="仿宋_GB2312"/>
          <w:sz w:val="24"/>
        </w:rPr>
        <w:t>质疑联系</w:t>
      </w:r>
      <w:r>
        <w:rPr>
          <w:rFonts w:hint="eastAsia" w:ascii="仿宋_GB2312" w:hAnsi="仿宋" w:eastAsia="仿宋_GB2312"/>
          <w:sz w:val="24"/>
        </w:rPr>
        <w:t>人：陈佳嫒</w:t>
      </w:r>
      <w:r>
        <w:rPr>
          <w:rFonts w:hint="eastAsia" w:ascii="仿宋" w:hAnsi="仿宋" w:eastAsia="仿宋"/>
          <w:sz w:val="24"/>
        </w:rPr>
        <w:t xml:space="preserve"> </w:t>
      </w:r>
    </w:p>
    <w:p>
      <w:pPr>
        <w:spacing w:line="360" w:lineRule="auto"/>
        <w:ind w:firstLine="480"/>
        <w:rPr>
          <w:rFonts w:hint="eastAsia" w:ascii="仿宋_GB2312" w:hAnsi="仿宋" w:eastAsia="仿宋_GB2312"/>
          <w:color w:val="auto"/>
          <w:sz w:val="24"/>
        </w:rPr>
      </w:pPr>
      <w:r>
        <w:rPr>
          <w:rFonts w:ascii="仿宋_GB2312" w:hAnsi="仿宋" w:eastAsia="仿宋_GB2312"/>
          <w:sz w:val="24"/>
        </w:rPr>
        <w:t>质疑联系方式：</w:t>
      </w:r>
      <w:r>
        <w:rPr>
          <w:rFonts w:hint="eastAsia" w:ascii="仿宋_GB2312" w:hAnsi="仿宋" w:eastAsia="仿宋_GB2312"/>
          <w:sz w:val="24"/>
        </w:rPr>
        <w:t>15068210347</w:t>
      </w:r>
    </w:p>
    <w:p>
      <w:pPr>
        <w:spacing w:line="360" w:lineRule="auto"/>
        <w:ind w:firstLine="480"/>
        <w:rPr>
          <w:rFonts w:ascii="仿宋_GB2312" w:hAnsi="仿宋" w:eastAsia="仿宋_GB2312"/>
          <w:color w:val="auto"/>
          <w:sz w:val="24"/>
        </w:rPr>
      </w:pPr>
      <w:r>
        <w:rPr>
          <w:rFonts w:ascii="仿宋_GB2312" w:hAnsi="仿宋" w:eastAsia="仿宋_GB2312"/>
          <w:color w:val="auto"/>
          <w:sz w:val="24"/>
        </w:rPr>
        <w:t xml:space="preserve">2.采购代理机构信息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称：嘉善县公共资源交易中心</w:t>
      </w:r>
    </w:p>
    <w:p>
      <w:pPr>
        <w:spacing w:line="360" w:lineRule="auto"/>
        <w:ind w:firstLine="480"/>
        <w:rPr>
          <w:rFonts w:ascii="仿宋_GB2312" w:hAnsi="仿宋" w:eastAsia="仿宋"/>
          <w:color w:val="auto"/>
          <w:sz w:val="24"/>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址：嘉善县魏塘街道环北西路261-263号</w:t>
      </w:r>
      <w:r>
        <w:rPr>
          <w:rFonts w:hint="eastAsia" w:ascii="仿宋" w:hAnsi="仿宋" w:eastAsia="仿宋"/>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传    真：</w:t>
      </w:r>
      <w:r>
        <w:rPr>
          <w:rFonts w:hint="eastAsia" w:ascii="仿宋_GB2312" w:hAnsi="仿宋" w:eastAsia="仿宋_GB2312"/>
          <w:color w:val="auto"/>
          <w:sz w:val="24"/>
        </w:rPr>
        <w:t>0573-84129636</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项目联系人（询问）：</w:t>
      </w:r>
      <w:r>
        <w:rPr>
          <w:rFonts w:hint="eastAsia" w:ascii="仿宋_GB2312" w:hAnsi="仿宋" w:eastAsia="仿宋_GB2312"/>
          <w:color w:val="auto"/>
          <w:sz w:val="24"/>
          <w:lang w:val="en-US" w:eastAsia="zh-CN"/>
        </w:rPr>
        <w:t>陆俊余</w:t>
      </w:r>
      <w:r>
        <w:rPr>
          <w:rFonts w:hint="eastAsia" w:ascii="仿宋" w:hAnsi="仿宋" w:eastAsia="仿宋"/>
          <w:color w:val="auto"/>
          <w:sz w:val="24"/>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ascii="仿宋_GB2312" w:hAnsi="仿宋" w:eastAsia="仿宋_GB2312"/>
          <w:color w:val="auto"/>
          <w:sz w:val="24"/>
        </w:rPr>
        <w:t xml:space="preserve">0573-84129502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质疑联系人：</w:t>
      </w:r>
      <w:r>
        <w:rPr>
          <w:rFonts w:hint="eastAsia" w:ascii="仿宋_GB2312" w:hAnsi="仿宋" w:eastAsia="仿宋_GB2312"/>
          <w:color w:val="auto"/>
          <w:sz w:val="24"/>
        </w:rPr>
        <w:t>任</w:t>
      </w:r>
      <w:r>
        <w:rPr>
          <w:rFonts w:hint="eastAsia" w:ascii="仿宋_GB2312" w:hAnsi="仿宋" w:eastAsia="仿宋_GB2312"/>
          <w:color w:val="auto"/>
          <w:sz w:val="24"/>
          <w:lang w:val="en-US" w:eastAsia="zh-CN"/>
        </w:rPr>
        <w:t>佶</w:t>
      </w:r>
      <w:r>
        <w:rPr>
          <w:rFonts w:hint="eastAsia" w:ascii="仿宋" w:hAnsi="仿宋" w:eastAsia="仿宋"/>
          <w:color w:val="auto"/>
          <w:sz w:val="24"/>
        </w:rPr>
        <w:t xml:space="preserve"> </w:t>
      </w:r>
      <w:r>
        <w:rPr>
          <w:rFonts w:ascii="仿宋_GB2312" w:hAnsi="仿宋" w:eastAsia="仿宋_GB2312"/>
          <w:color w:val="auto"/>
          <w:sz w:val="24"/>
        </w:rPr>
        <w:t xml:space="preserve">            </w:t>
      </w:r>
    </w:p>
    <w:p>
      <w:pPr>
        <w:spacing w:line="360" w:lineRule="auto"/>
        <w:rPr>
          <w:rFonts w:ascii="仿宋" w:hAnsi="仿宋" w:eastAsia="仿宋"/>
          <w:color w:val="auto"/>
          <w:sz w:val="24"/>
        </w:rPr>
      </w:pPr>
      <w:r>
        <w:rPr>
          <w:rFonts w:ascii="仿宋_GB2312" w:hAnsi="仿宋" w:eastAsia="仿宋_GB2312"/>
          <w:color w:val="auto"/>
          <w:sz w:val="24"/>
        </w:rPr>
        <w:t xml:space="preserve">    质疑联系方式：</w:t>
      </w:r>
      <w:r>
        <w:rPr>
          <w:rFonts w:hint="eastAsia" w:ascii="仿宋_GB2312" w:hAnsi="仿宋" w:eastAsia="仿宋_GB2312"/>
          <w:color w:val="auto"/>
          <w:sz w:val="24"/>
        </w:rPr>
        <w:t>0573-84601761</w:t>
      </w:r>
      <w:r>
        <w:rPr>
          <w:rFonts w:hint="eastAsia" w:ascii="仿宋" w:hAnsi="仿宋" w:eastAsia="仿宋"/>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3.同级政府采购监督管理部门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w:t>
      </w:r>
      <w:r>
        <w:rPr>
          <w:rFonts w:hint="eastAsia" w:ascii="仿宋_GB2312" w:hAnsi="仿宋" w:eastAsia="仿宋_GB2312"/>
          <w:color w:val="auto"/>
          <w:sz w:val="24"/>
        </w:rPr>
        <w:t>嘉善县财政局</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仿宋_GB2312" w:hAnsi="仿宋" w:eastAsia="仿宋_GB2312"/>
          <w:color w:val="auto"/>
          <w:sz w:val="24"/>
        </w:rPr>
        <w:t xml:space="preserve">嘉善县解放东路318号 </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  传    真：</w:t>
      </w:r>
      <w:r>
        <w:rPr>
          <w:rFonts w:hint="eastAsia" w:ascii="仿宋_GB2312" w:hAnsi="仿宋" w:eastAsia="仿宋_GB2312"/>
          <w:color w:val="auto"/>
          <w:sz w:val="24"/>
        </w:rPr>
        <w:t xml:space="preserve">0573-84122528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联系人 ：</w:t>
      </w:r>
      <w:r>
        <w:rPr>
          <w:rFonts w:hint="eastAsia" w:ascii="仿宋_GB2312" w:hAnsi="仿宋" w:eastAsia="仿宋_GB2312"/>
          <w:color w:val="auto"/>
          <w:sz w:val="24"/>
        </w:rPr>
        <w:t>刘</w:t>
      </w:r>
      <w:r>
        <w:rPr>
          <w:rFonts w:hint="eastAsia" w:ascii="仿宋_GB2312" w:hAnsi="仿宋" w:eastAsia="仿宋_GB2312"/>
          <w:color w:val="auto"/>
          <w:sz w:val="24"/>
          <w:lang w:val="en-US" w:eastAsia="zh-CN"/>
        </w:rPr>
        <w:t>冰</w:t>
      </w:r>
      <w:r>
        <w:rPr>
          <w:rFonts w:hint="eastAsia" w:ascii="仿宋_GB2312" w:hAnsi="仿宋" w:eastAsia="仿宋_GB2312"/>
          <w:color w:val="auto"/>
          <w:sz w:val="24"/>
        </w:rPr>
        <w:t xml:space="preserve"> </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监督投诉电话：</w:t>
      </w:r>
      <w:r>
        <w:rPr>
          <w:rFonts w:hint="eastAsia" w:ascii="仿宋_GB2312" w:hAnsi="仿宋" w:eastAsia="仿宋_GB2312"/>
          <w:color w:val="auto"/>
          <w:sz w:val="24"/>
        </w:rPr>
        <w:t xml:space="preserve">0573-84122310 </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注：本采购项目，中标单位与采购人签订的政府采购合同适用于嘉兴市政府采购贷款政策，简称“政采贷”，具体内容可参阅政府采购贷款流程：http://hn.jxzbtb.cn/zxfw/005012/20181016/7e541bf4-ad29-4286-ace8-d12c1b2c54fc.html</w:t>
      </w:r>
      <w:r>
        <w:rPr>
          <w:rFonts w:hint="eastAsia" w:ascii="仿宋_GB2312" w:hAnsi="仿宋" w:eastAsia="仿宋_GB2312"/>
          <w:color w:val="auto"/>
          <w:sz w:val="24"/>
          <w:lang w:eastAsia="zh-CN"/>
        </w:rPr>
        <w:t>。</w:t>
      </w: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采云服务热线95763</w:t>
      </w:r>
      <w:r>
        <w:rPr>
          <w:rFonts w:ascii="仿宋_GB2312" w:hAnsi="仿宋" w:eastAsia="仿宋_GB2312"/>
          <w:color w:val="auto"/>
          <w:sz w:val="24"/>
        </w:rPr>
        <w:t>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4"/>
        <w:spacing w:line="360" w:lineRule="auto"/>
        <w:ind w:firstLine="480" w:firstLineChars="200"/>
        <w:rPr>
          <w:rFonts w:ascii="仿宋" w:hAnsi="仿宋" w:eastAsia="仿宋" w:cs="仿宋_GB2312"/>
          <w:color w:val="auto"/>
          <w:sz w:val="24"/>
        </w:rPr>
      </w:pPr>
      <w:r>
        <w:rPr>
          <w:rFonts w:ascii="仿宋" w:hAnsi="仿宋" w:eastAsia="仿宋" w:cs="仿宋_GB2312"/>
          <w:color w:val="auto"/>
          <w:sz w:val="24"/>
        </w:rPr>
        <w:t xml:space="preserve">    </w:t>
      </w:r>
    </w:p>
    <w:p>
      <w:pPr>
        <w:pStyle w:val="3"/>
        <w:ind w:firstLine="0" w:firstLineChars="0"/>
        <w:rPr>
          <w:rFonts w:hint="eastAsia"/>
          <w:color w:val="auto"/>
          <w:lang w:val="en-US" w:eastAsia="zh-CN"/>
        </w:rPr>
        <w:sectPr>
          <w:footerReference r:id="rId5" w:type="first"/>
          <w:headerReference r:id="rId3" w:type="default"/>
          <w:footerReference r:id="rId4" w:type="default"/>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numPr>
          <w:ilvl w:val="0"/>
          <w:numId w:val="1"/>
        </w:numPr>
        <w:adjustRightInd/>
        <w:spacing w:line="360" w:lineRule="auto"/>
        <w:jc w:val="center"/>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招标需求</w:t>
      </w:r>
    </w:p>
    <w:p>
      <w:pPr>
        <w:pStyle w:val="34"/>
        <w:numPr>
          <w:ilvl w:val="0"/>
          <w:numId w:val="2"/>
        </w:numPr>
        <w:snapToGrid w:val="0"/>
        <w:spacing w:before="120" w:after="120"/>
        <w:outlineLvl w:val="0"/>
        <w:rPr>
          <w:rFonts w:hint="eastAsia" w:hAnsi="宋体" w:cs="宋体"/>
          <w:b/>
          <w:bCs/>
          <w:color w:val="auto"/>
          <w:sz w:val="24"/>
          <w:szCs w:val="24"/>
        </w:rPr>
      </w:pPr>
      <w:r>
        <w:rPr>
          <w:rFonts w:hint="eastAsia" w:hAnsi="宋体" w:cs="宋体"/>
          <w:b/>
          <w:bCs/>
          <w:color w:val="auto"/>
          <w:sz w:val="24"/>
          <w:szCs w:val="24"/>
        </w:rPr>
        <w:t>采购清单：</w:t>
      </w:r>
    </w:p>
    <w:tbl>
      <w:tblPr>
        <w:tblStyle w:val="63"/>
        <w:tblW w:w="9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882"/>
        <w:gridCol w:w="459"/>
        <w:gridCol w:w="459"/>
        <w:gridCol w:w="7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436" w:type="dxa"/>
            <w:tcBorders>
              <w:top w:val="single" w:color="000000" w:sz="4" w:space="0"/>
              <w:left w:val="single" w:color="000000" w:sz="4" w:space="0"/>
              <w:bottom w:val="single" w:color="000000" w:sz="4" w:space="0"/>
              <w:right w:val="single" w:color="000000" w:sz="4" w:space="0"/>
            </w:tcBorders>
            <w:shd w:val="clear" w:color="auto" w:fill="EDEDED"/>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882" w:type="dxa"/>
            <w:tcBorders>
              <w:top w:val="single" w:color="000000" w:sz="4" w:space="0"/>
              <w:left w:val="single" w:color="000000" w:sz="4" w:space="0"/>
              <w:bottom w:val="single" w:color="000000" w:sz="4" w:space="0"/>
              <w:right w:val="single" w:color="000000" w:sz="4" w:space="0"/>
            </w:tcBorders>
            <w:shd w:val="clear" w:color="auto" w:fill="EDEDED"/>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459" w:type="dxa"/>
            <w:tcBorders>
              <w:top w:val="single" w:color="000000" w:sz="4" w:space="0"/>
              <w:left w:val="single" w:color="000000" w:sz="4" w:space="0"/>
              <w:bottom w:val="single" w:color="000000" w:sz="4" w:space="0"/>
              <w:right w:val="single" w:color="000000" w:sz="4" w:space="0"/>
            </w:tcBorders>
            <w:shd w:val="clear" w:color="auto" w:fill="EDEDED"/>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459" w:type="dxa"/>
            <w:tcBorders>
              <w:top w:val="single" w:color="000000" w:sz="4" w:space="0"/>
              <w:left w:val="single" w:color="000000" w:sz="4" w:space="0"/>
              <w:bottom w:val="single" w:color="000000" w:sz="4" w:space="0"/>
              <w:right w:val="single" w:color="000000" w:sz="4" w:space="0"/>
            </w:tcBorders>
            <w:shd w:val="clear" w:color="auto" w:fill="EDEDED"/>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7095" w:type="dxa"/>
            <w:tcBorders>
              <w:top w:val="nil"/>
              <w:left w:val="single" w:color="000000" w:sz="4" w:space="0"/>
              <w:bottom w:val="nil"/>
              <w:right w:val="single" w:color="000000" w:sz="4" w:space="0"/>
            </w:tcBorders>
            <w:shd w:val="clear" w:color="auto" w:fill="EDEDED"/>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cs="宋体"/>
                <w:b/>
                <w:bCs/>
                <w:i w:val="0"/>
                <w:iCs w:val="0"/>
                <w:color w:val="000000"/>
                <w:kern w:val="0"/>
                <w:sz w:val="21"/>
                <w:szCs w:val="21"/>
                <w:u w:val="none"/>
                <w:lang w:val="en-US" w:eastAsia="zh-CN" w:bidi="ar"/>
              </w:rPr>
              <w:t>产品及</w:t>
            </w:r>
            <w:r>
              <w:rPr>
                <w:rFonts w:hint="eastAsia" w:ascii="宋体" w:hAnsi="宋体" w:eastAsia="宋体" w:cs="宋体"/>
                <w:b/>
                <w:bCs/>
                <w:i w:val="0"/>
                <w:iCs w:val="0"/>
                <w:color w:val="000000"/>
                <w:kern w:val="0"/>
                <w:sz w:val="21"/>
                <w:szCs w:val="21"/>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互动投影终端</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一、投影机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芯片：DLP显示技术，芯片尺寸0.47英寸；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分辨率：1920×1080；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光源：ALPD激光光源，光源寿命≥20000小时；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亮度：不低于6200ANSI流明；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对比度：100,000:1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亮度均匀性：90%；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镜头：标准镜头1.52-2.45:1，支持0.7-0.9:1镜头可选，电动；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镜头位移：垂直±100%，水平±40%；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信号接口：HDMI×2, HDBaseT×1, VGA×2, AUDIO IN×1, AUDIO OUT×1；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控制接口：LAN(RJ45)×1；RS232(DB9)×1；3D SYNC×2(in/out)；3D IR OUT×1；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 色域：≥REC.709；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 功耗：不高于500W，待机功耗不高于0.5W；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 3D：支持DLPlink 3D、红外3D、帧序列3D，支持多台投影机3D同步；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 颜色调整：支持RGBYCMW七色调整，支持屏幕八点区域颜色调整功能；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二、多点触控框（核心产品）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1、支持多点触摸，免驱动，无漂移，无盲区；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2、支持多点精确触摸、书写，可支持2～40点，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3、操作灵敏，即时响应速度快；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4、适用于纵向和横向显示屏安装；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5、支持触控唤醒休眠PC；</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6、支持Win 10/Win8/Win 7/Win XP/ Linux/Mac OS/Android等操作系统；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7、支持TUIO，Flash等标准多点触摸协议；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8、红外管高容错率和稳定的性能；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9、响应时间：首次点击&lt; 16ms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10、连续点击&lt; 6ms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11、触摸物体尺寸：多点最小直径6mm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三、音响系统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1、功放：功率不低于120W定压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2、音响：额定功率:25W、阻  抗:8Ω、灵敏度:89dB 频率响应：143HZ-21.5KHZ。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四</w:t>
            </w:r>
            <w:r>
              <w:rPr>
                <w:rFonts w:hint="eastAsia" w:ascii="宋体" w:hAnsi="宋体" w:eastAsia="宋体" w:cs="宋体"/>
                <w:i w:val="0"/>
                <w:iCs w:val="0"/>
                <w:color w:val="000000"/>
                <w:kern w:val="0"/>
                <w:sz w:val="21"/>
                <w:szCs w:val="21"/>
                <w:u w:val="none"/>
                <w:lang w:val="en-US" w:eastAsia="zh-CN" w:bidi="ar"/>
              </w:rPr>
              <w:t>、互动软件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szCs w:val="21"/>
              </w:rPr>
              <w:t>★</w:t>
            </w:r>
            <w:r>
              <w:rPr>
                <w:rFonts w:hint="eastAsia" w:ascii="宋体" w:hAnsi="宋体" w:eastAsia="宋体" w:cs="宋体"/>
                <w:i w:val="0"/>
                <w:iCs w:val="0"/>
                <w:color w:val="000000"/>
                <w:kern w:val="0"/>
                <w:sz w:val="21"/>
                <w:szCs w:val="21"/>
                <w:u w:val="none"/>
                <w:lang w:val="en-US" w:eastAsia="zh-CN" w:bidi="ar"/>
              </w:rPr>
              <w:t>需以物联网行业应用为主题设计，不少于智能家居、智慧交通、智慧农业、智慧医疗、智能电网、智慧旅游、智能制造、智慧物流八个场景应用，以卡通动漫影像结合触发交互进行融合展示。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大厅投影终端</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一、投影机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1.芯片：DLP显示技术，芯片尺寸0.47英寸；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2.分辨率：1920×1080；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3.光源：ALPD激光光源，光源寿命≥20000小时；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4.亮度：不低于6200ANSI流明；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5.对比度：100,000:1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6.亮度均匀性：90%；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7.镜头：标准镜头1.52-2.45:1，支持0.7-0.9:1镜头可选，电动；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8.镜头位移：垂直±100%，水平±40%；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9.信号接口：HDMI×2, HDBaseT×1, VGA×2, AUDIO IN×1, AUDIO OUT×1；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10.控制接口：LAN(RJ45)×1；RS232(DB9)×1；3D SYNC×2(in/out)；3D IR OUT×1；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11.色域：≥REC.709；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12.功耗：不高于500W，待机功耗不高于0.5W；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13.3D：支持DLPlink 3D、红外3D、帧序列3D，支持多台投影机3D同步；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14.颜色调整：支持RGBYCMW七色调整，支持屏幕八点区域颜色调整功能；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二、弧形金属幕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贴墙安装方式，金属硬幕面，不低于15平米。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三、音响系统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1、功放：功率不低于120W定压；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音响：额定功率:25W、阻抗:8Ω、灵敏度:89dB 频率响应：143HZ-21.5KHZ。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四</w:t>
            </w:r>
            <w:r>
              <w:rPr>
                <w:rFonts w:hint="eastAsia" w:ascii="宋体" w:hAnsi="宋体" w:eastAsia="宋体" w:cs="宋体"/>
                <w:i w:val="0"/>
                <w:iCs w:val="0"/>
                <w:color w:val="000000"/>
                <w:kern w:val="0"/>
                <w:sz w:val="21"/>
                <w:szCs w:val="21"/>
                <w:u w:val="none"/>
                <w:lang w:val="en-US" w:eastAsia="zh-CN" w:bidi="ar"/>
              </w:rPr>
              <w:t>、融合软件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2通道版无缝融合系统软件，桌面级完美融合（非视频融合软件）、185帧/S的输出速度，独创融合区多级羽化处理技术、曲面失真校正处理，非线性失真校正、全局色域统一、黑电平漏光补偿等功能。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智慧安防</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一、AI思维盒子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一</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 xml:space="preserve">系统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操作系统：嵌入式LINUX操作系统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二</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 xml:space="preserve">视频参数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1、图像编码标准：支持H.265、H.264、JPEG；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2、视频标准：PAL制 1080P/720P/D1；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w:t>
            </w:r>
            <w:r>
              <w:rPr>
                <w:rFonts w:hint="eastAsia" w:ascii="宋体" w:hAnsi="宋体" w:eastAsia="宋体" w:cs="宋体"/>
                <w:i w:val="0"/>
                <w:iCs w:val="0"/>
                <w:color w:val="000000"/>
                <w:kern w:val="0"/>
                <w:sz w:val="21"/>
                <w:szCs w:val="21"/>
                <w:u w:val="none"/>
                <w:lang w:val="en-US" w:eastAsia="zh-CN" w:bidi="ar"/>
              </w:rPr>
              <w:t>3、视频输入：不少于8路1080P；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4、视频输出：客户端输出；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5、自由选择分辨率：本地观看1080P同时远程查看分辨率；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6、接入设备：符合ONVIF2.0版本以上设备；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三</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 xml:space="preserve">AI能力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需支持人脸识别、人形识别、人形行为，车辆识别AI能力</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 xml:space="preserve">1）人脸识别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1、最高支持8路人脸识别处理；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2、本地最高支持1W人脸库；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3、支持检出最小人脸45×45人脸图</w:t>
            </w:r>
            <w:r>
              <w:rPr>
                <w:rFonts w:hint="eastAsia" w:ascii="微软雅黑" w:hAnsi="微软雅黑" w:eastAsia="微软雅黑" w:cs="微软雅黑"/>
                <w:color w:val="000000"/>
                <w:kern w:val="0"/>
                <w:szCs w:val="21"/>
                <w:lang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4、支持单场景同时检出20+张人脸图</w:t>
            </w:r>
            <w:r>
              <w:rPr>
                <w:rFonts w:hint="eastAsia" w:ascii="微软雅黑" w:hAnsi="微软雅黑" w:eastAsia="微软雅黑" w:cs="微软雅黑"/>
                <w:color w:val="000000"/>
                <w:kern w:val="0"/>
                <w:szCs w:val="21"/>
                <w:lang w:bidi="ar"/>
              </w:rPr>
              <w:t>⽚</w:t>
            </w:r>
            <w:r>
              <w:rPr>
                <w:rFonts w:hint="eastAsia" w:ascii="宋体" w:hAnsi="宋体" w:cs="宋体"/>
                <w:color w:val="000000"/>
                <w:kern w:val="0"/>
                <w:szCs w:val="21"/>
                <w:lang w:bidi="ar"/>
              </w:rPr>
              <w:t>，并支持面部跟踪；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5、人员正脸通过次数100次时，抓拍人脸次数不低于95次；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6、支持检出水平转动</w:t>
            </w:r>
            <w:r>
              <w:rPr>
                <w:rFonts w:hint="eastAsia" w:ascii="微软雅黑" w:hAnsi="微软雅黑" w:eastAsia="微软雅黑" w:cs="微软雅黑"/>
                <w:color w:val="000000"/>
                <w:kern w:val="0"/>
                <w:szCs w:val="21"/>
                <w:lang w:bidi="ar"/>
              </w:rPr>
              <w:t>⾓</w:t>
            </w:r>
            <w:r>
              <w:rPr>
                <w:rFonts w:hint="eastAsia" w:ascii="宋体" w:hAnsi="宋体" w:cs="宋体"/>
                <w:color w:val="000000"/>
                <w:kern w:val="0"/>
                <w:szCs w:val="21"/>
                <w:lang w:bidi="ar"/>
              </w:rPr>
              <w:t>不超过±90º、俯仰</w:t>
            </w:r>
            <w:r>
              <w:rPr>
                <w:rFonts w:hint="eastAsia" w:ascii="微软雅黑" w:hAnsi="微软雅黑" w:eastAsia="微软雅黑" w:cs="微软雅黑"/>
                <w:color w:val="000000"/>
                <w:kern w:val="0"/>
                <w:szCs w:val="21"/>
                <w:lang w:bidi="ar"/>
              </w:rPr>
              <w:t>⾓</w:t>
            </w:r>
            <w:r>
              <w:rPr>
                <w:rFonts w:hint="eastAsia" w:ascii="宋体" w:hAnsi="宋体" w:cs="宋体"/>
                <w:color w:val="000000"/>
                <w:kern w:val="0"/>
                <w:szCs w:val="21"/>
                <w:lang w:bidi="ar"/>
              </w:rPr>
              <w:t>不超过±60º、倾斜</w:t>
            </w:r>
            <w:r>
              <w:rPr>
                <w:rFonts w:hint="eastAsia" w:ascii="微软雅黑" w:hAnsi="微软雅黑" w:eastAsia="微软雅黑" w:cs="微软雅黑"/>
                <w:color w:val="000000"/>
                <w:kern w:val="0"/>
                <w:szCs w:val="21"/>
                <w:lang w:bidi="ar"/>
              </w:rPr>
              <w:t>⾓</w:t>
            </w:r>
            <w:r>
              <w:rPr>
                <w:rFonts w:hint="eastAsia" w:ascii="宋体" w:hAnsi="宋体" w:cs="宋体"/>
                <w:color w:val="000000"/>
                <w:kern w:val="0"/>
                <w:szCs w:val="21"/>
                <w:lang w:bidi="ar"/>
              </w:rPr>
              <w:t>不超过±45º姿态</w:t>
            </w:r>
            <w:r>
              <w:rPr>
                <w:rFonts w:hint="eastAsia" w:ascii="微软雅黑" w:hAnsi="微软雅黑" w:eastAsia="微软雅黑" w:cs="微软雅黑"/>
                <w:color w:val="000000"/>
                <w:kern w:val="0"/>
                <w:szCs w:val="21"/>
                <w:lang w:bidi="ar"/>
              </w:rPr>
              <w:t>⾓</w:t>
            </w:r>
            <w:r>
              <w:rPr>
                <w:rFonts w:hint="eastAsia" w:ascii="宋体" w:hAnsi="宋体" w:cs="宋体"/>
                <w:color w:val="000000"/>
                <w:kern w:val="0"/>
                <w:szCs w:val="21"/>
                <w:lang w:bidi="ar"/>
              </w:rPr>
              <w:t>度的人脸；（保证当前过滤机制，以实际人脸识别率优先）；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7、支持检出人脸，性别，年龄及戴口罩识别人；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2）人形识别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1、最高支持8路人形结构化处理；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2、支持检出衣服的颜色和款式类型；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3、支持检出人员帽子及帽子类型；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3)人形行为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1、最高支持8路人体行为结构化处理；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★2、支持检出人员是否抽烟；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3、支持检出人员是否奔跑；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★4、支持检出人员是否打电话或看电话；</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4)车辆识别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1、最高支持8路车辆结构化处理；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2、本地支持5W车牌库；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3、支持检测出多种类型的车牌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4、支持抠出车牌图片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5、支持检测出车牌的车牌号码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6、支持检测车型及车颜色</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四</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 xml:space="preserve">接口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w:t>
            </w:r>
            <w:r>
              <w:rPr>
                <w:rFonts w:hint="eastAsia" w:ascii="宋体" w:hAnsi="宋体" w:eastAsia="宋体" w:cs="宋体"/>
                <w:i w:val="0"/>
                <w:iCs w:val="0"/>
                <w:color w:val="000000"/>
                <w:kern w:val="0"/>
                <w:sz w:val="21"/>
                <w:szCs w:val="21"/>
                <w:u w:val="none"/>
                <w:lang w:val="en-US" w:eastAsia="zh-CN" w:bidi="ar"/>
              </w:rPr>
              <w:t>1、网络：不低于2个RJ45接口, 10M/100M/1000M自适应；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2、RESET复位接口：支持复位按钮；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3、串行接口：支持1个（RS232接口）；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4、报警输入：不少于4路；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5、报警输出：不少于2路；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二、摄像机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成像器件：相当或优于 1/2.7英寸逐行扫描500万像素CMOS 图像传感器；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最大分辨率 ：2880*1620；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镜头（水平视场角）：6.0mm（56.4°）；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最低照度 ：0.003Lux(F1.6，AGC ON)；0lux(开启红外)；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有效补光距离： 补光距离不低于60m；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透雾：支持数字透雾；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编码协议：支持超级265、H.265、H.264、MJPEG；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隐私遮盖：支持4区域；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区域增强：支持8区域；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深度周界 ：支持越界检测，区域入侵，进入区域，离开区域（机非人）；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 智能抓拍 ：支持机动车抓拍，非机动车抓拍，行人抓拍，定时抓拍，隔时抓拍，事件抓拍；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 人脸抓拍：支持；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 10M/100M自适应以太网电口；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 兼容接入：需支持ONVIF、API、GA/T1400；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三、数据互动终端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尺寸不低于55寸，带触摸，CPU不低于i5-9400；内存不低于8GB；硬盘不低于1TB.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四、硬盘录像机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支持飞梭、按键面板；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双千兆网卡，支持双网络IP设定等应用；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支持符合ONVIF、RTSP协议的第三方摄像机；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支持标准国标GB28181协议；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支持超级265智能编码技术；支持H.265、H.264编码；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支持12MP高清网络视频的预览、存储与回放；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支持2个HDMI、1个VGA，HDMI1、HDMI2、VGA异源输出，HDMI1、HDMI2最高支持4K显示输出。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支持对重要录像的锁定、解锁，支持警前警后录像；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支持智能搜索、回放功能，有效提高录像检索与回放效率；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支持最大16路本地同步回放和多路同步倒放；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 支持8个SATA接口，单盘最大10TB，支持1个eSATA接口；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 支持硬盘配额和盘组存储模式，实现录像定向存储；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 支持RAID 0/1/5/6/10；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 支持网络检测（网络流量监控、网络抓包、网络资源统计）功能；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 支持UPnP(通用即插即用)、NTP(网络校时)、SMTP(邮件服务)、FTP(文件传输)、PPPoE(拨号上网)、DDNS(动态域名解析)、DHCP(自动获取IP地址)、NFS(接入NAS)、UNP（NAT穿越）。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五、视频赋能中台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视频平台采用流媒体转发架构，支持各端不限人数同时观看；支持百万级别并发。具有很强的开放性、兼容性、稳定性。采用流媒体转发架构，通过服务注册-发现模式、分布式嵌入“Key-value”内存数据库等技术手段保证实时视频在高并发量下的稳定流畅的传输与观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w:t>
            </w:r>
            <w:r>
              <w:rPr>
                <w:rFonts w:hint="eastAsia" w:ascii="宋体" w:hAnsi="宋体" w:eastAsia="宋体" w:cs="宋体"/>
                <w:i w:val="0"/>
                <w:iCs w:val="0"/>
                <w:color w:val="000000"/>
                <w:kern w:val="0"/>
                <w:sz w:val="21"/>
                <w:szCs w:val="21"/>
                <w:u w:val="none"/>
                <w:lang w:val="en-US" w:eastAsia="zh-CN" w:bidi="ar"/>
              </w:rPr>
              <w:t>2. 支持万人级同时访问操作，可根据需要进行扩容。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通过固定大小的无锁循环队列及自主缓存算法的播放器优化保证低码流、低延时的实时视频传输，观看视频延时低于3秒，在H5模式下延时也不超过3秒，例：通过微信公众号调用观看实时视频延时不超过3秒。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开放各端应用sdk/api接口，通过简单快捷的接口调用即可实现视频相关观看及观看能力，可嵌入第三方自有应用及系统便于二次开发及能力集成。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添加删除新设备，将当前账号下的设备分享至指定他人账号供其观看。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6. 系统支持主流第三方云云存储，系统可根据通道配置云存推送计划、检索云存录像以及调看云存录像。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w:t>
            </w:r>
            <w:r>
              <w:rPr>
                <w:rFonts w:hint="eastAsia" w:ascii="宋体" w:hAnsi="宋体" w:eastAsia="宋体" w:cs="宋体"/>
                <w:i w:val="0"/>
                <w:iCs w:val="0"/>
                <w:color w:val="000000"/>
                <w:kern w:val="0"/>
                <w:sz w:val="21"/>
                <w:szCs w:val="21"/>
                <w:u w:val="none"/>
                <w:lang w:val="en-US" w:eastAsia="zh-CN" w:bidi="ar"/>
              </w:rPr>
              <w:t>7. 视频画面响应低延时，平均打开画面时长不操过 2 秒，画面 延时不超过 2 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视频云平台支持私有云、公有云、自建服务器部署，支持内、外双网部署平台，有效保证了平台部署的灵活性及数据安全性。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w:t>
            </w:r>
            <w:r>
              <w:rPr>
                <w:rFonts w:hint="eastAsia" w:ascii="宋体" w:hAnsi="宋体" w:eastAsia="宋体" w:cs="宋体"/>
                <w:i w:val="0"/>
                <w:iCs w:val="0"/>
                <w:color w:val="000000"/>
                <w:kern w:val="0"/>
                <w:sz w:val="21"/>
                <w:szCs w:val="21"/>
                <w:u w:val="none"/>
                <w:lang w:val="en-US" w:eastAsia="zh-CN" w:bidi="ar"/>
              </w:rPr>
              <w:t>9. 系统支持主流协议协议流输出。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10.系统支持主流协议接入。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数据展示终端</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一、管理终端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使用sqlserver数据库存储采集数据，满足大数据量存储；使用WebAPI架构为监控展区数据提供接口服务，并通过前后端分离，采用JsonRPC通信协议实时获取数据进行展示；实现低延迟，稳定，快速监控展示；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支持大屏背景替换；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支持欢迎词内容自定义编辑；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支持调整内容文字大小、字体样式、段落排版；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支持学校宣传片的播放和停止控制；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支持图文资料；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支持智慧安防数据、智能家居数据以看板的形式展示；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需满足通过平板端控制大屏显示界面。包括图文、视频、数据画面等；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支持主流的JPG,PNG,BMP图文展示，自定义新增、编辑、删除；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采用H264解码，支持主流MP4格式视频解码；滚动播放，视频新增、编辑、删除；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二、物联网云平台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1、实现家居情景模式设定管理，灯光照明系统智能控制，家庭环境智能控制，智能化安防报警等功能。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2、可在广域网中通过PC、移动智能终端、智能网关等设备登录此云平台。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3、具备项目管理功能，提供定制化的项目中心集中管理。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4、支持物联网SAAS项目的新建并支持授权API的自动生成功能。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5、支持物联网云网关的配置，支持云网关的设备管理、编辑等功能。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6、云平台与物联网项目云网关之间的心跳轮询时间可在3-15S之间灵活设置。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7、需能提供多种的项目案例配置默认地址，至少提供智能家居安居、养殖案例等默认地址配置。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8、兼容行业中常见的物联网功能节点，至少支持数字量Modbus、模拟量Modbus及ZigBee无线传输类型的节点管理。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9、支持至少15种以上常用传感器节点，支持温度、湿度、水温、二氧化碳、光照、风速、大气压力、空气质量、可燃气体、火焰、红外对射传感器等。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10、同时支持手动与默认的物联网节点配置方案，提供至少一种默认节点配置方案。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11、支持物联网节点的状态查询并按需控制。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三、可定义传感器（支持LoRa通讯）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支持通过服务下发的方式，对传感器类型、连接方式、传输协议和生成数据进行自定义。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自定义传感器模拟出的传感器数据并通过网关传输到云平台。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工作电压：DC 12V@1A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通讯协议：支持WiFi、LoRa、RS-485通讯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LoRa技术参数：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a)工作频段：401-510MHz(禁用频点416MHz、448MHz、450MHz、480MHz、485MHz)；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b)无线发射功率：Max. 19±1 dBm，接收灵敏度：-136±1dBm (@250bps)；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c)通信距离：可达5km@250bps（测试环境下）；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d)通信速率：OOK调制时1.2~32.738kbps，LoRa调制时0.2~37.5kbps；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e)采用LoRa 调制方式，兼容并支持传统调制方式，支持硬件跳频 （FHSS）；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WiFi技术参数：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a)兼容IEEE 802.11 b/g/n协议，内置完整TCP/IP协议栈；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b)WiFi@2.4GHz，支持WPA/WPA2安全模式；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c)支持TCP、UDP、HTTP、FTP；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d)支持Station/SoftAP/SoftAP+Station无线网络模式；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a)具备1路12-bit电流源输出，输出电流范围可编程设置为4-20 mA、0-20 mA或者0-24 mA，输出温漂±3ppm/℃；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b)具备1路12-bit DAC输出，采样率最高3.2Msps，输出电压不大于3.3V；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c)具备1路脉冲输出（3.3V逻辑电平，非隔离）；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外型尺寸不超过：90×70×60MM （含天线）。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网络系统</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一、</w:t>
            </w:r>
            <w:r>
              <w:rPr>
                <w:rFonts w:hint="eastAsia" w:ascii="宋体" w:hAnsi="宋体" w:eastAsia="宋体" w:cs="宋体"/>
                <w:i w:val="0"/>
                <w:iCs w:val="0"/>
                <w:color w:val="000000"/>
                <w:kern w:val="0"/>
                <w:sz w:val="21"/>
                <w:szCs w:val="21"/>
                <w:u w:val="none"/>
                <w:lang w:val="en-US" w:eastAsia="zh-CN" w:bidi="ar"/>
              </w:rPr>
              <w:t>数据中心终端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类别：机架式；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CPU：不低于1*4210R Intel Xeon Silver，十核，2.4GHz；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内存：不低于16G DDR4，最大内容容量支持1TB；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硬盘：不低于2T SATA;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二、互联终端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网络标准：IEEE 802.11a，IEEE 802.11b，IEEE 802.11g，IEEE 802.11n，IEEE 802.11ac</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网络协议：PPP，CHAP，PAP，MS-CHAP，PPPoE，DHCP客户端，DHCP服务器，NAPT，NTP，DDNS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最高传输速率：不低于1350Mbps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频率范围：支持双频（2.4GHz，5GHz）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传输功率：23dBm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网络接口：2个10/100/1000Mbps WAN口，3个10/100/1000Mbps LAN口；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USB接口：不少于 1个USB接口；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天线增益：5dBi；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VPN支持 ：支持；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Qos支持 ：支持；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 防火墙功能：内置防火墙；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 网络管理 ：支持基于Web的用户管理接口（远程管理/本地管理）；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三、连接终端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应用层级：二层；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传输速率：10/100/1000Mbps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交换方式：存储-转发；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端口结构：非模块化；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端口数量：不少于48个10/100/1000Mbps自适应以太网端口；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传输模式：全双工/半双工自适应；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网络标准： IEEE 802.3x，IEEE 802.3，IEEE 802.3u，IEEE 802.3ab；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四、网络服务器机柜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材质需求：加厚SPCC冷轧钢板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尺寸需求：不小于600mm*1000mm*1200mm（宽度*深度*高度）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立柱厚度：不小于2.0mm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立柱间距：不少于485mm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数字签名终端</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系统需包括签名屏和数据展示屏，需支持实时签名后，签名信息在展示屏动态显示。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具体功能不少于五种：拍照、签名、相框选择、留言功能、扫码下载等。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一、触控互动系统软件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1.支持倒计时拍照功能；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2.支持签名功能；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3.支持拍照相框背景选择；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4.支持留言功能；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w:t>
            </w:r>
            <w:r>
              <w:rPr>
                <w:rFonts w:hint="eastAsia" w:ascii="宋体" w:hAnsi="宋体" w:eastAsia="宋体" w:cs="宋体"/>
                <w:i w:val="0"/>
                <w:iCs w:val="0"/>
                <w:color w:val="000000"/>
                <w:kern w:val="0"/>
                <w:sz w:val="21"/>
                <w:szCs w:val="21"/>
                <w:u w:val="none"/>
                <w:lang w:val="en-US" w:eastAsia="zh-CN" w:bidi="ar"/>
              </w:rPr>
              <w:t>5.支持当日和区间签名拍照人数统计功能。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color w:val="000000"/>
                <w:kern w:val="0"/>
                <w:szCs w:val="21"/>
                <w:lang w:bidi="ar"/>
              </w:rPr>
              <w:t>★</w:t>
            </w:r>
            <w:r>
              <w:rPr>
                <w:rFonts w:hint="eastAsia" w:ascii="宋体" w:hAnsi="宋体" w:eastAsia="宋体" w:cs="宋体"/>
                <w:i w:val="0"/>
                <w:iCs w:val="0"/>
                <w:color w:val="000000"/>
                <w:kern w:val="0"/>
                <w:sz w:val="21"/>
                <w:szCs w:val="21"/>
                <w:u w:val="none"/>
                <w:lang w:val="en-US" w:eastAsia="zh-CN" w:bidi="ar"/>
              </w:rPr>
              <w:t>6.支持微信扫二维码下载照片功能。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二、液晶签名展示屏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产品尺寸：不低于55寸；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背光类型：D-LED；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亮度：不低于400cd/㎡(中心点、典型值）；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分辨率：不低于1920*1080；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响应时间：不高于8ms；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三、签名触摸一体机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尺寸：不小于43″TFT LED；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分辨率：1920x1080；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亮度：300cd/m²；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主板：相当或优于I5  8G+128G；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音频接口：集成Realtek ALC662 HD数字音频解码器，支持Line-out,MIC-in接口,板载5W功放；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网络接口:1*Realtec8111F千兆接口，支持网络唤醒(双网可选)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I/O扩展：6*USB2.0（可扩展4个USB2.0），2*USB3.0，6*RS232 COM，1*RS485，支持COM口5V/12V取电；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以太网：10M/100M 自适应以太网；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触摸类型：10点红外触控；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 触摸精度：90%以上的触摸区域为±2mm；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 最小触摸物：不大于5mm；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 触摸方式：手指，笔(任何直径&gt;5mm的不透光物体)；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 书写屏表面硬度：物理刚化莫氏7级防爆, 4mm 钢化玻璃；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 触摸使用寿命：使用寿命达80000小时以上；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 触摸响应速度：≤20ms；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四、摄像头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高清USB拍照摄像机。</w:t>
            </w:r>
          </w:p>
        </w:tc>
      </w:tr>
    </w:tbl>
    <w:p>
      <w:pPr>
        <w:pStyle w:val="3"/>
        <w:ind w:left="0" w:leftChars="0" w:firstLine="0" w:firstLineChars="0"/>
        <w:rPr>
          <w:color w:val="auto"/>
        </w:rPr>
      </w:pPr>
    </w:p>
    <w:p>
      <w:pPr>
        <w:pStyle w:val="3"/>
        <w:ind w:left="0" w:leftChars="0" w:firstLine="0" w:firstLineChars="0"/>
        <w:rPr>
          <w:rFonts w:hint="eastAsia" w:ascii="宋体" w:hAnsi="宋体" w:eastAsia="宋体" w:cs="宋体"/>
          <w:color w:val="auto"/>
          <w:sz w:val="21"/>
          <w:szCs w:val="21"/>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keepNext/>
        <w:keepLines/>
        <w:spacing w:before="260" w:after="260" w:line="415" w:lineRule="auto"/>
        <w:jc w:val="left"/>
        <w:outlineLvl w:val="1"/>
        <w:rPr>
          <w:b/>
          <w:bCs/>
          <w:color w:val="auto"/>
          <w:sz w:val="24"/>
        </w:rPr>
      </w:pPr>
      <w:r>
        <w:rPr>
          <w:rFonts w:hint="eastAsia" w:hAnsi="宋体"/>
          <w:bCs w:val="0"/>
          <w:color w:val="auto"/>
          <w:sz w:val="24"/>
          <w:szCs w:val="24"/>
          <w:lang w:val="en-US" w:eastAsia="zh-CN"/>
        </w:rPr>
        <w:t>二</w:t>
      </w:r>
      <w:r>
        <w:rPr>
          <w:rFonts w:hint="eastAsia" w:ascii="Times New Roman" w:hAnsi="宋体" w:eastAsia="宋体"/>
          <w:bCs w:val="0"/>
          <w:color w:val="auto"/>
          <w:sz w:val="24"/>
          <w:szCs w:val="24"/>
          <w:lang w:eastAsia="zh-CN"/>
        </w:rPr>
        <w:t>、</w:t>
      </w:r>
      <w:r>
        <w:rPr>
          <w:rFonts w:hAnsi="宋体"/>
          <w:b/>
          <w:bCs/>
          <w:color w:val="auto"/>
          <w:sz w:val="24"/>
        </w:rPr>
        <w:t>商务条款</w:t>
      </w:r>
    </w:p>
    <w:tbl>
      <w:tblPr>
        <w:tblStyle w:val="63"/>
        <w:tblW w:w="9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2"/>
        <w:gridCol w:w="82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整体要求</w:t>
            </w:r>
          </w:p>
        </w:tc>
        <w:tc>
          <w:tcPr>
            <w:tcW w:w="8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none"/>
              </w:rPr>
              <w:t>中标方</w:t>
            </w:r>
            <w:r>
              <w:rPr>
                <w:rFonts w:hint="eastAsia" w:ascii="宋体" w:hAnsi="宋体" w:eastAsia="宋体" w:cs="宋体"/>
                <w:color w:val="auto"/>
                <w:sz w:val="21"/>
                <w:szCs w:val="21"/>
              </w:rPr>
              <w:t>负责协调所有硬件设备以及本项目所涉及的配套设备及材料的安装、调试、连通等工作，以确保达到本项目对硬件安装的规范、功能要求。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质保期</w:t>
            </w:r>
          </w:p>
        </w:tc>
        <w:tc>
          <w:tcPr>
            <w:tcW w:w="8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1．承诺提供原厂</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或以上</w:t>
            </w:r>
            <w:r>
              <w:rPr>
                <w:rFonts w:hint="eastAsia" w:ascii="宋体" w:hAnsi="宋体" w:eastAsia="宋体" w:cs="宋体"/>
                <w:color w:val="auto"/>
                <w:sz w:val="21"/>
                <w:szCs w:val="21"/>
                <w:highlight w:val="none"/>
              </w:rPr>
              <w:t>质保；</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2．售后服务要求响应时间为：提供7×24小时电话技术咨询支持，在收到用户通知后30分钟内须响应，须在</w:t>
            </w:r>
            <w:r>
              <w:rPr>
                <w:rFonts w:hint="eastAsia" w:ascii="宋体" w:hAnsi="宋体" w:cs="宋体"/>
                <w:color w:val="auto"/>
                <w:sz w:val="21"/>
                <w:szCs w:val="21"/>
                <w:highlight w:val="none"/>
                <w:lang w:eastAsia="zh-CN"/>
              </w:rPr>
              <w:t>3</w:t>
            </w:r>
            <w:r>
              <w:rPr>
                <w:rFonts w:hint="eastAsia" w:ascii="宋体" w:hAnsi="宋体" w:eastAsia="宋体" w:cs="宋体"/>
                <w:color w:val="auto"/>
                <w:sz w:val="21"/>
                <w:szCs w:val="21"/>
                <w:highlight w:val="none"/>
              </w:rPr>
              <w:t>小时内到达现场24小时内解决问题；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3．质保期内因设备本身缺陷造成各种故障应由投标人免费提供技术服务和维修；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4．质保期自本项目验收合格之日起计算。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21" w:hRule="atLeast"/>
          <w:jc w:val="center"/>
        </w:trPr>
        <w:tc>
          <w:tcPr>
            <w:tcW w:w="1412" w:type="dxa"/>
            <w:tcBorders>
              <w:top w:val="single" w:color="auto"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售后技术服务要求</w:t>
            </w:r>
          </w:p>
        </w:tc>
        <w:tc>
          <w:tcPr>
            <w:tcW w:w="8208" w:type="dxa"/>
            <w:tcBorders>
              <w:top w:val="single" w:color="auto"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1．每学期对系统进行预防性检查维护，保障系统的稳定运行；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2．进行技术交流和反馈，填写维护记录，并定期提供客户服务维护技术档案，以提高采购人技术人员的日常维护水平和对问题的解决能力；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3．安排专门的项目经理负责协调、管理服务的实施并负责与用户对接。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80" w:hRule="atLeast"/>
          <w:jc w:val="center"/>
        </w:trPr>
        <w:tc>
          <w:tcPr>
            <w:tcW w:w="141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交货时间及地点</w:t>
            </w:r>
          </w:p>
        </w:tc>
        <w:tc>
          <w:tcPr>
            <w:tcW w:w="820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合同签订后</w:t>
            </w:r>
            <w:r>
              <w:rPr>
                <w:rFonts w:hint="eastAsia" w:ascii="宋体" w:hAnsi="宋体" w:cs="宋体"/>
                <w:color w:val="auto"/>
                <w:sz w:val="21"/>
                <w:szCs w:val="21"/>
                <w:highlight w:val="none"/>
                <w:lang w:eastAsia="zh-CN"/>
              </w:rPr>
              <w:t>45</w:t>
            </w:r>
            <w:r>
              <w:rPr>
                <w:rFonts w:hint="eastAsia" w:ascii="宋体" w:hAnsi="宋体" w:eastAsia="宋体" w:cs="宋体"/>
                <w:color w:val="auto"/>
                <w:sz w:val="21"/>
                <w:szCs w:val="21"/>
                <w:highlight w:val="none"/>
              </w:rPr>
              <w:t>日历天内送货到学校指定地点并完成安装调试。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951" w:hRule="atLeast"/>
          <w:jc w:val="center"/>
        </w:trPr>
        <w:tc>
          <w:tcPr>
            <w:tcW w:w="141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验收</w:t>
            </w:r>
          </w:p>
        </w:tc>
        <w:tc>
          <w:tcPr>
            <w:tcW w:w="820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1．中标方提供的所有设备必须是原包装到达安装地的合格产品，未经采购人允许不得私自预先安装（原厂安装的除外）；</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产品须符合国际或国家通用标准，满足采购文件技术参数部分所规定的全部功能。原装配件是指与主机同一品牌的配件或出厂即已经安装的配件。如出现质量问题或系假冒伪劣产品，供方负责包退、包换，因此而涉及的全部违约责任和费用由供应方承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3．安装标准：符合我国国家有关技术规范要求和技术标准；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4．主要设备在厂方登记的最终用户必须为“</w:t>
            </w:r>
            <w:r>
              <w:rPr>
                <w:rFonts w:hint="eastAsia" w:ascii="宋体" w:hAnsi="宋体" w:eastAsia="宋体" w:cs="宋体"/>
                <w:color w:val="auto"/>
                <w:sz w:val="21"/>
                <w:szCs w:val="21"/>
                <w:lang w:eastAsia="zh-CN"/>
              </w:rPr>
              <w:t>嘉善信息技术工程学校</w:t>
            </w:r>
            <w:r>
              <w:rPr>
                <w:rFonts w:hint="eastAsia" w:ascii="宋体" w:hAnsi="宋体" w:eastAsia="宋体" w:cs="宋体"/>
                <w:color w:val="auto"/>
                <w:sz w:val="21"/>
                <w:szCs w:val="21"/>
              </w:rPr>
              <w:t xml:space="preserve">”。 </w:t>
            </w:r>
          </w:p>
          <w:p>
            <w:pPr>
              <w:pStyle w:val="24"/>
              <w:spacing w:line="360" w:lineRule="auto"/>
              <w:ind w:left="0" w:leftChars="0" w:firstLine="0" w:firstLineChars="0"/>
              <w:rPr>
                <w:rFonts w:hint="eastAsia" w:ascii="宋体" w:hAnsi="Arial" w:eastAsia="宋体" w:cs="Arial"/>
                <w:snapToGrid w:val="0"/>
                <w:color w:val="auto"/>
                <w:kern w:val="2"/>
                <w:sz w:val="21"/>
                <w:szCs w:val="21"/>
                <w:lang w:val="zh-TW" w:eastAsia="zh-CN" w:bidi="ar-SA"/>
              </w:rPr>
            </w:pPr>
            <w:r>
              <w:rPr>
                <w:rFonts w:hint="eastAsia" w:ascii="宋体" w:hAnsi="宋体" w:eastAsia="宋体" w:cs="宋体"/>
                <w:color w:val="auto"/>
                <w:sz w:val="21"/>
                <w:szCs w:val="21"/>
                <w:lang w:val="en-US" w:eastAsia="zh-CN"/>
              </w:rPr>
              <w:t>5.采购人验收时</w:t>
            </w:r>
            <w:r>
              <w:rPr>
                <w:rFonts w:hint="eastAsia" w:ascii="宋体" w:hAnsi="宋体" w:eastAsia="宋体" w:cs="宋体"/>
                <w:color w:val="auto"/>
                <w:sz w:val="21"/>
                <w:szCs w:val="21"/>
              </w:rPr>
              <w:t>若发现中标单位提供的设备参数、软件功能与投标响应文件描述不相符，采购人有权解除合同并要求中标人赔偿损失</w:t>
            </w:r>
            <w:r>
              <w:rPr>
                <w:rFonts w:hint="eastAsia" w:ascii="宋体" w:hAnsi="宋体" w:eastAsia="宋体" w:cs="宋体"/>
                <w:color w:val="auto"/>
                <w:sz w:val="21"/>
                <w:szCs w:val="21"/>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141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在线</w:t>
            </w:r>
            <w:r>
              <w:rPr>
                <w:rFonts w:hint="eastAsia" w:ascii="宋体" w:hAnsi="宋体" w:eastAsia="宋体" w:cs="宋体"/>
                <w:color w:val="auto"/>
                <w:sz w:val="21"/>
                <w:szCs w:val="21"/>
                <w:lang w:eastAsia="zh-CN"/>
              </w:rPr>
              <w:t>演示</w:t>
            </w:r>
          </w:p>
        </w:tc>
        <w:tc>
          <w:tcPr>
            <w:tcW w:w="820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1.采用政采云平台在线演示方式，投标人需根据政采云平台操作要求做好准备工作，提前完善软硬件配置环境。因投标人自身原因导致无法演示或者演示效果不理想的，责任自负。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2.演示内容及评分要求详见第四章</w:t>
            </w:r>
            <w:r>
              <w:rPr>
                <w:rFonts w:hint="eastAsia" w:ascii="宋体" w:hAnsi="宋体" w:eastAsia="宋体" w:cs="宋体"/>
                <w:color w:val="auto"/>
                <w:sz w:val="21"/>
                <w:szCs w:val="21"/>
                <w:lang w:eastAsia="zh-CN"/>
              </w:rPr>
              <w:t>，时间不超过</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分钟（不包括提问时间）。</w:t>
            </w:r>
          </w:p>
        </w:tc>
      </w:tr>
    </w:tbl>
    <w:p>
      <w:pPr>
        <w:pStyle w:val="34"/>
        <w:pageBreakBefore w:val="0"/>
        <w:widowControl w:val="0"/>
        <w:kinsoku/>
        <w:topLinePunct w:val="0"/>
        <w:bidi w:val="0"/>
        <w:snapToGrid w:val="0"/>
        <w:spacing w:before="120" w:after="120" w:line="360" w:lineRule="auto"/>
        <w:textAlignment w:val="auto"/>
        <w:outlineLvl w:val="0"/>
        <w:rPr>
          <w:rFonts w:hAnsi="宋体" w:cs="宋体"/>
          <w:color w:val="auto"/>
        </w:rPr>
      </w:pPr>
    </w:p>
    <w:p>
      <w:pPr>
        <w:rPr>
          <w:rFonts w:hAnsi="宋体" w:cs="宋体"/>
          <w:color w:val="auto"/>
        </w:rPr>
      </w:pPr>
    </w:p>
    <w:p>
      <w:pPr>
        <w:pStyle w:val="24"/>
        <w:rPr>
          <w:rFonts w:hAnsi="宋体" w:cs="宋体"/>
          <w:color w:val="auto"/>
        </w:rPr>
      </w:pPr>
    </w:p>
    <w:p>
      <w:pPr>
        <w:pStyle w:val="234"/>
      </w:pPr>
    </w:p>
    <w:p>
      <w:pPr>
        <w:pStyle w:val="234"/>
      </w:pPr>
    </w:p>
    <w:p>
      <w:pPr>
        <w:jc w:val="center"/>
        <w:rPr>
          <w:rFonts w:ascii="仿宋" w:hAnsi="仿宋" w:eastAsia="仿宋" w:cs="仿宋_GB2312"/>
          <w:b/>
          <w:color w:val="auto"/>
          <w:sz w:val="36"/>
          <w:szCs w:val="20"/>
        </w:rPr>
      </w:pPr>
      <w:r>
        <w:rPr>
          <w:rFonts w:hint="eastAsia" w:ascii="仿宋" w:hAnsi="仿宋" w:eastAsia="仿宋" w:cs="仿宋_GB2312"/>
          <w:b/>
          <w:color w:val="auto"/>
          <w:sz w:val="36"/>
          <w:szCs w:val="20"/>
        </w:rPr>
        <w:t>第</w:t>
      </w:r>
      <w:bookmarkEnd w:id="12"/>
      <w:r>
        <w:rPr>
          <w:rFonts w:hint="eastAsia" w:ascii="仿宋" w:hAnsi="仿宋" w:eastAsia="仿宋" w:cs="仿宋_GB2312"/>
          <w:b/>
          <w:color w:val="auto"/>
          <w:sz w:val="36"/>
          <w:szCs w:val="20"/>
        </w:rPr>
        <w:t>三章</w:t>
      </w:r>
      <w:r>
        <w:rPr>
          <w:rFonts w:ascii="仿宋" w:hAnsi="仿宋" w:eastAsia="仿宋" w:cs="仿宋_GB2312"/>
          <w:b/>
          <w:color w:val="auto"/>
          <w:sz w:val="36"/>
          <w:szCs w:val="20"/>
        </w:rPr>
        <w:t xml:space="preserve"> 投标人须知</w:t>
      </w:r>
      <w:bookmarkEnd w:id="13"/>
    </w:p>
    <w:bookmarkEnd w:id="14"/>
    <w:p>
      <w:pPr>
        <w:wordWrap w:val="0"/>
        <w:overflowPunct w:val="0"/>
        <w:autoSpaceDE w:val="0"/>
        <w:autoSpaceDN w:val="0"/>
        <w:adjustRightInd/>
        <w:spacing w:beforeLines="100" w:afterLines="100" w:line="360" w:lineRule="atLeast"/>
        <w:jc w:val="center"/>
        <w:rPr>
          <w:rFonts w:ascii="宋体" w:hAnsi="宋体" w:cs="宋体"/>
          <w:b/>
          <w:bCs/>
          <w:color w:val="auto"/>
          <w:sz w:val="28"/>
          <w:szCs w:val="28"/>
        </w:rPr>
      </w:pPr>
      <w:bookmarkStart w:id="15" w:name="_Toc91899903"/>
      <w:bookmarkStart w:id="16" w:name="第三部分"/>
      <w:bookmarkStart w:id="17" w:name="_Toc164416483"/>
      <w:r>
        <w:rPr>
          <w:rFonts w:hint="eastAsia" w:ascii="宋体" w:hAnsi="宋体" w:cs="宋体"/>
          <w:b/>
          <w:bCs/>
          <w:color w:val="auto"/>
          <w:sz w:val="28"/>
          <w:szCs w:val="28"/>
        </w:rPr>
        <w:t>电子交易注意事项</w:t>
      </w:r>
    </w:p>
    <w:p>
      <w:pPr>
        <w:wordWrap w:val="0"/>
        <w:overflowPunct w:val="0"/>
        <w:autoSpaceDE w:val="0"/>
        <w:autoSpaceDN w:val="0"/>
        <w:adjustRightInd/>
        <w:spacing w:line="400" w:lineRule="exact"/>
        <w:ind w:firstLine="240" w:firstLineChars="100"/>
        <w:jc w:val="left"/>
        <w:rPr>
          <w:rFonts w:ascii="宋体" w:hAnsi="宋体" w:cs="宋体"/>
          <w:color w:val="auto"/>
          <w:sz w:val="24"/>
          <w:shd w:val="clear" w:color="auto" w:fill="FFFFFF"/>
        </w:rPr>
      </w:pPr>
      <w:r>
        <w:rPr>
          <w:rFonts w:hint="eastAsia" w:ascii="宋体" w:hAnsi="宋体" w:cs="宋体"/>
          <w:color w:val="auto"/>
          <w:sz w:val="24"/>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color w:val="auto"/>
          <w:sz w:val="24"/>
        </w:rPr>
      </w:pPr>
      <w:r>
        <w:rPr>
          <w:rFonts w:hint="eastAsia" w:ascii="宋体" w:hAnsi="宋体" w:cs="宋体"/>
          <w:color w:val="auto"/>
          <w:sz w:val="24"/>
        </w:rPr>
        <w:t>　1.集中采购机构按照招标文件规定的时间通过电子交易平台组织开标、开启投标文件，所有供应商均应当准时在线参加，直至评审结束。</w:t>
      </w:r>
    </w:p>
    <w:p>
      <w:pPr>
        <w:pStyle w:val="59"/>
        <w:widowControl w:val="0"/>
        <w:wordWrap w:val="0"/>
        <w:overflowPunct w:val="0"/>
        <w:autoSpaceDE w:val="0"/>
        <w:autoSpaceDN w:val="0"/>
        <w:adjustRightInd/>
        <w:spacing w:before="0" w:beforeAutospacing="0" w:after="0" w:afterAutospacing="0" w:line="400" w:lineRule="exact"/>
        <w:ind w:firstLine="240" w:firstLineChars="100"/>
        <w:rPr>
          <w:rFonts w:cs="宋体"/>
          <w:color w:val="auto"/>
          <w:kern w:val="2"/>
        </w:rPr>
      </w:pPr>
      <w:r>
        <w:rPr>
          <w:rFonts w:hint="eastAsia" w:cs="宋体"/>
          <w:color w:val="auto"/>
          <w:kern w:val="2"/>
        </w:rPr>
        <w:t>　2.采购过程中出现以下情形，导致电子交易平台无法正常运行，或者无法保证电子交易的公平、公正和安全时，集中采购机构可中止电子交易活动：</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rPr>
      </w:pPr>
      <w:r>
        <w:rPr>
          <w:rFonts w:hint="eastAsia" w:cs="宋体"/>
          <w:color w:val="auto"/>
          <w:kern w:val="2"/>
        </w:rPr>
        <w:t>（一）电子交易平台发生故障而无法登录访问的； </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rPr>
      </w:pPr>
      <w:r>
        <w:rPr>
          <w:rFonts w:hint="eastAsia" w:cs="宋体"/>
          <w:color w:val="auto"/>
          <w:kern w:val="2"/>
        </w:rPr>
        <w:t>（二）电子交易平台应用或数据库出现错误，不能进行正常操作的；</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rPr>
      </w:pPr>
      <w:r>
        <w:rPr>
          <w:rFonts w:hint="eastAsia" w:cs="宋体"/>
          <w:color w:val="auto"/>
          <w:kern w:val="2"/>
        </w:rPr>
        <w:t>（三）电子交易平台发现严重安全漏洞，有潜在泄密危险的；</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rPr>
      </w:pPr>
      <w:r>
        <w:rPr>
          <w:rFonts w:hint="eastAsia" w:cs="宋体"/>
          <w:color w:val="auto"/>
          <w:kern w:val="2"/>
        </w:rPr>
        <w:t>（四）病毒发作导致不能进行正常操作的； </w:t>
      </w:r>
    </w:p>
    <w:p>
      <w:pPr>
        <w:pStyle w:val="59"/>
        <w:widowControl w:val="0"/>
        <w:wordWrap w:val="0"/>
        <w:overflowPunct w:val="0"/>
        <w:autoSpaceDE w:val="0"/>
        <w:autoSpaceDN w:val="0"/>
        <w:adjustRightInd/>
        <w:spacing w:before="0" w:beforeAutospacing="0" w:after="0" w:afterAutospacing="0" w:line="400" w:lineRule="exact"/>
        <w:ind w:firstLine="645"/>
        <w:rPr>
          <w:rFonts w:cs="宋体"/>
          <w:color w:val="auto"/>
          <w:kern w:val="2"/>
        </w:rPr>
      </w:pPr>
      <w:r>
        <w:rPr>
          <w:rFonts w:hint="eastAsia" w:cs="宋体"/>
          <w:color w:val="auto"/>
          <w:kern w:val="2"/>
        </w:rPr>
        <w:t>（五）其他无法保证电子交易的公平、公正和安全的情况。</w:t>
      </w:r>
    </w:p>
    <w:p>
      <w:pPr>
        <w:pStyle w:val="59"/>
        <w:widowControl w:val="0"/>
        <w:wordWrap w:val="0"/>
        <w:overflowPunct w:val="0"/>
        <w:autoSpaceDE w:val="0"/>
        <w:autoSpaceDN w:val="0"/>
        <w:adjustRightInd/>
        <w:spacing w:before="0" w:beforeAutospacing="0" w:after="0" w:afterAutospacing="0" w:line="400" w:lineRule="exact"/>
        <w:ind w:firstLine="480"/>
        <w:rPr>
          <w:rFonts w:cs="宋体"/>
          <w:color w:val="auto"/>
          <w:kern w:val="2"/>
        </w:rPr>
      </w:pPr>
      <w:r>
        <w:rPr>
          <w:rFonts w:hint="eastAsia" w:cs="宋体"/>
          <w:color w:val="auto"/>
          <w:kern w:val="2"/>
        </w:rPr>
        <w:t>出现前款规定情形，不影响采购公平、公正性的，集中采购机构可以待上述情形消除后继续组织电子交易活动，也可以决定某些环节以纸质形式进行；影响或可能影响采购公平、公正性的，应当重新采购。</w:t>
      </w:r>
    </w:p>
    <w:p>
      <w:pPr>
        <w:pStyle w:val="59"/>
        <w:widowControl w:val="0"/>
        <w:wordWrap w:val="0"/>
        <w:overflowPunct w:val="0"/>
        <w:autoSpaceDE w:val="0"/>
        <w:autoSpaceDN w:val="0"/>
        <w:adjustRightInd/>
        <w:spacing w:before="0" w:beforeAutospacing="0" w:after="0" w:afterAutospacing="0" w:line="400" w:lineRule="exact"/>
        <w:ind w:firstLine="480"/>
        <w:rPr>
          <w:rFonts w:cs="宋体"/>
          <w:color w:val="auto"/>
          <w:shd w:val="clear" w:color="auto" w:fill="FFFFFF"/>
        </w:rPr>
      </w:pPr>
      <w:r>
        <w:rPr>
          <w:rFonts w:hint="eastAsia" w:cs="宋体"/>
          <w:color w:val="auto"/>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5"/>
        <w:wordWrap w:val="0"/>
        <w:overflowPunct w:val="0"/>
        <w:adjustRightInd/>
        <w:spacing w:line="400" w:lineRule="exact"/>
        <w:ind w:firstLine="487"/>
        <w:rPr>
          <w:rFonts w:hint="eastAsia" w:hAnsi="宋体" w:eastAsia="宋体" w:cs="宋体"/>
          <w:color w:val="auto"/>
          <w:kern w:val="0"/>
          <w:szCs w:val="24"/>
          <w:shd w:val="clear" w:color="auto" w:fill="FFFFFF"/>
          <w:lang w:eastAsia="zh-CN"/>
        </w:rPr>
      </w:pPr>
      <w:r>
        <w:rPr>
          <w:rFonts w:hint="eastAsia" w:hAnsi="宋体" w:cs="宋体"/>
          <w:color w:val="auto"/>
          <w:kern w:val="0"/>
          <w:szCs w:val="24"/>
          <w:shd w:val="clear" w:color="auto" w:fill="FFFFFF"/>
          <w:lang w:val="en-US"/>
        </w:rPr>
        <w:t>4</w:t>
      </w:r>
      <w:r>
        <w:rPr>
          <w:rFonts w:hint="eastAsia" w:hAnsi="宋体" w:cs="宋体"/>
          <w:color w:val="auto"/>
          <w:kern w:val="0"/>
          <w:szCs w:val="24"/>
          <w:shd w:val="clear" w:color="auto" w:fill="FFFFFF"/>
        </w:rPr>
        <w:t>.供应商须在集中采购代理机构宣布评审结束、产生中标候选人前时刻关注，配合专家组工作，如有询标（澄清、质疑），在约定时间内（具体时间以询标函上规定的时间为准备）通过</w:t>
      </w:r>
      <w:r>
        <w:rPr>
          <w:rFonts w:hint="eastAsia" w:hAnsi="宋体" w:cs="宋体"/>
          <w:color w:val="auto"/>
          <w:kern w:val="0"/>
          <w:szCs w:val="24"/>
          <w:shd w:val="clear" w:color="auto" w:fill="FFFFFF"/>
          <w:lang w:val="en-US"/>
        </w:rPr>
        <w:t>CA</w:t>
      </w:r>
      <w:r>
        <w:rPr>
          <w:rFonts w:hint="eastAsia" w:hAnsi="宋体" w:cs="宋体"/>
          <w:color w:val="auto"/>
          <w:kern w:val="0"/>
          <w:szCs w:val="24"/>
          <w:shd w:val="clear" w:color="auto" w:fill="FFFFFF"/>
        </w:rPr>
        <w:t>进行回复。未按要求回复的，视为放弃澄清。</w:t>
      </w:r>
    </w:p>
    <w:p>
      <w:pPr>
        <w:rPr>
          <w:rFonts w:hint="eastAsia"/>
          <w:color w:val="auto"/>
          <w:lang w:eastAsia="zh-CN"/>
        </w:rPr>
      </w:pPr>
    </w:p>
    <w:p>
      <w:pPr>
        <w:wordWrap w:val="0"/>
        <w:overflowPunct w:val="0"/>
        <w:autoSpaceDE w:val="0"/>
        <w:autoSpaceDN w:val="0"/>
        <w:snapToGrid w:val="0"/>
        <w:spacing w:line="360" w:lineRule="auto"/>
        <w:jc w:val="center"/>
        <w:rPr>
          <w:rFonts w:ascii="宋体" w:hAnsi="宋体" w:cs="宋体"/>
          <w:b/>
          <w:bCs/>
          <w:color w:val="auto"/>
          <w:sz w:val="28"/>
        </w:rPr>
      </w:pPr>
      <w:r>
        <w:rPr>
          <w:rFonts w:hint="eastAsia" w:ascii="宋体" w:hAnsi="宋体" w:cs="宋体"/>
          <w:b/>
          <w:bCs/>
          <w:color w:val="auto"/>
          <w:sz w:val="28"/>
        </w:rPr>
        <w:t>前附表</w:t>
      </w:r>
    </w:p>
    <w:tbl>
      <w:tblPr>
        <w:tblStyle w:val="63"/>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Lines="10" w:afterLines="10" w:line="400" w:lineRule="exact"/>
              <w:jc w:val="center"/>
              <w:rPr>
                <w:rFonts w:ascii="宋体" w:hAnsi="宋体" w:cs="宋体"/>
                <w:b/>
                <w:color w:val="auto"/>
                <w:sz w:val="24"/>
              </w:rPr>
            </w:pPr>
            <w:r>
              <w:rPr>
                <w:rFonts w:hint="eastAsia" w:ascii="宋体" w:hAnsi="宋体" w:cs="宋体"/>
                <w:b/>
                <w:color w:val="auto"/>
                <w:sz w:val="24"/>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Lines="10" w:afterLines="10" w:line="400" w:lineRule="exact"/>
              <w:jc w:val="center"/>
              <w:rPr>
                <w:rFonts w:ascii="宋体" w:hAnsi="宋体" w:cs="宋体"/>
                <w:b/>
                <w:color w:val="auto"/>
                <w:sz w:val="24"/>
              </w:rPr>
            </w:pPr>
            <w:r>
              <w:rPr>
                <w:rFonts w:hint="eastAsia" w:ascii="宋体" w:hAnsi="宋体" w:cs="宋体"/>
                <w:b/>
                <w:color w:val="auto"/>
                <w:sz w:val="24"/>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adjustRightInd/>
              <w:snapToGrid w:val="0"/>
              <w:spacing w:beforeLines="10" w:afterLines="10" w:line="400" w:lineRule="exact"/>
              <w:rPr>
                <w:rFonts w:hAnsi="宋体" w:cs="宋体"/>
                <w:color w:val="auto"/>
                <w:sz w:val="24"/>
                <w:szCs w:val="24"/>
              </w:rPr>
            </w:pPr>
            <w:r>
              <w:rPr>
                <w:rFonts w:hint="eastAsia" w:hAnsi="宋体" w:cs="宋体"/>
                <w:color w:val="auto"/>
                <w:sz w:val="24"/>
                <w:szCs w:val="24"/>
              </w:rPr>
              <w:t xml:space="preserve">    项目名称：</w:t>
            </w:r>
            <w:r>
              <w:rPr>
                <w:rFonts w:hint="eastAsia" w:hAnsi="宋体" w:cs="宋体"/>
                <w:color w:val="auto"/>
                <w:sz w:val="24"/>
                <w:szCs w:val="24"/>
                <w:lang w:eastAsia="zh-CN"/>
              </w:rPr>
              <w:t>嘉善信息技术工程学校物联网智能交互设备采购</w:t>
            </w:r>
            <w:r>
              <w:rPr>
                <w:rFonts w:hint="eastAsia" w:hAnsi="宋体" w:cs="宋体"/>
                <w:color w:val="auto"/>
                <w:sz w:val="24"/>
                <w:szCs w:val="24"/>
              </w:rPr>
              <w:t>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3</w:t>
            </w:r>
          </w:p>
        </w:tc>
        <w:tc>
          <w:tcPr>
            <w:tcW w:w="8399" w:type="dxa"/>
            <w:tcBorders>
              <w:top w:val="single" w:color="auto" w:sz="4" w:space="0"/>
              <w:left w:val="nil"/>
              <w:bottom w:val="single" w:color="auto" w:sz="4" w:space="0"/>
              <w:right w:val="single" w:color="auto" w:sz="4" w:space="0"/>
            </w:tcBorders>
            <w:vAlign w:val="center"/>
          </w:tcPr>
          <w:p>
            <w:pPr>
              <w:pStyle w:val="59"/>
              <w:widowControl w:val="0"/>
              <w:overflowPunct w:val="0"/>
              <w:topLinePunct/>
              <w:autoSpaceDE w:val="0"/>
              <w:autoSpaceDN w:val="0"/>
              <w:spacing w:beforeLines="10" w:beforeAutospacing="0" w:afterLines="10" w:afterAutospacing="0" w:line="400" w:lineRule="exact"/>
              <w:ind w:firstLine="480" w:firstLineChars="200"/>
              <w:rPr>
                <w:rFonts w:cs="宋体"/>
                <w:color w:val="auto"/>
              </w:rPr>
            </w:pPr>
            <w:r>
              <w:rPr>
                <w:rFonts w:hint="eastAsia" w:cs="宋体"/>
                <w:color w:val="auto"/>
              </w:rPr>
              <w:t>项目预算：</w:t>
            </w:r>
            <w:r>
              <w:rPr>
                <w:rFonts w:hint="eastAsia" w:cs="宋体"/>
                <w:color w:val="auto"/>
                <w:lang w:val="en-US" w:eastAsia="zh-CN"/>
              </w:rPr>
              <w:t>60</w:t>
            </w:r>
            <w:r>
              <w:rPr>
                <w:rFonts w:hint="eastAsia" w:cs="宋体"/>
                <w:color w:val="auto"/>
              </w:rPr>
              <w:t>万元。</w:t>
            </w:r>
          </w:p>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投标报价及费用：</w:t>
            </w:r>
          </w:p>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1.本项目投标应以人民币报价；</w:t>
            </w:r>
          </w:p>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bCs/>
                <w:color w:val="auto"/>
                <w:sz w:val="24"/>
              </w:rPr>
            </w:pPr>
            <w:r>
              <w:rPr>
                <w:rFonts w:hint="eastAsia" w:ascii="宋体" w:hAnsi="宋体" w:cs="宋体"/>
                <w:bCs/>
                <w:color w:val="auto"/>
                <w:sz w:val="24"/>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Lines="10" w:afterLines="10" w:line="400" w:lineRule="exact"/>
              <w:rPr>
                <w:rFonts w:ascii="宋体" w:hAnsi="宋体" w:cs="宋体"/>
                <w:bCs/>
                <w:color w:val="auto"/>
                <w:sz w:val="24"/>
              </w:rPr>
            </w:pPr>
            <w:r>
              <w:rPr>
                <w:rFonts w:hint="eastAsia" w:ascii="宋体" w:hAnsi="宋体" w:cs="宋体"/>
                <w:bCs/>
                <w:color w:val="auto"/>
                <w:sz w:val="24"/>
              </w:rPr>
              <w:t xml:space="preserve">    路径：用户中心——项目采购——获取采购文件管理。</w:t>
            </w:r>
          </w:p>
          <w:p>
            <w:pPr>
              <w:wordWrap w:val="0"/>
              <w:overflowPunct w:val="0"/>
              <w:autoSpaceDE w:val="0"/>
              <w:autoSpaceDN w:val="0"/>
              <w:snapToGrid w:val="0"/>
              <w:spacing w:beforeLines="10" w:afterLines="10" w:line="400" w:lineRule="exact"/>
              <w:rPr>
                <w:rFonts w:ascii="宋体" w:hAnsi="宋体" w:cs="宋体"/>
                <w:bCs/>
                <w:color w:val="auto"/>
                <w:sz w:val="24"/>
              </w:rPr>
            </w:pPr>
            <w:r>
              <w:rPr>
                <w:rFonts w:hint="eastAsia" w:ascii="宋体" w:hAnsi="宋体" w:cs="宋体"/>
                <w:bCs/>
                <w:color w:val="auto"/>
                <w:sz w:val="24"/>
              </w:rPr>
              <w:t xml:space="preserve">    在“已获取”的状态下，供应商可下载查看招标文件。</w:t>
            </w:r>
          </w:p>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bCs/>
                <w:color w:val="auto"/>
                <w:sz w:val="24"/>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Lines="10" w:afterLines="10" w:line="400" w:lineRule="exact"/>
              <w:rPr>
                <w:rFonts w:ascii="宋体" w:hAnsi="宋体" w:cs="宋体"/>
                <w:color w:val="auto"/>
                <w:sz w:val="24"/>
              </w:rPr>
            </w:pPr>
            <w:r>
              <w:rPr>
                <w:rFonts w:hint="eastAsia" w:ascii="宋体" w:hAnsi="宋体" w:cs="宋体"/>
                <w:color w:val="auto"/>
                <w:sz w:val="24"/>
              </w:rPr>
              <w:t xml:space="preserve">    投标文件形式、制作及组成：</w:t>
            </w:r>
          </w:p>
          <w:p>
            <w:pPr>
              <w:wordWrap w:val="0"/>
              <w:overflowPunct w:val="0"/>
              <w:autoSpaceDE w:val="0"/>
              <w:autoSpaceDN w:val="0"/>
              <w:snapToGrid w:val="0"/>
              <w:spacing w:beforeLines="10" w:afterLines="10" w:line="400" w:lineRule="exact"/>
              <w:rPr>
                <w:rFonts w:ascii="宋体" w:hAnsi="宋体" w:cs="宋体"/>
                <w:color w:val="auto"/>
                <w:kern w:val="0"/>
                <w:sz w:val="24"/>
              </w:rPr>
            </w:pPr>
            <w:r>
              <w:rPr>
                <w:rFonts w:hint="eastAsia" w:ascii="宋体" w:hAnsi="宋体" w:cs="宋体"/>
                <w:color w:val="auto"/>
                <w:kern w:val="0"/>
                <w:sz w:val="24"/>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投标文件均由资格文件、商务技术文件、报价文件组成。</w:t>
            </w:r>
          </w:p>
        </w:tc>
      </w:tr>
      <w:tr>
        <w:tblPrEx>
          <w:tblCellMar>
            <w:top w:w="0" w:type="dxa"/>
            <w:left w:w="108" w:type="dxa"/>
            <w:bottom w:w="0" w:type="dxa"/>
            <w:right w:w="108" w:type="dxa"/>
          </w:tblCellMar>
        </w:tblPrEx>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投标截止时间：</w:t>
            </w:r>
            <w:r>
              <w:rPr>
                <w:rFonts w:hint="eastAsia" w:ascii="仿宋_GB2312" w:hAnsi="仿宋" w:eastAsia="仿宋_GB2312"/>
                <w:color w:val="auto"/>
                <w:sz w:val="24"/>
                <w:u w:val="single"/>
                <w:lang w:eastAsia="zh-CN"/>
              </w:rPr>
              <w:t>2022年11月29日9点</w:t>
            </w:r>
            <w:r>
              <w:rPr>
                <w:rFonts w:hint="eastAsia" w:ascii="仿宋_GB2312" w:hAnsi="仿宋" w:eastAsia="仿宋_GB2312"/>
                <w:color w:val="auto"/>
                <w:sz w:val="24"/>
                <w:u w:val="single"/>
              </w:rPr>
              <w:t>30分</w:t>
            </w:r>
            <w:r>
              <w:rPr>
                <w:rFonts w:hint="eastAsia" w:ascii="仿宋_GB2312" w:hAnsi="仿宋" w:eastAsia="仿宋_GB2312"/>
                <w:bCs/>
                <w:color w:val="auto"/>
                <w:sz w:val="24"/>
                <w:u w:val="single"/>
              </w:rPr>
              <w:t xml:space="preserve"> </w:t>
            </w:r>
          </w:p>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b/>
                <w:bCs/>
                <w:color w:val="auto"/>
                <w:kern w:val="0"/>
                <w:sz w:val="24"/>
              </w:rPr>
              <w:t xml:space="preserve">    </w:t>
            </w:r>
            <w:r>
              <w:rPr>
                <w:rFonts w:hint="eastAsia" w:ascii="宋体" w:hAnsi="宋体" w:cs="宋体"/>
                <w:color w:val="auto"/>
                <w:kern w:val="0"/>
                <w:sz w:val="24"/>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开标时间：</w:t>
            </w:r>
            <w:r>
              <w:rPr>
                <w:rFonts w:hint="eastAsia" w:ascii="仿宋_GB2312" w:hAnsi="仿宋" w:eastAsia="仿宋_GB2312"/>
                <w:color w:val="auto"/>
                <w:sz w:val="24"/>
                <w:u w:val="single"/>
                <w:lang w:eastAsia="zh-CN"/>
              </w:rPr>
              <w:t>2022年11月29日9点</w:t>
            </w:r>
            <w:r>
              <w:rPr>
                <w:rFonts w:hint="eastAsia" w:ascii="仿宋_GB2312" w:hAnsi="仿宋" w:eastAsia="仿宋_GB2312"/>
                <w:color w:val="auto"/>
                <w:sz w:val="24"/>
                <w:u w:val="single"/>
              </w:rPr>
              <w:t>30分</w:t>
            </w:r>
            <w:r>
              <w:rPr>
                <w:rFonts w:hint="eastAsia" w:ascii="仿宋_GB2312" w:hAnsi="仿宋" w:eastAsia="仿宋_GB2312"/>
                <w:bCs/>
                <w:color w:val="auto"/>
                <w:sz w:val="24"/>
                <w:u w:val="single"/>
              </w:rPr>
              <w:t xml:space="preserve"> </w:t>
            </w:r>
          </w:p>
          <w:p>
            <w:pPr>
              <w:wordWrap w:val="0"/>
              <w:overflowPunct w:val="0"/>
              <w:autoSpaceDE w:val="0"/>
              <w:autoSpaceDN w:val="0"/>
              <w:snapToGrid w:val="0"/>
              <w:spacing w:beforeLines="10" w:afterLines="10" w:line="400" w:lineRule="exact"/>
              <w:rPr>
                <w:rFonts w:ascii="宋体" w:hAnsi="宋体" w:cs="宋体"/>
                <w:color w:val="auto"/>
                <w:sz w:val="24"/>
                <w:shd w:val="clear" w:color="auto" w:fill="FFFFFF"/>
              </w:rPr>
            </w:pPr>
            <w:r>
              <w:rPr>
                <w:rFonts w:hint="eastAsia" w:ascii="宋体" w:hAnsi="宋体" w:cs="宋体"/>
                <w:color w:val="auto"/>
                <w:sz w:val="24"/>
              </w:rPr>
              <w:t xml:space="preserve">    开标地点：政采云平台（https://www.zcygov.cn/）</w:t>
            </w:r>
          </w:p>
          <w:p>
            <w:pPr>
              <w:wordWrap w:val="0"/>
              <w:overflowPunct w:val="0"/>
              <w:autoSpaceDE w:val="0"/>
              <w:autoSpaceDN w:val="0"/>
              <w:snapToGrid w:val="0"/>
              <w:spacing w:beforeLines="10" w:afterLines="10" w:line="400" w:lineRule="exact"/>
              <w:rPr>
                <w:rFonts w:ascii="宋体" w:hAnsi="宋体" w:cs="宋体"/>
                <w:b/>
                <w:color w:val="auto"/>
                <w:sz w:val="24"/>
              </w:rPr>
            </w:pPr>
            <w:r>
              <w:rPr>
                <w:rFonts w:hint="eastAsia" w:ascii="宋体" w:hAnsi="宋体" w:cs="宋体"/>
                <w:b/>
                <w:bCs/>
                <w:color w:val="auto"/>
                <w:sz w:val="24"/>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textAlignment w:val="bottom"/>
              <w:rPr>
                <w:rFonts w:ascii="宋体" w:hAnsi="宋体" w:cs="宋体"/>
                <w:color w:val="auto"/>
                <w:sz w:val="24"/>
              </w:rPr>
            </w:pPr>
            <w:r>
              <w:rPr>
                <w:rFonts w:hint="eastAsia" w:ascii="宋体" w:hAnsi="宋体" w:cs="宋体"/>
                <w:color w:val="auto"/>
                <w:sz w:val="24"/>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textAlignment w:val="bottom"/>
              <w:rPr>
                <w:rFonts w:ascii="宋体" w:hAnsi="宋体" w:cs="宋体"/>
                <w:color w:val="auto"/>
                <w:sz w:val="24"/>
              </w:rPr>
            </w:pPr>
            <w:r>
              <w:rPr>
                <w:rFonts w:hint="eastAsia" w:ascii="宋体" w:hAnsi="宋体" w:cs="宋体"/>
                <w:color w:val="auto"/>
                <w:sz w:val="24"/>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集中采购机构提出质疑。质疑供应商对采购人、集中采购机构的答复不满意或者采购人、集中采购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textAlignment w:val="bottom"/>
              <w:rPr>
                <w:rFonts w:ascii="宋体" w:hAnsi="宋体" w:cs="宋体"/>
                <w:color w:val="auto"/>
                <w:sz w:val="24"/>
              </w:rPr>
            </w:pPr>
            <w:r>
              <w:rPr>
                <w:rFonts w:hint="eastAsia" w:ascii="宋体" w:hAnsi="宋体" w:cs="宋体"/>
                <w:color w:val="auto"/>
                <w:sz w:val="24"/>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履约保证金:</w:t>
            </w:r>
            <w:r>
              <w:rPr>
                <w:rFonts w:hint="eastAsia" w:ascii="宋体" w:hAnsi="宋体" w:cs="宋体"/>
                <w:color w:val="auto"/>
                <w:kern w:val="0"/>
                <w:sz w:val="24"/>
                <w:lang w:eastAsia="zh-CN"/>
              </w:rPr>
              <w:t>无</w:t>
            </w:r>
            <w:r>
              <w:rPr>
                <w:rFonts w:hint="eastAsia" w:ascii="宋体" w:hAnsi="宋体" w:cs="宋体"/>
                <w:color w:val="auto"/>
                <w:sz w:val="24"/>
              </w:rPr>
              <w:t>。</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付款方式：</w:t>
            </w:r>
            <w:r>
              <w:rPr>
                <w:rFonts w:hint="eastAsia" w:ascii="宋体" w:hAnsi="宋体" w:cs="宋体"/>
                <w:color w:val="auto"/>
                <w:sz w:val="24"/>
                <w:lang w:eastAsia="zh-CN"/>
              </w:rPr>
              <w:t>以合同签订为准</w:t>
            </w:r>
            <w:r>
              <w:rPr>
                <w:rFonts w:hint="eastAsia" w:ascii="宋体" w:hAnsi="宋体" w:cs="宋体"/>
                <w:color w:val="auto"/>
                <w:sz w:val="24"/>
              </w:rPr>
              <w:t>。</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投标文件有效期：</w:t>
            </w:r>
            <w:r>
              <w:rPr>
                <w:rFonts w:hint="eastAsia" w:ascii="宋体" w:hAnsi="宋体" w:cs="宋体"/>
                <w:color w:val="auto"/>
                <w:sz w:val="24"/>
                <w:u w:val="single"/>
              </w:rPr>
              <w:t xml:space="preserve"> 90 </w:t>
            </w:r>
            <w:r>
              <w:rPr>
                <w:rFonts w:hint="eastAsia" w:ascii="宋体" w:hAnsi="宋体" w:cs="宋体"/>
                <w:color w:val="auto"/>
                <w:sz w:val="24"/>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18</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snapToGrid w:val="0"/>
              <w:spacing w:beforeLines="10" w:afterLines="10" w:line="400" w:lineRule="exact"/>
              <w:rPr>
                <w:rFonts w:hAnsi="宋体" w:cs="宋体"/>
                <w:color w:val="auto"/>
                <w:sz w:val="24"/>
                <w:szCs w:val="24"/>
              </w:rPr>
            </w:pPr>
            <w:r>
              <w:rPr>
                <w:rFonts w:hint="eastAsia" w:hAnsi="宋体" w:cs="宋体"/>
                <w:color w:val="auto"/>
                <w:sz w:val="24"/>
                <w:szCs w:val="24"/>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宋体" w:hAnsi="宋体" w:cs="宋体"/>
                <w:color w:val="auto"/>
                <w:sz w:val="24"/>
              </w:rPr>
            </w:pPr>
            <w:r>
              <w:rPr>
                <w:rFonts w:hint="eastAsia" w:ascii="宋体" w:hAnsi="宋体" w:cs="宋体"/>
                <w:color w:val="auto"/>
                <w:sz w:val="24"/>
              </w:rPr>
              <w:t>19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rPr>
                <w:rFonts w:ascii="宋体" w:hAnsi="宋体" w:cs="宋体"/>
                <w:color w:val="auto"/>
                <w:sz w:val="24"/>
              </w:rPr>
            </w:pPr>
            <w:r>
              <w:rPr>
                <w:rFonts w:hint="eastAsia" w:ascii="宋体" w:hAnsi="宋体" w:cs="宋体"/>
                <w:color w:val="auto"/>
                <w:sz w:val="24"/>
              </w:rPr>
              <w:t xml:space="preserve">    解释：本招标文件的解释权属于采购单位和嘉善县公共资源交易中心。</w:t>
            </w:r>
          </w:p>
        </w:tc>
      </w:tr>
    </w:tbl>
    <w:p>
      <w:pPr>
        <w:pStyle w:val="34"/>
        <w:wordWrap w:val="0"/>
        <w:overflowPunct w:val="0"/>
        <w:autoSpaceDE w:val="0"/>
        <w:autoSpaceDN w:val="0"/>
        <w:snapToGrid w:val="0"/>
        <w:spacing w:line="400" w:lineRule="exact"/>
        <w:outlineLvl w:val="0"/>
        <w:rPr>
          <w:rFonts w:hAnsi="宋体" w:cs="宋体"/>
          <w:b/>
          <w:color w:val="auto"/>
          <w:sz w:val="24"/>
          <w:szCs w:val="24"/>
        </w:rPr>
      </w:pPr>
    </w:p>
    <w:p>
      <w:pPr>
        <w:pStyle w:val="34"/>
        <w:numPr>
          <w:ilvl w:val="0"/>
          <w:numId w:val="3"/>
        </w:numPr>
        <w:wordWrap w:val="0"/>
        <w:overflowPunct w:val="0"/>
        <w:autoSpaceDE w:val="0"/>
        <w:autoSpaceDN w:val="0"/>
        <w:snapToGrid w:val="0"/>
        <w:spacing w:line="400" w:lineRule="exact"/>
        <w:outlineLvl w:val="0"/>
        <w:rPr>
          <w:rFonts w:hAnsi="宋体" w:cs="宋体"/>
          <w:b/>
          <w:color w:val="auto"/>
          <w:sz w:val="28"/>
          <w:szCs w:val="28"/>
        </w:rPr>
      </w:pPr>
      <w:r>
        <w:rPr>
          <w:rFonts w:hint="eastAsia" w:hAnsi="宋体" w:cs="宋体"/>
          <w:b/>
          <w:color w:val="auto"/>
          <w:sz w:val="28"/>
          <w:szCs w:val="28"/>
        </w:rPr>
        <w:t>总  则</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（一）适用范围</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本招标文件适用于本项目的招标、投标、评标、定标、验收、合同履约、付款等行为（法律、法规另有规定的，从其规定）。</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（二）定义</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1.招标采购单位系指组织本次招标的代理机构（“招标人”）和采购单位。</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2.“投标人”系指向招标方提交投标文件的单位或个人。</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4.“服务”系指招标文件规定投标人须承担的设计、安装、调试、技术协助、校准、培训、技术指导以及其他类似的义务。</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5.“项目”系指投标人按招标文件规定向采购人提供的产品和服务。</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6.“书面形式”包括信函、传真、电报等。</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7.“▲”系指实质性要求条款。</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8.“★”系</w:t>
      </w:r>
      <w:r>
        <w:rPr>
          <w:rFonts w:hint="eastAsia" w:ascii="宋体" w:hAnsi="宋体" w:cs="宋体"/>
          <w:color w:val="auto"/>
          <w:sz w:val="24"/>
          <w:lang w:eastAsia="zh-CN"/>
        </w:rPr>
        <w:t>重要参数</w:t>
      </w:r>
      <w:r>
        <w:rPr>
          <w:rFonts w:hint="eastAsia" w:ascii="宋体" w:hAnsi="宋体" w:cs="宋体"/>
          <w:color w:val="auto"/>
          <w:sz w:val="24"/>
        </w:rPr>
        <w:t>。</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（三）招标方式</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本次招标采用公开招标方式进行。</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（四）投标委托</w:t>
      </w:r>
    </w:p>
    <w:p>
      <w:pPr>
        <w:pStyle w:val="26"/>
        <w:wordWrap w:val="0"/>
        <w:overflowPunct w:val="0"/>
        <w:autoSpaceDE w:val="0"/>
        <w:autoSpaceDN w:val="0"/>
        <w:snapToGrid w:val="0"/>
        <w:spacing w:line="400" w:lineRule="exact"/>
        <w:jc w:val="left"/>
        <w:rPr>
          <w:rFonts w:cs="宋体"/>
          <w:color w:val="auto"/>
        </w:rPr>
      </w:pPr>
      <w:r>
        <w:rPr>
          <w:rFonts w:hint="eastAsia" w:cs="宋体"/>
          <w:color w:val="auto"/>
        </w:rPr>
        <w:t>供应商无需到开标现场，但须准时在线参加，直至评审结束。</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（五）投标费用</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不论投标结果如何，投标人均应自行承担所有与投标有关的全部费用（招标文件有相反规定除外）。</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（六）联合体投标</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本项目不接受联合体投标。</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（七）转包与分包</w:t>
      </w:r>
    </w:p>
    <w:p>
      <w:pPr>
        <w:wordWrap w:val="0"/>
        <w:overflowPunct w:val="0"/>
        <w:autoSpaceDE w:val="0"/>
        <w:autoSpaceDN w:val="0"/>
        <w:snapToGrid w:val="0"/>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本项目不允许转包。</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（八）是否允许采购进口产品</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本项目不允许采购进口产品。</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 xml:space="preserve"> ▲（九）特别说明：</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2.投标人投标所使用的资格、信誉、荣誉、业绩与企业认证必须为本投标人所拥有。</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（十）质疑和投诉</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3.供应商须在法定质疑期内一次性提出针对同一采购程序环节的质疑。</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4.供应商认为集中采购机构在质疑答复程序中启用的调查和复评等程序，在该程序操作过程未明显违反法律禁止性规定时，不得提出疑义。</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8.在线或者邮寄政府采购投诉材料当日下班时间点后收到的视为下一个工作日收到。</w:t>
      </w:r>
    </w:p>
    <w:p>
      <w:pPr>
        <w:pStyle w:val="34"/>
        <w:wordWrap w:val="0"/>
        <w:overflowPunct w:val="0"/>
        <w:autoSpaceDE w:val="0"/>
        <w:autoSpaceDN w:val="0"/>
        <w:snapToGrid w:val="0"/>
        <w:spacing w:line="400" w:lineRule="exact"/>
        <w:outlineLvl w:val="0"/>
        <w:rPr>
          <w:rFonts w:hAnsi="宋体" w:cs="宋体"/>
          <w:b/>
          <w:color w:val="auto"/>
          <w:sz w:val="28"/>
          <w:szCs w:val="28"/>
        </w:rPr>
      </w:pPr>
      <w:r>
        <w:rPr>
          <w:rFonts w:hint="eastAsia" w:hAnsi="宋体" w:cs="宋体"/>
          <w:b/>
          <w:color w:val="auto"/>
          <w:sz w:val="28"/>
          <w:szCs w:val="28"/>
        </w:rPr>
        <w:t>二、招标文件</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（一）招标文件的构成。本招标文件由以下部份组成：</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1.招标公告</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2.招标需求</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3.投标人须知</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4.评标办法及标准</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5.合同主要条款</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6.投标文件格式</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7.本项目招标文件的澄清、答复、修改、补充的内容</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（二）投标人的风险</w:t>
      </w:r>
    </w:p>
    <w:p>
      <w:pPr>
        <w:pStyle w:val="54"/>
        <w:wordWrap w:val="0"/>
        <w:overflowPunct w:val="0"/>
        <w:autoSpaceDE w:val="0"/>
        <w:autoSpaceDN w:val="0"/>
        <w:spacing w:line="400" w:lineRule="exact"/>
        <w:rPr>
          <w:rFonts w:ascii="宋体" w:hAnsi="宋体" w:cs="宋体"/>
          <w:color w:val="auto"/>
          <w:szCs w:val="24"/>
        </w:rPr>
      </w:pPr>
      <w:r>
        <w:rPr>
          <w:rFonts w:hint="eastAsia" w:ascii="宋体" w:hAnsi="宋体" w:cs="宋体"/>
          <w:color w:val="auto"/>
          <w:szCs w:val="24"/>
        </w:rPr>
        <w:t>投标人没有按照招标文件要求提供全部资料，或者投标人没有对招标文件在各方面作出实质性响应是投标人的风险，并可能导致其投标为无效标。</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 xml:space="preserve">（三）招标文件的澄清与修改 </w:t>
      </w:r>
    </w:p>
    <w:p>
      <w:pPr>
        <w:pStyle w:val="54"/>
        <w:wordWrap w:val="0"/>
        <w:overflowPunct w:val="0"/>
        <w:autoSpaceDE w:val="0"/>
        <w:autoSpaceDN w:val="0"/>
        <w:spacing w:line="400" w:lineRule="exact"/>
        <w:rPr>
          <w:rFonts w:ascii="宋体" w:hAnsi="宋体" w:cs="宋体"/>
          <w:color w:val="auto"/>
          <w:szCs w:val="24"/>
        </w:rPr>
      </w:pPr>
      <w:r>
        <w:rPr>
          <w:rFonts w:hint="eastAsia" w:ascii="宋体" w:hAnsi="宋体" w:cs="宋体"/>
          <w:color w:val="auto"/>
          <w:szCs w:val="24"/>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4"/>
        <w:wordWrap w:val="0"/>
        <w:overflowPunct w:val="0"/>
        <w:autoSpaceDE w:val="0"/>
        <w:autoSpaceDN w:val="0"/>
        <w:spacing w:line="400" w:lineRule="exact"/>
        <w:rPr>
          <w:rFonts w:ascii="宋体" w:hAnsi="宋体" w:cs="宋体"/>
          <w:color w:val="auto"/>
          <w:szCs w:val="24"/>
        </w:rPr>
      </w:pPr>
      <w:r>
        <w:rPr>
          <w:rFonts w:hint="eastAsia" w:ascii="宋体" w:hAnsi="宋体" w:cs="宋体"/>
          <w:color w:val="auto"/>
          <w:szCs w:val="24"/>
        </w:rPr>
        <w:t>2.采购代理机构以公告形式答复投标人要求澄清的问题，但不包含问题来源；除上述媒体发布的答复以外的其他澄清方式及澄清内容均无效。</w:t>
      </w:r>
    </w:p>
    <w:p>
      <w:pPr>
        <w:pStyle w:val="54"/>
        <w:wordWrap w:val="0"/>
        <w:overflowPunct w:val="0"/>
        <w:autoSpaceDE w:val="0"/>
        <w:autoSpaceDN w:val="0"/>
        <w:spacing w:line="400" w:lineRule="exact"/>
        <w:rPr>
          <w:rFonts w:ascii="宋体" w:hAnsi="宋体" w:cs="宋体"/>
          <w:color w:val="auto"/>
          <w:szCs w:val="24"/>
        </w:rPr>
      </w:pPr>
      <w:r>
        <w:rPr>
          <w:rFonts w:hint="eastAsia" w:ascii="宋体" w:hAnsi="宋体" w:cs="宋体"/>
          <w:color w:val="auto"/>
          <w:szCs w:val="24"/>
        </w:rPr>
        <w:t>3.招标文件澄清、答复、修改、补充的内容为招标文件的组成部分。当招标文件与招标文件的答复、澄清、修改、补充通知就同一内容的表述不一致时，以最后发出的文件为准。</w:t>
      </w:r>
    </w:p>
    <w:p>
      <w:pPr>
        <w:pStyle w:val="54"/>
        <w:wordWrap w:val="0"/>
        <w:overflowPunct w:val="0"/>
        <w:autoSpaceDE w:val="0"/>
        <w:autoSpaceDN w:val="0"/>
        <w:spacing w:line="400" w:lineRule="exact"/>
        <w:rPr>
          <w:rFonts w:ascii="宋体" w:hAnsi="宋体" w:cs="宋体"/>
          <w:color w:val="auto"/>
          <w:szCs w:val="24"/>
        </w:rPr>
      </w:pPr>
      <w:r>
        <w:rPr>
          <w:rFonts w:hint="eastAsia" w:ascii="宋体" w:hAnsi="宋体" w:cs="宋体"/>
          <w:color w:val="auto"/>
          <w:szCs w:val="24"/>
        </w:rPr>
        <w:t>4.招标文件的澄清、答复、修改或补充都应该通过本代理机构以法定形式发布，采购人非通过本机构，不得擅自澄清、答复、修改或补充招标文件。</w:t>
      </w:r>
    </w:p>
    <w:p>
      <w:pPr>
        <w:pStyle w:val="34"/>
        <w:wordWrap w:val="0"/>
        <w:overflowPunct w:val="0"/>
        <w:autoSpaceDE w:val="0"/>
        <w:autoSpaceDN w:val="0"/>
        <w:snapToGrid w:val="0"/>
        <w:spacing w:line="400" w:lineRule="exact"/>
        <w:outlineLvl w:val="0"/>
        <w:rPr>
          <w:rFonts w:hAnsi="宋体" w:cs="宋体"/>
          <w:b/>
          <w:color w:val="auto"/>
          <w:sz w:val="28"/>
          <w:szCs w:val="28"/>
        </w:rPr>
      </w:pPr>
      <w:r>
        <w:rPr>
          <w:rFonts w:hint="eastAsia" w:hAnsi="宋体" w:cs="宋体"/>
          <w:b/>
          <w:color w:val="auto"/>
          <w:sz w:val="28"/>
          <w:szCs w:val="28"/>
        </w:rPr>
        <w:t>三、投标文件的编制</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(一)总体要求</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2.投标文件及投标人与采购有关的来往通知，函件和文件均应使用中文。</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3.投标文件的形式：投标文件为电子加密投标文件，按“政府采购项目电子交易管理操作指南-供应商”及本招标文件要求制作、加密并递交。</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（二）投标文件的组成</w:t>
      </w:r>
    </w:p>
    <w:p>
      <w:pPr>
        <w:pStyle w:val="34"/>
        <w:wordWrap w:val="0"/>
        <w:overflowPunct w:val="0"/>
        <w:autoSpaceDE w:val="0"/>
        <w:autoSpaceDN w:val="0"/>
        <w:snapToGrid w:val="0"/>
        <w:spacing w:line="400" w:lineRule="exact"/>
        <w:ind w:firstLine="482" w:firstLineChars="200"/>
        <w:outlineLvl w:val="0"/>
        <w:rPr>
          <w:rFonts w:hAnsi="宋体" w:cs="宋体"/>
          <w:b/>
          <w:color w:val="auto"/>
          <w:sz w:val="24"/>
          <w:szCs w:val="24"/>
        </w:rPr>
      </w:pPr>
      <w:r>
        <w:rPr>
          <w:rFonts w:hint="eastAsia" w:hAnsi="宋体" w:cs="宋体"/>
          <w:b/>
          <w:color w:val="auto"/>
          <w:sz w:val="24"/>
          <w:szCs w:val="24"/>
        </w:rPr>
        <w:t>本项目所涉投标文件格式请详见第六章，未给出的格式请自拟。资格文件及商务技术文件中不得出现报价，否则投标文件将被视为无效。投标文件中所须加盖公章部分均采用CA签章。</w:t>
      </w:r>
    </w:p>
    <w:p>
      <w:pPr>
        <w:pStyle w:val="34"/>
        <w:wordWrap w:val="0"/>
        <w:overflowPunct w:val="0"/>
        <w:autoSpaceDE w:val="0"/>
        <w:autoSpaceDN w:val="0"/>
        <w:snapToGrid w:val="0"/>
        <w:spacing w:line="400" w:lineRule="exact"/>
        <w:ind w:firstLine="482" w:firstLineChars="200"/>
        <w:rPr>
          <w:rFonts w:hAnsi="宋体" w:cs="宋体"/>
          <w:b/>
          <w:bCs/>
          <w:color w:val="auto"/>
          <w:sz w:val="24"/>
          <w:szCs w:val="24"/>
        </w:rPr>
      </w:pPr>
      <w:r>
        <w:rPr>
          <w:rFonts w:hint="eastAsia" w:hAnsi="宋体" w:cs="宋体"/>
          <w:b/>
          <w:bCs/>
          <w:color w:val="auto"/>
          <w:sz w:val="24"/>
          <w:szCs w:val="24"/>
        </w:rPr>
        <w:t>投标文件由资格文件、商务技术文件、报价文件三部分组成。</w:t>
      </w:r>
    </w:p>
    <w:p>
      <w:pPr>
        <w:pStyle w:val="34"/>
        <w:wordWrap w:val="0"/>
        <w:overflowPunct w:val="0"/>
        <w:autoSpaceDE w:val="0"/>
        <w:autoSpaceDN w:val="0"/>
        <w:snapToGrid w:val="0"/>
        <w:spacing w:line="400" w:lineRule="exact"/>
        <w:ind w:firstLine="482" w:firstLineChars="200"/>
        <w:rPr>
          <w:rFonts w:hAnsi="宋体" w:cs="宋体"/>
          <w:b/>
          <w:bCs/>
          <w:color w:val="auto"/>
          <w:sz w:val="24"/>
          <w:szCs w:val="24"/>
        </w:rPr>
      </w:pPr>
      <w:r>
        <w:rPr>
          <w:rFonts w:hint="eastAsia" w:hAnsi="宋体" w:cs="宋体"/>
          <w:b/>
          <w:bCs/>
          <w:color w:val="auto"/>
          <w:sz w:val="24"/>
          <w:szCs w:val="24"/>
        </w:rPr>
        <w:t>1.资格文件：</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1.1营业执照</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1.2符合参加政府采购活动应当具备的一般条件的承诺函</w:t>
      </w:r>
      <w:r>
        <w:rPr>
          <w:rFonts w:hint="eastAsia" w:cs="宋体"/>
          <w:color w:val="auto"/>
          <w:lang w:eastAsia="zh-CN"/>
        </w:rPr>
        <w:t>（</w:t>
      </w:r>
      <w:r>
        <w:rPr>
          <w:rFonts w:hint="eastAsia" w:cs="宋体"/>
          <w:color w:val="auto"/>
        </w:rPr>
        <w:t>格式见第六章</w:t>
      </w:r>
      <w:r>
        <w:rPr>
          <w:rFonts w:hint="eastAsia" w:cs="宋体"/>
          <w:color w:val="auto"/>
          <w:lang w:eastAsia="zh-CN"/>
        </w:rPr>
        <w:t>）</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1.3中小企业声明函或监狱和戒毒企业企业证明材料或残疾人福利性单位声明函（格式见第六章）</w:t>
      </w:r>
    </w:p>
    <w:p>
      <w:pPr>
        <w:pStyle w:val="59"/>
        <w:widowControl w:val="0"/>
        <w:overflowPunct w:val="0"/>
        <w:topLinePunct/>
        <w:autoSpaceDE w:val="0"/>
        <w:autoSpaceDN w:val="0"/>
        <w:adjustRightInd/>
        <w:spacing w:beforeAutospacing="0" w:afterAutospacing="0" w:line="400" w:lineRule="exact"/>
        <w:ind w:firstLine="481"/>
        <w:rPr>
          <w:rFonts w:hint="eastAsia" w:eastAsia="宋体" w:cs="宋体"/>
          <w:b/>
          <w:bCs/>
          <w:color w:val="auto"/>
          <w:lang w:eastAsia="zh-CN"/>
        </w:rPr>
      </w:pPr>
      <w:r>
        <w:rPr>
          <w:rFonts w:hint="eastAsia" w:cs="宋体"/>
          <w:b/>
          <w:bCs/>
          <w:color w:val="auto"/>
        </w:rPr>
        <w:t>2.商务技术文件</w:t>
      </w:r>
      <w:r>
        <w:rPr>
          <w:rFonts w:hint="eastAsia" w:cs="宋体"/>
          <w:b/>
          <w:bCs/>
          <w:color w:val="auto"/>
          <w:lang w:eastAsia="zh-CN"/>
        </w:rPr>
        <w:t>（</w:t>
      </w:r>
      <w:r>
        <w:rPr>
          <w:rFonts w:hint="eastAsia" w:cs="宋体"/>
          <w:b/>
          <w:bCs/>
          <w:color w:val="auto"/>
          <w:lang w:val="en-US" w:eastAsia="zh-CN"/>
        </w:rPr>
        <w:t>含封面）</w:t>
      </w:r>
      <w:r>
        <w:rPr>
          <w:rFonts w:hint="eastAsia" w:cs="宋体"/>
          <w:b/>
          <w:bCs/>
          <w:color w:val="auto"/>
          <w:lang w:eastAsia="zh-CN"/>
        </w:rPr>
        <w:t>：</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2.1自评表（格式见第六章）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2.2投标声明书（格式见第六章）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2.3法定代表人授权委托书（格式见第六章）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2.4诚信承诺书（格式见第六章）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2.5设备详细清单（不含报价）（格式见第六章）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2.6商务响应表（格式见第六章）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2.7技术响应表（格式见第六章）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2.8相关证书</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w:t>
      </w:r>
      <w:r>
        <w:rPr>
          <w:rFonts w:hint="eastAsia" w:cs="宋体"/>
          <w:color w:val="auto"/>
          <w:lang w:val="en-US" w:eastAsia="zh-CN"/>
        </w:rPr>
        <w:t>9</w:t>
      </w:r>
      <w:r>
        <w:rPr>
          <w:rFonts w:hint="eastAsia" w:cs="宋体"/>
          <w:color w:val="auto"/>
        </w:rPr>
        <w:t>同类业绩（格式见第六章）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2.1</w:t>
      </w:r>
      <w:r>
        <w:rPr>
          <w:rFonts w:hint="eastAsia" w:cs="宋体"/>
          <w:color w:val="auto"/>
          <w:lang w:val="en-US" w:eastAsia="zh-CN"/>
        </w:rPr>
        <w:t>0</w:t>
      </w:r>
      <w:r>
        <w:rPr>
          <w:rFonts w:hint="eastAsia" w:cs="宋体"/>
          <w:color w:val="auto"/>
        </w:rPr>
        <w:t>技术指标满足情况</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2.1</w:t>
      </w:r>
      <w:r>
        <w:rPr>
          <w:rFonts w:hint="eastAsia" w:cs="宋体"/>
          <w:color w:val="auto"/>
          <w:lang w:val="en-US" w:eastAsia="zh-CN"/>
        </w:rPr>
        <w:t>1</w:t>
      </w:r>
      <w:r>
        <w:rPr>
          <w:rFonts w:hint="eastAsia" w:cs="宋体"/>
          <w:color w:val="auto"/>
        </w:rPr>
        <w:t>产品综合实力</w:t>
      </w:r>
    </w:p>
    <w:p>
      <w:pPr>
        <w:pStyle w:val="59"/>
        <w:widowControl w:val="0"/>
        <w:overflowPunct w:val="0"/>
        <w:topLinePunct/>
        <w:autoSpaceDE w:val="0"/>
        <w:autoSpaceDN w:val="0"/>
        <w:adjustRightInd/>
        <w:spacing w:beforeAutospacing="0" w:afterAutospacing="0" w:line="400" w:lineRule="exact"/>
        <w:ind w:firstLine="481"/>
        <w:rPr>
          <w:rFonts w:hint="eastAsia" w:eastAsia="宋体" w:cs="宋体"/>
          <w:color w:val="auto"/>
          <w:lang w:eastAsia="zh-CN"/>
        </w:rPr>
      </w:pPr>
      <w:r>
        <w:rPr>
          <w:rFonts w:hint="eastAsia" w:cs="宋体"/>
          <w:color w:val="auto"/>
        </w:rPr>
        <w:t>2.1</w:t>
      </w:r>
      <w:r>
        <w:rPr>
          <w:rFonts w:hint="eastAsia" w:cs="宋体"/>
          <w:color w:val="auto"/>
          <w:lang w:val="en-US" w:eastAsia="zh-CN"/>
        </w:rPr>
        <w:t>2</w:t>
      </w:r>
      <w:r>
        <w:rPr>
          <w:rFonts w:hint="eastAsia" w:cs="宋体"/>
          <w:color w:val="auto"/>
        </w:rPr>
        <w:t>实施方案</w:t>
      </w:r>
    </w:p>
    <w:p>
      <w:pPr>
        <w:pStyle w:val="59"/>
        <w:widowControl w:val="0"/>
        <w:overflowPunct w:val="0"/>
        <w:topLinePunct/>
        <w:autoSpaceDE w:val="0"/>
        <w:autoSpaceDN w:val="0"/>
        <w:adjustRightInd/>
        <w:spacing w:beforeAutospacing="0" w:afterAutospacing="0" w:line="400" w:lineRule="exact"/>
        <w:ind w:firstLine="481"/>
        <w:rPr>
          <w:rFonts w:hint="default" w:cs="宋体"/>
          <w:color w:val="auto"/>
          <w:lang w:val="en-US" w:eastAsia="zh-CN"/>
        </w:rPr>
      </w:pPr>
      <w:r>
        <w:rPr>
          <w:rFonts w:hint="eastAsia" w:cs="宋体"/>
          <w:color w:val="auto"/>
          <w:lang w:val="en-US" w:eastAsia="zh-CN"/>
        </w:rPr>
        <w:t>2.13在线演示</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lang w:val="en-US" w:eastAsia="zh-CN"/>
        </w:rPr>
        <w:t>2.14</w:t>
      </w:r>
      <w:r>
        <w:rPr>
          <w:rFonts w:hint="eastAsia" w:ascii="宋体" w:hAnsi="宋体" w:cs="宋体"/>
          <w:color w:val="auto"/>
          <w:szCs w:val="21"/>
          <w:lang w:val="en-US" w:eastAsia="zh-CN"/>
        </w:rPr>
        <w:t>团队实力</w:t>
      </w:r>
    </w:p>
    <w:p>
      <w:pPr>
        <w:pStyle w:val="59"/>
        <w:widowControl w:val="0"/>
        <w:overflowPunct w:val="0"/>
        <w:topLinePunct/>
        <w:autoSpaceDE w:val="0"/>
        <w:autoSpaceDN w:val="0"/>
        <w:adjustRightInd/>
        <w:spacing w:beforeAutospacing="0" w:afterAutospacing="0" w:line="400" w:lineRule="exact"/>
        <w:ind w:firstLine="481"/>
        <w:rPr>
          <w:rFonts w:hint="eastAsia" w:cs="宋体"/>
          <w:color w:val="auto"/>
        </w:rPr>
      </w:pPr>
      <w:r>
        <w:rPr>
          <w:rFonts w:hint="eastAsia" w:cs="宋体"/>
          <w:color w:val="auto"/>
        </w:rPr>
        <w:t>2.1</w:t>
      </w:r>
      <w:r>
        <w:rPr>
          <w:rFonts w:hint="eastAsia" w:cs="宋体"/>
          <w:color w:val="auto"/>
          <w:lang w:val="en-US" w:eastAsia="zh-CN"/>
        </w:rPr>
        <w:t>5</w:t>
      </w:r>
      <w:r>
        <w:rPr>
          <w:rFonts w:hint="eastAsia" w:cs="宋体"/>
          <w:color w:val="auto"/>
        </w:rPr>
        <w:t>售后服务方案</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lang w:val="en-US" w:eastAsia="zh-CN"/>
        </w:rPr>
        <w:t>2.16</w:t>
      </w:r>
      <w:r>
        <w:rPr>
          <w:rFonts w:hint="eastAsia" w:cs="宋体"/>
          <w:color w:val="auto"/>
        </w:rPr>
        <w:t>其他（如果有）</w:t>
      </w:r>
    </w:p>
    <w:p>
      <w:pPr>
        <w:pStyle w:val="34"/>
        <w:wordWrap w:val="0"/>
        <w:overflowPunct w:val="0"/>
        <w:autoSpaceDE w:val="0"/>
        <w:autoSpaceDN w:val="0"/>
        <w:snapToGrid w:val="0"/>
        <w:spacing w:line="400" w:lineRule="exact"/>
        <w:ind w:firstLine="482" w:firstLineChars="200"/>
        <w:rPr>
          <w:rFonts w:hAnsi="宋体" w:cs="宋体"/>
          <w:b/>
          <w:bCs/>
          <w:color w:val="auto"/>
          <w:sz w:val="24"/>
          <w:szCs w:val="24"/>
        </w:rPr>
      </w:pPr>
      <w:r>
        <w:rPr>
          <w:rFonts w:hint="eastAsia" w:hAnsi="宋体" w:cs="宋体"/>
          <w:b/>
          <w:bCs/>
          <w:color w:val="auto"/>
          <w:sz w:val="24"/>
          <w:szCs w:val="24"/>
        </w:rPr>
        <w:t>3.报价文件</w:t>
      </w:r>
      <w:r>
        <w:rPr>
          <w:rFonts w:hint="eastAsia" w:cs="宋体"/>
          <w:b/>
          <w:bCs/>
          <w:color w:val="auto"/>
          <w:sz w:val="24"/>
          <w:szCs w:val="24"/>
          <w:lang w:eastAsia="zh-CN"/>
        </w:rPr>
        <w:t>（</w:t>
      </w:r>
      <w:r>
        <w:rPr>
          <w:rFonts w:hint="eastAsia" w:cs="宋体"/>
          <w:b/>
          <w:bCs/>
          <w:color w:val="auto"/>
          <w:sz w:val="24"/>
          <w:szCs w:val="24"/>
          <w:lang w:val="en-US" w:eastAsia="zh-CN"/>
        </w:rPr>
        <w:t>含封面）</w:t>
      </w:r>
      <w:r>
        <w:rPr>
          <w:rFonts w:hint="eastAsia" w:hAnsi="宋体" w:cs="宋体"/>
          <w:b/>
          <w:bCs/>
          <w:color w:val="auto"/>
          <w:sz w:val="24"/>
          <w:szCs w:val="24"/>
        </w:rPr>
        <w:t>：</w:t>
      </w:r>
    </w:p>
    <w:p>
      <w:pPr>
        <w:pStyle w:val="34"/>
        <w:wordWrap w:val="0"/>
        <w:overflowPunct w:val="0"/>
        <w:autoSpaceDE w:val="0"/>
        <w:autoSpaceDN w:val="0"/>
        <w:adjustRightInd/>
        <w:snapToGrid w:val="0"/>
        <w:spacing w:line="400" w:lineRule="exact"/>
        <w:ind w:firstLine="480" w:firstLineChars="200"/>
        <w:rPr>
          <w:rFonts w:hAnsi="宋体" w:cs="宋体"/>
          <w:color w:val="auto"/>
          <w:sz w:val="24"/>
          <w:szCs w:val="24"/>
        </w:rPr>
      </w:pPr>
      <w:r>
        <w:rPr>
          <w:rFonts w:hint="eastAsia" w:hAnsi="宋体" w:cs="宋体"/>
          <w:color w:val="auto"/>
          <w:sz w:val="24"/>
          <w:szCs w:val="24"/>
        </w:rPr>
        <w:t>3.1投标函（格式见第六章）</w:t>
      </w:r>
    </w:p>
    <w:p>
      <w:pPr>
        <w:pStyle w:val="34"/>
        <w:wordWrap w:val="0"/>
        <w:overflowPunct w:val="0"/>
        <w:autoSpaceDE w:val="0"/>
        <w:autoSpaceDN w:val="0"/>
        <w:adjustRightInd/>
        <w:snapToGrid w:val="0"/>
        <w:spacing w:line="400" w:lineRule="exact"/>
        <w:ind w:firstLine="480" w:firstLineChars="200"/>
        <w:rPr>
          <w:rFonts w:hAnsi="宋体" w:cs="宋体"/>
          <w:color w:val="auto"/>
          <w:sz w:val="24"/>
          <w:szCs w:val="24"/>
        </w:rPr>
      </w:pPr>
      <w:r>
        <w:rPr>
          <w:rFonts w:hint="eastAsia" w:hAnsi="宋体" w:cs="宋体"/>
          <w:color w:val="auto"/>
          <w:sz w:val="24"/>
          <w:szCs w:val="24"/>
        </w:rPr>
        <w:t>3.2开标一览表（格式见第六章）</w:t>
      </w:r>
    </w:p>
    <w:p>
      <w:pPr>
        <w:pStyle w:val="34"/>
        <w:wordWrap w:val="0"/>
        <w:overflowPunct w:val="0"/>
        <w:autoSpaceDE w:val="0"/>
        <w:autoSpaceDN w:val="0"/>
        <w:adjustRightInd/>
        <w:snapToGrid w:val="0"/>
        <w:spacing w:line="400" w:lineRule="exact"/>
        <w:ind w:firstLine="480" w:firstLineChars="200"/>
        <w:rPr>
          <w:rFonts w:hAnsi="宋体" w:cs="宋体"/>
          <w:color w:val="auto"/>
          <w:sz w:val="24"/>
          <w:szCs w:val="24"/>
        </w:rPr>
      </w:pPr>
      <w:r>
        <w:rPr>
          <w:rFonts w:hint="eastAsia" w:hAnsi="宋体" w:cs="宋体"/>
          <w:color w:val="auto"/>
          <w:sz w:val="24"/>
          <w:szCs w:val="24"/>
        </w:rPr>
        <w:t>3.3投标报价明细表（格式见第六章）</w:t>
      </w:r>
    </w:p>
    <w:p>
      <w:pPr>
        <w:pStyle w:val="59"/>
        <w:widowControl w:val="0"/>
        <w:overflowPunct w:val="0"/>
        <w:topLinePunct/>
        <w:autoSpaceDE w:val="0"/>
        <w:autoSpaceDN w:val="0"/>
        <w:adjustRightInd/>
        <w:spacing w:beforeAutospacing="0" w:afterAutospacing="0" w:line="400" w:lineRule="exact"/>
        <w:ind w:firstLine="481"/>
        <w:rPr>
          <w:rFonts w:cs="宋体"/>
          <w:color w:val="auto"/>
        </w:rPr>
      </w:pPr>
      <w:r>
        <w:rPr>
          <w:rFonts w:hint="eastAsia" w:cs="宋体"/>
          <w:color w:val="auto"/>
        </w:rPr>
        <w:t>3.4其他（如果有）</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b/>
          <w:bCs/>
          <w:color w:val="auto"/>
          <w:sz w:val="24"/>
        </w:rPr>
        <w:t xml:space="preserve">  </w:t>
      </w:r>
      <w:r>
        <w:rPr>
          <w:rFonts w:hint="eastAsia" w:ascii="宋体" w:hAnsi="宋体" w:cs="宋体"/>
          <w:color w:val="auto"/>
          <w:sz w:val="24"/>
        </w:rPr>
        <w:t xml:space="preserve">  4.投标文件内容填写说明 </w:t>
      </w:r>
    </w:p>
    <w:p>
      <w:pPr>
        <w:wordWrap w:val="0"/>
        <w:overflowPunct w:val="0"/>
        <w:autoSpaceDE w:val="0"/>
        <w:autoSpaceDN w:val="0"/>
        <w:snapToGrid w:val="0"/>
        <w:spacing w:line="400" w:lineRule="exact"/>
        <w:jc w:val="left"/>
        <w:rPr>
          <w:rFonts w:ascii="宋体" w:hAnsi="宋体" w:cs="宋体"/>
          <w:bCs/>
          <w:color w:val="auto"/>
          <w:sz w:val="24"/>
        </w:rPr>
      </w:pPr>
      <w:r>
        <w:rPr>
          <w:rFonts w:hint="eastAsia" w:ascii="宋体" w:hAnsi="宋体" w:cs="宋体"/>
          <w:color w:val="auto"/>
          <w:sz w:val="24"/>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color w:val="auto"/>
          <w:sz w:val="24"/>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（4）《开标一览表》为在开标仪式上唱标的内容，要求按格式填写、统一规范，不得自行增减内容。</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（7）投标响应文件不得涂改和增删，如有错漏必须修改。</w:t>
      </w:r>
    </w:p>
    <w:p>
      <w:pPr>
        <w:wordWrap w:val="0"/>
        <w:overflowPunct w:val="0"/>
        <w:autoSpaceDE w:val="0"/>
        <w:autoSpaceDN w:val="0"/>
        <w:snapToGrid w:val="0"/>
        <w:spacing w:line="400" w:lineRule="exact"/>
        <w:rPr>
          <w:rFonts w:ascii="宋体" w:hAnsi="宋体" w:cs="宋体"/>
          <w:b/>
          <w:bCs/>
          <w:color w:val="auto"/>
          <w:sz w:val="24"/>
        </w:rPr>
      </w:pPr>
      <w:r>
        <w:rPr>
          <w:rFonts w:hint="eastAsia" w:ascii="宋体" w:hAnsi="宋体" w:cs="宋体"/>
          <w:color w:val="auto"/>
          <w:sz w:val="24"/>
        </w:rPr>
        <w:t xml:space="preserve">    （8）由于字迹模糊或表达不清引起的后果由供应商负责。</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（三）投标文件的语言及计量</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▲2投标计量单位，招标文件已有明确规定的，使用招标文件规定的计量单位；招标文件没有规定的，应采用中华人民共和国法定计量单位（货币单位：人民币元），否则视同未响应。</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（四）投标报价</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1.投标报价应按招标文件中相关附表格式填写。</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▲2.投标报价是履行合同的最终价格，应包括所需的一切费用及不可预见的其他全部费用和税金。</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▲3.投标文件只允许有一个报价，有选择的或有条件的报价将不予接受。</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（五）投标文件的有效期</w:t>
      </w:r>
    </w:p>
    <w:p>
      <w:pPr>
        <w:pStyle w:val="15"/>
        <w:widowControl w:val="0"/>
        <w:tabs>
          <w:tab w:val="left" w:pos="720"/>
          <w:tab w:val="clear" w:pos="390"/>
        </w:tabs>
        <w:wordWrap w:val="0"/>
        <w:overflowPunct w:val="0"/>
        <w:autoSpaceDE w:val="0"/>
        <w:autoSpaceDN w:val="0"/>
        <w:snapToGrid w:val="0"/>
        <w:spacing w:afterLines="0" w:line="400" w:lineRule="exact"/>
        <w:ind w:left="0" w:firstLine="480" w:firstLineChars="200"/>
        <w:rPr>
          <w:rFonts w:ascii="宋体" w:hAnsi="宋体" w:cs="宋体"/>
          <w:color w:val="auto"/>
          <w:szCs w:val="24"/>
        </w:rPr>
      </w:pPr>
      <w:r>
        <w:rPr>
          <w:rFonts w:hint="eastAsia" w:ascii="宋体" w:hAnsi="宋体" w:cs="宋体"/>
          <w:color w:val="auto"/>
          <w:szCs w:val="24"/>
        </w:rPr>
        <w:t>▲1.自投标截止日起</w:t>
      </w:r>
      <w:r>
        <w:rPr>
          <w:rFonts w:hint="eastAsia" w:ascii="宋体" w:hAnsi="宋体" w:cs="宋体"/>
          <w:color w:val="auto"/>
          <w:szCs w:val="24"/>
          <w:u w:val="single"/>
        </w:rPr>
        <w:t xml:space="preserve"> 90</w:t>
      </w:r>
      <w:r>
        <w:rPr>
          <w:rFonts w:hint="eastAsia" w:ascii="宋体" w:hAnsi="宋体" w:cs="宋体"/>
          <w:color w:val="auto"/>
          <w:szCs w:val="24"/>
        </w:rPr>
        <w:t>天投标文件应保持有效。有效期不足的投标文件将被拒绝。</w:t>
      </w:r>
    </w:p>
    <w:p>
      <w:pPr>
        <w:pStyle w:val="15"/>
        <w:widowControl w:val="0"/>
        <w:tabs>
          <w:tab w:val="left" w:pos="720"/>
          <w:tab w:val="clear" w:pos="390"/>
        </w:tabs>
        <w:wordWrap w:val="0"/>
        <w:overflowPunct w:val="0"/>
        <w:autoSpaceDE w:val="0"/>
        <w:autoSpaceDN w:val="0"/>
        <w:snapToGrid w:val="0"/>
        <w:spacing w:afterLines="0" w:line="400" w:lineRule="exact"/>
        <w:ind w:left="0" w:firstLine="480" w:firstLineChars="200"/>
        <w:rPr>
          <w:rFonts w:ascii="宋体" w:hAnsi="宋体" w:cs="宋体"/>
          <w:color w:val="auto"/>
          <w:szCs w:val="24"/>
        </w:rPr>
      </w:pPr>
      <w:r>
        <w:rPr>
          <w:rFonts w:hint="eastAsia" w:ascii="宋体" w:hAnsi="宋体" w:cs="宋体"/>
          <w:color w:val="auto"/>
          <w:szCs w:val="24"/>
        </w:rPr>
        <w:t>2.在特殊情况下，招标人可与投标人协商延长投标书的有效期，这种要求和答复均以书面形式进行。</w:t>
      </w:r>
    </w:p>
    <w:p>
      <w:pPr>
        <w:wordWrap w:val="0"/>
        <w:overflowPunct w:val="0"/>
        <w:autoSpaceDE w:val="0"/>
        <w:autoSpaceDN w:val="0"/>
        <w:snapToGrid w:val="0"/>
        <w:spacing w:line="400" w:lineRule="exact"/>
        <w:ind w:firstLine="480" w:firstLineChars="200"/>
        <w:jc w:val="left"/>
        <w:outlineLvl w:val="0"/>
        <w:rPr>
          <w:rFonts w:ascii="宋体" w:hAnsi="宋体" w:cs="宋体"/>
          <w:color w:val="auto"/>
          <w:sz w:val="24"/>
        </w:rPr>
      </w:pPr>
      <w:r>
        <w:rPr>
          <w:rFonts w:hint="eastAsia" w:ascii="宋体" w:hAnsi="宋体" w:cs="宋体"/>
          <w:color w:val="auto"/>
          <w:sz w:val="24"/>
        </w:rPr>
        <w:t>3.中标人的投标文件自开标之日起至合同履行完毕止均应保持有效。</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（六）投标保证金：无</w:t>
      </w:r>
    </w:p>
    <w:p>
      <w:pPr>
        <w:pStyle w:val="34"/>
        <w:wordWrap w:val="0"/>
        <w:overflowPunct w:val="0"/>
        <w:autoSpaceDE w:val="0"/>
        <w:autoSpaceDN w:val="0"/>
        <w:snapToGrid w:val="0"/>
        <w:spacing w:line="400" w:lineRule="exact"/>
        <w:outlineLvl w:val="0"/>
        <w:rPr>
          <w:rFonts w:hAnsi="宋体" w:cs="宋体"/>
          <w:b/>
          <w:color w:val="auto"/>
          <w:sz w:val="24"/>
          <w:szCs w:val="24"/>
        </w:rPr>
      </w:pPr>
      <w:bookmarkStart w:id="18" w:name="_Toc359856802"/>
      <w:r>
        <w:rPr>
          <w:rFonts w:hint="eastAsia" w:hAnsi="宋体" w:cs="宋体"/>
          <w:b/>
          <w:color w:val="auto"/>
          <w:sz w:val="24"/>
          <w:szCs w:val="24"/>
        </w:rPr>
        <w:t>（七）投标文件的签署及规定</w:t>
      </w:r>
      <w:bookmarkEnd w:id="18"/>
    </w:p>
    <w:p>
      <w:pPr>
        <w:wordWrap w:val="0"/>
        <w:overflowPunct w:val="0"/>
        <w:autoSpaceDE w:val="0"/>
        <w:autoSpaceDN w:val="0"/>
        <w:snapToGrid w:val="0"/>
        <w:spacing w:line="400" w:lineRule="exact"/>
        <w:ind w:firstLine="480" w:firstLineChars="200"/>
        <w:jc w:val="left"/>
        <w:outlineLvl w:val="1"/>
        <w:rPr>
          <w:rFonts w:ascii="宋体" w:hAnsi="宋体" w:cs="宋体"/>
          <w:bCs/>
          <w:color w:val="auto"/>
          <w:sz w:val="24"/>
        </w:rPr>
      </w:pPr>
      <w:r>
        <w:rPr>
          <w:rFonts w:hint="eastAsia" w:ascii="宋体" w:hAnsi="宋体" w:cs="宋体"/>
          <w:bCs/>
          <w:color w:val="auto"/>
          <w:sz w:val="24"/>
        </w:rPr>
        <w:t>电子投标文件按政采云平台供应商项目采购-电子招投标操作指南（网址：</w:t>
      </w:r>
      <w:r>
        <w:rPr>
          <w:color w:val="auto"/>
        </w:rPr>
        <w:fldChar w:fldCharType="begin"/>
      </w:r>
      <w:r>
        <w:rPr>
          <w:color w:val="auto"/>
        </w:rPr>
        <w:instrText xml:space="preserve"> HYPERLINK "https://help.zcy.gov.cn/web/site_2/2018/12-28/2573.html）及本招标文件规定的格式和顺序编制电子投标文件并进行关联定位。" </w:instrText>
      </w:r>
      <w:r>
        <w:rPr>
          <w:color w:val="auto"/>
        </w:rPr>
        <w:fldChar w:fldCharType="separate"/>
      </w:r>
      <w:r>
        <w:rPr>
          <w:rFonts w:hint="eastAsia" w:ascii="宋体" w:hAnsi="宋体" w:cs="宋体"/>
          <w:bCs/>
          <w:color w:val="auto"/>
          <w:sz w:val="24"/>
        </w:rPr>
        <w:t>https://service.zcygov.cn/#/knowledges/CW1EtGwBFdiHxlNd6I3m/6IMVAG0BFdiHxlNdQ8Na?keyword</w:t>
      </w:r>
      <w:r>
        <w:rPr>
          <w:rStyle w:val="77"/>
          <w:rFonts w:hint="eastAsia" w:ascii="宋体" w:hAnsi="宋体" w:eastAsia="宋体" w:cs="宋体"/>
          <w:bCs/>
          <w:color w:val="auto"/>
          <w:sz w:val="24"/>
          <w:szCs w:val="24"/>
        </w:rPr>
        <w:t>）及本招标文件规定的格式和顺序编制电子投标文件并进行关联定位。</w:t>
      </w:r>
      <w:r>
        <w:rPr>
          <w:rStyle w:val="77"/>
          <w:rFonts w:hint="eastAsia" w:ascii="宋体" w:hAnsi="宋体" w:eastAsia="宋体" w:cs="宋体"/>
          <w:bCs/>
          <w:color w:val="auto"/>
          <w:sz w:val="24"/>
          <w:szCs w:val="24"/>
        </w:rPr>
        <w:fldChar w:fldCharType="end"/>
      </w:r>
    </w:p>
    <w:p>
      <w:pPr>
        <w:pStyle w:val="34"/>
        <w:wordWrap w:val="0"/>
        <w:overflowPunct w:val="0"/>
        <w:autoSpaceDE w:val="0"/>
        <w:autoSpaceDN w:val="0"/>
        <w:snapToGrid w:val="0"/>
        <w:spacing w:line="400" w:lineRule="exact"/>
        <w:outlineLvl w:val="0"/>
        <w:rPr>
          <w:rFonts w:hAnsi="宋体" w:cs="宋体"/>
          <w:b/>
          <w:color w:val="auto"/>
          <w:sz w:val="24"/>
          <w:szCs w:val="24"/>
        </w:rPr>
      </w:pPr>
      <w:bookmarkStart w:id="19" w:name="_Toc359856803"/>
      <w:bookmarkStart w:id="20" w:name="_Toc356371437"/>
      <w:r>
        <w:rPr>
          <w:rFonts w:hint="eastAsia" w:hAnsi="宋体" w:cs="宋体"/>
          <w:b/>
          <w:color w:val="auto"/>
          <w:sz w:val="24"/>
          <w:szCs w:val="24"/>
        </w:rPr>
        <w:t>（八）投标文件的递交</w:t>
      </w:r>
      <w:bookmarkEnd w:id="19"/>
      <w:bookmarkEnd w:id="20"/>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1.递交投标文件截止期</w:t>
      </w:r>
    </w:p>
    <w:p>
      <w:pPr>
        <w:wordWrap w:val="0"/>
        <w:overflowPunct w:val="0"/>
        <w:autoSpaceDE w:val="0"/>
        <w:autoSpaceDN w:val="0"/>
        <w:snapToGrid w:val="0"/>
        <w:spacing w:line="400" w:lineRule="exact"/>
        <w:ind w:firstLine="480" w:firstLineChars="200"/>
        <w:rPr>
          <w:rFonts w:ascii="宋体" w:hAnsi="宋体" w:cs="宋体"/>
          <w:bCs/>
          <w:color w:val="auto"/>
          <w:sz w:val="24"/>
        </w:rPr>
      </w:pPr>
      <w:r>
        <w:rPr>
          <w:rFonts w:hint="eastAsia" w:ascii="宋体" w:hAnsi="宋体" w:cs="宋体"/>
          <w:bCs/>
          <w:color w:val="auto"/>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400" w:lineRule="exact"/>
        <w:ind w:firstLine="480" w:firstLineChars="200"/>
        <w:rPr>
          <w:rFonts w:ascii="宋体" w:hAnsi="宋体" w:cs="宋体"/>
          <w:bCs/>
          <w:color w:val="auto"/>
          <w:sz w:val="24"/>
        </w:rPr>
      </w:pPr>
      <w:r>
        <w:rPr>
          <w:rFonts w:hint="eastAsia" w:ascii="宋体" w:hAnsi="宋体" w:cs="宋体"/>
          <w:bCs/>
          <w:color w:val="auto"/>
          <w:sz w:val="24"/>
        </w:rPr>
        <w:t>2.投标文件的修改和撤销</w:t>
      </w:r>
    </w:p>
    <w:p>
      <w:pPr>
        <w:wordWrap w:val="0"/>
        <w:overflowPunct w:val="0"/>
        <w:autoSpaceDE w:val="0"/>
        <w:autoSpaceDN w:val="0"/>
        <w:snapToGrid w:val="0"/>
        <w:spacing w:line="400" w:lineRule="exact"/>
        <w:ind w:firstLine="480" w:firstLineChars="200"/>
        <w:rPr>
          <w:rFonts w:ascii="宋体" w:hAnsi="宋体" w:cs="宋体"/>
          <w:bCs/>
          <w:color w:val="auto"/>
          <w:sz w:val="24"/>
        </w:rPr>
      </w:pPr>
      <w:r>
        <w:rPr>
          <w:rFonts w:hint="eastAsia" w:ascii="宋体" w:hAnsi="宋体" w:cs="宋体"/>
          <w:bCs/>
          <w:color w:val="auto"/>
          <w:sz w:val="24"/>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400" w:lineRule="exact"/>
        <w:ind w:firstLine="480" w:firstLineChars="200"/>
        <w:rPr>
          <w:rFonts w:ascii="宋体" w:hAnsi="宋体" w:cs="宋体"/>
          <w:bCs/>
          <w:color w:val="auto"/>
          <w:sz w:val="24"/>
        </w:rPr>
      </w:pPr>
      <w:r>
        <w:rPr>
          <w:rFonts w:hint="eastAsia" w:ascii="宋体" w:hAnsi="宋体" w:cs="宋体"/>
          <w:bCs/>
          <w:color w:val="auto"/>
          <w:sz w:val="24"/>
        </w:rPr>
        <w:t>（2）投标人修改后的投标文件应按原来的规定编制、密封、标记和递交。</w:t>
      </w:r>
    </w:p>
    <w:p>
      <w:pPr>
        <w:wordWrap w:val="0"/>
        <w:overflowPunct w:val="0"/>
        <w:autoSpaceDE w:val="0"/>
        <w:autoSpaceDN w:val="0"/>
        <w:snapToGrid w:val="0"/>
        <w:spacing w:line="400" w:lineRule="exact"/>
        <w:ind w:firstLine="480" w:firstLineChars="200"/>
        <w:rPr>
          <w:rFonts w:ascii="宋体" w:hAnsi="宋体" w:cs="宋体"/>
          <w:bCs/>
          <w:color w:val="auto"/>
          <w:sz w:val="24"/>
        </w:rPr>
      </w:pPr>
      <w:r>
        <w:rPr>
          <w:rFonts w:hint="eastAsia" w:ascii="宋体" w:hAnsi="宋体" w:cs="宋体"/>
          <w:bCs/>
          <w:color w:val="auto"/>
          <w:sz w:val="24"/>
        </w:rPr>
        <w:t>（3）在递交投标文件截止期之后，投标人不得对其投标文件做任何修改。</w:t>
      </w:r>
    </w:p>
    <w:p>
      <w:pPr>
        <w:wordWrap w:val="0"/>
        <w:overflowPunct w:val="0"/>
        <w:autoSpaceDE w:val="0"/>
        <w:autoSpaceDN w:val="0"/>
        <w:snapToGrid w:val="0"/>
        <w:spacing w:line="400" w:lineRule="exact"/>
        <w:ind w:firstLine="480" w:firstLineChars="200"/>
        <w:rPr>
          <w:rFonts w:ascii="宋体" w:hAnsi="宋体" w:cs="宋体"/>
          <w:bCs/>
          <w:color w:val="auto"/>
          <w:sz w:val="24"/>
        </w:rPr>
      </w:pPr>
      <w:r>
        <w:rPr>
          <w:rFonts w:hint="eastAsia" w:ascii="宋体" w:hAnsi="宋体" w:cs="宋体"/>
          <w:bCs/>
          <w:color w:val="auto"/>
          <w:sz w:val="24"/>
        </w:rPr>
        <w:t>（4）递交投标文件截止期后，投标人不得撤回其投标文件。</w:t>
      </w:r>
    </w:p>
    <w:p>
      <w:pPr>
        <w:wordWrap w:val="0"/>
        <w:overflowPunct w:val="0"/>
        <w:autoSpaceDE w:val="0"/>
        <w:autoSpaceDN w:val="0"/>
        <w:snapToGrid w:val="0"/>
        <w:spacing w:line="400" w:lineRule="exact"/>
        <w:ind w:firstLine="480" w:firstLineChars="200"/>
        <w:rPr>
          <w:rFonts w:ascii="宋体" w:hAnsi="宋体" w:cs="宋体"/>
          <w:bCs/>
          <w:color w:val="auto"/>
          <w:sz w:val="24"/>
        </w:rPr>
      </w:pPr>
      <w:r>
        <w:rPr>
          <w:rFonts w:hint="eastAsia" w:ascii="宋体" w:hAnsi="宋体" w:cs="宋体"/>
          <w:bCs/>
          <w:color w:val="auto"/>
          <w:sz w:val="24"/>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3.备份投标文件</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bCs/>
          <w:color w:val="auto"/>
          <w:sz w:val="24"/>
        </w:rPr>
        <w:t>（1）</w:t>
      </w:r>
      <w:r>
        <w:rPr>
          <w:rFonts w:hint="eastAsia" w:ascii="宋体" w:hAnsi="宋体" w:cs="宋体"/>
          <w:color w:val="auto"/>
          <w:sz w:val="24"/>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bCs/>
          <w:color w:val="auto"/>
          <w:sz w:val="24"/>
        </w:rPr>
        <w:t>（2）</w:t>
      </w:r>
      <w:r>
        <w:rPr>
          <w:rFonts w:hint="eastAsia" w:ascii="宋体" w:hAnsi="宋体" w:cs="宋体"/>
          <w:color w:val="auto"/>
          <w:sz w:val="24"/>
        </w:rPr>
        <w:t>备份投标文件须在“政采云投标客户端”制作生成，并储存在</w:t>
      </w:r>
      <w:r>
        <w:rPr>
          <w:rFonts w:hint="eastAsia" w:ascii="宋体" w:hAnsi="宋体" w:cs="宋体"/>
          <w:color w:val="auto"/>
          <w:sz w:val="24"/>
          <w:lang w:val="en-US" w:eastAsia="zh-CN"/>
        </w:rPr>
        <w:t>U</w:t>
      </w:r>
      <w:r>
        <w:rPr>
          <w:rFonts w:hint="eastAsia" w:ascii="宋体" w:hAnsi="宋体" w:cs="宋体"/>
          <w:color w:val="auto"/>
          <w:sz w:val="24"/>
        </w:rPr>
        <w:t>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bCs/>
          <w:color w:val="auto"/>
          <w:sz w:val="24"/>
        </w:rPr>
        <w:t>（3）</w:t>
      </w:r>
      <w:r>
        <w:rPr>
          <w:rFonts w:hint="eastAsia" w:ascii="宋体" w:hAnsi="宋体" w:cs="宋体"/>
          <w:color w:val="auto"/>
          <w:sz w:val="24"/>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bCs/>
          <w:color w:val="auto"/>
          <w:sz w:val="24"/>
        </w:rPr>
        <w:t>（4）</w:t>
      </w:r>
      <w:r>
        <w:rPr>
          <w:rFonts w:hint="eastAsia" w:ascii="宋体" w:hAnsi="宋体" w:cs="宋体"/>
          <w:color w:val="auto"/>
          <w:sz w:val="24"/>
        </w:rPr>
        <w:t>以邮政快递方式递交备份投标文件的，投标人应先将备份投标文件按要求密封和标记，再进行邮政快递包装后邮寄。</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bCs/>
          <w:color w:val="auto"/>
          <w:sz w:val="24"/>
        </w:rPr>
        <w:t>（5）</w:t>
      </w:r>
      <w:r>
        <w:rPr>
          <w:rFonts w:hint="eastAsia" w:ascii="宋体" w:hAnsi="宋体" w:cs="宋体"/>
          <w:color w:val="auto"/>
          <w:sz w:val="24"/>
        </w:rPr>
        <w:t>投标人仅提交备份投标文件，没有在电子交易平台传输递交投标文件的，投标无效。</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（九）投标无效的情形</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根据《政府采购货物和服务招标投标管理办法》有下列情形之一的，视为投标人串通投标，其投标无效：</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(一)不同投标人的投标文件由同一单位或者个人编制；</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(二)不同投标人委托同一单位或者个人办理投标事宜；</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(三)不同投标人的投标文件载明的项目管理成员或者联系人员为同一人；</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(四)不同投标人的投标文件异常一致或者投标报价呈规律性差异；</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(五)不同投标人的投标文件相互混装；</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(六)不同投标人的投标保证金从同一单位或者个人的账户转出。</w:t>
      </w:r>
    </w:p>
    <w:p>
      <w:pPr>
        <w:wordWrap w:val="0"/>
        <w:overflowPunct w:val="0"/>
        <w:autoSpaceDE w:val="0"/>
        <w:autoSpaceDN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4"/>
        </w:numPr>
        <w:wordWrap w:val="0"/>
        <w:overflowPunct w:val="0"/>
        <w:autoSpaceDE w:val="0"/>
        <w:autoSpaceDN w:val="0"/>
        <w:snapToGrid w:val="0"/>
        <w:spacing w:line="400" w:lineRule="exact"/>
        <w:ind w:firstLine="466" w:firstLineChars="200"/>
        <w:jc w:val="left"/>
        <w:rPr>
          <w:rFonts w:ascii="宋体" w:hAnsi="宋体" w:cs="宋体"/>
          <w:b/>
          <w:bCs/>
          <w:color w:val="auto"/>
          <w:sz w:val="24"/>
        </w:rPr>
      </w:pPr>
      <w:r>
        <w:rPr>
          <w:rFonts w:hint="eastAsia" w:ascii="宋体" w:hAnsi="宋体" w:cs="宋体"/>
          <w:b/>
          <w:bCs/>
          <w:color w:val="auto"/>
          <w:spacing w:val="-4"/>
          <w:sz w:val="24"/>
        </w:rPr>
        <w:t>电</w:t>
      </w:r>
      <w:r>
        <w:rPr>
          <w:rFonts w:hint="eastAsia" w:ascii="宋体" w:hAnsi="宋体" w:cs="宋体"/>
          <w:b/>
          <w:bCs/>
          <w:color w:val="auto"/>
          <w:sz w:val="24"/>
        </w:rPr>
        <w:t xml:space="preserve">子加密投标文件解密失败的；   </w:t>
      </w:r>
    </w:p>
    <w:p>
      <w:pPr>
        <w:wordWrap w:val="0"/>
        <w:overflowPunct w:val="0"/>
        <w:autoSpaceDE w:val="0"/>
        <w:autoSpaceDN w:val="0"/>
        <w:snapToGrid w:val="0"/>
        <w:spacing w:line="400" w:lineRule="exact"/>
        <w:jc w:val="left"/>
        <w:rPr>
          <w:rFonts w:ascii="宋体" w:hAnsi="宋体" w:cs="宋体"/>
          <w:b/>
          <w:bCs/>
          <w:color w:val="auto"/>
          <w:sz w:val="24"/>
        </w:rPr>
      </w:pPr>
      <w:r>
        <w:rPr>
          <w:rFonts w:hint="eastAsia" w:ascii="宋体" w:hAnsi="宋体" w:cs="宋体"/>
          <w:b/>
          <w:bCs/>
          <w:color w:val="auto"/>
          <w:sz w:val="24"/>
        </w:rPr>
        <w:t xml:space="preserve">    2.没有通过资格审查的，投标文件将被视为无效。</w:t>
      </w:r>
    </w:p>
    <w:p>
      <w:pPr>
        <w:wordWrap w:val="0"/>
        <w:overflowPunct w:val="0"/>
        <w:autoSpaceDE w:val="0"/>
        <w:autoSpaceDN w:val="0"/>
        <w:snapToGrid w:val="0"/>
        <w:spacing w:line="400" w:lineRule="exact"/>
        <w:ind w:firstLine="482" w:firstLineChars="200"/>
        <w:jc w:val="left"/>
        <w:rPr>
          <w:rFonts w:ascii="宋体" w:hAnsi="宋体" w:cs="宋体"/>
          <w:b/>
          <w:bCs/>
          <w:color w:val="auto"/>
          <w:sz w:val="24"/>
        </w:rPr>
      </w:pPr>
      <w:r>
        <w:rPr>
          <w:rFonts w:hint="eastAsia" w:ascii="宋体" w:hAnsi="宋体" w:cs="宋体"/>
          <w:b/>
          <w:bCs/>
          <w:color w:val="auto"/>
          <w:sz w:val="24"/>
        </w:rPr>
        <w:t>3.在符合性审查和资信商务评审时，如发现下列情形之一的，投标文件将被视为无效：</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（1）电子投标文件未按规定要求提供电子签章的。</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（2）在资格文件或商务技术文件中出现报价的；</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（3）资格证明文件不全的，或者不符合招标文件标明的资格要求的；</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（4）投标文件无法定代表人签字（或盖章）,或未</w:t>
      </w:r>
      <w:r>
        <w:rPr>
          <w:rFonts w:hint="eastAsia" w:ascii="宋体" w:hAnsi="宋体" w:cs="宋体"/>
          <w:bCs/>
          <w:color w:val="auto"/>
          <w:kern w:val="0"/>
          <w:sz w:val="24"/>
        </w:rPr>
        <w:t>提供法定代表人授权委托书、投标声明书或者填写项目不齐全的；</w:t>
      </w:r>
    </w:p>
    <w:p>
      <w:pPr>
        <w:wordWrap w:val="0"/>
        <w:overflowPunct w:val="0"/>
        <w:autoSpaceDE w:val="0"/>
        <w:autoSpaceDN w:val="0"/>
        <w:snapToGrid w:val="0"/>
        <w:spacing w:line="400" w:lineRule="exact"/>
        <w:ind w:firstLine="480" w:firstLineChars="200"/>
        <w:rPr>
          <w:rFonts w:ascii="宋体" w:hAnsi="宋体" w:cs="宋体"/>
          <w:bCs/>
          <w:color w:val="auto"/>
          <w:kern w:val="0"/>
          <w:sz w:val="24"/>
        </w:rPr>
      </w:pPr>
      <w:r>
        <w:rPr>
          <w:rFonts w:hint="eastAsia" w:ascii="宋体" w:hAnsi="宋体" w:cs="宋体"/>
          <w:color w:val="auto"/>
          <w:sz w:val="24"/>
        </w:rPr>
        <w:t>（5）投标代表人未能出具身份证明或与法定代表人授权委托人身份不符的；</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（6）投标文件项目不齐全或者内容虚假的；</w:t>
      </w:r>
    </w:p>
    <w:p>
      <w:pPr>
        <w:pStyle w:val="26"/>
        <w:wordWrap w:val="0"/>
        <w:overflowPunct w:val="0"/>
        <w:autoSpaceDE w:val="0"/>
        <w:autoSpaceDN w:val="0"/>
        <w:snapToGrid w:val="0"/>
        <w:spacing w:line="400" w:lineRule="exact"/>
        <w:rPr>
          <w:rFonts w:cs="宋体"/>
          <w:snapToGrid w:val="0"/>
          <w:color w:val="auto"/>
        </w:rPr>
      </w:pPr>
      <w:r>
        <w:rPr>
          <w:rFonts w:hint="eastAsia" w:cs="宋体"/>
          <w:color w:val="auto"/>
        </w:rPr>
        <w:t>（</w:t>
      </w:r>
      <w:r>
        <w:rPr>
          <w:rFonts w:hint="eastAsia" w:cs="宋体"/>
          <w:snapToGrid w:val="0"/>
          <w:color w:val="auto"/>
        </w:rPr>
        <w:t>7）</w:t>
      </w:r>
      <w:r>
        <w:rPr>
          <w:rFonts w:hint="eastAsia" w:cs="宋体"/>
          <w:color w:val="auto"/>
        </w:rPr>
        <w:t>投标文件的实质性内容未使用中文表述、意思表述不明确、前后矛盾或者使用计量单位不符合招标文件要求的（经评标委员会认定并允许其当场更正的笔误除外）；</w:t>
      </w:r>
    </w:p>
    <w:p>
      <w:pPr>
        <w:pStyle w:val="26"/>
        <w:wordWrap w:val="0"/>
        <w:overflowPunct w:val="0"/>
        <w:autoSpaceDE w:val="0"/>
        <w:autoSpaceDN w:val="0"/>
        <w:snapToGrid w:val="0"/>
        <w:spacing w:line="400" w:lineRule="exact"/>
        <w:rPr>
          <w:rFonts w:cs="宋体"/>
          <w:snapToGrid w:val="0"/>
          <w:color w:val="auto"/>
        </w:rPr>
      </w:pPr>
      <w:r>
        <w:rPr>
          <w:rFonts w:hint="eastAsia" w:cs="宋体"/>
          <w:color w:val="auto"/>
        </w:rPr>
        <w:t>（8）</w:t>
      </w:r>
      <w:r>
        <w:rPr>
          <w:rFonts w:hint="eastAsia" w:cs="宋体"/>
          <w:snapToGrid w:val="0"/>
          <w:color w:val="auto"/>
        </w:rPr>
        <w:t>投标有效期、交货时间、质保期等商务条款不能满足招标文件要求的；</w:t>
      </w:r>
    </w:p>
    <w:p>
      <w:pPr>
        <w:pStyle w:val="26"/>
        <w:wordWrap w:val="0"/>
        <w:overflowPunct w:val="0"/>
        <w:autoSpaceDE w:val="0"/>
        <w:autoSpaceDN w:val="0"/>
        <w:snapToGrid w:val="0"/>
        <w:spacing w:line="400" w:lineRule="exact"/>
        <w:rPr>
          <w:rFonts w:cs="宋体"/>
          <w:snapToGrid w:val="0"/>
          <w:color w:val="auto"/>
        </w:rPr>
      </w:pPr>
      <w:r>
        <w:rPr>
          <w:rFonts w:hint="eastAsia" w:cs="宋体"/>
          <w:color w:val="auto"/>
        </w:rPr>
        <w:t>（</w:t>
      </w:r>
      <w:r>
        <w:rPr>
          <w:rFonts w:hint="eastAsia" w:cs="宋体"/>
          <w:snapToGrid w:val="0"/>
          <w:color w:val="auto"/>
        </w:rPr>
        <w:t>9）</w:t>
      </w:r>
      <w:r>
        <w:rPr>
          <w:rFonts w:hint="eastAsia" w:cs="宋体"/>
          <w:color w:val="auto"/>
        </w:rPr>
        <w:t>未实质性响应招标文件要求或者投标文件有招标方不能接受的附加条件的</w:t>
      </w:r>
      <w:r>
        <w:rPr>
          <w:rFonts w:hint="eastAsia" w:cs="宋体"/>
          <w:snapToGrid w:val="0"/>
          <w:color w:val="auto"/>
        </w:rPr>
        <w:t>；</w:t>
      </w:r>
    </w:p>
    <w:p>
      <w:pPr>
        <w:pStyle w:val="26"/>
        <w:wordWrap w:val="0"/>
        <w:overflowPunct w:val="0"/>
        <w:autoSpaceDE w:val="0"/>
        <w:autoSpaceDN w:val="0"/>
        <w:snapToGrid w:val="0"/>
        <w:spacing w:line="400" w:lineRule="exact"/>
        <w:ind w:firstLine="482"/>
        <w:rPr>
          <w:rFonts w:cs="宋体"/>
          <w:b/>
          <w:bCs/>
          <w:color w:val="auto"/>
        </w:rPr>
      </w:pPr>
      <w:r>
        <w:rPr>
          <w:rFonts w:hint="eastAsia" w:cs="宋体"/>
          <w:b/>
          <w:bCs/>
          <w:color w:val="auto"/>
        </w:rPr>
        <w:t>4.在技术评审时，如发现下列情形之一的，投标文件将被视为无效：</w:t>
      </w:r>
    </w:p>
    <w:p>
      <w:pPr>
        <w:pStyle w:val="26"/>
        <w:wordWrap w:val="0"/>
        <w:overflowPunct w:val="0"/>
        <w:autoSpaceDE w:val="0"/>
        <w:autoSpaceDN w:val="0"/>
        <w:snapToGrid w:val="0"/>
        <w:spacing w:line="400" w:lineRule="exact"/>
        <w:rPr>
          <w:rFonts w:cs="宋体"/>
          <w:color w:val="auto"/>
        </w:rPr>
      </w:pPr>
      <w:r>
        <w:rPr>
          <w:rFonts w:hint="eastAsia" w:cs="宋体"/>
          <w:color w:val="auto"/>
        </w:rPr>
        <w:t>（1）未提供或未如实提供投标货物的技术参数，或者投标文件标明的响应或偏离与事实不符或虚假投标的；</w:t>
      </w:r>
    </w:p>
    <w:p>
      <w:pPr>
        <w:pStyle w:val="26"/>
        <w:wordWrap w:val="0"/>
        <w:overflowPunct w:val="0"/>
        <w:autoSpaceDE w:val="0"/>
        <w:autoSpaceDN w:val="0"/>
        <w:snapToGrid w:val="0"/>
        <w:spacing w:line="400" w:lineRule="exact"/>
        <w:rPr>
          <w:rFonts w:cs="宋体"/>
          <w:color w:val="auto"/>
        </w:rPr>
      </w:pPr>
      <w:r>
        <w:rPr>
          <w:rFonts w:hint="eastAsia" w:cs="宋体"/>
          <w:color w:val="auto"/>
        </w:rPr>
        <w:t>（2）</w:t>
      </w:r>
      <w:r>
        <w:rPr>
          <w:rFonts w:hint="eastAsia" w:cs="宋体"/>
          <w:snapToGrid w:val="0"/>
          <w:color w:val="auto"/>
        </w:rPr>
        <w:t>明显不符合招标文件要求的规格型号、质量标准，或者与</w:t>
      </w:r>
      <w:r>
        <w:rPr>
          <w:rFonts w:hint="eastAsia" w:cs="宋体"/>
          <w:color w:val="auto"/>
        </w:rPr>
        <w:t>招标文件中标“▲”的技术指标、主要功能项目发生实质性偏离的；</w:t>
      </w:r>
    </w:p>
    <w:p>
      <w:pPr>
        <w:pStyle w:val="26"/>
        <w:wordWrap w:val="0"/>
        <w:overflowPunct w:val="0"/>
        <w:autoSpaceDE w:val="0"/>
        <w:autoSpaceDN w:val="0"/>
        <w:snapToGrid w:val="0"/>
        <w:spacing w:line="400" w:lineRule="exact"/>
        <w:rPr>
          <w:rFonts w:cs="宋体"/>
          <w:color w:val="auto"/>
        </w:rPr>
      </w:pPr>
      <w:r>
        <w:rPr>
          <w:rFonts w:hint="eastAsia" w:cs="宋体"/>
          <w:color w:val="auto"/>
        </w:rPr>
        <w:t>（3）投标技术方案不明确，存在一个或一个以上备选（替代）投标方案的；</w:t>
      </w:r>
    </w:p>
    <w:p>
      <w:pPr>
        <w:pStyle w:val="26"/>
        <w:wordWrap w:val="0"/>
        <w:overflowPunct w:val="0"/>
        <w:autoSpaceDE w:val="0"/>
        <w:autoSpaceDN w:val="0"/>
        <w:snapToGrid w:val="0"/>
        <w:spacing w:line="400" w:lineRule="exact"/>
        <w:ind w:firstLine="482"/>
        <w:rPr>
          <w:rFonts w:cs="宋体"/>
          <w:b/>
          <w:bCs/>
          <w:color w:val="auto"/>
        </w:rPr>
      </w:pPr>
      <w:r>
        <w:rPr>
          <w:rFonts w:hint="eastAsia" w:cs="宋体"/>
          <w:b/>
          <w:bCs/>
          <w:color w:val="auto"/>
        </w:rPr>
        <w:t>5.在报价评审时，如发现下列情形之一的，投标文件将被视为无效：</w:t>
      </w:r>
    </w:p>
    <w:p>
      <w:pPr>
        <w:pStyle w:val="26"/>
        <w:wordWrap w:val="0"/>
        <w:overflowPunct w:val="0"/>
        <w:autoSpaceDE w:val="0"/>
        <w:autoSpaceDN w:val="0"/>
        <w:snapToGrid w:val="0"/>
        <w:spacing w:line="400" w:lineRule="exact"/>
        <w:rPr>
          <w:rFonts w:cs="宋体"/>
          <w:color w:val="auto"/>
        </w:rPr>
      </w:pPr>
      <w:r>
        <w:rPr>
          <w:rFonts w:hint="eastAsia" w:cs="宋体"/>
          <w:color w:val="auto"/>
        </w:rPr>
        <w:t>（1）未采用人民币报价或者未按照招标文件标明的币种报价的；</w:t>
      </w:r>
    </w:p>
    <w:p>
      <w:pPr>
        <w:pStyle w:val="26"/>
        <w:wordWrap w:val="0"/>
        <w:overflowPunct w:val="0"/>
        <w:autoSpaceDE w:val="0"/>
        <w:autoSpaceDN w:val="0"/>
        <w:snapToGrid w:val="0"/>
        <w:spacing w:line="400" w:lineRule="exact"/>
        <w:rPr>
          <w:rFonts w:cs="宋体"/>
          <w:color w:val="auto"/>
        </w:rPr>
      </w:pPr>
      <w:r>
        <w:rPr>
          <w:rFonts w:hint="eastAsia" w:cs="宋体"/>
          <w:color w:val="auto"/>
        </w:rPr>
        <w:t>（2）报价超出最高限价，或者超出采购预算金额(自主创新产品除外)；</w:t>
      </w:r>
    </w:p>
    <w:p>
      <w:pPr>
        <w:pStyle w:val="26"/>
        <w:wordWrap w:val="0"/>
        <w:overflowPunct w:val="0"/>
        <w:autoSpaceDE w:val="0"/>
        <w:autoSpaceDN w:val="0"/>
        <w:snapToGrid w:val="0"/>
        <w:spacing w:line="400" w:lineRule="exact"/>
        <w:rPr>
          <w:rFonts w:cs="宋体"/>
          <w:color w:val="auto"/>
        </w:rPr>
      </w:pPr>
      <w:r>
        <w:rPr>
          <w:rFonts w:hint="eastAsia" w:cs="宋体"/>
          <w:color w:val="auto"/>
        </w:rPr>
        <w:t>（3）投标报价具有选择性，或者开标价格与投标文件承诺的优惠（折扣）价格不一致的；</w:t>
      </w:r>
    </w:p>
    <w:p>
      <w:pPr>
        <w:pStyle w:val="26"/>
        <w:wordWrap w:val="0"/>
        <w:overflowPunct w:val="0"/>
        <w:autoSpaceDE w:val="0"/>
        <w:autoSpaceDN w:val="0"/>
        <w:snapToGrid w:val="0"/>
        <w:spacing w:line="400" w:lineRule="exact"/>
        <w:ind w:firstLine="482"/>
        <w:rPr>
          <w:rFonts w:cs="宋体"/>
          <w:b/>
          <w:color w:val="auto"/>
        </w:rPr>
      </w:pPr>
      <w:r>
        <w:rPr>
          <w:rFonts w:hint="eastAsia" w:cs="宋体"/>
          <w:b/>
          <w:color w:val="auto"/>
        </w:rPr>
        <w:t>6.被拒绝的投标文件为无效；</w:t>
      </w:r>
    </w:p>
    <w:p>
      <w:pPr>
        <w:pStyle w:val="26"/>
        <w:wordWrap w:val="0"/>
        <w:overflowPunct w:val="0"/>
        <w:autoSpaceDE w:val="0"/>
        <w:autoSpaceDN w:val="0"/>
        <w:snapToGrid w:val="0"/>
        <w:spacing w:line="400" w:lineRule="exact"/>
        <w:ind w:firstLine="482"/>
        <w:rPr>
          <w:rFonts w:cs="宋体"/>
          <w:b/>
          <w:color w:val="auto"/>
        </w:rPr>
      </w:pPr>
      <w:r>
        <w:rPr>
          <w:rFonts w:hint="eastAsia" w:cs="宋体"/>
          <w:b/>
          <w:color w:val="auto"/>
        </w:rPr>
        <w:t>7.存在带“▲”条款的负偏离的；</w:t>
      </w:r>
    </w:p>
    <w:p>
      <w:pPr>
        <w:pStyle w:val="26"/>
        <w:wordWrap w:val="0"/>
        <w:overflowPunct w:val="0"/>
        <w:autoSpaceDE w:val="0"/>
        <w:autoSpaceDN w:val="0"/>
        <w:snapToGrid w:val="0"/>
        <w:spacing w:line="400" w:lineRule="exact"/>
        <w:ind w:firstLine="482"/>
        <w:rPr>
          <w:rFonts w:cs="宋体"/>
          <w:b/>
          <w:bCs/>
          <w:color w:val="auto"/>
        </w:rPr>
      </w:pPr>
      <w:r>
        <w:rPr>
          <w:rFonts w:hint="eastAsia" w:cs="宋体"/>
          <w:b/>
          <w:bCs/>
          <w:color w:val="auto"/>
        </w:rPr>
        <w:t>8.本招标文件其他部分已规定为无效标的情形；</w:t>
      </w:r>
    </w:p>
    <w:p>
      <w:pPr>
        <w:pStyle w:val="26"/>
        <w:wordWrap w:val="0"/>
        <w:overflowPunct w:val="0"/>
        <w:autoSpaceDE w:val="0"/>
        <w:autoSpaceDN w:val="0"/>
        <w:snapToGrid w:val="0"/>
        <w:spacing w:line="400" w:lineRule="exact"/>
        <w:ind w:firstLine="482"/>
        <w:rPr>
          <w:rFonts w:cs="宋体"/>
          <w:b/>
          <w:bCs/>
          <w:color w:val="auto"/>
        </w:rPr>
      </w:pPr>
      <w:r>
        <w:rPr>
          <w:rFonts w:hint="eastAsia" w:cs="宋体"/>
          <w:b/>
          <w:bCs/>
          <w:color w:val="auto"/>
        </w:rPr>
        <w:t>9.评标专家认定的其他必须按无效标处理的。</w:t>
      </w:r>
    </w:p>
    <w:p>
      <w:pPr>
        <w:pStyle w:val="26"/>
        <w:wordWrap w:val="0"/>
        <w:overflowPunct w:val="0"/>
        <w:autoSpaceDE w:val="0"/>
        <w:autoSpaceDN w:val="0"/>
        <w:snapToGrid w:val="0"/>
        <w:spacing w:line="400" w:lineRule="exact"/>
        <w:ind w:firstLine="482"/>
        <w:rPr>
          <w:rFonts w:cs="宋体"/>
          <w:b/>
          <w:bCs/>
          <w:color w:val="auto"/>
        </w:rPr>
      </w:pPr>
      <w:r>
        <w:rPr>
          <w:rFonts w:hint="eastAsia" w:cs="宋体"/>
          <w:b/>
          <w:bCs/>
          <w:color w:val="auto"/>
        </w:rPr>
        <w:t>（十）出现以下情形，导致电子交易平台无法正常运行，或者无法保证电子交易的公平、公正和安全时，中止电子交易活动：</w:t>
      </w:r>
    </w:p>
    <w:p>
      <w:pPr>
        <w:pStyle w:val="26"/>
        <w:wordWrap w:val="0"/>
        <w:overflowPunct w:val="0"/>
        <w:autoSpaceDE w:val="0"/>
        <w:autoSpaceDN w:val="0"/>
        <w:snapToGrid w:val="0"/>
        <w:spacing w:line="400" w:lineRule="exact"/>
        <w:rPr>
          <w:rFonts w:cs="宋体"/>
          <w:color w:val="auto"/>
        </w:rPr>
      </w:pPr>
      <w:r>
        <w:rPr>
          <w:rFonts w:hint="eastAsia" w:cs="宋体"/>
          <w:color w:val="auto"/>
        </w:rPr>
        <w:t>1.电子交易平台发生故障而无法登录访问的；</w:t>
      </w:r>
    </w:p>
    <w:p>
      <w:pPr>
        <w:pStyle w:val="26"/>
        <w:wordWrap w:val="0"/>
        <w:overflowPunct w:val="0"/>
        <w:autoSpaceDE w:val="0"/>
        <w:autoSpaceDN w:val="0"/>
        <w:snapToGrid w:val="0"/>
        <w:spacing w:line="400" w:lineRule="exact"/>
        <w:rPr>
          <w:rFonts w:cs="宋体"/>
          <w:color w:val="auto"/>
        </w:rPr>
      </w:pPr>
      <w:r>
        <w:rPr>
          <w:rFonts w:hint="eastAsia" w:cs="宋体"/>
          <w:color w:val="auto"/>
        </w:rPr>
        <w:t>2.电子交易平台应用或数据库出现错误，不能进行正常操作的；</w:t>
      </w:r>
    </w:p>
    <w:p>
      <w:pPr>
        <w:pStyle w:val="26"/>
        <w:wordWrap w:val="0"/>
        <w:overflowPunct w:val="0"/>
        <w:autoSpaceDE w:val="0"/>
        <w:autoSpaceDN w:val="0"/>
        <w:snapToGrid w:val="0"/>
        <w:spacing w:line="400" w:lineRule="exact"/>
        <w:rPr>
          <w:rFonts w:cs="宋体"/>
          <w:color w:val="auto"/>
        </w:rPr>
      </w:pPr>
      <w:r>
        <w:rPr>
          <w:rFonts w:hint="eastAsia" w:cs="宋体"/>
          <w:color w:val="auto"/>
        </w:rPr>
        <w:t>3.电子交易平台发现严重安全漏洞，有潜在泄密危险的；</w:t>
      </w:r>
    </w:p>
    <w:p>
      <w:pPr>
        <w:pStyle w:val="26"/>
        <w:wordWrap w:val="0"/>
        <w:overflowPunct w:val="0"/>
        <w:autoSpaceDE w:val="0"/>
        <w:autoSpaceDN w:val="0"/>
        <w:snapToGrid w:val="0"/>
        <w:spacing w:line="400" w:lineRule="exact"/>
        <w:rPr>
          <w:rFonts w:cs="宋体"/>
          <w:color w:val="auto"/>
        </w:rPr>
      </w:pPr>
      <w:r>
        <w:rPr>
          <w:rFonts w:hint="eastAsia" w:cs="宋体"/>
          <w:color w:val="auto"/>
        </w:rPr>
        <w:t>4.病毒发作导致不能进行正常操作的；</w:t>
      </w:r>
    </w:p>
    <w:p>
      <w:pPr>
        <w:pStyle w:val="26"/>
        <w:wordWrap w:val="0"/>
        <w:overflowPunct w:val="0"/>
        <w:autoSpaceDE w:val="0"/>
        <w:autoSpaceDN w:val="0"/>
        <w:snapToGrid w:val="0"/>
        <w:spacing w:line="400" w:lineRule="exact"/>
        <w:rPr>
          <w:rFonts w:cs="宋体"/>
          <w:color w:val="auto"/>
        </w:rPr>
      </w:pPr>
      <w:r>
        <w:rPr>
          <w:rFonts w:hint="eastAsia" w:cs="宋体"/>
          <w:color w:val="auto"/>
        </w:rPr>
        <w:t>5.其他无法保证电子交易的公平、公正和安全的情况。</w:t>
      </w:r>
    </w:p>
    <w:p>
      <w:pPr>
        <w:pStyle w:val="26"/>
        <w:wordWrap w:val="0"/>
        <w:overflowPunct w:val="0"/>
        <w:autoSpaceDE w:val="0"/>
        <w:autoSpaceDN w:val="0"/>
        <w:snapToGrid w:val="0"/>
        <w:spacing w:line="400" w:lineRule="exact"/>
        <w:rPr>
          <w:rFonts w:cs="宋体"/>
          <w:color w:val="auto"/>
        </w:rPr>
      </w:pPr>
      <w:r>
        <w:rPr>
          <w:rFonts w:hint="eastAsia" w:cs="宋体"/>
          <w:color w:val="auto"/>
        </w:rPr>
        <w:t>出现前款规定情形，不影响采购公平、公正性的，采购代理机构可以待上述情形消除后继续组织电子交易活动，也可以决定某些环节以纸质形式进行；影响或可能影响采购公平、公正性的，重新采购。</w:t>
      </w:r>
    </w:p>
    <w:p>
      <w:pPr>
        <w:pStyle w:val="34"/>
        <w:wordWrap w:val="0"/>
        <w:overflowPunct w:val="0"/>
        <w:autoSpaceDE w:val="0"/>
        <w:autoSpaceDN w:val="0"/>
        <w:snapToGrid w:val="0"/>
        <w:spacing w:line="400" w:lineRule="exact"/>
        <w:outlineLvl w:val="0"/>
        <w:rPr>
          <w:rFonts w:hAnsi="宋体" w:cs="宋体"/>
          <w:b/>
          <w:color w:val="auto"/>
          <w:sz w:val="28"/>
          <w:szCs w:val="28"/>
        </w:rPr>
      </w:pPr>
      <w:r>
        <w:rPr>
          <w:rFonts w:hint="eastAsia" w:hAnsi="宋体" w:cs="宋体"/>
          <w:b/>
          <w:color w:val="auto"/>
          <w:sz w:val="28"/>
          <w:szCs w:val="28"/>
        </w:rPr>
        <w:t>四、开标</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（一）开标准备</w:t>
      </w:r>
    </w:p>
    <w:p>
      <w:pPr>
        <w:wordWrap w:val="0"/>
        <w:overflowPunct w:val="0"/>
        <w:autoSpaceDE w:val="0"/>
        <w:autoSpaceDN w:val="0"/>
        <w:snapToGrid w:val="0"/>
        <w:spacing w:line="400" w:lineRule="exact"/>
        <w:ind w:firstLine="482" w:firstLineChars="200"/>
        <w:jc w:val="left"/>
        <w:rPr>
          <w:rFonts w:ascii="宋体" w:hAnsi="宋体" w:cs="宋体"/>
          <w:b/>
          <w:color w:val="auto"/>
          <w:kern w:val="0"/>
          <w:sz w:val="24"/>
        </w:rPr>
      </w:pPr>
      <w:r>
        <w:rPr>
          <w:rFonts w:hint="eastAsia" w:ascii="宋体" w:hAnsi="宋体" w:cs="宋体"/>
          <w:b/>
          <w:color w:val="auto"/>
          <w:sz w:val="24"/>
        </w:rPr>
        <w:t>采购组织机构原则上采用电子评标，按照招标文件规定的时间通过“政府采购云平台”组织开标、开启投标文件，所有供应商可以派授权代表参加或准时在线参加。</w:t>
      </w:r>
      <w:r>
        <w:rPr>
          <w:rFonts w:hint="eastAsia" w:ascii="宋体" w:hAnsi="宋体" w:cs="宋体"/>
          <w:b/>
          <w:color w:val="auto"/>
          <w:kern w:val="0"/>
          <w:sz w:val="24"/>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 xml:space="preserve"> (二) 采购人或者集中采购机构职责</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采购人或者集中采购机构负责组织评标工作，并履行下列职责：</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2.宣布评标纪律；</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3.公布投标人名单，告知评审专家应当回避的情形；</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4.组织评标委员会推选评标组长，采购人代表不得担任组长；</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5.在评标期间采取必要的通讯管理措施，保证评标活动不受外界干扰；</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6.根据评标委员会的要求介绍政府采购相关政策法规、招标文件；</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9.评审工作完成后，按照规定向评审专家支付劳务报酬和异地评审差旅费，不得向评审专家以外的其他人员支付评审劳务报酬；</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10.处理与评标有关的其他事项。</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（三）开标程序</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本项目原则上采用政采云电子招投标开标及评审程序，但有下情形之一的，按以下情况处理：</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1.开标会由采购代理机构主持，主持人宣布开标会议开始；</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 xml:space="preserve">2.主持人介绍参加开标会的人员名单； </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3.主持人宣布评标期间的有关事项；告知应当回避的情形,提请有关人员回避；</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4.电子投标文件开标:</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400" w:lineRule="exact"/>
        <w:rPr>
          <w:rFonts w:ascii="宋体" w:hAnsi="宋体" w:cs="宋体"/>
          <w:color w:val="auto"/>
          <w:sz w:val="24"/>
        </w:rPr>
      </w:pPr>
      <w:r>
        <w:rPr>
          <w:rFonts w:hint="eastAsia" w:ascii="宋体" w:hAnsi="宋体" w:cs="宋体"/>
          <w:color w:val="auto"/>
          <w:sz w:val="24"/>
        </w:rPr>
        <w:t xml:space="preserve">   （2）由采购人代表对资格审查文件进行评审，评标委员会对技术商务文件进行评审。</w:t>
      </w:r>
    </w:p>
    <w:p>
      <w:pPr>
        <w:wordWrap w:val="0"/>
        <w:overflowPunct w:val="0"/>
        <w:autoSpaceDE w:val="0"/>
        <w:autoSpaceDN w:val="0"/>
        <w:spacing w:line="400" w:lineRule="exact"/>
        <w:rPr>
          <w:rFonts w:ascii="宋体" w:hAnsi="宋体" w:cs="宋体"/>
          <w:color w:val="auto"/>
          <w:sz w:val="24"/>
        </w:rPr>
      </w:pPr>
      <w:r>
        <w:rPr>
          <w:rFonts w:hint="eastAsia" w:ascii="宋体" w:hAnsi="宋体" w:cs="宋体"/>
          <w:color w:val="auto"/>
          <w:sz w:val="24"/>
        </w:rPr>
        <w:t xml:space="preserve">   （3）在系统上公开资格审查和技术商务评审结果；</w:t>
      </w:r>
    </w:p>
    <w:p>
      <w:pPr>
        <w:wordWrap w:val="0"/>
        <w:overflowPunct w:val="0"/>
        <w:autoSpaceDE w:val="0"/>
        <w:autoSpaceDN w:val="0"/>
        <w:spacing w:line="400" w:lineRule="exact"/>
        <w:rPr>
          <w:rFonts w:ascii="宋体" w:hAnsi="宋体" w:cs="宋体"/>
          <w:color w:val="auto"/>
          <w:sz w:val="24"/>
        </w:rPr>
      </w:pPr>
      <w:r>
        <w:rPr>
          <w:rFonts w:hint="eastAsia" w:ascii="宋体" w:hAnsi="宋体" w:cs="宋体"/>
          <w:color w:val="auto"/>
          <w:sz w:val="24"/>
        </w:rPr>
        <w:t xml:space="preserve">   （4）在系统上公开报价开标情况；</w:t>
      </w:r>
    </w:p>
    <w:p>
      <w:pPr>
        <w:wordWrap w:val="0"/>
        <w:overflowPunct w:val="0"/>
        <w:autoSpaceDE w:val="0"/>
        <w:autoSpaceDN w:val="0"/>
        <w:spacing w:line="400" w:lineRule="exact"/>
        <w:rPr>
          <w:rFonts w:ascii="宋体" w:hAnsi="宋体" w:cs="宋体"/>
          <w:color w:val="auto"/>
          <w:sz w:val="24"/>
        </w:rPr>
      </w:pPr>
      <w:r>
        <w:rPr>
          <w:rFonts w:hint="eastAsia" w:ascii="宋体" w:hAnsi="宋体" w:cs="宋体"/>
          <w:color w:val="auto"/>
          <w:sz w:val="24"/>
        </w:rPr>
        <w:t xml:space="preserve">   （5）评标委员会对报价情况进行评审；</w:t>
      </w:r>
    </w:p>
    <w:p>
      <w:pPr>
        <w:wordWrap w:val="0"/>
        <w:overflowPunct w:val="0"/>
        <w:autoSpaceDE w:val="0"/>
        <w:autoSpaceDN w:val="0"/>
        <w:spacing w:line="400" w:lineRule="exact"/>
        <w:rPr>
          <w:rFonts w:ascii="宋体" w:hAnsi="宋体" w:cs="宋体"/>
          <w:color w:val="auto"/>
          <w:sz w:val="24"/>
        </w:rPr>
      </w:pPr>
      <w:r>
        <w:rPr>
          <w:rFonts w:hint="eastAsia" w:ascii="宋体" w:hAnsi="宋体" w:cs="宋体"/>
          <w:color w:val="auto"/>
          <w:sz w:val="24"/>
        </w:rPr>
        <w:t xml:space="preserve">   （6）在系统上公布评审结果。</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特别说明：政采云公司如对电子化开标及评审程序有调整的，按调整后的程序操作。</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五、评标</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（一）</w:t>
      </w:r>
      <w:r>
        <w:rPr>
          <w:rFonts w:hint="eastAsia" w:hAnsi="宋体" w:cs="宋体"/>
          <w:b/>
          <w:bCs/>
          <w:color w:val="auto"/>
          <w:sz w:val="24"/>
          <w:szCs w:val="24"/>
        </w:rPr>
        <w:t>组建评标委员会</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本项目评标委员会由采购人代表和相关专业专家组成。评标委员会负责具体评标事务，并独立履行下列职责：</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1.审查、评价投标文件是否符合招标文件的商务、技术等实质性要求；</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2.要求投标人对投标文件有关事项作出澄清或者说明；</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3.对投标文件进行比较和评价；</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4.确定中标候选人名单，以及根据采购人委托直接确定中标人；</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5.向采购人、集中采购机构或者有关部门报告评标中发现的违法行为。</w:t>
      </w:r>
    </w:p>
    <w:p>
      <w:pPr>
        <w:wordWrap w:val="0"/>
        <w:overflowPunct w:val="0"/>
        <w:autoSpaceDE w:val="0"/>
        <w:autoSpaceDN w:val="0"/>
        <w:spacing w:line="400" w:lineRule="exact"/>
        <w:ind w:firstLine="482" w:firstLineChars="200"/>
        <w:rPr>
          <w:rFonts w:ascii="宋体" w:hAnsi="宋体" w:cs="宋体"/>
          <w:b/>
          <w:color w:val="auto"/>
          <w:sz w:val="24"/>
          <w:u w:val="single"/>
        </w:rPr>
      </w:pPr>
      <w:r>
        <w:rPr>
          <w:rFonts w:hint="eastAsia" w:ascii="宋体" w:hAnsi="宋体" w:cs="宋体"/>
          <w:b/>
          <w:color w:val="auto"/>
          <w:sz w:val="24"/>
          <w:u w:val="single"/>
        </w:rPr>
        <w:t>除采购人代表、评标现场组织人员外，采购人的其他工作人员以及与评标工作无关的人员不得进入评标现场。</w:t>
      </w:r>
    </w:p>
    <w:p>
      <w:pPr>
        <w:pStyle w:val="34"/>
        <w:wordWrap w:val="0"/>
        <w:overflowPunct w:val="0"/>
        <w:autoSpaceDE w:val="0"/>
        <w:autoSpaceDN w:val="0"/>
        <w:snapToGrid w:val="0"/>
        <w:spacing w:line="400" w:lineRule="exact"/>
        <w:rPr>
          <w:rFonts w:hAnsi="宋体" w:cs="宋体"/>
          <w:b/>
          <w:bCs/>
          <w:color w:val="auto"/>
          <w:sz w:val="24"/>
          <w:szCs w:val="24"/>
        </w:rPr>
      </w:pPr>
      <w:r>
        <w:rPr>
          <w:rFonts w:hint="eastAsia" w:hAnsi="宋体" w:cs="宋体"/>
          <w:b/>
          <w:color w:val="auto"/>
          <w:sz w:val="24"/>
          <w:szCs w:val="24"/>
        </w:rPr>
        <w:t>（二）</w:t>
      </w:r>
      <w:r>
        <w:rPr>
          <w:rFonts w:hint="eastAsia" w:hAnsi="宋体" w:cs="宋体"/>
          <w:b/>
          <w:bCs/>
          <w:color w:val="auto"/>
          <w:sz w:val="24"/>
          <w:szCs w:val="24"/>
        </w:rPr>
        <w:t>评标的方式</w:t>
      </w:r>
    </w:p>
    <w:p>
      <w:pPr>
        <w:pStyle w:val="34"/>
        <w:wordWrap w:val="0"/>
        <w:overflowPunct w:val="0"/>
        <w:autoSpaceDE w:val="0"/>
        <w:autoSpaceDN w:val="0"/>
        <w:snapToGrid w:val="0"/>
        <w:spacing w:line="400" w:lineRule="exact"/>
        <w:rPr>
          <w:rFonts w:hAnsi="宋体" w:cs="宋体"/>
          <w:color w:val="auto"/>
          <w:sz w:val="24"/>
          <w:szCs w:val="24"/>
        </w:rPr>
      </w:pPr>
      <w:r>
        <w:rPr>
          <w:rFonts w:hint="eastAsia" w:hAnsi="宋体" w:cs="宋体"/>
          <w:color w:val="auto"/>
          <w:sz w:val="24"/>
          <w:szCs w:val="24"/>
        </w:rPr>
        <w:t xml:space="preserve">     本项目采用不公开方式评标，评标的依据为招标文件和投标文件。</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（三）评标程序</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400" w:lineRule="exact"/>
        <w:ind w:firstLine="482" w:firstLineChars="200"/>
        <w:rPr>
          <w:rFonts w:ascii="宋体" w:hAnsi="宋体" w:cs="宋体"/>
          <w:b/>
          <w:bCs/>
          <w:color w:val="auto"/>
          <w:sz w:val="24"/>
        </w:rPr>
      </w:pPr>
      <w:r>
        <w:rPr>
          <w:rFonts w:hint="eastAsia" w:ascii="宋体" w:hAnsi="宋体" w:cs="宋体"/>
          <w:b/>
          <w:bCs/>
          <w:color w:val="auto"/>
          <w:sz w:val="24"/>
        </w:rPr>
        <w:t>1.形式审查</w:t>
      </w:r>
    </w:p>
    <w:p>
      <w:pPr>
        <w:wordWrap w:val="0"/>
        <w:overflowPunct w:val="0"/>
        <w:autoSpaceDE w:val="0"/>
        <w:autoSpaceDN w:val="0"/>
        <w:snapToGrid w:val="0"/>
        <w:spacing w:line="400" w:lineRule="exact"/>
        <w:ind w:firstLine="480" w:firstLineChars="200"/>
        <w:rPr>
          <w:rFonts w:ascii="宋体" w:hAnsi="宋体" w:cs="宋体"/>
          <w:b/>
          <w:color w:val="auto"/>
          <w:sz w:val="24"/>
        </w:rPr>
      </w:pPr>
      <w:r>
        <w:rPr>
          <w:rFonts w:hint="eastAsia" w:ascii="宋体" w:hAnsi="宋体" w:cs="宋体"/>
          <w:color w:val="auto"/>
          <w:sz w:val="24"/>
        </w:rPr>
        <w:t>采购人代表和代理机构工作人员协助评标委员会对投标人的资格和投标文件的完整性、合法性等进行审查。</w:t>
      </w:r>
    </w:p>
    <w:p>
      <w:pPr>
        <w:wordWrap w:val="0"/>
        <w:overflowPunct w:val="0"/>
        <w:autoSpaceDE w:val="0"/>
        <w:autoSpaceDN w:val="0"/>
        <w:snapToGrid w:val="0"/>
        <w:spacing w:line="400" w:lineRule="exact"/>
        <w:ind w:firstLine="482" w:firstLineChars="200"/>
        <w:rPr>
          <w:rFonts w:ascii="宋体" w:hAnsi="宋体" w:cs="宋体"/>
          <w:b/>
          <w:bCs/>
          <w:color w:val="auto"/>
          <w:sz w:val="24"/>
        </w:rPr>
      </w:pPr>
      <w:r>
        <w:rPr>
          <w:rFonts w:hint="eastAsia" w:ascii="宋体" w:hAnsi="宋体" w:cs="宋体"/>
          <w:b/>
          <w:bCs/>
          <w:color w:val="auto"/>
          <w:sz w:val="24"/>
        </w:rPr>
        <w:t>2.实质审查与比较</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（1）评标委员会审查投标文件的实质性内容是否符合招标文件的实质性要求。</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（3）各投标人的技术得分为所有评委的有效评分的算术平均数，由指定专人进行计算复核。</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（4）嘉善县公共资源交易中心工作人员协助评标委员会根据本项目的评分标准计算各投标人的商务报价得分。</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（5）评标委员会完成评标后,评委对各部分得分汇总,计算出本项目最终得分、性价比、评标价等。评标委员会按评标原则推荐中标候选人同时起草评标报告。</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（四）澄清问题的形式</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400" w:lineRule="exact"/>
        <w:ind w:firstLine="480" w:firstLineChars="200"/>
        <w:rPr>
          <w:rFonts w:ascii="宋体" w:hAnsi="宋体" w:cs="宋体"/>
          <w:color w:val="auto"/>
          <w:sz w:val="24"/>
        </w:rPr>
      </w:pPr>
      <w:r>
        <w:rPr>
          <w:rFonts w:hint="eastAsia" w:ascii="宋体" w:hAnsi="宋体" w:cs="宋体"/>
          <w:color w:val="auto"/>
          <w:sz w:val="24"/>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2.如果供应商代表拒绝或未按评标委员会要求在“政采云”平台作出在线回复且无其他有效回复方式的，评标委员会可以对其作出无效标处理。</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（五）</w:t>
      </w:r>
      <w:r>
        <w:rPr>
          <w:rFonts w:hint="eastAsia" w:hAnsi="宋体" w:cs="宋体"/>
          <w:b/>
          <w:bCs/>
          <w:color w:val="auto"/>
          <w:sz w:val="24"/>
          <w:szCs w:val="24"/>
        </w:rPr>
        <w:t>错误修正</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投标文件报价出现前后不一致的，除招标文件另有规定外按照下列规定修正：</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1.投标文件中开标一览表（报价表）内容与投标文件中相应内容不一致的，以开标一览表（报价表）为准；</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2.大写金额和小写金额不一致的，以大写金额为准；</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3.单价金额小数点或者百分比有明显错位的，以开标一览表的总价为准，并修改单价；</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4.总价金额与按单价汇总金额不一致的，以单价金额计算结果为准；</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5.电子投标流程中，客户端填写的报价与以pdf格式上传文件中的报价不一致的，应以Pdf格式上传文件中的报价为准。</w:t>
      </w:r>
    </w:p>
    <w:p>
      <w:pPr>
        <w:pStyle w:val="34"/>
        <w:wordWrap w:val="0"/>
        <w:overflowPunct w:val="0"/>
        <w:autoSpaceDE w:val="0"/>
        <w:autoSpaceDN w:val="0"/>
        <w:snapToGrid w:val="0"/>
        <w:spacing w:line="400" w:lineRule="exact"/>
        <w:ind w:firstLine="482" w:firstLineChars="200"/>
        <w:rPr>
          <w:rFonts w:hAnsi="宋体" w:cs="宋体"/>
          <w:b/>
          <w:bCs/>
          <w:color w:val="auto"/>
          <w:sz w:val="24"/>
          <w:szCs w:val="24"/>
        </w:rPr>
      </w:pPr>
      <w:r>
        <w:rPr>
          <w:rFonts w:hint="eastAsia" w:hAnsi="宋体" w:cs="宋体"/>
          <w:b/>
          <w:bCs/>
          <w:color w:val="auto"/>
          <w:sz w:val="24"/>
          <w:szCs w:val="24"/>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（六）</w:t>
      </w:r>
      <w:r>
        <w:rPr>
          <w:rFonts w:hint="eastAsia" w:hAnsi="宋体" w:cs="宋体"/>
          <w:b/>
          <w:bCs/>
          <w:color w:val="auto"/>
          <w:sz w:val="24"/>
          <w:szCs w:val="24"/>
        </w:rPr>
        <w:t>评标原则和评标办法</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2.评标办法。本项目评标办法是</w:t>
      </w:r>
      <w:r>
        <w:rPr>
          <w:rFonts w:hint="eastAsia" w:ascii="宋体" w:hAnsi="宋体" w:cs="宋体"/>
          <w:color w:val="auto"/>
          <w:sz w:val="24"/>
          <w:u w:val="single"/>
        </w:rPr>
        <w:t xml:space="preserve"> 综合评分法 </w:t>
      </w:r>
      <w:r>
        <w:rPr>
          <w:rFonts w:hint="eastAsia" w:ascii="宋体" w:hAnsi="宋体" w:cs="宋体"/>
          <w:color w:val="auto"/>
          <w:sz w:val="24"/>
        </w:rPr>
        <w:t>，具体评标内容及评分标准等详见《第四章：评标办法及评分标准》。</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（七）</w:t>
      </w:r>
      <w:r>
        <w:rPr>
          <w:rFonts w:hint="eastAsia" w:hAnsi="宋体" w:cs="宋体"/>
          <w:b/>
          <w:bCs/>
          <w:color w:val="auto"/>
          <w:sz w:val="24"/>
          <w:szCs w:val="24"/>
        </w:rPr>
        <w:t>评标过程的监控</w:t>
      </w:r>
    </w:p>
    <w:p>
      <w:pPr>
        <w:pStyle w:val="34"/>
        <w:wordWrap w:val="0"/>
        <w:overflowPunct w:val="0"/>
        <w:autoSpaceDE w:val="0"/>
        <w:autoSpaceDN w:val="0"/>
        <w:snapToGrid w:val="0"/>
        <w:spacing w:line="400" w:lineRule="exact"/>
        <w:ind w:firstLine="480" w:firstLineChars="200"/>
        <w:rPr>
          <w:rFonts w:hAnsi="宋体" w:cs="宋体"/>
          <w:color w:val="auto"/>
          <w:sz w:val="24"/>
          <w:szCs w:val="24"/>
        </w:rPr>
      </w:pPr>
      <w:r>
        <w:rPr>
          <w:rFonts w:hint="eastAsia" w:hAnsi="宋体" w:cs="宋体"/>
          <w:color w:val="auto"/>
          <w:sz w:val="24"/>
          <w:szCs w:val="24"/>
        </w:rPr>
        <w:t>本项目评标过程实行全程录音、录像监控，且有</w:t>
      </w:r>
      <w:r>
        <w:rPr>
          <w:rFonts w:hint="eastAsia" w:hAnsi="宋体" w:cs="宋体"/>
          <w:color w:val="auto"/>
          <w:sz w:val="24"/>
          <w:szCs w:val="24"/>
          <w:u w:val="single"/>
        </w:rPr>
        <w:t xml:space="preserve"> 嘉善县公证处 </w:t>
      </w:r>
      <w:r>
        <w:rPr>
          <w:rFonts w:hint="eastAsia" w:hAnsi="宋体" w:cs="宋体"/>
          <w:color w:val="auto"/>
          <w:sz w:val="24"/>
          <w:szCs w:val="24"/>
        </w:rPr>
        <w:t>进行现场公证，投标人在评标过程中所进行的试图影响评标结果的不公正活动，可能导致其投标被拒绝。</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六、定标</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如有投标人对评标结果提出质疑的，采购人可在质疑处理完毕后确定中标人。</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3.采购人依法确定中标人后2个工作日内，采购代理机构以书面形式发出《中标通知书》,并同时在相关网站上发布中标公告。</w:t>
      </w:r>
    </w:p>
    <w:p>
      <w:pPr>
        <w:pStyle w:val="34"/>
        <w:wordWrap w:val="0"/>
        <w:overflowPunct w:val="0"/>
        <w:autoSpaceDE w:val="0"/>
        <w:autoSpaceDN w:val="0"/>
        <w:snapToGrid w:val="0"/>
        <w:spacing w:line="400" w:lineRule="exact"/>
        <w:outlineLvl w:val="0"/>
        <w:rPr>
          <w:rFonts w:hAnsi="宋体" w:cs="宋体"/>
          <w:b/>
          <w:color w:val="auto"/>
          <w:sz w:val="24"/>
          <w:szCs w:val="24"/>
        </w:rPr>
      </w:pPr>
      <w:r>
        <w:rPr>
          <w:rFonts w:hint="eastAsia" w:hAnsi="宋体" w:cs="宋体"/>
          <w:b/>
          <w:color w:val="auto"/>
          <w:sz w:val="24"/>
          <w:szCs w:val="24"/>
        </w:rPr>
        <w:t>七、合同授予</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（一）签订合同</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1.采购人与中标人应当在《中标通知书》发出之日起30日内签订政府采购合同。同时，集中采购机构对合同内容进行审查，如发现与采购结果和投标承诺内容不一致的，将予以纠正。</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2.中标人拖延、拒签合同的,将被列入不良行为记录或黑名单，由此产生的一切不利后果由中标人自行承担。</w:t>
      </w:r>
    </w:p>
    <w:p>
      <w:pPr>
        <w:pStyle w:val="34"/>
        <w:wordWrap w:val="0"/>
        <w:overflowPunct w:val="0"/>
        <w:autoSpaceDE w:val="0"/>
        <w:autoSpaceDN w:val="0"/>
        <w:snapToGrid w:val="0"/>
        <w:spacing w:line="400" w:lineRule="exact"/>
        <w:rPr>
          <w:rFonts w:hAnsi="宋体" w:cs="宋体"/>
          <w:b/>
          <w:color w:val="auto"/>
          <w:sz w:val="24"/>
          <w:szCs w:val="24"/>
        </w:rPr>
      </w:pPr>
      <w:r>
        <w:rPr>
          <w:rFonts w:hint="eastAsia" w:hAnsi="宋体" w:cs="宋体"/>
          <w:b/>
          <w:color w:val="auto"/>
          <w:sz w:val="24"/>
          <w:szCs w:val="24"/>
        </w:rPr>
        <w:t>（二）履约保证金</w:t>
      </w:r>
    </w:p>
    <w:p>
      <w:pPr>
        <w:wordWrap w:val="0"/>
        <w:overflowPunct w:val="0"/>
        <w:autoSpaceDE w:val="0"/>
        <w:autoSpaceDN w:val="0"/>
        <w:snapToGrid w:val="0"/>
        <w:spacing w:line="400" w:lineRule="exact"/>
        <w:ind w:firstLine="480" w:firstLineChars="200"/>
        <w:rPr>
          <w:rFonts w:ascii="宋体" w:hAnsi="宋体" w:cs="宋体"/>
          <w:color w:val="auto"/>
          <w:sz w:val="24"/>
        </w:rPr>
      </w:pPr>
      <w:r>
        <w:rPr>
          <w:rFonts w:hint="eastAsia" w:ascii="宋体" w:hAnsi="宋体" w:cs="宋体"/>
          <w:color w:val="auto"/>
          <w:sz w:val="24"/>
        </w:rPr>
        <w:t>1.中标人应按照与采购人约定的履约保证金金额，向采购人交纳履约保证金，中标人可以银行、保险公司出具保函形式提交履约保证金；否则，由此产生的一切不利后果由中标人自行承担。</w:t>
      </w:r>
    </w:p>
    <w:p>
      <w:pPr>
        <w:tabs>
          <w:tab w:val="left" w:pos="0"/>
        </w:tabs>
        <w:spacing w:line="360" w:lineRule="auto"/>
        <w:ind w:firstLine="480"/>
        <w:rPr>
          <w:rFonts w:ascii="仿宋_GB2312" w:hAnsi="仿宋" w:eastAsia="仿宋_GB2312" w:cs="仿宋_GB2312"/>
          <w:color w:val="auto"/>
          <w:sz w:val="18"/>
          <w:szCs w:val="18"/>
        </w:rPr>
      </w:pPr>
      <w:r>
        <w:rPr>
          <w:rFonts w:hint="eastAsia" w:ascii="宋体" w:hAnsi="宋体" w:cs="宋体"/>
          <w:color w:val="auto"/>
          <w:sz w:val="24"/>
        </w:rPr>
        <w:t>2.签订合同后，如中标人不按双方合同约定履约，则没收其全部履约保证金，履约保证金不足以赔偿损失的，按实际损失赔偿。</w:t>
      </w:r>
    </w:p>
    <w:bookmarkEnd w:id="15"/>
    <w:p>
      <w:pPr>
        <w:tabs>
          <w:tab w:val="left" w:pos="0"/>
        </w:tabs>
        <w:spacing w:line="360" w:lineRule="auto"/>
        <w:ind w:firstLine="480"/>
        <w:rPr>
          <w:rFonts w:ascii="仿宋_GB2312" w:hAnsi="仿宋" w:eastAsia="仿宋_GB2312" w:cs="Helvetica"/>
          <w:color w:val="auto"/>
          <w:kern w:val="0"/>
          <w:sz w:val="24"/>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21" w:name="_Hlt68072990"/>
      <w:bookmarkEnd w:id="21"/>
      <w:bookmarkStart w:id="22" w:name="_Hlt75236011"/>
      <w:bookmarkEnd w:id="22"/>
      <w:bookmarkStart w:id="23" w:name="_Hlt74729768"/>
      <w:bookmarkEnd w:id="23"/>
      <w:bookmarkStart w:id="24" w:name="_Hlt68403820"/>
      <w:bookmarkEnd w:id="24"/>
      <w:bookmarkStart w:id="25" w:name="_Hlt68057669"/>
      <w:bookmarkEnd w:id="25"/>
      <w:bookmarkStart w:id="26" w:name="_Hlt74707468"/>
      <w:bookmarkEnd w:id="26"/>
      <w:bookmarkStart w:id="27" w:name="_Hlt75236101"/>
      <w:bookmarkEnd w:id="27"/>
      <w:bookmarkStart w:id="28" w:name="_Hlt74730295"/>
      <w:bookmarkEnd w:id="28"/>
      <w:bookmarkStart w:id="29" w:name="_Hlt74714665"/>
      <w:bookmarkEnd w:id="29"/>
      <w:bookmarkStart w:id="30" w:name="_Hlt68073093"/>
      <w:bookmarkEnd w:id="30"/>
      <w:bookmarkStart w:id="31" w:name="_Hlt75236290"/>
      <w:bookmarkEnd w:id="31"/>
      <w:bookmarkStart w:id="32" w:name="_Hlt68072998"/>
      <w:bookmarkEnd w:id="32"/>
    </w:p>
    <w:bookmarkEnd w:id="16"/>
    <w:bookmarkEnd w:id="17"/>
    <w:p>
      <w:pPr>
        <w:snapToGrid w:val="0"/>
        <w:spacing w:line="360" w:lineRule="auto"/>
        <w:jc w:val="center"/>
        <w:rPr>
          <w:rFonts w:ascii="仿宋" w:hAnsi="仿宋" w:eastAsia="仿宋" w:cs="仿宋_GB2312"/>
          <w:b/>
          <w:color w:val="auto"/>
          <w:sz w:val="36"/>
          <w:szCs w:val="36"/>
        </w:rPr>
      </w:pPr>
      <w:bookmarkStart w:id="33" w:name="第四部分"/>
      <w:r>
        <w:rPr>
          <w:rFonts w:hint="eastAsia" w:ascii="仿宋" w:hAnsi="仿宋" w:eastAsia="仿宋" w:cs="仿宋_GB2312"/>
          <w:b/>
          <w:color w:val="auto"/>
          <w:sz w:val="36"/>
          <w:szCs w:val="36"/>
        </w:rPr>
        <w:t>第四章 评标办法及评分标准</w:t>
      </w:r>
    </w:p>
    <w:bookmarkEnd w:id="33"/>
    <w:p>
      <w:pPr>
        <w:spacing w:line="480" w:lineRule="exact"/>
        <w:ind w:firstLine="420"/>
        <w:rPr>
          <w:rFonts w:ascii="宋体" w:hAnsi="宋体" w:cs="宋体"/>
          <w:color w:val="auto"/>
          <w:sz w:val="24"/>
        </w:rPr>
      </w:pPr>
      <w:bookmarkStart w:id="34" w:name="_Toc406403000"/>
      <w:r>
        <w:rPr>
          <w:rFonts w:hint="eastAsia" w:ascii="宋体" w:hAnsi="宋体" w:cs="宋体"/>
          <w:color w:val="auto"/>
          <w:sz w:val="24"/>
        </w:rPr>
        <w:t>为公正、公平、科学地选择中标人，根据《中华人民共和国政府采购法》等有关法律法规的规定，并结合本项目的实际，制定本办法。</w:t>
      </w:r>
    </w:p>
    <w:p>
      <w:pPr>
        <w:pStyle w:val="55"/>
        <w:spacing w:line="480" w:lineRule="exact"/>
        <w:rPr>
          <w:rFonts w:ascii="宋体" w:hAnsi="宋体" w:cs="宋体"/>
          <w:color w:val="auto"/>
          <w:sz w:val="24"/>
        </w:rPr>
      </w:pPr>
      <w:r>
        <w:rPr>
          <w:rFonts w:hint="eastAsia" w:ascii="宋体" w:hAnsi="宋体" w:cs="宋体"/>
          <w:color w:val="auto"/>
          <w:sz w:val="24"/>
        </w:rPr>
        <w:t>本办法适用于</w:t>
      </w:r>
      <w:r>
        <w:rPr>
          <w:rFonts w:hint="eastAsia" w:ascii="宋体" w:hAnsi="宋体" w:cs="宋体"/>
          <w:color w:val="auto"/>
          <w:sz w:val="24"/>
          <w:lang w:eastAsia="zh-CN"/>
        </w:rPr>
        <w:t>嘉善信息技术工程学校物联网智能交互设备采购</w:t>
      </w:r>
      <w:r>
        <w:rPr>
          <w:rFonts w:hint="eastAsia" w:ascii="宋体" w:hAnsi="宋体" w:cs="宋体"/>
          <w:color w:val="auto"/>
          <w:sz w:val="24"/>
        </w:rPr>
        <w:t>项目的评标。</w:t>
      </w:r>
    </w:p>
    <w:p>
      <w:pPr>
        <w:spacing w:line="480" w:lineRule="exact"/>
        <w:rPr>
          <w:rFonts w:ascii="宋体" w:hAnsi="宋体" w:cs="宋体"/>
          <w:b/>
          <w:color w:val="auto"/>
          <w:sz w:val="24"/>
        </w:rPr>
      </w:pPr>
      <w:r>
        <w:rPr>
          <w:rFonts w:hint="eastAsia" w:ascii="宋体" w:hAnsi="宋体" w:cs="宋体"/>
          <w:b/>
          <w:color w:val="auto"/>
          <w:sz w:val="24"/>
        </w:rPr>
        <w:t>一 、总则</w:t>
      </w:r>
    </w:p>
    <w:p>
      <w:pPr>
        <w:snapToGrid w:val="0"/>
        <w:spacing w:line="480" w:lineRule="exact"/>
        <w:ind w:firstLine="480" w:firstLineChars="200"/>
        <w:rPr>
          <w:rFonts w:ascii="宋体" w:hAnsi="宋体"/>
          <w:color w:val="auto"/>
          <w:sz w:val="24"/>
        </w:rPr>
      </w:pPr>
      <w:r>
        <w:rPr>
          <w:rFonts w:hint="eastAsia" w:ascii="宋体" w:hAnsi="宋体"/>
          <w:color w:val="auto"/>
          <w:sz w:val="24"/>
        </w:rPr>
        <w:t>本次评标采用综合评分法，总分为100分，其中价格分30分、商务技术70分（其中：商务资信分</w:t>
      </w:r>
      <w:r>
        <w:rPr>
          <w:rFonts w:hint="eastAsia" w:ascii="宋体" w:hAnsi="宋体"/>
          <w:color w:val="auto"/>
          <w:sz w:val="24"/>
          <w:lang w:val="en-US" w:eastAsia="zh-CN"/>
        </w:rPr>
        <w:t>9</w:t>
      </w:r>
      <w:r>
        <w:rPr>
          <w:rFonts w:hint="eastAsia" w:ascii="宋体" w:hAnsi="宋体"/>
          <w:color w:val="auto"/>
          <w:sz w:val="24"/>
        </w:rPr>
        <w:t>分，技术分</w:t>
      </w:r>
      <w:r>
        <w:rPr>
          <w:rFonts w:hint="eastAsia" w:ascii="宋体" w:hAnsi="宋体"/>
          <w:color w:val="auto"/>
          <w:sz w:val="24"/>
          <w:lang w:val="en-US" w:eastAsia="zh-CN"/>
        </w:rPr>
        <w:t>61</w:t>
      </w:r>
      <w:r>
        <w:rPr>
          <w:rFonts w:hint="eastAsia" w:ascii="宋体" w:hAnsi="宋体"/>
          <w:color w:val="auto"/>
          <w:sz w:val="24"/>
        </w:rPr>
        <w:t>分）。中标候选资格按评标综合得分由高到低顺序排列，得分相同的，按投标报价由低到高顺序排列；得分且投标报价相同的，按技术分得分总分由高到低顺序排列，仍不能分出前后的，以电子投标文件解密先后顺序确定。评分过程中采用四舍五入法，并保留小数 2 位。</w:t>
      </w:r>
    </w:p>
    <w:p>
      <w:pPr>
        <w:snapToGrid w:val="0"/>
        <w:spacing w:line="480" w:lineRule="exact"/>
        <w:ind w:firstLine="480" w:firstLineChars="200"/>
        <w:rPr>
          <w:rFonts w:ascii="宋体" w:hAnsi="宋体"/>
          <w:color w:val="auto"/>
          <w:sz w:val="24"/>
        </w:rPr>
      </w:pPr>
      <w:r>
        <w:rPr>
          <w:rFonts w:hint="eastAsia" w:ascii="宋体" w:hAnsi="宋体"/>
          <w:color w:val="auto"/>
          <w:sz w:val="24"/>
        </w:rPr>
        <w:t>投标人评标综合得分=价格分+商务技术分</w:t>
      </w:r>
    </w:p>
    <w:p>
      <w:pPr>
        <w:spacing w:line="480" w:lineRule="exact"/>
        <w:rPr>
          <w:rFonts w:ascii="宋体" w:hAnsi="宋体"/>
          <w:b/>
          <w:color w:val="auto"/>
          <w:sz w:val="24"/>
        </w:rPr>
      </w:pPr>
      <w:r>
        <w:rPr>
          <w:rFonts w:hint="eastAsia" w:ascii="宋体" w:hAnsi="宋体"/>
          <w:b/>
          <w:color w:val="auto"/>
          <w:sz w:val="24"/>
        </w:rPr>
        <w:t>二</w:t>
      </w:r>
      <w:r>
        <w:rPr>
          <w:rFonts w:ascii="宋体" w:hAnsi="宋体"/>
          <w:b/>
          <w:color w:val="auto"/>
          <w:sz w:val="24"/>
        </w:rPr>
        <w:t xml:space="preserve"> </w:t>
      </w:r>
      <w:r>
        <w:rPr>
          <w:rFonts w:hint="eastAsia" w:ascii="宋体" w:hAnsi="宋体"/>
          <w:b/>
          <w:color w:val="auto"/>
          <w:sz w:val="24"/>
        </w:rPr>
        <w:t>、评标内容及标准</w:t>
      </w:r>
    </w:p>
    <w:p>
      <w:pPr>
        <w:pStyle w:val="26"/>
        <w:ind w:firstLine="482"/>
        <w:rPr>
          <w:b/>
          <w:bCs/>
          <w:color w:val="auto"/>
        </w:rPr>
      </w:pPr>
      <w:r>
        <w:rPr>
          <w:b/>
          <w:color w:val="auto"/>
        </w:rPr>
        <w:t>（一）</w:t>
      </w:r>
      <w:r>
        <w:rPr>
          <w:b/>
          <w:bCs/>
          <w:color w:val="auto"/>
        </w:rPr>
        <w:t>价格分（</w:t>
      </w:r>
      <w:r>
        <w:rPr>
          <w:rFonts w:hint="eastAsia"/>
          <w:b/>
          <w:bCs/>
          <w:color w:val="auto"/>
        </w:rPr>
        <w:t>30分）</w:t>
      </w:r>
    </w:p>
    <w:p>
      <w:pPr>
        <w:pStyle w:val="26"/>
        <w:rPr>
          <w:color w:val="auto"/>
        </w:rPr>
      </w:pPr>
      <w:r>
        <w:rPr>
          <w:rFonts w:hint="eastAsia"/>
          <w:color w:val="auto"/>
        </w:rPr>
        <w:t>1.价格分采用低价优先法计算，即满足招标文件要求且投标价格最低的投标报价为评标基准价，其他投标人的价格分按照下列公式计算：</w:t>
      </w:r>
    </w:p>
    <w:p>
      <w:pPr>
        <w:spacing w:line="480" w:lineRule="exact"/>
        <w:ind w:firstLine="480" w:firstLineChars="200"/>
        <w:rPr>
          <w:rFonts w:ascii="宋体" w:hAnsi="宋体"/>
          <w:color w:val="auto"/>
          <w:sz w:val="24"/>
        </w:rPr>
      </w:pPr>
      <w:r>
        <w:rPr>
          <w:rFonts w:hint="eastAsia" w:ascii="宋体" w:hAnsi="宋体"/>
          <w:color w:val="auto"/>
          <w:sz w:val="24"/>
        </w:rPr>
        <w:t>价格分=（评标基准价/投标报价）×30%×100</w:t>
      </w:r>
    </w:p>
    <w:p>
      <w:pPr>
        <w:spacing w:line="480" w:lineRule="exact"/>
        <w:ind w:firstLine="480" w:firstLineChars="200"/>
        <w:rPr>
          <w:rFonts w:hAnsi="宋体"/>
          <w:bCs/>
          <w:color w:val="auto"/>
          <w:sz w:val="24"/>
        </w:rPr>
      </w:pPr>
      <w:r>
        <w:rPr>
          <w:rFonts w:hint="eastAsia" w:hAnsi="宋体"/>
          <w:bCs/>
          <w:color w:val="auto"/>
          <w:sz w:val="24"/>
        </w:rPr>
        <w:t>2.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spacing w:beforeLines="50" w:afterLines="50" w:line="360" w:lineRule="auto"/>
        <w:ind w:firstLine="482"/>
        <w:rPr>
          <w:rFonts w:cs="宋体"/>
          <w:b/>
          <w:color w:val="auto"/>
        </w:rPr>
      </w:pPr>
      <w:r>
        <w:rPr>
          <w:rFonts w:hint="eastAsia" w:cs="宋体"/>
          <w:b/>
          <w:color w:val="auto"/>
        </w:rPr>
        <w:t>（二）商务资信分（</w:t>
      </w:r>
      <w:r>
        <w:rPr>
          <w:rFonts w:hint="eastAsia" w:cs="宋体"/>
          <w:b/>
          <w:color w:val="auto"/>
          <w:lang w:val="en-US" w:eastAsia="zh-CN"/>
        </w:rPr>
        <w:t>9</w:t>
      </w:r>
      <w:r>
        <w:rPr>
          <w:rFonts w:hint="eastAsia" w:cs="宋体"/>
          <w:b/>
          <w:color w:val="auto"/>
        </w:rPr>
        <w:t>分）</w:t>
      </w:r>
    </w:p>
    <w:tbl>
      <w:tblPr>
        <w:tblStyle w:val="63"/>
        <w:tblW w:w="10291" w:type="dxa"/>
        <w:jc w:val="center"/>
        <w:tblLayout w:type="fixed"/>
        <w:tblCellMar>
          <w:top w:w="0" w:type="dxa"/>
          <w:left w:w="108" w:type="dxa"/>
          <w:bottom w:w="0" w:type="dxa"/>
          <w:right w:w="108" w:type="dxa"/>
        </w:tblCellMar>
      </w:tblPr>
      <w:tblGrid>
        <w:gridCol w:w="1022"/>
        <w:gridCol w:w="982"/>
        <w:gridCol w:w="6068"/>
        <w:gridCol w:w="846"/>
        <w:gridCol w:w="1373"/>
      </w:tblGrid>
      <w:tr>
        <w:tblPrEx>
          <w:tblCellMar>
            <w:top w:w="0" w:type="dxa"/>
            <w:left w:w="108" w:type="dxa"/>
            <w:bottom w:w="0" w:type="dxa"/>
            <w:right w:w="108" w:type="dxa"/>
          </w:tblCellMar>
        </w:tblPrEx>
        <w:trPr>
          <w:trHeight w:val="1760" w:hRule="exact"/>
          <w:jc w:val="center"/>
        </w:trPr>
        <w:tc>
          <w:tcPr>
            <w:tcW w:w="1022" w:type="dxa"/>
            <w:vMerge w:val="restart"/>
            <w:tcBorders>
              <w:top w:val="single" w:color="auto" w:sz="4" w:space="0"/>
              <w:left w:val="single" w:color="auto" w:sz="4" w:space="0"/>
              <w:bottom w:val="single" w:color="auto" w:sz="4" w:space="0"/>
              <w:right w:val="single" w:color="auto" w:sz="4" w:space="0"/>
            </w:tcBorders>
            <w:vAlign w:val="center"/>
          </w:tcPr>
          <w:p>
            <w:pPr>
              <w:pStyle w:val="838"/>
              <w:widowControl/>
              <w:tabs>
                <w:tab w:val="left" w:pos="0"/>
                <w:tab w:val="clear" w:pos="8268"/>
              </w:tabs>
              <w:spacing w:line="400" w:lineRule="atLeast"/>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lang w:eastAsia="zh-CN"/>
              </w:rPr>
              <w:t>商务</w:t>
            </w:r>
            <w:r>
              <w:rPr>
                <w:rFonts w:hint="eastAsia" w:ascii="宋体" w:hAnsi="宋体" w:eastAsia="宋体" w:cs="宋体"/>
                <w:color w:val="auto"/>
                <w:kern w:val="0"/>
                <w:sz w:val="21"/>
                <w:szCs w:val="21"/>
              </w:rPr>
              <w:t>资信分</w:t>
            </w: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分</w:t>
            </w:r>
          </w:p>
          <w:p>
            <w:pPr>
              <w:pStyle w:val="838"/>
              <w:tabs>
                <w:tab w:val="left" w:pos="0"/>
                <w:tab w:val="clear" w:pos="8268"/>
              </w:tabs>
              <w:spacing w:line="302" w:lineRule="auto"/>
              <w:ind w:firstLine="420"/>
              <w:jc w:val="center"/>
              <w:rPr>
                <w:rFonts w:ascii="宋体" w:hAnsi="宋体" w:eastAsia="宋体" w:cs="宋体"/>
                <w:color w:val="auto"/>
                <w:kern w:val="0"/>
                <w:sz w:val="21"/>
                <w:szCs w:val="21"/>
              </w:rPr>
            </w:pPr>
          </w:p>
          <w:p>
            <w:pPr>
              <w:pStyle w:val="838"/>
              <w:tabs>
                <w:tab w:val="left" w:pos="0"/>
                <w:tab w:val="clear" w:pos="8268"/>
              </w:tabs>
              <w:spacing w:line="302" w:lineRule="auto"/>
              <w:jc w:val="center"/>
              <w:rPr>
                <w:rFonts w:ascii="宋体" w:hAnsi="宋体" w:eastAsia="宋体" w:cs="宋体"/>
                <w:color w:val="auto"/>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961"/>
              <w:snapToGrid w:val="0"/>
              <w:spacing w:line="360" w:lineRule="auto"/>
              <w:jc w:val="left"/>
              <w:rPr>
                <w:rFonts w:hint="default" w:ascii="宋体" w:hAnsi="宋体" w:cs="宋体"/>
                <w:color w:val="auto"/>
                <w:kern w:val="0"/>
                <w:szCs w:val="21"/>
              </w:rPr>
            </w:pPr>
            <w:r>
              <w:rPr>
                <w:rFonts w:ascii="宋体" w:hAnsi="宋体" w:cs="宋体"/>
                <w:color w:val="auto"/>
                <w:kern w:val="0"/>
                <w:szCs w:val="21"/>
              </w:rPr>
              <w:t>诚信分</w:t>
            </w:r>
          </w:p>
          <w:p>
            <w:pPr>
              <w:pStyle w:val="961"/>
              <w:snapToGrid w:val="0"/>
              <w:spacing w:line="360" w:lineRule="auto"/>
              <w:jc w:val="left"/>
              <w:rPr>
                <w:rFonts w:hint="default" w:ascii="宋体" w:hAnsi="宋体" w:cs="宋体"/>
                <w:color w:val="auto"/>
                <w:kern w:val="0"/>
                <w:szCs w:val="21"/>
              </w:rPr>
            </w:pPr>
            <w:r>
              <w:rPr>
                <w:rFonts w:hint="eastAsia" w:ascii="宋体" w:hAnsi="宋体" w:cs="宋体"/>
                <w:color w:val="auto"/>
                <w:kern w:val="0"/>
                <w:szCs w:val="21"/>
                <w:lang w:val="en-US" w:eastAsia="zh-CN"/>
              </w:rPr>
              <w:t>3</w:t>
            </w:r>
            <w:r>
              <w:rPr>
                <w:rFonts w:ascii="宋体" w:hAnsi="宋体" w:cs="宋体"/>
                <w:color w:val="auto"/>
                <w:kern w:val="0"/>
                <w:szCs w:val="21"/>
              </w:rPr>
              <w:t>分</w:t>
            </w:r>
          </w:p>
        </w:tc>
        <w:tc>
          <w:tcPr>
            <w:tcW w:w="6068" w:type="dxa"/>
            <w:tcBorders>
              <w:top w:val="single" w:color="auto" w:sz="4" w:space="0"/>
              <w:left w:val="single" w:color="auto" w:sz="4" w:space="0"/>
              <w:bottom w:val="single" w:color="auto" w:sz="4" w:space="0"/>
              <w:right w:val="single" w:color="auto" w:sz="4" w:space="0"/>
            </w:tcBorders>
            <w:vAlign w:val="center"/>
          </w:tcPr>
          <w:p>
            <w:pPr>
              <w:pStyle w:val="961"/>
              <w:snapToGrid w:val="0"/>
              <w:spacing w:line="360" w:lineRule="auto"/>
              <w:jc w:val="left"/>
              <w:rPr>
                <w:rFonts w:hint="default" w:ascii="宋体" w:hAnsi="宋体" w:cs="宋体"/>
                <w:color w:val="auto"/>
                <w:kern w:val="0"/>
                <w:szCs w:val="21"/>
              </w:rPr>
            </w:pPr>
            <w:r>
              <w:rPr>
                <w:rFonts w:ascii="宋体" w:hAnsi="宋体" w:cs="宋体"/>
                <w:color w:val="auto"/>
                <w:kern w:val="0"/>
                <w:szCs w:val="21"/>
              </w:rPr>
              <w:t>凡在投标截止时间前三年受到行政处罚、行政处理（含通报）或记入不良行为的，此项得分为0，若无处罚、行政处理（含通报）或记入不良行为的得</w:t>
            </w:r>
            <w:r>
              <w:rPr>
                <w:rFonts w:hint="eastAsia" w:ascii="宋体" w:hAnsi="宋体" w:cs="宋体"/>
                <w:color w:val="auto"/>
                <w:kern w:val="0"/>
                <w:szCs w:val="21"/>
                <w:lang w:val="en-US" w:eastAsia="zh-CN"/>
              </w:rPr>
              <w:t>3</w:t>
            </w:r>
            <w:r>
              <w:rPr>
                <w:rFonts w:ascii="宋体" w:hAnsi="宋体" w:cs="宋体"/>
                <w:color w:val="auto"/>
                <w:kern w:val="0"/>
                <w:szCs w:val="21"/>
              </w:rPr>
              <w:t>分（供应商自行提供，如有不良记录又虚假隐瞒的，一经发现将取消投标资格）。</w:t>
            </w:r>
          </w:p>
        </w:tc>
        <w:tc>
          <w:tcPr>
            <w:tcW w:w="846" w:type="dxa"/>
            <w:tcBorders>
              <w:top w:val="single" w:color="auto" w:sz="4" w:space="0"/>
              <w:left w:val="single" w:color="auto" w:sz="4" w:space="0"/>
              <w:bottom w:val="single" w:color="auto" w:sz="4" w:space="0"/>
              <w:right w:val="single" w:color="auto" w:sz="4" w:space="0"/>
            </w:tcBorders>
            <w:vAlign w:val="center"/>
          </w:tcPr>
          <w:p>
            <w:pPr>
              <w:pStyle w:val="961"/>
              <w:snapToGrid w:val="0"/>
              <w:spacing w:line="360" w:lineRule="auto"/>
              <w:jc w:val="center"/>
              <w:rPr>
                <w:rFonts w:hint="eastAsia" w:ascii="宋体" w:hAnsi="宋体" w:eastAsia="宋体" w:cs="宋体"/>
                <w:color w:val="auto"/>
                <w:kern w:val="0"/>
                <w:szCs w:val="21"/>
                <w:lang w:eastAsia="zh-CN"/>
              </w:rPr>
            </w:pPr>
            <w:r>
              <w:rPr>
                <w:rFonts w:ascii="宋体" w:hAnsi="宋体" w:cs="宋体"/>
                <w:color w:val="auto"/>
                <w:kern w:val="0"/>
                <w:szCs w:val="21"/>
              </w:rPr>
              <w:t>0-</w:t>
            </w:r>
            <w:r>
              <w:rPr>
                <w:rFonts w:hint="eastAsia" w:ascii="宋体" w:hAnsi="宋体" w:cs="宋体"/>
                <w:color w:val="auto"/>
                <w:kern w:val="0"/>
                <w:szCs w:val="21"/>
                <w:lang w:val="en-US" w:eastAsia="zh-CN"/>
              </w:rPr>
              <w:t>3</w:t>
            </w:r>
          </w:p>
        </w:tc>
        <w:tc>
          <w:tcPr>
            <w:tcW w:w="1373" w:type="dxa"/>
            <w:tcBorders>
              <w:top w:val="single" w:color="auto" w:sz="4" w:space="0"/>
              <w:left w:val="single" w:color="auto" w:sz="4" w:space="0"/>
              <w:bottom w:val="single" w:color="auto" w:sz="4" w:space="0"/>
              <w:right w:val="single" w:color="auto" w:sz="4" w:space="0"/>
            </w:tcBorders>
            <w:vAlign w:val="center"/>
          </w:tcPr>
          <w:p>
            <w:pPr>
              <w:pStyle w:val="961"/>
              <w:snapToGrid w:val="0"/>
              <w:spacing w:line="360" w:lineRule="auto"/>
              <w:jc w:val="center"/>
              <w:rPr>
                <w:rFonts w:hint="default" w:ascii="宋体" w:hAnsi="宋体" w:cs="宋体"/>
                <w:color w:val="auto"/>
                <w:kern w:val="0"/>
                <w:szCs w:val="21"/>
              </w:rPr>
            </w:pPr>
            <w:r>
              <w:rPr>
                <w:rFonts w:ascii="宋体" w:hAnsi="宋体" w:cs="宋体"/>
                <w:color w:val="auto"/>
                <w:kern w:val="0"/>
                <w:szCs w:val="21"/>
              </w:rPr>
              <w:t>客观分</w:t>
            </w:r>
          </w:p>
        </w:tc>
      </w:tr>
      <w:tr>
        <w:tblPrEx>
          <w:tblCellMar>
            <w:top w:w="0" w:type="dxa"/>
            <w:left w:w="108" w:type="dxa"/>
            <w:bottom w:w="0" w:type="dxa"/>
            <w:right w:w="108" w:type="dxa"/>
          </w:tblCellMar>
        </w:tblPrEx>
        <w:trPr>
          <w:trHeight w:val="2239" w:hRule="exac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pStyle w:val="838"/>
              <w:widowControl/>
              <w:tabs>
                <w:tab w:val="left" w:pos="0"/>
                <w:tab w:val="clear" w:pos="8268"/>
              </w:tabs>
              <w:spacing w:line="400" w:lineRule="atLeast"/>
              <w:rPr>
                <w:rFonts w:ascii="宋体" w:hAnsi="宋体" w:eastAsia="宋体" w:cs="宋体"/>
                <w:color w:val="auto"/>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宋体" w:hAnsi="宋体" w:cs="宋体"/>
                <w:color w:val="auto"/>
                <w:kern w:val="0"/>
                <w:szCs w:val="21"/>
              </w:rPr>
            </w:pPr>
            <w:r>
              <w:rPr>
                <w:rFonts w:hint="eastAsia" w:ascii="宋体" w:hAnsi="宋体" w:cs="宋体"/>
                <w:color w:val="auto"/>
                <w:kern w:val="0"/>
                <w:szCs w:val="21"/>
              </w:rPr>
              <w:t xml:space="preserve">相关证书 </w:t>
            </w:r>
            <w:r>
              <w:rPr>
                <w:rFonts w:hint="eastAsia" w:ascii="宋体" w:hAnsi="宋体" w:cs="宋体"/>
                <w:color w:val="auto"/>
                <w:kern w:val="0"/>
                <w:szCs w:val="21"/>
                <w:lang w:val="en-US" w:eastAsia="zh-CN"/>
              </w:rPr>
              <w:t>3</w:t>
            </w:r>
            <w:r>
              <w:rPr>
                <w:rFonts w:hint="eastAsia" w:ascii="宋体" w:hAnsi="宋体" w:cs="宋体"/>
                <w:color w:val="auto"/>
                <w:kern w:val="0"/>
                <w:szCs w:val="21"/>
              </w:rPr>
              <w:t>分</w:t>
            </w:r>
          </w:p>
        </w:tc>
        <w:tc>
          <w:tcPr>
            <w:tcW w:w="6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rPr>
            </w:pPr>
            <w:r>
              <w:rPr>
                <w:rFonts w:hint="eastAsia" w:ascii="宋体" w:hAnsi="宋体" w:cs="宋体"/>
                <w:color w:val="auto"/>
              </w:rPr>
              <w:t>投标人或所投核心产品的制造商具有：</w:t>
            </w:r>
          </w:p>
          <w:p>
            <w:pPr>
              <w:widowControl/>
              <w:spacing w:line="400" w:lineRule="exact"/>
              <w:jc w:val="left"/>
              <w:rPr>
                <w:rFonts w:ascii="宋体" w:hAnsi="宋体" w:cs="宋体"/>
                <w:color w:val="auto"/>
              </w:rPr>
            </w:pPr>
            <w:r>
              <w:rPr>
                <w:rFonts w:hint="eastAsia" w:ascii="宋体" w:hAnsi="宋体" w:cs="宋体"/>
                <w:color w:val="auto"/>
              </w:rPr>
              <w:t>1</w:t>
            </w:r>
            <w:r>
              <w:rPr>
                <w:rFonts w:hint="eastAsia" w:ascii="宋体" w:hAnsi="宋体" w:cs="宋体"/>
                <w:color w:val="auto"/>
                <w:lang w:eastAsia="zh-CN"/>
              </w:rPr>
              <w:t>、</w:t>
            </w:r>
            <w:r>
              <w:rPr>
                <w:rFonts w:hint="eastAsia" w:ascii="宋体" w:hAnsi="宋体" w:cs="宋体"/>
                <w:color w:val="auto"/>
              </w:rPr>
              <w:t>有效期内的ISO9001质量管理体系认证证书的得1分。</w:t>
            </w:r>
          </w:p>
          <w:p>
            <w:pPr>
              <w:widowControl/>
              <w:spacing w:line="400" w:lineRule="exact"/>
              <w:jc w:val="left"/>
              <w:rPr>
                <w:rFonts w:ascii="宋体" w:hAnsi="宋体" w:cs="宋体"/>
                <w:color w:val="auto"/>
              </w:rPr>
            </w:pPr>
            <w:r>
              <w:rPr>
                <w:rFonts w:hint="eastAsia" w:ascii="宋体" w:hAnsi="宋体" w:cs="宋体"/>
                <w:color w:val="auto"/>
              </w:rPr>
              <w:t>2、有效期内的ISO14001环境管理体系认证证书的得1分。</w:t>
            </w:r>
          </w:p>
          <w:p>
            <w:pPr>
              <w:widowControl/>
              <w:spacing w:line="400" w:lineRule="exact"/>
              <w:jc w:val="left"/>
              <w:rPr>
                <w:rFonts w:ascii="宋体" w:hAnsi="宋体" w:cs="宋体"/>
                <w:color w:val="auto"/>
              </w:rPr>
            </w:pPr>
            <w:r>
              <w:rPr>
                <w:rFonts w:hint="eastAsia" w:ascii="宋体" w:hAnsi="宋体" w:cs="宋体"/>
                <w:color w:val="auto"/>
                <w:lang w:val="en-US" w:eastAsia="zh-CN"/>
              </w:rPr>
              <w:t>3</w:t>
            </w:r>
            <w:r>
              <w:rPr>
                <w:rFonts w:hint="eastAsia" w:ascii="宋体" w:hAnsi="宋体" w:cs="宋体"/>
                <w:color w:val="auto"/>
              </w:rPr>
              <w:t>、有效期内的ISO45001职业健康安全管理体系认证证书或(GB/T 28001职业健康安全管理体系认证证书)的得1分。</w:t>
            </w:r>
          </w:p>
        </w:tc>
        <w:tc>
          <w:tcPr>
            <w:tcW w:w="846" w:type="dxa"/>
            <w:tcBorders>
              <w:top w:val="single" w:color="auto" w:sz="4" w:space="0"/>
              <w:left w:val="single" w:color="auto" w:sz="4" w:space="0"/>
              <w:bottom w:val="single" w:color="auto" w:sz="4" w:space="0"/>
              <w:right w:val="single" w:color="auto" w:sz="4" w:space="0"/>
            </w:tcBorders>
            <w:vAlign w:val="center"/>
          </w:tcPr>
          <w:p>
            <w:pPr>
              <w:pStyle w:val="838"/>
              <w:tabs>
                <w:tab w:val="left" w:pos="0"/>
                <w:tab w:val="clear" w:pos="8268"/>
              </w:tabs>
              <w:snapToGrid w:val="0"/>
              <w:spacing w:line="360" w:lineRule="auto"/>
              <w:ind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3</w:t>
            </w:r>
          </w:p>
        </w:tc>
        <w:tc>
          <w:tcPr>
            <w:tcW w:w="1373" w:type="dxa"/>
            <w:tcBorders>
              <w:top w:val="single" w:color="auto" w:sz="4" w:space="0"/>
              <w:left w:val="single" w:color="auto" w:sz="4" w:space="0"/>
              <w:bottom w:val="single" w:color="auto" w:sz="4" w:space="0"/>
              <w:right w:val="single" w:color="auto" w:sz="4" w:space="0"/>
            </w:tcBorders>
            <w:vAlign w:val="center"/>
          </w:tcPr>
          <w:p>
            <w:pPr>
              <w:pStyle w:val="838"/>
              <w:tabs>
                <w:tab w:val="left" w:pos="0"/>
                <w:tab w:val="clear" w:pos="8268"/>
              </w:tabs>
              <w:spacing w:line="36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客观分</w:t>
            </w:r>
          </w:p>
        </w:tc>
      </w:tr>
      <w:tr>
        <w:tblPrEx>
          <w:tblCellMar>
            <w:top w:w="0" w:type="dxa"/>
            <w:left w:w="108" w:type="dxa"/>
            <w:bottom w:w="0" w:type="dxa"/>
            <w:right w:w="108" w:type="dxa"/>
          </w:tblCellMar>
        </w:tblPrEx>
        <w:trPr>
          <w:trHeight w:val="2201" w:hRule="exac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pStyle w:val="838"/>
              <w:widowControl/>
              <w:tabs>
                <w:tab w:val="left" w:pos="0"/>
                <w:tab w:val="clear" w:pos="8268"/>
              </w:tabs>
              <w:spacing w:line="400" w:lineRule="atLeast"/>
              <w:rPr>
                <w:rFonts w:ascii="宋体" w:hAnsi="宋体" w:eastAsia="宋体" w:cs="宋体"/>
                <w:color w:val="auto"/>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宋体" w:hAnsi="宋体" w:cs="宋体"/>
                <w:color w:val="auto"/>
                <w:kern w:val="0"/>
                <w:szCs w:val="21"/>
              </w:rPr>
            </w:pPr>
            <w:r>
              <w:rPr>
                <w:rFonts w:hint="eastAsia" w:ascii="宋体" w:hAnsi="宋体" w:cs="宋体"/>
                <w:color w:val="auto"/>
                <w:kern w:val="0"/>
                <w:szCs w:val="21"/>
              </w:rPr>
              <w:t>同类业绩3分</w:t>
            </w:r>
          </w:p>
        </w:tc>
        <w:tc>
          <w:tcPr>
            <w:tcW w:w="6068"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宋体" w:hAnsi="宋体" w:cs="宋体"/>
                <w:color w:val="auto"/>
                <w:kern w:val="0"/>
                <w:szCs w:val="21"/>
              </w:rPr>
            </w:pPr>
            <w:r>
              <w:rPr>
                <w:rFonts w:hint="eastAsia" w:ascii="宋体" w:hAnsi="宋体" w:cs="宋体"/>
                <w:color w:val="auto"/>
                <w:szCs w:val="21"/>
              </w:rPr>
              <w:t>近三年以来（自投标截止日起往前追溯3年）的同类业绩，每提供一个同类业绩得1分，最高得3分。需提供合同和验收材料。</w:t>
            </w:r>
            <w:r>
              <w:rPr>
                <w:rFonts w:hint="eastAsia" w:ascii="宋体" w:hAnsi="宋体" w:eastAsia="宋体" w:cs="宋体"/>
                <w:b/>
                <w:bCs/>
                <w:color w:val="auto"/>
                <w:kern w:val="0"/>
                <w:sz w:val="21"/>
                <w:szCs w:val="21"/>
                <w:highlight w:val="none"/>
                <w:lang w:val="en-US" w:eastAsia="zh-CN" w:bidi="ar"/>
              </w:rPr>
              <w:t>注：根据浙财采监〔2022〕8号文规定，对省级以上主管部门认定的首台套产品，自纳入《省推广应用指导目录》起三年内参加政府采购活动，视同已具备相应销售业绩，业绩分为满分。投标时提供相关证明材料。</w:t>
            </w:r>
          </w:p>
        </w:tc>
        <w:tc>
          <w:tcPr>
            <w:tcW w:w="846" w:type="dxa"/>
            <w:tcBorders>
              <w:top w:val="single" w:color="auto" w:sz="4" w:space="0"/>
              <w:left w:val="single" w:color="auto" w:sz="4" w:space="0"/>
              <w:bottom w:val="single" w:color="auto" w:sz="4" w:space="0"/>
              <w:right w:val="single" w:color="auto" w:sz="4" w:space="0"/>
            </w:tcBorders>
            <w:vAlign w:val="center"/>
          </w:tcPr>
          <w:p>
            <w:pPr>
              <w:pStyle w:val="838"/>
              <w:tabs>
                <w:tab w:val="left" w:pos="0"/>
                <w:tab w:val="clear" w:pos="8268"/>
              </w:tabs>
              <w:snapToGrid w:val="0"/>
              <w:spacing w:line="36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0-3</w:t>
            </w:r>
          </w:p>
        </w:tc>
        <w:tc>
          <w:tcPr>
            <w:tcW w:w="1373" w:type="dxa"/>
            <w:tcBorders>
              <w:top w:val="single" w:color="auto" w:sz="4" w:space="0"/>
              <w:left w:val="single" w:color="auto" w:sz="4" w:space="0"/>
              <w:bottom w:val="single" w:color="auto" w:sz="4" w:space="0"/>
              <w:right w:val="single" w:color="auto" w:sz="4" w:space="0"/>
            </w:tcBorders>
            <w:vAlign w:val="center"/>
          </w:tcPr>
          <w:p>
            <w:pPr>
              <w:pStyle w:val="838"/>
              <w:tabs>
                <w:tab w:val="left" w:pos="0"/>
                <w:tab w:val="clear" w:pos="8268"/>
              </w:tabs>
              <w:spacing w:line="36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客观分</w:t>
            </w:r>
          </w:p>
        </w:tc>
      </w:tr>
    </w:tbl>
    <w:p>
      <w:pPr>
        <w:spacing w:beforeLines="50" w:line="360" w:lineRule="auto"/>
        <w:rPr>
          <w:rFonts w:ascii="宋体" w:hAnsi="宋体" w:cs="宋体"/>
          <w:b/>
          <w:bCs/>
          <w:color w:val="auto"/>
          <w:kern w:val="0"/>
          <w:szCs w:val="21"/>
        </w:rPr>
      </w:pPr>
      <w:r>
        <w:rPr>
          <w:rFonts w:hint="eastAsia" w:ascii="宋体" w:hAnsi="宋体" w:cs="宋体"/>
          <w:b/>
          <w:bCs/>
          <w:color w:val="auto"/>
          <w:kern w:val="0"/>
          <w:szCs w:val="21"/>
        </w:rPr>
        <w:t>注：上述要求提供证书、证明材料、发票、检测报告等均必须在电子标书中上传原件扫描件或图片，不是原件的该项不得分。</w:t>
      </w:r>
    </w:p>
    <w:p>
      <w:pPr>
        <w:snapToGrid w:val="0"/>
        <w:spacing w:beforeLines="30" w:line="400" w:lineRule="exact"/>
        <w:jc w:val="left"/>
        <w:outlineLvl w:val="1"/>
        <w:rPr>
          <w:rFonts w:ascii="宋体" w:hAnsi="宋体" w:cs="宋体"/>
          <w:b/>
          <w:color w:val="auto"/>
          <w:sz w:val="24"/>
        </w:rPr>
      </w:pPr>
      <w:r>
        <w:rPr>
          <w:rFonts w:hint="eastAsia" w:ascii="宋体" w:hAnsi="宋体"/>
          <w:b/>
          <w:color w:val="auto"/>
          <w:sz w:val="24"/>
        </w:rPr>
        <w:t>（</w:t>
      </w:r>
      <w:r>
        <w:rPr>
          <w:rFonts w:ascii="宋体" w:hAnsi="宋体"/>
          <w:b/>
          <w:color w:val="auto"/>
          <w:sz w:val="24"/>
        </w:rPr>
        <w:t>三</w:t>
      </w:r>
      <w:r>
        <w:rPr>
          <w:rFonts w:hint="eastAsia" w:ascii="宋体" w:hAnsi="宋体"/>
          <w:b/>
          <w:color w:val="auto"/>
          <w:sz w:val="24"/>
        </w:rPr>
        <w:t>）技术分</w:t>
      </w:r>
      <w:r>
        <w:rPr>
          <w:rFonts w:hint="eastAsia" w:ascii="宋体" w:hAnsi="宋体" w:cs="宋体"/>
          <w:b/>
          <w:color w:val="auto"/>
          <w:sz w:val="24"/>
        </w:rPr>
        <w:t>（</w:t>
      </w:r>
      <w:r>
        <w:rPr>
          <w:rFonts w:hint="eastAsia" w:ascii="宋体" w:hAnsi="宋体" w:cs="宋体"/>
          <w:b/>
          <w:color w:val="auto"/>
          <w:sz w:val="24"/>
          <w:lang w:val="en-US" w:eastAsia="zh-CN"/>
        </w:rPr>
        <w:t>61</w:t>
      </w:r>
      <w:r>
        <w:rPr>
          <w:rFonts w:hint="eastAsia" w:ascii="宋体" w:hAnsi="宋体" w:cs="宋体"/>
          <w:b/>
          <w:color w:val="auto"/>
          <w:sz w:val="24"/>
        </w:rPr>
        <w:t>分）</w:t>
      </w:r>
    </w:p>
    <w:tbl>
      <w:tblPr>
        <w:tblStyle w:val="63"/>
        <w:tblW w:w="10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00"/>
        <w:gridCol w:w="6059"/>
        <w:gridCol w:w="849"/>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54" w:type="dxa"/>
            <w:vMerge w:val="restart"/>
            <w:tcBorders>
              <w:tl2br w:val="nil"/>
              <w:tr2bl w:val="nil"/>
            </w:tcBorders>
            <w:vAlign w:val="center"/>
          </w:tcPr>
          <w:p>
            <w:pPr>
              <w:pStyle w:val="838"/>
              <w:widowControl/>
              <w:tabs>
                <w:tab w:val="left" w:pos="0"/>
                <w:tab w:val="clear" w:pos="8268"/>
              </w:tabs>
              <w:spacing w:line="360" w:lineRule="auto"/>
              <w:ind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技术分</w:t>
            </w:r>
            <w:r>
              <w:rPr>
                <w:rFonts w:hint="eastAsia" w:ascii="宋体" w:hAnsi="宋体" w:eastAsia="宋体" w:cs="宋体"/>
                <w:color w:val="auto"/>
                <w:kern w:val="0"/>
                <w:sz w:val="21"/>
                <w:szCs w:val="21"/>
                <w:lang w:val="en-US" w:eastAsia="zh-CN"/>
              </w:rPr>
              <w:t>61</w:t>
            </w:r>
            <w:r>
              <w:rPr>
                <w:rFonts w:hint="eastAsia" w:ascii="宋体" w:hAnsi="宋体" w:eastAsia="宋体" w:cs="宋体"/>
                <w:color w:val="auto"/>
                <w:kern w:val="0"/>
                <w:sz w:val="21"/>
                <w:szCs w:val="21"/>
              </w:rPr>
              <w:t>分</w:t>
            </w:r>
          </w:p>
          <w:p>
            <w:pPr>
              <w:pStyle w:val="838"/>
              <w:widowControl/>
              <w:tabs>
                <w:tab w:val="left" w:pos="0"/>
                <w:tab w:val="clear" w:pos="8268"/>
              </w:tabs>
              <w:spacing w:line="360" w:lineRule="auto"/>
              <w:jc w:val="center"/>
              <w:rPr>
                <w:rFonts w:hint="eastAsia" w:ascii="宋体" w:hAnsi="宋体" w:eastAsia="宋体" w:cs="宋体"/>
                <w:color w:val="auto"/>
                <w:sz w:val="21"/>
                <w:szCs w:val="21"/>
              </w:rPr>
            </w:pPr>
          </w:p>
        </w:tc>
        <w:tc>
          <w:tcPr>
            <w:tcW w:w="1500" w:type="dxa"/>
            <w:tcBorders>
              <w:tl2br w:val="nil"/>
              <w:tr2bl w:val="nil"/>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技术指标满足情况</w:t>
            </w: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w:t>
            </w:r>
          </w:p>
        </w:tc>
        <w:tc>
          <w:tcPr>
            <w:tcW w:w="6059" w:type="dxa"/>
            <w:tcBorders>
              <w:tl2br w:val="nil"/>
              <w:tr2bl w:val="nil"/>
            </w:tcBorders>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采购文件第二章采购清单中标注★的重要参数，共</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项，有一项满足需求的得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分，此项最高得</w:t>
            </w: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须提供相关证明材料或承诺，不提供不得分。</w:t>
            </w:r>
          </w:p>
        </w:tc>
        <w:tc>
          <w:tcPr>
            <w:tcW w:w="849" w:type="dxa"/>
            <w:tcBorders>
              <w:tl2br w:val="nil"/>
              <w:tr2bl w:val="nil"/>
            </w:tcBorders>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0-</w:t>
            </w:r>
            <w:r>
              <w:rPr>
                <w:rFonts w:hint="eastAsia" w:ascii="宋体" w:hAnsi="宋体" w:cs="宋体"/>
                <w:color w:val="auto"/>
                <w:sz w:val="21"/>
                <w:szCs w:val="21"/>
                <w:lang w:val="en-US" w:eastAsia="zh-CN"/>
              </w:rPr>
              <w:t>20</w:t>
            </w:r>
          </w:p>
        </w:tc>
        <w:tc>
          <w:tcPr>
            <w:tcW w:w="1401" w:type="dxa"/>
            <w:tcBorders>
              <w:tl2br w:val="nil"/>
              <w:tr2bl w:val="nil"/>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554" w:type="dxa"/>
            <w:vMerge w:val="continue"/>
            <w:tcBorders>
              <w:tl2br w:val="nil"/>
              <w:tr2bl w:val="nil"/>
            </w:tcBorders>
            <w:vAlign w:val="center"/>
          </w:tcPr>
          <w:p>
            <w:pPr>
              <w:pStyle w:val="838"/>
              <w:widowControl/>
              <w:tabs>
                <w:tab w:val="left" w:pos="0"/>
                <w:tab w:val="clear" w:pos="8268"/>
              </w:tabs>
              <w:spacing w:line="360" w:lineRule="auto"/>
              <w:jc w:val="center"/>
              <w:rPr>
                <w:rFonts w:hint="eastAsia" w:ascii="宋体" w:hAnsi="宋体" w:eastAsia="宋体" w:cs="宋体"/>
                <w:color w:val="auto"/>
                <w:sz w:val="21"/>
                <w:szCs w:val="21"/>
              </w:rPr>
            </w:pPr>
          </w:p>
        </w:tc>
        <w:tc>
          <w:tcPr>
            <w:tcW w:w="1500"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产品综合实力</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6059" w:type="dxa"/>
            <w:tcBorders>
              <w:tl2br w:val="nil"/>
              <w:tr2bl w:val="nil"/>
            </w:tcBorders>
            <w:vAlign w:val="center"/>
          </w:tcPr>
          <w:p>
            <w:pPr>
              <w:numPr>
                <w:ilvl w:val="0"/>
                <w:numId w:val="5"/>
              </w:numPr>
              <w:autoSpaceDE w:val="0"/>
              <w:autoSpaceDN w:val="0"/>
              <w:adjustRightIn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根据所投产品的品牌信誉度、市场占有率等情况进行打分（</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p>
            <w:pPr>
              <w:numPr>
                <w:ilvl w:val="0"/>
                <w:numId w:val="5"/>
              </w:numPr>
              <w:autoSpaceDE w:val="0"/>
              <w:autoSpaceDN w:val="0"/>
              <w:adjustRightIn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根据所投产品技术性能</w:t>
            </w:r>
            <w:r>
              <w:rPr>
                <w:rFonts w:hint="eastAsia" w:ascii="宋体" w:hAnsi="宋体" w:eastAsia="宋体" w:cs="宋体"/>
                <w:color w:val="auto"/>
                <w:sz w:val="21"/>
                <w:szCs w:val="21"/>
                <w:lang w:eastAsia="zh-CN"/>
              </w:rPr>
              <w:t>、兼容性、耐用</w:t>
            </w:r>
            <w:r>
              <w:rPr>
                <w:rFonts w:hint="eastAsia" w:ascii="宋体" w:hAnsi="宋体" w:eastAsia="宋体" w:cs="宋体"/>
                <w:color w:val="auto"/>
                <w:sz w:val="21"/>
                <w:szCs w:val="21"/>
              </w:rPr>
              <w:t>性</w:t>
            </w:r>
            <w:r>
              <w:rPr>
                <w:rFonts w:hint="eastAsia" w:ascii="宋体" w:hAnsi="宋体" w:eastAsia="宋体" w:cs="宋体"/>
                <w:color w:val="auto"/>
                <w:sz w:val="21"/>
                <w:szCs w:val="21"/>
                <w:lang w:eastAsia="zh-CN"/>
              </w:rPr>
              <w:t>等方面</w:t>
            </w:r>
            <w:r>
              <w:rPr>
                <w:rFonts w:hint="eastAsia" w:ascii="宋体" w:hAnsi="宋体" w:eastAsia="宋体" w:cs="宋体"/>
                <w:color w:val="auto"/>
                <w:sz w:val="21"/>
                <w:szCs w:val="21"/>
              </w:rPr>
              <w:t>进行打分（</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p>
          <w:p>
            <w:pPr>
              <w:pStyle w:val="24"/>
              <w:spacing w:line="360" w:lineRule="auto"/>
              <w:rPr>
                <w:rFonts w:hint="eastAsia" w:ascii="宋体" w:hAnsi="宋体" w:cs="宋体"/>
                <w:color w:val="auto"/>
                <w:kern w:val="0"/>
                <w:sz w:val="21"/>
                <w:szCs w:val="21"/>
                <w:lang w:val="en-US" w:eastAsia="zh-CN"/>
              </w:rPr>
            </w:pPr>
            <w:r>
              <w:rPr>
                <w:rFonts w:hint="eastAsia" w:ascii="宋体" w:hAnsi="宋体" w:eastAsia="宋体" w:cs="宋体"/>
                <w:snapToGrid/>
                <w:color w:val="auto"/>
                <w:kern w:val="2"/>
                <w:sz w:val="21"/>
                <w:szCs w:val="21"/>
                <w:lang w:val="en-US" w:eastAsia="zh-CN" w:bidi="ar-SA"/>
              </w:rPr>
              <w:t>3、根据所投产品获得的体现产品质量、体现自主创新，通过权威部门检测等报告、证书、评比、荣誉等（1-4分）；</w:t>
            </w:r>
          </w:p>
        </w:tc>
        <w:tc>
          <w:tcPr>
            <w:tcW w:w="849" w:type="dxa"/>
            <w:tcBorders>
              <w:tl2br w:val="nil"/>
              <w:tr2bl w:val="nil"/>
            </w:tcBorders>
            <w:vAlign w:val="center"/>
          </w:tcPr>
          <w:p>
            <w:pPr>
              <w:autoSpaceDE w:val="0"/>
              <w:autoSpaceDN w:val="0"/>
              <w:adjustRightIn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p>
        </w:tc>
        <w:tc>
          <w:tcPr>
            <w:tcW w:w="1401" w:type="dxa"/>
            <w:tcBorders>
              <w:tl2br w:val="nil"/>
              <w:tr2bl w:val="nil"/>
            </w:tcBorders>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54" w:type="dxa"/>
            <w:vMerge w:val="continue"/>
            <w:tcBorders>
              <w:tl2br w:val="nil"/>
              <w:tr2bl w:val="nil"/>
            </w:tcBorders>
            <w:vAlign w:val="center"/>
          </w:tcPr>
          <w:p>
            <w:pPr>
              <w:pStyle w:val="838"/>
              <w:widowControl/>
              <w:tabs>
                <w:tab w:val="left" w:pos="0"/>
                <w:tab w:val="clear" w:pos="8268"/>
              </w:tabs>
              <w:spacing w:line="360" w:lineRule="auto"/>
              <w:jc w:val="center"/>
              <w:rPr>
                <w:rFonts w:hint="eastAsia" w:ascii="宋体" w:hAnsi="宋体" w:eastAsia="宋体" w:cs="宋体"/>
                <w:color w:val="auto"/>
                <w:sz w:val="21"/>
                <w:szCs w:val="21"/>
              </w:rPr>
            </w:pPr>
          </w:p>
        </w:tc>
        <w:tc>
          <w:tcPr>
            <w:tcW w:w="1500" w:type="dxa"/>
            <w:tcBorders>
              <w:tl2br w:val="nil"/>
              <w:tr2bl w:val="nil"/>
            </w:tcBorders>
            <w:vAlign w:val="center"/>
          </w:tcPr>
          <w:p>
            <w:pPr>
              <w:widowControl/>
              <w:spacing w:line="440" w:lineRule="exact"/>
              <w:jc w:val="center"/>
              <w:rPr>
                <w:rFonts w:hint="eastAsia" w:ascii="宋体" w:hAnsi="宋体" w:eastAsia="宋体" w:cs="宋体"/>
                <w:color w:val="auto"/>
                <w:sz w:val="21"/>
                <w:szCs w:val="21"/>
                <w:lang w:eastAsia="zh-CN"/>
              </w:rPr>
            </w:pPr>
            <w:r>
              <w:rPr>
                <w:rFonts w:hint="eastAsia" w:ascii="宋体" w:hAnsi="宋体" w:cs="宋体"/>
                <w:color w:val="auto"/>
                <w:spacing w:val="11"/>
                <w:szCs w:val="21"/>
                <w:lang w:val="en-US" w:eastAsia="zh-CN"/>
              </w:rPr>
              <w:t>实施</w:t>
            </w:r>
            <w:r>
              <w:rPr>
                <w:rFonts w:hint="eastAsia" w:ascii="宋体" w:hAnsi="宋体" w:cs="宋体"/>
                <w:color w:val="auto"/>
                <w:spacing w:val="11"/>
                <w:szCs w:val="21"/>
              </w:rPr>
              <w:t>方案</w:t>
            </w:r>
            <w:r>
              <w:rPr>
                <w:rFonts w:hint="eastAsia" w:ascii="宋体" w:hAnsi="宋体" w:cs="宋体"/>
                <w:color w:val="auto"/>
                <w:spacing w:val="11"/>
                <w:szCs w:val="21"/>
                <w:lang w:val="en-US" w:eastAsia="zh-CN"/>
              </w:rPr>
              <w:t>8</w:t>
            </w:r>
            <w:r>
              <w:rPr>
                <w:rFonts w:hint="eastAsia" w:ascii="宋体" w:hAnsi="宋体" w:cs="宋体"/>
                <w:color w:val="auto"/>
                <w:spacing w:val="11"/>
                <w:szCs w:val="21"/>
              </w:rPr>
              <w:t>分</w:t>
            </w:r>
          </w:p>
        </w:tc>
        <w:tc>
          <w:tcPr>
            <w:tcW w:w="6059" w:type="dxa"/>
            <w:tcBorders>
              <w:tl2br w:val="nil"/>
              <w:tr2bl w:val="nil"/>
            </w:tcBorders>
            <w:vAlign w:val="center"/>
          </w:tcPr>
          <w:p>
            <w:pPr>
              <w:spacing w:line="440" w:lineRule="exact"/>
              <w:jc w:val="left"/>
              <w:rPr>
                <w:rFonts w:hint="default" w:ascii="宋体" w:hAnsi="宋体" w:cs="宋体"/>
                <w:bCs/>
                <w:color w:val="auto"/>
                <w:szCs w:val="21"/>
                <w:lang w:val="en-US"/>
              </w:rPr>
            </w:pPr>
            <w:r>
              <w:rPr>
                <w:rFonts w:hint="eastAsia" w:ascii="宋体" w:hAnsi="宋体" w:cs="宋体"/>
                <w:bCs/>
                <w:color w:val="auto"/>
                <w:szCs w:val="21"/>
                <w:lang w:val="en-US" w:eastAsia="zh-CN"/>
              </w:rPr>
              <w:t>1、根据</w:t>
            </w:r>
            <w:r>
              <w:rPr>
                <w:rFonts w:hint="eastAsia" w:ascii="宋体" w:hAnsi="宋体" w:cs="宋体"/>
                <w:bCs/>
                <w:color w:val="auto"/>
                <w:szCs w:val="21"/>
              </w:rPr>
              <w:t>投标人对项目对实施现场的勘察、项目方案深化程度、安装施工组织方案和保障措施</w:t>
            </w:r>
            <w:r>
              <w:rPr>
                <w:rFonts w:hint="eastAsia" w:ascii="宋体" w:hAnsi="宋体" w:cs="宋体"/>
                <w:bCs/>
                <w:color w:val="auto"/>
                <w:szCs w:val="21"/>
                <w:lang w:val="en-US" w:eastAsia="zh-CN"/>
              </w:rPr>
              <w:t>等情况</w:t>
            </w:r>
            <w:r>
              <w:rPr>
                <w:rFonts w:hint="eastAsia" w:ascii="宋体" w:hAnsi="宋体" w:cs="宋体"/>
                <w:bCs/>
                <w:color w:val="auto"/>
                <w:szCs w:val="21"/>
              </w:rPr>
              <w:t>进行评</w:t>
            </w:r>
            <w:r>
              <w:rPr>
                <w:rFonts w:hint="eastAsia" w:ascii="宋体" w:hAnsi="宋体" w:cs="宋体"/>
                <w:bCs/>
                <w:color w:val="auto"/>
                <w:szCs w:val="21"/>
                <w:lang w:val="en-US" w:eastAsia="zh-CN"/>
              </w:rPr>
              <w:t>分</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Cs w:val="21"/>
                <w:lang w:val="en-US" w:eastAsia="zh-CN"/>
              </w:rPr>
              <w:t>；</w:t>
            </w:r>
          </w:p>
          <w:p>
            <w:pPr>
              <w:spacing w:line="440" w:lineRule="exact"/>
              <w:jc w:val="left"/>
              <w:rPr>
                <w:rFonts w:hint="eastAsia" w:ascii="宋体" w:hAnsi="宋体" w:eastAsia="宋体" w:cs="宋体"/>
                <w:bCs/>
                <w:color w:val="auto"/>
                <w:szCs w:val="21"/>
                <w:lang w:eastAsia="zh-CN"/>
              </w:rPr>
            </w:pPr>
            <w:r>
              <w:rPr>
                <w:rFonts w:hint="eastAsia" w:ascii="宋体" w:hAnsi="宋体" w:cs="宋体"/>
                <w:bCs/>
                <w:color w:val="auto"/>
                <w:szCs w:val="21"/>
                <w:lang w:val="en-US" w:eastAsia="zh-CN"/>
              </w:rPr>
              <w:t>2、</w:t>
            </w:r>
            <w:r>
              <w:rPr>
                <w:rFonts w:hint="eastAsia" w:ascii="宋体" w:hAnsi="宋体" w:cs="宋体"/>
                <w:bCs/>
                <w:color w:val="auto"/>
                <w:szCs w:val="21"/>
              </w:rPr>
              <w:t>根据项目实施进度方案和进度保障方法</w:t>
            </w:r>
            <w:r>
              <w:rPr>
                <w:rFonts w:hint="eastAsia" w:ascii="宋体" w:hAnsi="宋体" w:cs="宋体"/>
                <w:bCs/>
                <w:color w:val="auto"/>
                <w:szCs w:val="21"/>
                <w:lang w:val="en-US" w:eastAsia="zh-CN"/>
              </w:rPr>
              <w:t>等</w:t>
            </w:r>
            <w:r>
              <w:rPr>
                <w:rFonts w:hint="eastAsia" w:ascii="宋体" w:hAnsi="宋体" w:cs="宋体"/>
                <w:bCs/>
                <w:color w:val="auto"/>
                <w:szCs w:val="21"/>
              </w:rPr>
              <w:t>进行评</w:t>
            </w:r>
            <w:r>
              <w:rPr>
                <w:rFonts w:hint="eastAsia" w:ascii="宋体" w:hAnsi="宋体" w:cs="宋体"/>
                <w:bCs/>
                <w:color w:val="auto"/>
                <w:szCs w:val="21"/>
                <w:lang w:val="en-US" w:eastAsia="zh-CN"/>
              </w:rPr>
              <w:t>分</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0-2</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p>
          <w:p>
            <w:pPr>
              <w:spacing w:line="440" w:lineRule="exact"/>
              <w:jc w:val="left"/>
              <w:rPr>
                <w:rFonts w:hint="default"/>
                <w:lang w:val="en-US" w:eastAsia="zh-CN"/>
              </w:rPr>
            </w:pPr>
            <w:r>
              <w:rPr>
                <w:rFonts w:hint="eastAsia" w:ascii="宋体" w:hAnsi="宋体" w:cs="宋体"/>
                <w:bCs/>
                <w:color w:val="auto"/>
                <w:szCs w:val="21"/>
                <w:lang w:val="en-US" w:eastAsia="zh-CN"/>
              </w:rPr>
              <w:t>3、</w:t>
            </w:r>
            <w:r>
              <w:rPr>
                <w:rFonts w:hint="eastAsia" w:ascii="宋体" w:hAnsi="宋体" w:cs="宋体"/>
                <w:bCs/>
                <w:color w:val="auto"/>
                <w:szCs w:val="21"/>
              </w:rPr>
              <w:t>根据</w:t>
            </w:r>
            <w:r>
              <w:rPr>
                <w:rFonts w:hint="eastAsia" w:ascii="宋体" w:hAnsi="宋体" w:cs="宋体"/>
                <w:bCs/>
                <w:color w:val="auto"/>
                <w:szCs w:val="21"/>
                <w:lang w:val="en-US" w:eastAsia="zh-CN"/>
              </w:rPr>
              <w:t>施工质量保证、施工安全保证的具体措施等</w:t>
            </w:r>
            <w:r>
              <w:rPr>
                <w:rFonts w:hint="eastAsia" w:ascii="宋体" w:hAnsi="宋体" w:cs="宋体"/>
                <w:bCs/>
                <w:color w:val="auto"/>
                <w:szCs w:val="21"/>
              </w:rPr>
              <w:t>进行评</w:t>
            </w:r>
            <w:r>
              <w:rPr>
                <w:rFonts w:hint="eastAsia" w:ascii="宋体" w:hAnsi="宋体" w:cs="宋体"/>
                <w:bCs/>
                <w:color w:val="auto"/>
                <w:szCs w:val="21"/>
                <w:lang w:val="en-US" w:eastAsia="zh-CN"/>
              </w:rPr>
              <w:t>分</w:t>
            </w:r>
            <w:bookmarkStart w:id="97" w:name="_GoBack"/>
            <w:bookmarkEnd w:id="97"/>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Cs w:val="21"/>
                <w:lang w:val="en-US" w:eastAsia="zh-CN"/>
              </w:rPr>
              <w:t>。</w:t>
            </w:r>
          </w:p>
        </w:tc>
        <w:tc>
          <w:tcPr>
            <w:tcW w:w="849" w:type="dxa"/>
            <w:tcBorders>
              <w:tl2br w:val="nil"/>
              <w:tr2bl w:val="nil"/>
            </w:tcBorders>
            <w:vAlign w:val="center"/>
          </w:tcPr>
          <w:p>
            <w:pPr>
              <w:spacing w:line="300" w:lineRule="auto"/>
              <w:jc w:val="center"/>
              <w:rPr>
                <w:rFonts w:hint="default"/>
                <w:lang w:val="en-US"/>
              </w:rPr>
            </w:pPr>
            <w:r>
              <w:rPr>
                <w:rFonts w:hint="eastAsia" w:ascii="宋体" w:hAnsi="宋体" w:cs="宋体"/>
                <w:color w:val="auto"/>
                <w:szCs w:val="21"/>
                <w:lang w:val="en-US" w:eastAsia="zh-CN"/>
              </w:rPr>
              <w:t>2-8</w:t>
            </w:r>
          </w:p>
        </w:tc>
        <w:tc>
          <w:tcPr>
            <w:tcW w:w="1401" w:type="dxa"/>
            <w:tcBorders>
              <w:tl2br w:val="nil"/>
              <w:tr2bl w:val="nil"/>
            </w:tcBorders>
            <w:vAlign w:val="center"/>
          </w:tcPr>
          <w:p>
            <w:pPr>
              <w:spacing w:line="300" w:lineRule="auto"/>
              <w:jc w:val="center"/>
              <w:rPr>
                <w:rFonts w:hint="eastAsia" w:ascii="宋体" w:hAnsi="宋体" w:eastAsia="宋体" w:cs="宋体"/>
                <w:color w:val="auto"/>
                <w:sz w:val="21"/>
                <w:szCs w:val="21"/>
              </w:rPr>
            </w:pPr>
            <w:r>
              <w:rPr>
                <w:rFonts w:hint="eastAsia" w:ascii="宋体" w:hAnsi="宋体" w:cs="宋体"/>
                <w:color w:val="auto"/>
                <w:szCs w:val="21"/>
                <w:lang w:eastAsia="zh-CN"/>
              </w:rPr>
              <w:t>主观</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3" w:hRule="atLeast"/>
          <w:jc w:val="center"/>
        </w:trPr>
        <w:tc>
          <w:tcPr>
            <w:tcW w:w="554" w:type="dxa"/>
            <w:vMerge w:val="continue"/>
            <w:tcBorders>
              <w:tl2br w:val="nil"/>
              <w:tr2bl w:val="nil"/>
            </w:tcBorders>
            <w:vAlign w:val="center"/>
          </w:tcPr>
          <w:p>
            <w:pPr>
              <w:pStyle w:val="838"/>
              <w:widowControl/>
              <w:tabs>
                <w:tab w:val="left" w:pos="0"/>
                <w:tab w:val="clear" w:pos="8268"/>
              </w:tabs>
              <w:spacing w:line="360" w:lineRule="auto"/>
              <w:jc w:val="center"/>
              <w:rPr>
                <w:rFonts w:hint="eastAsia" w:ascii="宋体" w:hAnsi="宋体" w:eastAsia="宋体" w:cs="宋体"/>
                <w:color w:val="auto"/>
                <w:sz w:val="21"/>
                <w:szCs w:val="21"/>
              </w:rPr>
            </w:pPr>
          </w:p>
        </w:tc>
        <w:tc>
          <w:tcPr>
            <w:tcW w:w="1500" w:type="dxa"/>
            <w:tcBorders>
              <w:tl2br w:val="nil"/>
              <w:tr2bl w:val="nil"/>
            </w:tcBorders>
            <w:vAlign w:val="center"/>
          </w:tcPr>
          <w:p>
            <w:pPr>
              <w:adjustRightInd w:val="0"/>
              <w:snapToGrid w:val="0"/>
              <w:spacing w:line="400" w:lineRule="exact"/>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在线演示10分</w:t>
            </w:r>
          </w:p>
        </w:tc>
        <w:tc>
          <w:tcPr>
            <w:tcW w:w="6059" w:type="dxa"/>
            <w:tcBorders>
              <w:tl2br w:val="nil"/>
              <w:tr2bl w:val="nil"/>
            </w:tcBorders>
            <w:vAlign w:val="center"/>
          </w:tcPr>
          <w:p>
            <w:pPr>
              <w:autoSpaceDE w:val="0"/>
              <w:autoSpaceDN w:val="0"/>
              <w:spacing w:line="400" w:lineRule="exact"/>
              <w:rPr>
                <w:rFonts w:hint="eastAsia" w:ascii="宋体" w:hAnsi="宋体" w:cs="宋体"/>
                <w:b w:val="0"/>
                <w:bCs w:val="0"/>
                <w:szCs w:val="21"/>
              </w:rPr>
            </w:pPr>
            <w:r>
              <w:rPr>
                <w:rFonts w:hint="eastAsia" w:ascii="宋体" w:hAnsi="宋体" w:cs="宋体"/>
                <w:b w:val="0"/>
                <w:bCs w:val="0"/>
                <w:szCs w:val="21"/>
              </w:rPr>
              <w:t>采用政采云平台在线演示方式，时间不超过10分钟（不包括提问时间）。</w:t>
            </w:r>
          </w:p>
          <w:p>
            <w:pPr>
              <w:autoSpaceDE w:val="0"/>
              <w:autoSpaceDN w:val="0"/>
              <w:spacing w:line="400" w:lineRule="exact"/>
              <w:rPr>
                <w:rFonts w:hint="eastAsia" w:eastAsia="宋体"/>
                <w:b w:val="0"/>
                <w:bCs w:val="0"/>
                <w:lang w:val="en-US" w:eastAsia="zh-CN"/>
              </w:rPr>
            </w:pPr>
            <w:r>
              <w:rPr>
                <w:rFonts w:hint="eastAsia"/>
                <w:b w:val="0"/>
                <w:bCs w:val="0"/>
                <w:lang w:val="en-US" w:eastAsia="zh-CN"/>
              </w:rPr>
              <w:t>1、</w:t>
            </w:r>
            <w:r>
              <w:rPr>
                <w:rFonts w:hint="eastAsia" w:ascii="宋体" w:hAnsi="宋体" w:cs="宋体"/>
                <w:szCs w:val="21"/>
              </w:rPr>
              <w:t>实现家居情景模式设定管理，灯光照明系统智能控制，家庭环境智能控制，智能化安防报警等功能</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0-2</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p>
          <w:p>
            <w:pPr>
              <w:autoSpaceDE w:val="0"/>
              <w:autoSpaceDN w:val="0"/>
              <w:spacing w:line="400" w:lineRule="exact"/>
              <w:rPr>
                <w:rFonts w:hint="eastAsia" w:eastAsia="宋体"/>
                <w:b w:val="0"/>
                <w:bCs w:val="0"/>
                <w:lang w:val="en-US" w:eastAsia="zh-CN"/>
              </w:rPr>
            </w:pPr>
            <w:r>
              <w:rPr>
                <w:rFonts w:hint="eastAsia"/>
                <w:b w:val="0"/>
                <w:bCs w:val="0"/>
                <w:lang w:val="en-US" w:eastAsia="zh-CN"/>
              </w:rPr>
              <w:t>2、</w:t>
            </w:r>
            <w:r>
              <w:rPr>
                <w:rFonts w:hint="eastAsia" w:ascii="宋体" w:hAnsi="宋体" w:cs="宋体"/>
                <w:szCs w:val="21"/>
              </w:rPr>
              <w:t>可在广域网中通过PC、移动智能终端、智能网关等设备登录</w:t>
            </w:r>
            <w:r>
              <w:rPr>
                <w:rFonts w:hint="eastAsia" w:ascii="宋体" w:hAnsi="宋体" w:cs="宋体"/>
                <w:szCs w:val="21"/>
                <w:lang w:val="en-US" w:eastAsia="zh-CN"/>
              </w:rPr>
              <w:t>物联网</w:t>
            </w:r>
            <w:r>
              <w:rPr>
                <w:rFonts w:hint="eastAsia" w:ascii="宋体" w:hAnsi="宋体" w:cs="宋体"/>
                <w:szCs w:val="21"/>
              </w:rPr>
              <w:t>云平台</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0-2</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p>
          <w:p>
            <w:pPr>
              <w:autoSpaceDE w:val="0"/>
              <w:autoSpaceDN w:val="0"/>
              <w:spacing w:line="400" w:lineRule="exact"/>
              <w:rPr>
                <w:rFonts w:hint="eastAsia" w:eastAsia="宋体"/>
                <w:b w:val="0"/>
                <w:bCs w:val="0"/>
                <w:lang w:val="en-US" w:eastAsia="zh-CN"/>
              </w:rPr>
            </w:pPr>
            <w:r>
              <w:rPr>
                <w:rFonts w:hint="eastAsia"/>
                <w:b w:val="0"/>
                <w:bCs w:val="0"/>
                <w:lang w:val="en-US" w:eastAsia="zh-CN"/>
              </w:rPr>
              <w:t>3、</w:t>
            </w:r>
            <w:r>
              <w:rPr>
                <w:rFonts w:hint="eastAsia" w:ascii="宋体" w:hAnsi="宋体" w:cs="宋体"/>
                <w:szCs w:val="21"/>
              </w:rPr>
              <w:t>支持物联网云网关的配置，支持云网关的设备管理、编辑等功能</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0-2</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p>
          <w:p>
            <w:pPr>
              <w:autoSpaceDE w:val="0"/>
              <w:autoSpaceDN w:val="0"/>
              <w:spacing w:line="400" w:lineRule="exact"/>
              <w:rPr>
                <w:b w:val="0"/>
                <w:bCs w:val="0"/>
              </w:rPr>
            </w:pPr>
            <w:r>
              <w:rPr>
                <w:rFonts w:hint="eastAsia"/>
                <w:b w:val="0"/>
                <w:bCs w:val="0"/>
                <w:lang w:val="en-US" w:eastAsia="zh-CN"/>
              </w:rPr>
              <w:t>4、</w:t>
            </w:r>
            <w:r>
              <w:rPr>
                <w:rFonts w:hint="eastAsia"/>
                <w:b w:val="0"/>
                <w:bCs w:val="0"/>
              </w:rPr>
              <w:t>支持至少15种以上常用传感器节点，支持温度、湿度、水温、二氧化碳、光照、风速、大气压力、空气质量、可燃气体、火焰、红外对射传感器等</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0-4</w:t>
            </w:r>
            <w:r>
              <w:rPr>
                <w:rFonts w:hint="eastAsia" w:ascii="宋体" w:hAnsi="宋体" w:eastAsia="宋体" w:cs="宋体"/>
                <w:color w:val="auto"/>
                <w:sz w:val="21"/>
                <w:szCs w:val="21"/>
              </w:rPr>
              <w:t>分）</w:t>
            </w:r>
            <w:r>
              <w:rPr>
                <w:rFonts w:hint="eastAsia"/>
                <w:b w:val="0"/>
                <w:bCs w:val="0"/>
              </w:rPr>
              <w:t>。</w:t>
            </w:r>
          </w:p>
          <w:p>
            <w:pPr>
              <w:autoSpaceDE w:val="0"/>
              <w:autoSpaceDN w:val="0"/>
              <w:adjustRightInd w:val="0"/>
              <w:spacing w:line="400" w:lineRule="exact"/>
              <w:rPr>
                <w:rFonts w:hint="eastAsia" w:ascii="宋体" w:hAnsi="宋体" w:eastAsia="宋体" w:cs="宋体"/>
                <w:color w:val="auto"/>
                <w:kern w:val="2"/>
                <w:sz w:val="21"/>
                <w:szCs w:val="21"/>
                <w:highlight w:val="none"/>
                <w:lang w:val="en-US" w:eastAsia="zh-CN" w:bidi="ar-SA"/>
              </w:rPr>
            </w:pPr>
          </w:p>
        </w:tc>
        <w:tc>
          <w:tcPr>
            <w:tcW w:w="849" w:type="dxa"/>
            <w:tcBorders>
              <w:tl2br w:val="nil"/>
              <w:tr2bl w:val="nil"/>
            </w:tcBorders>
            <w:vAlign w:val="center"/>
          </w:tcPr>
          <w:p>
            <w:pPr>
              <w:autoSpaceDE w:val="0"/>
              <w:autoSpaceDN w:val="0"/>
              <w:adjustRightInd w:val="0"/>
              <w:spacing w:line="400" w:lineRule="exact"/>
              <w:jc w:val="center"/>
              <w:rPr>
                <w:rFonts w:hint="default" w:ascii="Times New Roman" w:hAnsi="Times New Roman" w:eastAsia="宋体" w:cs="Times New Roman"/>
                <w:color w:val="auto"/>
                <w:kern w:val="2"/>
                <w:sz w:val="21"/>
                <w:szCs w:val="24"/>
                <w:lang w:val="en-US" w:eastAsia="zh-CN" w:bidi="ar-SA"/>
              </w:rPr>
            </w:pPr>
            <w:r>
              <w:rPr>
                <w:rFonts w:hint="eastAsia" w:ascii="宋体" w:hAnsi="宋体" w:eastAsia="宋体" w:cs="宋体"/>
                <w:color w:val="auto"/>
                <w:szCs w:val="21"/>
                <w:lang w:val="en-US" w:eastAsia="zh-CN"/>
              </w:rPr>
              <w:t>0-10</w:t>
            </w:r>
          </w:p>
        </w:tc>
        <w:tc>
          <w:tcPr>
            <w:tcW w:w="1401" w:type="dxa"/>
            <w:tcBorders>
              <w:tl2br w:val="nil"/>
              <w:tr2bl w:val="nil"/>
            </w:tcBorders>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主观</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554" w:type="dxa"/>
            <w:vMerge w:val="continue"/>
            <w:tcBorders>
              <w:tl2br w:val="nil"/>
              <w:tr2bl w:val="nil"/>
            </w:tcBorders>
            <w:vAlign w:val="center"/>
          </w:tcPr>
          <w:p>
            <w:pPr>
              <w:pStyle w:val="838"/>
              <w:widowControl/>
              <w:tabs>
                <w:tab w:val="left" w:pos="0"/>
                <w:tab w:val="clear" w:pos="8268"/>
              </w:tabs>
              <w:spacing w:line="360" w:lineRule="auto"/>
              <w:jc w:val="center"/>
              <w:rPr>
                <w:rFonts w:hint="eastAsia" w:ascii="宋体" w:hAnsi="宋体" w:eastAsia="宋体" w:cs="宋体"/>
                <w:color w:val="auto"/>
                <w:sz w:val="21"/>
                <w:szCs w:val="21"/>
              </w:rPr>
            </w:pPr>
          </w:p>
        </w:tc>
        <w:tc>
          <w:tcPr>
            <w:tcW w:w="1500" w:type="dxa"/>
            <w:tcBorders>
              <w:tl2br w:val="nil"/>
              <w:tr2bl w:val="nil"/>
            </w:tcBorders>
            <w:vAlign w:val="center"/>
          </w:tcPr>
          <w:p>
            <w:pPr>
              <w:spacing w:line="440" w:lineRule="exact"/>
              <w:jc w:val="center"/>
              <w:rPr>
                <w:rFonts w:hint="eastAsia" w:ascii="宋体" w:hAnsi="宋体" w:eastAsia="宋体" w:cs="宋体"/>
                <w:color w:val="auto"/>
                <w:sz w:val="21"/>
                <w:szCs w:val="21"/>
              </w:rPr>
            </w:pPr>
            <w:r>
              <w:rPr>
                <w:rFonts w:hint="eastAsia" w:ascii="宋体" w:hAnsi="宋体" w:cs="宋体"/>
                <w:color w:val="auto"/>
                <w:szCs w:val="21"/>
              </w:rPr>
              <w:t>团队实力</w:t>
            </w:r>
            <w:r>
              <w:rPr>
                <w:rFonts w:hint="eastAsia" w:ascii="宋体" w:hAnsi="宋体" w:cs="宋体"/>
                <w:color w:val="auto"/>
                <w:szCs w:val="21"/>
                <w:lang w:val="en-US" w:eastAsia="zh-CN"/>
              </w:rPr>
              <w:t>3</w:t>
            </w:r>
            <w:r>
              <w:rPr>
                <w:rFonts w:hint="eastAsia" w:ascii="宋体" w:hAnsi="宋体" w:cs="宋体"/>
                <w:color w:val="auto"/>
                <w:szCs w:val="21"/>
              </w:rPr>
              <w:t>分</w:t>
            </w:r>
          </w:p>
        </w:tc>
        <w:tc>
          <w:tcPr>
            <w:tcW w:w="6059" w:type="dxa"/>
            <w:tcBorders>
              <w:tl2br w:val="nil"/>
              <w:tr2bl w:val="nil"/>
            </w:tcBorders>
            <w:vAlign w:val="center"/>
          </w:tcPr>
          <w:p>
            <w:pPr>
              <w:spacing w:line="440" w:lineRule="exact"/>
              <w:jc w:val="left"/>
              <w:rPr>
                <w:rFonts w:hint="default" w:ascii="宋体" w:hAnsi="宋体" w:eastAsia="宋体"/>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项目负责人</w:t>
            </w:r>
            <w:r>
              <w:rPr>
                <w:rFonts w:hint="eastAsia" w:ascii="宋体" w:hAnsi="宋体"/>
                <w:color w:val="auto"/>
                <w:szCs w:val="21"/>
                <w:lang w:val="en-US" w:eastAsia="zh-CN"/>
              </w:rPr>
              <w:t>具有由中华人民共和国人力资源和社会保障部、工业和信息化部颁发的系统集成项目管理工程师证书或信息系统项目管理师证书的得1分；</w:t>
            </w:r>
          </w:p>
          <w:p>
            <w:pPr>
              <w:spacing w:line="440" w:lineRule="exact"/>
              <w:jc w:val="left"/>
              <w:rPr>
                <w:rFonts w:hint="default" w:ascii="宋体" w:hAnsi="宋体" w:eastAsia="宋体"/>
                <w:color w:val="auto"/>
                <w:szCs w:val="21"/>
                <w:lang w:val="en-US" w:eastAsia="zh-CN"/>
              </w:rPr>
            </w:pPr>
            <w:r>
              <w:rPr>
                <w:rFonts w:hint="eastAsia" w:ascii="宋体" w:hAnsi="宋体"/>
                <w:color w:val="auto"/>
                <w:szCs w:val="21"/>
                <w:lang w:val="en-US" w:eastAsia="zh-CN"/>
              </w:rPr>
              <w:t>2、</w:t>
            </w:r>
            <w:r>
              <w:rPr>
                <w:rFonts w:hint="eastAsia" w:ascii="宋体" w:hAnsi="宋体"/>
                <w:color w:val="auto"/>
                <w:szCs w:val="21"/>
              </w:rPr>
              <w:t>项目负责人</w:t>
            </w:r>
            <w:r>
              <w:rPr>
                <w:rFonts w:hint="eastAsia" w:ascii="宋体" w:hAnsi="宋体"/>
                <w:color w:val="auto"/>
                <w:szCs w:val="21"/>
                <w:lang w:val="en-US" w:eastAsia="zh-CN"/>
              </w:rPr>
              <w:t>或</w:t>
            </w:r>
            <w:r>
              <w:rPr>
                <w:rFonts w:hint="eastAsia" w:ascii="宋体" w:hAnsi="宋体"/>
                <w:color w:val="auto"/>
                <w:szCs w:val="21"/>
              </w:rPr>
              <w:t>团队</w:t>
            </w:r>
            <w:r>
              <w:rPr>
                <w:rFonts w:hint="eastAsia" w:ascii="宋体" w:hAnsi="宋体"/>
                <w:color w:val="auto"/>
                <w:szCs w:val="21"/>
                <w:lang w:val="en-US" w:eastAsia="zh-CN"/>
              </w:rPr>
              <w:t>其他</w:t>
            </w:r>
            <w:r>
              <w:rPr>
                <w:rFonts w:hint="eastAsia" w:ascii="宋体" w:hAnsi="宋体"/>
                <w:color w:val="auto"/>
                <w:szCs w:val="21"/>
              </w:rPr>
              <w:t>人员获得的</w:t>
            </w:r>
            <w:r>
              <w:rPr>
                <w:rFonts w:hint="eastAsia" w:ascii="宋体" w:hAnsi="宋体"/>
                <w:color w:val="auto"/>
                <w:szCs w:val="21"/>
                <w:lang w:val="en-US" w:eastAsia="zh-CN"/>
              </w:rPr>
              <w:t>其他</w:t>
            </w:r>
            <w:r>
              <w:rPr>
                <w:rFonts w:hint="eastAsia" w:ascii="宋体" w:hAnsi="宋体"/>
                <w:color w:val="auto"/>
                <w:szCs w:val="21"/>
              </w:rPr>
              <w:t>相关证书</w:t>
            </w:r>
            <w:r>
              <w:rPr>
                <w:rFonts w:hint="eastAsia" w:ascii="宋体" w:hAnsi="宋体"/>
                <w:color w:val="auto"/>
                <w:szCs w:val="21"/>
                <w:lang w:eastAsia="zh-CN"/>
              </w:rPr>
              <w:t>、</w:t>
            </w:r>
            <w:r>
              <w:rPr>
                <w:rFonts w:hint="eastAsia" w:ascii="宋体" w:hAnsi="宋体"/>
                <w:color w:val="auto"/>
                <w:szCs w:val="21"/>
                <w:lang w:val="en-US" w:eastAsia="zh-CN"/>
              </w:rPr>
              <w:t>荣誉、学历、</w:t>
            </w:r>
            <w:r>
              <w:rPr>
                <w:rFonts w:hint="eastAsia" w:ascii="宋体" w:hAnsi="宋体"/>
                <w:color w:val="auto"/>
                <w:szCs w:val="21"/>
              </w:rPr>
              <w:t>履历情况等。</w:t>
            </w:r>
            <w:r>
              <w:rPr>
                <w:rFonts w:hint="eastAsia" w:ascii="宋体" w:hAnsi="宋体"/>
                <w:color w:val="auto"/>
                <w:szCs w:val="21"/>
                <w:lang w:val="en-US" w:eastAsia="zh-CN"/>
              </w:rPr>
              <w:t>0-2分。</w:t>
            </w:r>
          </w:p>
          <w:p>
            <w:pPr>
              <w:spacing w:line="440" w:lineRule="exact"/>
              <w:jc w:val="left"/>
              <w:rPr>
                <w:rFonts w:hint="eastAsia" w:ascii="宋体" w:hAnsi="宋体" w:eastAsia="宋体" w:cs="宋体"/>
                <w:color w:val="auto"/>
                <w:sz w:val="21"/>
                <w:szCs w:val="21"/>
              </w:rPr>
            </w:pPr>
            <w:r>
              <w:rPr>
                <w:rFonts w:hint="eastAsia" w:ascii="宋体" w:hAnsi="宋体"/>
                <w:color w:val="auto"/>
                <w:szCs w:val="21"/>
              </w:rPr>
              <w:t>注：以上人员均须提供社保缴纳证明材料。</w:t>
            </w:r>
          </w:p>
        </w:tc>
        <w:tc>
          <w:tcPr>
            <w:tcW w:w="849" w:type="dxa"/>
            <w:tcBorders>
              <w:tl2br w:val="nil"/>
              <w:tr2bl w:val="nil"/>
            </w:tcBorders>
            <w:vAlign w:val="center"/>
          </w:tcPr>
          <w:p>
            <w:pPr>
              <w:numPr>
                <w:ilvl w:val="0"/>
                <w:numId w:val="0"/>
              </w:numPr>
              <w:spacing w:line="30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1、0-1</w:t>
            </w:r>
          </w:p>
          <w:p>
            <w:pPr>
              <w:numPr>
                <w:ilvl w:val="0"/>
                <w:numId w:val="0"/>
              </w:numPr>
              <w:spacing w:line="300" w:lineRule="auto"/>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Cs w:val="21"/>
                <w:lang w:val="en-US" w:eastAsia="zh-CN"/>
              </w:rPr>
              <w:t>2、0-</w:t>
            </w:r>
            <w:r>
              <w:rPr>
                <w:rFonts w:hint="eastAsia" w:ascii="宋体" w:hAnsi="宋体" w:cs="宋体"/>
                <w:color w:val="auto"/>
                <w:szCs w:val="21"/>
                <w:lang w:val="en-US" w:eastAsia="zh-CN"/>
              </w:rPr>
              <w:t>2</w:t>
            </w:r>
          </w:p>
        </w:tc>
        <w:tc>
          <w:tcPr>
            <w:tcW w:w="1401" w:type="dxa"/>
            <w:tcBorders>
              <w:tl2br w:val="nil"/>
              <w:tr2bl w:val="nil"/>
            </w:tcBorders>
            <w:vAlign w:val="center"/>
          </w:tcPr>
          <w:p>
            <w:pPr>
              <w:numPr>
                <w:ilvl w:val="0"/>
                <w:numId w:val="0"/>
              </w:numPr>
              <w:spacing w:line="300" w:lineRule="auto"/>
              <w:jc w:val="center"/>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客观分</w:t>
            </w:r>
          </w:p>
          <w:p>
            <w:pPr>
              <w:tabs>
                <w:tab w:val="left" w:pos="312"/>
              </w:tabs>
              <w:spacing w:line="300" w:lineRule="auto"/>
              <w:ind w:firstLine="105" w:firstLineChars="50"/>
              <w:jc w:val="center"/>
              <w:rPr>
                <w:rFonts w:hint="eastAsia" w:ascii="宋体" w:hAnsi="宋体" w:eastAsia="宋体" w:cs="宋体"/>
                <w:color w:val="auto"/>
                <w:sz w:val="21"/>
                <w:szCs w:val="21"/>
              </w:rPr>
            </w:pPr>
            <w:r>
              <w:rPr>
                <w:rFonts w:hint="eastAsia" w:ascii="宋体" w:hAnsi="宋体" w:cs="宋体"/>
                <w:color w:val="auto"/>
                <w:szCs w:val="21"/>
                <w:lang w:val="en-US" w:eastAsia="zh-CN"/>
              </w:rPr>
              <w:t>2、</w:t>
            </w:r>
            <w:r>
              <w:rPr>
                <w:rFonts w:hint="eastAsia" w:ascii="宋体" w:hAnsi="宋体" w:cs="宋体"/>
                <w:color w:val="auto"/>
                <w:szCs w:val="21"/>
                <w:lang w:eastAsia="zh-CN"/>
              </w:rPr>
              <w:t>主观</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554" w:type="dxa"/>
            <w:vMerge w:val="continue"/>
            <w:tcBorders>
              <w:tl2br w:val="nil"/>
              <w:tr2bl w:val="nil"/>
            </w:tcBorders>
            <w:vAlign w:val="center"/>
          </w:tcPr>
          <w:p>
            <w:pPr>
              <w:pStyle w:val="838"/>
              <w:widowControl/>
              <w:tabs>
                <w:tab w:val="left" w:pos="0"/>
                <w:tab w:val="clear" w:pos="8268"/>
              </w:tabs>
              <w:spacing w:line="360" w:lineRule="auto"/>
              <w:jc w:val="center"/>
              <w:rPr>
                <w:rFonts w:hint="eastAsia" w:ascii="宋体" w:hAnsi="宋体" w:eastAsia="宋体" w:cs="宋体"/>
                <w:color w:val="auto"/>
                <w:sz w:val="21"/>
                <w:szCs w:val="21"/>
              </w:rPr>
            </w:pPr>
          </w:p>
        </w:tc>
        <w:tc>
          <w:tcPr>
            <w:tcW w:w="1500" w:type="dxa"/>
            <w:tcBorders>
              <w:tl2br w:val="nil"/>
              <w:tr2bl w:val="nil"/>
            </w:tcBorders>
            <w:vAlign w:val="center"/>
          </w:tcPr>
          <w:p>
            <w:pPr>
              <w:widowControl/>
              <w:spacing w:line="440" w:lineRule="exact"/>
              <w:jc w:val="center"/>
              <w:rPr>
                <w:rFonts w:ascii="宋体" w:hAnsi="宋体" w:cs="宋体"/>
                <w:color w:val="auto"/>
                <w:spacing w:val="11"/>
                <w:szCs w:val="21"/>
              </w:rPr>
            </w:pPr>
            <w:r>
              <w:rPr>
                <w:rFonts w:hint="eastAsia" w:ascii="宋体" w:hAnsi="宋体" w:cs="宋体"/>
                <w:color w:val="auto"/>
                <w:spacing w:val="11"/>
                <w:szCs w:val="21"/>
              </w:rPr>
              <w:t>售后服务</w:t>
            </w:r>
          </w:p>
          <w:p>
            <w:pPr>
              <w:widowControl/>
              <w:spacing w:line="440" w:lineRule="exact"/>
              <w:jc w:val="center"/>
              <w:rPr>
                <w:rFonts w:hint="eastAsia" w:ascii="宋体" w:hAnsi="宋体" w:eastAsia="宋体" w:cs="宋体"/>
                <w:color w:val="auto"/>
                <w:sz w:val="21"/>
                <w:szCs w:val="21"/>
              </w:rPr>
            </w:pPr>
            <w:r>
              <w:rPr>
                <w:rFonts w:hint="eastAsia" w:ascii="宋体" w:hAnsi="宋体" w:cs="宋体"/>
                <w:color w:val="auto"/>
                <w:spacing w:val="11"/>
                <w:szCs w:val="21"/>
                <w:lang w:val="en-US" w:eastAsia="zh-CN"/>
              </w:rPr>
              <w:t>8</w:t>
            </w:r>
            <w:r>
              <w:rPr>
                <w:rFonts w:hint="eastAsia" w:ascii="宋体" w:hAnsi="宋体" w:cs="宋体"/>
                <w:color w:val="auto"/>
                <w:spacing w:val="11"/>
                <w:szCs w:val="21"/>
              </w:rPr>
              <w:t>分</w:t>
            </w:r>
          </w:p>
        </w:tc>
        <w:tc>
          <w:tcPr>
            <w:tcW w:w="6059" w:type="dxa"/>
            <w:tcBorders>
              <w:tl2br w:val="nil"/>
              <w:tr2bl w:val="nil"/>
            </w:tcBorders>
            <w:vAlign w:val="center"/>
          </w:tcPr>
          <w:p>
            <w:pPr>
              <w:spacing w:line="440" w:lineRule="exact"/>
              <w:jc w:val="left"/>
              <w:rPr>
                <w:rFonts w:ascii="宋体" w:hAnsi="宋体" w:cs="宋体"/>
                <w:color w:val="auto"/>
                <w:szCs w:val="21"/>
              </w:rPr>
            </w:pPr>
            <w:r>
              <w:rPr>
                <w:rFonts w:hint="eastAsia" w:ascii="宋体" w:hAnsi="宋体" w:cs="宋体"/>
                <w:color w:val="auto"/>
                <w:szCs w:val="21"/>
              </w:rPr>
              <w:t>1、免费质保期为</w:t>
            </w:r>
            <w:r>
              <w:rPr>
                <w:rFonts w:hint="eastAsia" w:ascii="宋体" w:hAnsi="宋体" w:cs="宋体"/>
                <w:color w:val="auto"/>
                <w:szCs w:val="21"/>
                <w:lang w:val="en-US" w:eastAsia="zh-CN"/>
              </w:rPr>
              <w:t>1</w:t>
            </w:r>
            <w:r>
              <w:rPr>
                <w:rFonts w:hint="eastAsia" w:ascii="宋体" w:hAnsi="宋体" w:cs="宋体"/>
                <w:color w:val="auto"/>
                <w:szCs w:val="21"/>
              </w:rPr>
              <w:t>年基础上，每增加0.5年加1分，最高得</w:t>
            </w:r>
            <w:r>
              <w:rPr>
                <w:rFonts w:hint="eastAsia" w:ascii="宋体" w:hAnsi="宋体" w:cs="宋体"/>
                <w:color w:val="auto"/>
                <w:szCs w:val="21"/>
                <w:lang w:val="en-US" w:eastAsia="zh-CN"/>
              </w:rPr>
              <w:t>2</w:t>
            </w:r>
            <w:r>
              <w:rPr>
                <w:rFonts w:hint="eastAsia" w:ascii="宋体" w:hAnsi="宋体" w:cs="宋体"/>
                <w:color w:val="auto"/>
                <w:szCs w:val="21"/>
              </w:rPr>
              <w:t>分；</w:t>
            </w:r>
          </w:p>
          <w:p>
            <w:pPr>
              <w:spacing w:line="440" w:lineRule="exact"/>
              <w:jc w:val="left"/>
              <w:rPr>
                <w:rFonts w:ascii="宋体" w:hAnsi="宋体" w:cs="宋体"/>
                <w:color w:val="auto"/>
                <w:szCs w:val="21"/>
              </w:rPr>
            </w:pPr>
            <w:r>
              <w:rPr>
                <w:rFonts w:hint="eastAsia" w:ascii="宋体" w:hAnsi="宋体" w:cs="宋体"/>
                <w:color w:val="auto"/>
                <w:szCs w:val="21"/>
              </w:rPr>
              <w:t>2、设立固定售后服务电话，提供7*24小时售后服务热线的得2分，需提供相关承诺或证明文件；</w:t>
            </w:r>
          </w:p>
          <w:p>
            <w:pPr>
              <w:spacing w:line="440" w:lineRule="exact"/>
              <w:jc w:val="left"/>
              <w:rPr>
                <w:rFonts w:hint="eastAsia" w:ascii="宋体" w:hAnsi="宋体" w:eastAsia="宋体" w:cs="宋体"/>
                <w:color w:val="auto"/>
                <w:sz w:val="21"/>
                <w:szCs w:val="21"/>
              </w:rPr>
            </w:pPr>
            <w:r>
              <w:rPr>
                <w:rFonts w:hint="eastAsia" w:ascii="宋体" w:hAnsi="宋体" w:cs="宋体"/>
                <w:color w:val="auto"/>
                <w:szCs w:val="21"/>
              </w:rPr>
              <w:t>3、售后服务维保方案，从日常售后服务和响应、操作培训、服务维修、应急服务和响应、产品和大型设备日常维保的频度及措施、日常维修备件等方面综合评分。</w:t>
            </w:r>
          </w:p>
        </w:tc>
        <w:tc>
          <w:tcPr>
            <w:tcW w:w="849" w:type="dxa"/>
            <w:tcBorders>
              <w:tl2br w:val="nil"/>
              <w:tr2bl w:val="nil"/>
            </w:tcBorders>
            <w:vAlign w:val="center"/>
          </w:tcPr>
          <w:p>
            <w:pPr>
              <w:spacing w:line="300" w:lineRule="auto"/>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0-</w:t>
            </w:r>
            <w:r>
              <w:rPr>
                <w:rFonts w:hint="eastAsia" w:ascii="宋体" w:hAnsi="宋体" w:cs="宋体"/>
                <w:color w:val="auto"/>
                <w:szCs w:val="21"/>
                <w:lang w:val="en-US" w:eastAsia="zh-CN"/>
              </w:rPr>
              <w:t>2</w:t>
            </w:r>
          </w:p>
          <w:p>
            <w:pPr>
              <w:spacing w:line="300" w:lineRule="auto"/>
              <w:jc w:val="center"/>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w:t>
            </w:r>
            <w:r>
              <w:rPr>
                <w:rFonts w:hint="eastAsia" w:ascii="宋体" w:hAnsi="宋体" w:cs="宋体"/>
                <w:color w:val="auto"/>
                <w:szCs w:val="21"/>
              </w:rPr>
              <w:t>0-2</w:t>
            </w:r>
          </w:p>
          <w:p>
            <w:pPr>
              <w:spacing w:line="300" w:lineRule="auto"/>
              <w:jc w:val="center"/>
              <w:rPr>
                <w:rFonts w:hint="eastAsia" w:ascii="宋体" w:hAnsi="宋体" w:eastAsia="宋体" w:cs="宋体"/>
                <w:color w:val="auto"/>
                <w:sz w:val="21"/>
                <w:szCs w:val="21"/>
                <w:lang w:val="en-US" w:eastAsia="zh-CN"/>
              </w:rPr>
            </w:pP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0-</w:t>
            </w:r>
            <w:r>
              <w:rPr>
                <w:rFonts w:hint="eastAsia" w:ascii="宋体" w:hAnsi="宋体" w:cs="宋体"/>
                <w:color w:val="auto"/>
                <w:szCs w:val="21"/>
                <w:lang w:val="en-US" w:eastAsia="zh-CN"/>
              </w:rPr>
              <w:t>4</w:t>
            </w:r>
          </w:p>
        </w:tc>
        <w:tc>
          <w:tcPr>
            <w:tcW w:w="1401" w:type="dxa"/>
            <w:tcBorders>
              <w:tl2br w:val="nil"/>
              <w:tr2bl w:val="nil"/>
            </w:tcBorders>
            <w:vAlign w:val="center"/>
          </w:tcPr>
          <w:p>
            <w:pPr>
              <w:numPr>
                <w:ilvl w:val="0"/>
                <w:numId w:val="0"/>
              </w:numPr>
              <w:spacing w:line="300" w:lineRule="auto"/>
              <w:jc w:val="center"/>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lang w:eastAsia="zh-CN"/>
              </w:rPr>
              <w:t>、</w:t>
            </w:r>
            <w:r>
              <w:rPr>
                <w:rFonts w:hint="eastAsia" w:ascii="宋体" w:hAnsi="宋体" w:cs="宋体"/>
                <w:color w:val="auto"/>
                <w:szCs w:val="21"/>
              </w:rPr>
              <w:t>客观分</w:t>
            </w:r>
          </w:p>
          <w:p>
            <w:pPr>
              <w:numPr>
                <w:ilvl w:val="0"/>
                <w:numId w:val="0"/>
              </w:numPr>
              <w:spacing w:line="300" w:lineRule="auto"/>
              <w:jc w:val="center"/>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客观分</w:t>
            </w:r>
          </w:p>
          <w:p>
            <w:pPr>
              <w:spacing w:line="300" w:lineRule="auto"/>
              <w:jc w:val="center"/>
              <w:rPr>
                <w:rFonts w:hint="eastAsia" w:ascii="宋体" w:hAnsi="宋体" w:eastAsia="宋体" w:cs="宋体"/>
                <w:color w:val="auto"/>
                <w:sz w:val="21"/>
                <w:szCs w:val="21"/>
              </w:rPr>
            </w:pPr>
            <w:r>
              <w:rPr>
                <w:rFonts w:hint="eastAsia" w:ascii="宋体" w:hAnsi="宋体" w:cs="宋体"/>
                <w:color w:val="auto"/>
                <w:szCs w:val="21"/>
                <w:lang w:val="en-US" w:eastAsia="zh-CN"/>
              </w:rPr>
              <w:t>3、</w:t>
            </w:r>
            <w:r>
              <w:rPr>
                <w:rFonts w:hint="eastAsia" w:ascii="宋体" w:hAnsi="宋体" w:cs="宋体"/>
                <w:color w:val="auto"/>
                <w:szCs w:val="21"/>
                <w:lang w:eastAsia="zh-CN"/>
              </w:rPr>
              <w:t>主观</w:t>
            </w:r>
            <w:r>
              <w:rPr>
                <w:rFonts w:hint="eastAsia" w:ascii="宋体" w:hAnsi="宋体" w:cs="宋体"/>
                <w:color w:val="auto"/>
                <w:szCs w:val="21"/>
              </w:rPr>
              <w:t>分</w:t>
            </w:r>
          </w:p>
        </w:tc>
      </w:tr>
    </w:tbl>
    <w:p>
      <w:pPr>
        <w:spacing w:beforeLines="50" w:line="360" w:lineRule="auto"/>
        <w:rPr>
          <w:rFonts w:hint="eastAsia" w:ascii="宋体" w:hAnsi="宋体" w:cs="宋体"/>
          <w:b/>
          <w:bCs/>
          <w:color w:val="auto"/>
          <w:kern w:val="0"/>
          <w:szCs w:val="21"/>
          <w:lang w:eastAsia="zh-CN"/>
        </w:rPr>
      </w:pPr>
      <w:r>
        <w:rPr>
          <w:rFonts w:hint="eastAsia" w:ascii="宋体" w:hAnsi="宋体" w:cs="宋体"/>
          <w:b/>
          <w:bCs/>
          <w:color w:val="auto"/>
          <w:kern w:val="0"/>
          <w:szCs w:val="21"/>
        </w:rPr>
        <w:t>注：上述要求提供证书、证明材料、发票、检测报告等均必须在电子标书中上传原件扫描件或图片，不是原件的该项不得分</w:t>
      </w:r>
      <w:r>
        <w:rPr>
          <w:rFonts w:hint="eastAsia" w:ascii="宋体" w:hAnsi="宋体" w:cs="宋体"/>
          <w:b/>
          <w:bCs/>
          <w:color w:val="auto"/>
          <w:kern w:val="0"/>
          <w:szCs w:val="21"/>
          <w:lang w:eastAsia="zh-CN"/>
        </w:rPr>
        <w:t>。</w:t>
      </w:r>
    </w:p>
    <w:p>
      <w:pPr>
        <w:spacing w:beforeLines="50" w:line="360" w:lineRule="auto"/>
        <w:jc w:val="center"/>
        <w:rPr>
          <w:rFonts w:hint="eastAsia" w:ascii="仿宋" w:hAnsi="仿宋" w:eastAsia="仿宋" w:cs="仿宋_GB2312"/>
          <w:b/>
          <w:color w:val="auto"/>
          <w:sz w:val="36"/>
          <w:szCs w:val="36"/>
        </w:rPr>
      </w:pPr>
    </w:p>
    <w:p>
      <w:pPr>
        <w:spacing w:beforeLines="50" w:line="360" w:lineRule="auto"/>
        <w:jc w:val="center"/>
        <w:rPr>
          <w:rFonts w:hint="eastAsia" w:ascii="仿宋" w:hAnsi="仿宋" w:eastAsia="仿宋" w:cs="仿宋_GB2312"/>
          <w:b/>
          <w:color w:val="auto"/>
          <w:sz w:val="36"/>
          <w:szCs w:val="36"/>
        </w:rPr>
      </w:pPr>
    </w:p>
    <w:p>
      <w:pPr>
        <w:spacing w:beforeLines="50" w:line="360" w:lineRule="auto"/>
        <w:jc w:val="center"/>
        <w:rPr>
          <w:rFonts w:hint="eastAsia" w:ascii="仿宋" w:hAnsi="仿宋" w:eastAsia="仿宋" w:cs="仿宋_GB2312"/>
          <w:b/>
          <w:color w:val="auto"/>
          <w:sz w:val="36"/>
          <w:szCs w:val="36"/>
        </w:rPr>
      </w:pPr>
    </w:p>
    <w:p>
      <w:pPr>
        <w:spacing w:beforeLines="50" w:line="360" w:lineRule="auto"/>
        <w:jc w:val="center"/>
        <w:rPr>
          <w:color w:val="auto"/>
        </w:rPr>
      </w:pPr>
      <w:r>
        <w:rPr>
          <w:rFonts w:hint="eastAsia" w:ascii="仿宋" w:hAnsi="仿宋" w:eastAsia="仿宋" w:cs="仿宋_GB2312"/>
          <w:b/>
          <w:color w:val="auto"/>
          <w:sz w:val="36"/>
          <w:szCs w:val="36"/>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8"/>
          <w:szCs w:val="28"/>
        </w:rPr>
      </w:pPr>
      <w:r>
        <w:rPr>
          <w:rFonts w:hint="eastAsia" w:ascii="宋体" w:hAnsi="宋体" w:cs="宋体"/>
          <w:color w:val="auto"/>
          <w:kern w:val="0"/>
          <w:sz w:val="28"/>
          <w:szCs w:val="28"/>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政府采购计划（预算）确认书编号：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预算金额：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采购人（以下称甲方）：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采购代理机构：嘉善县公共资源交易中心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采购方式：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rPr>
        <w:t>采购文件编号：</w:t>
      </w:r>
      <w:r>
        <w:rPr>
          <w:rFonts w:hint="eastAsia" w:ascii="宋体" w:hAnsi="宋体" w:cs="宋体"/>
          <w:color w:val="auto"/>
          <w:kern w:val="0"/>
          <w:sz w:val="24"/>
          <w:u w:val="singl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根据《中华人民共和国政府采购法》、《中华人民共和国合同法》等法律法规的规定，甲乙双方按照</w:t>
      </w:r>
      <w:r>
        <w:rPr>
          <w:rFonts w:hint="eastAsia" w:ascii="宋体" w:hAnsi="宋体" w:cs="宋体"/>
          <w:color w:val="auto"/>
          <w:kern w:val="0"/>
          <w:sz w:val="24"/>
          <w:u w:val="single"/>
        </w:rPr>
        <w:t xml:space="preserve">                              </w:t>
      </w:r>
      <w:r>
        <w:rPr>
          <w:rFonts w:hint="eastAsia" w:ascii="宋体" w:hAnsi="宋体" w:cs="宋体"/>
          <w:color w:val="auto"/>
          <w:kern w:val="0"/>
          <w:sz w:val="24"/>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u w:val="single"/>
        </w:rPr>
      </w:pPr>
      <w:r>
        <w:rPr>
          <w:rFonts w:hint="eastAsia" w:ascii="宋体" w:hAnsi="宋体" w:cs="宋体"/>
          <w:color w:val="auto"/>
          <w:kern w:val="0"/>
          <w:sz w:val="24"/>
        </w:rPr>
        <w:t>1、本次采购的是</w:t>
      </w:r>
      <w:r>
        <w:rPr>
          <w:rFonts w:hint="eastAsia" w:ascii="宋体" w:hAnsi="宋体" w:cs="宋体"/>
          <w:color w:val="auto"/>
          <w:kern w:val="0"/>
          <w:sz w:val="24"/>
          <w:u w:val="singl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1、本合同项下总价款为人民币（大写）</w:t>
      </w:r>
      <w:r>
        <w:rPr>
          <w:rFonts w:hint="eastAsia" w:ascii="宋体" w:hAnsi="宋体" w:cs="宋体"/>
          <w:color w:val="auto"/>
          <w:kern w:val="0"/>
          <w:sz w:val="24"/>
          <w:u w:val="single"/>
        </w:rPr>
        <w:t xml:space="preserve">                                 </w:t>
      </w:r>
      <w:r>
        <w:rPr>
          <w:rFonts w:hint="eastAsia" w:ascii="宋体" w:hAnsi="宋体" w:cs="宋体"/>
          <w:color w:val="auto"/>
          <w:kern w:val="0"/>
          <w:sz w:val="24"/>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2、本合同总价款含所有税费(包括货款、标准附件、备品备件、专用工具、包装、运输、装卸、保险、税金、货到就位以及安装、调试、培训、保修等一切税金和费用。)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3、本项目资金来源性质为以下第</w:t>
      </w:r>
      <w:r>
        <w:rPr>
          <w:rFonts w:hint="eastAsia" w:ascii="宋体" w:hAnsi="宋体" w:cs="宋体"/>
          <w:color w:val="auto"/>
          <w:kern w:val="0"/>
          <w:sz w:val="24"/>
          <w:u w:val="single"/>
        </w:rPr>
        <w:t xml:space="preserve">           </w:t>
      </w:r>
      <w:r>
        <w:rPr>
          <w:rFonts w:hint="eastAsia" w:ascii="宋体" w:hAnsi="宋体" w:cs="宋体"/>
          <w:color w:val="auto"/>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4、本合同付款方式为以下第</w:t>
      </w:r>
      <w:r>
        <w:rPr>
          <w:rFonts w:hint="eastAsia" w:ascii="宋体" w:hAnsi="宋体" w:cs="宋体"/>
          <w:color w:val="auto"/>
          <w:kern w:val="0"/>
          <w:sz w:val="24"/>
          <w:u w:val="single"/>
        </w:rPr>
        <w:t xml:space="preserve">           </w:t>
      </w:r>
      <w:r>
        <w:rPr>
          <w:rFonts w:hint="eastAsia" w:ascii="宋体" w:hAnsi="宋体" w:cs="宋体"/>
          <w:color w:val="auto"/>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（1）本合同项下的采购资金系甲方自行支付，付款程序为</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（2）本合同项下的采购资金须财政直接支付，付款程序为</w:t>
      </w:r>
      <w:r>
        <w:rPr>
          <w:rFonts w:hint="eastAsia" w:ascii="宋体" w:hAnsi="宋体" w:cs="宋体"/>
          <w:color w:val="auto"/>
          <w:kern w:val="0"/>
          <w:sz w:val="24"/>
          <w:u w:val="single"/>
        </w:rPr>
        <w:t>甲方根据年初预算申请生成用款计划，再在支付管理系统中发起授权支付申请，财政核算（支付)中心凭确认书、合同、验收单、发票进行审核支付</w:t>
      </w:r>
      <w:r>
        <w:rPr>
          <w:rFonts w:hint="eastAsia" w:ascii="宋体" w:hAnsi="宋体" w:cs="宋体"/>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5、本合同项下的采购资金付款进度按采购文件与投标文件（或采购响应文件）规定，未规定时按以下第</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（1）一次性付款：乙方合同履行达到</w:t>
      </w:r>
      <w:r>
        <w:rPr>
          <w:rFonts w:hint="eastAsia" w:ascii="宋体" w:hAnsi="宋体" w:cs="宋体"/>
          <w:color w:val="auto"/>
          <w:kern w:val="0"/>
          <w:sz w:val="24"/>
          <w:u w:val="single"/>
        </w:rPr>
        <w:t xml:space="preserve">         </w:t>
      </w:r>
      <w:r>
        <w:rPr>
          <w:rFonts w:hint="eastAsia" w:ascii="宋体" w:hAnsi="宋体" w:cs="宋体"/>
          <w:color w:val="auto"/>
          <w:kern w:val="0"/>
          <w:sz w:val="24"/>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（2）分期付款：</w:t>
      </w:r>
      <w:r>
        <w:rPr>
          <w:rFonts w:hint="eastAsia" w:ascii="宋体" w:hAnsi="宋体" w:cs="宋体"/>
          <w:color w:val="auto"/>
          <w:kern w:val="0"/>
          <w:sz w:val="24"/>
          <w:u w:val="single"/>
        </w:rPr>
        <w:t xml:space="preserve">              </w:t>
      </w:r>
      <w:r>
        <w:rPr>
          <w:rFonts w:hint="eastAsia" w:ascii="宋体" w:hAnsi="宋体" w:cs="宋体"/>
          <w:color w:val="auto"/>
          <w:kern w:val="0"/>
          <w:sz w:val="24"/>
        </w:rPr>
        <w:t>时支付</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color w:val="auto"/>
          <w:kern w:val="0"/>
          <w:sz w:val="24"/>
          <w:u w:val="single"/>
        </w:rPr>
        <w:t xml:space="preserve">               </w:t>
      </w:r>
      <w:r>
        <w:rPr>
          <w:rFonts w:hint="eastAsia" w:ascii="宋体" w:hAnsi="宋体" w:cs="宋体"/>
          <w:color w:val="auto"/>
          <w:kern w:val="0"/>
          <w:sz w:val="24"/>
        </w:rPr>
        <w:t>时支付</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color w:val="auto"/>
          <w:kern w:val="0"/>
          <w:sz w:val="24"/>
          <w:u w:val="single"/>
        </w:rPr>
        <w:t xml:space="preserve">            </w:t>
      </w:r>
      <w:r>
        <w:rPr>
          <w:rFonts w:hint="eastAsia" w:ascii="宋体" w:hAnsi="宋体" w:cs="宋体"/>
          <w:color w:val="auto"/>
          <w:kern w:val="0"/>
          <w:sz w:val="24"/>
        </w:rPr>
        <w:t>时支付</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rPr>
      </w:pPr>
      <w:r>
        <w:rPr>
          <w:rFonts w:hint="eastAsia" w:ascii="宋体" w:hAnsi="宋体" w:cs="宋体"/>
          <w:color w:val="auto"/>
          <w:kern w:val="0"/>
          <w:sz w:val="24"/>
        </w:rPr>
        <w:t>按以下第</w:t>
      </w:r>
      <w:r>
        <w:rPr>
          <w:rFonts w:hint="eastAsia" w:ascii="宋体" w:hAnsi="宋体" w:cs="宋体"/>
          <w:color w:val="auto"/>
          <w:kern w:val="0"/>
          <w:sz w:val="24"/>
          <w:u w:val="single"/>
        </w:rPr>
        <w:t xml:space="preserve">         </w:t>
      </w:r>
      <w:r>
        <w:rPr>
          <w:rFonts w:hint="eastAsia" w:ascii="宋体" w:hAnsi="宋体" w:cs="宋体"/>
          <w:color w:val="auto"/>
          <w:kern w:val="0"/>
          <w:sz w:val="24"/>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1、本项目设置履约保证金，乙方应于</w:t>
      </w:r>
      <w:r>
        <w:rPr>
          <w:rFonts w:hint="eastAsia" w:ascii="宋体" w:hAnsi="宋体" w:cs="宋体"/>
          <w:color w:val="auto"/>
          <w:kern w:val="0"/>
          <w:sz w:val="24"/>
          <w:u w:val="single"/>
        </w:rPr>
        <w:t xml:space="preserve">         </w:t>
      </w:r>
      <w:r>
        <w:rPr>
          <w:rFonts w:hint="eastAsia" w:ascii="宋体" w:hAnsi="宋体" w:cs="宋体"/>
          <w:color w:val="auto"/>
          <w:kern w:val="0"/>
          <w:sz w:val="24"/>
        </w:rPr>
        <w:t>（时间）向甲方提交履约保证金</w:t>
      </w:r>
      <w:r>
        <w:rPr>
          <w:rFonts w:hint="eastAsia" w:ascii="宋体" w:hAnsi="宋体" w:cs="宋体"/>
          <w:color w:val="auto"/>
          <w:kern w:val="0"/>
          <w:sz w:val="24"/>
          <w:u w:val="single"/>
        </w:rPr>
        <w:t xml:space="preserve">         </w:t>
      </w:r>
      <w:r>
        <w:rPr>
          <w:rFonts w:hint="eastAsia" w:ascii="宋体" w:hAnsi="宋体" w:cs="宋体"/>
          <w:color w:val="auto"/>
          <w:kern w:val="0"/>
          <w:sz w:val="24"/>
        </w:rPr>
        <w:t>元（不得高于本合同金额的</w:t>
      </w:r>
      <w:r>
        <w:rPr>
          <w:rFonts w:hint="eastAsia" w:ascii="宋体" w:hAnsi="宋体" w:cs="宋体"/>
          <w:color w:val="auto"/>
          <w:kern w:val="0"/>
          <w:sz w:val="24"/>
          <w:lang w:val="en-US" w:eastAsia="zh-CN"/>
        </w:rPr>
        <w:t>1</w:t>
      </w:r>
      <w:r>
        <w:rPr>
          <w:rFonts w:hint="eastAsia" w:ascii="宋体" w:hAnsi="宋体" w:cs="宋体"/>
          <w:color w:val="auto"/>
          <w:kern w:val="0"/>
          <w:sz w:val="24"/>
        </w:rPr>
        <w:t>%）。履约保证金在</w:t>
      </w:r>
      <w:r>
        <w:rPr>
          <w:rFonts w:hint="eastAsia" w:ascii="宋体" w:hAnsi="宋体" w:cs="宋体"/>
          <w:color w:val="auto"/>
          <w:kern w:val="0"/>
          <w:sz w:val="24"/>
          <w:u w:val="single"/>
        </w:rPr>
        <w:t xml:space="preserve">         </w:t>
      </w:r>
      <w:r>
        <w:rPr>
          <w:rFonts w:hint="eastAsia" w:ascii="宋体" w:hAnsi="宋体" w:cs="宋体"/>
          <w:color w:val="auto"/>
          <w:kern w:val="0"/>
          <w:sz w:val="24"/>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rPr>
      </w:pPr>
      <w:r>
        <w:rPr>
          <w:rFonts w:hint="eastAsia" w:ascii="宋体" w:hAnsi="宋体" w:cs="宋体"/>
          <w:color w:val="auto"/>
          <w:kern w:val="0"/>
          <w:sz w:val="24"/>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乙方不得擅自部分或全部转让其应履行的合同义务。乙方分包的，应经过甲方书面同意。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因履行本合同引起的或与本合同有关的争议，甲、乙双方应首先通过友好协商解决，如果协商不能解决争议，则采取以下第</w:t>
      </w:r>
      <w:r>
        <w:rPr>
          <w:rFonts w:hint="eastAsia" w:ascii="宋体" w:hAnsi="宋体" w:cs="宋体"/>
          <w:color w:val="auto"/>
          <w:kern w:val="0"/>
          <w:sz w:val="24"/>
          <w:u w:val="single"/>
        </w:rPr>
        <w:t xml:space="preserve">         </w:t>
      </w:r>
      <w:r>
        <w:rPr>
          <w:rFonts w:hint="eastAsia" w:ascii="宋体" w:hAnsi="宋体" w:cs="宋体"/>
          <w:color w:val="auto"/>
          <w:kern w:val="0"/>
          <w:sz w:val="24"/>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（2）向</w:t>
      </w:r>
      <w:r>
        <w:rPr>
          <w:rFonts w:hint="eastAsia" w:ascii="宋体" w:hAnsi="宋体" w:cs="宋体"/>
          <w:color w:val="auto"/>
          <w:kern w:val="0"/>
          <w:sz w:val="24"/>
          <w:u w:val="single"/>
        </w:rPr>
        <w:t xml:space="preserve">         </w:t>
      </w:r>
      <w:r>
        <w:rPr>
          <w:rFonts w:hint="eastAsia" w:ascii="宋体" w:hAnsi="宋体" w:cs="宋体"/>
          <w:color w:val="auto"/>
          <w:kern w:val="0"/>
          <w:sz w:val="24"/>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本合同一式五份，甲乙双方、财政支付（核算）中心、县财政局、县公共资源交易中心各持一份。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rPr>
      </w:pPr>
      <w:r>
        <w:rPr>
          <w:rFonts w:hint="eastAsia" w:ascii="宋体" w:hAnsi="宋体" w:cs="宋体"/>
          <w:color w:val="auto"/>
          <w:kern w:val="0"/>
          <w:sz w:val="24"/>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rPr>
      </w:pPr>
    </w:p>
    <w:p>
      <w:pPr>
        <w:spacing w:line="480" w:lineRule="exact"/>
        <w:rPr>
          <w:rFonts w:ascii="宋体" w:hAnsi="宋体" w:cs="宋体"/>
          <w:b/>
          <w:color w:val="auto"/>
          <w:sz w:val="24"/>
        </w:rPr>
      </w:pPr>
      <w:r>
        <w:rPr>
          <w:rFonts w:hint="eastAsia" w:ascii="宋体" w:hAnsi="宋体" w:cs="宋体"/>
          <w:b/>
          <w:color w:val="auto"/>
          <w:sz w:val="24"/>
        </w:rPr>
        <w:t>采购人（甲方公章）                    供应商（乙方公章）：</w:t>
      </w:r>
    </w:p>
    <w:p>
      <w:pPr>
        <w:spacing w:line="480" w:lineRule="exact"/>
        <w:rPr>
          <w:rFonts w:ascii="宋体" w:hAnsi="宋体" w:cs="宋体"/>
          <w:b/>
          <w:color w:val="auto"/>
          <w:sz w:val="24"/>
        </w:rPr>
      </w:pPr>
      <w:r>
        <w:rPr>
          <w:rFonts w:hint="eastAsia" w:ascii="宋体" w:hAnsi="宋体" w:cs="宋体"/>
          <w:b/>
          <w:color w:val="auto"/>
          <w:sz w:val="24"/>
        </w:rPr>
        <w:t>法定代表人                            法定代表人</w:t>
      </w:r>
    </w:p>
    <w:p>
      <w:pPr>
        <w:spacing w:line="480" w:lineRule="exact"/>
        <w:rPr>
          <w:rFonts w:ascii="宋体" w:hAnsi="宋体" w:cs="宋体"/>
          <w:b/>
          <w:color w:val="auto"/>
          <w:sz w:val="24"/>
        </w:rPr>
      </w:pPr>
      <w:r>
        <w:rPr>
          <w:rFonts w:hint="eastAsia" w:ascii="宋体" w:hAnsi="宋体" w:cs="宋体"/>
          <w:b/>
          <w:color w:val="auto"/>
          <w:sz w:val="24"/>
        </w:rPr>
        <w:t xml:space="preserve">或被授权人（签字）：                   或被授权人（签字）：     </w:t>
      </w:r>
    </w:p>
    <w:p>
      <w:pPr>
        <w:spacing w:line="480" w:lineRule="exact"/>
        <w:rPr>
          <w:rFonts w:ascii="宋体" w:hAnsi="宋体" w:cs="宋体"/>
          <w:b/>
          <w:color w:val="auto"/>
          <w:sz w:val="24"/>
        </w:rPr>
      </w:pPr>
      <w:r>
        <w:rPr>
          <w:rFonts w:hint="eastAsia" w:ascii="宋体" w:hAnsi="宋体" w:cs="宋体"/>
          <w:b/>
          <w:color w:val="auto"/>
          <w:sz w:val="24"/>
        </w:rPr>
        <w:t xml:space="preserve">电话：                                电话：  </w:t>
      </w:r>
    </w:p>
    <w:p>
      <w:pPr>
        <w:spacing w:line="480" w:lineRule="exact"/>
        <w:ind w:right="480" w:firstLine="2160" w:firstLineChars="900"/>
        <w:jc w:val="center"/>
        <w:rPr>
          <w:rFonts w:ascii="宋体" w:hAnsi="宋体" w:cs="宋体"/>
          <w:color w:val="auto"/>
          <w:sz w:val="24"/>
        </w:rPr>
      </w:pPr>
      <w:r>
        <w:rPr>
          <w:rFonts w:hint="eastAsia" w:ascii="宋体" w:hAnsi="宋体" w:cs="宋体"/>
          <w:color w:val="auto"/>
          <w:sz w:val="24"/>
        </w:rPr>
        <w:t xml:space="preserve">                 </w:t>
      </w:r>
    </w:p>
    <w:p>
      <w:pPr>
        <w:spacing w:line="480" w:lineRule="exact"/>
        <w:ind w:right="480" w:firstLine="2160" w:firstLineChars="900"/>
        <w:jc w:val="center"/>
        <w:rPr>
          <w:rFonts w:ascii="宋体" w:hAnsi="宋体" w:cs="宋体"/>
          <w:color w:val="auto"/>
          <w:sz w:val="24"/>
        </w:rPr>
      </w:pPr>
      <w:r>
        <w:rPr>
          <w:rFonts w:hint="eastAsia" w:ascii="宋体" w:hAnsi="宋体" w:cs="宋体"/>
          <w:color w:val="auto"/>
          <w:sz w:val="24"/>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color w:val="auto"/>
          <w:kern w:val="0"/>
          <w:sz w:val="24"/>
        </w:rPr>
      </w:pPr>
      <w:r>
        <w:rPr>
          <w:rFonts w:hint="eastAsia" w:ascii="宋体" w:hAnsi="宋体" w:cs="宋体"/>
          <w:color w:val="auto"/>
          <w:sz w:val="24"/>
        </w:rPr>
        <w:t xml:space="preserve">签约地点：               </w:t>
      </w:r>
    </w:p>
    <w:p>
      <w:pPr>
        <w:pStyle w:val="34"/>
        <w:spacing w:before="120" w:after="120" w:line="420" w:lineRule="exact"/>
        <w:rPr>
          <w:rFonts w:hAnsi="宋体" w:cs="宋体"/>
          <w:bCs/>
          <w:color w:val="auto"/>
        </w:rPr>
        <w:sectPr>
          <w:footerReference r:id="rId6" w:type="default"/>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p>
    <w:p>
      <w:pPr>
        <w:pStyle w:val="4"/>
        <w:numPr>
          <w:ilvl w:val="0"/>
          <w:numId w:val="6"/>
        </w:numPr>
        <w:jc w:val="center"/>
        <w:rPr>
          <w:rFonts w:ascii="仿宋" w:hAnsi="仿宋" w:eastAsia="仿宋" w:cs="仿宋_GB2312"/>
          <w:bCs w:val="0"/>
          <w:color w:val="auto"/>
          <w:kern w:val="2"/>
          <w:sz w:val="36"/>
          <w:szCs w:val="36"/>
        </w:rPr>
      </w:pPr>
      <w:r>
        <w:rPr>
          <w:rFonts w:hint="eastAsia" w:ascii="仿宋" w:hAnsi="仿宋" w:eastAsia="仿宋" w:cs="仿宋_GB2312"/>
          <w:bCs w:val="0"/>
          <w:color w:val="auto"/>
          <w:kern w:val="2"/>
          <w:sz w:val="36"/>
          <w:szCs w:val="36"/>
        </w:rPr>
        <w:t>投标文件格式</w:t>
      </w:r>
      <w:bookmarkEnd w:id="34"/>
    </w:p>
    <w:p>
      <w:pPr>
        <w:snapToGrid w:val="0"/>
        <w:spacing w:line="360" w:lineRule="auto"/>
        <w:ind w:right="480"/>
        <w:jc w:val="center"/>
        <w:rPr>
          <w:rFonts w:ascii="仿宋_GB2312" w:hAnsi="仿宋" w:eastAsia="仿宋_GB2312" w:cs="仿宋_GB2312"/>
          <w:b/>
          <w:color w:val="auto"/>
          <w:kern w:val="0"/>
          <w:sz w:val="28"/>
          <w:szCs w:val="28"/>
        </w:rPr>
      </w:pPr>
      <w:r>
        <w:rPr>
          <w:rFonts w:ascii="仿宋_GB2312" w:hAnsi="仿宋" w:eastAsia="仿宋_GB2312" w:cs="仿宋_GB2312"/>
          <w:b/>
          <w:color w:val="auto"/>
          <w:kern w:val="0"/>
          <w:sz w:val="28"/>
          <w:szCs w:val="28"/>
        </w:rPr>
        <w:t>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w:t>
      </w:r>
      <w:r>
        <w:rPr>
          <w:rFonts w:hint="eastAsia" w:ascii="仿宋_GB2312" w:hAnsi="仿宋" w:eastAsia="仿宋_GB2312" w:cs="仿宋_GB2312"/>
          <w:color w:val="auto"/>
          <w:sz w:val="24"/>
          <w:lang w:eastAsia="zh-CN"/>
        </w:rPr>
        <w:t>项目</w:t>
      </w:r>
      <w:r>
        <w:rPr>
          <w:rFonts w:hint="eastAsia" w:ascii="仿宋_GB2312" w:hAnsi="仿宋" w:eastAsia="仿宋_GB2312" w:cs="仿宋_GB2312"/>
          <w:color w:val="auto"/>
          <w:sz w:val="24"/>
        </w:rPr>
        <w:t>编号：</w:t>
      </w:r>
      <w:r>
        <w:rPr>
          <w:rFonts w:hint="eastAsia" w:ascii="仿宋_GB2312" w:hAnsi="仿宋" w:eastAsia="仿宋_GB2312" w:cs="仿宋_GB2312"/>
          <w:color w:val="auto"/>
          <w:sz w:val="24"/>
          <w:lang w:val="en-US" w:eastAsia="zh-CN"/>
        </w:rPr>
        <w:t>XXXX</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pStyle w:val="963"/>
        <w:snapToGrid w:val="0"/>
        <w:ind w:firstLine="4809" w:firstLineChars="2004"/>
        <w:jc w:val="right"/>
        <w:rPr>
          <w:rFonts w:hint="eastAsia" w:ascii="宋体" w:eastAsia="宋体"/>
          <w:bCs/>
          <w:color w:val="auto"/>
          <w:sz w:val="24"/>
          <w:szCs w:val="24"/>
        </w:rPr>
      </w:pPr>
    </w:p>
    <w:p>
      <w:pPr>
        <w:pStyle w:val="963"/>
        <w:snapToGrid w:val="0"/>
        <w:ind w:firstLine="4809" w:firstLineChars="2004"/>
        <w:jc w:val="right"/>
        <w:rPr>
          <w:rFonts w:hint="eastAsia" w:ascii="宋体" w:eastAsia="宋体"/>
          <w:bCs/>
          <w:color w:val="auto"/>
          <w:sz w:val="24"/>
          <w:szCs w:val="24"/>
        </w:rPr>
      </w:pPr>
    </w:p>
    <w:p>
      <w:pPr>
        <w:pStyle w:val="963"/>
        <w:snapToGrid w:val="0"/>
        <w:ind w:firstLine="4809" w:firstLineChars="2004"/>
        <w:jc w:val="right"/>
        <w:rPr>
          <w:rFonts w:ascii="宋体" w:eastAsia="宋体"/>
          <w:bCs/>
          <w:color w:val="auto"/>
          <w:sz w:val="24"/>
          <w:szCs w:val="24"/>
        </w:rPr>
      </w:pPr>
      <w:r>
        <w:rPr>
          <w:rFonts w:hint="eastAsia" w:ascii="宋体" w:eastAsia="宋体"/>
          <w:bCs/>
          <w:color w:val="auto"/>
          <w:sz w:val="24"/>
          <w:szCs w:val="24"/>
        </w:rPr>
        <w:t>投标人名称（盖章）：</w:t>
      </w:r>
    </w:p>
    <w:p>
      <w:pPr>
        <w:snapToGrid w:val="0"/>
        <w:jc w:val="right"/>
        <w:rPr>
          <w:rFonts w:hint="eastAsia" w:ascii="宋体" w:eastAsia="宋体"/>
          <w:color w:val="auto"/>
          <w:sz w:val="24"/>
          <w:szCs w:val="24"/>
        </w:rPr>
      </w:pPr>
      <w:r>
        <w:rPr>
          <w:rFonts w:hint="eastAsia" w:ascii="宋体" w:eastAsia="宋体"/>
          <w:bCs/>
          <w:color w:val="auto"/>
          <w:sz w:val="24"/>
          <w:szCs w:val="24"/>
        </w:rPr>
        <w:t>日 期：</w:t>
      </w:r>
      <w:r>
        <w:rPr>
          <w:rFonts w:hint="eastAsia" w:ascii="宋体" w:eastAsia="宋体"/>
          <w:color w:val="auto"/>
          <w:sz w:val="24"/>
          <w:szCs w:val="24"/>
          <w:u w:val="single"/>
        </w:rPr>
        <w:t xml:space="preserve">     </w:t>
      </w:r>
      <w:r>
        <w:rPr>
          <w:rFonts w:hint="eastAsia" w:ascii="宋体" w:eastAsia="宋体"/>
          <w:color w:val="auto"/>
          <w:sz w:val="24"/>
          <w:szCs w:val="24"/>
        </w:rPr>
        <w:t>年</w:t>
      </w:r>
      <w:r>
        <w:rPr>
          <w:rFonts w:hint="eastAsia" w:ascii="宋体" w:eastAsia="宋体"/>
          <w:color w:val="auto"/>
          <w:sz w:val="24"/>
          <w:szCs w:val="24"/>
          <w:u w:val="single"/>
        </w:rPr>
        <w:t xml:space="preserve">   </w:t>
      </w:r>
      <w:r>
        <w:rPr>
          <w:rFonts w:hint="eastAsia" w:ascii="宋体" w:eastAsia="宋体"/>
          <w:color w:val="auto"/>
          <w:sz w:val="24"/>
          <w:szCs w:val="24"/>
        </w:rPr>
        <w:t>月</w:t>
      </w:r>
      <w:r>
        <w:rPr>
          <w:rFonts w:hint="eastAsia" w:ascii="宋体" w:eastAsia="宋体"/>
          <w:color w:val="auto"/>
          <w:sz w:val="24"/>
          <w:szCs w:val="24"/>
          <w:u w:val="single"/>
        </w:rPr>
        <w:t xml:space="preserve">   </w:t>
      </w:r>
      <w:r>
        <w:rPr>
          <w:rFonts w:hint="eastAsia" w:ascii="宋体" w:eastAsia="宋体"/>
          <w:color w:val="auto"/>
          <w:sz w:val="24"/>
          <w:szCs w:val="24"/>
        </w:rPr>
        <w:t>日</w:t>
      </w:r>
    </w:p>
    <w:p>
      <w:pPr>
        <w:snapToGrid w:val="0"/>
        <w:jc w:val="center"/>
        <w:rPr>
          <w:rFonts w:hint="eastAsia" w:ascii="宋体" w:eastAsia="宋体"/>
          <w:color w:val="auto"/>
          <w:sz w:val="24"/>
          <w:szCs w:val="24"/>
        </w:rPr>
      </w:pPr>
    </w:p>
    <w:p>
      <w:pPr>
        <w:snapToGrid w:val="0"/>
        <w:jc w:val="center"/>
        <w:rPr>
          <w:rFonts w:hint="eastAsia" w:ascii="宋体" w:eastAsia="宋体"/>
          <w:color w:val="auto"/>
          <w:sz w:val="24"/>
          <w:szCs w:val="24"/>
        </w:rPr>
      </w:pPr>
    </w:p>
    <w:p>
      <w:pPr>
        <w:snapToGrid w:val="0"/>
        <w:jc w:val="center"/>
        <w:rPr>
          <w:rFonts w:hint="eastAsia" w:ascii="宋体" w:eastAsia="宋体"/>
          <w:color w:val="auto"/>
          <w:sz w:val="24"/>
          <w:szCs w:val="24"/>
        </w:rPr>
      </w:pPr>
    </w:p>
    <w:p>
      <w:pPr>
        <w:snapToGrid w:val="0"/>
        <w:jc w:val="center"/>
        <w:rPr>
          <w:rFonts w:hint="eastAsia" w:ascii="宋体" w:eastAsia="宋体"/>
          <w:color w:val="auto"/>
          <w:sz w:val="24"/>
          <w:szCs w:val="24"/>
        </w:rPr>
      </w:pPr>
    </w:p>
    <w:p>
      <w:pPr>
        <w:snapToGrid w:val="0"/>
        <w:jc w:val="center"/>
        <w:rPr>
          <w:rFonts w:hint="eastAsia" w:ascii="宋体" w:eastAsia="宋体"/>
          <w:color w:val="auto"/>
          <w:sz w:val="24"/>
          <w:szCs w:val="24"/>
        </w:rPr>
      </w:pPr>
    </w:p>
    <w:p>
      <w:pPr>
        <w:snapToGrid w:val="0"/>
        <w:jc w:val="center"/>
        <w:rPr>
          <w:rFonts w:ascii="宋体" w:hAnsi="宋体"/>
          <w:b/>
          <w:color w:val="auto"/>
          <w:sz w:val="24"/>
        </w:rPr>
      </w:pPr>
      <w:r>
        <w:rPr>
          <w:rFonts w:hint="eastAsia" w:ascii="宋体" w:hAnsi="宋体"/>
          <w:b/>
          <w:color w:val="auto"/>
          <w:sz w:val="24"/>
        </w:rPr>
        <w:t>中小企业声明函（货物）</w:t>
      </w:r>
    </w:p>
    <w:p>
      <w:pPr>
        <w:pStyle w:val="963"/>
        <w:snapToGrid w:val="0"/>
        <w:spacing w:line="480" w:lineRule="exact"/>
        <w:ind w:firstLine="494"/>
        <w:rPr>
          <w:rFonts w:ascii="宋体" w:eastAsia="宋体"/>
          <w:bCs/>
          <w:color w:val="auto"/>
          <w:sz w:val="24"/>
          <w:szCs w:val="24"/>
        </w:rPr>
      </w:pPr>
      <w:r>
        <w:rPr>
          <w:rFonts w:hint="eastAsia" w:ascii="宋体" w:eastAsia="宋体"/>
          <w:bCs/>
          <w:color w:val="auto"/>
          <w:sz w:val="24"/>
          <w:szCs w:val="24"/>
        </w:rPr>
        <w:t>本公司郑重声明，根据《政府采购促进中小企业发展管理办法》（财库﹝2020﹞46 号）的规定，本公司参加</w:t>
      </w:r>
      <w:r>
        <w:rPr>
          <w:rFonts w:hint="eastAsia" w:ascii="宋体" w:eastAsia="宋体"/>
          <w:bCs/>
          <w:color w:val="auto"/>
          <w:sz w:val="24"/>
          <w:szCs w:val="24"/>
          <w:u w:val="single"/>
        </w:rPr>
        <w:t xml:space="preserve">  （项目名称）    </w:t>
      </w:r>
      <w:r>
        <w:rPr>
          <w:rFonts w:hint="eastAsia" w:ascii="宋体" w:eastAsia="宋体"/>
          <w:bCs/>
          <w:color w:val="auto"/>
          <w:sz w:val="24"/>
          <w:szCs w:val="24"/>
        </w:rPr>
        <w:t>编号：</w:t>
      </w:r>
      <w:r>
        <w:rPr>
          <w:rFonts w:hint="eastAsia" w:ascii="宋体" w:eastAsia="宋体"/>
          <w:bCs/>
          <w:color w:val="auto"/>
          <w:sz w:val="24"/>
          <w:szCs w:val="24"/>
          <w:u w:val="single"/>
        </w:rPr>
        <w:t xml:space="preserve"> （项目编号） </w:t>
      </w:r>
      <w:r>
        <w:rPr>
          <w:rFonts w:hint="eastAsia" w:ascii="宋体" w:eastAsia="宋体"/>
          <w:bCs/>
          <w:color w:val="auto"/>
          <w:sz w:val="24"/>
          <w:szCs w:val="24"/>
        </w:rPr>
        <w:t>的采购活动，提供的以下货物由符合政策要求的中小企业制造。相关企业的具体情况如下：</w:t>
      </w:r>
    </w:p>
    <w:p>
      <w:pPr>
        <w:pStyle w:val="963"/>
        <w:snapToGrid w:val="0"/>
        <w:spacing w:line="480" w:lineRule="exact"/>
        <w:ind w:firstLine="494"/>
        <w:rPr>
          <w:rFonts w:ascii="宋体" w:eastAsia="宋体"/>
          <w:bCs/>
          <w:color w:val="auto"/>
          <w:sz w:val="24"/>
          <w:szCs w:val="24"/>
        </w:rPr>
      </w:pPr>
      <w:r>
        <w:rPr>
          <w:rFonts w:hint="eastAsia" w:ascii="宋体" w:eastAsia="宋体"/>
          <w:bCs/>
          <w:color w:val="auto"/>
          <w:sz w:val="24"/>
          <w:szCs w:val="24"/>
        </w:rPr>
        <w:t xml:space="preserve">1. </w:t>
      </w:r>
      <w:r>
        <w:rPr>
          <w:rFonts w:hint="eastAsia" w:ascii="宋体" w:eastAsia="宋体"/>
          <w:bCs/>
          <w:color w:val="auto"/>
          <w:sz w:val="24"/>
          <w:szCs w:val="24"/>
          <w:u w:val="single"/>
        </w:rPr>
        <w:t>（标的名称）</w:t>
      </w:r>
      <w:r>
        <w:rPr>
          <w:rFonts w:hint="eastAsia" w:ascii="宋体" w:eastAsia="宋体"/>
          <w:bCs/>
          <w:color w:val="auto"/>
          <w:sz w:val="24"/>
          <w:szCs w:val="24"/>
        </w:rPr>
        <w:t xml:space="preserve"> ，属于</w:t>
      </w:r>
      <w:r>
        <w:rPr>
          <w:rFonts w:hint="eastAsia" w:ascii="宋体" w:eastAsia="宋体"/>
          <w:bCs/>
          <w:color w:val="auto"/>
          <w:sz w:val="24"/>
          <w:szCs w:val="24"/>
          <w:u w:val="single"/>
        </w:rPr>
        <w:t xml:space="preserve"> （采购文件中明确的所属行业）</w:t>
      </w:r>
      <w:r>
        <w:rPr>
          <w:rFonts w:hint="eastAsia" w:ascii="宋体" w:eastAsia="宋体"/>
          <w:bCs/>
          <w:color w:val="auto"/>
          <w:sz w:val="24"/>
          <w:szCs w:val="24"/>
        </w:rPr>
        <w:t xml:space="preserve">行业 ；制造商为 </w:t>
      </w:r>
      <w:r>
        <w:rPr>
          <w:rFonts w:hint="eastAsia" w:ascii="宋体" w:eastAsia="宋体"/>
          <w:bCs/>
          <w:color w:val="auto"/>
          <w:sz w:val="24"/>
          <w:szCs w:val="24"/>
          <w:u w:val="single"/>
        </w:rPr>
        <w:t>（企业名称）</w:t>
      </w:r>
      <w:r>
        <w:rPr>
          <w:rFonts w:hint="eastAsia" w:ascii="宋体" w:eastAsia="宋体"/>
          <w:bCs/>
          <w:color w:val="auto"/>
          <w:sz w:val="24"/>
          <w:szCs w:val="24"/>
        </w:rPr>
        <w:t xml:space="preserve"> ，从业人员</w:t>
      </w:r>
      <w:r>
        <w:rPr>
          <w:rFonts w:hint="eastAsia" w:ascii="宋体" w:eastAsia="宋体"/>
          <w:bCs/>
          <w:color w:val="auto"/>
          <w:sz w:val="24"/>
          <w:szCs w:val="24"/>
          <w:u w:val="single"/>
        </w:rPr>
        <w:t xml:space="preserve">     </w:t>
      </w:r>
      <w:r>
        <w:rPr>
          <w:rFonts w:hint="eastAsia" w:ascii="宋体" w:eastAsia="宋体"/>
          <w:bCs/>
          <w:color w:val="auto"/>
          <w:sz w:val="24"/>
          <w:szCs w:val="24"/>
        </w:rPr>
        <w:t xml:space="preserve"> 人，营业收入为</w:t>
      </w:r>
      <w:r>
        <w:rPr>
          <w:rFonts w:hint="eastAsia" w:ascii="宋体" w:eastAsia="宋体"/>
          <w:bCs/>
          <w:color w:val="auto"/>
          <w:sz w:val="24"/>
          <w:szCs w:val="24"/>
          <w:u w:val="single"/>
        </w:rPr>
        <w:t xml:space="preserve">          </w:t>
      </w:r>
      <w:r>
        <w:rPr>
          <w:rFonts w:hint="eastAsia" w:ascii="宋体" w:eastAsia="宋体"/>
          <w:bCs/>
          <w:color w:val="auto"/>
          <w:sz w:val="24"/>
          <w:szCs w:val="24"/>
        </w:rPr>
        <w:t>万元，资产总额为</w:t>
      </w:r>
      <w:r>
        <w:rPr>
          <w:rFonts w:hint="eastAsia" w:ascii="宋体" w:eastAsia="宋体"/>
          <w:bCs/>
          <w:color w:val="auto"/>
          <w:sz w:val="24"/>
          <w:szCs w:val="24"/>
          <w:u w:val="single"/>
        </w:rPr>
        <w:t xml:space="preserve">          </w:t>
      </w:r>
      <w:r>
        <w:rPr>
          <w:rFonts w:hint="eastAsia" w:ascii="宋体" w:eastAsia="宋体"/>
          <w:bCs/>
          <w:color w:val="auto"/>
          <w:sz w:val="24"/>
          <w:szCs w:val="24"/>
        </w:rPr>
        <w:t xml:space="preserve">万元，属于 </w:t>
      </w:r>
      <w:r>
        <w:rPr>
          <w:rFonts w:hint="eastAsia" w:ascii="宋体" w:eastAsia="宋体"/>
          <w:bCs/>
          <w:color w:val="auto"/>
          <w:sz w:val="24"/>
          <w:szCs w:val="24"/>
          <w:u w:val="single"/>
        </w:rPr>
        <w:t>（中型企业、小型企业、微型企业）</w:t>
      </w:r>
      <w:r>
        <w:rPr>
          <w:rFonts w:hint="eastAsia" w:ascii="宋体" w:eastAsia="宋体"/>
          <w:bCs/>
          <w:color w:val="auto"/>
          <w:sz w:val="24"/>
          <w:szCs w:val="24"/>
        </w:rPr>
        <w:t xml:space="preserve"> ；</w:t>
      </w:r>
    </w:p>
    <w:p>
      <w:pPr>
        <w:pStyle w:val="963"/>
        <w:snapToGrid w:val="0"/>
        <w:spacing w:line="480" w:lineRule="exact"/>
        <w:ind w:firstLine="494"/>
        <w:rPr>
          <w:rFonts w:ascii="宋体" w:eastAsia="宋体"/>
          <w:bCs/>
          <w:color w:val="auto"/>
          <w:sz w:val="24"/>
          <w:szCs w:val="24"/>
          <w:u w:val="single"/>
        </w:rPr>
      </w:pPr>
      <w:r>
        <w:rPr>
          <w:rFonts w:hint="eastAsia" w:ascii="宋体" w:eastAsia="宋体"/>
          <w:bCs/>
          <w:color w:val="auto"/>
          <w:sz w:val="24"/>
          <w:szCs w:val="24"/>
        </w:rPr>
        <w:t xml:space="preserve">2. </w:t>
      </w:r>
      <w:r>
        <w:rPr>
          <w:rFonts w:hint="eastAsia" w:ascii="宋体" w:eastAsia="宋体"/>
          <w:bCs/>
          <w:color w:val="auto"/>
          <w:sz w:val="24"/>
          <w:szCs w:val="24"/>
          <w:u w:val="single"/>
        </w:rPr>
        <w:t>（标的名称）</w:t>
      </w:r>
      <w:r>
        <w:rPr>
          <w:rFonts w:hint="eastAsia" w:ascii="宋体" w:eastAsia="宋体"/>
          <w:bCs/>
          <w:color w:val="auto"/>
          <w:sz w:val="24"/>
          <w:szCs w:val="24"/>
        </w:rPr>
        <w:t xml:space="preserve"> ，属于</w:t>
      </w:r>
      <w:r>
        <w:rPr>
          <w:rFonts w:hint="eastAsia" w:ascii="宋体" w:eastAsia="宋体"/>
          <w:bCs/>
          <w:color w:val="auto"/>
          <w:sz w:val="24"/>
          <w:szCs w:val="24"/>
          <w:u w:val="single"/>
        </w:rPr>
        <w:t xml:space="preserve"> （采购文件中明确的所属行业）</w:t>
      </w:r>
      <w:r>
        <w:rPr>
          <w:rFonts w:hint="eastAsia" w:ascii="宋体" w:eastAsia="宋体"/>
          <w:bCs/>
          <w:color w:val="auto"/>
          <w:sz w:val="24"/>
          <w:szCs w:val="24"/>
        </w:rPr>
        <w:t xml:space="preserve">行业 ；制造商为 </w:t>
      </w:r>
      <w:r>
        <w:rPr>
          <w:rFonts w:hint="eastAsia" w:ascii="宋体" w:eastAsia="宋体"/>
          <w:bCs/>
          <w:color w:val="auto"/>
          <w:sz w:val="24"/>
          <w:szCs w:val="24"/>
          <w:u w:val="single"/>
        </w:rPr>
        <w:t>（企业名称）</w:t>
      </w:r>
      <w:r>
        <w:rPr>
          <w:rFonts w:hint="eastAsia" w:ascii="宋体" w:eastAsia="宋体"/>
          <w:bCs/>
          <w:color w:val="auto"/>
          <w:sz w:val="24"/>
          <w:szCs w:val="24"/>
        </w:rPr>
        <w:t xml:space="preserve"> ，从业人员</w:t>
      </w:r>
      <w:r>
        <w:rPr>
          <w:rFonts w:hint="eastAsia" w:ascii="宋体" w:eastAsia="宋体"/>
          <w:bCs/>
          <w:color w:val="auto"/>
          <w:sz w:val="24"/>
          <w:szCs w:val="24"/>
          <w:u w:val="single"/>
        </w:rPr>
        <w:t xml:space="preserve">     </w:t>
      </w:r>
      <w:r>
        <w:rPr>
          <w:rFonts w:hint="eastAsia" w:ascii="宋体" w:eastAsia="宋体"/>
          <w:bCs/>
          <w:color w:val="auto"/>
          <w:sz w:val="24"/>
          <w:szCs w:val="24"/>
        </w:rPr>
        <w:t xml:space="preserve"> 人，营业收入为</w:t>
      </w:r>
      <w:r>
        <w:rPr>
          <w:rFonts w:hint="eastAsia" w:ascii="宋体" w:eastAsia="宋体"/>
          <w:bCs/>
          <w:color w:val="auto"/>
          <w:sz w:val="24"/>
          <w:szCs w:val="24"/>
          <w:u w:val="single"/>
        </w:rPr>
        <w:t xml:space="preserve">          </w:t>
      </w:r>
      <w:r>
        <w:rPr>
          <w:rFonts w:hint="eastAsia" w:ascii="宋体" w:eastAsia="宋体"/>
          <w:bCs/>
          <w:color w:val="auto"/>
          <w:sz w:val="24"/>
          <w:szCs w:val="24"/>
        </w:rPr>
        <w:t>万元，资产总额为</w:t>
      </w:r>
      <w:r>
        <w:rPr>
          <w:rFonts w:hint="eastAsia" w:ascii="宋体" w:eastAsia="宋体"/>
          <w:bCs/>
          <w:color w:val="auto"/>
          <w:sz w:val="24"/>
          <w:szCs w:val="24"/>
          <w:u w:val="single"/>
        </w:rPr>
        <w:t xml:space="preserve">          </w:t>
      </w:r>
      <w:r>
        <w:rPr>
          <w:rFonts w:hint="eastAsia" w:ascii="宋体" w:eastAsia="宋体"/>
          <w:bCs/>
          <w:color w:val="auto"/>
          <w:sz w:val="24"/>
          <w:szCs w:val="24"/>
        </w:rPr>
        <w:t xml:space="preserve">万元，属于 </w:t>
      </w:r>
      <w:r>
        <w:rPr>
          <w:rFonts w:hint="eastAsia" w:ascii="宋体" w:eastAsia="宋体"/>
          <w:bCs/>
          <w:color w:val="auto"/>
          <w:sz w:val="24"/>
          <w:szCs w:val="24"/>
          <w:u w:val="single"/>
        </w:rPr>
        <w:t>（中型企业、小型企业、微型企业）</w:t>
      </w:r>
      <w:r>
        <w:rPr>
          <w:rFonts w:hint="eastAsia" w:ascii="宋体" w:eastAsia="宋体"/>
          <w:bCs/>
          <w:color w:val="auto"/>
          <w:sz w:val="24"/>
          <w:szCs w:val="24"/>
        </w:rPr>
        <w:t xml:space="preserve"> ；</w:t>
      </w:r>
    </w:p>
    <w:p>
      <w:pPr>
        <w:pStyle w:val="963"/>
        <w:snapToGrid w:val="0"/>
        <w:spacing w:line="480" w:lineRule="exact"/>
        <w:ind w:firstLine="494"/>
        <w:rPr>
          <w:rFonts w:ascii="宋体" w:eastAsia="宋体"/>
          <w:bCs/>
          <w:color w:val="auto"/>
          <w:sz w:val="24"/>
          <w:szCs w:val="24"/>
        </w:rPr>
      </w:pPr>
      <w:r>
        <w:rPr>
          <w:rFonts w:hint="eastAsia" w:ascii="宋体" w:eastAsia="宋体"/>
          <w:bCs/>
          <w:color w:val="auto"/>
          <w:sz w:val="24"/>
          <w:szCs w:val="24"/>
        </w:rPr>
        <w:t>……</w:t>
      </w:r>
    </w:p>
    <w:p>
      <w:pPr>
        <w:pStyle w:val="963"/>
        <w:snapToGrid w:val="0"/>
        <w:spacing w:line="480" w:lineRule="exact"/>
        <w:ind w:firstLine="494"/>
        <w:rPr>
          <w:rFonts w:ascii="宋体" w:eastAsia="宋体"/>
          <w:bCs/>
          <w:color w:val="auto"/>
          <w:sz w:val="24"/>
          <w:szCs w:val="24"/>
        </w:rPr>
      </w:pPr>
      <w:r>
        <w:rPr>
          <w:rFonts w:hint="eastAsia" w:ascii="宋体" w:eastAsia="宋体"/>
          <w:bCs/>
          <w:color w:val="auto"/>
          <w:sz w:val="24"/>
          <w:szCs w:val="24"/>
        </w:rPr>
        <w:t>以上企业，不属于大中企业的分支机构，不存在控股股东为大中企业的情形，也不存在与大中企业的负责人为同一人的情形。</w:t>
      </w:r>
    </w:p>
    <w:p>
      <w:pPr>
        <w:pStyle w:val="963"/>
        <w:snapToGrid w:val="0"/>
        <w:spacing w:line="480" w:lineRule="exact"/>
        <w:ind w:firstLine="494"/>
        <w:rPr>
          <w:rFonts w:ascii="宋体" w:eastAsia="宋体"/>
          <w:bCs/>
          <w:color w:val="auto"/>
          <w:sz w:val="24"/>
          <w:szCs w:val="24"/>
        </w:rPr>
      </w:pPr>
      <w:r>
        <w:rPr>
          <w:rFonts w:hint="eastAsia" w:ascii="宋体" w:eastAsia="宋体"/>
          <w:bCs/>
          <w:color w:val="auto"/>
          <w:sz w:val="24"/>
          <w:szCs w:val="24"/>
        </w:rPr>
        <w:t>本企业对上述声明内容的真实性负责。如有虚假，将依法承担相应责任。</w:t>
      </w:r>
    </w:p>
    <w:p>
      <w:pPr>
        <w:pStyle w:val="963"/>
        <w:snapToGrid w:val="0"/>
        <w:ind w:firstLine="494"/>
        <w:rPr>
          <w:rFonts w:ascii="宋体" w:eastAsia="宋体"/>
          <w:bCs/>
          <w:color w:val="auto"/>
          <w:sz w:val="24"/>
          <w:szCs w:val="24"/>
        </w:rPr>
      </w:pPr>
    </w:p>
    <w:p>
      <w:pPr>
        <w:pStyle w:val="963"/>
        <w:snapToGrid w:val="0"/>
        <w:ind w:firstLine="4809" w:firstLineChars="2004"/>
        <w:rPr>
          <w:rFonts w:ascii="宋体" w:eastAsia="宋体"/>
          <w:bCs/>
          <w:color w:val="auto"/>
          <w:sz w:val="24"/>
          <w:szCs w:val="24"/>
        </w:rPr>
      </w:pPr>
      <w:r>
        <w:rPr>
          <w:rFonts w:hint="eastAsia" w:ascii="宋体" w:eastAsia="宋体"/>
          <w:bCs/>
          <w:color w:val="auto"/>
          <w:sz w:val="24"/>
          <w:szCs w:val="24"/>
        </w:rPr>
        <w:t>投标人名称（盖章）：</w:t>
      </w:r>
    </w:p>
    <w:p>
      <w:pPr>
        <w:pStyle w:val="963"/>
        <w:snapToGrid w:val="0"/>
        <w:ind w:firstLine="4809" w:firstLineChars="2004"/>
        <w:rPr>
          <w:rFonts w:ascii="宋体" w:eastAsia="宋体"/>
          <w:bCs/>
          <w:color w:val="auto"/>
          <w:sz w:val="24"/>
          <w:szCs w:val="24"/>
        </w:rPr>
      </w:pPr>
      <w:r>
        <w:rPr>
          <w:rFonts w:hint="eastAsia" w:ascii="宋体" w:eastAsia="宋体"/>
          <w:bCs/>
          <w:color w:val="auto"/>
          <w:sz w:val="24"/>
          <w:szCs w:val="24"/>
        </w:rPr>
        <w:t>日 期：</w:t>
      </w:r>
      <w:r>
        <w:rPr>
          <w:rFonts w:hint="eastAsia" w:ascii="宋体" w:eastAsia="宋体"/>
          <w:color w:val="auto"/>
          <w:sz w:val="24"/>
          <w:szCs w:val="24"/>
          <w:u w:val="single"/>
        </w:rPr>
        <w:t xml:space="preserve">     </w:t>
      </w:r>
      <w:r>
        <w:rPr>
          <w:rFonts w:hint="eastAsia" w:ascii="宋体" w:eastAsia="宋体"/>
          <w:color w:val="auto"/>
          <w:sz w:val="24"/>
          <w:szCs w:val="24"/>
        </w:rPr>
        <w:t>年</w:t>
      </w:r>
      <w:r>
        <w:rPr>
          <w:rFonts w:hint="eastAsia" w:ascii="宋体" w:eastAsia="宋体"/>
          <w:color w:val="auto"/>
          <w:sz w:val="24"/>
          <w:szCs w:val="24"/>
          <w:u w:val="single"/>
        </w:rPr>
        <w:t xml:space="preserve">   </w:t>
      </w:r>
      <w:r>
        <w:rPr>
          <w:rFonts w:hint="eastAsia" w:ascii="宋体" w:eastAsia="宋体"/>
          <w:color w:val="auto"/>
          <w:sz w:val="24"/>
          <w:szCs w:val="24"/>
        </w:rPr>
        <w:t>月</w:t>
      </w:r>
      <w:r>
        <w:rPr>
          <w:rFonts w:hint="eastAsia" w:ascii="宋体" w:eastAsia="宋体"/>
          <w:color w:val="auto"/>
          <w:sz w:val="24"/>
          <w:szCs w:val="24"/>
          <w:u w:val="single"/>
        </w:rPr>
        <w:t xml:space="preserve">   </w:t>
      </w:r>
      <w:r>
        <w:rPr>
          <w:rFonts w:hint="eastAsia" w:ascii="宋体" w:eastAsia="宋体"/>
          <w:color w:val="auto"/>
          <w:sz w:val="24"/>
          <w:szCs w:val="24"/>
        </w:rPr>
        <w:t>日</w:t>
      </w:r>
    </w:p>
    <w:p>
      <w:pPr>
        <w:pStyle w:val="963"/>
        <w:snapToGrid w:val="0"/>
        <w:spacing w:line="240" w:lineRule="auto"/>
        <w:ind w:firstLine="0" w:firstLineChars="0"/>
        <w:rPr>
          <w:rFonts w:ascii="宋体" w:eastAsia="宋体"/>
          <w:bCs/>
          <w:color w:val="auto"/>
          <w:sz w:val="24"/>
          <w:szCs w:val="24"/>
        </w:rPr>
      </w:pPr>
    </w:p>
    <w:p>
      <w:pPr>
        <w:pStyle w:val="963"/>
        <w:snapToGrid w:val="0"/>
        <w:spacing w:line="240" w:lineRule="auto"/>
        <w:ind w:firstLine="0" w:firstLineChars="0"/>
        <w:rPr>
          <w:rFonts w:ascii="宋体" w:eastAsia="宋体"/>
          <w:bCs/>
          <w:color w:val="auto"/>
          <w:sz w:val="24"/>
          <w:szCs w:val="24"/>
        </w:rPr>
      </w:pPr>
      <w:r>
        <w:rPr>
          <w:rFonts w:hint="eastAsia" w:ascii="宋体" w:eastAsia="宋体"/>
          <w:bCs/>
          <w:color w:val="auto"/>
          <w:sz w:val="24"/>
          <w:szCs w:val="24"/>
        </w:rPr>
        <w:t>注：</w:t>
      </w:r>
    </w:p>
    <w:p>
      <w:pPr>
        <w:pStyle w:val="963"/>
        <w:snapToGrid w:val="0"/>
        <w:spacing w:line="240" w:lineRule="auto"/>
        <w:ind w:firstLine="0" w:firstLineChars="0"/>
        <w:rPr>
          <w:rFonts w:ascii="宋体" w:eastAsia="宋体"/>
          <w:bCs/>
          <w:color w:val="auto"/>
          <w:sz w:val="24"/>
          <w:szCs w:val="24"/>
        </w:rPr>
      </w:pPr>
      <w:r>
        <w:rPr>
          <w:rFonts w:hint="eastAsia" w:ascii="宋体" w:eastAsia="宋体"/>
          <w:bCs/>
          <w:color w:val="auto"/>
          <w:sz w:val="24"/>
          <w:szCs w:val="24"/>
        </w:rPr>
        <w:t>1.从业人员、营业收入、资产总额填报上一年度数据，无上一年度数据的新成立企业可不填报；</w:t>
      </w:r>
    </w:p>
    <w:p>
      <w:pPr>
        <w:pStyle w:val="963"/>
        <w:snapToGrid w:val="0"/>
        <w:spacing w:line="240" w:lineRule="auto"/>
        <w:ind w:firstLine="0" w:firstLineChars="0"/>
        <w:rPr>
          <w:rFonts w:ascii="宋体" w:eastAsia="宋体"/>
          <w:bCs/>
          <w:color w:val="auto"/>
          <w:sz w:val="24"/>
          <w:szCs w:val="24"/>
        </w:rPr>
      </w:pPr>
      <w:r>
        <w:rPr>
          <w:rFonts w:hint="eastAsia" w:ascii="宋体" w:eastAsia="宋体"/>
          <w:bCs/>
          <w:color w:val="auto"/>
          <w:sz w:val="24"/>
          <w:szCs w:val="24"/>
        </w:rPr>
        <w:t>2.本项目中小企业政策所属行业为制造业；</w:t>
      </w:r>
    </w:p>
    <w:p>
      <w:pPr>
        <w:pStyle w:val="963"/>
        <w:snapToGrid w:val="0"/>
        <w:spacing w:line="240" w:lineRule="auto"/>
        <w:ind w:firstLine="0" w:firstLineChars="0"/>
        <w:rPr>
          <w:rFonts w:ascii="宋体" w:eastAsia="宋体"/>
          <w:bCs/>
          <w:color w:val="auto"/>
          <w:sz w:val="24"/>
          <w:szCs w:val="24"/>
        </w:rPr>
      </w:pPr>
      <w:r>
        <w:rPr>
          <w:rFonts w:hint="eastAsia" w:ascii="宋体" w:eastAsia="宋体"/>
          <w:bCs/>
          <w:color w:val="auto"/>
          <w:sz w:val="24"/>
          <w:szCs w:val="24"/>
        </w:rPr>
        <w:t>3.符合《关于促进残疾人就业政府采购政策的通知》（财库〔2017〕141号）规定的条件并提供《残疾人福利性单位声明函》的残疾人福利性单位视同小型、微型企业；</w:t>
      </w:r>
    </w:p>
    <w:p>
      <w:pPr>
        <w:pStyle w:val="963"/>
        <w:snapToGrid w:val="0"/>
        <w:spacing w:line="240" w:lineRule="auto"/>
        <w:ind w:firstLine="0" w:firstLineChars="0"/>
        <w:rPr>
          <w:rFonts w:ascii="宋体" w:eastAsia="宋体"/>
          <w:bCs/>
          <w:color w:val="auto"/>
          <w:sz w:val="24"/>
          <w:szCs w:val="24"/>
        </w:rPr>
      </w:pPr>
      <w:r>
        <w:rPr>
          <w:rFonts w:hint="eastAsia" w:ascii="宋体" w:eastAsia="宋体"/>
          <w:bCs/>
          <w:color w:val="auto"/>
          <w:sz w:val="24"/>
          <w:szCs w:val="24"/>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hint="eastAsia" w:ascii="宋体" w:hAnsi="宋体"/>
          <w:b/>
          <w:bCs/>
          <w:color w:val="auto"/>
          <w:sz w:val="24"/>
        </w:rPr>
      </w:pPr>
    </w:p>
    <w:p>
      <w:pPr>
        <w:snapToGrid w:val="0"/>
        <w:jc w:val="center"/>
        <w:rPr>
          <w:rFonts w:hint="eastAsia" w:ascii="宋体" w:hAnsi="宋体"/>
          <w:b/>
          <w:bCs/>
          <w:color w:val="auto"/>
          <w:sz w:val="24"/>
        </w:rPr>
      </w:pPr>
    </w:p>
    <w:p>
      <w:pPr>
        <w:snapToGrid w:val="0"/>
        <w:jc w:val="center"/>
        <w:rPr>
          <w:rFonts w:hint="eastAsia" w:ascii="宋体" w:hAnsi="宋体"/>
          <w:b/>
          <w:bCs/>
          <w:color w:val="auto"/>
          <w:sz w:val="24"/>
        </w:rPr>
      </w:pPr>
    </w:p>
    <w:p>
      <w:pPr>
        <w:snapToGrid w:val="0"/>
        <w:jc w:val="center"/>
        <w:rPr>
          <w:rFonts w:hint="eastAsia" w:ascii="宋体" w:hAnsi="宋体"/>
          <w:b/>
          <w:bCs/>
          <w:color w:val="auto"/>
          <w:sz w:val="24"/>
        </w:rPr>
      </w:pPr>
    </w:p>
    <w:p>
      <w:pPr>
        <w:snapToGrid w:val="0"/>
        <w:jc w:val="center"/>
        <w:rPr>
          <w:rFonts w:hint="eastAsia" w:ascii="宋体" w:hAnsi="宋体"/>
          <w:b/>
          <w:bCs/>
          <w:color w:val="auto"/>
          <w:sz w:val="24"/>
        </w:rPr>
      </w:pPr>
    </w:p>
    <w:p>
      <w:pPr>
        <w:snapToGrid w:val="0"/>
        <w:jc w:val="center"/>
        <w:rPr>
          <w:rFonts w:ascii="宋体" w:hAnsi="宋体"/>
          <w:b/>
          <w:bCs/>
          <w:color w:val="auto"/>
          <w:sz w:val="24"/>
        </w:rPr>
      </w:pPr>
      <w:r>
        <w:rPr>
          <w:rFonts w:hint="eastAsia" w:ascii="宋体" w:hAnsi="宋体"/>
          <w:b/>
          <w:bCs/>
          <w:color w:val="auto"/>
          <w:sz w:val="24"/>
        </w:rPr>
        <w:t>监狱和戒毒企业证明材料</w:t>
      </w:r>
    </w:p>
    <w:p>
      <w:pPr>
        <w:pStyle w:val="964"/>
        <w:snapToGrid w:val="0"/>
        <w:jc w:val="center"/>
        <w:rPr>
          <w:rFonts w:ascii="宋体" w:hAnsi="宋体"/>
          <w:b/>
          <w:color w:val="auto"/>
          <w:sz w:val="24"/>
          <w:lang w:val="en-GB"/>
        </w:rPr>
      </w:pPr>
    </w:p>
    <w:p>
      <w:pPr>
        <w:snapToGrid w:val="0"/>
        <w:spacing w:line="480" w:lineRule="exact"/>
        <w:ind w:firstLine="480" w:firstLineChars="200"/>
        <w:rPr>
          <w:rFonts w:ascii="宋体" w:hAnsi="宋体"/>
          <w:color w:val="auto"/>
          <w:sz w:val="24"/>
        </w:rPr>
      </w:pPr>
      <w:r>
        <w:rPr>
          <w:rFonts w:hint="eastAsia" w:ascii="宋体" w:hAnsi="宋体"/>
          <w:color w:val="auto"/>
          <w:sz w:val="24"/>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ind w:firstLine="480" w:firstLineChars="200"/>
        <w:rPr>
          <w:rFonts w:ascii="宋体" w:hAnsi="宋体"/>
          <w:color w:val="auto"/>
          <w:sz w:val="24"/>
        </w:rPr>
      </w:pPr>
    </w:p>
    <w:p>
      <w:pPr>
        <w:snapToGrid w:val="0"/>
        <w:jc w:val="center"/>
        <w:rPr>
          <w:rFonts w:ascii="宋体" w:hAnsi="宋体"/>
          <w:b/>
          <w:color w:val="auto"/>
          <w:spacing w:val="6"/>
          <w:sz w:val="24"/>
        </w:rPr>
      </w:pPr>
    </w:p>
    <w:p>
      <w:pPr>
        <w:snapToGrid w:val="0"/>
        <w:jc w:val="center"/>
        <w:rPr>
          <w:rFonts w:ascii="宋体" w:hAnsi="宋体"/>
          <w:b/>
          <w:bCs/>
          <w:color w:val="auto"/>
          <w:sz w:val="24"/>
        </w:rPr>
      </w:pPr>
      <w:r>
        <w:rPr>
          <w:rFonts w:hint="eastAsia" w:ascii="宋体" w:hAnsi="宋体"/>
          <w:b/>
          <w:bCs/>
          <w:color w:val="auto"/>
          <w:sz w:val="24"/>
        </w:rPr>
        <w:t>残疾人福利性单位声明函</w:t>
      </w:r>
    </w:p>
    <w:p>
      <w:pPr>
        <w:snapToGrid w:val="0"/>
        <w:rPr>
          <w:rFonts w:ascii="宋体" w:hAnsi="宋体"/>
          <w:b/>
          <w:color w:val="auto"/>
          <w:spacing w:val="6"/>
          <w:sz w:val="24"/>
        </w:rPr>
      </w:pPr>
    </w:p>
    <w:p>
      <w:pPr>
        <w:snapToGrid w:val="0"/>
        <w:spacing w:line="480" w:lineRule="exact"/>
        <w:ind w:firstLine="480" w:firstLineChars="200"/>
        <w:rPr>
          <w:rFonts w:ascii="宋体" w:hAnsi="宋体"/>
          <w:color w:val="auto"/>
          <w:sz w:val="24"/>
        </w:rPr>
      </w:pPr>
      <w:r>
        <w:rPr>
          <w:rFonts w:hint="eastAsia" w:ascii="宋体" w:hAnsi="宋体"/>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color w:val="auto"/>
          <w:sz w:val="24"/>
        </w:rPr>
      </w:pPr>
      <w:r>
        <w:rPr>
          <w:rFonts w:hint="eastAsia" w:ascii="宋体" w:hAnsi="宋体"/>
          <w:color w:val="auto"/>
          <w:sz w:val="24"/>
        </w:rPr>
        <w:t>本单位对上述声明的真实性负责。如有虚假，将依法承担相应责任。</w:t>
      </w:r>
    </w:p>
    <w:p>
      <w:pPr>
        <w:snapToGrid w:val="0"/>
        <w:spacing w:line="480" w:lineRule="exact"/>
        <w:rPr>
          <w:rFonts w:ascii="宋体" w:hAnsi="宋体"/>
          <w:color w:val="auto"/>
          <w:sz w:val="24"/>
        </w:rPr>
      </w:pPr>
    </w:p>
    <w:p>
      <w:pPr>
        <w:snapToGrid w:val="0"/>
        <w:rPr>
          <w:rFonts w:ascii="宋体" w:hAnsi="宋体"/>
          <w:color w:val="auto"/>
          <w:sz w:val="24"/>
        </w:rPr>
      </w:pPr>
    </w:p>
    <w:p>
      <w:pPr>
        <w:snapToGrid w:val="0"/>
        <w:ind w:firstLine="5520" w:firstLineChars="2300"/>
        <w:rPr>
          <w:rFonts w:ascii="宋体" w:hAnsi="宋体"/>
          <w:color w:val="auto"/>
          <w:sz w:val="24"/>
        </w:rPr>
      </w:pPr>
      <w:r>
        <w:rPr>
          <w:rFonts w:hint="eastAsia" w:ascii="宋体" w:hAnsi="宋体"/>
          <w:color w:val="auto"/>
          <w:sz w:val="24"/>
        </w:rPr>
        <w:t>投标人（盖章）：</w:t>
      </w:r>
    </w:p>
    <w:p>
      <w:pPr>
        <w:snapToGrid w:val="0"/>
        <w:rPr>
          <w:rFonts w:ascii="宋体" w:hAnsi="宋体"/>
          <w:color w:val="auto"/>
          <w:sz w:val="24"/>
        </w:rPr>
      </w:pPr>
      <w:r>
        <w:rPr>
          <w:rFonts w:hint="eastAsia" w:ascii="宋体" w:hAnsi="宋体"/>
          <w:color w:val="auto"/>
          <w:sz w:val="24"/>
        </w:rPr>
        <w:t xml:space="preserve">   </w:t>
      </w:r>
    </w:p>
    <w:p>
      <w:pPr>
        <w:snapToGrid w:val="0"/>
        <w:rPr>
          <w:rFonts w:ascii="宋体" w:hAnsi="宋体"/>
          <w:color w:val="auto"/>
          <w:sz w:val="24"/>
        </w:rPr>
      </w:pPr>
    </w:p>
    <w:p>
      <w:pPr>
        <w:snapToGrid w:val="0"/>
        <w:ind w:firstLine="5520" w:firstLineChars="2300"/>
        <w:outlineLvl w:val="0"/>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34"/>
        <w:snapToGrid w:val="0"/>
        <w:spacing w:beforeLines="10" w:afterLines="10"/>
        <w:rPr>
          <w:rFonts w:ascii="仿宋" w:hAnsi="仿宋" w:eastAsia="仿宋" w:cs="仿宋"/>
          <w:b/>
          <w:bCs/>
          <w:color w:val="auto"/>
          <w:sz w:val="44"/>
          <w:szCs w:val="44"/>
        </w:rPr>
      </w:pPr>
    </w:p>
    <w:p>
      <w:pPr>
        <w:pStyle w:val="34"/>
        <w:snapToGrid w:val="0"/>
        <w:spacing w:beforeLines="10" w:afterLines="10"/>
        <w:rPr>
          <w:rFonts w:ascii="仿宋" w:hAnsi="仿宋" w:eastAsia="仿宋" w:cs="仿宋"/>
          <w:b/>
          <w:bCs/>
          <w:color w:val="auto"/>
          <w:sz w:val="44"/>
          <w:szCs w:val="44"/>
        </w:rPr>
      </w:pPr>
    </w:p>
    <w:p>
      <w:pPr>
        <w:rPr>
          <w:rFonts w:ascii="仿宋" w:hAnsi="仿宋" w:eastAsia="仿宋" w:cs="仿宋"/>
          <w:b/>
          <w:bCs/>
          <w:color w:val="auto"/>
          <w:sz w:val="44"/>
          <w:szCs w:val="44"/>
        </w:rPr>
      </w:pPr>
    </w:p>
    <w:p>
      <w:pPr>
        <w:spacing w:line="360" w:lineRule="auto"/>
        <w:ind w:right="420"/>
        <w:rPr>
          <w:color w:val="auto"/>
        </w:rPr>
      </w:pPr>
    </w:p>
    <w:p>
      <w:pPr>
        <w:spacing w:line="360" w:lineRule="auto"/>
        <w:rPr>
          <w:rFonts w:ascii="仿宋" w:hAnsi="仿宋" w:eastAsia="仿宋"/>
          <w:bCs/>
          <w:color w:val="auto"/>
          <w:sz w:val="24"/>
        </w:rPr>
      </w:pPr>
    </w:p>
    <w:p>
      <w:pPr>
        <w:rPr>
          <w:color w:val="auto"/>
        </w:rPr>
      </w:pPr>
    </w:p>
    <w:p>
      <w:pPr>
        <w:snapToGrid w:val="0"/>
        <w:spacing w:beforeLines="50" w:after="50"/>
        <w:rPr>
          <w:b/>
          <w:bCs/>
          <w:color w:val="auto"/>
          <w:sz w:val="32"/>
          <w:szCs w:val="20"/>
        </w:rPr>
      </w:pPr>
      <w:bookmarkStart w:id="35" w:name="_Toc219619166"/>
      <w:r>
        <w:rPr>
          <w:rFonts w:hint="eastAsia"/>
          <w:b/>
          <w:color w:val="auto"/>
          <w:sz w:val="24"/>
        </w:rPr>
        <w:t>商务技术响应文件封面格式：</w:t>
      </w:r>
      <w:r>
        <w:rPr>
          <w:color w:val="auto"/>
          <w:sz w:val="24"/>
        </w:rPr>
        <w:t xml:space="preserve">                                               </w:t>
      </w:r>
    </w:p>
    <w:p>
      <w:pPr>
        <w:snapToGrid w:val="0"/>
        <w:spacing w:beforeLines="50" w:after="50"/>
        <w:jc w:val="center"/>
        <w:rPr>
          <w:b/>
          <w:bCs/>
          <w:color w:val="auto"/>
          <w:sz w:val="32"/>
          <w:szCs w:val="32"/>
        </w:rPr>
      </w:pPr>
    </w:p>
    <w:p>
      <w:pPr>
        <w:snapToGrid w:val="0"/>
        <w:spacing w:beforeLines="50" w:after="50"/>
        <w:jc w:val="center"/>
        <w:rPr>
          <w:b/>
          <w:bCs/>
          <w:color w:val="auto"/>
          <w:sz w:val="32"/>
          <w:szCs w:val="32"/>
        </w:rPr>
      </w:pPr>
    </w:p>
    <w:p>
      <w:pPr>
        <w:snapToGrid w:val="0"/>
        <w:spacing w:beforeLines="50" w:after="50"/>
        <w:jc w:val="center"/>
        <w:rPr>
          <w:b/>
          <w:bCs/>
          <w:color w:val="auto"/>
          <w:sz w:val="32"/>
          <w:szCs w:val="32"/>
        </w:rPr>
      </w:pPr>
    </w:p>
    <w:p>
      <w:pPr>
        <w:snapToGrid w:val="0"/>
        <w:spacing w:beforeLines="50" w:after="50"/>
        <w:jc w:val="center"/>
        <w:rPr>
          <w:b/>
          <w:bCs/>
          <w:color w:val="auto"/>
          <w:sz w:val="32"/>
          <w:szCs w:val="32"/>
        </w:rPr>
      </w:pPr>
      <w:r>
        <w:rPr>
          <w:rFonts w:hint="eastAsia"/>
          <w:b/>
          <w:bCs/>
          <w:color w:val="auto"/>
          <w:sz w:val="32"/>
          <w:szCs w:val="32"/>
        </w:rPr>
        <w:t>商务技术文件</w:t>
      </w:r>
    </w:p>
    <w:p>
      <w:pPr>
        <w:snapToGrid w:val="0"/>
        <w:spacing w:beforeLines="50" w:after="50" w:line="320" w:lineRule="exact"/>
        <w:ind w:firstLine="1068" w:firstLineChars="445"/>
        <w:rPr>
          <w:bCs/>
          <w:color w:val="auto"/>
          <w:sz w:val="24"/>
          <w:szCs w:val="20"/>
        </w:rPr>
      </w:pPr>
      <w:r>
        <w:rPr>
          <w:rFonts w:hint="eastAsia"/>
          <w:bCs/>
          <w:color w:val="auto"/>
          <w:sz w:val="24"/>
        </w:rPr>
        <w:t>项目名称：</w:t>
      </w:r>
    </w:p>
    <w:p>
      <w:pPr>
        <w:snapToGrid w:val="0"/>
        <w:spacing w:beforeLines="50" w:after="50" w:line="320" w:lineRule="exact"/>
        <w:ind w:firstLine="1068" w:firstLineChars="445"/>
        <w:rPr>
          <w:bCs/>
          <w:color w:val="auto"/>
          <w:sz w:val="24"/>
        </w:rPr>
      </w:pPr>
      <w:r>
        <w:rPr>
          <w:rFonts w:hint="eastAsia"/>
          <w:bCs/>
          <w:color w:val="auto"/>
          <w:sz w:val="24"/>
        </w:rPr>
        <w:t>项目编号：</w:t>
      </w:r>
      <w:r>
        <w:rPr>
          <w:bCs/>
          <w:color w:val="auto"/>
          <w:sz w:val="24"/>
        </w:rPr>
        <w:t xml:space="preserve"> </w:t>
      </w:r>
    </w:p>
    <w:p>
      <w:pPr>
        <w:pStyle w:val="16"/>
        <w:spacing w:before="50" w:after="50" w:line="320" w:lineRule="exact"/>
        <w:ind w:firstLine="1068" w:firstLineChars="445"/>
        <w:rPr>
          <w:bCs/>
          <w:color w:val="auto"/>
          <w:sz w:val="24"/>
        </w:rPr>
      </w:pPr>
      <w:r>
        <w:rPr>
          <w:rFonts w:hint="eastAsia"/>
          <w:bCs/>
          <w:color w:val="auto"/>
          <w:sz w:val="24"/>
        </w:rPr>
        <w:t xml:space="preserve">投标人名称：   </w:t>
      </w:r>
      <w:r>
        <w:rPr>
          <w:rFonts w:hint="eastAsia" w:hAnsi="宋体"/>
          <w:bCs/>
          <w:color w:val="auto"/>
          <w:sz w:val="24"/>
        </w:rPr>
        <w:t>（公章）</w:t>
      </w:r>
    </w:p>
    <w:p>
      <w:pPr>
        <w:pStyle w:val="16"/>
        <w:spacing w:before="50" w:after="50" w:line="320" w:lineRule="exact"/>
        <w:ind w:firstLine="1068" w:firstLineChars="445"/>
        <w:rPr>
          <w:bCs/>
          <w:color w:val="auto"/>
          <w:sz w:val="24"/>
        </w:rPr>
      </w:pPr>
      <w:r>
        <w:rPr>
          <w:rFonts w:hint="eastAsia"/>
          <w:bCs/>
          <w:color w:val="auto"/>
          <w:sz w:val="24"/>
        </w:rPr>
        <w:t>投标人地址：</w:t>
      </w:r>
    </w:p>
    <w:p>
      <w:pPr>
        <w:snapToGrid w:val="0"/>
        <w:spacing w:beforeLines="50" w:after="50" w:line="360" w:lineRule="auto"/>
        <w:ind w:firstLine="645"/>
        <w:jc w:val="center"/>
        <w:rPr>
          <w:color w:val="auto"/>
          <w:sz w:val="24"/>
          <w:szCs w:val="20"/>
        </w:rPr>
      </w:pPr>
      <w:r>
        <w:rPr>
          <w:color w:val="auto"/>
          <w:sz w:val="24"/>
        </w:rPr>
        <w:t xml:space="preserve">                        </w:t>
      </w:r>
      <w:r>
        <w:rPr>
          <w:rFonts w:hint="eastAsia"/>
          <w:color w:val="auto"/>
          <w:sz w:val="24"/>
        </w:rPr>
        <w:t xml:space="preserve">                       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snapToGrid w:val="0"/>
        <w:spacing w:beforeLines="50" w:after="50"/>
        <w:jc w:val="center"/>
        <w:rPr>
          <w:rFonts w:ascii="宋体" w:hAnsi="宋体" w:cs="宋体"/>
          <w:b/>
          <w:color w:val="auto"/>
          <w:sz w:val="32"/>
          <w:szCs w:val="32"/>
        </w:rPr>
      </w:pPr>
    </w:p>
    <w:p>
      <w:pPr>
        <w:pStyle w:val="4"/>
        <w:rPr>
          <w:rFonts w:ascii="宋体" w:hAnsi="宋体" w:cs="宋体"/>
          <w:b w:val="0"/>
          <w:color w:val="auto"/>
          <w:szCs w:val="32"/>
        </w:rPr>
      </w:pPr>
    </w:p>
    <w:p>
      <w:pPr>
        <w:rPr>
          <w:color w:val="auto"/>
        </w:rPr>
      </w:pPr>
    </w:p>
    <w:p>
      <w:pPr>
        <w:rPr>
          <w:color w:val="auto"/>
        </w:rPr>
      </w:pPr>
    </w:p>
    <w:p>
      <w:pPr>
        <w:snapToGrid w:val="0"/>
        <w:spacing w:beforeLines="50" w:after="50"/>
        <w:rPr>
          <w:color w:val="auto"/>
          <w:sz w:val="24"/>
          <w:szCs w:val="20"/>
        </w:rPr>
      </w:pPr>
      <w:r>
        <w:rPr>
          <w:rFonts w:hint="eastAsia"/>
          <w:b/>
          <w:color w:val="auto"/>
          <w:sz w:val="24"/>
        </w:rPr>
        <w:t>报价文件响应封面格式：</w:t>
      </w:r>
      <w:r>
        <w:rPr>
          <w:b/>
          <w:color w:val="auto"/>
          <w:sz w:val="24"/>
        </w:rPr>
        <w:t xml:space="preserve"> </w:t>
      </w:r>
    </w:p>
    <w:p>
      <w:pPr>
        <w:snapToGrid w:val="0"/>
        <w:spacing w:beforeLines="50" w:after="50"/>
        <w:rPr>
          <w:b/>
          <w:bCs/>
          <w:color w:val="auto"/>
          <w:sz w:val="32"/>
          <w:szCs w:val="20"/>
        </w:rPr>
      </w:pPr>
      <w:r>
        <w:rPr>
          <w:color w:val="auto"/>
          <w:sz w:val="24"/>
        </w:rPr>
        <w:t xml:space="preserve">                                                    </w:t>
      </w:r>
    </w:p>
    <w:p>
      <w:pPr>
        <w:snapToGrid w:val="0"/>
        <w:spacing w:beforeLines="50" w:after="50"/>
        <w:jc w:val="center"/>
        <w:rPr>
          <w:b/>
          <w:bCs/>
          <w:color w:val="auto"/>
          <w:sz w:val="32"/>
          <w:szCs w:val="32"/>
        </w:rPr>
      </w:pPr>
      <w:r>
        <w:rPr>
          <w:rFonts w:hint="eastAsia"/>
          <w:b/>
          <w:bCs/>
          <w:color w:val="auto"/>
          <w:sz w:val="32"/>
          <w:szCs w:val="32"/>
        </w:rPr>
        <w:t>报  价</w:t>
      </w:r>
      <w:r>
        <w:rPr>
          <w:b/>
          <w:bCs/>
          <w:color w:val="auto"/>
          <w:sz w:val="32"/>
          <w:szCs w:val="32"/>
        </w:rPr>
        <w:t xml:space="preserve"> </w:t>
      </w:r>
      <w:r>
        <w:rPr>
          <w:rFonts w:hint="eastAsia"/>
          <w:b/>
          <w:bCs/>
          <w:color w:val="auto"/>
          <w:sz w:val="32"/>
          <w:szCs w:val="32"/>
        </w:rPr>
        <w:t>文</w:t>
      </w:r>
      <w:r>
        <w:rPr>
          <w:b/>
          <w:bCs/>
          <w:color w:val="auto"/>
          <w:sz w:val="32"/>
          <w:szCs w:val="32"/>
        </w:rPr>
        <w:t xml:space="preserve"> </w:t>
      </w:r>
      <w:r>
        <w:rPr>
          <w:rFonts w:hint="eastAsia"/>
          <w:b/>
          <w:bCs/>
          <w:color w:val="auto"/>
          <w:sz w:val="32"/>
          <w:szCs w:val="32"/>
        </w:rPr>
        <w:t>件</w:t>
      </w:r>
    </w:p>
    <w:p>
      <w:pPr>
        <w:snapToGrid w:val="0"/>
        <w:spacing w:beforeLines="50" w:after="50" w:line="320" w:lineRule="exact"/>
        <w:ind w:firstLine="1068" w:firstLineChars="445"/>
        <w:rPr>
          <w:bCs/>
          <w:color w:val="auto"/>
          <w:sz w:val="24"/>
          <w:szCs w:val="20"/>
        </w:rPr>
      </w:pPr>
      <w:r>
        <w:rPr>
          <w:rFonts w:hint="eastAsia"/>
          <w:bCs/>
          <w:color w:val="auto"/>
          <w:sz w:val="24"/>
        </w:rPr>
        <w:t>项目名称：</w:t>
      </w:r>
    </w:p>
    <w:p>
      <w:pPr>
        <w:snapToGrid w:val="0"/>
        <w:spacing w:beforeLines="50" w:after="50" w:line="320" w:lineRule="exact"/>
        <w:ind w:firstLine="1068" w:firstLineChars="445"/>
        <w:rPr>
          <w:bCs/>
          <w:color w:val="auto"/>
          <w:sz w:val="24"/>
        </w:rPr>
      </w:pPr>
      <w:r>
        <w:rPr>
          <w:rFonts w:hint="eastAsia"/>
          <w:bCs/>
          <w:color w:val="auto"/>
          <w:sz w:val="24"/>
        </w:rPr>
        <w:t>项目编号：</w:t>
      </w:r>
      <w:r>
        <w:rPr>
          <w:bCs/>
          <w:color w:val="auto"/>
          <w:sz w:val="24"/>
        </w:rPr>
        <w:t xml:space="preserve"> </w:t>
      </w:r>
    </w:p>
    <w:p>
      <w:pPr>
        <w:pStyle w:val="16"/>
        <w:spacing w:before="50" w:after="50" w:line="320" w:lineRule="exact"/>
        <w:ind w:firstLine="1068" w:firstLineChars="445"/>
        <w:rPr>
          <w:bCs/>
          <w:color w:val="auto"/>
          <w:sz w:val="24"/>
        </w:rPr>
      </w:pPr>
      <w:r>
        <w:rPr>
          <w:rFonts w:hint="eastAsia"/>
          <w:bCs/>
          <w:color w:val="auto"/>
          <w:sz w:val="24"/>
        </w:rPr>
        <w:t xml:space="preserve">投标人名称：   </w:t>
      </w:r>
      <w:r>
        <w:rPr>
          <w:rFonts w:hint="eastAsia" w:hAnsi="宋体"/>
          <w:bCs/>
          <w:color w:val="auto"/>
          <w:sz w:val="24"/>
        </w:rPr>
        <w:t>（公章）</w:t>
      </w:r>
    </w:p>
    <w:p>
      <w:pPr>
        <w:pStyle w:val="16"/>
        <w:spacing w:before="50" w:after="50" w:line="320" w:lineRule="exact"/>
        <w:ind w:firstLine="1068" w:firstLineChars="445"/>
        <w:rPr>
          <w:bCs/>
          <w:color w:val="auto"/>
          <w:sz w:val="24"/>
        </w:rPr>
      </w:pPr>
      <w:r>
        <w:rPr>
          <w:rFonts w:hint="eastAsia"/>
          <w:bCs/>
          <w:color w:val="auto"/>
          <w:sz w:val="24"/>
        </w:rPr>
        <w:t>投标人地址：</w:t>
      </w:r>
    </w:p>
    <w:p>
      <w:pPr>
        <w:snapToGrid w:val="0"/>
        <w:spacing w:beforeLines="50" w:after="50"/>
        <w:jc w:val="center"/>
        <w:rPr>
          <w:rFonts w:ascii="宋体" w:hAnsi="宋体" w:cs="宋体"/>
          <w:b/>
          <w:color w:val="auto"/>
          <w:sz w:val="32"/>
          <w:szCs w:val="32"/>
        </w:rPr>
      </w:pPr>
      <w:r>
        <w:rPr>
          <w:color w:val="auto"/>
          <w:sz w:val="24"/>
        </w:rPr>
        <w:t xml:space="preserve">                        </w:t>
      </w:r>
      <w:r>
        <w:rPr>
          <w:rFonts w:hint="eastAsia"/>
          <w:color w:val="auto"/>
          <w:sz w:val="24"/>
        </w:rPr>
        <w:t xml:space="preserve">                       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snapToGrid w:val="0"/>
        <w:spacing w:beforeLines="50" w:after="50"/>
        <w:jc w:val="center"/>
        <w:rPr>
          <w:rFonts w:ascii="宋体" w:hAnsi="宋体" w:cs="宋体"/>
          <w:b/>
          <w:color w:val="auto"/>
          <w:sz w:val="32"/>
          <w:szCs w:val="32"/>
        </w:rPr>
      </w:pPr>
    </w:p>
    <w:p>
      <w:pPr>
        <w:snapToGrid w:val="0"/>
        <w:spacing w:beforeLines="50" w:after="50"/>
        <w:jc w:val="center"/>
        <w:rPr>
          <w:rFonts w:ascii="宋体" w:hAnsi="宋体" w:cs="宋体"/>
          <w:b/>
          <w:color w:val="auto"/>
          <w:sz w:val="32"/>
          <w:szCs w:val="32"/>
        </w:rPr>
      </w:pPr>
    </w:p>
    <w:p>
      <w:pPr>
        <w:pStyle w:val="24"/>
        <w:rPr>
          <w:rFonts w:ascii="宋体" w:hAnsi="宋体" w:cs="宋体"/>
          <w:b/>
          <w:color w:val="auto"/>
          <w:sz w:val="32"/>
          <w:szCs w:val="32"/>
        </w:rPr>
      </w:pPr>
    </w:p>
    <w:p>
      <w:pPr>
        <w:pStyle w:val="25"/>
        <w:rPr>
          <w:rFonts w:ascii="宋体" w:hAnsi="宋体" w:cs="宋体"/>
          <w:b/>
          <w:color w:val="auto"/>
          <w:sz w:val="32"/>
          <w:szCs w:val="32"/>
        </w:rPr>
      </w:pPr>
    </w:p>
    <w:p>
      <w:pPr>
        <w:rPr>
          <w:color w:val="auto"/>
        </w:rPr>
      </w:pPr>
    </w:p>
    <w:p>
      <w:pPr>
        <w:snapToGrid w:val="0"/>
        <w:spacing w:beforeLines="50" w:after="50"/>
        <w:jc w:val="center"/>
        <w:rPr>
          <w:rFonts w:ascii="宋体" w:hAnsi="宋体" w:cs="宋体"/>
          <w:b/>
          <w:color w:val="auto"/>
          <w:sz w:val="32"/>
          <w:szCs w:val="32"/>
        </w:rPr>
      </w:pPr>
      <w:r>
        <w:rPr>
          <w:rFonts w:hint="eastAsia" w:ascii="宋体" w:hAnsi="宋体" w:cs="宋体"/>
          <w:b/>
          <w:color w:val="auto"/>
          <w:sz w:val="32"/>
          <w:szCs w:val="32"/>
        </w:rPr>
        <w:t>投标声明书</w:t>
      </w:r>
    </w:p>
    <w:p>
      <w:pPr>
        <w:snapToGrid w:val="0"/>
        <w:spacing w:beforeLines="50" w:after="50" w:line="400" w:lineRule="exact"/>
        <w:rPr>
          <w:rFonts w:ascii="宋体" w:hAnsi="宋体" w:cs="宋体"/>
          <w:color w:val="auto"/>
          <w:sz w:val="24"/>
          <w:szCs w:val="20"/>
        </w:rPr>
      </w:pPr>
      <w:r>
        <w:rPr>
          <w:rFonts w:hint="eastAsia" w:ascii="宋体" w:hAnsi="宋体" w:cs="宋体"/>
          <w:color w:val="auto"/>
          <w:sz w:val="24"/>
        </w:rPr>
        <w:t xml:space="preserve">致 </w:t>
      </w:r>
      <w:r>
        <w:rPr>
          <w:rFonts w:hint="eastAsia" w:ascii="宋体" w:hAnsi="宋体" w:cs="宋体"/>
          <w:color w:val="auto"/>
          <w:sz w:val="24"/>
          <w:u w:val="single"/>
        </w:rPr>
        <w:t xml:space="preserve">               </w:t>
      </w:r>
      <w:r>
        <w:rPr>
          <w:rFonts w:hint="eastAsia" w:ascii="宋体" w:hAnsi="宋体" w:cs="宋体"/>
          <w:color w:val="auto"/>
          <w:sz w:val="24"/>
        </w:rPr>
        <w:t>（采购人）：</w:t>
      </w:r>
    </w:p>
    <w:p>
      <w:pPr>
        <w:snapToGrid w:val="0"/>
        <w:spacing w:beforeLines="50" w:after="50" w:line="400" w:lineRule="exact"/>
        <w:ind w:firstLine="720" w:firstLineChars="300"/>
        <w:rPr>
          <w:rFonts w:ascii="宋体" w:hAnsi="宋体" w:cs="宋体"/>
          <w:color w:val="auto"/>
          <w:sz w:val="24"/>
          <w:szCs w:val="20"/>
        </w:rPr>
      </w:pPr>
      <w:r>
        <w:rPr>
          <w:rFonts w:hint="eastAsia" w:ascii="宋体" w:hAnsi="宋体" w:cs="宋体"/>
          <w:color w:val="auto"/>
          <w:sz w:val="24"/>
          <w:u w:val="single"/>
        </w:rPr>
        <w:t xml:space="preserve">               </w:t>
      </w:r>
      <w:r>
        <w:rPr>
          <w:rFonts w:hint="eastAsia" w:ascii="宋体" w:hAnsi="宋体" w:cs="宋体"/>
          <w:color w:val="auto"/>
          <w:sz w:val="24"/>
        </w:rPr>
        <w:t>（投标人名称）系中华人民共和国合法企业，经营地址</w:t>
      </w:r>
      <w:r>
        <w:rPr>
          <w:rFonts w:hint="eastAsia" w:ascii="宋体" w:hAnsi="宋体" w:cs="宋体"/>
          <w:color w:val="auto"/>
          <w:sz w:val="24"/>
          <w:u w:val="single"/>
        </w:rPr>
        <w:t xml:space="preserve">                               </w:t>
      </w:r>
      <w:r>
        <w:rPr>
          <w:rFonts w:hint="eastAsia" w:ascii="宋体" w:hAnsi="宋体" w:cs="宋体"/>
          <w:color w:val="auto"/>
          <w:sz w:val="24"/>
        </w:rPr>
        <w:t>。</w:t>
      </w:r>
    </w:p>
    <w:p>
      <w:pPr>
        <w:snapToGrid w:val="0"/>
        <w:spacing w:beforeLines="50" w:after="50" w:line="400" w:lineRule="exact"/>
        <w:ind w:firstLine="645"/>
        <w:rPr>
          <w:rFonts w:ascii="宋体" w:hAnsi="宋体" w:cs="宋体"/>
          <w:color w:val="auto"/>
          <w:sz w:val="24"/>
          <w:szCs w:val="20"/>
        </w:rPr>
      </w:pPr>
      <w:r>
        <w:rPr>
          <w:rFonts w:hint="eastAsia" w:ascii="宋体" w:hAnsi="宋体" w:cs="宋体"/>
          <w:color w:val="auto"/>
          <w:sz w:val="24"/>
        </w:rPr>
        <w:t>我</w:t>
      </w:r>
      <w:r>
        <w:rPr>
          <w:rFonts w:hint="eastAsia" w:ascii="宋体" w:hAnsi="宋体" w:cs="宋体"/>
          <w:color w:val="auto"/>
          <w:sz w:val="24"/>
          <w:u w:val="single"/>
        </w:rPr>
        <w:t xml:space="preserve">         </w:t>
      </w:r>
      <w:r>
        <w:rPr>
          <w:rFonts w:hint="eastAsia" w:ascii="宋体" w:hAnsi="宋体" w:cs="宋体"/>
          <w:color w:val="auto"/>
          <w:sz w:val="24"/>
        </w:rPr>
        <w:t>（姓名）系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（投标人名称）的法定代表人，我方愿意参加贵方组织的</w:t>
      </w:r>
      <w:r>
        <w:rPr>
          <w:rFonts w:hint="eastAsia" w:ascii="宋体" w:hAnsi="宋体" w:cs="宋体"/>
          <w:color w:val="auto"/>
          <w:sz w:val="24"/>
          <w:u w:val="single"/>
        </w:rPr>
        <w:t xml:space="preserve">                    采购项目</w:t>
      </w:r>
      <w:r>
        <w:rPr>
          <w:rFonts w:hint="eastAsia" w:ascii="宋体" w:hAnsi="宋体" w:cs="宋体"/>
          <w:color w:val="auto"/>
          <w:sz w:val="24"/>
        </w:rPr>
        <w:t>的投标，为便于贵方公正、择优地确定中标人及其投标产品和服务，我方就本次投标有关事项郑重声明如下：</w:t>
      </w:r>
    </w:p>
    <w:p>
      <w:pPr>
        <w:snapToGrid w:val="0"/>
        <w:spacing w:line="400" w:lineRule="exact"/>
        <w:ind w:firstLine="480" w:firstLineChars="200"/>
        <w:rPr>
          <w:rFonts w:ascii="宋体" w:hAnsi="宋体" w:cs="宋体"/>
          <w:color w:val="auto"/>
          <w:sz w:val="24"/>
          <w:szCs w:val="20"/>
        </w:rPr>
      </w:pPr>
      <w:r>
        <w:rPr>
          <w:rFonts w:hint="eastAsia" w:ascii="宋体" w:hAnsi="宋体" w:cs="宋体"/>
          <w:color w:val="auto"/>
          <w:sz w:val="24"/>
        </w:rPr>
        <w:t>1.我方向贵方提交的所有投标文件、资料都是准确的和真实的。</w:t>
      </w:r>
    </w:p>
    <w:p>
      <w:pPr>
        <w:snapToGrid w:val="0"/>
        <w:spacing w:beforeLines="50" w:line="400" w:lineRule="exact"/>
        <w:ind w:firstLine="480" w:firstLineChars="200"/>
        <w:rPr>
          <w:rFonts w:ascii="宋体" w:hAnsi="宋体" w:cs="宋体"/>
          <w:color w:val="auto"/>
          <w:sz w:val="24"/>
          <w:szCs w:val="20"/>
        </w:rPr>
      </w:pPr>
      <w:r>
        <w:rPr>
          <w:rFonts w:hint="eastAsia" w:ascii="宋体" w:hAnsi="宋体" w:cs="宋体"/>
          <w:color w:val="auto"/>
          <w:sz w:val="24"/>
        </w:rPr>
        <w:t>2.我方不是采购人的附属机构；在获知本项目采购信息后，与采购人聘请的为此项目提供咨询服务的公司及其附属机构没有任何联系。</w:t>
      </w:r>
    </w:p>
    <w:p>
      <w:pPr>
        <w:snapToGrid w:val="0"/>
        <w:spacing w:line="276" w:lineRule="auto"/>
        <w:ind w:firstLine="480" w:firstLineChars="200"/>
        <w:rPr>
          <w:rFonts w:ascii="宋体" w:hAnsi="宋体" w:cs="宋体"/>
          <w:color w:val="auto"/>
          <w:sz w:val="24"/>
        </w:rPr>
      </w:pPr>
      <w:r>
        <w:rPr>
          <w:rFonts w:hint="eastAsia" w:ascii="宋体" w:hAnsi="宋体" w:cs="宋体"/>
          <w:color w:val="auto"/>
          <w:sz w:val="24"/>
        </w:rPr>
        <w:t>3、我方此次向贵方提供的服务名称为：</w:t>
      </w:r>
      <w:r>
        <w:rPr>
          <w:rFonts w:hint="eastAsia" w:ascii="宋体" w:hAnsi="宋体" w:cs="宋体"/>
          <w:color w:val="auto"/>
          <w:sz w:val="24"/>
          <w:u w:val="single"/>
        </w:rPr>
        <w:t xml:space="preserve">                              </w:t>
      </w:r>
      <w:r>
        <w:rPr>
          <w:rFonts w:hint="eastAsia" w:ascii="宋体" w:hAnsi="宋体" w:cs="宋体"/>
          <w:color w:val="auto"/>
          <w:sz w:val="24"/>
        </w:rPr>
        <w:t>。</w:t>
      </w:r>
    </w:p>
    <w:p>
      <w:pPr>
        <w:snapToGrid w:val="0"/>
        <w:spacing w:beforeLines="50" w:line="400" w:lineRule="exact"/>
        <w:ind w:firstLine="480" w:firstLineChars="200"/>
        <w:rPr>
          <w:rFonts w:ascii="宋体" w:hAnsi="宋体" w:cs="宋体"/>
          <w:color w:val="auto"/>
          <w:sz w:val="24"/>
          <w:szCs w:val="20"/>
        </w:rPr>
      </w:pPr>
      <w:r>
        <w:rPr>
          <w:rFonts w:hint="eastAsia" w:ascii="宋体" w:hAnsi="宋体" w:cs="宋体"/>
          <w:color w:val="auto"/>
          <w:sz w:val="24"/>
        </w:rPr>
        <w:t>4.我方诚意提请贵方关注：近期有关该型号产品的生产、供货、售后服务以及性能等方面的重大决策和事项有：</w:t>
      </w:r>
    </w:p>
    <w:p>
      <w:pPr>
        <w:snapToGrid w:val="0"/>
        <w:spacing w:beforeLines="50" w:line="400" w:lineRule="exact"/>
        <w:ind w:firstLine="480" w:firstLineChars="200"/>
        <w:rPr>
          <w:rFonts w:ascii="宋体" w:hAnsi="宋体" w:cs="宋体"/>
          <w:color w:val="auto"/>
          <w:sz w:val="24"/>
          <w:szCs w:val="20"/>
          <w:u w:val="single"/>
        </w:rPr>
      </w:pPr>
      <w:r>
        <w:rPr>
          <w:rFonts w:hint="eastAsia" w:ascii="宋体" w:hAnsi="宋体" w:cs="宋体"/>
          <w:color w:val="auto"/>
          <w:sz w:val="24"/>
          <w:u w:val="single"/>
        </w:rPr>
        <w:t>　　　　　　　　　　　　　　　　　　　　　　　　　　　</w:t>
      </w:r>
    </w:p>
    <w:p>
      <w:pPr>
        <w:pStyle w:val="26"/>
        <w:snapToGrid w:val="0"/>
        <w:spacing w:line="400" w:lineRule="exact"/>
        <w:rPr>
          <w:rFonts w:cs="宋体"/>
          <w:color w:val="auto"/>
        </w:rPr>
      </w:pPr>
      <w:r>
        <w:rPr>
          <w:rFonts w:hint="eastAsia" w:cs="宋体"/>
          <w:color w:val="auto"/>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Lines="50" w:line="400" w:lineRule="exact"/>
        <w:ind w:firstLine="480" w:firstLineChars="200"/>
        <w:rPr>
          <w:rFonts w:ascii="宋体" w:hAnsi="宋体" w:cs="宋体"/>
          <w:color w:val="auto"/>
          <w:sz w:val="24"/>
          <w:szCs w:val="20"/>
          <w:u w:val="single"/>
        </w:rPr>
      </w:pPr>
      <w:r>
        <w:rPr>
          <w:rFonts w:hint="eastAsia" w:ascii="宋体" w:hAnsi="宋体" w:cs="宋体"/>
          <w:color w:val="auto"/>
          <w:sz w:val="24"/>
          <w:u w:val="single"/>
        </w:rPr>
        <w:t>　　　　　　　　　　　　　　　　　　　　　　　　　　　</w:t>
      </w:r>
    </w:p>
    <w:p>
      <w:pPr>
        <w:snapToGrid w:val="0"/>
        <w:spacing w:line="400" w:lineRule="exact"/>
        <w:ind w:firstLine="480" w:firstLineChars="200"/>
        <w:rPr>
          <w:rFonts w:ascii="宋体" w:hAnsi="宋体" w:cs="宋体"/>
          <w:color w:val="auto"/>
          <w:sz w:val="24"/>
          <w:szCs w:val="20"/>
        </w:rPr>
      </w:pPr>
      <w:r>
        <w:rPr>
          <w:rFonts w:hint="eastAsia" w:ascii="宋体" w:hAnsi="宋体" w:cs="宋体"/>
          <w:color w:val="auto"/>
          <w:sz w:val="24"/>
        </w:rPr>
        <w:t>6.以上事项如有虚假或隐瞒，我方愿意承担一切后果，并不再寻求任何旨在减轻或免除法律责任的辩解。</w:t>
      </w:r>
    </w:p>
    <w:p>
      <w:pPr>
        <w:pStyle w:val="28"/>
        <w:tabs>
          <w:tab w:val="left" w:pos="939"/>
        </w:tabs>
        <w:snapToGrid w:val="0"/>
        <w:spacing w:line="400" w:lineRule="exact"/>
        <w:ind w:left="773" w:leftChars="150" w:hanging="458" w:hangingChars="191"/>
        <w:rPr>
          <w:rFonts w:ascii="宋体" w:hAnsi="宋体" w:cs="宋体"/>
          <w:color w:val="auto"/>
          <w:sz w:val="24"/>
        </w:rPr>
      </w:pPr>
    </w:p>
    <w:p>
      <w:pPr>
        <w:snapToGrid w:val="0"/>
        <w:spacing w:beforeLines="50" w:line="400" w:lineRule="exact"/>
        <w:ind w:firstLine="200"/>
        <w:rPr>
          <w:rFonts w:ascii="宋体" w:hAnsi="宋体" w:cs="宋体"/>
          <w:color w:val="auto"/>
          <w:sz w:val="24"/>
          <w:szCs w:val="20"/>
          <w:u w:val="single"/>
        </w:rPr>
      </w:pPr>
      <w:r>
        <w:rPr>
          <w:rFonts w:hint="eastAsia" w:ascii="宋体" w:hAnsi="宋体" w:cs="宋体"/>
          <w:color w:val="auto"/>
          <w:sz w:val="24"/>
        </w:rPr>
        <w:t>法定代表人或被授权人签字（或盖章）：</w:t>
      </w:r>
      <w:r>
        <w:rPr>
          <w:rFonts w:hint="eastAsia" w:ascii="宋体" w:hAnsi="宋体" w:cs="宋体"/>
          <w:color w:val="auto"/>
          <w:sz w:val="24"/>
          <w:u w:val="single"/>
        </w:rPr>
        <w:t xml:space="preserve">             </w:t>
      </w:r>
    </w:p>
    <w:p>
      <w:pPr>
        <w:snapToGrid w:val="0"/>
        <w:spacing w:beforeLines="50" w:after="50" w:line="400" w:lineRule="exact"/>
        <w:ind w:firstLine="240" w:firstLineChars="100"/>
        <w:rPr>
          <w:rFonts w:ascii="宋体" w:hAnsi="宋体" w:cs="宋体"/>
          <w:color w:val="auto"/>
          <w:sz w:val="24"/>
        </w:rPr>
      </w:pPr>
      <w:r>
        <w:rPr>
          <w:rFonts w:hint="eastAsia" w:ascii="宋体" w:hAnsi="宋体" w:cs="宋体"/>
          <w:color w:val="auto"/>
          <w:sz w:val="24"/>
        </w:rPr>
        <w:t>投标人公章：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beforeLines="50" w:after="50" w:line="400" w:lineRule="exact"/>
        <w:ind w:firstLine="240" w:firstLineChars="100"/>
        <w:rPr>
          <w:rFonts w:ascii="宋体" w:hAnsi="宋体" w:cs="宋体"/>
          <w:color w:val="auto"/>
          <w:sz w:val="24"/>
        </w:rPr>
      </w:pPr>
    </w:p>
    <w:p>
      <w:pPr>
        <w:pStyle w:val="962"/>
        <w:spacing w:line="360" w:lineRule="auto"/>
        <w:jc w:val="right"/>
        <w:rPr>
          <w:rFonts w:hAnsi="宋体" w:eastAsia="宋体" w:cs="宋体"/>
          <w:color w:val="auto"/>
          <w:sz w:val="24"/>
          <w:szCs w:val="24"/>
        </w:rPr>
      </w:pPr>
      <w:r>
        <w:rPr>
          <w:rFonts w:hint="eastAsia" w:hAnsi="宋体" w:eastAsia="宋体" w:cs="宋体"/>
          <w:color w:val="auto"/>
          <w:sz w:val="24"/>
          <w:szCs w:val="24"/>
        </w:rPr>
        <w:t>年    月    日</w:t>
      </w:r>
    </w:p>
    <w:p>
      <w:pPr>
        <w:spacing w:line="360" w:lineRule="auto"/>
        <w:jc w:val="left"/>
        <w:rPr>
          <w:rFonts w:ascii="宋体" w:hAnsi="宋体" w:cs="宋体"/>
          <w:b/>
          <w:color w:val="auto"/>
          <w:sz w:val="24"/>
        </w:rPr>
      </w:pPr>
      <w:r>
        <w:rPr>
          <w:rFonts w:ascii="宋体" w:hAnsi="宋体" w:cs="宋体"/>
          <w:b/>
          <w:color w:val="auto"/>
          <w:sz w:val="24"/>
        </w:rPr>
        <w:br w:type="page"/>
      </w:r>
    </w:p>
    <w:p>
      <w:pPr>
        <w:snapToGrid w:val="0"/>
        <w:spacing w:beforeLines="50" w:after="50" w:line="360" w:lineRule="auto"/>
        <w:jc w:val="center"/>
        <w:rPr>
          <w:rFonts w:ascii="宋体" w:hAnsi="宋体" w:cs="宋体"/>
          <w:b/>
          <w:color w:val="auto"/>
          <w:sz w:val="32"/>
          <w:szCs w:val="32"/>
        </w:rPr>
      </w:pPr>
      <w:r>
        <w:rPr>
          <w:rFonts w:hint="eastAsia" w:ascii="宋体" w:hAnsi="宋体" w:cs="宋体"/>
          <w:b/>
          <w:color w:val="auto"/>
          <w:sz w:val="32"/>
          <w:szCs w:val="32"/>
        </w:rPr>
        <w:t>法定代表人授权委托书</w:t>
      </w:r>
    </w:p>
    <w:p>
      <w:pPr>
        <w:snapToGrid w:val="0"/>
        <w:spacing w:beforeLines="50" w:after="50" w:line="360" w:lineRule="auto"/>
        <w:rPr>
          <w:rFonts w:ascii="宋体" w:hAnsi="宋体" w:cs="宋体"/>
          <w:b/>
          <w:bCs/>
          <w:color w:val="auto"/>
          <w:sz w:val="24"/>
          <w:szCs w:val="20"/>
        </w:rPr>
      </w:pPr>
      <w:r>
        <w:rPr>
          <w:rFonts w:hint="eastAsia" w:ascii="宋体" w:hAnsi="宋体" w:cs="宋体"/>
          <w:bCs/>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（采购人）：</w:t>
      </w:r>
    </w:p>
    <w:p>
      <w:pPr>
        <w:snapToGrid w:val="0"/>
        <w:spacing w:beforeLines="50" w:after="50" w:line="360" w:lineRule="auto"/>
        <w:ind w:firstLine="720" w:firstLineChars="300"/>
        <w:rPr>
          <w:rFonts w:ascii="宋体" w:hAnsi="宋体" w:cs="宋体"/>
          <w:color w:val="auto"/>
          <w:sz w:val="24"/>
          <w:szCs w:val="20"/>
        </w:rPr>
      </w:pPr>
      <w:r>
        <w:rPr>
          <w:rFonts w:hint="eastAsia" w:ascii="宋体" w:hAnsi="宋体" w:cs="宋体"/>
          <w:color w:val="auto"/>
          <w:sz w:val="24"/>
        </w:rPr>
        <w:t>我</w:t>
      </w:r>
      <w:r>
        <w:rPr>
          <w:rFonts w:hint="eastAsia" w:ascii="宋体" w:hAnsi="宋体" w:cs="宋体"/>
          <w:color w:val="auto"/>
          <w:sz w:val="24"/>
          <w:u w:val="single"/>
        </w:rPr>
        <w:t xml:space="preserve">               </w:t>
      </w:r>
      <w:r>
        <w:rPr>
          <w:rFonts w:hint="eastAsia" w:ascii="宋体" w:hAnsi="宋体" w:cs="宋体"/>
          <w:color w:val="auto"/>
          <w:sz w:val="24"/>
        </w:rPr>
        <w:t>（姓名）系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（投标人名称）的法定代表人，现授权委托</w:t>
      </w:r>
      <w:r>
        <w:rPr>
          <w:rFonts w:hint="eastAsia" w:ascii="宋体" w:hAnsi="宋体" w:cs="宋体"/>
          <w:color w:val="auto"/>
          <w:sz w:val="24"/>
          <w:u w:val="single"/>
        </w:rPr>
        <w:t xml:space="preserve">             </w:t>
      </w:r>
      <w:r>
        <w:rPr>
          <w:rFonts w:hint="eastAsia" w:ascii="宋体" w:hAnsi="宋体" w:cs="宋体"/>
          <w:color w:val="auto"/>
          <w:sz w:val="24"/>
        </w:rPr>
        <w:t>（姓名）以我方的名义参加</w:t>
      </w:r>
      <w:r>
        <w:rPr>
          <w:rFonts w:hint="eastAsia" w:ascii="宋体" w:hAnsi="宋体" w:cs="宋体"/>
          <w:color w:val="auto"/>
          <w:sz w:val="24"/>
          <w:u w:val="single"/>
        </w:rPr>
        <w:t xml:space="preserve">              政府采购项目</w:t>
      </w:r>
      <w:r>
        <w:rPr>
          <w:rFonts w:hint="eastAsia" w:ascii="宋体" w:hAnsi="宋体" w:cs="宋体"/>
          <w:color w:val="auto"/>
          <w:sz w:val="24"/>
        </w:rPr>
        <w:t>的投标活动，并代表我方全权办理针对上述项目的投标、开标、评标、签约等具体事务和签署相关文件。</w:t>
      </w:r>
    </w:p>
    <w:p>
      <w:pPr>
        <w:snapToGrid w:val="0"/>
        <w:spacing w:beforeLines="50" w:after="50" w:line="360" w:lineRule="auto"/>
        <w:rPr>
          <w:rFonts w:ascii="宋体" w:hAnsi="宋体" w:cs="宋体"/>
          <w:color w:val="auto"/>
          <w:sz w:val="24"/>
          <w:szCs w:val="20"/>
        </w:rPr>
      </w:pPr>
      <w:r>
        <w:rPr>
          <w:rFonts w:hint="eastAsia" w:ascii="宋体" w:hAnsi="宋体" w:cs="宋体"/>
          <w:color w:val="auto"/>
          <w:sz w:val="24"/>
        </w:rPr>
        <w:t xml:space="preserve">    我方对被授权人的签字事项负全部责任。</w:t>
      </w:r>
    </w:p>
    <w:p>
      <w:pPr>
        <w:snapToGrid w:val="0"/>
        <w:spacing w:beforeLines="50" w:after="50" w:line="360" w:lineRule="auto"/>
        <w:ind w:firstLine="480"/>
        <w:rPr>
          <w:rFonts w:ascii="宋体" w:hAnsi="宋体" w:cs="宋体"/>
          <w:color w:val="auto"/>
          <w:sz w:val="24"/>
          <w:szCs w:val="20"/>
        </w:rPr>
      </w:pPr>
      <w:r>
        <w:rPr>
          <w:rFonts w:hint="eastAsia" w:ascii="宋体" w:hAnsi="宋体" w:cs="宋体"/>
          <w:color w:val="auto"/>
          <w:sz w:val="24"/>
          <w:u w:val="single"/>
        </w:rPr>
        <w:t>在撤销授权的书面通知以前，本授权书一直有效。</w:t>
      </w:r>
      <w:r>
        <w:rPr>
          <w:rFonts w:hint="eastAsia" w:ascii="宋体" w:hAnsi="宋体" w:cs="宋体"/>
          <w:color w:val="auto"/>
          <w:sz w:val="24"/>
        </w:rPr>
        <w:t>被授权人在授权书有效期内签署的所有文件不因授权的撤销而失效。</w:t>
      </w:r>
    </w:p>
    <w:p>
      <w:pPr>
        <w:snapToGrid w:val="0"/>
        <w:spacing w:beforeLines="50" w:after="50" w:line="360" w:lineRule="auto"/>
        <w:ind w:firstLine="480"/>
        <w:rPr>
          <w:rFonts w:ascii="宋体" w:hAnsi="宋体" w:cs="宋体"/>
          <w:color w:val="auto"/>
          <w:sz w:val="24"/>
          <w:szCs w:val="20"/>
        </w:rPr>
      </w:pPr>
      <w:r>
        <w:rPr>
          <w:rFonts w:hint="eastAsia" w:ascii="宋体" w:hAnsi="宋体" w:cs="宋体"/>
          <w:color w:val="auto"/>
          <w:sz w:val="24"/>
        </w:rPr>
        <w:t>被授权人无转委托权，特此委托。</w:t>
      </w:r>
    </w:p>
    <w:p>
      <w:pPr>
        <w:snapToGrid w:val="0"/>
        <w:spacing w:beforeLines="50" w:after="50" w:line="360" w:lineRule="auto"/>
        <w:rPr>
          <w:rFonts w:ascii="宋体" w:hAnsi="宋体" w:cs="宋体"/>
          <w:color w:val="auto"/>
          <w:sz w:val="24"/>
          <w:szCs w:val="20"/>
        </w:rPr>
      </w:pPr>
    </w:p>
    <w:p>
      <w:pPr>
        <w:snapToGrid w:val="0"/>
        <w:spacing w:beforeLines="50" w:after="50" w:line="360" w:lineRule="auto"/>
        <w:rPr>
          <w:rFonts w:ascii="宋体" w:hAnsi="宋体" w:cs="宋体"/>
          <w:color w:val="auto"/>
          <w:sz w:val="24"/>
          <w:szCs w:val="20"/>
          <w:u w:val="single"/>
        </w:rPr>
      </w:pPr>
      <w:r>
        <w:rPr>
          <w:rFonts w:hint="eastAsia" w:ascii="宋体" w:hAnsi="宋体" w:cs="宋体"/>
          <w:color w:val="auto"/>
          <w:sz w:val="24"/>
        </w:rPr>
        <w:t>法定代表人签字（或盖章）：</w:t>
      </w:r>
      <w:r>
        <w:rPr>
          <w:rFonts w:hint="eastAsia" w:ascii="宋体" w:hAnsi="宋体" w:cs="宋体"/>
          <w:color w:val="auto"/>
          <w:sz w:val="24"/>
          <w:u w:val="single"/>
        </w:rPr>
        <w:t xml:space="preserve">          </w:t>
      </w:r>
      <w:r>
        <w:rPr>
          <w:rFonts w:hint="eastAsia" w:ascii="宋体" w:hAnsi="宋体" w:cs="宋体"/>
          <w:color w:val="auto"/>
          <w:sz w:val="24"/>
        </w:rPr>
        <w:t xml:space="preserve">  被授权人签字（或盖章）：</w:t>
      </w:r>
      <w:r>
        <w:rPr>
          <w:rFonts w:hint="eastAsia" w:ascii="宋体" w:hAnsi="宋体" w:cs="宋体"/>
          <w:color w:val="auto"/>
          <w:sz w:val="24"/>
          <w:u w:val="single"/>
        </w:rPr>
        <w:t xml:space="preserve">          </w:t>
      </w:r>
    </w:p>
    <w:p>
      <w:pPr>
        <w:snapToGrid w:val="0"/>
        <w:spacing w:beforeLines="50" w:after="50" w:line="360" w:lineRule="auto"/>
        <w:ind w:firstLine="960" w:firstLineChars="400"/>
        <w:rPr>
          <w:rFonts w:ascii="宋体" w:hAnsi="宋体" w:cs="宋体"/>
          <w:color w:val="auto"/>
          <w:sz w:val="24"/>
          <w:u w:val="single"/>
        </w:rPr>
      </w:pPr>
      <w:r>
        <w:rPr>
          <w:rFonts w:hint="eastAsia" w:ascii="宋体" w:hAnsi="宋体" w:cs="宋体"/>
          <w:color w:val="auto"/>
          <w:sz w:val="24"/>
        </w:rPr>
        <w:t>职务：</w:t>
      </w:r>
      <w:r>
        <w:rPr>
          <w:rFonts w:hint="eastAsia" w:ascii="宋体" w:hAnsi="宋体" w:cs="宋体"/>
          <w:color w:val="auto"/>
          <w:sz w:val="24"/>
          <w:u w:val="single"/>
        </w:rPr>
        <w:t xml:space="preserve">           </w:t>
      </w:r>
      <w:r>
        <w:rPr>
          <w:rFonts w:hint="eastAsia" w:ascii="宋体" w:hAnsi="宋体" w:cs="宋体"/>
          <w:color w:val="auto"/>
          <w:sz w:val="24"/>
        </w:rPr>
        <w:t xml:space="preserve">                          职务：</w:t>
      </w:r>
      <w:r>
        <w:rPr>
          <w:rFonts w:hint="eastAsia" w:ascii="宋体" w:hAnsi="宋体" w:cs="宋体"/>
          <w:color w:val="auto"/>
          <w:sz w:val="24"/>
          <w:u w:val="single"/>
        </w:rPr>
        <w:t xml:space="preserve">           </w:t>
      </w:r>
    </w:p>
    <w:p>
      <w:pPr>
        <w:snapToGrid w:val="0"/>
        <w:spacing w:beforeLines="50" w:after="50" w:line="360" w:lineRule="auto"/>
        <w:rPr>
          <w:rFonts w:ascii="宋体" w:hAnsi="宋体" w:cs="宋体"/>
          <w:color w:val="auto"/>
          <w:sz w:val="24"/>
          <w:szCs w:val="20"/>
        </w:rPr>
      </w:pPr>
    </w:p>
    <w:p>
      <w:pPr>
        <w:snapToGrid w:val="0"/>
        <w:spacing w:beforeLines="50" w:after="50" w:line="360" w:lineRule="auto"/>
        <w:rPr>
          <w:rFonts w:ascii="宋体" w:hAnsi="宋体" w:cs="宋体"/>
          <w:color w:val="auto"/>
          <w:sz w:val="24"/>
        </w:rPr>
      </w:pPr>
      <w:r>
        <w:rPr>
          <w:rFonts w:hint="eastAsia" w:ascii="宋体" w:hAnsi="宋体" w:cs="宋体"/>
          <w:color w:val="auto"/>
          <w:sz w:val="24"/>
        </w:rPr>
        <w:t>法定代表人身份证粘贴处（正反面）       被授权人身份证粘贴处（正反面）</w:t>
      </w:r>
    </w:p>
    <w:p>
      <w:pPr>
        <w:snapToGrid w:val="0"/>
        <w:spacing w:beforeLines="50" w:after="50" w:line="360" w:lineRule="auto"/>
        <w:rPr>
          <w:rFonts w:ascii="宋体" w:hAnsi="宋体" w:cs="宋体"/>
          <w:color w:val="auto"/>
          <w:sz w:val="24"/>
        </w:rPr>
      </w:pPr>
    </w:p>
    <w:p>
      <w:pPr>
        <w:snapToGrid w:val="0"/>
        <w:spacing w:beforeLines="50" w:after="50" w:line="360" w:lineRule="auto"/>
        <w:rPr>
          <w:rFonts w:ascii="宋体" w:hAnsi="宋体" w:cs="宋体"/>
          <w:color w:val="auto"/>
          <w:sz w:val="24"/>
        </w:rPr>
      </w:pPr>
    </w:p>
    <w:p>
      <w:pPr>
        <w:snapToGrid w:val="0"/>
        <w:spacing w:beforeLines="50" w:after="50" w:line="360" w:lineRule="auto"/>
        <w:rPr>
          <w:rFonts w:ascii="宋体" w:hAnsi="宋体" w:cs="宋体"/>
          <w:color w:val="auto"/>
          <w:sz w:val="24"/>
        </w:rPr>
      </w:pPr>
    </w:p>
    <w:p>
      <w:pPr>
        <w:snapToGrid w:val="0"/>
        <w:spacing w:beforeLines="50" w:after="50" w:line="360" w:lineRule="auto"/>
        <w:rPr>
          <w:rFonts w:ascii="宋体" w:hAnsi="宋体" w:cs="宋体"/>
          <w:color w:val="auto"/>
          <w:sz w:val="24"/>
        </w:rPr>
      </w:pPr>
      <w:r>
        <w:rPr>
          <w:rFonts w:hint="eastAsia" w:ascii="宋体" w:hAnsi="宋体" w:cs="宋体"/>
          <w:color w:val="auto"/>
          <w:sz w:val="24"/>
        </w:rPr>
        <w:t>投标人公章：</w:t>
      </w:r>
    </w:p>
    <w:p>
      <w:pPr>
        <w:snapToGrid w:val="0"/>
        <w:spacing w:beforeLines="50" w:after="50" w:line="360" w:lineRule="auto"/>
        <w:rPr>
          <w:rFonts w:ascii="宋体" w:hAnsi="宋体" w:cs="宋体"/>
          <w:color w:val="auto"/>
          <w:sz w:val="24"/>
          <w:szCs w:val="20"/>
        </w:rPr>
      </w:pPr>
    </w:p>
    <w:p>
      <w:pPr>
        <w:snapToGrid w:val="0"/>
        <w:spacing w:beforeLines="50" w:after="50" w:line="360" w:lineRule="auto"/>
        <w:rPr>
          <w:rFonts w:ascii="宋体" w:hAnsi="宋体" w:cs="宋体"/>
          <w:color w:val="auto"/>
          <w:sz w:val="24"/>
          <w:szCs w:val="20"/>
        </w:rPr>
      </w:pPr>
    </w:p>
    <w:p>
      <w:pPr>
        <w:snapToGrid w:val="0"/>
        <w:spacing w:beforeLines="50" w:after="50"/>
        <w:jc w:val="right"/>
        <w:rPr>
          <w:rFonts w:ascii="宋体" w:hAnsi="宋体" w:cs="宋体"/>
          <w:color w:val="auto"/>
          <w:sz w:val="24"/>
        </w:rPr>
      </w:pPr>
      <w:r>
        <w:rPr>
          <w:rFonts w:hint="eastAsia" w:ascii="宋体" w:hAnsi="宋体" w:cs="宋体"/>
          <w:color w:val="auto"/>
          <w:sz w:val="24"/>
        </w:rPr>
        <w:t xml:space="preserve">                                        年    月    日</w:t>
      </w:r>
    </w:p>
    <w:p>
      <w:pPr>
        <w:pStyle w:val="962"/>
        <w:spacing w:line="360" w:lineRule="auto"/>
        <w:rPr>
          <w:rFonts w:hAnsi="宋体" w:eastAsia="宋体" w:cs="宋体"/>
          <w:color w:val="auto"/>
          <w:sz w:val="24"/>
        </w:rPr>
      </w:pPr>
    </w:p>
    <w:p>
      <w:pPr>
        <w:snapToGrid w:val="0"/>
        <w:spacing w:beforeLines="50" w:after="50" w:line="360" w:lineRule="auto"/>
        <w:rPr>
          <w:rFonts w:ascii="宋体" w:hAnsi="宋体" w:cs="宋体"/>
          <w:color w:val="auto"/>
          <w:sz w:val="24"/>
        </w:rPr>
      </w:pPr>
      <w:r>
        <w:rPr>
          <w:rFonts w:hint="eastAsia" w:ascii="宋体" w:hAnsi="宋体" w:cs="宋体"/>
          <w:b/>
          <w:color w:val="auto"/>
          <w:sz w:val="28"/>
          <w:szCs w:val="28"/>
        </w:rPr>
        <w:t>注：此表请放一页，如要放2页及以上请在每页上都加盖公章。</w:t>
      </w:r>
    </w:p>
    <w:p>
      <w:pPr>
        <w:spacing w:line="360" w:lineRule="auto"/>
        <w:jc w:val="left"/>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诚信承诺书</w:t>
      </w:r>
    </w:p>
    <w:p>
      <w:pPr>
        <w:spacing w:line="360" w:lineRule="auto"/>
        <w:rPr>
          <w:rFonts w:ascii="宋体" w:hAnsi="宋体" w:cs="宋体"/>
          <w:color w:val="auto"/>
          <w:sz w:val="24"/>
        </w:rPr>
      </w:pPr>
      <w:r>
        <w:rPr>
          <w:rFonts w:hint="eastAsia" w:ascii="宋体" w:hAnsi="宋体" w:cs="宋体"/>
          <w:color w:val="auto"/>
          <w:sz w:val="24"/>
          <w:u w:val="single"/>
        </w:rPr>
        <w:t xml:space="preserve">（采购人或招标组织机构） </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我方在参加贵单位的</w:t>
      </w:r>
      <w:r>
        <w:rPr>
          <w:rFonts w:hint="eastAsia" w:ascii="宋体" w:hAnsi="宋体" w:cs="宋体"/>
          <w:color w:val="auto"/>
          <w:sz w:val="24"/>
          <w:u w:val="single"/>
        </w:rPr>
        <w:t xml:space="preserve">                   </w:t>
      </w:r>
      <w:r>
        <w:rPr>
          <w:rFonts w:hint="eastAsia" w:ascii="宋体" w:hAnsi="宋体" w:cs="宋体"/>
          <w:color w:val="auto"/>
          <w:sz w:val="24"/>
        </w:rPr>
        <w:t>政府采购项目的招投标活动中，郑重承诺如下：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1、我方申报的所有资料都是真实、准确、完整的；</w:t>
      </w:r>
    </w:p>
    <w:p>
      <w:pPr>
        <w:spacing w:line="360" w:lineRule="auto"/>
        <w:ind w:firstLine="480" w:firstLineChars="200"/>
        <w:rPr>
          <w:rFonts w:ascii="宋体" w:hAnsi="宋体" w:cs="宋体"/>
          <w:color w:val="auto"/>
          <w:sz w:val="24"/>
        </w:rPr>
      </w:pPr>
      <w:r>
        <w:rPr>
          <w:rFonts w:hint="eastAsia" w:ascii="宋体" w:hAnsi="宋体" w:cs="宋体"/>
          <w:color w:val="auto"/>
          <w:sz w:val="24"/>
        </w:rPr>
        <w:t>2、我方无资质挂靠情形，保证不参与串标、围标及抬标；</w:t>
      </w:r>
    </w:p>
    <w:p>
      <w:pPr>
        <w:spacing w:line="360" w:lineRule="auto"/>
        <w:ind w:firstLine="480" w:firstLineChars="200"/>
        <w:rPr>
          <w:rFonts w:ascii="宋体" w:hAnsi="宋体" w:cs="宋体"/>
          <w:color w:val="auto"/>
          <w:sz w:val="24"/>
        </w:rPr>
      </w:pPr>
      <w:r>
        <w:rPr>
          <w:rFonts w:hint="eastAsia" w:ascii="宋体" w:hAnsi="宋体" w:cs="宋体"/>
          <w:color w:val="auto"/>
          <w:sz w:val="24"/>
        </w:rPr>
        <w:t>3、我方未处于被各级行政主管部门做出停止市场行为处罚的期限内；</w:t>
      </w:r>
    </w:p>
    <w:p>
      <w:pPr>
        <w:spacing w:line="360" w:lineRule="auto"/>
        <w:ind w:firstLine="480" w:firstLineChars="200"/>
        <w:rPr>
          <w:rFonts w:ascii="宋体" w:hAnsi="宋体" w:cs="宋体"/>
          <w:color w:val="auto"/>
          <w:sz w:val="24"/>
        </w:rPr>
      </w:pPr>
      <w:r>
        <w:rPr>
          <w:rFonts w:hint="eastAsia" w:ascii="宋体" w:hAnsi="宋体" w:cs="宋体"/>
          <w:color w:val="auto"/>
          <w:sz w:val="24"/>
        </w:rPr>
        <w:t>4、我方参加本项目政府采购活动前3年内在经营活动中没有重大违法记录；</w:t>
      </w:r>
    </w:p>
    <w:p>
      <w:pPr>
        <w:spacing w:line="360" w:lineRule="auto"/>
        <w:ind w:firstLine="480" w:firstLineChars="200"/>
        <w:rPr>
          <w:rFonts w:ascii="宋体" w:hAnsi="宋体" w:cs="宋体"/>
          <w:color w:val="auto"/>
          <w:sz w:val="24"/>
        </w:rPr>
      </w:pPr>
      <w:r>
        <w:rPr>
          <w:rFonts w:hint="eastAsia" w:ascii="宋体" w:hAnsi="宋体" w:cs="宋体"/>
          <w:color w:val="auto"/>
          <w:sz w:val="24"/>
        </w:rPr>
        <w:t>5、若我方中标，将严格按照规定及时与采购人签订合同；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color w:val="auto"/>
          <w:sz w:val="24"/>
        </w:rPr>
      </w:pPr>
      <w:r>
        <w:rPr>
          <w:rFonts w:hint="eastAsia" w:ascii="宋体" w:hAnsi="宋体" w:cs="宋体"/>
          <w:color w:val="auto"/>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color w:val="auto"/>
          <w:sz w:val="24"/>
        </w:rPr>
      </w:pPr>
      <w:r>
        <w:rPr>
          <w:rFonts w:hint="eastAsia" w:ascii="宋体" w:hAnsi="宋体" w:cs="宋体"/>
          <w:color w:val="auto"/>
          <w:sz w:val="24"/>
        </w:rPr>
        <w:t>特此承诺。</w:t>
      </w:r>
    </w:p>
    <w:p>
      <w:pPr>
        <w:spacing w:line="360" w:lineRule="auto"/>
        <w:ind w:firstLine="480" w:firstLineChars="200"/>
        <w:rPr>
          <w:rFonts w:ascii="宋体" w:hAnsi="宋体" w:cs="宋体"/>
          <w:color w:val="auto"/>
          <w:sz w:val="24"/>
        </w:rPr>
      </w:pPr>
      <w:r>
        <w:rPr>
          <w:rFonts w:hint="eastAsia" w:ascii="宋体" w:hAnsi="宋体" w:cs="宋体"/>
          <w:color w:val="auto"/>
          <w:sz w:val="24"/>
        </w:rPr>
        <w:t>投标人（加盖公章）：</w:t>
      </w:r>
      <w:r>
        <w:rPr>
          <w:rFonts w:hint="eastAsia" w:ascii="宋体" w:hAnsi="宋体" w:cs="宋体"/>
          <w:color w:val="auto"/>
          <w:sz w:val="24"/>
          <w:u w:val="single"/>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投标人代表（签名）：</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p>
    <w:p>
      <w:pPr>
        <w:spacing w:line="360" w:lineRule="auto"/>
        <w:ind w:firstLine="4920" w:firstLineChars="205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962"/>
        <w:spacing w:line="360" w:lineRule="auto"/>
        <w:rPr>
          <w:rFonts w:hAnsi="宋体" w:eastAsia="宋体" w:cs="宋体"/>
          <w:color w:val="auto"/>
          <w:sz w:val="24"/>
        </w:rPr>
      </w:pPr>
    </w:p>
    <w:p>
      <w:pPr>
        <w:pStyle w:val="962"/>
        <w:spacing w:line="360" w:lineRule="auto"/>
        <w:rPr>
          <w:rFonts w:hAnsi="宋体" w:eastAsia="宋体" w:cs="宋体"/>
          <w:color w:val="auto"/>
          <w:sz w:val="24"/>
        </w:rPr>
      </w:pPr>
    </w:p>
    <w:p>
      <w:pPr>
        <w:pStyle w:val="962"/>
        <w:spacing w:line="360" w:lineRule="auto"/>
        <w:rPr>
          <w:rFonts w:hAnsi="宋体" w:eastAsia="宋体" w:cs="宋体"/>
          <w:color w:val="auto"/>
          <w:sz w:val="24"/>
        </w:rPr>
      </w:pPr>
    </w:p>
    <w:p>
      <w:pPr>
        <w:pStyle w:val="962"/>
        <w:spacing w:line="360" w:lineRule="auto"/>
        <w:rPr>
          <w:rFonts w:hAnsi="宋体" w:eastAsia="宋体" w:cs="宋体"/>
          <w:color w:val="auto"/>
          <w:sz w:val="24"/>
        </w:rPr>
      </w:pPr>
    </w:p>
    <w:p>
      <w:pPr>
        <w:pStyle w:val="962"/>
        <w:spacing w:line="360" w:lineRule="auto"/>
        <w:rPr>
          <w:rFonts w:hAnsi="宋体" w:eastAsia="宋体" w:cs="宋体"/>
          <w:color w:val="auto"/>
          <w:sz w:val="24"/>
        </w:rPr>
      </w:pPr>
    </w:p>
    <w:p>
      <w:pPr>
        <w:pStyle w:val="962"/>
        <w:spacing w:line="360" w:lineRule="auto"/>
        <w:rPr>
          <w:rFonts w:hAnsi="宋体" w:eastAsia="宋体" w:cs="宋体"/>
          <w:color w:val="auto"/>
          <w:sz w:val="24"/>
        </w:rPr>
      </w:pPr>
    </w:p>
    <w:p>
      <w:pPr>
        <w:pStyle w:val="962"/>
        <w:spacing w:line="360" w:lineRule="auto"/>
        <w:rPr>
          <w:rFonts w:hAnsi="宋体" w:eastAsia="宋体" w:cs="宋体"/>
          <w:color w:val="auto"/>
          <w:sz w:val="24"/>
        </w:rPr>
      </w:pPr>
    </w:p>
    <w:p>
      <w:pPr>
        <w:pStyle w:val="962"/>
        <w:spacing w:line="360" w:lineRule="auto"/>
        <w:rPr>
          <w:rFonts w:hAnsi="宋体" w:eastAsia="宋体" w:cs="宋体"/>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bCs/>
          <w:color w:val="auto"/>
          <w:sz w:val="24"/>
        </w:rPr>
      </w:pPr>
      <w:r>
        <w:rPr>
          <w:rFonts w:hint="eastAsia" w:ascii="宋体" w:hAnsi="宋体" w:cs="宋体"/>
          <w:b/>
          <w:color w:val="auto"/>
          <w:sz w:val="24"/>
        </w:rPr>
        <w:t>自评表</w:t>
      </w:r>
    </w:p>
    <w:tbl>
      <w:tblPr>
        <w:tblStyle w:val="6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评标内容及分值</w:t>
            </w:r>
          </w:p>
        </w:tc>
        <w:tc>
          <w:tcPr>
            <w:tcW w:w="4254" w:type="dxa"/>
            <w:gridSpan w:val="2"/>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color w:val="auto"/>
                <w:sz w:val="24"/>
              </w:rPr>
            </w:pPr>
          </w:p>
        </w:tc>
        <w:tc>
          <w:tcPr>
            <w:tcW w:w="2145" w:type="dxa"/>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自评分</w:t>
            </w:r>
          </w:p>
        </w:tc>
        <w:tc>
          <w:tcPr>
            <w:tcW w:w="2109" w:type="dxa"/>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rPr>
                <w:rFonts w:ascii="宋体" w:hAnsi="宋体" w:cs="宋体"/>
                <w:color w:val="auto"/>
                <w:sz w:val="24"/>
              </w:rPr>
            </w:pPr>
            <w:r>
              <w:rPr>
                <w:rFonts w:hint="eastAsia" w:ascii="宋体" w:hAnsi="宋体" w:cs="宋体"/>
                <w:b/>
                <w:bCs/>
                <w:color w:val="auto"/>
                <w:sz w:val="28"/>
                <w:szCs w:val="28"/>
                <w:lang w:eastAsia="zh-CN"/>
              </w:rPr>
              <w:t>商务资信</w:t>
            </w:r>
            <w:r>
              <w:rPr>
                <w:rFonts w:hint="eastAsia" w:ascii="宋体" w:hAnsi="宋体" w:cs="宋体"/>
                <w:b/>
                <w:bCs/>
                <w:color w:val="auto"/>
                <w:sz w:val="28"/>
                <w:szCs w:val="28"/>
              </w:rPr>
              <w:t>分（X分）</w:t>
            </w:r>
          </w:p>
        </w:tc>
        <w:tc>
          <w:tcPr>
            <w:tcW w:w="3300" w:type="dxa"/>
            <w:tcBorders>
              <w:bottom w:val="single" w:color="auto" w:sz="4" w:space="0"/>
            </w:tcBorders>
            <w:vAlign w:val="center"/>
          </w:tcPr>
          <w:p>
            <w:pPr>
              <w:widowControl/>
              <w:spacing w:line="360" w:lineRule="auto"/>
              <w:jc w:val="center"/>
              <w:rPr>
                <w:rFonts w:ascii="宋体" w:hAnsi="宋体" w:cs="宋体"/>
                <w:color w:val="auto"/>
                <w:kern w:val="0"/>
                <w:szCs w:val="21"/>
              </w:rPr>
            </w:pPr>
          </w:p>
        </w:tc>
        <w:tc>
          <w:tcPr>
            <w:tcW w:w="2145" w:type="dxa"/>
            <w:tcBorders>
              <w:bottom w:val="single" w:color="auto" w:sz="4" w:space="0"/>
            </w:tcBorders>
            <w:vAlign w:val="center"/>
          </w:tcPr>
          <w:p>
            <w:pPr>
              <w:spacing w:line="360" w:lineRule="auto"/>
              <w:jc w:val="left"/>
              <w:rPr>
                <w:rFonts w:ascii="宋体" w:hAnsi="宋体" w:cs="宋体"/>
                <w:color w:val="auto"/>
                <w:szCs w:val="21"/>
              </w:rPr>
            </w:pPr>
          </w:p>
        </w:tc>
        <w:tc>
          <w:tcPr>
            <w:tcW w:w="2109" w:type="dxa"/>
            <w:tcBorders>
              <w:bottom w:val="single" w:color="auto" w:sz="4" w:space="0"/>
            </w:tcBorders>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color w:val="auto"/>
                <w:sz w:val="24"/>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color w:val="auto"/>
                <w:sz w:val="24"/>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color w:val="auto"/>
                <w:sz w:val="24"/>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color w:val="auto"/>
                <w:sz w:val="24"/>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left"/>
              <w:rPr>
                <w:rFonts w:ascii="宋体" w:hAnsi="宋体" w:cs="宋体"/>
                <w:b/>
                <w:bCs/>
                <w:color w:val="auto"/>
                <w:sz w:val="28"/>
                <w:szCs w:val="28"/>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rPr>
                <w:rFonts w:ascii="宋体" w:hAnsi="宋体" w:cs="宋体"/>
                <w:b/>
                <w:bCs/>
                <w:color w:val="auto"/>
                <w:sz w:val="28"/>
                <w:szCs w:val="28"/>
              </w:rPr>
            </w:pPr>
            <w:r>
              <w:rPr>
                <w:rFonts w:hint="eastAsia" w:ascii="宋体" w:hAnsi="宋体" w:cs="宋体"/>
                <w:b/>
                <w:bCs/>
                <w:color w:val="auto"/>
                <w:sz w:val="28"/>
                <w:szCs w:val="28"/>
              </w:rPr>
              <w:t>技术分（X分）</w:t>
            </w:r>
          </w:p>
        </w:tc>
        <w:tc>
          <w:tcPr>
            <w:tcW w:w="3300" w:type="dxa"/>
            <w:vAlign w:val="center"/>
          </w:tcPr>
          <w:p>
            <w:pPr>
              <w:widowControl/>
              <w:spacing w:line="360" w:lineRule="auto"/>
              <w:jc w:val="center"/>
              <w:rPr>
                <w:rFonts w:ascii="宋体" w:hAnsi="宋体" w:cs="宋体"/>
                <w:color w:val="auto"/>
                <w:kern w:val="0"/>
                <w:szCs w:val="21"/>
              </w:rPr>
            </w:pPr>
          </w:p>
        </w:tc>
        <w:tc>
          <w:tcPr>
            <w:tcW w:w="2145" w:type="dxa"/>
            <w:vAlign w:val="center"/>
          </w:tcPr>
          <w:p>
            <w:pPr>
              <w:spacing w:line="360" w:lineRule="auto"/>
              <w:jc w:val="left"/>
              <w:rPr>
                <w:rFonts w:ascii="宋体" w:hAnsi="宋体" w:cs="宋体"/>
                <w:color w:val="auto"/>
                <w:szCs w:val="21"/>
              </w:rPr>
            </w:pPr>
          </w:p>
        </w:tc>
        <w:tc>
          <w:tcPr>
            <w:tcW w:w="2109" w:type="dxa"/>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rPr>
            </w:pPr>
          </w:p>
        </w:tc>
        <w:tc>
          <w:tcPr>
            <w:tcW w:w="3300" w:type="dxa"/>
            <w:vAlign w:val="center"/>
          </w:tcPr>
          <w:p>
            <w:pPr>
              <w:widowControl/>
              <w:spacing w:line="360" w:lineRule="auto"/>
              <w:jc w:val="center"/>
              <w:rPr>
                <w:rFonts w:ascii="宋体" w:hAnsi="宋体" w:cs="宋体"/>
                <w:color w:val="auto"/>
                <w:kern w:val="0"/>
                <w:szCs w:val="21"/>
              </w:rPr>
            </w:pPr>
          </w:p>
        </w:tc>
        <w:tc>
          <w:tcPr>
            <w:tcW w:w="2145" w:type="dxa"/>
            <w:vAlign w:val="center"/>
          </w:tcPr>
          <w:p>
            <w:pPr>
              <w:spacing w:line="360" w:lineRule="auto"/>
              <w:jc w:val="left"/>
              <w:rPr>
                <w:rFonts w:ascii="宋体" w:hAnsi="宋体" w:cs="宋体"/>
                <w:color w:val="auto"/>
                <w:szCs w:val="21"/>
              </w:rPr>
            </w:pPr>
          </w:p>
        </w:tc>
        <w:tc>
          <w:tcPr>
            <w:tcW w:w="2109" w:type="dxa"/>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rPr>
            </w:pPr>
          </w:p>
        </w:tc>
        <w:tc>
          <w:tcPr>
            <w:tcW w:w="3300" w:type="dxa"/>
            <w:vAlign w:val="center"/>
          </w:tcPr>
          <w:p>
            <w:pPr>
              <w:widowControl/>
              <w:spacing w:line="360" w:lineRule="auto"/>
              <w:jc w:val="center"/>
              <w:rPr>
                <w:rFonts w:ascii="宋体" w:hAnsi="宋体" w:cs="宋体"/>
                <w:color w:val="auto"/>
                <w:kern w:val="0"/>
                <w:szCs w:val="21"/>
              </w:rPr>
            </w:pPr>
          </w:p>
        </w:tc>
        <w:tc>
          <w:tcPr>
            <w:tcW w:w="2145" w:type="dxa"/>
            <w:vAlign w:val="center"/>
          </w:tcPr>
          <w:p>
            <w:pPr>
              <w:spacing w:line="360" w:lineRule="auto"/>
              <w:jc w:val="left"/>
              <w:rPr>
                <w:rFonts w:ascii="宋体" w:hAnsi="宋体" w:cs="宋体"/>
                <w:color w:val="auto"/>
                <w:szCs w:val="21"/>
              </w:rPr>
            </w:pPr>
          </w:p>
        </w:tc>
        <w:tc>
          <w:tcPr>
            <w:tcW w:w="2109" w:type="dxa"/>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rPr>
            </w:pPr>
          </w:p>
        </w:tc>
        <w:tc>
          <w:tcPr>
            <w:tcW w:w="3300" w:type="dxa"/>
            <w:vAlign w:val="center"/>
          </w:tcPr>
          <w:p>
            <w:pPr>
              <w:widowControl/>
              <w:spacing w:line="360" w:lineRule="auto"/>
              <w:jc w:val="center"/>
              <w:rPr>
                <w:rFonts w:ascii="宋体" w:hAnsi="宋体" w:cs="宋体"/>
                <w:color w:val="auto"/>
                <w:kern w:val="0"/>
                <w:szCs w:val="21"/>
              </w:rPr>
            </w:pPr>
          </w:p>
        </w:tc>
        <w:tc>
          <w:tcPr>
            <w:tcW w:w="2145" w:type="dxa"/>
            <w:vAlign w:val="center"/>
          </w:tcPr>
          <w:p>
            <w:pPr>
              <w:spacing w:line="360" w:lineRule="auto"/>
              <w:jc w:val="left"/>
              <w:rPr>
                <w:rFonts w:ascii="宋体" w:hAnsi="宋体" w:cs="宋体"/>
                <w:color w:val="auto"/>
                <w:szCs w:val="21"/>
              </w:rPr>
            </w:pPr>
          </w:p>
        </w:tc>
        <w:tc>
          <w:tcPr>
            <w:tcW w:w="2109" w:type="dxa"/>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rPr>
            </w:pPr>
          </w:p>
        </w:tc>
        <w:tc>
          <w:tcPr>
            <w:tcW w:w="3300" w:type="dxa"/>
            <w:vAlign w:val="center"/>
          </w:tcPr>
          <w:p>
            <w:pPr>
              <w:widowControl/>
              <w:spacing w:line="360" w:lineRule="auto"/>
              <w:jc w:val="center"/>
              <w:rPr>
                <w:rFonts w:ascii="宋体" w:hAnsi="宋体" w:cs="宋体"/>
                <w:color w:val="auto"/>
                <w:kern w:val="0"/>
                <w:szCs w:val="21"/>
              </w:rPr>
            </w:pPr>
          </w:p>
        </w:tc>
        <w:tc>
          <w:tcPr>
            <w:tcW w:w="2145" w:type="dxa"/>
            <w:vAlign w:val="center"/>
          </w:tcPr>
          <w:p>
            <w:pPr>
              <w:spacing w:line="360" w:lineRule="auto"/>
              <w:jc w:val="left"/>
              <w:rPr>
                <w:rFonts w:ascii="宋体" w:hAnsi="宋体" w:cs="宋体"/>
                <w:color w:val="auto"/>
                <w:szCs w:val="21"/>
              </w:rPr>
            </w:pPr>
          </w:p>
        </w:tc>
        <w:tc>
          <w:tcPr>
            <w:tcW w:w="2109" w:type="dxa"/>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rPr>
            </w:pPr>
          </w:p>
        </w:tc>
        <w:tc>
          <w:tcPr>
            <w:tcW w:w="3300" w:type="dxa"/>
            <w:vAlign w:val="center"/>
          </w:tcPr>
          <w:p>
            <w:pPr>
              <w:widowControl/>
              <w:spacing w:line="360" w:lineRule="auto"/>
              <w:jc w:val="center"/>
              <w:rPr>
                <w:rFonts w:ascii="宋体" w:hAnsi="宋体" w:cs="宋体"/>
                <w:color w:val="auto"/>
                <w:kern w:val="0"/>
                <w:szCs w:val="21"/>
              </w:rPr>
            </w:pPr>
          </w:p>
        </w:tc>
        <w:tc>
          <w:tcPr>
            <w:tcW w:w="2145" w:type="dxa"/>
            <w:vAlign w:val="center"/>
          </w:tcPr>
          <w:p>
            <w:pPr>
              <w:spacing w:line="360" w:lineRule="auto"/>
              <w:jc w:val="left"/>
              <w:rPr>
                <w:rFonts w:ascii="宋体" w:hAnsi="宋体" w:cs="宋体"/>
                <w:color w:val="auto"/>
                <w:szCs w:val="21"/>
              </w:rPr>
            </w:pPr>
          </w:p>
        </w:tc>
        <w:tc>
          <w:tcPr>
            <w:tcW w:w="2109" w:type="dxa"/>
            <w:vAlign w:val="center"/>
          </w:tcPr>
          <w:p>
            <w:pPr>
              <w:spacing w:line="360" w:lineRule="auto"/>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color w:val="auto"/>
                <w:sz w:val="24"/>
              </w:rPr>
            </w:pPr>
            <w:r>
              <w:rPr>
                <w:rFonts w:hint="eastAsia" w:ascii="宋体" w:hAnsi="宋体" w:cs="宋体"/>
                <w:bCs/>
                <w:color w:val="auto"/>
                <w:sz w:val="24"/>
              </w:rPr>
              <w:t>合计（满分X分）</w:t>
            </w:r>
          </w:p>
        </w:tc>
        <w:tc>
          <w:tcPr>
            <w:tcW w:w="4254" w:type="dxa"/>
            <w:gridSpan w:val="2"/>
            <w:vAlign w:val="center"/>
          </w:tcPr>
          <w:p>
            <w:pPr>
              <w:spacing w:line="360" w:lineRule="auto"/>
              <w:jc w:val="center"/>
              <w:rPr>
                <w:rFonts w:ascii="宋体" w:hAnsi="宋体" w:cs="宋体"/>
                <w:b/>
                <w:bCs/>
                <w:color w:val="auto"/>
                <w:sz w:val="24"/>
              </w:rPr>
            </w:pPr>
          </w:p>
        </w:tc>
      </w:tr>
    </w:tbl>
    <w:p>
      <w:pPr>
        <w:pStyle w:val="34"/>
        <w:snapToGrid w:val="0"/>
        <w:spacing w:beforeLines="10" w:afterLines="10"/>
        <w:rPr>
          <w:rFonts w:hAnsi="宋体" w:cs="宋体"/>
          <w:color w:val="auto"/>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p>
    <w:p>
      <w:pPr>
        <w:pStyle w:val="962"/>
        <w:spacing w:line="360" w:lineRule="auto"/>
        <w:jc w:val="center"/>
        <w:rPr>
          <w:rFonts w:hAnsi="宋体" w:eastAsia="宋体" w:cs="宋体"/>
          <w:b/>
          <w:color w:val="auto"/>
          <w:sz w:val="24"/>
          <w:szCs w:val="24"/>
        </w:rPr>
      </w:pPr>
      <w:r>
        <w:rPr>
          <w:rFonts w:hint="eastAsia" w:hAnsi="宋体" w:eastAsia="宋体" w:cs="宋体"/>
          <w:b/>
          <w:color w:val="auto"/>
          <w:sz w:val="24"/>
          <w:szCs w:val="24"/>
        </w:rPr>
        <w:t>同类业绩一览表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330"/>
        <w:gridCol w:w="1511"/>
        <w:gridCol w:w="1259"/>
        <w:gridCol w:w="943"/>
        <w:gridCol w:w="818"/>
        <w:gridCol w:w="133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Align w:val="center"/>
          </w:tcPr>
          <w:p>
            <w:pPr>
              <w:jc w:val="center"/>
              <w:rPr>
                <w:rFonts w:ascii="宋体" w:hAnsi="宋体" w:cs="宋体"/>
                <w:b/>
                <w:color w:val="auto"/>
                <w:szCs w:val="21"/>
              </w:rPr>
            </w:pPr>
            <w:r>
              <w:rPr>
                <w:rFonts w:hint="eastAsia" w:ascii="宋体" w:hAnsi="宋体" w:cs="宋体"/>
                <w:b/>
                <w:color w:val="auto"/>
                <w:szCs w:val="21"/>
              </w:rPr>
              <w:t>序号</w:t>
            </w:r>
          </w:p>
        </w:tc>
        <w:tc>
          <w:tcPr>
            <w:tcW w:w="1330" w:type="dxa"/>
            <w:vAlign w:val="center"/>
          </w:tcPr>
          <w:p>
            <w:pPr>
              <w:jc w:val="center"/>
              <w:rPr>
                <w:rFonts w:hint="eastAsia" w:ascii="宋体" w:hAnsi="宋体" w:eastAsia="宋体" w:cs="宋体"/>
                <w:b/>
                <w:color w:val="auto"/>
                <w:szCs w:val="21"/>
                <w:lang w:eastAsia="zh-CN"/>
              </w:rPr>
            </w:pPr>
            <w:r>
              <w:rPr>
                <w:rFonts w:hint="eastAsia" w:ascii="宋体" w:hAnsi="宋体" w:cs="宋体"/>
                <w:b/>
                <w:color w:val="auto"/>
                <w:szCs w:val="21"/>
              </w:rPr>
              <w:t>采购人</w:t>
            </w:r>
          </w:p>
          <w:p>
            <w:pPr>
              <w:jc w:val="center"/>
              <w:rPr>
                <w:rFonts w:ascii="宋体" w:hAnsi="宋体" w:cs="宋体"/>
                <w:b/>
                <w:color w:val="auto"/>
                <w:szCs w:val="21"/>
              </w:rPr>
            </w:pPr>
            <w:r>
              <w:rPr>
                <w:rFonts w:hint="eastAsia" w:ascii="宋体" w:hAnsi="宋体" w:cs="宋体"/>
                <w:b/>
                <w:color w:val="auto"/>
                <w:szCs w:val="21"/>
              </w:rPr>
              <w:t>名   称</w:t>
            </w:r>
          </w:p>
        </w:tc>
        <w:tc>
          <w:tcPr>
            <w:tcW w:w="1511" w:type="dxa"/>
            <w:vAlign w:val="center"/>
          </w:tcPr>
          <w:p>
            <w:pPr>
              <w:tabs>
                <w:tab w:val="left" w:pos="6252"/>
              </w:tabs>
              <w:spacing w:line="360" w:lineRule="auto"/>
              <w:jc w:val="center"/>
              <w:rPr>
                <w:rFonts w:ascii="宋体" w:hAnsi="宋体" w:cs="宋体"/>
                <w:b/>
                <w:color w:val="auto"/>
                <w:szCs w:val="21"/>
              </w:rPr>
            </w:pPr>
            <w:r>
              <w:rPr>
                <w:rFonts w:hint="eastAsia" w:ascii="宋体" w:hAnsi="宋体" w:cs="宋体"/>
                <w:b/>
                <w:color w:val="auto"/>
                <w:szCs w:val="21"/>
              </w:rPr>
              <w:t>项目起止时间</w:t>
            </w:r>
          </w:p>
        </w:tc>
        <w:tc>
          <w:tcPr>
            <w:tcW w:w="1259" w:type="dxa"/>
            <w:vAlign w:val="center"/>
          </w:tcPr>
          <w:p>
            <w:pPr>
              <w:tabs>
                <w:tab w:val="left" w:pos="6252"/>
              </w:tabs>
              <w:spacing w:line="360" w:lineRule="auto"/>
              <w:jc w:val="center"/>
              <w:rPr>
                <w:rFonts w:ascii="宋体" w:hAnsi="宋体" w:cs="宋体"/>
                <w:b/>
                <w:color w:val="auto"/>
                <w:szCs w:val="21"/>
              </w:rPr>
            </w:pPr>
            <w:r>
              <w:rPr>
                <w:rFonts w:hint="eastAsia" w:ascii="宋体" w:hAnsi="宋体" w:cs="宋体"/>
                <w:b/>
                <w:color w:val="auto"/>
                <w:szCs w:val="21"/>
              </w:rPr>
              <w:t>设备或项目名称</w:t>
            </w:r>
          </w:p>
        </w:tc>
        <w:tc>
          <w:tcPr>
            <w:tcW w:w="943" w:type="dxa"/>
            <w:vAlign w:val="center"/>
          </w:tcPr>
          <w:p>
            <w:pPr>
              <w:tabs>
                <w:tab w:val="left" w:pos="6252"/>
              </w:tabs>
              <w:spacing w:line="360" w:lineRule="auto"/>
              <w:jc w:val="center"/>
              <w:rPr>
                <w:rFonts w:hint="eastAsia" w:ascii="宋体" w:hAnsi="宋体" w:eastAsia="宋体" w:cs="宋体"/>
                <w:b/>
                <w:color w:val="auto"/>
                <w:szCs w:val="21"/>
                <w:lang w:eastAsia="zh-CN"/>
              </w:rPr>
            </w:pPr>
            <w:r>
              <w:rPr>
                <w:rFonts w:hint="eastAsia" w:ascii="宋体" w:hAnsi="宋体" w:cs="宋体"/>
                <w:b/>
                <w:color w:val="auto"/>
                <w:szCs w:val="21"/>
              </w:rPr>
              <w:t>采购</w:t>
            </w:r>
          </w:p>
          <w:p>
            <w:pPr>
              <w:tabs>
                <w:tab w:val="left" w:pos="6252"/>
              </w:tabs>
              <w:spacing w:line="360" w:lineRule="auto"/>
              <w:jc w:val="center"/>
              <w:rPr>
                <w:rFonts w:ascii="宋体" w:hAnsi="宋体" w:cs="宋体"/>
                <w:b/>
                <w:color w:val="auto"/>
                <w:szCs w:val="21"/>
              </w:rPr>
            </w:pPr>
            <w:r>
              <w:rPr>
                <w:rFonts w:hint="eastAsia" w:ascii="宋体" w:hAnsi="宋体" w:cs="宋体"/>
                <w:b/>
                <w:color w:val="auto"/>
                <w:szCs w:val="21"/>
              </w:rPr>
              <w:t>数量</w:t>
            </w:r>
          </w:p>
        </w:tc>
        <w:tc>
          <w:tcPr>
            <w:tcW w:w="818" w:type="dxa"/>
            <w:vAlign w:val="center"/>
          </w:tcPr>
          <w:p>
            <w:pPr>
              <w:tabs>
                <w:tab w:val="left" w:pos="6252"/>
              </w:tabs>
              <w:spacing w:line="360" w:lineRule="auto"/>
              <w:jc w:val="center"/>
              <w:rPr>
                <w:rFonts w:ascii="宋体" w:hAnsi="宋体" w:cs="宋体"/>
                <w:b/>
                <w:color w:val="auto"/>
                <w:szCs w:val="21"/>
              </w:rPr>
            </w:pPr>
            <w:r>
              <w:rPr>
                <w:rFonts w:hint="eastAsia" w:ascii="宋体" w:hAnsi="宋体" w:cs="宋体"/>
                <w:b/>
                <w:color w:val="auto"/>
                <w:szCs w:val="21"/>
              </w:rPr>
              <w:t>单价</w:t>
            </w:r>
          </w:p>
        </w:tc>
        <w:tc>
          <w:tcPr>
            <w:tcW w:w="1331" w:type="dxa"/>
            <w:vAlign w:val="center"/>
          </w:tcPr>
          <w:p>
            <w:pPr>
              <w:tabs>
                <w:tab w:val="left" w:pos="6252"/>
              </w:tabs>
              <w:spacing w:line="360" w:lineRule="auto"/>
              <w:jc w:val="center"/>
              <w:rPr>
                <w:rFonts w:ascii="宋体" w:hAnsi="宋体" w:cs="宋体"/>
                <w:b/>
                <w:color w:val="auto"/>
                <w:szCs w:val="21"/>
              </w:rPr>
            </w:pPr>
            <w:r>
              <w:rPr>
                <w:rFonts w:hint="eastAsia" w:ascii="宋体" w:hAnsi="宋体" w:cs="宋体"/>
                <w:b/>
                <w:color w:val="auto"/>
                <w:szCs w:val="21"/>
              </w:rPr>
              <w:t>合同金额</w:t>
            </w:r>
          </w:p>
          <w:p>
            <w:pPr>
              <w:tabs>
                <w:tab w:val="left" w:pos="6252"/>
              </w:tabs>
              <w:spacing w:line="360" w:lineRule="auto"/>
              <w:jc w:val="center"/>
              <w:rPr>
                <w:rFonts w:ascii="宋体" w:hAnsi="宋体" w:cs="宋体"/>
                <w:b/>
                <w:color w:val="auto"/>
                <w:szCs w:val="21"/>
              </w:rPr>
            </w:pPr>
            <w:r>
              <w:rPr>
                <w:rFonts w:hint="eastAsia" w:ascii="宋体" w:hAnsi="宋体" w:cs="宋体"/>
                <w:b/>
                <w:color w:val="auto"/>
                <w:szCs w:val="21"/>
              </w:rPr>
              <w:t>（万元）</w:t>
            </w:r>
          </w:p>
        </w:tc>
        <w:tc>
          <w:tcPr>
            <w:tcW w:w="1378" w:type="dxa"/>
            <w:vAlign w:val="center"/>
          </w:tcPr>
          <w:p>
            <w:pPr>
              <w:tabs>
                <w:tab w:val="left" w:pos="6252"/>
              </w:tabs>
              <w:spacing w:line="360" w:lineRule="auto"/>
              <w:jc w:val="center"/>
              <w:rPr>
                <w:rFonts w:ascii="宋体" w:hAnsi="宋体" w:cs="宋体"/>
                <w:b/>
                <w:color w:val="auto"/>
                <w:szCs w:val="21"/>
              </w:rPr>
            </w:pPr>
            <w:r>
              <w:rPr>
                <w:rFonts w:hint="eastAsia" w:ascii="宋体" w:hAnsi="宋体" w:cs="宋体"/>
                <w:b/>
                <w:color w:val="auto"/>
                <w:szCs w:val="21"/>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75"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30" w:type="dxa"/>
            <w:vAlign w:val="center"/>
          </w:tcPr>
          <w:p>
            <w:pPr>
              <w:jc w:val="center"/>
              <w:rPr>
                <w:rFonts w:ascii="宋体" w:hAnsi="宋体" w:cs="宋体"/>
                <w:color w:val="auto"/>
                <w:szCs w:val="21"/>
              </w:rPr>
            </w:pPr>
          </w:p>
        </w:tc>
        <w:tc>
          <w:tcPr>
            <w:tcW w:w="1511" w:type="dxa"/>
          </w:tcPr>
          <w:p>
            <w:pPr>
              <w:jc w:val="center"/>
              <w:rPr>
                <w:rFonts w:ascii="宋体" w:hAnsi="宋体" w:cs="宋体"/>
                <w:color w:val="auto"/>
                <w:szCs w:val="21"/>
              </w:rPr>
            </w:pPr>
          </w:p>
        </w:tc>
        <w:tc>
          <w:tcPr>
            <w:tcW w:w="1259" w:type="dxa"/>
          </w:tcPr>
          <w:p>
            <w:pPr>
              <w:jc w:val="center"/>
              <w:rPr>
                <w:rFonts w:ascii="宋体" w:hAnsi="宋体" w:cs="宋体"/>
                <w:color w:val="auto"/>
                <w:szCs w:val="21"/>
              </w:rPr>
            </w:pPr>
          </w:p>
        </w:tc>
        <w:tc>
          <w:tcPr>
            <w:tcW w:w="943" w:type="dxa"/>
          </w:tcPr>
          <w:p>
            <w:pPr>
              <w:jc w:val="center"/>
              <w:rPr>
                <w:rFonts w:ascii="宋体" w:hAnsi="宋体" w:cs="宋体"/>
                <w:color w:val="auto"/>
                <w:szCs w:val="21"/>
              </w:rPr>
            </w:pPr>
          </w:p>
        </w:tc>
        <w:tc>
          <w:tcPr>
            <w:tcW w:w="818" w:type="dxa"/>
          </w:tcPr>
          <w:p>
            <w:pPr>
              <w:jc w:val="center"/>
              <w:rPr>
                <w:rFonts w:ascii="宋体" w:hAnsi="宋体" w:cs="宋体"/>
                <w:color w:val="auto"/>
                <w:szCs w:val="21"/>
              </w:rPr>
            </w:pPr>
          </w:p>
        </w:tc>
        <w:tc>
          <w:tcPr>
            <w:tcW w:w="1331" w:type="dxa"/>
            <w:vAlign w:val="center"/>
          </w:tcPr>
          <w:p>
            <w:pPr>
              <w:jc w:val="center"/>
              <w:rPr>
                <w:rFonts w:ascii="宋体" w:hAnsi="宋体" w:cs="宋体"/>
                <w:color w:val="auto"/>
                <w:szCs w:val="21"/>
              </w:rPr>
            </w:pPr>
          </w:p>
        </w:tc>
        <w:tc>
          <w:tcPr>
            <w:tcW w:w="1378"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5"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330" w:type="dxa"/>
            <w:vAlign w:val="center"/>
          </w:tcPr>
          <w:p>
            <w:pPr>
              <w:jc w:val="center"/>
              <w:rPr>
                <w:rFonts w:ascii="宋体" w:hAnsi="宋体" w:cs="宋体"/>
                <w:color w:val="auto"/>
                <w:szCs w:val="21"/>
              </w:rPr>
            </w:pPr>
          </w:p>
        </w:tc>
        <w:tc>
          <w:tcPr>
            <w:tcW w:w="1511" w:type="dxa"/>
          </w:tcPr>
          <w:p>
            <w:pPr>
              <w:jc w:val="center"/>
              <w:rPr>
                <w:rFonts w:ascii="宋体" w:hAnsi="宋体" w:cs="宋体"/>
                <w:color w:val="auto"/>
                <w:szCs w:val="21"/>
              </w:rPr>
            </w:pPr>
          </w:p>
        </w:tc>
        <w:tc>
          <w:tcPr>
            <w:tcW w:w="1259" w:type="dxa"/>
          </w:tcPr>
          <w:p>
            <w:pPr>
              <w:jc w:val="center"/>
              <w:rPr>
                <w:rFonts w:ascii="宋体" w:hAnsi="宋体" w:cs="宋体"/>
                <w:color w:val="auto"/>
                <w:szCs w:val="21"/>
              </w:rPr>
            </w:pPr>
          </w:p>
        </w:tc>
        <w:tc>
          <w:tcPr>
            <w:tcW w:w="943" w:type="dxa"/>
          </w:tcPr>
          <w:p>
            <w:pPr>
              <w:jc w:val="center"/>
              <w:rPr>
                <w:rFonts w:ascii="宋体" w:hAnsi="宋体" w:cs="宋体"/>
                <w:color w:val="auto"/>
                <w:szCs w:val="21"/>
              </w:rPr>
            </w:pPr>
          </w:p>
        </w:tc>
        <w:tc>
          <w:tcPr>
            <w:tcW w:w="818" w:type="dxa"/>
          </w:tcPr>
          <w:p>
            <w:pPr>
              <w:jc w:val="center"/>
              <w:rPr>
                <w:rFonts w:ascii="宋体" w:hAnsi="宋体" w:cs="宋体"/>
                <w:color w:val="auto"/>
                <w:szCs w:val="21"/>
              </w:rPr>
            </w:pPr>
          </w:p>
        </w:tc>
        <w:tc>
          <w:tcPr>
            <w:tcW w:w="1331" w:type="dxa"/>
            <w:vAlign w:val="center"/>
          </w:tcPr>
          <w:p>
            <w:pPr>
              <w:jc w:val="center"/>
              <w:rPr>
                <w:rFonts w:ascii="宋体" w:hAnsi="宋体" w:cs="宋体"/>
                <w:color w:val="auto"/>
                <w:szCs w:val="21"/>
              </w:rPr>
            </w:pPr>
          </w:p>
        </w:tc>
        <w:tc>
          <w:tcPr>
            <w:tcW w:w="1378"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75"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330" w:type="dxa"/>
            <w:vAlign w:val="center"/>
          </w:tcPr>
          <w:p>
            <w:pPr>
              <w:jc w:val="center"/>
              <w:rPr>
                <w:rFonts w:ascii="宋体" w:hAnsi="宋体" w:cs="宋体"/>
                <w:color w:val="auto"/>
                <w:szCs w:val="21"/>
              </w:rPr>
            </w:pPr>
          </w:p>
        </w:tc>
        <w:tc>
          <w:tcPr>
            <w:tcW w:w="1511" w:type="dxa"/>
          </w:tcPr>
          <w:p>
            <w:pPr>
              <w:jc w:val="center"/>
              <w:rPr>
                <w:rFonts w:ascii="宋体" w:hAnsi="宋体" w:cs="宋体"/>
                <w:color w:val="auto"/>
                <w:szCs w:val="21"/>
              </w:rPr>
            </w:pPr>
          </w:p>
        </w:tc>
        <w:tc>
          <w:tcPr>
            <w:tcW w:w="1259" w:type="dxa"/>
          </w:tcPr>
          <w:p>
            <w:pPr>
              <w:jc w:val="center"/>
              <w:rPr>
                <w:rFonts w:ascii="宋体" w:hAnsi="宋体" w:cs="宋体"/>
                <w:color w:val="auto"/>
                <w:szCs w:val="21"/>
              </w:rPr>
            </w:pPr>
          </w:p>
        </w:tc>
        <w:tc>
          <w:tcPr>
            <w:tcW w:w="943" w:type="dxa"/>
          </w:tcPr>
          <w:p>
            <w:pPr>
              <w:jc w:val="center"/>
              <w:rPr>
                <w:rFonts w:ascii="宋体" w:hAnsi="宋体" w:cs="宋体"/>
                <w:color w:val="auto"/>
                <w:szCs w:val="21"/>
              </w:rPr>
            </w:pPr>
          </w:p>
        </w:tc>
        <w:tc>
          <w:tcPr>
            <w:tcW w:w="818" w:type="dxa"/>
          </w:tcPr>
          <w:p>
            <w:pPr>
              <w:jc w:val="center"/>
              <w:rPr>
                <w:rFonts w:ascii="宋体" w:hAnsi="宋体" w:cs="宋体"/>
                <w:color w:val="auto"/>
                <w:szCs w:val="21"/>
              </w:rPr>
            </w:pPr>
          </w:p>
        </w:tc>
        <w:tc>
          <w:tcPr>
            <w:tcW w:w="1331" w:type="dxa"/>
            <w:vAlign w:val="center"/>
          </w:tcPr>
          <w:p>
            <w:pPr>
              <w:jc w:val="center"/>
              <w:rPr>
                <w:rFonts w:ascii="宋体" w:hAnsi="宋体" w:cs="宋体"/>
                <w:color w:val="auto"/>
                <w:szCs w:val="21"/>
              </w:rPr>
            </w:pPr>
          </w:p>
        </w:tc>
        <w:tc>
          <w:tcPr>
            <w:tcW w:w="1378"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75" w:type="dxa"/>
            <w:vAlign w:val="center"/>
          </w:tcPr>
          <w:p>
            <w:pPr>
              <w:jc w:val="center"/>
              <w:rPr>
                <w:rFonts w:ascii="宋体" w:hAnsi="宋体" w:cs="宋体"/>
                <w:color w:val="auto"/>
                <w:szCs w:val="21"/>
              </w:rPr>
            </w:pPr>
            <w:r>
              <w:rPr>
                <w:rFonts w:hint="eastAsia" w:ascii="宋体" w:hAnsi="宋体" w:cs="宋体"/>
                <w:color w:val="auto"/>
                <w:szCs w:val="21"/>
              </w:rPr>
              <w:t>…</w:t>
            </w:r>
          </w:p>
        </w:tc>
        <w:tc>
          <w:tcPr>
            <w:tcW w:w="1330" w:type="dxa"/>
            <w:vAlign w:val="center"/>
          </w:tcPr>
          <w:p>
            <w:pPr>
              <w:jc w:val="center"/>
              <w:rPr>
                <w:rFonts w:ascii="宋体" w:hAnsi="宋体" w:cs="宋体"/>
                <w:color w:val="auto"/>
                <w:szCs w:val="21"/>
              </w:rPr>
            </w:pPr>
          </w:p>
        </w:tc>
        <w:tc>
          <w:tcPr>
            <w:tcW w:w="1511" w:type="dxa"/>
          </w:tcPr>
          <w:p>
            <w:pPr>
              <w:jc w:val="center"/>
              <w:rPr>
                <w:rFonts w:ascii="宋体" w:hAnsi="宋体" w:cs="宋体"/>
                <w:color w:val="auto"/>
                <w:szCs w:val="21"/>
              </w:rPr>
            </w:pPr>
          </w:p>
        </w:tc>
        <w:tc>
          <w:tcPr>
            <w:tcW w:w="1259" w:type="dxa"/>
          </w:tcPr>
          <w:p>
            <w:pPr>
              <w:jc w:val="center"/>
              <w:rPr>
                <w:rFonts w:ascii="宋体" w:hAnsi="宋体" w:cs="宋体"/>
                <w:color w:val="auto"/>
                <w:szCs w:val="21"/>
              </w:rPr>
            </w:pPr>
          </w:p>
        </w:tc>
        <w:tc>
          <w:tcPr>
            <w:tcW w:w="943" w:type="dxa"/>
          </w:tcPr>
          <w:p>
            <w:pPr>
              <w:jc w:val="center"/>
              <w:rPr>
                <w:rFonts w:ascii="宋体" w:hAnsi="宋体" w:cs="宋体"/>
                <w:color w:val="auto"/>
                <w:szCs w:val="21"/>
              </w:rPr>
            </w:pPr>
          </w:p>
        </w:tc>
        <w:tc>
          <w:tcPr>
            <w:tcW w:w="818" w:type="dxa"/>
          </w:tcPr>
          <w:p>
            <w:pPr>
              <w:jc w:val="center"/>
              <w:rPr>
                <w:rFonts w:ascii="宋体" w:hAnsi="宋体" w:cs="宋体"/>
                <w:color w:val="auto"/>
                <w:szCs w:val="21"/>
              </w:rPr>
            </w:pPr>
          </w:p>
        </w:tc>
        <w:tc>
          <w:tcPr>
            <w:tcW w:w="1331" w:type="dxa"/>
            <w:vAlign w:val="center"/>
          </w:tcPr>
          <w:p>
            <w:pPr>
              <w:jc w:val="center"/>
              <w:rPr>
                <w:rFonts w:ascii="宋体" w:hAnsi="宋体" w:cs="宋体"/>
                <w:color w:val="auto"/>
                <w:szCs w:val="21"/>
              </w:rPr>
            </w:pPr>
          </w:p>
        </w:tc>
        <w:tc>
          <w:tcPr>
            <w:tcW w:w="1378" w:type="dxa"/>
            <w:vAlign w:val="center"/>
          </w:tcPr>
          <w:p>
            <w:pPr>
              <w:jc w:val="center"/>
              <w:rPr>
                <w:rFonts w:ascii="宋体" w:hAnsi="宋体" w:cs="宋体"/>
                <w:color w:val="auto"/>
                <w:szCs w:val="21"/>
              </w:rPr>
            </w:pPr>
          </w:p>
        </w:tc>
      </w:tr>
    </w:tbl>
    <w:p>
      <w:pPr>
        <w:snapToGrid w:val="0"/>
        <w:spacing w:beforeLines="50" w:line="400" w:lineRule="exact"/>
        <w:ind w:firstLine="200"/>
        <w:rPr>
          <w:rFonts w:ascii="宋体" w:hAnsi="宋体" w:cs="宋体"/>
          <w:b/>
          <w:color w:val="auto"/>
          <w:szCs w:val="21"/>
        </w:rPr>
      </w:pPr>
      <w:r>
        <w:rPr>
          <w:rFonts w:hint="eastAsia" w:ascii="宋体" w:hAnsi="宋体" w:cs="宋体"/>
          <w:b/>
          <w:color w:val="auto"/>
          <w:szCs w:val="21"/>
        </w:rPr>
        <w:t>注：附合同、验收材料</w:t>
      </w:r>
    </w:p>
    <w:p>
      <w:pPr>
        <w:pStyle w:val="34"/>
        <w:snapToGrid w:val="0"/>
        <w:spacing w:beforeLines="10" w:afterLines="10"/>
        <w:ind w:right="960"/>
        <w:jc w:val="right"/>
        <w:rPr>
          <w:rFonts w:hAnsi="宋体" w:cs="宋体"/>
          <w:color w:val="auto"/>
        </w:rPr>
      </w:pPr>
      <w:r>
        <w:rPr>
          <w:rFonts w:hint="eastAsia" w:hAnsi="宋体" w:cs="宋体"/>
          <w:color w:val="auto"/>
        </w:rPr>
        <w:t>法定代表人或授权委托人（签名）：            投标人（加盖公章）：                                          年    月    日</w:t>
      </w:r>
    </w:p>
    <w:p>
      <w:pPr>
        <w:spacing w:line="360" w:lineRule="auto"/>
        <w:rPr>
          <w:rFonts w:ascii="宋体" w:hAnsi="宋体" w:cs="宋体"/>
          <w:color w:val="auto"/>
          <w:sz w:val="24"/>
        </w:rPr>
      </w:pPr>
    </w:p>
    <w:p>
      <w:pPr>
        <w:pStyle w:val="2"/>
        <w:rPr>
          <w:rFonts w:ascii="宋体" w:hAnsi="宋体" w:cs="宋体"/>
          <w:color w:val="auto"/>
          <w:sz w:val="24"/>
        </w:rPr>
      </w:pPr>
    </w:p>
    <w:p>
      <w:pPr>
        <w:pStyle w:val="3"/>
        <w:ind w:left="420" w:firstLine="480"/>
        <w:rPr>
          <w:color w:val="auto"/>
        </w:rPr>
      </w:pPr>
    </w:p>
    <w:p>
      <w:pPr>
        <w:pStyle w:val="962"/>
        <w:spacing w:line="360" w:lineRule="auto"/>
        <w:jc w:val="center"/>
        <w:rPr>
          <w:rFonts w:hAnsi="宋体" w:eastAsia="宋体"/>
          <w:b/>
          <w:color w:val="auto"/>
          <w:sz w:val="28"/>
          <w:szCs w:val="28"/>
        </w:rPr>
      </w:pPr>
      <w:r>
        <w:rPr>
          <w:rFonts w:hint="eastAsia" w:hAnsi="宋体" w:eastAsia="宋体"/>
          <w:b/>
          <w:color w:val="auto"/>
          <w:sz w:val="28"/>
          <w:szCs w:val="28"/>
        </w:rPr>
        <w:t>商务响应表</w:t>
      </w:r>
    </w:p>
    <w:p>
      <w:pPr>
        <w:ind w:firstLine="210" w:firstLineChars="100"/>
        <w:rPr>
          <w:rFonts w:ascii="宋体" w:hAnsi="宋体"/>
          <w:color w:val="auto"/>
          <w:szCs w:val="21"/>
        </w:rPr>
      </w:pPr>
      <w:r>
        <w:rPr>
          <w:rFonts w:hint="eastAsia" w:ascii="宋体" w:hAnsi="宋体"/>
          <w:color w:val="auto"/>
          <w:szCs w:val="21"/>
        </w:rPr>
        <w:t>单位名称（盖章）：</w:t>
      </w:r>
    </w:p>
    <w:tbl>
      <w:tblPr>
        <w:tblStyle w:val="63"/>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jc w:val="center"/>
              <w:rPr>
                <w:rFonts w:ascii="宋体" w:hAnsi="宋体"/>
                <w:color w:val="auto"/>
                <w:szCs w:val="21"/>
              </w:rPr>
            </w:pPr>
            <w:r>
              <w:rPr>
                <w:rFonts w:hint="eastAsia" w:ascii="宋体" w:hAnsi="宋体"/>
                <w:color w:val="auto"/>
                <w:szCs w:val="21"/>
              </w:rPr>
              <w:t>序号</w:t>
            </w:r>
          </w:p>
        </w:tc>
        <w:tc>
          <w:tcPr>
            <w:tcW w:w="3086" w:type="dxa"/>
          </w:tcPr>
          <w:p>
            <w:pPr>
              <w:spacing w:before="240" w:after="240"/>
              <w:jc w:val="center"/>
              <w:rPr>
                <w:rFonts w:ascii="宋体" w:hAnsi="宋体"/>
                <w:color w:val="auto"/>
                <w:szCs w:val="21"/>
              </w:rPr>
            </w:pPr>
            <w:r>
              <w:rPr>
                <w:rFonts w:hint="eastAsia" w:ascii="宋体" w:hAnsi="宋体"/>
                <w:color w:val="auto"/>
                <w:szCs w:val="21"/>
              </w:rPr>
              <w:t>招标文件的规定</w:t>
            </w:r>
          </w:p>
        </w:tc>
        <w:tc>
          <w:tcPr>
            <w:tcW w:w="3086" w:type="dxa"/>
          </w:tcPr>
          <w:p>
            <w:pPr>
              <w:spacing w:before="240" w:after="240"/>
              <w:jc w:val="center"/>
              <w:rPr>
                <w:rFonts w:ascii="宋体" w:hAnsi="宋体"/>
                <w:color w:val="auto"/>
                <w:szCs w:val="21"/>
              </w:rPr>
            </w:pPr>
            <w:r>
              <w:rPr>
                <w:rFonts w:hint="eastAsia" w:ascii="宋体" w:hAnsi="宋体"/>
                <w:color w:val="auto"/>
                <w:szCs w:val="21"/>
              </w:rPr>
              <w:t>投标文件的相应</w:t>
            </w:r>
          </w:p>
        </w:tc>
        <w:tc>
          <w:tcPr>
            <w:tcW w:w="1411" w:type="dxa"/>
          </w:tcPr>
          <w:p>
            <w:pPr>
              <w:spacing w:before="240" w:after="240"/>
              <w:jc w:val="center"/>
              <w:rPr>
                <w:rFonts w:ascii="宋体" w:hAnsi="宋体"/>
                <w:color w:val="auto"/>
                <w:szCs w:val="21"/>
              </w:rPr>
            </w:pPr>
            <w:r>
              <w:rPr>
                <w:rFonts w:hint="eastAsia" w:ascii="宋体" w:hAnsi="宋体"/>
                <w:color w:val="auto"/>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宋体" w:hAnsi="宋体"/>
                <w:color w:val="auto"/>
                <w:szCs w:val="21"/>
              </w:rPr>
            </w:pPr>
          </w:p>
        </w:tc>
        <w:tc>
          <w:tcPr>
            <w:tcW w:w="3086" w:type="dxa"/>
          </w:tcPr>
          <w:p>
            <w:pPr>
              <w:spacing w:before="240" w:after="240"/>
              <w:rPr>
                <w:rFonts w:ascii="宋体" w:hAnsi="宋体"/>
                <w:color w:val="auto"/>
                <w:szCs w:val="21"/>
              </w:rPr>
            </w:pPr>
          </w:p>
        </w:tc>
        <w:tc>
          <w:tcPr>
            <w:tcW w:w="3086" w:type="dxa"/>
          </w:tcPr>
          <w:p>
            <w:pPr>
              <w:spacing w:before="240" w:after="240"/>
              <w:rPr>
                <w:rFonts w:ascii="宋体" w:hAnsi="宋体"/>
                <w:color w:val="auto"/>
                <w:szCs w:val="21"/>
              </w:rPr>
            </w:pPr>
          </w:p>
        </w:tc>
        <w:tc>
          <w:tcPr>
            <w:tcW w:w="1411" w:type="dxa"/>
          </w:tcPr>
          <w:p>
            <w:pPr>
              <w:spacing w:before="240" w:after="240"/>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宋体" w:hAnsi="宋体"/>
                <w:color w:val="auto"/>
                <w:szCs w:val="21"/>
              </w:rPr>
            </w:pPr>
          </w:p>
        </w:tc>
        <w:tc>
          <w:tcPr>
            <w:tcW w:w="3086" w:type="dxa"/>
          </w:tcPr>
          <w:p>
            <w:pPr>
              <w:spacing w:before="240" w:after="240"/>
              <w:rPr>
                <w:rFonts w:ascii="宋体" w:hAnsi="宋体"/>
                <w:color w:val="auto"/>
                <w:szCs w:val="21"/>
              </w:rPr>
            </w:pPr>
          </w:p>
        </w:tc>
        <w:tc>
          <w:tcPr>
            <w:tcW w:w="3086" w:type="dxa"/>
          </w:tcPr>
          <w:p>
            <w:pPr>
              <w:spacing w:before="240" w:after="240"/>
              <w:rPr>
                <w:rFonts w:ascii="宋体" w:hAnsi="宋体"/>
                <w:color w:val="auto"/>
                <w:szCs w:val="21"/>
              </w:rPr>
            </w:pPr>
          </w:p>
        </w:tc>
        <w:tc>
          <w:tcPr>
            <w:tcW w:w="1411" w:type="dxa"/>
          </w:tcPr>
          <w:p>
            <w:pPr>
              <w:spacing w:before="240" w:after="240"/>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宋体" w:hAnsi="宋体"/>
                <w:color w:val="auto"/>
                <w:szCs w:val="21"/>
              </w:rPr>
            </w:pPr>
          </w:p>
        </w:tc>
        <w:tc>
          <w:tcPr>
            <w:tcW w:w="3086" w:type="dxa"/>
          </w:tcPr>
          <w:p>
            <w:pPr>
              <w:spacing w:before="240" w:after="240"/>
              <w:rPr>
                <w:rFonts w:ascii="宋体" w:hAnsi="宋体"/>
                <w:color w:val="auto"/>
                <w:szCs w:val="21"/>
              </w:rPr>
            </w:pPr>
          </w:p>
        </w:tc>
        <w:tc>
          <w:tcPr>
            <w:tcW w:w="3086" w:type="dxa"/>
          </w:tcPr>
          <w:p>
            <w:pPr>
              <w:spacing w:before="240" w:after="240"/>
              <w:rPr>
                <w:rFonts w:ascii="宋体" w:hAnsi="宋体"/>
                <w:color w:val="auto"/>
                <w:szCs w:val="21"/>
              </w:rPr>
            </w:pPr>
          </w:p>
        </w:tc>
        <w:tc>
          <w:tcPr>
            <w:tcW w:w="1411" w:type="dxa"/>
          </w:tcPr>
          <w:p>
            <w:pPr>
              <w:spacing w:before="240" w:after="240"/>
              <w:rPr>
                <w:rFonts w:ascii="宋体" w:hAnsi="宋体"/>
                <w:color w:val="auto"/>
                <w:szCs w:val="21"/>
              </w:rPr>
            </w:pPr>
          </w:p>
        </w:tc>
      </w:tr>
    </w:tbl>
    <w:p>
      <w:pPr>
        <w:spacing w:line="360" w:lineRule="auto"/>
        <w:rPr>
          <w:rFonts w:ascii="宋体" w:hAnsi="宋体"/>
          <w:b/>
          <w:color w:val="auto"/>
          <w:szCs w:val="21"/>
        </w:rPr>
      </w:pPr>
      <w:r>
        <w:rPr>
          <w:rFonts w:hint="eastAsia" w:ascii="宋体" w:hAnsi="宋体"/>
          <w:b/>
          <w:color w:val="auto"/>
          <w:szCs w:val="21"/>
        </w:rPr>
        <w:t>注：供应商的投标文件（除技术规格部分）与招标文件之规定存在偏离的，应在此表中如实说明。未在上表中说明的，将被认为完全响应招标文件的规定。</w:t>
      </w:r>
    </w:p>
    <w:p>
      <w:pPr>
        <w:snapToGrid w:val="0"/>
        <w:spacing w:beforeLines="50" w:line="400" w:lineRule="exact"/>
        <w:ind w:firstLine="200"/>
        <w:rPr>
          <w:rFonts w:ascii="宋体" w:hAnsi="宋体"/>
          <w:color w:val="auto"/>
          <w:sz w:val="24"/>
          <w:szCs w:val="20"/>
          <w:u w:val="single"/>
        </w:rPr>
      </w:pPr>
      <w:r>
        <w:rPr>
          <w:rFonts w:hint="eastAsia" w:ascii="宋体" w:hAnsi="宋体"/>
          <w:color w:val="auto"/>
          <w:sz w:val="24"/>
        </w:rPr>
        <w:t>被授权人签字（或盖章）：</w:t>
      </w:r>
      <w:r>
        <w:rPr>
          <w:rFonts w:ascii="宋体" w:hAnsi="宋体"/>
          <w:color w:val="auto"/>
          <w:sz w:val="24"/>
          <w:u w:val="single"/>
        </w:rPr>
        <w:t xml:space="preserve">             </w:t>
      </w:r>
    </w:p>
    <w:p>
      <w:pPr>
        <w:snapToGrid w:val="0"/>
        <w:spacing w:beforeLines="50" w:after="50" w:line="400" w:lineRule="exact"/>
        <w:ind w:firstLine="240" w:firstLineChars="100"/>
        <w:rPr>
          <w:rFonts w:hAnsi="宋体"/>
          <w:color w:val="auto"/>
          <w:sz w:val="24"/>
        </w:rPr>
      </w:pPr>
      <w:r>
        <w:rPr>
          <w:rFonts w:hint="eastAsia" w:ascii="宋体" w:hAnsi="宋体"/>
          <w:color w:val="auto"/>
          <w:sz w:val="24"/>
        </w:rPr>
        <w:t>供应商公章：</w:t>
      </w:r>
      <w:r>
        <w:rPr>
          <w:rFonts w:ascii="宋体" w:hAnsi="宋体"/>
          <w:color w:val="auto"/>
          <w:sz w:val="24"/>
        </w:rPr>
        <w:t xml:space="preserve">                   </w:t>
      </w:r>
      <w:r>
        <w:rPr>
          <w:rFonts w:hint="eastAsia" w:ascii="宋体" w:hAnsi="宋体"/>
          <w:color w:val="auto"/>
          <w:sz w:val="24"/>
        </w:rPr>
        <w:t xml:space="preserve">                </w:t>
      </w:r>
      <w:r>
        <w:rPr>
          <w:rFonts w:hint="eastAsia" w:hAnsi="宋体"/>
          <w:color w:val="auto"/>
          <w:sz w:val="24"/>
        </w:rPr>
        <w:t>年</w:t>
      </w:r>
      <w:r>
        <w:rPr>
          <w:rFonts w:hAnsi="宋体"/>
          <w:color w:val="auto"/>
          <w:sz w:val="24"/>
        </w:rPr>
        <w:t xml:space="preserve">    </w:t>
      </w:r>
      <w:r>
        <w:rPr>
          <w:rFonts w:hint="eastAsia" w:hAnsi="宋体"/>
          <w:color w:val="auto"/>
          <w:sz w:val="24"/>
        </w:rPr>
        <w:t>月</w:t>
      </w:r>
      <w:r>
        <w:rPr>
          <w:rFonts w:hAnsi="宋体"/>
          <w:color w:val="auto"/>
          <w:sz w:val="24"/>
        </w:rPr>
        <w:t xml:space="preserve">    </w:t>
      </w:r>
      <w:r>
        <w:rPr>
          <w:rFonts w:hint="eastAsia" w:hAnsi="宋体"/>
          <w:color w:val="auto"/>
          <w:sz w:val="24"/>
        </w:rPr>
        <w:t>日</w:t>
      </w:r>
    </w:p>
    <w:p>
      <w:pPr>
        <w:pStyle w:val="3"/>
        <w:ind w:left="420" w:firstLine="0" w:firstLineChars="0"/>
        <w:rPr>
          <w:rFonts w:ascii="宋体" w:hAnsi="宋体"/>
          <w:b/>
          <w:color w:val="auto"/>
          <w:sz w:val="28"/>
          <w:szCs w:val="28"/>
        </w:rPr>
      </w:pPr>
    </w:p>
    <w:p>
      <w:pPr>
        <w:pStyle w:val="3"/>
        <w:ind w:left="420" w:firstLine="0" w:firstLineChars="0"/>
        <w:rPr>
          <w:rFonts w:ascii="宋体" w:hAnsi="宋体"/>
          <w:b/>
          <w:color w:val="auto"/>
          <w:sz w:val="28"/>
          <w:szCs w:val="28"/>
        </w:rPr>
      </w:pPr>
    </w:p>
    <w:p>
      <w:pPr>
        <w:spacing w:line="360" w:lineRule="auto"/>
        <w:ind w:firstLine="562" w:firstLineChars="200"/>
        <w:jc w:val="center"/>
        <w:rPr>
          <w:rFonts w:ascii="宋体" w:hAnsi="宋体"/>
          <w:b/>
          <w:color w:val="auto"/>
          <w:sz w:val="28"/>
          <w:szCs w:val="28"/>
        </w:rPr>
      </w:pPr>
      <w:r>
        <w:rPr>
          <w:rFonts w:hint="eastAsia" w:ascii="宋体" w:hAnsi="宋体"/>
          <w:b/>
          <w:color w:val="auto"/>
          <w:sz w:val="28"/>
          <w:szCs w:val="28"/>
        </w:rPr>
        <w:t>设备详细清单</w:t>
      </w:r>
      <w:r>
        <w:rPr>
          <w:rFonts w:hint="eastAsia" w:ascii="宋体" w:hAnsi="宋体"/>
          <w:b/>
          <w:color w:val="auto"/>
          <w:sz w:val="24"/>
        </w:rPr>
        <w:t>（不含报价）</w:t>
      </w:r>
    </w:p>
    <w:p>
      <w:pPr>
        <w:spacing w:line="360" w:lineRule="auto"/>
        <w:ind w:firstLine="480" w:firstLineChars="200"/>
        <w:rPr>
          <w:rFonts w:ascii="宋体" w:hAnsi="宋体"/>
          <w:color w:val="auto"/>
          <w:sz w:val="24"/>
        </w:rPr>
      </w:pPr>
      <w:r>
        <w:rPr>
          <w:rFonts w:hint="eastAsia" w:ascii="宋体" w:hAnsi="宋体"/>
          <w:color w:val="auto"/>
          <w:sz w:val="24"/>
        </w:rPr>
        <w:t>填表说明：详细列明所投项目主要设备清单，完整配置方案及技术指标，项目的核心产品必须明确所投品牌、规格型号及具体技术指标。任何含糊不清的表述对评标结果的影响将是供应商的责任，可附具体的介绍图文资料。</w:t>
      </w:r>
      <w:r>
        <w:rPr>
          <w:rFonts w:hint="eastAsia" w:hAnsi="宋体"/>
          <w:color w:val="auto"/>
          <w:sz w:val="24"/>
        </w:rPr>
        <w:t>▲</w:t>
      </w:r>
      <w:r>
        <w:rPr>
          <w:rFonts w:hint="eastAsia" w:ascii="宋体" w:hAnsi="宋体"/>
          <w:color w:val="auto"/>
          <w:sz w:val="24"/>
        </w:rPr>
        <w:t>以下内容不得含有报价。</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277"/>
        <w:gridCol w:w="708"/>
        <w:gridCol w:w="851"/>
        <w:gridCol w:w="1276"/>
        <w:gridCol w:w="992"/>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8" w:type="dxa"/>
            <w:vAlign w:val="center"/>
          </w:tcPr>
          <w:p>
            <w:pPr>
              <w:jc w:val="center"/>
              <w:rPr>
                <w:color w:val="auto"/>
                <w:sz w:val="24"/>
              </w:rPr>
            </w:pPr>
            <w:r>
              <w:rPr>
                <w:rFonts w:hint="eastAsia"/>
                <w:color w:val="auto"/>
                <w:sz w:val="24"/>
              </w:rPr>
              <w:t>序号</w:t>
            </w:r>
          </w:p>
        </w:tc>
        <w:tc>
          <w:tcPr>
            <w:tcW w:w="1277" w:type="dxa"/>
            <w:vAlign w:val="center"/>
          </w:tcPr>
          <w:p>
            <w:pPr>
              <w:jc w:val="center"/>
              <w:rPr>
                <w:color w:val="auto"/>
                <w:sz w:val="24"/>
              </w:rPr>
            </w:pPr>
            <w:r>
              <w:rPr>
                <w:rFonts w:hint="eastAsia"/>
                <w:color w:val="auto"/>
                <w:sz w:val="24"/>
              </w:rPr>
              <w:t>设备名称</w:t>
            </w:r>
          </w:p>
        </w:tc>
        <w:tc>
          <w:tcPr>
            <w:tcW w:w="708" w:type="dxa"/>
            <w:vAlign w:val="center"/>
          </w:tcPr>
          <w:p>
            <w:pPr>
              <w:jc w:val="center"/>
              <w:rPr>
                <w:color w:val="auto"/>
                <w:sz w:val="24"/>
              </w:rPr>
            </w:pPr>
            <w:r>
              <w:rPr>
                <w:rFonts w:hint="eastAsia"/>
                <w:color w:val="auto"/>
                <w:sz w:val="24"/>
              </w:rPr>
              <w:t>数量</w:t>
            </w:r>
          </w:p>
        </w:tc>
        <w:tc>
          <w:tcPr>
            <w:tcW w:w="851" w:type="dxa"/>
            <w:vAlign w:val="center"/>
          </w:tcPr>
          <w:p>
            <w:pPr>
              <w:jc w:val="center"/>
              <w:rPr>
                <w:color w:val="auto"/>
                <w:sz w:val="24"/>
              </w:rPr>
            </w:pPr>
            <w:r>
              <w:rPr>
                <w:rFonts w:hint="eastAsia"/>
                <w:color w:val="auto"/>
                <w:sz w:val="24"/>
              </w:rPr>
              <w:t>品牌</w:t>
            </w:r>
          </w:p>
        </w:tc>
        <w:tc>
          <w:tcPr>
            <w:tcW w:w="1276" w:type="dxa"/>
            <w:vAlign w:val="center"/>
          </w:tcPr>
          <w:p>
            <w:pPr>
              <w:jc w:val="center"/>
              <w:rPr>
                <w:color w:val="auto"/>
                <w:sz w:val="24"/>
              </w:rPr>
            </w:pPr>
            <w:r>
              <w:rPr>
                <w:rFonts w:hint="eastAsia"/>
                <w:color w:val="auto"/>
                <w:sz w:val="24"/>
              </w:rPr>
              <w:t>规格型号</w:t>
            </w:r>
          </w:p>
        </w:tc>
        <w:tc>
          <w:tcPr>
            <w:tcW w:w="992" w:type="dxa"/>
            <w:vAlign w:val="center"/>
          </w:tcPr>
          <w:p>
            <w:pPr>
              <w:jc w:val="center"/>
              <w:rPr>
                <w:color w:val="auto"/>
                <w:sz w:val="24"/>
              </w:rPr>
            </w:pPr>
            <w:r>
              <w:rPr>
                <w:rFonts w:hint="eastAsia"/>
                <w:color w:val="auto"/>
                <w:sz w:val="24"/>
              </w:rPr>
              <w:t>制造商</w:t>
            </w:r>
          </w:p>
        </w:tc>
        <w:tc>
          <w:tcPr>
            <w:tcW w:w="2714" w:type="dxa"/>
          </w:tcPr>
          <w:p>
            <w:pPr>
              <w:jc w:val="center"/>
              <w:rPr>
                <w:color w:val="auto"/>
                <w:szCs w:val="21"/>
              </w:rPr>
            </w:pPr>
            <w:r>
              <w:rPr>
                <w:rFonts w:hint="eastAsia"/>
                <w:color w:val="auto"/>
                <w:szCs w:val="21"/>
              </w:rPr>
              <w:t>制造商是否属于中型企业、小型企业、微型企业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8" w:type="dxa"/>
            <w:vAlign w:val="center"/>
          </w:tcPr>
          <w:p>
            <w:pPr>
              <w:jc w:val="center"/>
              <w:rPr>
                <w:color w:val="auto"/>
                <w:sz w:val="24"/>
              </w:rPr>
            </w:pPr>
            <w:r>
              <w:rPr>
                <w:rFonts w:hint="eastAsia"/>
                <w:color w:val="auto"/>
                <w:sz w:val="24"/>
              </w:rPr>
              <w:t>1</w:t>
            </w:r>
          </w:p>
        </w:tc>
        <w:tc>
          <w:tcPr>
            <w:tcW w:w="1277" w:type="dxa"/>
            <w:vAlign w:val="center"/>
          </w:tcPr>
          <w:p>
            <w:pPr>
              <w:jc w:val="center"/>
              <w:rPr>
                <w:color w:val="auto"/>
                <w:sz w:val="24"/>
              </w:rPr>
            </w:pPr>
          </w:p>
        </w:tc>
        <w:tc>
          <w:tcPr>
            <w:tcW w:w="708" w:type="dxa"/>
            <w:vAlign w:val="center"/>
          </w:tcPr>
          <w:p>
            <w:pPr>
              <w:jc w:val="center"/>
              <w:rPr>
                <w:color w:val="auto"/>
                <w:sz w:val="24"/>
              </w:rPr>
            </w:pPr>
          </w:p>
        </w:tc>
        <w:tc>
          <w:tcPr>
            <w:tcW w:w="851" w:type="dxa"/>
            <w:vAlign w:val="center"/>
          </w:tcPr>
          <w:p>
            <w:pPr>
              <w:jc w:val="center"/>
              <w:rPr>
                <w:color w:val="auto"/>
                <w:sz w:val="24"/>
              </w:rPr>
            </w:pPr>
          </w:p>
        </w:tc>
        <w:tc>
          <w:tcPr>
            <w:tcW w:w="1276" w:type="dxa"/>
            <w:vAlign w:val="center"/>
          </w:tcPr>
          <w:p>
            <w:pPr>
              <w:jc w:val="center"/>
              <w:rPr>
                <w:color w:val="auto"/>
                <w:sz w:val="24"/>
              </w:rPr>
            </w:pPr>
          </w:p>
        </w:tc>
        <w:tc>
          <w:tcPr>
            <w:tcW w:w="992" w:type="dxa"/>
            <w:vAlign w:val="center"/>
          </w:tcPr>
          <w:p>
            <w:pPr>
              <w:jc w:val="center"/>
              <w:rPr>
                <w:color w:val="auto"/>
                <w:sz w:val="24"/>
              </w:rPr>
            </w:pPr>
          </w:p>
        </w:tc>
        <w:tc>
          <w:tcPr>
            <w:tcW w:w="2714" w:type="dxa"/>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98" w:type="dxa"/>
            <w:vAlign w:val="center"/>
          </w:tcPr>
          <w:p>
            <w:pPr>
              <w:jc w:val="center"/>
              <w:rPr>
                <w:color w:val="auto"/>
                <w:sz w:val="24"/>
              </w:rPr>
            </w:pPr>
            <w:r>
              <w:rPr>
                <w:rFonts w:hint="eastAsia"/>
                <w:color w:val="auto"/>
                <w:sz w:val="24"/>
              </w:rPr>
              <w:t>2</w:t>
            </w:r>
          </w:p>
        </w:tc>
        <w:tc>
          <w:tcPr>
            <w:tcW w:w="1277" w:type="dxa"/>
            <w:vAlign w:val="center"/>
          </w:tcPr>
          <w:p>
            <w:pPr>
              <w:jc w:val="center"/>
              <w:rPr>
                <w:color w:val="auto"/>
                <w:sz w:val="24"/>
              </w:rPr>
            </w:pPr>
          </w:p>
        </w:tc>
        <w:tc>
          <w:tcPr>
            <w:tcW w:w="708" w:type="dxa"/>
            <w:vAlign w:val="center"/>
          </w:tcPr>
          <w:p>
            <w:pPr>
              <w:jc w:val="center"/>
              <w:rPr>
                <w:color w:val="auto"/>
                <w:sz w:val="24"/>
              </w:rPr>
            </w:pPr>
          </w:p>
        </w:tc>
        <w:tc>
          <w:tcPr>
            <w:tcW w:w="851" w:type="dxa"/>
            <w:vAlign w:val="center"/>
          </w:tcPr>
          <w:p>
            <w:pPr>
              <w:jc w:val="center"/>
              <w:rPr>
                <w:color w:val="auto"/>
                <w:sz w:val="24"/>
              </w:rPr>
            </w:pPr>
          </w:p>
        </w:tc>
        <w:tc>
          <w:tcPr>
            <w:tcW w:w="1276" w:type="dxa"/>
            <w:vAlign w:val="center"/>
          </w:tcPr>
          <w:p>
            <w:pPr>
              <w:jc w:val="center"/>
              <w:rPr>
                <w:color w:val="auto"/>
                <w:sz w:val="24"/>
              </w:rPr>
            </w:pPr>
          </w:p>
        </w:tc>
        <w:tc>
          <w:tcPr>
            <w:tcW w:w="992" w:type="dxa"/>
            <w:vAlign w:val="center"/>
          </w:tcPr>
          <w:p>
            <w:pPr>
              <w:jc w:val="center"/>
              <w:rPr>
                <w:color w:val="auto"/>
                <w:sz w:val="24"/>
              </w:rPr>
            </w:pPr>
          </w:p>
        </w:tc>
        <w:tc>
          <w:tcPr>
            <w:tcW w:w="2714" w:type="dxa"/>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8" w:type="dxa"/>
            <w:vAlign w:val="center"/>
          </w:tcPr>
          <w:p>
            <w:pPr>
              <w:jc w:val="center"/>
              <w:rPr>
                <w:color w:val="auto"/>
                <w:sz w:val="24"/>
              </w:rPr>
            </w:pPr>
            <w:r>
              <w:rPr>
                <w:rFonts w:hint="eastAsia"/>
                <w:color w:val="auto"/>
                <w:sz w:val="24"/>
              </w:rPr>
              <w:t>3</w:t>
            </w:r>
          </w:p>
        </w:tc>
        <w:tc>
          <w:tcPr>
            <w:tcW w:w="1277" w:type="dxa"/>
            <w:vAlign w:val="center"/>
          </w:tcPr>
          <w:p>
            <w:pPr>
              <w:jc w:val="center"/>
              <w:rPr>
                <w:color w:val="auto"/>
                <w:sz w:val="24"/>
              </w:rPr>
            </w:pPr>
          </w:p>
        </w:tc>
        <w:tc>
          <w:tcPr>
            <w:tcW w:w="708" w:type="dxa"/>
            <w:vAlign w:val="center"/>
          </w:tcPr>
          <w:p>
            <w:pPr>
              <w:jc w:val="center"/>
              <w:rPr>
                <w:color w:val="auto"/>
                <w:sz w:val="24"/>
              </w:rPr>
            </w:pPr>
          </w:p>
        </w:tc>
        <w:tc>
          <w:tcPr>
            <w:tcW w:w="851" w:type="dxa"/>
            <w:vAlign w:val="center"/>
          </w:tcPr>
          <w:p>
            <w:pPr>
              <w:jc w:val="center"/>
              <w:rPr>
                <w:color w:val="auto"/>
                <w:sz w:val="24"/>
              </w:rPr>
            </w:pPr>
          </w:p>
        </w:tc>
        <w:tc>
          <w:tcPr>
            <w:tcW w:w="1276" w:type="dxa"/>
            <w:vAlign w:val="center"/>
          </w:tcPr>
          <w:p>
            <w:pPr>
              <w:jc w:val="center"/>
              <w:rPr>
                <w:color w:val="auto"/>
                <w:sz w:val="24"/>
              </w:rPr>
            </w:pPr>
          </w:p>
        </w:tc>
        <w:tc>
          <w:tcPr>
            <w:tcW w:w="992" w:type="dxa"/>
            <w:vAlign w:val="center"/>
          </w:tcPr>
          <w:p>
            <w:pPr>
              <w:jc w:val="center"/>
              <w:rPr>
                <w:color w:val="auto"/>
                <w:sz w:val="24"/>
              </w:rPr>
            </w:pPr>
          </w:p>
        </w:tc>
        <w:tc>
          <w:tcPr>
            <w:tcW w:w="2714" w:type="dxa"/>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98" w:type="dxa"/>
            <w:vAlign w:val="center"/>
          </w:tcPr>
          <w:p>
            <w:pPr>
              <w:jc w:val="center"/>
              <w:rPr>
                <w:color w:val="auto"/>
                <w:sz w:val="24"/>
              </w:rPr>
            </w:pPr>
            <w:r>
              <w:rPr>
                <w:color w:val="auto"/>
                <w:sz w:val="24"/>
              </w:rPr>
              <w:t>…</w:t>
            </w:r>
          </w:p>
        </w:tc>
        <w:tc>
          <w:tcPr>
            <w:tcW w:w="1277" w:type="dxa"/>
            <w:vAlign w:val="center"/>
          </w:tcPr>
          <w:p>
            <w:pPr>
              <w:jc w:val="center"/>
              <w:rPr>
                <w:color w:val="auto"/>
                <w:sz w:val="24"/>
              </w:rPr>
            </w:pPr>
          </w:p>
        </w:tc>
        <w:tc>
          <w:tcPr>
            <w:tcW w:w="708" w:type="dxa"/>
            <w:vAlign w:val="center"/>
          </w:tcPr>
          <w:p>
            <w:pPr>
              <w:jc w:val="center"/>
              <w:rPr>
                <w:color w:val="auto"/>
                <w:sz w:val="24"/>
              </w:rPr>
            </w:pPr>
          </w:p>
        </w:tc>
        <w:tc>
          <w:tcPr>
            <w:tcW w:w="851" w:type="dxa"/>
            <w:vAlign w:val="center"/>
          </w:tcPr>
          <w:p>
            <w:pPr>
              <w:jc w:val="center"/>
              <w:rPr>
                <w:color w:val="auto"/>
                <w:sz w:val="24"/>
              </w:rPr>
            </w:pPr>
          </w:p>
        </w:tc>
        <w:tc>
          <w:tcPr>
            <w:tcW w:w="1276" w:type="dxa"/>
            <w:vAlign w:val="center"/>
          </w:tcPr>
          <w:p>
            <w:pPr>
              <w:jc w:val="center"/>
              <w:rPr>
                <w:color w:val="auto"/>
                <w:sz w:val="24"/>
              </w:rPr>
            </w:pPr>
          </w:p>
        </w:tc>
        <w:tc>
          <w:tcPr>
            <w:tcW w:w="992" w:type="dxa"/>
            <w:vAlign w:val="center"/>
          </w:tcPr>
          <w:p>
            <w:pPr>
              <w:jc w:val="center"/>
              <w:rPr>
                <w:color w:val="auto"/>
                <w:sz w:val="24"/>
              </w:rPr>
            </w:pPr>
            <w:r>
              <w:rPr>
                <w:color w:val="auto"/>
                <w:sz w:val="24"/>
              </w:rPr>
              <w:t>…</w:t>
            </w:r>
          </w:p>
        </w:tc>
        <w:tc>
          <w:tcPr>
            <w:tcW w:w="2714" w:type="dxa"/>
          </w:tcPr>
          <w:p>
            <w:pPr>
              <w:jc w:val="center"/>
              <w:rPr>
                <w:color w:val="auto"/>
                <w:sz w:val="24"/>
              </w:rPr>
            </w:pPr>
          </w:p>
        </w:tc>
      </w:tr>
    </w:tbl>
    <w:p>
      <w:pPr>
        <w:spacing w:line="360" w:lineRule="auto"/>
        <w:jc w:val="left"/>
        <w:rPr>
          <w:rFonts w:ascii="宋体" w:hAnsi="宋体"/>
          <w:color w:val="auto"/>
          <w:sz w:val="24"/>
        </w:rPr>
      </w:pPr>
      <w:r>
        <w:rPr>
          <w:rFonts w:hint="eastAsia" w:ascii="宋体" w:hAnsi="宋体"/>
          <w:color w:val="auto"/>
          <w:sz w:val="24"/>
        </w:rPr>
        <w:t>注：1.请对照采购清单序列编制上表，表格行数不够可自行添加。</w:t>
      </w:r>
    </w:p>
    <w:p>
      <w:pPr>
        <w:spacing w:line="360" w:lineRule="auto"/>
        <w:jc w:val="left"/>
        <w:rPr>
          <w:rFonts w:ascii="宋体" w:hAnsi="宋体"/>
          <w:color w:val="auto"/>
          <w:sz w:val="24"/>
        </w:rPr>
      </w:pPr>
      <w:r>
        <w:rPr>
          <w:rFonts w:hint="eastAsia" w:ascii="宋体" w:hAnsi="宋体"/>
          <w:color w:val="auto"/>
          <w:sz w:val="24"/>
        </w:rPr>
        <w:t xml:space="preserve">     2.若有一项设备制造商为大型企业，则无须提供《中小企业声明函》。</w:t>
      </w:r>
    </w:p>
    <w:p>
      <w:pPr>
        <w:spacing w:line="360" w:lineRule="auto"/>
        <w:jc w:val="left"/>
        <w:rPr>
          <w:rFonts w:ascii="宋体" w:hAnsi="宋体"/>
          <w:color w:val="auto"/>
          <w:sz w:val="24"/>
        </w:rPr>
      </w:pPr>
      <w:r>
        <w:rPr>
          <w:rFonts w:hint="eastAsia" w:ascii="宋体" w:hAnsi="宋体"/>
          <w:color w:val="auto"/>
          <w:sz w:val="24"/>
        </w:rPr>
        <w:t xml:space="preserve">  被授权人签字（或盖章）：                         供应商（加盖公章）：</w:t>
      </w:r>
    </w:p>
    <w:p>
      <w:pPr>
        <w:spacing w:line="360" w:lineRule="auto"/>
        <w:ind w:firstLine="5160" w:firstLineChars="2150"/>
        <w:rPr>
          <w:rFonts w:ascii="宋体" w:hAnsi="宋体"/>
          <w:color w:val="auto"/>
          <w:sz w:val="24"/>
        </w:rPr>
      </w:pPr>
      <w:r>
        <w:rPr>
          <w:rFonts w:hint="eastAsia" w:ascii="宋体" w:hAnsi="宋体"/>
          <w:color w:val="auto"/>
          <w:sz w:val="24"/>
        </w:rPr>
        <w:t xml:space="preserve">  日期：   年   月   日</w:t>
      </w:r>
    </w:p>
    <w:p>
      <w:pPr>
        <w:spacing w:line="360" w:lineRule="auto"/>
        <w:ind w:firstLine="3132" w:firstLineChars="1300"/>
        <w:jc w:val="left"/>
        <w:rPr>
          <w:rFonts w:ascii="宋体" w:hAnsi="宋体"/>
          <w:color w:val="auto"/>
          <w:sz w:val="24"/>
          <w:u w:val="single"/>
        </w:rPr>
      </w:pPr>
      <w:r>
        <w:rPr>
          <w:rFonts w:hint="eastAsia" w:ascii="宋体" w:hAnsi="宋体"/>
          <w:b/>
          <w:color w:val="auto"/>
          <w:sz w:val="24"/>
        </w:rPr>
        <w:t>技术响应表</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056"/>
        <w:gridCol w:w="1896"/>
        <w:gridCol w:w="1896"/>
        <w:gridCol w:w="2106"/>
        <w:gridCol w:w="6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636" w:type="dxa"/>
            <w:tcBorders>
              <w:top w:val="single" w:color="auto" w:sz="4" w:space="0"/>
              <w:left w:val="single" w:color="auto" w:sz="4" w:space="0"/>
              <w:bottom w:val="single" w:color="auto" w:sz="4" w:space="0"/>
              <w:right w:val="single" w:color="auto" w:sz="4" w:space="0"/>
            </w:tcBorders>
          </w:tcPr>
          <w:p>
            <w:pPr>
              <w:pStyle w:val="34"/>
              <w:snapToGrid w:val="0"/>
              <w:jc w:val="center"/>
              <w:outlineLvl w:val="0"/>
              <w:rPr>
                <w:rFonts w:hAnsi="宋体"/>
                <w:color w:val="auto"/>
              </w:rPr>
            </w:pPr>
            <w:bookmarkStart w:id="36" w:name="_Toc465368115"/>
            <w:r>
              <w:rPr>
                <w:rFonts w:hint="eastAsia" w:hAnsi="宋体"/>
                <w:color w:val="auto"/>
              </w:rPr>
              <w:t>序号</w:t>
            </w:r>
            <w:bookmarkEnd w:id="36"/>
          </w:p>
        </w:tc>
        <w:tc>
          <w:tcPr>
            <w:tcW w:w="1056" w:type="dxa"/>
            <w:tcBorders>
              <w:top w:val="single" w:color="auto" w:sz="4" w:space="0"/>
              <w:left w:val="single" w:color="auto" w:sz="4" w:space="0"/>
              <w:bottom w:val="single" w:color="auto" w:sz="4" w:space="0"/>
              <w:right w:val="single" w:color="auto" w:sz="4" w:space="0"/>
            </w:tcBorders>
          </w:tcPr>
          <w:p>
            <w:pPr>
              <w:pStyle w:val="34"/>
              <w:snapToGrid w:val="0"/>
              <w:jc w:val="center"/>
              <w:outlineLvl w:val="0"/>
              <w:rPr>
                <w:rFonts w:hAnsi="宋体"/>
                <w:color w:val="auto"/>
              </w:rPr>
            </w:pPr>
            <w:bookmarkStart w:id="37" w:name="_Toc702241305"/>
            <w:r>
              <w:rPr>
                <w:rFonts w:hint="eastAsia" w:hAnsi="宋体"/>
                <w:color w:val="auto"/>
              </w:rPr>
              <w:t>设备名称</w:t>
            </w:r>
            <w:bookmarkEnd w:id="37"/>
          </w:p>
        </w:tc>
        <w:tc>
          <w:tcPr>
            <w:tcW w:w="1896" w:type="dxa"/>
            <w:tcBorders>
              <w:top w:val="single" w:color="auto" w:sz="4" w:space="0"/>
              <w:left w:val="single" w:color="auto" w:sz="4" w:space="0"/>
              <w:bottom w:val="single" w:color="auto" w:sz="4" w:space="0"/>
              <w:right w:val="single" w:color="auto" w:sz="4" w:space="0"/>
            </w:tcBorders>
          </w:tcPr>
          <w:p>
            <w:pPr>
              <w:pStyle w:val="34"/>
              <w:snapToGrid w:val="0"/>
              <w:jc w:val="center"/>
              <w:outlineLvl w:val="0"/>
              <w:rPr>
                <w:rFonts w:hAnsi="宋体"/>
                <w:color w:val="auto"/>
              </w:rPr>
            </w:pPr>
            <w:bookmarkStart w:id="38" w:name="_Toc382928118"/>
            <w:bookmarkStart w:id="39" w:name="_Toc406403001"/>
            <w:bookmarkStart w:id="40" w:name="_Toc377028057"/>
            <w:bookmarkStart w:id="41" w:name="_Toc377028119"/>
            <w:bookmarkStart w:id="42" w:name="_Toc402963095"/>
            <w:bookmarkStart w:id="43" w:name="_Toc401570314"/>
            <w:bookmarkStart w:id="44" w:name="_Toc402963128"/>
            <w:bookmarkStart w:id="45" w:name="_Toc385854156"/>
            <w:bookmarkStart w:id="46" w:name="_Toc377653976"/>
            <w:bookmarkStart w:id="47" w:name="_Toc401570290"/>
            <w:bookmarkStart w:id="48" w:name="_Toc385854110"/>
            <w:bookmarkStart w:id="49" w:name="_Toc382928236"/>
            <w:bookmarkStart w:id="50" w:name="_Toc406402957"/>
            <w:bookmarkStart w:id="51" w:name="_Toc381081903"/>
            <w:bookmarkStart w:id="52" w:name="_Toc385854160"/>
            <w:bookmarkStart w:id="53" w:name="_Toc385854114"/>
            <w:bookmarkStart w:id="54" w:name="_Toc382928122"/>
            <w:bookmarkStart w:id="55" w:name="_Toc734611807"/>
            <w:bookmarkStart w:id="56" w:name="_Toc401570318"/>
            <w:bookmarkStart w:id="57" w:name="_Toc377028123"/>
            <w:bookmarkStart w:id="58" w:name="_Toc401570294"/>
            <w:bookmarkStart w:id="59" w:name="_Toc381081907"/>
            <w:bookmarkStart w:id="60" w:name="_Toc377028061"/>
            <w:bookmarkStart w:id="61" w:name="_Toc406402961"/>
            <w:bookmarkStart w:id="62" w:name="_Toc402963132"/>
            <w:bookmarkStart w:id="63" w:name="_Toc382928240"/>
            <w:bookmarkStart w:id="64" w:name="_Toc402963099"/>
            <w:bookmarkStart w:id="65" w:name="_Toc377653980"/>
            <w:bookmarkStart w:id="66" w:name="_Toc406403005"/>
            <w:r>
              <w:rPr>
                <w:rFonts w:hint="eastAsia" w:hAnsi="宋体"/>
                <w:color w:val="auto"/>
              </w:rPr>
              <w:t>招标文件要求</w:t>
            </w:r>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hint="eastAsia" w:hAnsi="宋体"/>
                <w:color w:val="auto"/>
              </w:rPr>
              <w:t>要求</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c>
        <w:tc>
          <w:tcPr>
            <w:tcW w:w="1896" w:type="dxa"/>
            <w:tcBorders>
              <w:top w:val="single" w:color="auto" w:sz="4" w:space="0"/>
              <w:left w:val="single" w:color="auto" w:sz="4" w:space="0"/>
              <w:bottom w:val="single" w:color="auto" w:sz="4" w:space="0"/>
              <w:right w:val="single" w:color="auto" w:sz="4" w:space="0"/>
            </w:tcBorders>
          </w:tcPr>
          <w:p>
            <w:pPr>
              <w:pStyle w:val="34"/>
              <w:snapToGrid w:val="0"/>
              <w:jc w:val="center"/>
              <w:outlineLvl w:val="0"/>
              <w:rPr>
                <w:rFonts w:hAnsi="宋体"/>
                <w:color w:val="auto"/>
              </w:rPr>
            </w:pPr>
            <w:bookmarkStart w:id="67" w:name="_Toc382928119"/>
            <w:bookmarkStart w:id="68" w:name="_Toc382928237"/>
            <w:bookmarkStart w:id="69" w:name="_Toc406403002"/>
            <w:bookmarkStart w:id="70" w:name="_Toc406402958"/>
            <w:bookmarkStart w:id="71" w:name="_Toc385854157"/>
            <w:bookmarkStart w:id="72" w:name="_Toc377028120"/>
            <w:bookmarkStart w:id="73" w:name="_Toc401570315"/>
            <w:bookmarkStart w:id="74" w:name="_Toc377028058"/>
            <w:bookmarkStart w:id="75" w:name="_Toc401570291"/>
            <w:bookmarkStart w:id="76" w:name="_Toc385854111"/>
            <w:bookmarkStart w:id="77" w:name="_Toc402963096"/>
            <w:bookmarkStart w:id="78" w:name="_Toc402963129"/>
            <w:bookmarkStart w:id="79" w:name="_Toc377653977"/>
            <w:bookmarkStart w:id="80" w:name="_Toc381081904"/>
            <w:bookmarkStart w:id="81" w:name="_Toc929162729"/>
            <w:r>
              <w:rPr>
                <w:rFonts w:hint="eastAsia" w:hAnsi="宋体"/>
                <w:color w:val="auto"/>
              </w:rPr>
              <w:t>投标文件</w:t>
            </w:r>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hint="eastAsia" w:hAnsi="宋体"/>
                <w:color w:val="auto"/>
              </w:rPr>
              <w:t>性能指标</w:t>
            </w:r>
            <w:bookmarkEnd w:id="81"/>
          </w:p>
        </w:tc>
        <w:tc>
          <w:tcPr>
            <w:tcW w:w="2106" w:type="dxa"/>
            <w:tcBorders>
              <w:top w:val="single" w:color="auto" w:sz="4" w:space="0"/>
              <w:left w:val="single" w:color="auto" w:sz="4" w:space="0"/>
              <w:bottom w:val="single" w:color="auto" w:sz="4" w:space="0"/>
              <w:right w:val="single" w:color="auto" w:sz="4" w:space="0"/>
            </w:tcBorders>
          </w:tcPr>
          <w:p>
            <w:pPr>
              <w:pStyle w:val="34"/>
              <w:snapToGrid w:val="0"/>
              <w:jc w:val="center"/>
              <w:outlineLvl w:val="0"/>
              <w:rPr>
                <w:rFonts w:hAnsi="宋体"/>
                <w:color w:val="auto"/>
              </w:rPr>
            </w:pPr>
            <w:bookmarkStart w:id="82" w:name="_Toc401570316"/>
            <w:bookmarkStart w:id="83" w:name="_Toc406402959"/>
            <w:bookmarkStart w:id="84" w:name="_Toc382928120"/>
            <w:bookmarkStart w:id="85" w:name="_Toc401570292"/>
            <w:bookmarkStart w:id="86" w:name="_Toc382928238"/>
            <w:bookmarkStart w:id="87" w:name="_Toc377653978"/>
            <w:bookmarkStart w:id="88" w:name="_Toc402963097"/>
            <w:bookmarkStart w:id="89" w:name="_Toc406403003"/>
            <w:bookmarkStart w:id="90" w:name="_Toc385854158"/>
            <w:bookmarkStart w:id="91" w:name="_Toc381081905"/>
            <w:bookmarkStart w:id="92" w:name="_Toc402963130"/>
            <w:bookmarkStart w:id="93" w:name="_Toc377028059"/>
            <w:bookmarkStart w:id="94" w:name="_Toc385854112"/>
            <w:bookmarkStart w:id="95" w:name="_Toc377028121"/>
            <w:bookmarkStart w:id="96" w:name="_Toc961276098"/>
            <w:r>
              <w:rPr>
                <w:rFonts w:hint="eastAsia" w:hAnsi="宋体"/>
                <w:color w:val="auto"/>
              </w:rPr>
              <w:t>偏离情况</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hint="eastAsia" w:hAnsi="宋体"/>
                <w:color w:val="auto"/>
              </w:rPr>
              <w:t>及证明材料</w:t>
            </w:r>
            <w:bookmarkEnd w:id="96"/>
          </w:p>
        </w:tc>
        <w:tc>
          <w:tcPr>
            <w:tcW w:w="6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636" w:type="dxa"/>
            <w:tcBorders>
              <w:top w:val="single" w:color="auto" w:sz="4" w:space="0"/>
              <w:left w:val="single" w:color="auto" w:sz="4" w:space="0"/>
              <w:bottom w:val="single" w:color="auto" w:sz="4" w:space="0"/>
              <w:right w:val="single" w:color="auto" w:sz="4" w:space="0"/>
            </w:tcBorders>
            <w:vAlign w:val="center"/>
          </w:tcPr>
          <w:p>
            <w:pPr>
              <w:pStyle w:val="34"/>
              <w:snapToGrid w:val="0"/>
              <w:spacing w:before="120" w:after="120"/>
              <w:outlineLvl w:val="0"/>
              <w:rPr>
                <w:rFonts w:hAnsi="宋体"/>
                <w:color w:val="auto"/>
              </w:rPr>
            </w:pPr>
          </w:p>
        </w:tc>
        <w:tc>
          <w:tcPr>
            <w:tcW w:w="105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vAlign w:val="center"/>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210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63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63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rPr>
            </w:pPr>
          </w:p>
        </w:tc>
        <w:tc>
          <w:tcPr>
            <w:tcW w:w="105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vAlign w:val="center"/>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210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63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636" w:type="dxa"/>
            <w:tcBorders>
              <w:top w:val="single" w:color="auto" w:sz="4" w:space="0"/>
              <w:left w:val="single" w:color="auto" w:sz="4" w:space="0"/>
              <w:bottom w:val="single" w:color="auto" w:sz="4" w:space="0"/>
              <w:right w:val="single" w:color="auto" w:sz="4" w:space="0"/>
            </w:tcBorders>
            <w:vAlign w:val="center"/>
          </w:tcPr>
          <w:p>
            <w:pPr>
              <w:pStyle w:val="34"/>
              <w:snapToGrid w:val="0"/>
              <w:spacing w:before="120" w:after="120"/>
              <w:outlineLvl w:val="0"/>
              <w:rPr>
                <w:rFonts w:hAnsi="宋体"/>
                <w:color w:val="auto"/>
              </w:rPr>
            </w:pPr>
          </w:p>
        </w:tc>
        <w:tc>
          <w:tcPr>
            <w:tcW w:w="105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vAlign w:val="center"/>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210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63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636" w:type="dxa"/>
            <w:tcBorders>
              <w:top w:val="single" w:color="auto" w:sz="4" w:space="0"/>
              <w:left w:val="single" w:color="auto" w:sz="4" w:space="0"/>
              <w:bottom w:val="single" w:color="auto" w:sz="4" w:space="0"/>
              <w:right w:val="single" w:color="auto" w:sz="4" w:space="0"/>
            </w:tcBorders>
            <w:vAlign w:val="center"/>
          </w:tcPr>
          <w:p>
            <w:pPr>
              <w:pStyle w:val="34"/>
              <w:snapToGrid w:val="0"/>
              <w:spacing w:before="120" w:after="120"/>
              <w:outlineLvl w:val="0"/>
              <w:rPr>
                <w:rFonts w:hAnsi="宋体"/>
                <w:color w:val="auto"/>
              </w:rPr>
            </w:pPr>
          </w:p>
        </w:tc>
        <w:tc>
          <w:tcPr>
            <w:tcW w:w="105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vAlign w:val="center"/>
          </w:tcPr>
          <w:p>
            <w:pPr>
              <w:pStyle w:val="34"/>
              <w:snapToGrid w:val="0"/>
              <w:outlineLvl w:val="0"/>
              <w:rPr>
                <w:rFonts w:hAnsi="宋体"/>
                <w:color w:val="auto"/>
              </w:rPr>
            </w:pPr>
          </w:p>
        </w:tc>
        <w:tc>
          <w:tcPr>
            <w:tcW w:w="189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210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c>
          <w:tcPr>
            <w:tcW w:w="636" w:type="dxa"/>
            <w:tcBorders>
              <w:top w:val="single" w:color="auto" w:sz="4" w:space="0"/>
              <w:left w:val="single" w:color="auto" w:sz="4" w:space="0"/>
              <w:bottom w:val="single" w:color="auto" w:sz="4" w:space="0"/>
              <w:right w:val="single" w:color="auto" w:sz="4" w:space="0"/>
            </w:tcBorders>
          </w:tcPr>
          <w:p>
            <w:pPr>
              <w:pStyle w:val="34"/>
              <w:snapToGrid w:val="0"/>
              <w:outlineLvl w:val="0"/>
              <w:rPr>
                <w:rFonts w:hAnsi="宋体"/>
                <w:color w:val="auto"/>
              </w:rPr>
            </w:pPr>
          </w:p>
        </w:tc>
      </w:tr>
    </w:tbl>
    <w:p>
      <w:pPr>
        <w:pStyle w:val="22"/>
        <w:rPr>
          <w:rFonts w:ascii="宋体"/>
          <w:color w:val="auto"/>
          <w:szCs w:val="21"/>
        </w:rPr>
      </w:pPr>
      <w:r>
        <w:rPr>
          <w:rFonts w:ascii="宋体"/>
          <w:color w:val="auto"/>
          <w:szCs w:val="21"/>
        </w:rPr>
        <w:t>注：供应商应根据</w:t>
      </w:r>
      <w:r>
        <w:rPr>
          <w:rFonts w:hint="eastAsia" w:ascii="宋体"/>
          <w:color w:val="auto"/>
          <w:szCs w:val="21"/>
        </w:rPr>
        <w:t>投标产品</w:t>
      </w:r>
      <w:r>
        <w:rPr>
          <w:rFonts w:ascii="宋体"/>
          <w:color w:val="auto"/>
          <w:szCs w:val="21"/>
        </w:rPr>
        <w:t>的性能指标、对照招标文件要求注明“正偏离”、“负偏离”或“无偏离”。</w:t>
      </w:r>
    </w:p>
    <w:p>
      <w:pPr>
        <w:snapToGrid w:val="0"/>
        <w:spacing w:before="50" w:after="50" w:line="360" w:lineRule="auto"/>
        <w:rPr>
          <w:rFonts w:ascii="宋体" w:hAnsi="宋体"/>
          <w:color w:val="auto"/>
          <w:spacing w:val="20"/>
          <w:sz w:val="24"/>
        </w:rPr>
      </w:pPr>
      <w:r>
        <w:rPr>
          <w:rFonts w:hint="eastAsia" w:ascii="宋体" w:hAnsi="宋体"/>
          <w:color w:val="auto"/>
          <w:sz w:val="24"/>
        </w:rPr>
        <w:t>被授权人签字（或盖章）</w:t>
      </w:r>
      <w:r>
        <w:rPr>
          <w:rFonts w:hint="eastAsia" w:ascii="宋体" w:hAnsi="宋体"/>
          <w:color w:val="auto"/>
          <w:spacing w:val="20"/>
          <w:sz w:val="24"/>
        </w:rPr>
        <w:t>：</w:t>
      </w:r>
    </w:p>
    <w:p>
      <w:pPr>
        <w:snapToGrid w:val="0"/>
        <w:spacing w:before="50" w:after="50" w:line="360" w:lineRule="auto"/>
        <w:rPr>
          <w:rFonts w:ascii="宋体" w:hAnsi="宋体"/>
          <w:color w:val="auto"/>
          <w:spacing w:val="20"/>
          <w:sz w:val="24"/>
          <w:szCs w:val="20"/>
          <w:u w:val="single"/>
        </w:rPr>
      </w:pPr>
      <w:r>
        <w:rPr>
          <w:rFonts w:hint="eastAsia" w:hAnsi="宋体"/>
          <w:color w:val="auto"/>
          <w:sz w:val="24"/>
        </w:rPr>
        <w:t>供应商公章：</w:t>
      </w:r>
      <w:r>
        <w:rPr>
          <w:rFonts w:hAnsi="宋体"/>
          <w:color w:val="auto"/>
          <w:sz w:val="24"/>
        </w:rPr>
        <w:t xml:space="preserve">   </w:t>
      </w:r>
      <w:r>
        <w:rPr>
          <w:rFonts w:ascii="宋体" w:hAnsi="宋体"/>
          <w:color w:val="auto"/>
          <w:spacing w:val="20"/>
          <w:sz w:val="24"/>
          <w:u w:val="single"/>
        </w:rPr>
        <w:t xml:space="preserve">      </w:t>
      </w:r>
    </w:p>
    <w:p>
      <w:pPr>
        <w:pStyle w:val="962"/>
        <w:spacing w:line="360" w:lineRule="auto"/>
        <w:ind w:right="480"/>
        <w:rPr>
          <w:rFonts w:hAnsi="宋体" w:eastAsia="宋体" w:cs="宋体"/>
          <w:color w:val="auto"/>
          <w:sz w:val="24"/>
          <w:szCs w:val="24"/>
        </w:rPr>
      </w:pPr>
      <w:r>
        <w:rPr>
          <w:rFonts w:hAnsi="宋体" w:eastAsia="宋体"/>
          <w:color w:val="auto"/>
          <w:sz w:val="24"/>
          <w:szCs w:val="24"/>
        </w:rPr>
        <w:t xml:space="preserve">                             </w:t>
      </w:r>
      <w:r>
        <w:rPr>
          <w:rFonts w:hint="eastAsia" w:hAnsi="宋体" w:eastAsia="宋体"/>
          <w:color w:val="auto"/>
          <w:sz w:val="24"/>
          <w:szCs w:val="24"/>
        </w:rPr>
        <w:t xml:space="preserve"> </w:t>
      </w:r>
      <w:r>
        <w:rPr>
          <w:rFonts w:hAnsi="宋体" w:eastAsia="宋体"/>
          <w:color w:val="auto"/>
          <w:sz w:val="24"/>
          <w:szCs w:val="24"/>
        </w:rPr>
        <w:t xml:space="preserve">  </w:t>
      </w:r>
      <w:r>
        <w:rPr>
          <w:rFonts w:hint="eastAsia" w:hAnsi="宋体" w:eastAsia="宋体"/>
          <w:color w:val="auto"/>
          <w:sz w:val="24"/>
          <w:szCs w:val="24"/>
        </w:rPr>
        <w:t xml:space="preserve"> 年</w:t>
      </w:r>
      <w:r>
        <w:rPr>
          <w:rFonts w:hAnsi="宋体" w:eastAsia="宋体"/>
          <w:color w:val="auto"/>
          <w:sz w:val="24"/>
          <w:szCs w:val="24"/>
        </w:rPr>
        <w:t xml:space="preserve">    </w:t>
      </w:r>
      <w:r>
        <w:rPr>
          <w:rFonts w:hint="eastAsia" w:hAnsi="宋体" w:eastAsia="宋体"/>
          <w:color w:val="auto"/>
          <w:sz w:val="24"/>
          <w:szCs w:val="24"/>
        </w:rPr>
        <w:t>月</w:t>
      </w:r>
      <w:r>
        <w:rPr>
          <w:rFonts w:hAnsi="宋体" w:eastAsia="宋体"/>
          <w:color w:val="auto"/>
          <w:sz w:val="24"/>
          <w:szCs w:val="24"/>
        </w:rPr>
        <w:t xml:space="preserve">    </w:t>
      </w:r>
      <w:r>
        <w:rPr>
          <w:rFonts w:hint="eastAsia" w:hAnsi="宋体" w:eastAsia="宋体"/>
          <w:color w:val="auto"/>
          <w:sz w:val="24"/>
          <w:szCs w:val="24"/>
        </w:rPr>
        <w:t>日</w:t>
      </w:r>
    </w:p>
    <w:p>
      <w:pPr>
        <w:pStyle w:val="962"/>
        <w:spacing w:line="360" w:lineRule="auto"/>
        <w:rPr>
          <w:rFonts w:hAnsi="宋体" w:eastAsia="宋体"/>
          <w:b/>
          <w:color w:val="auto"/>
          <w:sz w:val="24"/>
        </w:rPr>
      </w:pPr>
    </w:p>
    <w:p>
      <w:pPr>
        <w:snapToGrid w:val="0"/>
        <w:spacing w:beforeLines="50" w:after="50"/>
        <w:jc w:val="center"/>
        <w:rPr>
          <w:rFonts w:ascii="宋体" w:hAnsi="宋体" w:cs="宋体"/>
          <w:b/>
          <w:color w:val="auto"/>
          <w:sz w:val="32"/>
          <w:szCs w:val="32"/>
        </w:rPr>
      </w:pPr>
      <w:r>
        <w:rPr>
          <w:rFonts w:hint="eastAsia" w:ascii="宋体" w:hAnsi="宋体" w:cs="宋体"/>
          <w:b/>
          <w:color w:val="auto"/>
          <w:sz w:val="32"/>
          <w:szCs w:val="32"/>
        </w:rPr>
        <w:t>投 标 函</w:t>
      </w:r>
    </w:p>
    <w:p>
      <w:pPr>
        <w:snapToGrid w:val="0"/>
        <w:spacing w:line="360" w:lineRule="auto"/>
        <w:rPr>
          <w:rFonts w:ascii="宋体" w:hAnsi="宋体" w:cs="宋体"/>
          <w:color w:val="auto"/>
          <w:sz w:val="24"/>
          <w:szCs w:val="20"/>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 xml:space="preserve">（采购人）：  </w:t>
      </w:r>
    </w:p>
    <w:p>
      <w:pPr>
        <w:snapToGrid w:val="0"/>
        <w:spacing w:beforeLines="50" w:after="50" w:line="360" w:lineRule="auto"/>
        <w:ind w:firstLine="480" w:firstLineChars="200"/>
        <w:rPr>
          <w:rFonts w:ascii="宋体" w:hAnsi="宋体" w:cs="宋体"/>
          <w:bCs/>
          <w:color w:val="auto"/>
          <w:sz w:val="24"/>
          <w:szCs w:val="20"/>
        </w:rPr>
      </w:pPr>
      <w:r>
        <w:rPr>
          <w:rFonts w:hint="eastAsia" w:ascii="宋体" w:hAnsi="宋体" w:cs="宋体"/>
          <w:color w:val="auto"/>
          <w:sz w:val="24"/>
        </w:rPr>
        <w:t>根据贵方为</w:t>
      </w:r>
      <w:r>
        <w:rPr>
          <w:rFonts w:hint="eastAsia" w:ascii="宋体" w:hAnsi="宋体" w:cs="宋体"/>
          <w:bCs/>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rPr>
        <w:t>的招标公告（项目编号：</w:t>
      </w:r>
      <w:r>
        <w:rPr>
          <w:rFonts w:hint="eastAsia" w:ascii="宋体" w:hAnsi="宋体" w:cs="宋体"/>
          <w:color w:val="auto"/>
          <w:sz w:val="24"/>
          <w:u w:val="single"/>
        </w:rPr>
        <w:t xml:space="preserve">               </w:t>
      </w:r>
      <w:r>
        <w:rPr>
          <w:rFonts w:hint="eastAsia" w:ascii="宋体" w:hAnsi="宋体" w:cs="宋体"/>
          <w:color w:val="auto"/>
          <w:sz w:val="24"/>
        </w:rPr>
        <w:t>），签字代表</w:t>
      </w:r>
      <w:r>
        <w:rPr>
          <w:rFonts w:hint="eastAsia" w:ascii="宋体" w:hAnsi="宋体" w:cs="宋体"/>
          <w:color w:val="auto"/>
          <w:sz w:val="24"/>
          <w:u w:val="single"/>
        </w:rPr>
        <w:t xml:space="preserve">               </w:t>
      </w:r>
      <w:r>
        <w:rPr>
          <w:rFonts w:hint="eastAsia" w:ascii="宋体" w:hAnsi="宋体" w:cs="宋体"/>
          <w:color w:val="auto"/>
          <w:sz w:val="24"/>
        </w:rPr>
        <w:t>（全名）经正式授权并代表投标人_</w:t>
      </w:r>
      <w:r>
        <w:rPr>
          <w:rFonts w:hint="eastAsia" w:ascii="宋体" w:hAnsi="宋体" w:cs="宋体"/>
          <w:color w:val="auto"/>
          <w:sz w:val="24"/>
          <w:u w:val="single"/>
        </w:rPr>
        <w:t xml:space="preserve">                      </w:t>
      </w:r>
      <w:r>
        <w:rPr>
          <w:rFonts w:hint="eastAsia" w:ascii="宋体" w:hAnsi="宋体" w:cs="宋体"/>
          <w:color w:val="auto"/>
          <w:sz w:val="24"/>
        </w:rPr>
        <w:t>（投标人名称）提交电子版投标文件（资格响应文件、商务技术响应文件、报价响应文件）。</w:t>
      </w:r>
    </w:p>
    <w:p>
      <w:pPr>
        <w:snapToGrid w:val="0"/>
        <w:spacing w:line="360" w:lineRule="auto"/>
        <w:ind w:firstLine="480" w:firstLineChars="200"/>
        <w:rPr>
          <w:rFonts w:ascii="宋体" w:hAnsi="宋体" w:cs="宋体"/>
          <w:color w:val="auto"/>
          <w:sz w:val="24"/>
          <w:szCs w:val="20"/>
        </w:rPr>
      </w:pPr>
      <w:r>
        <w:rPr>
          <w:rFonts w:hint="eastAsia" w:ascii="宋体" w:hAnsi="宋体" w:cs="宋体"/>
          <w:color w:val="auto"/>
          <w:sz w:val="24"/>
        </w:rPr>
        <w:t>据此函，签字代表宣布同意如下：</w:t>
      </w:r>
    </w:p>
    <w:p>
      <w:pPr>
        <w:snapToGrid w:val="0"/>
        <w:spacing w:line="360" w:lineRule="auto"/>
        <w:ind w:firstLine="480" w:firstLineChars="200"/>
        <w:rPr>
          <w:rFonts w:ascii="宋体" w:hAnsi="宋体" w:cs="宋体"/>
          <w:color w:val="auto"/>
          <w:sz w:val="24"/>
          <w:szCs w:val="20"/>
        </w:rPr>
      </w:pPr>
      <w:r>
        <w:rPr>
          <w:rFonts w:hint="eastAsia" w:ascii="宋体" w:hAnsi="宋体" w:cs="宋体"/>
          <w:color w:val="auto"/>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szCs w:val="20"/>
        </w:rPr>
      </w:pPr>
      <w:r>
        <w:rPr>
          <w:rFonts w:hint="eastAsia" w:ascii="宋体" w:hAnsi="宋体" w:cs="宋体"/>
          <w:color w:val="auto"/>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szCs w:val="20"/>
        </w:rPr>
      </w:pPr>
      <w:r>
        <w:rPr>
          <w:rFonts w:hint="eastAsia" w:ascii="宋体" w:hAnsi="宋体" w:cs="宋体"/>
          <w:color w:val="auto"/>
          <w:sz w:val="24"/>
        </w:rPr>
        <w:t>3.本投标有效期自开标日起 ______个日。</w:t>
      </w:r>
    </w:p>
    <w:p>
      <w:pPr>
        <w:snapToGrid w:val="0"/>
        <w:spacing w:line="360" w:lineRule="auto"/>
        <w:ind w:firstLine="480" w:firstLineChars="200"/>
        <w:rPr>
          <w:rFonts w:ascii="宋体" w:hAnsi="宋体" w:cs="宋体"/>
          <w:color w:val="auto"/>
          <w:sz w:val="24"/>
          <w:szCs w:val="20"/>
        </w:rPr>
      </w:pPr>
      <w:r>
        <w:rPr>
          <w:rFonts w:hint="eastAsia" w:ascii="宋体" w:hAnsi="宋体" w:cs="宋体"/>
          <w:color w:val="auto"/>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szCs w:val="20"/>
        </w:rPr>
      </w:pPr>
      <w:r>
        <w:rPr>
          <w:rFonts w:hint="eastAsia" w:ascii="宋体" w:hAnsi="宋体" w:cs="宋体"/>
          <w:color w:val="auto"/>
          <w:sz w:val="24"/>
        </w:rPr>
        <w:t>5.投标人同意按照贵方要求提供与投标有关的一切数据或资料。</w:t>
      </w:r>
    </w:p>
    <w:p>
      <w:pPr>
        <w:snapToGrid w:val="0"/>
        <w:spacing w:line="360" w:lineRule="auto"/>
        <w:ind w:firstLine="480" w:firstLineChars="200"/>
        <w:rPr>
          <w:rFonts w:ascii="宋体" w:hAnsi="宋体" w:cs="宋体"/>
          <w:color w:val="auto"/>
          <w:sz w:val="24"/>
          <w:szCs w:val="20"/>
        </w:rPr>
      </w:pPr>
      <w:r>
        <w:rPr>
          <w:rFonts w:hint="eastAsia" w:ascii="宋体" w:hAnsi="宋体" w:cs="宋体"/>
          <w:color w:val="auto"/>
          <w:sz w:val="24"/>
        </w:rPr>
        <w:t>6.与本投标有关的一切正式往来信函请寄：</w:t>
      </w:r>
    </w:p>
    <w:p>
      <w:pPr>
        <w:snapToGrid w:val="0"/>
        <w:spacing w:line="360" w:lineRule="auto"/>
        <w:rPr>
          <w:rFonts w:ascii="宋体" w:hAnsi="宋体" w:cs="宋体"/>
          <w:color w:val="auto"/>
          <w:sz w:val="24"/>
          <w:szCs w:val="20"/>
        </w:rPr>
      </w:pPr>
      <w:r>
        <w:rPr>
          <w:rFonts w:hint="eastAsia" w:ascii="宋体" w:hAnsi="宋体" w:cs="宋体"/>
          <w:color w:val="auto"/>
          <w:sz w:val="24"/>
        </w:rPr>
        <w:t>地址：</w:t>
      </w:r>
      <w:r>
        <w:rPr>
          <w:rFonts w:hint="eastAsia" w:ascii="宋体" w:hAnsi="宋体" w:cs="宋体"/>
          <w:color w:val="auto"/>
          <w:sz w:val="24"/>
          <w:u w:val="single"/>
        </w:rPr>
        <w:t xml:space="preserve">                            </w:t>
      </w:r>
      <w:r>
        <w:rPr>
          <w:rFonts w:hint="eastAsia" w:ascii="宋体" w:hAnsi="宋体" w:cs="宋体"/>
          <w:color w:val="auto"/>
          <w:sz w:val="24"/>
        </w:rPr>
        <w:t>邮编：__________  电话：_____________</w:t>
      </w:r>
    </w:p>
    <w:p>
      <w:pPr>
        <w:snapToGrid w:val="0"/>
        <w:spacing w:line="360" w:lineRule="auto"/>
        <w:rPr>
          <w:rFonts w:ascii="宋体" w:hAnsi="宋体" w:cs="宋体"/>
          <w:color w:val="auto"/>
          <w:sz w:val="24"/>
          <w:u w:val="single"/>
        </w:rPr>
      </w:pPr>
      <w:r>
        <w:rPr>
          <w:rFonts w:hint="eastAsia" w:ascii="宋体" w:hAnsi="宋体" w:cs="宋体"/>
          <w:color w:val="auto"/>
          <w:sz w:val="24"/>
        </w:rPr>
        <w:t>传真：______________投标人代表姓名：__________  职务：</w:t>
      </w:r>
      <w:r>
        <w:rPr>
          <w:rFonts w:hint="eastAsia" w:ascii="宋体" w:hAnsi="宋体" w:cs="宋体"/>
          <w:color w:val="auto"/>
          <w:sz w:val="24"/>
          <w:u w:val="single"/>
        </w:rPr>
        <w:t xml:space="preserve">               </w:t>
      </w:r>
    </w:p>
    <w:p>
      <w:pPr>
        <w:snapToGrid w:val="0"/>
        <w:spacing w:line="360" w:lineRule="auto"/>
        <w:rPr>
          <w:rFonts w:ascii="宋体" w:hAnsi="宋体" w:cs="宋体"/>
          <w:color w:val="auto"/>
          <w:sz w:val="24"/>
          <w:szCs w:val="20"/>
        </w:rPr>
      </w:pPr>
      <w:r>
        <w:rPr>
          <w:rFonts w:hint="eastAsia" w:ascii="宋体" w:hAnsi="宋体" w:cs="宋体"/>
          <w:color w:val="auto"/>
          <w:sz w:val="24"/>
        </w:rPr>
        <w:t>投标人名称(公章):___________________</w:t>
      </w:r>
    </w:p>
    <w:p>
      <w:pPr>
        <w:snapToGrid w:val="0"/>
        <w:spacing w:line="360" w:lineRule="auto"/>
        <w:rPr>
          <w:rFonts w:ascii="宋体" w:hAnsi="宋体" w:cs="宋体"/>
          <w:color w:val="auto"/>
          <w:sz w:val="24"/>
          <w:szCs w:val="20"/>
        </w:rPr>
      </w:pPr>
      <w:r>
        <w:rPr>
          <w:rFonts w:hint="eastAsia" w:ascii="宋体" w:hAnsi="宋体" w:cs="宋体"/>
          <w:color w:val="auto"/>
          <w:sz w:val="24"/>
        </w:rPr>
        <w:t>开户银行：</w:t>
      </w:r>
      <w:r>
        <w:rPr>
          <w:rFonts w:hint="eastAsia" w:ascii="宋体" w:hAnsi="宋体" w:cs="宋体"/>
          <w:color w:val="auto"/>
          <w:sz w:val="24"/>
          <w:u w:val="single"/>
        </w:rPr>
        <w:t xml:space="preserve">                      </w:t>
      </w:r>
      <w:r>
        <w:rPr>
          <w:rFonts w:hint="eastAsia" w:ascii="宋体" w:hAnsi="宋体" w:cs="宋体"/>
          <w:color w:val="auto"/>
          <w:sz w:val="24"/>
        </w:rPr>
        <w:t xml:space="preserve">   银行帐号：</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法定代表人或授权委托人（签名）：            投标人（加盖公章）：          </w:t>
      </w:r>
    </w:p>
    <w:p>
      <w:pPr>
        <w:snapToGrid w:val="0"/>
        <w:spacing w:line="360" w:lineRule="auto"/>
        <w:ind w:firstLine="5040" w:firstLineChars="2100"/>
        <w:rPr>
          <w:rFonts w:ascii="宋体" w:hAnsi="宋体" w:cs="宋体"/>
          <w:color w:val="auto"/>
          <w:sz w:val="24"/>
        </w:rPr>
      </w:pPr>
    </w:p>
    <w:p>
      <w:pPr>
        <w:snapToGrid w:val="0"/>
        <w:spacing w:line="360" w:lineRule="auto"/>
        <w:ind w:firstLine="5040" w:firstLineChars="2100"/>
        <w:rPr>
          <w:rFonts w:ascii="宋体" w:hAnsi="宋体" w:cs="宋体"/>
          <w:color w:val="auto"/>
          <w:sz w:val="24"/>
        </w:rPr>
      </w:pPr>
      <w:r>
        <w:rPr>
          <w:rFonts w:hint="eastAsia" w:ascii="宋体" w:hAnsi="宋体" w:cs="宋体"/>
          <w:color w:val="auto"/>
          <w:sz w:val="24"/>
        </w:rPr>
        <w:t>日期:_____年___月___日</w:t>
      </w:r>
    </w:p>
    <w:p>
      <w:pPr>
        <w:snapToGrid w:val="0"/>
        <w:spacing w:before="50" w:after="50"/>
        <w:rPr>
          <w:rFonts w:ascii="宋体" w:hAnsi="宋体" w:cs="宋体"/>
          <w:color w:val="auto"/>
        </w:rPr>
      </w:pPr>
    </w:p>
    <w:p>
      <w:pPr>
        <w:snapToGrid w:val="0"/>
        <w:spacing w:before="50" w:after="50"/>
        <w:rPr>
          <w:rFonts w:ascii="宋体" w:hAnsi="宋体" w:cs="宋体"/>
          <w:color w:val="auto"/>
        </w:rPr>
      </w:pPr>
    </w:p>
    <w:p>
      <w:pPr>
        <w:snapToGrid w:val="0"/>
        <w:spacing w:before="50" w:after="50"/>
        <w:rPr>
          <w:rFonts w:ascii="宋体" w:hAnsi="宋体" w:cs="宋体"/>
          <w:color w:val="auto"/>
        </w:rPr>
      </w:pPr>
    </w:p>
    <w:p>
      <w:pPr>
        <w:snapToGrid w:val="0"/>
        <w:spacing w:before="50" w:after="50"/>
        <w:rPr>
          <w:rFonts w:ascii="宋体" w:hAnsi="宋体" w:cs="宋体"/>
          <w:color w:val="auto"/>
        </w:rPr>
      </w:pPr>
    </w:p>
    <w:p>
      <w:pPr>
        <w:snapToGrid w:val="0"/>
        <w:spacing w:before="50" w:after="50"/>
        <w:rPr>
          <w:rFonts w:ascii="宋体" w:hAnsi="宋体" w:cs="宋体"/>
          <w:color w:val="auto"/>
        </w:rPr>
      </w:pPr>
    </w:p>
    <w:p>
      <w:pPr>
        <w:pStyle w:val="24"/>
        <w:rPr>
          <w:rFonts w:ascii="宋体" w:hAnsi="宋体" w:cs="宋体"/>
          <w:color w:val="auto"/>
        </w:rPr>
      </w:pPr>
    </w:p>
    <w:p>
      <w:pPr>
        <w:pStyle w:val="25"/>
        <w:rPr>
          <w:color w:val="auto"/>
        </w:rPr>
      </w:pPr>
    </w:p>
    <w:p>
      <w:pPr>
        <w:pStyle w:val="24"/>
        <w:rPr>
          <w:rFonts w:hAnsi="宋体" w:cs="宋体"/>
          <w:color w:val="auto"/>
        </w:rPr>
      </w:pPr>
    </w:p>
    <w:p>
      <w:pPr>
        <w:pStyle w:val="24"/>
        <w:rPr>
          <w:rFonts w:hAnsi="宋体" w:cs="宋体"/>
          <w:color w:val="auto"/>
        </w:rPr>
      </w:pPr>
    </w:p>
    <w:bookmarkEnd w:id="35"/>
    <w:p>
      <w:pPr>
        <w:snapToGrid w:val="0"/>
        <w:spacing w:before="50" w:after="50"/>
        <w:jc w:val="center"/>
        <w:rPr>
          <w:rFonts w:ascii="宋体" w:hAnsi="宋体" w:cs="宋体"/>
          <w:b/>
          <w:color w:val="auto"/>
          <w:sz w:val="24"/>
        </w:rPr>
      </w:pPr>
      <w:r>
        <w:rPr>
          <w:rFonts w:hint="eastAsia" w:ascii="宋体" w:hAnsi="宋体" w:cs="宋体"/>
          <w:b/>
          <w:color w:val="auto"/>
          <w:sz w:val="24"/>
        </w:rPr>
        <w:t>开标一览表</w:t>
      </w:r>
    </w:p>
    <w:p>
      <w:pPr>
        <w:snapToGrid w:val="0"/>
        <w:spacing w:before="50" w:after="50"/>
        <w:jc w:val="center"/>
        <w:rPr>
          <w:rFonts w:ascii="宋体" w:hAnsi="宋体" w:cs="宋体"/>
          <w:b/>
          <w:color w:val="auto"/>
          <w:sz w:val="24"/>
          <w:szCs w:val="20"/>
        </w:rPr>
      </w:pPr>
    </w:p>
    <w:p>
      <w:pPr>
        <w:snapToGrid w:val="0"/>
        <w:spacing w:before="50" w:after="50"/>
        <w:ind w:right="480"/>
        <w:rPr>
          <w:rFonts w:ascii="宋体" w:hAnsi="宋体" w:cs="宋体"/>
          <w:color w:val="auto"/>
          <w:sz w:val="24"/>
          <w:u w:val="single"/>
        </w:rPr>
      </w:pPr>
      <w:r>
        <w:rPr>
          <w:rFonts w:hint="eastAsia" w:ascii="宋体" w:hAnsi="宋体" w:cs="宋体"/>
          <w:color w:val="auto"/>
          <w:sz w:val="24"/>
        </w:rPr>
        <w:t>项目编号：</w:t>
      </w:r>
      <w:r>
        <w:rPr>
          <w:rFonts w:hint="eastAsia" w:ascii="宋体" w:hAnsi="宋体" w:cs="宋体"/>
          <w:color w:val="auto"/>
          <w:sz w:val="24"/>
          <w:u w:val="single"/>
        </w:rPr>
        <w:t xml:space="preserve">                    </w:t>
      </w:r>
      <w:r>
        <w:rPr>
          <w:rFonts w:hint="eastAsia" w:ascii="宋体" w:hAnsi="宋体" w:cs="宋体"/>
          <w:color w:val="auto"/>
          <w:sz w:val="24"/>
        </w:rPr>
        <w:t xml:space="preserve">                           单位：元</w:t>
      </w:r>
    </w:p>
    <w:p>
      <w:pPr>
        <w:snapToGrid w:val="0"/>
        <w:spacing w:before="50" w:after="50"/>
        <w:ind w:right="480"/>
        <w:jc w:val="right"/>
        <w:rPr>
          <w:rFonts w:ascii="宋体" w:hAnsi="宋体" w:cs="宋体"/>
          <w:color w:val="auto"/>
          <w:sz w:val="24"/>
        </w:rPr>
      </w:pPr>
      <w:r>
        <w:rPr>
          <w:rFonts w:hint="eastAsia" w:ascii="宋体" w:hAnsi="宋体" w:cs="宋体"/>
          <w:color w:val="auto"/>
          <w:sz w:val="24"/>
        </w:rPr>
        <w:t xml:space="preserve">            </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宋体" w:hAnsi="宋体" w:cs="宋体"/>
                <w:b/>
                <w:color w:val="auto"/>
                <w:szCs w:val="21"/>
              </w:rPr>
            </w:pPr>
            <w:r>
              <w:rPr>
                <w:rFonts w:hint="eastAsia" w:ascii="宋体" w:hAnsi="宋体" w:cs="宋体"/>
                <w:b/>
                <w:color w:val="auto"/>
                <w:szCs w:val="21"/>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ascii="宋体" w:hAnsi="宋体" w:cs="宋体"/>
                <w:b/>
                <w:color w:val="auto"/>
                <w:szCs w:val="21"/>
              </w:rPr>
            </w:pPr>
            <w:r>
              <w:rPr>
                <w:rFonts w:hint="eastAsia" w:ascii="宋体" w:hAnsi="宋体" w:cs="宋体"/>
                <w:b/>
                <w:color w:val="auto"/>
                <w:szCs w:val="21"/>
                <w:lang w:eastAsia="zh-CN"/>
              </w:rPr>
              <w:t>嘉善信息技术工程学校物联网智能交互设备采购</w:t>
            </w:r>
            <w:r>
              <w:rPr>
                <w:rFonts w:hint="eastAsia" w:ascii="宋体" w:hAnsi="宋体" w:cs="宋体"/>
                <w:b/>
                <w:color w:val="auto"/>
                <w:szCs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宋体" w:hAnsi="宋体" w:cs="宋体"/>
                <w:b/>
                <w:color w:val="auto"/>
                <w:szCs w:val="21"/>
              </w:rPr>
            </w:pPr>
            <w:r>
              <w:rPr>
                <w:rFonts w:hint="eastAsia" w:ascii="宋体" w:hAnsi="宋体" w:cs="宋体"/>
                <w:b/>
                <w:color w:val="auto"/>
                <w:szCs w:val="21"/>
              </w:rPr>
              <w:t xml:space="preserve">总报价（小写）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宋体" w:hAnsi="宋体" w:cs="宋体"/>
                <w:b/>
                <w:color w:val="auto"/>
                <w:szCs w:val="21"/>
              </w:rPr>
            </w:pPr>
            <w:r>
              <w:rPr>
                <w:rFonts w:hint="eastAsia" w:ascii="宋体" w:hAnsi="宋体" w:cs="宋体"/>
                <w:b/>
                <w:color w:val="auto"/>
                <w:szCs w:val="21"/>
              </w:rPr>
              <w:t>总报价（大写）</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ascii="宋体" w:hAnsi="宋体" w:cs="宋体"/>
                <w:color w:val="auto"/>
                <w:szCs w:val="21"/>
              </w:rPr>
            </w:pPr>
            <w:r>
              <w:rPr>
                <w:rFonts w:hint="eastAsia" w:ascii="宋体" w:hAnsi="宋体" w:cs="宋体"/>
                <w:color w:val="auto"/>
                <w:szCs w:val="21"/>
              </w:rPr>
              <w:t>人民币</w:t>
            </w:r>
          </w:p>
        </w:tc>
      </w:tr>
    </w:tbl>
    <w:p>
      <w:pPr>
        <w:snapToGrid w:val="0"/>
        <w:spacing w:line="480" w:lineRule="exact"/>
        <w:jc w:val="left"/>
        <w:rPr>
          <w:rFonts w:ascii="宋体" w:hAnsi="宋体" w:cs="宋体"/>
          <w:color w:val="auto"/>
          <w:szCs w:val="21"/>
        </w:rPr>
      </w:pPr>
      <w:r>
        <w:rPr>
          <w:rFonts w:hint="eastAsia" w:ascii="宋体" w:hAnsi="宋体" w:cs="宋体"/>
          <w:color w:val="auto"/>
          <w:szCs w:val="21"/>
        </w:rPr>
        <w:t>注: 1、报价一经涂改，应在涂改处加盖单位公章或者由法定代表人或被授权人签字或盖章，否则其投标作无效标处理。</w:t>
      </w:r>
    </w:p>
    <w:p>
      <w:pPr>
        <w:snapToGri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2、凡需用专用耗材的专用设备类采购项目，应按招标文件规定的耗材量或按耗材的常规试用量提供报价。</w:t>
      </w:r>
    </w:p>
    <w:p>
      <w:pPr>
        <w:snapToGri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3、以上报价应与“投标</w:t>
      </w:r>
      <w:r>
        <w:rPr>
          <w:rFonts w:hint="eastAsia" w:ascii="宋体" w:hAnsi="宋体" w:cs="宋体"/>
          <w:color w:val="auto"/>
        </w:rPr>
        <w:t>报价</w:t>
      </w:r>
      <w:r>
        <w:rPr>
          <w:rFonts w:hint="eastAsia" w:ascii="宋体" w:hAnsi="宋体" w:cs="宋体"/>
          <w:color w:val="auto"/>
          <w:szCs w:val="21"/>
        </w:rPr>
        <w:t>明细表”中的“投标总价”数相一致。</w:t>
      </w:r>
    </w:p>
    <w:p>
      <w:pPr>
        <w:snapToGrid w:val="0"/>
        <w:spacing w:line="480" w:lineRule="exact"/>
        <w:ind w:firstLine="420" w:firstLineChars="200"/>
        <w:jc w:val="left"/>
        <w:rPr>
          <w:rFonts w:ascii="宋体" w:hAnsi="宋体" w:cs="宋体"/>
          <w:color w:val="auto"/>
          <w:sz w:val="24"/>
          <w:szCs w:val="20"/>
        </w:rPr>
      </w:pPr>
      <w:r>
        <w:rPr>
          <w:rFonts w:hint="eastAsia" w:ascii="宋体" w:hAnsi="宋体" w:cs="宋体"/>
          <w:color w:val="auto"/>
          <w:szCs w:val="21"/>
        </w:rPr>
        <w:t>4、项目费用包括项目实施所需的人工费、服务费、运输费、安装调试费、领取及制作标书费、税费及其他一切费用。</w:t>
      </w:r>
    </w:p>
    <w:p>
      <w:pPr>
        <w:snapToGrid w:val="0"/>
        <w:spacing w:line="480" w:lineRule="exact"/>
        <w:ind w:left="-3" w:leftChars="-72" w:right="-817" w:rightChars="-389" w:hanging="148" w:hangingChars="62"/>
        <w:rPr>
          <w:rFonts w:ascii="宋体" w:hAnsi="宋体" w:cs="宋体"/>
          <w:color w:val="auto"/>
          <w:sz w:val="24"/>
        </w:rPr>
      </w:pPr>
    </w:p>
    <w:p>
      <w:pPr>
        <w:snapToGrid w:val="0"/>
        <w:spacing w:line="480" w:lineRule="exact"/>
        <w:ind w:left="-3" w:leftChars="-72" w:right="-817" w:rightChars="-389" w:hanging="148" w:hangingChars="62"/>
        <w:rPr>
          <w:rFonts w:ascii="宋体" w:hAnsi="宋体" w:cs="宋体"/>
          <w:color w:val="auto"/>
          <w:sz w:val="24"/>
        </w:rPr>
      </w:pPr>
      <w:r>
        <w:rPr>
          <w:rFonts w:hint="eastAsia" w:ascii="宋体" w:hAnsi="宋体" w:cs="宋体"/>
          <w:color w:val="auto"/>
          <w:sz w:val="24"/>
        </w:rPr>
        <w:t>法定代表人或授权委托人（签名）：            投标人（公章）：</w:t>
      </w:r>
    </w:p>
    <w:p>
      <w:pPr>
        <w:snapToGrid w:val="0"/>
        <w:spacing w:before="50" w:after="50"/>
        <w:ind w:left="-2" w:leftChars="-1" w:right="-817" w:rightChars="-389" w:firstLine="4800" w:firstLineChars="2000"/>
        <w:rPr>
          <w:rFonts w:ascii="宋体" w:hAnsi="宋体" w:cs="宋体"/>
          <w:color w:val="auto"/>
          <w:sz w:val="24"/>
        </w:rPr>
      </w:pPr>
    </w:p>
    <w:p>
      <w:pPr>
        <w:snapToGrid w:val="0"/>
        <w:spacing w:before="50" w:after="50"/>
        <w:ind w:left="-2" w:leftChars="-1" w:right="-817" w:rightChars="-389" w:firstLine="4800" w:firstLineChars="2000"/>
        <w:rPr>
          <w:rFonts w:ascii="宋体" w:hAnsi="宋体" w:cs="宋体"/>
          <w:color w:val="auto"/>
          <w:sz w:val="24"/>
          <w:szCs w:val="20"/>
        </w:rPr>
      </w:pPr>
      <w:r>
        <w:rPr>
          <w:rFonts w:hint="eastAsia" w:ascii="宋体" w:hAnsi="宋体" w:cs="宋体"/>
          <w:color w:val="auto"/>
          <w:sz w:val="24"/>
        </w:rPr>
        <w:t>日期：    年   月   日</w:t>
      </w:r>
    </w:p>
    <w:p>
      <w:pPr>
        <w:widowControl/>
        <w:spacing w:line="360" w:lineRule="auto"/>
        <w:ind w:left="212" w:hanging="572"/>
        <w:rPr>
          <w:rFonts w:ascii="宋体" w:hAnsi="宋体" w:cs="宋体"/>
          <w:b/>
          <w:color w:val="auto"/>
        </w:rPr>
        <w:sectPr>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p>
    <w:p>
      <w:pPr>
        <w:widowControl/>
        <w:spacing w:line="360" w:lineRule="auto"/>
        <w:ind w:left="212" w:hanging="572"/>
        <w:jc w:val="center"/>
        <w:rPr>
          <w:rFonts w:ascii="宋体" w:hAnsi="宋体"/>
          <w:b/>
          <w:color w:val="auto"/>
          <w:sz w:val="28"/>
          <w:szCs w:val="28"/>
        </w:rPr>
      </w:pPr>
      <w:r>
        <w:rPr>
          <w:rFonts w:hint="eastAsia" w:ascii="宋体" w:hAnsi="宋体"/>
          <w:b/>
          <w:color w:val="auto"/>
          <w:sz w:val="28"/>
          <w:szCs w:val="28"/>
        </w:rPr>
        <w:t>投标报价明细表</w:t>
      </w:r>
    </w:p>
    <w:p>
      <w:pPr>
        <w:pStyle w:val="962"/>
        <w:spacing w:line="360" w:lineRule="auto"/>
        <w:rPr>
          <w:rFonts w:hAnsi="宋体" w:eastAsia="宋体"/>
          <w:color w:val="auto"/>
          <w:sz w:val="24"/>
          <w:szCs w:val="24"/>
          <w:u w:val="single"/>
        </w:rPr>
      </w:pPr>
      <w:r>
        <w:rPr>
          <w:rFonts w:hint="eastAsia" w:hAnsi="宋体" w:eastAsia="宋体"/>
          <w:color w:val="auto"/>
          <w:sz w:val="24"/>
          <w:szCs w:val="24"/>
        </w:rPr>
        <w:t>项目编号：</w:t>
      </w:r>
      <w:r>
        <w:rPr>
          <w:rFonts w:hAnsi="宋体" w:eastAsia="宋体"/>
          <w:color w:val="auto"/>
          <w:sz w:val="24"/>
          <w:szCs w:val="24"/>
          <w:u w:val="single"/>
        </w:rPr>
        <w:t xml:space="preserve">      </w:t>
      </w:r>
      <w:r>
        <w:rPr>
          <w:rFonts w:hint="eastAsia" w:hAnsi="宋体" w:eastAsia="宋体"/>
          <w:color w:val="auto"/>
          <w:sz w:val="24"/>
          <w:szCs w:val="24"/>
          <w:u w:val="single"/>
        </w:rPr>
        <w:t xml:space="preserve">     </w:t>
      </w:r>
      <w:r>
        <w:rPr>
          <w:rFonts w:hAnsi="宋体" w:eastAsia="宋体"/>
          <w:color w:val="auto"/>
          <w:sz w:val="24"/>
          <w:szCs w:val="24"/>
          <w:u w:val="single"/>
        </w:rPr>
        <w:t xml:space="preserve"> </w:t>
      </w:r>
      <w:r>
        <w:rPr>
          <w:rFonts w:hAnsi="宋体" w:eastAsia="宋体"/>
          <w:color w:val="auto"/>
          <w:sz w:val="24"/>
          <w:szCs w:val="24"/>
        </w:rPr>
        <w:t xml:space="preserve">  </w:t>
      </w:r>
    </w:p>
    <w:p>
      <w:pPr>
        <w:pStyle w:val="962"/>
        <w:wordWrap w:val="0"/>
        <w:spacing w:line="360" w:lineRule="auto"/>
        <w:rPr>
          <w:rFonts w:hAnsi="宋体" w:eastAsia="宋体"/>
          <w:color w:val="auto"/>
          <w:sz w:val="24"/>
          <w:szCs w:val="24"/>
        </w:rPr>
      </w:pPr>
      <w:r>
        <w:rPr>
          <w:rFonts w:hint="eastAsia" w:hAnsi="宋体" w:eastAsia="宋体"/>
          <w:color w:val="auto"/>
          <w:sz w:val="24"/>
          <w:szCs w:val="24"/>
        </w:rPr>
        <w:t>投标人名称：</w:t>
      </w:r>
      <w:r>
        <w:rPr>
          <w:rFonts w:hAnsi="宋体" w:eastAsia="宋体"/>
          <w:color w:val="auto"/>
          <w:sz w:val="24"/>
          <w:szCs w:val="24"/>
          <w:u w:val="single"/>
        </w:rPr>
        <w:t xml:space="preserve">      </w:t>
      </w:r>
      <w:r>
        <w:rPr>
          <w:rFonts w:hint="eastAsia" w:hAnsi="宋体" w:eastAsia="宋体"/>
          <w:color w:val="auto"/>
          <w:sz w:val="24"/>
          <w:szCs w:val="24"/>
          <w:u w:val="single"/>
        </w:rPr>
        <w:t xml:space="preserve">     </w:t>
      </w:r>
      <w:r>
        <w:rPr>
          <w:rFonts w:hAnsi="宋体" w:eastAsia="宋体"/>
          <w:color w:val="auto"/>
          <w:sz w:val="24"/>
          <w:szCs w:val="24"/>
          <w:u w:val="single"/>
        </w:rPr>
        <w:t xml:space="preserve"> </w:t>
      </w:r>
      <w:r>
        <w:rPr>
          <w:rFonts w:hAnsi="宋体" w:eastAsia="宋体"/>
          <w:color w:val="auto"/>
          <w:sz w:val="24"/>
          <w:szCs w:val="24"/>
        </w:rPr>
        <w:t xml:space="preserve">                       </w:t>
      </w:r>
      <w:r>
        <w:rPr>
          <w:rFonts w:hint="eastAsia" w:hAnsi="宋体" w:eastAsia="宋体"/>
          <w:color w:val="auto"/>
          <w:sz w:val="24"/>
          <w:szCs w:val="24"/>
        </w:rPr>
        <w:t xml:space="preserve">    金额单位：人民币（元）</w:t>
      </w:r>
    </w:p>
    <w:p>
      <w:pPr>
        <w:snapToGrid w:val="0"/>
        <w:spacing w:before="50" w:after="50"/>
        <w:ind w:left="-2" w:leftChars="-1" w:right="-817" w:rightChars="-389" w:firstLine="4800" w:firstLineChars="2000"/>
        <w:rPr>
          <w:rFonts w:ascii="宋体" w:hAnsi="宋体" w:cs="宋体"/>
          <w:color w:val="auto"/>
          <w:sz w:val="24"/>
          <w:szCs w:val="20"/>
        </w:rPr>
      </w:pPr>
    </w:p>
    <w:tbl>
      <w:tblPr>
        <w:tblStyle w:val="63"/>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r>
              <w:rPr>
                <w:rFonts w:hint="eastAsia" w:ascii="宋体" w:hAnsi="宋体" w:cs="宋体"/>
                <w:bCs/>
                <w:color w:val="auto"/>
                <w:sz w:val="24"/>
              </w:rPr>
              <w:t>货物</w:t>
            </w:r>
          </w:p>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r>
              <w:rPr>
                <w:rFonts w:hint="eastAsia" w:ascii="宋体" w:hAnsi="宋体" w:cs="宋体"/>
                <w:bCs/>
                <w:color w:val="auto"/>
                <w:sz w:val="24"/>
              </w:rPr>
              <w:t>规格</w:t>
            </w:r>
          </w:p>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r>
              <w:rPr>
                <w:rFonts w:hint="eastAsia" w:ascii="宋体" w:hAnsi="宋体" w:cs="宋体"/>
                <w:bCs/>
                <w:color w:val="auto"/>
                <w:sz w:val="24"/>
              </w:rPr>
              <w:t>单价</w:t>
            </w:r>
          </w:p>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p>
        </w:tc>
        <w:tc>
          <w:tcPr>
            <w:tcW w:w="672" w:type="dxa"/>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p>
        </w:tc>
        <w:tc>
          <w:tcPr>
            <w:tcW w:w="852" w:type="dxa"/>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p>
        </w:tc>
        <w:tc>
          <w:tcPr>
            <w:tcW w:w="1029" w:type="dxa"/>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p>
        </w:tc>
        <w:tc>
          <w:tcPr>
            <w:tcW w:w="957" w:type="dxa"/>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p>
        </w:tc>
        <w:tc>
          <w:tcPr>
            <w:tcW w:w="852" w:type="dxa"/>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p>
        </w:tc>
        <w:tc>
          <w:tcPr>
            <w:tcW w:w="891" w:type="dxa"/>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color w:val="auto"/>
                <w:sz w:val="24"/>
              </w:rPr>
            </w:pPr>
          </w:p>
        </w:tc>
        <w:tc>
          <w:tcPr>
            <w:tcW w:w="1277" w:type="dxa"/>
            <w:tcBorders>
              <w:top w:val="single" w:color="auto" w:sz="4" w:space="0"/>
              <w:left w:val="single" w:color="auto" w:sz="4" w:space="0"/>
              <w:bottom w:val="nil"/>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是否中小微企业</w:t>
            </w:r>
          </w:p>
        </w:tc>
        <w:tc>
          <w:tcPr>
            <w:tcW w:w="1419" w:type="dxa"/>
            <w:tcBorders>
              <w:top w:val="single" w:color="auto" w:sz="4" w:space="0"/>
              <w:left w:val="single" w:color="auto" w:sz="4" w:space="0"/>
              <w:bottom w:val="nil"/>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color w:val="auto"/>
              </w:rPr>
            </w:pPr>
          </w:p>
          <w:p>
            <w:pPr>
              <w:pStyle w:val="24"/>
              <w:rPr>
                <w:color w:val="auto"/>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r>
              <w:rPr>
                <w:rFonts w:hint="eastAsia" w:ascii="宋体" w:hAnsi="宋体" w:cs="宋体"/>
                <w:bCs/>
                <w:color w:val="auto"/>
                <w:sz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jc w:val="center"/>
              <w:rPr>
                <w:rFonts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rPr>
                <w:rFonts w:ascii="宋体" w:hAnsi="宋体" w:cs="宋体"/>
                <w:bCs/>
                <w:color w:val="auto"/>
                <w:sz w:val="24"/>
              </w:rPr>
            </w:pPr>
            <w:r>
              <w:rPr>
                <w:rFonts w:hint="eastAsia" w:ascii="宋体" w:hAnsi="宋体" w:cs="宋体"/>
                <w:bCs/>
                <w:color w:val="auto"/>
                <w:sz w:val="24"/>
              </w:rPr>
              <w:t xml:space="preserve">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after="200" w:line="360" w:lineRule="auto"/>
              <w:rPr>
                <w:rFonts w:ascii="宋体" w:hAnsi="宋体" w:cs="宋体"/>
                <w:color w:val="auto"/>
                <w:sz w:val="24"/>
              </w:rPr>
            </w:pPr>
            <w:r>
              <w:rPr>
                <w:rFonts w:hint="eastAsia" w:ascii="宋体" w:hAnsi="宋体" w:cs="宋体"/>
                <w:color w:val="auto"/>
                <w:sz w:val="24"/>
              </w:rPr>
              <w:t>备注</w:t>
            </w:r>
          </w:p>
        </w:tc>
        <w:tc>
          <w:tcPr>
            <w:tcW w:w="8512"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1、此表应按项目的明细情况列项填报,在填写时，如上表不适合本项目的实际情况，可在确保投标明细内容完整的情况下，根据上表格式自行划表填写。</w:t>
            </w:r>
          </w:p>
          <w:p>
            <w:pPr>
              <w:spacing w:line="360" w:lineRule="auto"/>
              <w:rPr>
                <w:rFonts w:ascii="宋体" w:hAnsi="宋体" w:cs="宋体"/>
                <w:color w:val="auto"/>
                <w:kern w:val="0"/>
                <w:sz w:val="24"/>
              </w:rPr>
            </w:pPr>
            <w:r>
              <w:rPr>
                <w:rFonts w:hint="eastAsia" w:ascii="宋体" w:hAnsi="宋体" w:cs="宋体"/>
                <w:color w:val="auto"/>
                <w:sz w:val="24"/>
              </w:rPr>
              <w:t>2、报价要求：项目费用包括项目实施所需的工程费、工时费、服务费、运输费、安装调试费、税费及其他一切费用。</w:t>
            </w:r>
          </w:p>
          <w:p>
            <w:pPr>
              <w:spacing w:line="360" w:lineRule="auto"/>
              <w:rPr>
                <w:rFonts w:ascii="宋体" w:hAnsi="宋体" w:cs="宋体"/>
                <w:color w:val="auto"/>
                <w:sz w:val="24"/>
              </w:rPr>
            </w:pPr>
            <w:r>
              <w:rPr>
                <w:rFonts w:hint="eastAsia" w:ascii="宋体" w:hAnsi="宋体" w:cs="宋体"/>
                <w:color w:val="auto"/>
                <w:sz w:val="24"/>
              </w:rPr>
              <w:t>3、报价中不允许出现报价优惠等字样,投标总价合计金额应与明细报价汇总相等。</w:t>
            </w:r>
          </w:p>
        </w:tc>
      </w:tr>
    </w:tbl>
    <w:p>
      <w:pPr>
        <w:spacing w:line="400" w:lineRule="exact"/>
        <w:rPr>
          <w:rFonts w:ascii="仿宋" w:hAnsi="仿宋" w:eastAsia="仿宋"/>
          <w:color w:val="auto"/>
          <w:sz w:val="24"/>
        </w:rPr>
      </w:pPr>
    </w:p>
    <w:p>
      <w:pPr>
        <w:tabs>
          <w:tab w:val="left" w:pos="1418"/>
        </w:tabs>
        <w:spacing w:line="360" w:lineRule="auto"/>
        <w:rPr>
          <w:rFonts w:ascii="宋体" w:hAnsi="宋体"/>
          <w:bCs/>
          <w:color w:val="auto"/>
          <w:sz w:val="24"/>
        </w:rPr>
      </w:pPr>
      <w:r>
        <w:rPr>
          <w:rFonts w:ascii="宋体" w:hAnsi="宋体"/>
          <w:color w:val="auto"/>
          <w:sz w:val="24"/>
        </w:rPr>
        <w:t>法定代表人或委托代理人签名：</w:t>
      </w:r>
      <w:r>
        <w:rPr>
          <w:rFonts w:hint="eastAsia" w:ascii="宋体" w:hAnsi="宋体"/>
          <w:bCs/>
          <w:color w:val="auto"/>
          <w:sz w:val="24"/>
        </w:rPr>
        <w:t xml:space="preserve"> </w:t>
      </w:r>
    </w:p>
    <w:p>
      <w:pPr>
        <w:tabs>
          <w:tab w:val="left" w:pos="1418"/>
        </w:tabs>
        <w:spacing w:line="360" w:lineRule="auto"/>
        <w:rPr>
          <w:rFonts w:ascii="宋体" w:hAnsi="宋体"/>
          <w:bCs/>
          <w:color w:val="auto"/>
          <w:sz w:val="24"/>
        </w:rPr>
      </w:pPr>
      <w:r>
        <w:rPr>
          <w:rFonts w:hint="eastAsia" w:ascii="宋体" w:hAnsi="宋体"/>
          <w:bCs/>
          <w:color w:val="auto"/>
          <w:sz w:val="24"/>
        </w:rPr>
        <w:t>投 标 人（盖章）：                              年  月  日</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p>
    <w:p>
      <w:pPr>
        <w:widowControl/>
        <w:spacing w:line="360" w:lineRule="auto"/>
        <w:ind w:left="212" w:hanging="572"/>
        <w:jc w:val="center"/>
        <w:rPr>
          <w:rFonts w:hAnsi="宋体" w:cs="宋体"/>
          <w:color w:val="auto"/>
          <w:sz w:val="24"/>
        </w:rPr>
      </w:pPr>
    </w:p>
    <w:p>
      <w:pPr>
        <w:spacing w:line="360" w:lineRule="auto"/>
        <w:rPr>
          <w:rFonts w:ascii="仿宋" w:hAnsi="仿宋" w:eastAsia="仿宋"/>
          <w:bCs/>
          <w:color w:val="auto"/>
          <w:sz w:val="24"/>
        </w:rPr>
      </w:pPr>
    </w:p>
    <w:sectPr>
      <w:headerReference r:id="rId8" w:type="first"/>
      <w:footerReference r:id="rId11" w:type="first"/>
      <w:headerReference r:id="rId7" w:type="default"/>
      <w:footerReference r:id="rId9" w:type="default"/>
      <w:footerReference r:id="rId10"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0Q4c4AgAAc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vRDhzgCAABwBAAADgAAAAAAAAABACAAAAAfAQAAZHJzL2Uyb0RvYy54&#10;bWxQSwUGAAAAAAYABgBZAQAAy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Rz585AgAAcA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Rz585AgAAcAQAAA4AAAAAAAAAAQAgAAAAHwEAAGRycy9lMm9Eb2Mu&#10;eG1sUEsFBgAAAAAGAAYAWQEAAMo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pa9Q5AgAAcA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gpa9Q5AgAAcAQAAA4AAAAAAAAAAQAgAAAAHwEAAGRycy9lMm9Eb2Mu&#10;eG1sUEsFBgAAAAAGAAYAWQEAAMo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42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M58w5AgAAcA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kM58w5AgAAcAQAAA4AAAAAAAAAAQAgAAAAHwEAAGRycy9lMm9Eb2Mu&#10;eG1sUEsFBgAAAAAGAAYAWQEAAMo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42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ic+U5AgAAcA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Kpic+U5AgAAcAQAAA4AAAAAAAAAAQAgAAAAHwEAAGRycy9lMm9Eb2Mu&#10;eG1sUEsFBgAAAAAGAAYAWQEAAMo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03C3D9C8"/>
    <w:multiLevelType w:val="singleLevel"/>
    <w:tmpl w:val="03C3D9C8"/>
    <w:lvl w:ilvl="0" w:tentative="0">
      <w:start w:val="1"/>
      <w:numFmt w:val="chineseCounting"/>
      <w:suff w:val="nothing"/>
      <w:lvlText w:val="%1、"/>
      <w:lvlJc w:val="left"/>
      <w:rPr>
        <w:rFonts w:hint="eastAsia" w:ascii="宋体" w:hAnsi="宋体" w:eastAsia="宋体" w:cs="宋体"/>
        <w:b/>
        <w:bCs/>
        <w:sz w:val="24"/>
        <w:szCs w:val="24"/>
      </w:rPr>
    </w:lvl>
  </w:abstractNum>
  <w:abstractNum w:abstractNumId="3">
    <w:nsid w:val="545DE5ED"/>
    <w:multiLevelType w:val="singleLevel"/>
    <w:tmpl w:val="545DE5ED"/>
    <w:lvl w:ilvl="0" w:tentative="0">
      <w:start w:val="1"/>
      <w:numFmt w:val="decimal"/>
      <w:suff w:val="nothing"/>
      <w:lvlText w:val="%1、"/>
      <w:lvlJc w:val="left"/>
    </w:lvl>
  </w:abstractNum>
  <w:abstractNum w:abstractNumId="4">
    <w:nsid w:val="5D804704"/>
    <w:multiLevelType w:val="singleLevel"/>
    <w:tmpl w:val="5D804704"/>
    <w:lvl w:ilvl="0" w:tentative="0">
      <w:start w:val="1"/>
      <w:numFmt w:val="chineseCounting"/>
      <w:suff w:val="nothing"/>
      <w:lvlText w:val="%1、"/>
      <w:lvlJc w:val="left"/>
    </w:lvl>
  </w:abstractNum>
  <w:abstractNum w:abstractNumId="5">
    <w:nsid w:val="5D804826"/>
    <w:multiLevelType w:val="singleLevel"/>
    <w:tmpl w:val="5D804826"/>
    <w:lvl w:ilvl="0" w:tentative="0">
      <w:start w:val="1"/>
      <w:numFmt w:val="decimal"/>
      <w:suff w:val="nothing"/>
      <w:lvlText w:val="%1."/>
      <w:lvlJc w:val="left"/>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ZDk1YjJiNGFjNjFkZWJiNGM1ZmRlYTNmMjgzYzA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90D"/>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19"/>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B4D"/>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711"/>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D92"/>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D1D14"/>
    <w:rsid w:val="011F6449"/>
    <w:rsid w:val="01236AFB"/>
    <w:rsid w:val="0155173E"/>
    <w:rsid w:val="019F7441"/>
    <w:rsid w:val="01A319FB"/>
    <w:rsid w:val="01B37585"/>
    <w:rsid w:val="01D55165"/>
    <w:rsid w:val="01DF6BF8"/>
    <w:rsid w:val="01E020F4"/>
    <w:rsid w:val="01EC2C57"/>
    <w:rsid w:val="02335B61"/>
    <w:rsid w:val="026B2E25"/>
    <w:rsid w:val="02824D4D"/>
    <w:rsid w:val="02B6358C"/>
    <w:rsid w:val="02C46BBB"/>
    <w:rsid w:val="02DB517C"/>
    <w:rsid w:val="02DC4B10"/>
    <w:rsid w:val="02DD76CE"/>
    <w:rsid w:val="02E334E5"/>
    <w:rsid w:val="02F36323"/>
    <w:rsid w:val="02F5619C"/>
    <w:rsid w:val="0326446A"/>
    <w:rsid w:val="032D5555"/>
    <w:rsid w:val="036634D2"/>
    <w:rsid w:val="03B3000A"/>
    <w:rsid w:val="03CA7DC7"/>
    <w:rsid w:val="03DD35E4"/>
    <w:rsid w:val="03DF4853"/>
    <w:rsid w:val="03E903BE"/>
    <w:rsid w:val="04076900"/>
    <w:rsid w:val="041A5A3B"/>
    <w:rsid w:val="042311BA"/>
    <w:rsid w:val="042B157A"/>
    <w:rsid w:val="045650B3"/>
    <w:rsid w:val="048F763B"/>
    <w:rsid w:val="049F330E"/>
    <w:rsid w:val="04A62F28"/>
    <w:rsid w:val="04AA775C"/>
    <w:rsid w:val="04AB3433"/>
    <w:rsid w:val="04AF1889"/>
    <w:rsid w:val="04F66F48"/>
    <w:rsid w:val="05251E14"/>
    <w:rsid w:val="054B2EBB"/>
    <w:rsid w:val="05541A7D"/>
    <w:rsid w:val="055F25E4"/>
    <w:rsid w:val="05A16594"/>
    <w:rsid w:val="05A7762D"/>
    <w:rsid w:val="06011897"/>
    <w:rsid w:val="060E5941"/>
    <w:rsid w:val="06110FAF"/>
    <w:rsid w:val="061B4D44"/>
    <w:rsid w:val="06493CA7"/>
    <w:rsid w:val="064E099C"/>
    <w:rsid w:val="065A6178"/>
    <w:rsid w:val="06604FE4"/>
    <w:rsid w:val="066F1CF3"/>
    <w:rsid w:val="06833150"/>
    <w:rsid w:val="06930BB8"/>
    <w:rsid w:val="070A4C05"/>
    <w:rsid w:val="07245D42"/>
    <w:rsid w:val="07264C62"/>
    <w:rsid w:val="0779354C"/>
    <w:rsid w:val="079F6195"/>
    <w:rsid w:val="07D15156"/>
    <w:rsid w:val="08061376"/>
    <w:rsid w:val="080D354F"/>
    <w:rsid w:val="08452D77"/>
    <w:rsid w:val="085C073A"/>
    <w:rsid w:val="086401F8"/>
    <w:rsid w:val="086D51E8"/>
    <w:rsid w:val="08751CAA"/>
    <w:rsid w:val="087E4C40"/>
    <w:rsid w:val="08964B65"/>
    <w:rsid w:val="08B977A9"/>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D31944"/>
    <w:rsid w:val="0B30404E"/>
    <w:rsid w:val="0B314D2B"/>
    <w:rsid w:val="0B3155FB"/>
    <w:rsid w:val="0B4C6C14"/>
    <w:rsid w:val="0B631A88"/>
    <w:rsid w:val="0B683D45"/>
    <w:rsid w:val="0B7F3F11"/>
    <w:rsid w:val="0B884417"/>
    <w:rsid w:val="0B973B9D"/>
    <w:rsid w:val="0BC84A1D"/>
    <w:rsid w:val="0BE54E32"/>
    <w:rsid w:val="0BF508D2"/>
    <w:rsid w:val="0BF6188C"/>
    <w:rsid w:val="0BF73C91"/>
    <w:rsid w:val="0C170175"/>
    <w:rsid w:val="0C571A41"/>
    <w:rsid w:val="0C5C1171"/>
    <w:rsid w:val="0C5E1CBC"/>
    <w:rsid w:val="0C615B50"/>
    <w:rsid w:val="0C8445DA"/>
    <w:rsid w:val="0C87121B"/>
    <w:rsid w:val="0C9B6BDE"/>
    <w:rsid w:val="0CC007F7"/>
    <w:rsid w:val="0CFE707A"/>
    <w:rsid w:val="0D063BDA"/>
    <w:rsid w:val="0D08375F"/>
    <w:rsid w:val="0D184CFB"/>
    <w:rsid w:val="0D1E7791"/>
    <w:rsid w:val="0D4A7419"/>
    <w:rsid w:val="0D5D43BD"/>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64DFC"/>
    <w:rsid w:val="0F4958DC"/>
    <w:rsid w:val="0F515DF7"/>
    <w:rsid w:val="0F596BA8"/>
    <w:rsid w:val="0F6248D2"/>
    <w:rsid w:val="0F693536"/>
    <w:rsid w:val="0F6C4446"/>
    <w:rsid w:val="0F7554C5"/>
    <w:rsid w:val="0F7B0511"/>
    <w:rsid w:val="0F7B76D9"/>
    <w:rsid w:val="0F816ACD"/>
    <w:rsid w:val="0F9832DB"/>
    <w:rsid w:val="0FBF3FD2"/>
    <w:rsid w:val="0FBF7FF3"/>
    <w:rsid w:val="0FDE0547"/>
    <w:rsid w:val="0FE22011"/>
    <w:rsid w:val="10043AE6"/>
    <w:rsid w:val="10203202"/>
    <w:rsid w:val="104D42F7"/>
    <w:rsid w:val="10646583"/>
    <w:rsid w:val="107D4B15"/>
    <w:rsid w:val="107D65A4"/>
    <w:rsid w:val="108A3C80"/>
    <w:rsid w:val="10AA73F0"/>
    <w:rsid w:val="10C26171"/>
    <w:rsid w:val="10F33360"/>
    <w:rsid w:val="10FC16EA"/>
    <w:rsid w:val="110F1D40"/>
    <w:rsid w:val="11266F33"/>
    <w:rsid w:val="11507B96"/>
    <w:rsid w:val="11525A28"/>
    <w:rsid w:val="115343AE"/>
    <w:rsid w:val="118963A1"/>
    <w:rsid w:val="11A52973"/>
    <w:rsid w:val="11C6522A"/>
    <w:rsid w:val="11E104CC"/>
    <w:rsid w:val="11E20309"/>
    <w:rsid w:val="12136D2D"/>
    <w:rsid w:val="12255233"/>
    <w:rsid w:val="124E30D3"/>
    <w:rsid w:val="12530213"/>
    <w:rsid w:val="127723A9"/>
    <w:rsid w:val="12862074"/>
    <w:rsid w:val="12883966"/>
    <w:rsid w:val="129E45B4"/>
    <w:rsid w:val="12D81596"/>
    <w:rsid w:val="12FF3D91"/>
    <w:rsid w:val="13072A44"/>
    <w:rsid w:val="13200EC7"/>
    <w:rsid w:val="135F4BE2"/>
    <w:rsid w:val="139B1A0A"/>
    <w:rsid w:val="139D25C7"/>
    <w:rsid w:val="13A91D9B"/>
    <w:rsid w:val="13BF3CE4"/>
    <w:rsid w:val="13E34051"/>
    <w:rsid w:val="141008D8"/>
    <w:rsid w:val="14125FE6"/>
    <w:rsid w:val="146D271E"/>
    <w:rsid w:val="149066C3"/>
    <w:rsid w:val="149411C1"/>
    <w:rsid w:val="14982588"/>
    <w:rsid w:val="149A5AD9"/>
    <w:rsid w:val="14A7619D"/>
    <w:rsid w:val="14EA71B5"/>
    <w:rsid w:val="150536C3"/>
    <w:rsid w:val="150C1963"/>
    <w:rsid w:val="151447A0"/>
    <w:rsid w:val="15485B77"/>
    <w:rsid w:val="154A6454"/>
    <w:rsid w:val="15762120"/>
    <w:rsid w:val="157F5F94"/>
    <w:rsid w:val="16165379"/>
    <w:rsid w:val="166A18FC"/>
    <w:rsid w:val="169F2681"/>
    <w:rsid w:val="16A8729C"/>
    <w:rsid w:val="16B33777"/>
    <w:rsid w:val="16BC70A7"/>
    <w:rsid w:val="16C6339E"/>
    <w:rsid w:val="172F2D79"/>
    <w:rsid w:val="17557BEF"/>
    <w:rsid w:val="175E19F6"/>
    <w:rsid w:val="17D349C1"/>
    <w:rsid w:val="180D7700"/>
    <w:rsid w:val="1830729E"/>
    <w:rsid w:val="18487F65"/>
    <w:rsid w:val="1870062C"/>
    <w:rsid w:val="187E7934"/>
    <w:rsid w:val="18817102"/>
    <w:rsid w:val="18830A15"/>
    <w:rsid w:val="18852B28"/>
    <w:rsid w:val="188B5321"/>
    <w:rsid w:val="18F6646D"/>
    <w:rsid w:val="19932372"/>
    <w:rsid w:val="199B1288"/>
    <w:rsid w:val="19A20DD5"/>
    <w:rsid w:val="19AE03F1"/>
    <w:rsid w:val="1A071A03"/>
    <w:rsid w:val="1A1F16AE"/>
    <w:rsid w:val="1A2C356C"/>
    <w:rsid w:val="1A3B5C77"/>
    <w:rsid w:val="1A4062D0"/>
    <w:rsid w:val="1A984BAD"/>
    <w:rsid w:val="1AAC1FB7"/>
    <w:rsid w:val="1AB8220E"/>
    <w:rsid w:val="1AE4166C"/>
    <w:rsid w:val="1AE43C17"/>
    <w:rsid w:val="1AF06CFB"/>
    <w:rsid w:val="1AF11B8D"/>
    <w:rsid w:val="1B11359C"/>
    <w:rsid w:val="1B2A271F"/>
    <w:rsid w:val="1B420360"/>
    <w:rsid w:val="1B48020D"/>
    <w:rsid w:val="1B530544"/>
    <w:rsid w:val="1B713184"/>
    <w:rsid w:val="1BA209CF"/>
    <w:rsid w:val="1BB4777D"/>
    <w:rsid w:val="1BD75AB8"/>
    <w:rsid w:val="1C0459C2"/>
    <w:rsid w:val="1C1B3B4A"/>
    <w:rsid w:val="1C88086E"/>
    <w:rsid w:val="1D266CE1"/>
    <w:rsid w:val="1D3963AF"/>
    <w:rsid w:val="1D676C06"/>
    <w:rsid w:val="1D6A673C"/>
    <w:rsid w:val="1D9247AE"/>
    <w:rsid w:val="1DA84AD0"/>
    <w:rsid w:val="1DB567EC"/>
    <w:rsid w:val="1DC63A87"/>
    <w:rsid w:val="1DC97EE6"/>
    <w:rsid w:val="1DF51A98"/>
    <w:rsid w:val="1E2C3B3A"/>
    <w:rsid w:val="1E3D060F"/>
    <w:rsid w:val="1E3F7D2E"/>
    <w:rsid w:val="1E4134E4"/>
    <w:rsid w:val="1E5062B3"/>
    <w:rsid w:val="1E523514"/>
    <w:rsid w:val="1E714A66"/>
    <w:rsid w:val="1E7B4DB7"/>
    <w:rsid w:val="1E802593"/>
    <w:rsid w:val="1EA703CC"/>
    <w:rsid w:val="1EB7330C"/>
    <w:rsid w:val="1EF4766D"/>
    <w:rsid w:val="1F0A0FF3"/>
    <w:rsid w:val="1F115502"/>
    <w:rsid w:val="1F4E1A47"/>
    <w:rsid w:val="1F5771FF"/>
    <w:rsid w:val="1F737547"/>
    <w:rsid w:val="1F7B14DC"/>
    <w:rsid w:val="1F8B350E"/>
    <w:rsid w:val="1FE868A9"/>
    <w:rsid w:val="1FF61DEA"/>
    <w:rsid w:val="20034907"/>
    <w:rsid w:val="20173E4B"/>
    <w:rsid w:val="204E48BC"/>
    <w:rsid w:val="208921B3"/>
    <w:rsid w:val="20973DEB"/>
    <w:rsid w:val="20B26522"/>
    <w:rsid w:val="20B44310"/>
    <w:rsid w:val="211116EB"/>
    <w:rsid w:val="21115269"/>
    <w:rsid w:val="211B79BD"/>
    <w:rsid w:val="21476F87"/>
    <w:rsid w:val="216133FC"/>
    <w:rsid w:val="216E5E94"/>
    <w:rsid w:val="217B4FBB"/>
    <w:rsid w:val="21D56769"/>
    <w:rsid w:val="21E52EF3"/>
    <w:rsid w:val="21FB5D7B"/>
    <w:rsid w:val="220B1C3D"/>
    <w:rsid w:val="221D1D20"/>
    <w:rsid w:val="22334A87"/>
    <w:rsid w:val="22813073"/>
    <w:rsid w:val="22BE6801"/>
    <w:rsid w:val="22E61BBA"/>
    <w:rsid w:val="233500BF"/>
    <w:rsid w:val="23377FF7"/>
    <w:rsid w:val="236930C6"/>
    <w:rsid w:val="236B425F"/>
    <w:rsid w:val="23836192"/>
    <w:rsid w:val="23901F29"/>
    <w:rsid w:val="239C0061"/>
    <w:rsid w:val="23B908A4"/>
    <w:rsid w:val="23E95BEF"/>
    <w:rsid w:val="23FD0064"/>
    <w:rsid w:val="24171825"/>
    <w:rsid w:val="245375B0"/>
    <w:rsid w:val="24642C0A"/>
    <w:rsid w:val="24B22173"/>
    <w:rsid w:val="24B95AD9"/>
    <w:rsid w:val="24BE24DA"/>
    <w:rsid w:val="24CF5825"/>
    <w:rsid w:val="24D24C4C"/>
    <w:rsid w:val="24D663E6"/>
    <w:rsid w:val="24D77F2B"/>
    <w:rsid w:val="24DE5462"/>
    <w:rsid w:val="24F924BF"/>
    <w:rsid w:val="258B00E2"/>
    <w:rsid w:val="258D68E9"/>
    <w:rsid w:val="25A917A6"/>
    <w:rsid w:val="25BE27CC"/>
    <w:rsid w:val="25F74A5C"/>
    <w:rsid w:val="2628662C"/>
    <w:rsid w:val="262D45DE"/>
    <w:rsid w:val="2662090A"/>
    <w:rsid w:val="26A53EF9"/>
    <w:rsid w:val="26A94201"/>
    <w:rsid w:val="26AC274F"/>
    <w:rsid w:val="26F727C6"/>
    <w:rsid w:val="27044A29"/>
    <w:rsid w:val="271D34C8"/>
    <w:rsid w:val="27432FD3"/>
    <w:rsid w:val="276142BF"/>
    <w:rsid w:val="27783712"/>
    <w:rsid w:val="277B51EB"/>
    <w:rsid w:val="27907362"/>
    <w:rsid w:val="28333E1D"/>
    <w:rsid w:val="28454BD6"/>
    <w:rsid w:val="28455253"/>
    <w:rsid w:val="28551971"/>
    <w:rsid w:val="285B1C53"/>
    <w:rsid w:val="2895356C"/>
    <w:rsid w:val="289A38F7"/>
    <w:rsid w:val="289F7086"/>
    <w:rsid w:val="28C32028"/>
    <w:rsid w:val="28CC490F"/>
    <w:rsid w:val="28DE40AA"/>
    <w:rsid w:val="28FC3BD8"/>
    <w:rsid w:val="29345E77"/>
    <w:rsid w:val="294C65AD"/>
    <w:rsid w:val="2959783F"/>
    <w:rsid w:val="29806583"/>
    <w:rsid w:val="298B3C4C"/>
    <w:rsid w:val="29F26D24"/>
    <w:rsid w:val="2A15033F"/>
    <w:rsid w:val="2A1662C1"/>
    <w:rsid w:val="2A1C7367"/>
    <w:rsid w:val="2A2815FA"/>
    <w:rsid w:val="2A6D6092"/>
    <w:rsid w:val="2A7D76B4"/>
    <w:rsid w:val="2A8939E9"/>
    <w:rsid w:val="2A8F53BC"/>
    <w:rsid w:val="2AB34AA5"/>
    <w:rsid w:val="2B210395"/>
    <w:rsid w:val="2B437463"/>
    <w:rsid w:val="2B7807EE"/>
    <w:rsid w:val="2BBF00EC"/>
    <w:rsid w:val="2BC37CFD"/>
    <w:rsid w:val="2BD5237F"/>
    <w:rsid w:val="2BE536CE"/>
    <w:rsid w:val="2BE758D9"/>
    <w:rsid w:val="2C09049E"/>
    <w:rsid w:val="2C0A653C"/>
    <w:rsid w:val="2C191F85"/>
    <w:rsid w:val="2C874F6F"/>
    <w:rsid w:val="2CE82D6F"/>
    <w:rsid w:val="2D04629E"/>
    <w:rsid w:val="2D343236"/>
    <w:rsid w:val="2DD15014"/>
    <w:rsid w:val="2DF72DE4"/>
    <w:rsid w:val="2E0220AF"/>
    <w:rsid w:val="2E0E6DB8"/>
    <w:rsid w:val="2E4B082A"/>
    <w:rsid w:val="2E5D4E86"/>
    <w:rsid w:val="2E5D790B"/>
    <w:rsid w:val="2E946CCD"/>
    <w:rsid w:val="2E9A3C18"/>
    <w:rsid w:val="2EAF56C4"/>
    <w:rsid w:val="2EBB0FEE"/>
    <w:rsid w:val="2EBC6814"/>
    <w:rsid w:val="2EC02900"/>
    <w:rsid w:val="2EC63002"/>
    <w:rsid w:val="2EC75BE6"/>
    <w:rsid w:val="2F0A6B38"/>
    <w:rsid w:val="2F6F7335"/>
    <w:rsid w:val="2F93773A"/>
    <w:rsid w:val="2F946CCB"/>
    <w:rsid w:val="2F96634D"/>
    <w:rsid w:val="2FD25781"/>
    <w:rsid w:val="2FFD7934"/>
    <w:rsid w:val="30733ACD"/>
    <w:rsid w:val="308840B1"/>
    <w:rsid w:val="308C3862"/>
    <w:rsid w:val="309379D8"/>
    <w:rsid w:val="30A270F7"/>
    <w:rsid w:val="30DF1478"/>
    <w:rsid w:val="30EC586F"/>
    <w:rsid w:val="31334FE4"/>
    <w:rsid w:val="319C6071"/>
    <w:rsid w:val="31AC537E"/>
    <w:rsid w:val="31B249AB"/>
    <w:rsid w:val="31D23205"/>
    <w:rsid w:val="31E3679B"/>
    <w:rsid w:val="31E732FD"/>
    <w:rsid w:val="320B2CC9"/>
    <w:rsid w:val="32517576"/>
    <w:rsid w:val="327E352D"/>
    <w:rsid w:val="32BE5C2C"/>
    <w:rsid w:val="32DF4298"/>
    <w:rsid w:val="32FB6478"/>
    <w:rsid w:val="33263B3F"/>
    <w:rsid w:val="334D06A2"/>
    <w:rsid w:val="336963EB"/>
    <w:rsid w:val="33816EEB"/>
    <w:rsid w:val="338F52EF"/>
    <w:rsid w:val="33C85C5B"/>
    <w:rsid w:val="33EB55CD"/>
    <w:rsid w:val="33EC4C02"/>
    <w:rsid w:val="340D2360"/>
    <w:rsid w:val="3410665D"/>
    <w:rsid w:val="34211214"/>
    <w:rsid w:val="342E63AB"/>
    <w:rsid w:val="346A56F8"/>
    <w:rsid w:val="34950E68"/>
    <w:rsid w:val="34977F25"/>
    <w:rsid w:val="34986E94"/>
    <w:rsid w:val="349E5F81"/>
    <w:rsid w:val="34AF62C9"/>
    <w:rsid w:val="34CB4388"/>
    <w:rsid w:val="34FA6E12"/>
    <w:rsid w:val="35032F2E"/>
    <w:rsid w:val="35790290"/>
    <w:rsid w:val="35821D62"/>
    <w:rsid w:val="358D5588"/>
    <w:rsid w:val="363A3B40"/>
    <w:rsid w:val="365302AE"/>
    <w:rsid w:val="36607A0A"/>
    <w:rsid w:val="366E227C"/>
    <w:rsid w:val="366F2E0D"/>
    <w:rsid w:val="36735F09"/>
    <w:rsid w:val="367B6A5C"/>
    <w:rsid w:val="36A74ADA"/>
    <w:rsid w:val="36AC716F"/>
    <w:rsid w:val="36AD60D5"/>
    <w:rsid w:val="36B224F9"/>
    <w:rsid w:val="36C55E55"/>
    <w:rsid w:val="36EC0CC9"/>
    <w:rsid w:val="36FC69B5"/>
    <w:rsid w:val="371C30BD"/>
    <w:rsid w:val="373F410B"/>
    <w:rsid w:val="378D1886"/>
    <w:rsid w:val="37EE7094"/>
    <w:rsid w:val="38296C89"/>
    <w:rsid w:val="383002EB"/>
    <w:rsid w:val="38586797"/>
    <w:rsid w:val="38BC0149"/>
    <w:rsid w:val="38C66A93"/>
    <w:rsid w:val="38D87D1C"/>
    <w:rsid w:val="391334D5"/>
    <w:rsid w:val="392C07B0"/>
    <w:rsid w:val="39636459"/>
    <w:rsid w:val="396B7F6C"/>
    <w:rsid w:val="397430EA"/>
    <w:rsid w:val="39B417A9"/>
    <w:rsid w:val="39C46EC5"/>
    <w:rsid w:val="39F94929"/>
    <w:rsid w:val="39FC5695"/>
    <w:rsid w:val="3A006D8E"/>
    <w:rsid w:val="3A1C7D49"/>
    <w:rsid w:val="3A2879A0"/>
    <w:rsid w:val="3A3651E5"/>
    <w:rsid w:val="3A744481"/>
    <w:rsid w:val="3A8C7BEF"/>
    <w:rsid w:val="3A906246"/>
    <w:rsid w:val="3AD06B5A"/>
    <w:rsid w:val="3AE217F4"/>
    <w:rsid w:val="3B2349B7"/>
    <w:rsid w:val="3B33091F"/>
    <w:rsid w:val="3B3C7E67"/>
    <w:rsid w:val="3B616CFF"/>
    <w:rsid w:val="3B6259F6"/>
    <w:rsid w:val="3B6C398C"/>
    <w:rsid w:val="3B8E41E9"/>
    <w:rsid w:val="3B976654"/>
    <w:rsid w:val="3BC01EFC"/>
    <w:rsid w:val="3BCA786A"/>
    <w:rsid w:val="3BD31E2F"/>
    <w:rsid w:val="3BF15831"/>
    <w:rsid w:val="3C105946"/>
    <w:rsid w:val="3C471448"/>
    <w:rsid w:val="3C523328"/>
    <w:rsid w:val="3C5F759A"/>
    <w:rsid w:val="3C6C525A"/>
    <w:rsid w:val="3CC43FAC"/>
    <w:rsid w:val="3CCE23CB"/>
    <w:rsid w:val="3CD17D17"/>
    <w:rsid w:val="3CD41DF9"/>
    <w:rsid w:val="3D076286"/>
    <w:rsid w:val="3D3B2FEE"/>
    <w:rsid w:val="3D3C7F39"/>
    <w:rsid w:val="3D440F09"/>
    <w:rsid w:val="3D4504A0"/>
    <w:rsid w:val="3D8734BB"/>
    <w:rsid w:val="3D9A11D4"/>
    <w:rsid w:val="3DA16D89"/>
    <w:rsid w:val="3DA364BE"/>
    <w:rsid w:val="3DE041CB"/>
    <w:rsid w:val="3E0D48F6"/>
    <w:rsid w:val="3E1868B4"/>
    <w:rsid w:val="3E374CA5"/>
    <w:rsid w:val="3E377251"/>
    <w:rsid w:val="3E42664B"/>
    <w:rsid w:val="3E5661DC"/>
    <w:rsid w:val="3E5A7334"/>
    <w:rsid w:val="3E7B5D6B"/>
    <w:rsid w:val="3E843E66"/>
    <w:rsid w:val="3E8F51FE"/>
    <w:rsid w:val="3E926F87"/>
    <w:rsid w:val="3E9A59DE"/>
    <w:rsid w:val="3EAF4836"/>
    <w:rsid w:val="3EBC162D"/>
    <w:rsid w:val="3EC33DFA"/>
    <w:rsid w:val="3F060E16"/>
    <w:rsid w:val="3F1D1096"/>
    <w:rsid w:val="3F1F6663"/>
    <w:rsid w:val="3F2F0234"/>
    <w:rsid w:val="3F6363FE"/>
    <w:rsid w:val="3F756B8F"/>
    <w:rsid w:val="3F93647A"/>
    <w:rsid w:val="3F95482B"/>
    <w:rsid w:val="3FA57E6B"/>
    <w:rsid w:val="3FC050A0"/>
    <w:rsid w:val="4019356B"/>
    <w:rsid w:val="4046605F"/>
    <w:rsid w:val="40592157"/>
    <w:rsid w:val="406E1CAE"/>
    <w:rsid w:val="40817E61"/>
    <w:rsid w:val="40A0133A"/>
    <w:rsid w:val="40AE7008"/>
    <w:rsid w:val="40C31A53"/>
    <w:rsid w:val="40FF545D"/>
    <w:rsid w:val="410067C8"/>
    <w:rsid w:val="410B13F6"/>
    <w:rsid w:val="41193901"/>
    <w:rsid w:val="41193C2B"/>
    <w:rsid w:val="418F0D2A"/>
    <w:rsid w:val="41D01505"/>
    <w:rsid w:val="42474939"/>
    <w:rsid w:val="424C3C57"/>
    <w:rsid w:val="42613FF3"/>
    <w:rsid w:val="42660D96"/>
    <w:rsid w:val="428667D2"/>
    <w:rsid w:val="429A368A"/>
    <w:rsid w:val="42C24025"/>
    <w:rsid w:val="42CD1CE0"/>
    <w:rsid w:val="42E1381E"/>
    <w:rsid w:val="42EA7097"/>
    <w:rsid w:val="42EA75C3"/>
    <w:rsid w:val="42ED6459"/>
    <w:rsid w:val="42FE58DD"/>
    <w:rsid w:val="43174B3D"/>
    <w:rsid w:val="434B790E"/>
    <w:rsid w:val="4360274F"/>
    <w:rsid w:val="43977AB6"/>
    <w:rsid w:val="43A3342B"/>
    <w:rsid w:val="43C77C27"/>
    <w:rsid w:val="43DD77C9"/>
    <w:rsid w:val="43DE09EE"/>
    <w:rsid w:val="44002FAD"/>
    <w:rsid w:val="44007573"/>
    <w:rsid w:val="44186EC3"/>
    <w:rsid w:val="442F10A5"/>
    <w:rsid w:val="445A1972"/>
    <w:rsid w:val="449101DD"/>
    <w:rsid w:val="449B0822"/>
    <w:rsid w:val="44DE1391"/>
    <w:rsid w:val="451B225C"/>
    <w:rsid w:val="452410C9"/>
    <w:rsid w:val="45247B78"/>
    <w:rsid w:val="45317DFB"/>
    <w:rsid w:val="456D3CE4"/>
    <w:rsid w:val="4579042C"/>
    <w:rsid w:val="457F0571"/>
    <w:rsid w:val="45851176"/>
    <w:rsid w:val="45C63B94"/>
    <w:rsid w:val="45E26E1E"/>
    <w:rsid w:val="460E7DA5"/>
    <w:rsid w:val="46302CD3"/>
    <w:rsid w:val="46422483"/>
    <w:rsid w:val="4659254A"/>
    <w:rsid w:val="465B0637"/>
    <w:rsid w:val="465E3F0D"/>
    <w:rsid w:val="466A16E6"/>
    <w:rsid w:val="46893F2B"/>
    <w:rsid w:val="46B8564B"/>
    <w:rsid w:val="46C4686E"/>
    <w:rsid w:val="46D744B8"/>
    <w:rsid w:val="47065779"/>
    <w:rsid w:val="477B778F"/>
    <w:rsid w:val="478203EC"/>
    <w:rsid w:val="47B025FA"/>
    <w:rsid w:val="47C439C4"/>
    <w:rsid w:val="47C61378"/>
    <w:rsid w:val="47FE483C"/>
    <w:rsid w:val="4809698F"/>
    <w:rsid w:val="4811697D"/>
    <w:rsid w:val="487A3E25"/>
    <w:rsid w:val="488B5503"/>
    <w:rsid w:val="48937E21"/>
    <w:rsid w:val="489A0361"/>
    <w:rsid w:val="48B94FF3"/>
    <w:rsid w:val="48E37AAB"/>
    <w:rsid w:val="48FD4B4C"/>
    <w:rsid w:val="490A68E0"/>
    <w:rsid w:val="491055FE"/>
    <w:rsid w:val="495A44E3"/>
    <w:rsid w:val="495F5B3E"/>
    <w:rsid w:val="496F77D7"/>
    <w:rsid w:val="497654FD"/>
    <w:rsid w:val="497D73E8"/>
    <w:rsid w:val="49AD1F29"/>
    <w:rsid w:val="49B64211"/>
    <w:rsid w:val="49B73477"/>
    <w:rsid w:val="49C4186F"/>
    <w:rsid w:val="49F6167F"/>
    <w:rsid w:val="4A064FA0"/>
    <w:rsid w:val="4A16615C"/>
    <w:rsid w:val="4A4424D7"/>
    <w:rsid w:val="4A6465F1"/>
    <w:rsid w:val="4AB82D0F"/>
    <w:rsid w:val="4AEB7664"/>
    <w:rsid w:val="4AFD7C19"/>
    <w:rsid w:val="4B0567D1"/>
    <w:rsid w:val="4B236AAE"/>
    <w:rsid w:val="4B707271"/>
    <w:rsid w:val="4B926022"/>
    <w:rsid w:val="4B9739F7"/>
    <w:rsid w:val="4BEE2503"/>
    <w:rsid w:val="4C1B0BC7"/>
    <w:rsid w:val="4C245A30"/>
    <w:rsid w:val="4C8A70A4"/>
    <w:rsid w:val="4CB6685F"/>
    <w:rsid w:val="4CC367FE"/>
    <w:rsid w:val="4CE930BC"/>
    <w:rsid w:val="4D077F3C"/>
    <w:rsid w:val="4D123355"/>
    <w:rsid w:val="4D2A3B31"/>
    <w:rsid w:val="4D312C52"/>
    <w:rsid w:val="4D836D46"/>
    <w:rsid w:val="4D905305"/>
    <w:rsid w:val="4D964A72"/>
    <w:rsid w:val="4D9C1254"/>
    <w:rsid w:val="4DA54892"/>
    <w:rsid w:val="4DC36632"/>
    <w:rsid w:val="4E364051"/>
    <w:rsid w:val="4E793892"/>
    <w:rsid w:val="4E800872"/>
    <w:rsid w:val="4EC569ED"/>
    <w:rsid w:val="4ED50EA1"/>
    <w:rsid w:val="4EE766A0"/>
    <w:rsid w:val="4EEC050C"/>
    <w:rsid w:val="4F104EC3"/>
    <w:rsid w:val="4F1C533C"/>
    <w:rsid w:val="4F47354A"/>
    <w:rsid w:val="4F911C54"/>
    <w:rsid w:val="4F9F4791"/>
    <w:rsid w:val="4FE625E0"/>
    <w:rsid w:val="50081631"/>
    <w:rsid w:val="5021480F"/>
    <w:rsid w:val="50962ECB"/>
    <w:rsid w:val="50A42E38"/>
    <w:rsid w:val="50A4577F"/>
    <w:rsid w:val="50B73D1F"/>
    <w:rsid w:val="50BD5BC9"/>
    <w:rsid w:val="50C11EEE"/>
    <w:rsid w:val="50E97CFC"/>
    <w:rsid w:val="50FA4028"/>
    <w:rsid w:val="50FA59A0"/>
    <w:rsid w:val="510D65B7"/>
    <w:rsid w:val="511157AB"/>
    <w:rsid w:val="513314AB"/>
    <w:rsid w:val="513526AC"/>
    <w:rsid w:val="5142540C"/>
    <w:rsid w:val="517A1653"/>
    <w:rsid w:val="518832C8"/>
    <w:rsid w:val="51A0432A"/>
    <w:rsid w:val="51A86090"/>
    <w:rsid w:val="51AC0513"/>
    <w:rsid w:val="51B7396D"/>
    <w:rsid w:val="51C67F4C"/>
    <w:rsid w:val="520C4B71"/>
    <w:rsid w:val="522E4CC3"/>
    <w:rsid w:val="5244713B"/>
    <w:rsid w:val="52564FB8"/>
    <w:rsid w:val="52615633"/>
    <w:rsid w:val="528C0350"/>
    <w:rsid w:val="52977FD4"/>
    <w:rsid w:val="52A25790"/>
    <w:rsid w:val="52A96B6F"/>
    <w:rsid w:val="52B45975"/>
    <w:rsid w:val="52C80959"/>
    <w:rsid w:val="52D94AA4"/>
    <w:rsid w:val="52EA3A62"/>
    <w:rsid w:val="52F50BB8"/>
    <w:rsid w:val="53097272"/>
    <w:rsid w:val="530F15BF"/>
    <w:rsid w:val="531A393F"/>
    <w:rsid w:val="53544462"/>
    <w:rsid w:val="53946913"/>
    <w:rsid w:val="5397158E"/>
    <w:rsid w:val="53C463B8"/>
    <w:rsid w:val="53CE4770"/>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52347"/>
    <w:rsid w:val="55A8376B"/>
    <w:rsid w:val="55B51D81"/>
    <w:rsid w:val="55DC29B6"/>
    <w:rsid w:val="55DD4241"/>
    <w:rsid w:val="566B6D1E"/>
    <w:rsid w:val="56B55C84"/>
    <w:rsid w:val="56B600CC"/>
    <w:rsid w:val="56ED663A"/>
    <w:rsid w:val="57032A2C"/>
    <w:rsid w:val="570F5219"/>
    <w:rsid w:val="575D12B5"/>
    <w:rsid w:val="57610A87"/>
    <w:rsid w:val="57791C08"/>
    <w:rsid w:val="577B1140"/>
    <w:rsid w:val="577B7F21"/>
    <w:rsid w:val="577F181B"/>
    <w:rsid w:val="57921984"/>
    <w:rsid w:val="579737F0"/>
    <w:rsid w:val="57AB7B30"/>
    <w:rsid w:val="57AF5251"/>
    <w:rsid w:val="57B26373"/>
    <w:rsid w:val="57B63F04"/>
    <w:rsid w:val="57CD20C2"/>
    <w:rsid w:val="57D675AB"/>
    <w:rsid w:val="57D95FDD"/>
    <w:rsid w:val="57E37F1A"/>
    <w:rsid w:val="57FD3FEF"/>
    <w:rsid w:val="58733B38"/>
    <w:rsid w:val="58917D2F"/>
    <w:rsid w:val="5894085C"/>
    <w:rsid w:val="58AE4F0C"/>
    <w:rsid w:val="58B85899"/>
    <w:rsid w:val="58C730A5"/>
    <w:rsid w:val="58E363A9"/>
    <w:rsid w:val="58E6255C"/>
    <w:rsid w:val="5956737B"/>
    <w:rsid w:val="595E1678"/>
    <w:rsid w:val="596D5BD4"/>
    <w:rsid w:val="597E3DD8"/>
    <w:rsid w:val="59D634DF"/>
    <w:rsid w:val="59F80043"/>
    <w:rsid w:val="5A09252F"/>
    <w:rsid w:val="5A0B2778"/>
    <w:rsid w:val="5A2A7C7B"/>
    <w:rsid w:val="5A3E2560"/>
    <w:rsid w:val="5A5D3B6E"/>
    <w:rsid w:val="5A637A76"/>
    <w:rsid w:val="5A6D33BA"/>
    <w:rsid w:val="5A792B1F"/>
    <w:rsid w:val="5A874767"/>
    <w:rsid w:val="5A8C7BCC"/>
    <w:rsid w:val="5A8D7133"/>
    <w:rsid w:val="5AAD6F28"/>
    <w:rsid w:val="5AD63A24"/>
    <w:rsid w:val="5AD6628F"/>
    <w:rsid w:val="5AEA62E5"/>
    <w:rsid w:val="5B2E1A1D"/>
    <w:rsid w:val="5B6B0A58"/>
    <w:rsid w:val="5B843A1C"/>
    <w:rsid w:val="5B873E3F"/>
    <w:rsid w:val="5B897053"/>
    <w:rsid w:val="5BBD517E"/>
    <w:rsid w:val="5C02690E"/>
    <w:rsid w:val="5C1569DF"/>
    <w:rsid w:val="5C196DA7"/>
    <w:rsid w:val="5C1D0043"/>
    <w:rsid w:val="5C2A048C"/>
    <w:rsid w:val="5C80234E"/>
    <w:rsid w:val="5C8A680C"/>
    <w:rsid w:val="5D0C4701"/>
    <w:rsid w:val="5D0F0395"/>
    <w:rsid w:val="5D221076"/>
    <w:rsid w:val="5D397964"/>
    <w:rsid w:val="5D5A391C"/>
    <w:rsid w:val="5D5F10C0"/>
    <w:rsid w:val="5D891B7B"/>
    <w:rsid w:val="5D9D1469"/>
    <w:rsid w:val="5DAD38EE"/>
    <w:rsid w:val="5DD43DF9"/>
    <w:rsid w:val="5E006862"/>
    <w:rsid w:val="5E0207B9"/>
    <w:rsid w:val="5E172C0F"/>
    <w:rsid w:val="5E1810E0"/>
    <w:rsid w:val="5E1834A1"/>
    <w:rsid w:val="5E261785"/>
    <w:rsid w:val="5E4A7017"/>
    <w:rsid w:val="5E4F2952"/>
    <w:rsid w:val="5E552BBA"/>
    <w:rsid w:val="5E5E0105"/>
    <w:rsid w:val="5E611C10"/>
    <w:rsid w:val="5E6D21E6"/>
    <w:rsid w:val="5E8F0172"/>
    <w:rsid w:val="5E920903"/>
    <w:rsid w:val="5EFC7377"/>
    <w:rsid w:val="5F06174D"/>
    <w:rsid w:val="5F102C4E"/>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2514D4"/>
    <w:rsid w:val="6129060A"/>
    <w:rsid w:val="61421856"/>
    <w:rsid w:val="615227C4"/>
    <w:rsid w:val="61654E3F"/>
    <w:rsid w:val="6182292A"/>
    <w:rsid w:val="618D5C6B"/>
    <w:rsid w:val="619F7F92"/>
    <w:rsid w:val="61B60EF8"/>
    <w:rsid w:val="61B801E6"/>
    <w:rsid w:val="61DB17B3"/>
    <w:rsid w:val="61F94C26"/>
    <w:rsid w:val="61FE227F"/>
    <w:rsid w:val="62000E56"/>
    <w:rsid w:val="620A1913"/>
    <w:rsid w:val="624D10DB"/>
    <w:rsid w:val="624F3E49"/>
    <w:rsid w:val="62632286"/>
    <w:rsid w:val="62885958"/>
    <w:rsid w:val="62AB7107"/>
    <w:rsid w:val="62CB0FB1"/>
    <w:rsid w:val="62D7588B"/>
    <w:rsid w:val="62F40B65"/>
    <w:rsid w:val="62FC2CFE"/>
    <w:rsid w:val="63024505"/>
    <w:rsid w:val="63495597"/>
    <w:rsid w:val="635B1DB5"/>
    <w:rsid w:val="63711FED"/>
    <w:rsid w:val="63880DDC"/>
    <w:rsid w:val="638D750D"/>
    <w:rsid w:val="63AC6CC0"/>
    <w:rsid w:val="63CE1486"/>
    <w:rsid w:val="64055776"/>
    <w:rsid w:val="640C0875"/>
    <w:rsid w:val="64211BD8"/>
    <w:rsid w:val="64240056"/>
    <w:rsid w:val="643E143A"/>
    <w:rsid w:val="645E1B43"/>
    <w:rsid w:val="648939A6"/>
    <w:rsid w:val="648B6EEF"/>
    <w:rsid w:val="648C1B70"/>
    <w:rsid w:val="649966D5"/>
    <w:rsid w:val="64C158BF"/>
    <w:rsid w:val="64CE2EAA"/>
    <w:rsid w:val="653C3090"/>
    <w:rsid w:val="65405CCA"/>
    <w:rsid w:val="65854376"/>
    <w:rsid w:val="658767BE"/>
    <w:rsid w:val="65892531"/>
    <w:rsid w:val="65A368C9"/>
    <w:rsid w:val="65B40776"/>
    <w:rsid w:val="660E1E90"/>
    <w:rsid w:val="66195831"/>
    <w:rsid w:val="662B5A52"/>
    <w:rsid w:val="662E75B1"/>
    <w:rsid w:val="66342C2E"/>
    <w:rsid w:val="663E784C"/>
    <w:rsid w:val="66691FFD"/>
    <w:rsid w:val="668B6A45"/>
    <w:rsid w:val="668E571F"/>
    <w:rsid w:val="66A45BDC"/>
    <w:rsid w:val="672F3F24"/>
    <w:rsid w:val="673E055F"/>
    <w:rsid w:val="67551CE3"/>
    <w:rsid w:val="679D009F"/>
    <w:rsid w:val="67A22552"/>
    <w:rsid w:val="67B22DCC"/>
    <w:rsid w:val="67BE71AA"/>
    <w:rsid w:val="67D90273"/>
    <w:rsid w:val="67DE5875"/>
    <w:rsid w:val="67E55852"/>
    <w:rsid w:val="67EB1AB4"/>
    <w:rsid w:val="67FA1285"/>
    <w:rsid w:val="68551F4F"/>
    <w:rsid w:val="685847A6"/>
    <w:rsid w:val="687C10C9"/>
    <w:rsid w:val="68807546"/>
    <w:rsid w:val="68840C16"/>
    <w:rsid w:val="68876EFB"/>
    <w:rsid w:val="68884654"/>
    <w:rsid w:val="689F444F"/>
    <w:rsid w:val="68B96DBB"/>
    <w:rsid w:val="68CA2805"/>
    <w:rsid w:val="68E937A3"/>
    <w:rsid w:val="69196B57"/>
    <w:rsid w:val="692E06C5"/>
    <w:rsid w:val="693E15D3"/>
    <w:rsid w:val="694E7060"/>
    <w:rsid w:val="69627681"/>
    <w:rsid w:val="69701FBE"/>
    <w:rsid w:val="6977531D"/>
    <w:rsid w:val="698B59FD"/>
    <w:rsid w:val="69B221C9"/>
    <w:rsid w:val="69CC2BFF"/>
    <w:rsid w:val="69FD55B8"/>
    <w:rsid w:val="6A0B1C62"/>
    <w:rsid w:val="6A2406C8"/>
    <w:rsid w:val="6A5F4AE6"/>
    <w:rsid w:val="6ADE0BD1"/>
    <w:rsid w:val="6AE96859"/>
    <w:rsid w:val="6B147746"/>
    <w:rsid w:val="6B24787C"/>
    <w:rsid w:val="6B573233"/>
    <w:rsid w:val="6B5B6274"/>
    <w:rsid w:val="6B5C494D"/>
    <w:rsid w:val="6B6017D1"/>
    <w:rsid w:val="6B86676D"/>
    <w:rsid w:val="6B876D83"/>
    <w:rsid w:val="6B935D53"/>
    <w:rsid w:val="6C196F71"/>
    <w:rsid w:val="6C226FCB"/>
    <w:rsid w:val="6C31226F"/>
    <w:rsid w:val="6C552F0B"/>
    <w:rsid w:val="6C5940EC"/>
    <w:rsid w:val="6C8C67B7"/>
    <w:rsid w:val="6C9D744C"/>
    <w:rsid w:val="6CB611D0"/>
    <w:rsid w:val="6CC56A5C"/>
    <w:rsid w:val="6D102F76"/>
    <w:rsid w:val="6D167928"/>
    <w:rsid w:val="6D1D4BE9"/>
    <w:rsid w:val="6D26299B"/>
    <w:rsid w:val="6D4772EC"/>
    <w:rsid w:val="6D536D97"/>
    <w:rsid w:val="6D9078AF"/>
    <w:rsid w:val="6DAA3FEF"/>
    <w:rsid w:val="6DAB32A6"/>
    <w:rsid w:val="6DC0172B"/>
    <w:rsid w:val="6DCB690C"/>
    <w:rsid w:val="6DD41A5B"/>
    <w:rsid w:val="6DE42B43"/>
    <w:rsid w:val="6DF43C2E"/>
    <w:rsid w:val="6DF51CA3"/>
    <w:rsid w:val="6E0863D3"/>
    <w:rsid w:val="6E373EBE"/>
    <w:rsid w:val="6E3E5E1B"/>
    <w:rsid w:val="6E8335BD"/>
    <w:rsid w:val="6E8E12EF"/>
    <w:rsid w:val="6E972936"/>
    <w:rsid w:val="6ED446C5"/>
    <w:rsid w:val="6F2A7D94"/>
    <w:rsid w:val="6F35524C"/>
    <w:rsid w:val="6F5002D8"/>
    <w:rsid w:val="6F8331F1"/>
    <w:rsid w:val="6F8A0F8C"/>
    <w:rsid w:val="6FAE1A09"/>
    <w:rsid w:val="6FD44A65"/>
    <w:rsid w:val="6FD75BF8"/>
    <w:rsid w:val="6FFC4BE1"/>
    <w:rsid w:val="70553DF8"/>
    <w:rsid w:val="707723D0"/>
    <w:rsid w:val="70F5661B"/>
    <w:rsid w:val="710E183A"/>
    <w:rsid w:val="712274EB"/>
    <w:rsid w:val="71360107"/>
    <w:rsid w:val="713B688E"/>
    <w:rsid w:val="718A2711"/>
    <w:rsid w:val="71D43752"/>
    <w:rsid w:val="71F1796A"/>
    <w:rsid w:val="72154626"/>
    <w:rsid w:val="72262B5D"/>
    <w:rsid w:val="72283FF7"/>
    <w:rsid w:val="722E7212"/>
    <w:rsid w:val="723A0474"/>
    <w:rsid w:val="725923E4"/>
    <w:rsid w:val="72864BF7"/>
    <w:rsid w:val="729023FC"/>
    <w:rsid w:val="72964784"/>
    <w:rsid w:val="72A025D3"/>
    <w:rsid w:val="72B23526"/>
    <w:rsid w:val="72DC3417"/>
    <w:rsid w:val="72FF458D"/>
    <w:rsid w:val="73366BED"/>
    <w:rsid w:val="733C17FC"/>
    <w:rsid w:val="73C0646E"/>
    <w:rsid w:val="73E6120B"/>
    <w:rsid w:val="742222F5"/>
    <w:rsid w:val="743716CF"/>
    <w:rsid w:val="74476126"/>
    <w:rsid w:val="74706664"/>
    <w:rsid w:val="747F3682"/>
    <w:rsid w:val="749C4185"/>
    <w:rsid w:val="74B66E2F"/>
    <w:rsid w:val="75067759"/>
    <w:rsid w:val="7528708E"/>
    <w:rsid w:val="752E6DCD"/>
    <w:rsid w:val="7551380D"/>
    <w:rsid w:val="75600BE5"/>
    <w:rsid w:val="7564475C"/>
    <w:rsid w:val="75811530"/>
    <w:rsid w:val="7583797F"/>
    <w:rsid w:val="75D20F1D"/>
    <w:rsid w:val="75DA2C18"/>
    <w:rsid w:val="75F54412"/>
    <w:rsid w:val="761D08E0"/>
    <w:rsid w:val="765D347C"/>
    <w:rsid w:val="76826699"/>
    <w:rsid w:val="76B455F0"/>
    <w:rsid w:val="76C87133"/>
    <w:rsid w:val="76CD08D5"/>
    <w:rsid w:val="76DB4B92"/>
    <w:rsid w:val="77052AA4"/>
    <w:rsid w:val="77136511"/>
    <w:rsid w:val="77340A39"/>
    <w:rsid w:val="77351FD0"/>
    <w:rsid w:val="77472422"/>
    <w:rsid w:val="777F31F2"/>
    <w:rsid w:val="778A4783"/>
    <w:rsid w:val="77D1700D"/>
    <w:rsid w:val="77EC04CC"/>
    <w:rsid w:val="78775729"/>
    <w:rsid w:val="78A228C2"/>
    <w:rsid w:val="78A42DB0"/>
    <w:rsid w:val="78A656AB"/>
    <w:rsid w:val="78B2245C"/>
    <w:rsid w:val="78E172CC"/>
    <w:rsid w:val="78EA1D1F"/>
    <w:rsid w:val="78EC0B29"/>
    <w:rsid w:val="7904172F"/>
    <w:rsid w:val="790F7E27"/>
    <w:rsid w:val="792A231A"/>
    <w:rsid w:val="79316829"/>
    <w:rsid w:val="793A2BA3"/>
    <w:rsid w:val="794C4385"/>
    <w:rsid w:val="79616FB5"/>
    <w:rsid w:val="797E66A9"/>
    <w:rsid w:val="79A97383"/>
    <w:rsid w:val="79C5249A"/>
    <w:rsid w:val="79D35D8D"/>
    <w:rsid w:val="79E27E8B"/>
    <w:rsid w:val="79F850CE"/>
    <w:rsid w:val="79FD443C"/>
    <w:rsid w:val="7A1D1975"/>
    <w:rsid w:val="7A3E5150"/>
    <w:rsid w:val="7A4670D6"/>
    <w:rsid w:val="7A534B63"/>
    <w:rsid w:val="7A615382"/>
    <w:rsid w:val="7A67303B"/>
    <w:rsid w:val="7A796F16"/>
    <w:rsid w:val="7AAB1D04"/>
    <w:rsid w:val="7ABA4368"/>
    <w:rsid w:val="7AD05746"/>
    <w:rsid w:val="7B257FFD"/>
    <w:rsid w:val="7B343476"/>
    <w:rsid w:val="7B5A2978"/>
    <w:rsid w:val="7B5A7E4C"/>
    <w:rsid w:val="7B667AF9"/>
    <w:rsid w:val="7B7125DF"/>
    <w:rsid w:val="7B7468F8"/>
    <w:rsid w:val="7B95470E"/>
    <w:rsid w:val="7BEE0103"/>
    <w:rsid w:val="7C0A0FE4"/>
    <w:rsid w:val="7C254906"/>
    <w:rsid w:val="7C30396B"/>
    <w:rsid w:val="7C590818"/>
    <w:rsid w:val="7C7C10F6"/>
    <w:rsid w:val="7C853BEA"/>
    <w:rsid w:val="7C881368"/>
    <w:rsid w:val="7CE27788"/>
    <w:rsid w:val="7CEE00BC"/>
    <w:rsid w:val="7D0C32F1"/>
    <w:rsid w:val="7D0F408D"/>
    <w:rsid w:val="7D491C6C"/>
    <w:rsid w:val="7D4D437C"/>
    <w:rsid w:val="7D5429C0"/>
    <w:rsid w:val="7D6E6D43"/>
    <w:rsid w:val="7D943785"/>
    <w:rsid w:val="7DB57A34"/>
    <w:rsid w:val="7DE60973"/>
    <w:rsid w:val="7DEF0916"/>
    <w:rsid w:val="7E152B1F"/>
    <w:rsid w:val="7E1E5218"/>
    <w:rsid w:val="7E8D00FD"/>
    <w:rsid w:val="7E9A4E1F"/>
    <w:rsid w:val="7EA7723A"/>
    <w:rsid w:val="7EB22240"/>
    <w:rsid w:val="7ECC7E3D"/>
    <w:rsid w:val="7EF56FBB"/>
    <w:rsid w:val="7F0768EB"/>
    <w:rsid w:val="7F143BEC"/>
    <w:rsid w:val="7F225F6E"/>
    <w:rsid w:val="7F71503A"/>
    <w:rsid w:val="7F715AF2"/>
    <w:rsid w:val="7F886E69"/>
    <w:rsid w:val="7FBA74D5"/>
    <w:rsid w:val="7FBB9BE8"/>
    <w:rsid w:val="7FDC6599"/>
    <w:rsid w:val="BB7FA927"/>
    <w:rsid w:val="F5FFD31F"/>
    <w:rsid w:val="FEE638FA"/>
    <w:rsid w:val="FFBED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3"/>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3">
    <w:name w:val="标准正文"/>
    <w:basedOn w:val="1"/>
    <w:qFormat/>
    <w:uiPriority w:val="0"/>
    <w:pPr>
      <w:tabs>
        <w:tab w:val="left" w:pos="780"/>
      </w:tabs>
      <w:adjustRightInd/>
      <w:spacing w:line="360" w:lineRule="auto"/>
      <w:ind w:left="200" w:leftChars="200" w:firstLine="200" w:firstLine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0"/>
    <w:qFormat/>
    <w:uiPriority w:val="0"/>
    <w:pPr>
      <w:ind w:firstLine="420"/>
    </w:pPr>
    <w:rPr>
      <w:rFonts w:hAnsi="Calibri" w:cs="Times New Roman"/>
      <w:snapToGrid/>
      <w:szCs w:val="20"/>
    </w:rPr>
  </w:style>
  <w:style w:type="paragraph" w:styleId="26">
    <w:name w:val="Body Text Indent"/>
    <w:basedOn w:val="1"/>
    <w:next w:val="1"/>
    <w:link w:val="264"/>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5"/>
    <w:qFormat/>
    <w:uiPriority w:val="0"/>
    <w:rPr>
      <w:b/>
      <w:bCs/>
    </w:rPr>
  </w:style>
  <w:style w:type="paragraph" w:styleId="62">
    <w:name w:val="Body Text First Indent 2"/>
    <w:basedOn w:val="26"/>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8"/>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basedOn w:val="70"/>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basedOn w:val="70"/>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basedOn w:val="70"/>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0"/>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0"/>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2"/>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1"/>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2"/>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7"/>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basedOn w:val="70"/>
    <w:qFormat/>
    <w:uiPriority w:val="0"/>
    <w:rPr>
      <w:rFonts w:hint="eastAsia" w:ascii="仿宋" w:hAnsi="仿宋" w:eastAsia="仿宋" w:cs="仿宋"/>
      <w:color w:val="000000"/>
      <w:sz w:val="22"/>
      <w:szCs w:val="22"/>
      <w:u w:val="none"/>
    </w:rPr>
  </w:style>
  <w:style w:type="paragraph" w:customStyle="1" w:styleId="961">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2">
    <w:name w:val="纯文本3"/>
    <w:basedOn w:val="1"/>
    <w:qFormat/>
    <w:uiPriority w:val="0"/>
    <w:pPr>
      <w:textAlignment w:val="baseline"/>
    </w:pPr>
    <w:rPr>
      <w:rFonts w:ascii="宋体" w:hAnsi="Courier New" w:eastAsia="楷体_GB2312"/>
      <w:sz w:val="26"/>
      <w:szCs w:val="20"/>
    </w:rPr>
  </w:style>
  <w:style w:type="paragraph" w:customStyle="1" w:styleId="96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5">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66">
    <w:name w:val="font101"/>
    <w:basedOn w:val="70"/>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47</Pages>
  <Words>27948</Words>
  <Characters>31056</Characters>
  <Lines>451</Lines>
  <Paragraphs>127</Paragraphs>
  <TotalTime>21</TotalTime>
  <ScaleCrop>false</ScaleCrop>
  <LinksUpToDate>false</LinksUpToDate>
  <CharactersWithSpaces>33897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曜</cp:lastModifiedBy>
  <cp:lastPrinted>2021-12-28T03:06:00Z</cp:lastPrinted>
  <dcterms:modified xsi:type="dcterms:W3CDTF">2022-11-08T05:08:10Z</dcterms:modified>
  <dc:title>杭州市市民卡扩大发卡工程</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A9002ED1C74C44A2AFEAA7827BE9845F</vt:lpwstr>
  </property>
  <property fmtid="{D5CDD505-2E9C-101B-9397-08002B2CF9AE}" pid="5" name="commondata">
    <vt:lpwstr>eyJoZGlkIjoiNWYyZjc4ZmQ0ZjNiZDk2YzliMGYyNzg3ZmQwOGUzOWUifQ==</vt:lpwstr>
  </property>
</Properties>
</file>