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left"/>
        <w:rPr>
          <w:rFonts w:hint="eastAsia" w:ascii="宋体" w:hAnsi="宋体"/>
          <w:color w:val="auto"/>
          <w:sz w:val="44"/>
          <w:szCs w:val="20"/>
          <w:highlight w:val="none"/>
        </w:rPr>
      </w:pPr>
      <w:bookmarkStart w:id="143" w:name="_GoBack"/>
      <w:bookmarkEnd w:id="143"/>
      <w:bookmarkStart w:id="0" w:name="csmb"/>
      <w:bookmarkEnd w:id="0"/>
      <w:bookmarkStart w:id="1" w:name="jinjicd"/>
      <w:bookmarkEnd w:id="1"/>
    </w:p>
    <w:p>
      <w:pPr>
        <w:pStyle w:val="70"/>
        <w:spacing w:line="760" w:lineRule="exact"/>
        <w:rPr>
          <w:rFonts w:hint="eastAsia" w:ascii="宋体" w:eastAsia="宋体"/>
          <w:b/>
          <w:color w:val="auto"/>
          <w:sz w:val="52"/>
          <w:szCs w:val="52"/>
          <w:highlight w:val="none"/>
        </w:rPr>
      </w:pPr>
      <w:r>
        <w:rPr>
          <w:rFonts w:hint="eastAsia" w:ascii="宋体" w:eastAsia="宋体"/>
          <w:b/>
          <w:color w:val="auto"/>
          <w:sz w:val="52"/>
          <w:szCs w:val="52"/>
          <w:highlight w:val="none"/>
        </w:rPr>
        <w:t>嘉善县罗星街道城镇垃圾</w:t>
      </w:r>
    </w:p>
    <w:p>
      <w:pPr>
        <w:pStyle w:val="70"/>
        <w:spacing w:line="760" w:lineRule="exact"/>
        <w:rPr>
          <w:rFonts w:hint="eastAsia" w:ascii="宋体" w:eastAsia="宋体"/>
          <w:b/>
          <w:color w:val="auto"/>
          <w:sz w:val="52"/>
          <w:szCs w:val="52"/>
          <w:highlight w:val="none"/>
        </w:rPr>
      </w:pPr>
      <w:r>
        <w:rPr>
          <w:rFonts w:hint="eastAsia" w:ascii="宋体" w:eastAsia="宋体"/>
          <w:b/>
          <w:color w:val="auto"/>
          <w:sz w:val="52"/>
          <w:szCs w:val="52"/>
          <w:highlight w:val="none"/>
        </w:rPr>
        <w:t>分类服务项目</w:t>
      </w:r>
    </w:p>
    <w:p>
      <w:pPr>
        <w:spacing w:before="156" w:beforeLines="50"/>
        <w:rPr>
          <w:rFonts w:hint="eastAsia" w:ascii="宋体" w:hAnsi="宋体" w:cs="宋体"/>
          <w:color w:val="auto"/>
          <w:sz w:val="44"/>
          <w:szCs w:val="44"/>
          <w:highlight w:val="none"/>
        </w:rPr>
      </w:pPr>
    </w:p>
    <w:p>
      <w:pPr>
        <w:pStyle w:val="3"/>
        <w:rPr>
          <w:rFonts w:hint="eastAsia" w:ascii="宋体" w:hAnsi="宋体" w:eastAsia="宋体" w:cs="宋体"/>
          <w:color w:val="auto"/>
          <w:highlight w:val="none"/>
        </w:rPr>
      </w:pPr>
    </w:p>
    <w:p>
      <w:pPr>
        <w:spacing w:before="156" w:beforeLines="50"/>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招标文件</w:t>
      </w:r>
    </w:p>
    <w:p>
      <w:pPr>
        <w:pStyle w:val="10"/>
        <w:jc w:val="center"/>
        <w:rPr>
          <w:color w:val="auto"/>
          <w:sz w:val="32"/>
          <w:szCs w:val="32"/>
          <w:highlight w:val="none"/>
        </w:rPr>
      </w:pPr>
    </w:p>
    <w:p>
      <w:pPr>
        <w:pStyle w:val="10"/>
        <w:jc w:val="center"/>
        <w:rPr>
          <w:rFonts w:hint="eastAsia"/>
          <w:color w:val="auto"/>
          <w:sz w:val="48"/>
          <w:szCs w:val="48"/>
          <w:highlight w:val="none"/>
        </w:rPr>
      </w:pPr>
    </w:p>
    <w:p>
      <w:pPr>
        <w:snapToGrid w:val="0"/>
        <w:spacing w:before="156" w:beforeLines="50" w:line="360" w:lineRule="auto"/>
        <w:rPr>
          <w:rFonts w:hint="eastAsia" w:ascii="宋体" w:hAnsi="宋体" w:cs="宋体"/>
          <w:color w:val="auto"/>
          <w:sz w:val="30"/>
          <w:szCs w:val="72"/>
          <w:highlight w:val="none"/>
        </w:rPr>
      </w:pPr>
    </w:p>
    <w:p>
      <w:pPr>
        <w:snapToGrid w:val="0"/>
        <w:spacing w:before="156" w:beforeLines="50" w:line="360" w:lineRule="auto"/>
        <w:rPr>
          <w:rFonts w:hint="eastAsia" w:ascii="宋体" w:hAnsi="宋体" w:cs="宋体"/>
          <w:color w:val="auto"/>
          <w:sz w:val="30"/>
          <w:szCs w:val="72"/>
          <w:highlight w:val="none"/>
        </w:rPr>
      </w:pPr>
    </w:p>
    <w:p>
      <w:pPr>
        <w:snapToGrid w:val="0"/>
        <w:spacing w:before="156" w:beforeLines="50" w:line="360" w:lineRule="auto"/>
        <w:rPr>
          <w:rFonts w:hint="eastAsia" w:ascii="宋体" w:hAnsi="宋体" w:cs="宋体"/>
          <w:color w:val="auto"/>
          <w:sz w:val="30"/>
          <w:szCs w:val="72"/>
          <w:highlight w:val="none"/>
        </w:rPr>
      </w:pPr>
    </w:p>
    <w:p>
      <w:pPr>
        <w:pStyle w:val="14"/>
        <w:snapToGrid w:val="0"/>
        <w:spacing w:before="0" w:beforeLines="0" w:after="0" w:afterLines="0" w:line="560" w:lineRule="exact"/>
        <w:rPr>
          <w:rFonts w:hint="eastAsia" w:hAnsi="宋体" w:cs="宋体"/>
          <w:color w:val="auto"/>
          <w:sz w:val="30"/>
          <w:szCs w:val="48"/>
          <w:highlight w:val="none"/>
        </w:rPr>
      </w:pPr>
      <w:r>
        <w:rPr>
          <w:rFonts w:hint="eastAsia" w:hAnsi="宋体" w:cs="宋体"/>
          <w:color w:val="auto"/>
          <w:sz w:val="30"/>
          <w:szCs w:val="30"/>
          <w:highlight w:val="none"/>
        </w:rPr>
        <w:t>项目编号：</w:t>
      </w:r>
      <w:r>
        <w:rPr>
          <w:rFonts w:hint="eastAsia" w:hAnsi="宋体" w:cs="宋体"/>
          <w:color w:val="auto"/>
          <w:sz w:val="30"/>
          <w:szCs w:val="48"/>
          <w:highlight w:val="none"/>
        </w:rPr>
        <w:t>JSCG2020024(G)</w:t>
      </w:r>
    </w:p>
    <w:p>
      <w:pPr>
        <w:pStyle w:val="14"/>
        <w:snapToGrid w:val="0"/>
        <w:spacing w:before="0" w:beforeLines="0" w:after="0" w:afterLines="0" w:line="560" w:lineRule="exact"/>
        <w:rPr>
          <w:rFonts w:hint="eastAsia" w:hAnsi="宋体" w:cs="宋体"/>
          <w:color w:val="auto"/>
          <w:sz w:val="30"/>
          <w:szCs w:val="30"/>
          <w:highlight w:val="none"/>
        </w:rPr>
      </w:pPr>
      <w:r>
        <w:rPr>
          <w:rFonts w:hint="eastAsia" w:hAnsi="宋体" w:cs="宋体"/>
          <w:color w:val="auto"/>
          <w:sz w:val="30"/>
          <w:szCs w:val="30"/>
          <w:highlight w:val="none"/>
        </w:rPr>
        <w:t>项目名称：嘉善县罗星街道城镇垃圾分类服务项目</w:t>
      </w:r>
    </w:p>
    <w:p>
      <w:pPr>
        <w:widowControl/>
        <w:shd w:val="clear" w:color="auto" w:fill="FFFFFF"/>
        <w:spacing w:line="560" w:lineRule="exact"/>
        <w:jc w:val="left"/>
        <w:rPr>
          <w:rFonts w:hint="eastAsia" w:ascii="宋体" w:hAnsi="宋体" w:cs="宋体"/>
          <w:color w:val="auto"/>
          <w:sz w:val="30"/>
          <w:szCs w:val="30"/>
          <w:highlight w:val="none"/>
        </w:rPr>
      </w:pPr>
      <w:r>
        <w:rPr>
          <w:rFonts w:hint="eastAsia" w:ascii="宋体" w:hAnsi="宋体" w:cs="宋体"/>
          <w:color w:val="auto"/>
          <w:sz w:val="30"/>
          <w:szCs w:val="30"/>
          <w:highlight w:val="none"/>
        </w:rPr>
        <w:t>采购人：嘉善县人民政府罗星街道办事处</w:t>
      </w:r>
    </w:p>
    <w:p>
      <w:pPr>
        <w:pStyle w:val="14"/>
        <w:snapToGrid w:val="0"/>
        <w:spacing w:before="0" w:beforeLines="0" w:after="0" w:afterLines="0" w:line="560" w:lineRule="exact"/>
        <w:rPr>
          <w:rFonts w:hint="eastAsia" w:hAnsi="宋体" w:cs="宋体"/>
          <w:color w:val="auto"/>
          <w:sz w:val="30"/>
          <w:szCs w:val="48"/>
          <w:highlight w:val="none"/>
        </w:rPr>
      </w:pPr>
      <w:r>
        <w:rPr>
          <w:rFonts w:hint="eastAsia" w:hAnsi="宋体" w:cs="宋体"/>
          <w:color w:val="auto"/>
          <w:sz w:val="30"/>
          <w:szCs w:val="30"/>
          <w:highlight w:val="none"/>
        </w:rPr>
        <w:t>采购机构：</w:t>
      </w:r>
      <w:r>
        <w:rPr>
          <w:rFonts w:hint="eastAsia" w:hAnsi="宋体" w:cs="宋体"/>
          <w:color w:val="auto"/>
          <w:sz w:val="30"/>
          <w:szCs w:val="48"/>
          <w:highlight w:val="none"/>
        </w:rPr>
        <w:t>嘉善县公共资源交易中心</w:t>
      </w:r>
    </w:p>
    <w:p>
      <w:pPr>
        <w:pStyle w:val="14"/>
        <w:snapToGrid w:val="0"/>
        <w:spacing w:before="0" w:beforeLines="0" w:after="0" w:afterLines="0" w:line="560" w:lineRule="exact"/>
        <w:rPr>
          <w:rFonts w:hint="eastAsia" w:hAnsi="宋体" w:cs="宋体"/>
          <w:b/>
          <w:color w:val="auto"/>
          <w:sz w:val="30"/>
          <w:szCs w:val="48"/>
          <w:highlight w:val="none"/>
        </w:rPr>
      </w:pPr>
    </w:p>
    <w:p>
      <w:pPr>
        <w:pStyle w:val="14"/>
        <w:snapToGrid w:val="0"/>
        <w:spacing w:before="0" w:beforeLines="0" w:after="0" w:afterLines="0" w:line="560" w:lineRule="exact"/>
        <w:rPr>
          <w:rFonts w:hint="eastAsia" w:hAnsi="宋体" w:cs="宋体"/>
          <w:b/>
          <w:color w:val="auto"/>
          <w:sz w:val="30"/>
          <w:szCs w:val="48"/>
          <w:highlight w:val="none"/>
        </w:rPr>
      </w:pPr>
    </w:p>
    <w:p>
      <w:pPr>
        <w:pStyle w:val="14"/>
        <w:snapToGrid w:val="0"/>
        <w:spacing w:before="0" w:beforeLines="0" w:after="0" w:afterLines="0" w:line="560" w:lineRule="exact"/>
        <w:rPr>
          <w:rFonts w:hint="eastAsia" w:hAnsi="宋体" w:cs="宋体"/>
          <w:b/>
          <w:color w:val="auto"/>
          <w:sz w:val="30"/>
          <w:szCs w:val="48"/>
          <w:highlight w:val="none"/>
        </w:rPr>
      </w:pPr>
    </w:p>
    <w:p>
      <w:pPr>
        <w:snapToGrid w:val="0"/>
        <w:spacing w:before="156" w:beforeLines="50" w:line="360" w:lineRule="auto"/>
        <w:ind w:left="384" w:leftChars="183" w:firstLine="4579" w:firstLineChars="1607"/>
        <w:jc w:val="right"/>
        <w:rPr>
          <w:rFonts w:hint="eastAsia" w:ascii="宋体" w:hAnsi="宋体" w:cs="宋体"/>
          <w:color w:val="auto"/>
          <w:w w:val="95"/>
          <w:sz w:val="30"/>
          <w:szCs w:val="30"/>
          <w:highlight w:val="none"/>
        </w:rPr>
      </w:pPr>
      <w:r>
        <w:rPr>
          <w:rFonts w:hint="eastAsia" w:ascii="宋体" w:hAnsi="宋体" w:cs="宋体"/>
          <w:color w:val="auto"/>
          <w:w w:val="95"/>
          <w:sz w:val="30"/>
          <w:szCs w:val="30"/>
          <w:highlight w:val="none"/>
        </w:rPr>
        <w:t>2020年</w:t>
      </w:r>
      <w:r>
        <w:rPr>
          <w:rFonts w:hint="eastAsia" w:ascii="宋体" w:hAnsi="宋体" w:cs="宋体"/>
          <w:color w:val="auto"/>
          <w:sz w:val="30"/>
          <w:szCs w:val="48"/>
          <w:highlight w:val="none"/>
        </w:rPr>
        <w:t>6月24日</w:t>
      </w:r>
    </w:p>
    <w:p>
      <w:pPr>
        <w:snapToGrid w:val="0"/>
        <w:spacing w:before="156" w:beforeLines="50" w:line="360" w:lineRule="auto"/>
        <w:ind w:left="384" w:leftChars="183" w:firstLine="3374" w:firstLineChars="1607"/>
        <w:jc w:val="right"/>
        <w:rPr>
          <w:rFonts w:hint="eastAsia" w:ascii="宋体" w:hAnsi="宋体" w:cs="宋体"/>
          <w:color w:val="auto"/>
          <w:highlight w:val="none"/>
        </w:rPr>
      </w:pPr>
    </w:p>
    <w:p>
      <w:pPr>
        <w:pStyle w:val="14"/>
        <w:spacing w:before="120" w:beforeLines="0" w:after="120" w:afterLines="0" w:line="600" w:lineRule="exact"/>
        <w:jc w:val="center"/>
        <w:rPr>
          <w:rFonts w:hint="eastAsia" w:hAnsi="宋体" w:cs="宋体"/>
          <w:b/>
          <w:color w:val="auto"/>
          <w:sz w:val="44"/>
          <w:szCs w:val="44"/>
          <w:highlight w:val="none"/>
        </w:rPr>
      </w:pPr>
      <w:r>
        <w:rPr>
          <w:rFonts w:hint="eastAsia" w:hAnsi="宋体" w:cs="宋体"/>
          <w:b/>
          <w:color w:val="auto"/>
          <w:sz w:val="44"/>
          <w:szCs w:val="44"/>
          <w:highlight w:val="none"/>
        </w:rPr>
        <w:t>目    录</w:t>
      </w:r>
    </w:p>
    <w:p>
      <w:pPr>
        <w:pStyle w:val="14"/>
        <w:spacing w:before="120" w:beforeLines="0" w:after="120" w:afterLines="0" w:line="600" w:lineRule="exact"/>
        <w:jc w:val="center"/>
        <w:rPr>
          <w:rFonts w:hint="eastAsia" w:hAnsi="宋体" w:cs="宋体"/>
          <w:b/>
          <w:color w:val="auto"/>
          <w:sz w:val="44"/>
          <w:szCs w:val="44"/>
          <w:highlight w:val="none"/>
        </w:rPr>
      </w:pPr>
    </w:p>
    <w:p>
      <w:pPr>
        <w:pStyle w:val="20"/>
        <w:tabs>
          <w:tab w:val="right" w:leader="dot" w:pos="8834"/>
        </w:tabs>
        <w:spacing w:line="480" w:lineRule="auto"/>
        <w:rPr>
          <w:rFonts w:hint="eastAsia" w:ascii="宋体" w:hAnsi="宋体" w:cs="宋体"/>
          <w:b/>
          <w:color w:val="auto"/>
          <w:sz w:val="28"/>
          <w:szCs w:val="28"/>
          <w:highlight w:val="none"/>
          <w:lang/>
        </w:rPr>
      </w:pPr>
      <w:r>
        <w:rPr>
          <w:rFonts w:hint="eastAsia" w:ascii="宋体" w:hAnsi="宋体" w:cs="宋体"/>
          <w:b/>
          <w:color w:val="auto"/>
          <w:sz w:val="32"/>
          <w:szCs w:val="32"/>
          <w:highlight w:val="none"/>
        </w:rPr>
        <w:fldChar w:fldCharType="begin"/>
      </w:r>
      <w:r>
        <w:rPr>
          <w:rFonts w:hint="eastAsia" w:ascii="宋体" w:hAnsi="宋体" w:cs="宋体"/>
          <w:b/>
          <w:color w:val="auto"/>
          <w:sz w:val="32"/>
          <w:szCs w:val="32"/>
          <w:highlight w:val="none"/>
        </w:rPr>
        <w:instrText xml:space="preserve"> TOC \o "1-1" \h \z \u </w:instrText>
      </w:r>
      <w:r>
        <w:rPr>
          <w:rFonts w:hint="eastAsia" w:ascii="宋体" w:hAnsi="宋体" w:cs="宋体"/>
          <w:b/>
          <w:color w:val="auto"/>
          <w:sz w:val="32"/>
          <w:szCs w:val="32"/>
          <w:highlight w:val="none"/>
        </w:rPr>
        <w:fldChar w:fldCharType="separate"/>
      </w:r>
      <w:r>
        <w:rPr>
          <w:rFonts w:hint="eastAsia" w:ascii="宋体" w:hAnsi="宋体" w:cs="宋体"/>
          <w:b/>
          <w:color w:val="auto"/>
          <w:sz w:val="28"/>
          <w:szCs w:val="28"/>
          <w:highlight w:val="none"/>
          <w:lang/>
        </w:rPr>
        <w:fldChar w:fldCharType="begin"/>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instrText xml:space="preserve">HYPERLINK \l "_Toc406402981"</w:instrText>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fldChar w:fldCharType="separate"/>
      </w:r>
      <w:r>
        <w:rPr>
          <w:rStyle w:val="32"/>
          <w:rFonts w:hint="eastAsia" w:ascii="宋体" w:hAnsi="宋体" w:cs="宋体"/>
          <w:b/>
          <w:color w:val="auto"/>
          <w:sz w:val="28"/>
          <w:szCs w:val="28"/>
          <w:highlight w:val="none"/>
          <w:lang/>
        </w:rPr>
        <w:t>第一章  公开招标采购公告</w:t>
      </w:r>
      <w:r>
        <w:rPr>
          <w:rFonts w:hint="eastAsia" w:ascii="宋体" w:hAnsi="宋体" w:cs="宋体"/>
          <w:b/>
          <w:color w:val="auto"/>
          <w:sz w:val="28"/>
          <w:szCs w:val="28"/>
          <w:highlight w:val="none"/>
          <w:lang/>
        </w:rPr>
        <w:tab/>
      </w:r>
      <w:r>
        <w:rPr>
          <w:rFonts w:hint="eastAsia" w:ascii="宋体" w:hAnsi="宋体" w:cs="宋体"/>
          <w:b/>
          <w:color w:val="auto"/>
          <w:sz w:val="28"/>
          <w:szCs w:val="28"/>
          <w:highlight w:val="none"/>
        </w:rPr>
        <w:t>3</w:t>
      </w:r>
      <w:r>
        <w:rPr>
          <w:rFonts w:hint="eastAsia" w:ascii="宋体" w:hAnsi="宋体" w:cs="宋体"/>
          <w:b/>
          <w:color w:val="auto"/>
          <w:sz w:val="28"/>
          <w:szCs w:val="28"/>
          <w:highlight w:val="none"/>
          <w:lang/>
        </w:rPr>
        <w:fldChar w:fldCharType="end"/>
      </w:r>
    </w:p>
    <w:p>
      <w:pPr>
        <w:pStyle w:val="20"/>
        <w:tabs>
          <w:tab w:val="right" w:leader="dot" w:pos="8834"/>
        </w:tabs>
        <w:spacing w:line="480" w:lineRule="auto"/>
        <w:rPr>
          <w:rFonts w:hint="eastAsia" w:ascii="宋体" w:hAnsi="宋体" w:cs="宋体"/>
          <w:b/>
          <w:color w:val="auto"/>
          <w:sz w:val="28"/>
          <w:szCs w:val="28"/>
          <w:highlight w:val="none"/>
          <w:lang/>
        </w:rPr>
      </w:pPr>
      <w:r>
        <w:rPr>
          <w:rFonts w:hint="eastAsia" w:ascii="宋体" w:hAnsi="宋体" w:cs="宋体"/>
          <w:b/>
          <w:color w:val="auto"/>
          <w:sz w:val="28"/>
          <w:szCs w:val="28"/>
          <w:highlight w:val="none"/>
          <w:lang/>
        </w:rPr>
        <w:fldChar w:fldCharType="begin"/>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instrText xml:space="preserve">HYPERLINK \l "_Toc406402982"</w:instrText>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fldChar w:fldCharType="separate"/>
      </w:r>
      <w:r>
        <w:rPr>
          <w:rStyle w:val="32"/>
          <w:rFonts w:hint="eastAsia" w:ascii="宋体" w:hAnsi="宋体" w:cs="宋体"/>
          <w:b/>
          <w:color w:val="auto"/>
          <w:sz w:val="28"/>
          <w:szCs w:val="28"/>
          <w:highlight w:val="none"/>
          <w:lang/>
        </w:rPr>
        <w:t>第二章  招标需求</w:t>
      </w:r>
      <w:r>
        <w:rPr>
          <w:rFonts w:hint="eastAsia" w:ascii="宋体" w:hAnsi="宋体" w:cs="宋体"/>
          <w:b/>
          <w:color w:val="auto"/>
          <w:sz w:val="28"/>
          <w:szCs w:val="28"/>
          <w:highlight w:val="none"/>
          <w:lang/>
        </w:rPr>
        <w:tab/>
      </w:r>
      <w:r>
        <w:rPr>
          <w:rFonts w:hint="eastAsia" w:ascii="宋体" w:hAnsi="宋体" w:cs="宋体"/>
          <w:b/>
          <w:color w:val="auto"/>
          <w:sz w:val="28"/>
          <w:szCs w:val="28"/>
          <w:highlight w:val="none"/>
        </w:rPr>
        <w:t>6</w:t>
      </w:r>
      <w:r>
        <w:rPr>
          <w:rFonts w:hint="eastAsia" w:ascii="宋体" w:hAnsi="宋体" w:cs="宋体"/>
          <w:b/>
          <w:color w:val="auto"/>
          <w:sz w:val="28"/>
          <w:szCs w:val="28"/>
          <w:highlight w:val="none"/>
          <w:lang/>
        </w:rPr>
        <w:fldChar w:fldCharType="end"/>
      </w:r>
    </w:p>
    <w:p>
      <w:pPr>
        <w:pStyle w:val="20"/>
        <w:tabs>
          <w:tab w:val="right" w:leader="dot" w:pos="8834"/>
        </w:tabs>
        <w:spacing w:line="48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lang/>
        </w:rPr>
        <w:fldChar w:fldCharType="begin"/>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instrText xml:space="preserve">HYPERLINK \l "_Toc406402986"</w:instrText>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fldChar w:fldCharType="separate"/>
      </w:r>
      <w:r>
        <w:rPr>
          <w:rStyle w:val="32"/>
          <w:rFonts w:hint="eastAsia" w:ascii="宋体" w:hAnsi="宋体" w:cs="宋体"/>
          <w:b/>
          <w:color w:val="auto"/>
          <w:sz w:val="28"/>
          <w:szCs w:val="28"/>
          <w:highlight w:val="none"/>
          <w:lang/>
        </w:rPr>
        <w:t>第三章  投标人须知</w:t>
      </w:r>
      <w:r>
        <w:rPr>
          <w:rFonts w:hint="eastAsia" w:ascii="宋体" w:hAnsi="宋体" w:cs="宋体"/>
          <w:b/>
          <w:color w:val="auto"/>
          <w:sz w:val="28"/>
          <w:szCs w:val="28"/>
          <w:highlight w:val="none"/>
          <w:lang/>
        </w:rPr>
        <w:tab/>
      </w:r>
      <w:r>
        <w:rPr>
          <w:rFonts w:hint="eastAsia" w:ascii="宋体" w:hAnsi="宋体" w:cs="宋体"/>
          <w:b/>
          <w:color w:val="auto"/>
          <w:sz w:val="28"/>
          <w:szCs w:val="28"/>
          <w:highlight w:val="none"/>
          <w:lang/>
        </w:rPr>
        <w:fldChar w:fldCharType="end"/>
      </w:r>
      <w:r>
        <w:rPr>
          <w:rFonts w:hint="eastAsia" w:ascii="宋体" w:hAnsi="宋体" w:cs="宋体"/>
          <w:b/>
          <w:color w:val="auto"/>
          <w:sz w:val="28"/>
          <w:szCs w:val="28"/>
          <w:highlight w:val="none"/>
        </w:rPr>
        <w:t>33</w:t>
      </w:r>
    </w:p>
    <w:p>
      <w:pPr>
        <w:pStyle w:val="20"/>
        <w:tabs>
          <w:tab w:val="right" w:leader="dot" w:pos="8834"/>
        </w:tabs>
        <w:spacing w:line="480" w:lineRule="auto"/>
        <w:rPr>
          <w:rFonts w:hint="eastAsia" w:ascii="宋体" w:hAnsi="宋体" w:cs="宋体"/>
          <w:b/>
          <w:color w:val="auto"/>
          <w:sz w:val="28"/>
          <w:szCs w:val="28"/>
          <w:highlight w:val="none"/>
          <w:lang/>
        </w:rPr>
      </w:pPr>
      <w:r>
        <w:rPr>
          <w:rFonts w:hint="eastAsia" w:ascii="宋体" w:hAnsi="宋体" w:cs="宋体"/>
          <w:b/>
          <w:color w:val="auto"/>
          <w:sz w:val="28"/>
          <w:szCs w:val="28"/>
          <w:highlight w:val="none"/>
          <w:lang/>
        </w:rPr>
        <w:fldChar w:fldCharType="begin"/>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instrText xml:space="preserve">HYPERLINK \l "_Toc406402996"</w:instrText>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fldChar w:fldCharType="separate"/>
      </w:r>
      <w:r>
        <w:rPr>
          <w:rStyle w:val="32"/>
          <w:rFonts w:hint="eastAsia" w:ascii="宋体" w:hAnsi="宋体" w:cs="宋体"/>
          <w:b/>
          <w:color w:val="auto"/>
          <w:sz w:val="28"/>
          <w:szCs w:val="28"/>
          <w:highlight w:val="none"/>
          <w:lang/>
        </w:rPr>
        <w:t>第四章  评标办法及评分标准</w:t>
      </w:r>
      <w:r>
        <w:rPr>
          <w:rFonts w:hint="eastAsia" w:ascii="宋体" w:hAnsi="宋体" w:cs="宋体"/>
          <w:b/>
          <w:color w:val="auto"/>
          <w:sz w:val="28"/>
          <w:szCs w:val="28"/>
          <w:highlight w:val="none"/>
          <w:lang/>
        </w:rPr>
        <w:tab/>
      </w:r>
      <w:r>
        <w:rPr>
          <w:rFonts w:hint="eastAsia" w:ascii="宋体" w:hAnsi="宋体" w:cs="宋体"/>
          <w:b/>
          <w:color w:val="auto"/>
          <w:sz w:val="28"/>
          <w:szCs w:val="28"/>
          <w:highlight w:val="none"/>
        </w:rPr>
        <w:t>4</w:t>
      </w:r>
      <w:r>
        <w:rPr>
          <w:rFonts w:hint="eastAsia" w:ascii="宋体" w:hAnsi="宋体" w:cs="宋体"/>
          <w:b/>
          <w:color w:val="auto"/>
          <w:sz w:val="28"/>
          <w:szCs w:val="28"/>
          <w:highlight w:val="none"/>
          <w:lang/>
        </w:rPr>
        <w:fldChar w:fldCharType="end"/>
      </w:r>
      <w:r>
        <w:rPr>
          <w:rFonts w:hint="eastAsia" w:ascii="宋体" w:hAnsi="宋体" w:cs="宋体"/>
          <w:b/>
          <w:color w:val="auto"/>
          <w:sz w:val="28"/>
          <w:szCs w:val="28"/>
          <w:highlight w:val="none"/>
        </w:rPr>
        <w:t>5</w:t>
      </w:r>
    </w:p>
    <w:p>
      <w:pPr>
        <w:pStyle w:val="20"/>
        <w:tabs>
          <w:tab w:val="right" w:leader="dot" w:pos="8834"/>
        </w:tabs>
        <w:spacing w:line="480" w:lineRule="auto"/>
        <w:rPr>
          <w:rFonts w:hint="eastAsia" w:ascii="宋体" w:hAnsi="宋体" w:cs="宋体"/>
          <w:b/>
          <w:color w:val="auto"/>
          <w:sz w:val="28"/>
          <w:szCs w:val="28"/>
          <w:highlight w:val="none"/>
          <w:lang/>
        </w:rPr>
      </w:pPr>
      <w:r>
        <w:rPr>
          <w:rFonts w:hint="eastAsia" w:ascii="宋体" w:hAnsi="宋体" w:cs="宋体"/>
          <w:b/>
          <w:color w:val="auto"/>
          <w:sz w:val="28"/>
          <w:szCs w:val="28"/>
          <w:highlight w:val="none"/>
          <w:lang/>
        </w:rPr>
        <w:fldChar w:fldCharType="begin"/>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instrText xml:space="preserve">HYPERLINK \l "_Toc406402998"</w:instrText>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fldChar w:fldCharType="separate"/>
      </w:r>
      <w:r>
        <w:rPr>
          <w:rStyle w:val="32"/>
          <w:rFonts w:hint="eastAsia" w:ascii="宋体" w:hAnsi="宋体" w:cs="宋体"/>
          <w:b/>
          <w:color w:val="auto"/>
          <w:sz w:val="28"/>
          <w:szCs w:val="28"/>
          <w:highlight w:val="none"/>
          <w:lang/>
        </w:rPr>
        <w:t>第五章  嘉善县政府采购合同（</w:t>
      </w:r>
      <w:bookmarkStart w:id="2" w:name="_Hlt497308216"/>
      <w:r>
        <w:rPr>
          <w:rStyle w:val="32"/>
          <w:rFonts w:hint="eastAsia" w:ascii="宋体" w:hAnsi="宋体" w:cs="宋体"/>
          <w:b/>
          <w:color w:val="auto"/>
          <w:sz w:val="28"/>
          <w:szCs w:val="28"/>
          <w:highlight w:val="none"/>
          <w:lang/>
        </w:rPr>
        <w:t>指</w:t>
      </w:r>
      <w:bookmarkEnd w:id="2"/>
      <w:bookmarkStart w:id="3" w:name="_Hlt497308220"/>
      <w:r>
        <w:rPr>
          <w:rStyle w:val="32"/>
          <w:rFonts w:hint="eastAsia" w:ascii="宋体" w:hAnsi="宋体" w:cs="宋体"/>
          <w:b/>
          <w:color w:val="auto"/>
          <w:sz w:val="28"/>
          <w:szCs w:val="28"/>
          <w:highlight w:val="none"/>
          <w:lang/>
        </w:rPr>
        <w:t>引</w:t>
      </w:r>
      <w:bookmarkEnd w:id="3"/>
      <w:r>
        <w:rPr>
          <w:rStyle w:val="32"/>
          <w:rFonts w:hint="eastAsia" w:ascii="宋体" w:hAnsi="宋体" w:cs="宋体"/>
          <w:b/>
          <w:color w:val="auto"/>
          <w:sz w:val="28"/>
          <w:szCs w:val="28"/>
          <w:highlight w:val="none"/>
          <w:lang/>
        </w:rPr>
        <w:t>）</w:t>
      </w:r>
      <w:bookmarkStart w:id="4" w:name="_Hlt497308213"/>
      <w:bookmarkStart w:id="5" w:name="_Hlt497308212"/>
      <w:r>
        <w:rPr>
          <w:rFonts w:hint="eastAsia" w:ascii="宋体" w:hAnsi="宋体" w:cs="宋体"/>
          <w:b/>
          <w:color w:val="auto"/>
          <w:sz w:val="28"/>
          <w:szCs w:val="28"/>
          <w:highlight w:val="none"/>
          <w:lang/>
        </w:rPr>
        <w:tab/>
      </w:r>
      <w:bookmarkEnd w:id="4"/>
      <w:bookmarkEnd w:id="5"/>
      <w:r>
        <w:rPr>
          <w:rFonts w:hint="eastAsia" w:ascii="宋体" w:hAnsi="宋体" w:cs="宋体"/>
          <w:b/>
          <w:color w:val="auto"/>
          <w:sz w:val="28"/>
          <w:szCs w:val="28"/>
          <w:highlight w:val="none"/>
        </w:rPr>
        <w:t>4</w:t>
      </w:r>
      <w:r>
        <w:rPr>
          <w:rFonts w:hint="eastAsia" w:ascii="宋体" w:hAnsi="宋体" w:cs="宋体"/>
          <w:b/>
          <w:color w:val="auto"/>
          <w:sz w:val="28"/>
          <w:szCs w:val="28"/>
          <w:highlight w:val="none"/>
          <w:lang/>
        </w:rPr>
        <w:fldChar w:fldCharType="end"/>
      </w:r>
      <w:r>
        <w:rPr>
          <w:rFonts w:hint="eastAsia" w:ascii="宋体" w:hAnsi="宋体" w:cs="宋体"/>
          <w:b/>
          <w:color w:val="auto"/>
          <w:sz w:val="28"/>
          <w:szCs w:val="28"/>
          <w:highlight w:val="none"/>
        </w:rPr>
        <w:t>9</w:t>
      </w:r>
    </w:p>
    <w:p>
      <w:pPr>
        <w:pStyle w:val="20"/>
        <w:tabs>
          <w:tab w:val="right" w:leader="dot" w:pos="8834"/>
        </w:tabs>
        <w:spacing w:line="480" w:lineRule="auto"/>
        <w:rPr>
          <w:rFonts w:hint="eastAsia" w:ascii="宋体" w:hAnsi="宋体" w:cs="宋体"/>
          <w:b/>
          <w:color w:val="auto"/>
          <w:sz w:val="32"/>
          <w:szCs w:val="32"/>
          <w:highlight w:val="none"/>
          <w:lang/>
        </w:rPr>
      </w:pPr>
      <w:r>
        <w:rPr>
          <w:rFonts w:hint="eastAsia" w:ascii="宋体" w:hAnsi="宋体" w:cs="宋体"/>
          <w:b/>
          <w:color w:val="auto"/>
          <w:sz w:val="28"/>
          <w:szCs w:val="28"/>
          <w:highlight w:val="none"/>
          <w:lang/>
        </w:rPr>
        <w:fldChar w:fldCharType="begin"/>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instrText xml:space="preserve">HYPERLINK \l "_Toc406403000"</w:instrText>
      </w:r>
      <w:r>
        <w:rPr>
          <w:rStyle w:val="32"/>
          <w:rFonts w:hint="eastAsia" w:ascii="宋体" w:hAnsi="宋体" w:cs="宋体"/>
          <w:b/>
          <w:color w:val="auto"/>
          <w:sz w:val="28"/>
          <w:szCs w:val="28"/>
          <w:highlight w:val="none"/>
          <w:lang/>
        </w:rPr>
        <w:instrText xml:space="preserve"> </w:instrText>
      </w:r>
      <w:r>
        <w:rPr>
          <w:rFonts w:hint="eastAsia" w:ascii="宋体" w:hAnsi="宋体" w:cs="宋体"/>
          <w:b/>
          <w:color w:val="auto"/>
          <w:sz w:val="28"/>
          <w:szCs w:val="28"/>
          <w:highlight w:val="none"/>
          <w:lang/>
        </w:rPr>
        <w:fldChar w:fldCharType="separate"/>
      </w:r>
      <w:r>
        <w:rPr>
          <w:rStyle w:val="32"/>
          <w:rFonts w:hint="eastAsia" w:ascii="宋体" w:hAnsi="宋体" w:cs="宋体"/>
          <w:b/>
          <w:color w:val="auto"/>
          <w:sz w:val="28"/>
          <w:szCs w:val="28"/>
          <w:highlight w:val="none"/>
          <w:lang/>
        </w:rPr>
        <w:t>第六章  投标文件格式</w:t>
      </w:r>
      <w:r>
        <w:rPr>
          <w:rFonts w:hint="eastAsia" w:ascii="宋体" w:hAnsi="宋体" w:cs="宋体"/>
          <w:b/>
          <w:color w:val="auto"/>
          <w:sz w:val="28"/>
          <w:szCs w:val="28"/>
          <w:highlight w:val="none"/>
          <w:lang/>
        </w:rPr>
        <w:tab/>
      </w:r>
      <w:r>
        <w:rPr>
          <w:rFonts w:hint="eastAsia" w:ascii="宋体" w:hAnsi="宋体" w:cs="宋体"/>
          <w:b/>
          <w:color w:val="auto"/>
          <w:sz w:val="28"/>
          <w:szCs w:val="28"/>
          <w:highlight w:val="none"/>
        </w:rPr>
        <w:t>5</w:t>
      </w:r>
      <w:r>
        <w:rPr>
          <w:rFonts w:hint="eastAsia" w:ascii="宋体" w:hAnsi="宋体" w:cs="宋体"/>
          <w:b/>
          <w:color w:val="auto"/>
          <w:sz w:val="28"/>
          <w:szCs w:val="28"/>
          <w:highlight w:val="none"/>
          <w:lang/>
        </w:rPr>
        <w:fldChar w:fldCharType="end"/>
      </w:r>
      <w:r>
        <w:rPr>
          <w:rFonts w:hint="eastAsia" w:ascii="宋体" w:hAnsi="宋体" w:cs="宋体"/>
          <w:b/>
          <w:color w:val="auto"/>
          <w:sz w:val="28"/>
          <w:szCs w:val="28"/>
          <w:highlight w:val="none"/>
        </w:rPr>
        <w:t>2</w:t>
      </w:r>
    </w:p>
    <w:p>
      <w:pPr>
        <w:pStyle w:val="20"/>
        <w:tabs>
          <w:tab w:val="right" w:leader="dot" w:pos="8834"/>
        </w:tabs>
        <w:spacing w:line="480" w:lineRule="auto"/>
        <w:rPr>
          <w:rFonts w:hint="eastAsia" w:ascii="宋体" w:hAnsi="宋体" w:cs="宋体"/>
          <w:b/>
          <w:color w:val="auto"/>
          <w:sz w:val="32"/>
          <w:szCs w:val="32"/>
          <w:highlight w:val="none"/>
          <w:lang/>
        </w:rPr>
      </w:pPr>
    </w:p>
    <w:p>
      <w:pPr>
        <w:pStyle w:val="2"/>
        <w:spacing w:before="0" w:after="0" w:line="480" w:lineRule="exact"/>
        <w:rPr>
          <w:rFonts w:hint="eastAsia" w:ascii="宋体" w:hAnsi="宋体" w:cs="宋体"/>
          <w:color w:val="auto"/>
          <w:sz w:val="44"/>
          <w:highlight w:val="none"/>
        </w:rPr>
      </w:pPr>
      <w:r>
        <w:rPr>
          <w:rFonts w:hint="eastAsia" w:ascii="宋体" w:hAnsi="宋体" w:cs="宋体"/>
          <w:color w:val="auto"/>
          <w:szCs w:val="32"/>
          <w:highlight w:val="none"/>
        </w:rPr>
        <w:fldChar w:fldCharType="end"/>
      </w:r>
      <w:r>
        <w:rPr>
          <w:rFonts w:hint="eastAsia" w:ascii="宋体" w:hAnsi="宋体" w:cs="宋体"/>
          <w:b w:val="0"/>
          <w:color w:val="auto"/>
          <w:szCs w:val="32"/>
          <w:highlight w:val="none"/>
        </w:rPr>
        <w:br w:type="page"/>
      </w:r>
      <w:bookmarkStart w:id="6" w:name="_Toc406402981"/>
      <w:r>
        <w:rPr>
          <w:rFonts w:hint="eastAsia" w:ascii="宋体" w:hAnsi="宋体" w:cs="宋体"/>
          <w:color w:val="auto"/>
          <w:highlight w:val="none"/>
        </w:rPr>
        <w:t>第一章  公开招标采购公告</w:t>
      </w:r>
      <w:bookmarkEnd w:id="6"/>
    </w:p>
    <w:p>
      <w:pPr>
        <w:pStyle w:val="60"/>
        <w:spacing w:after="0" w:afterLines="0" w:line="480" w:lineRule="exact"/>
        <w:ind w:firstLine="480"/>
        <w:rPr>
          <w:rFonts w:hint="eastAsia" w:ascii="宋体" w:hAnsi="宋体" w:cs="宋体"/>
          <w:color w:val="auto"/>
          <w:szCs w:val="24"/>
          <w:highlight w:val="none"/>
        </w:rPr>
      </w:pPr>
      <w:r>
        <w:rPr>
          <w:rFonts w:hint="eastAsia" w:ascii="宋体" w:hAnsi="宋体" w:cs="宋体"/>
          <w:color w:val="auto"/>
          <w:szCs w:val="21"/>
          <w:highlight w:val="none"/>
        </w:rPr>
        <w:t>根据</w:t>
      </w:r>
      <w:r>
        <w:rPr>
          <w:rFonts w:hint="eastAsia" w:ascii="宋体" w:hAnsi="宋体" w:cs="宋体"/>
          <w:color w:val="auto"/>
          <w:szCs w:val="21"/>
          <w:highlight w:val="none"/>
          <w:u w:val="single"/>
        </w:rPr>
        <w:t>《中华人民共和国政府采购法》、《中华人民共和国政府采购法实施条例》和《政府采购货物和服务招标投标管理办法》等规</w:t>
      </w:r>
      <w:r>
        <w:rPr>
          <w:rFonts w:hint="eastAsia" w:ascii="宋体" w:hAnsi="宋体" w:cs="宋体"/>
          <w:color w:val="auto"/>
          <w:szCs w:val="21"/>
          <w:highlight w:val="none"/>
        </w:rPr>
        <w:t>定，</w:t>
      </w:r>
      <w:r>
        <w:rPr>
          <w:rFonts w:hint="eastAsia" w:ascii="宋体" w:hAnsi="宋体" w:cs="宋体"/>
          <w:color w:val="auto"/>
          <w:szCs w:val="24"/>
          <w:highlight w:val="none"/>
        </w:rPr>
        <w:t>嘉善县公共资源交易中心受</w:t>
      </w:r>
      <w:r>
        <w:rPr>
          <w:rFonts w:hint="eastAsia" w:ascii="宋体" w:hAnsi="宋体" w:cs="宋体"/>
          <w:color w:val="auto"/>
          <w:highlight w:val="none"/>
        </w:rPr>
        <w:t>采购人委托，</w:t>
      </w:r>
      <w:r>
        <w:rPr>
          <w:rFonts w:hint="eastAsia" w:ascii="宋体" w:hAnsi="宋体" w:cs="宋体"/>
          <w:color w:val="auto"/>
          <w:szCs w:val="24"/>
          <w:highlight w:val="none"/>
        </w:rPr>
        <w:t>经嘉善县政府采购计划书临[2020]1998号确认书批准，</w:t>
      </w:r>
      <w:r>
        <w:rPr>
          <w:rFonts w:hint="eastAsia" w:ascii="宋体" w:hAnsi="宋体" w:cs="宋体"/>
          <w:color w:val="auto"/>
          <w:highlight w:val="none"/>
        </w:rPr>
        <w:t>就嘉善县罗星街道城镇垃圾分类服务项目开招标</w:t>
      </w:r>
      <w:r>
        <w:rPr>
          <w:rFonts w:hint="eastAsia" w:ascii="宋体" w:hAnsi="宋体" w:cs="宋体"/>
          <w:color w:val="auto"/>
          <w:szCs w:val="24"/>
          <w:highlight w:val="none"/>
        </w:rPr>
        <w:t>采购，欢迎国内合格供应商前来投标，现将有有关事项公告如下：</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w:t>
      </w:r>
      <w:r>
        <w:rPr>
          <w:rFonts w:hint="eastAsia" w:ascii="宋体" w:hAnsi="宋体" w:cs="宋体"/>
          <w:b/>
          <w:bCs/>
          <w:color w:val="auto"/>
          <w:sz w:val="24"/>
          <w:highlight w:val="none"/>
        </w:rPr>
        <w:t>项目编号：JSCG2020024(G)</w:t>
      </w:r>
    </w:p>
    <w:p>
      <w:pPr>
        <w:snapToGrid w:val="0"/>
        <w:spacing w:line="48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二、</w:t>
      </w:r>
      <w:r>
        <w:rPr>
          <w:rFonts w:hint="eastAsia" w:ascii="宋体" w:hAnsi="宋体" w:cs="宋体"/>
          <w:b/>
          <w:color w:val="auto"/>
          <w:sz w:val="24"/>
          <w:highlight w:val="none"/>
        </w:rPr>
        <w:t>采购组织类型：</w:t>
      </w:r>
      <w:r>
        <w:rPr>
          <w:rFonts w:hint="eastAsia" w:ascii="宋体" w:hAnsi="宋体" w:cs="宋体"/>
          <w:b/>
          <w:color w:val="auto"/>
          <w:sz w:val="24"/>
          <w:highlight w:val="none"/>
          <w:lang w:eastAsia="zh-CN"/>
        </w:rPr>
        <w:t>政府集中采购</w:t>
      </w:r>
    </w:p>
    <w:p>
      <w:pPr>
        <w:snapToGrid w:val="0"/>
        <w:spacing w:line="48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三、采购方式：公开招标</w:t>
      </w:r>
    </w:p>
    <w:p>
      <w:pPr>
        <w:pStyle w:val="70"/>
        <w:spacing w:line="480" w:lineRule="exact"/>
        <w:ind w:firstLine="482" w:firstLineChars="200"/>
        <w:jc w:val="both"/>
        <w:rPr>
          <w:rFonts w:hint="eastAsia" w:ascii="宋体" w:eastAsia="宋体"/>
          <w:bCs/>
          <w:color w:val="auto"/>
          <w:sz w:val="24"/>
          <w:szCs w:val="24"/>
          <w:highlight w:val="none"/>
        </w:rPr>
      </w:pPr>
      <w:r>
        <w:rPr>
          <w:rFonts w:hint="eastAsia" w:ascii="宋体" w:eastAsia="宋体"/>
          <w:b/>
          <w:color w:val="auto"/>
          <w:sz w:val="24"/>
          <w:highlight w:val="none"/>
        </w:rPr>
        <w:t xml:space="preserve">四、招标项目: </w:t>
      </w:r>
      <w:r>
        <w:rPr>
          <w:rFonts w:hint="eastAsia" w:ascii="宋体" w:eastAsia="宋体"/>
          <w:bCs/>
          <w:color w:val="auto"/>
          <w:sz w:val="24"/>
          <w:szCs w:val="24"/>
          <w:highlight w:val="none"/>
        </w:rPr>
        <w:t>嘉善县罗星街道城镇垃圾分类服务项目</w:t>
      </w:r>
    </w:p>
    <w:p>
      <w:pPr>
        <w:snapToGrid w:val="0"/>
        <w:spacing w:line="480" w:lineRule="exact"/>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五、招标采购内容：</w:t>
      </w:r>
    </w:p>
    <w:tbl>
      <w:tblPr>
        <w:tblStyle w:val="26"/>
        <w:tblW w:w="746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48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48"/>
              <w:ind w:firstLine="0" w:firstLineChars="0"/>
              <w:jc w:val="center"/>
              <w:rPr>
                <w:rFonts w:hint="eastAsia" w:ascii="宋体" w:hAnsi="宋体"/>
                <w:color w:val="auto"/>
                <w:highlight w:val="none"/>
              </w:rPr>
            </w:pPr>
            <w:r>
              <w:rPr>
                <w:rFonts w:hint="eastAsia" w:ascii="宋体" w:hAnsi="宋体"/>
                <w:color w:val="auto"/>
                <w:highlight w:val="none"/>
              </w:rPr>
              <w:t>标项</w:t>
            </w:r>
          </w:p>
        </w:tc>
        <w:tc>
          <w:tcPr>
            <w:tcW w:w="4800" w:type="dxa"/>
            <w:noWrap w:val="0"/>
            <w:vAlign w:val="center"/>
          </w:tcPr>
          <w:p>
            <w:pPr>
              <w:pStyle w:val="48"/>
              <w:ind w:firstLine="0" w:firstLineChars="0"/>
              <w:jc w:val="center"/>
              <w:rPr>
                <w:rFonts w:ascii="宋体" w:hAnsi="宋体"/>
                <w:color w:val="auto"/>
                <w:highlight w:val="none"/>
              </w:rPr>
            </w:pPr>
            <w:r>
              <w:rPr>
                <w:rFonts w:hint="eastAsia" w:ascii="宋体" w:hAnsi="宋体"/>
                <w:color w:val="auto"/>
                <w:highlight w:val="none"/>
              </w:rPr>
              <w:t>采购内容</w:t>
            </w:r>
          </w:p>
        </w:tc>
        <w:tc>
          <w:tcPr>
            <w:tcW w:w="1500" w:type="dxa"/>
            <w:noWrap w:val="0"/>
            <w:vAlign w:val="center"/>
          </w:tcPr>
          <w:p>
            <w:pPr>
              <w:pStyle w:val="48"/>
              <w:ind w:firstLine="0" w:firstLineChars="0"/>
              <w:jc w:val="center"/>
              <w:rPr>
                <w:rFonts w:ascii="宋体" w:hAnsi="宋体"/>
                <w:color w:val="auto"/>
                <w:highlight w:val="none"/>
              </w:rPr>
            </w:pPr>
            <w:r>
              <w:rPr>
                <w:rFonts w:hint="eastAsia" w:ascii="宋体" w:hAnsi="宋体"/>
                <w:color w:val="auto"/>
                <w:highlight w:val="none"/>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48"/>
              <w:ind w:firstLine="0" w:firstLineChars="0"/>
              <w:jc w:val="center"/>
              <w:rPr>
                <w:rFonts w:ascii="宋体" w:hAnsi="宋体"/>
                <w:color w:val="auto"/>
                <w:highlight w:val="none"/>
              </w:rPr>
            </w:pPr>
            <w:r>
              <w:rPr>
                <w:rFonts w:hint="eastAsia" w:ascii="宋体" w:hAnsi="宋体"/>
                <w:color w:val="auto"/>
                <w:highlight w:val="none"/>
              </w:rPr>
              <w:t>1</w:t>
            </w:r>
          </w:p>
        </w:tc>
        <w:tc>
          <w:tcPr>
            <w:tcW w:w="4800" w:type="dxa"/>
            <w:noWrap w:val="0"/>
            <w:vAlign w:val="center"/>
          </w:tcPr>
          <w:p>
            <w:pPr>
              <w:pStyle w:val="48"/>
              <w:ind w:firstLine="0" w:firstLineChars="0"/>
              <w:jc w:val="center"/>
              <w:rPr>
                <w:rFonts w:ascii="宋体" w:hAnsi="宋体"/>
                <w:color w:val="auto"/>
                <w:highlight w:val="none"/>
              </w:rPr>
            </w:pPr>
            <w:r>
              <w:rPr>
                <w:rFonts w:hint="eastAsia" w:ascii="宋体" w:hAnsi="宋体"/>
                <w:color w:val="auto"/>
                <w:highlight w:val="none"/>
              </w:rPr>
              <w:t>罗星街道城镇垃圾分类服务</w:t>
            </w:r>
          </w:p>
        </w:tc>
        <w:tc>
          <w:tcPr>
            <w:tcW w:w="1500" w:type="dxa"/>
            <w:noWrap w:val="0"/>
            <w:vAlign w:val="center"/>
          </w:tcPr>
          <w:p>
            <w:pPr>
              <w:pStyle w:val="48"/>
              <w:ind w:firstLine="0" w:firstLineChars="0"/>
              <w:jc w:val="center"/>
              <w:rPr>
                <w:rFonts w:hint="eastAsia" w:ascii="宋体" w:hAnsi="宋体"/>
                <w:color w:val="auto"/>
                <w:highlight w:val="none"/>
              </w:rPr>
            </w:pPr>
            <w:r>
              <w:rPr>
                <w:rFonts w:hint="eastAsia" w:ascii="宋体" w:hAnsi="宋体"/>
                <w:color w:val="auto"/>
                <w:highlight w:val="none"/>
              </w:rPr>
              <w:t>2650万元</w:t>
            </w:r>
          </w:p>
        </w:tc>
      </w:tr>
    </w:tbl>
    <w:p>
      <w:pPr>
        <w:spacing w:line="480" w:lineRule="exact"/>
        <w:ind w:firstLine="482" w:firstLineChars="200"/>
        <w:rPr>
          <w:rFonts w:hint="eastAsia" w:ascii="宋体" w:hAnsi="宋体" w:cs="宋体"/>
          <w:b/>
          <w:color w:val="auto"/>
          <w:kern w:val="0"/>
          <w:sz w:val="24"/>
          <w:highlight w:val="none"/>
        </w:rPr>
      </w:pPr>
      <w:r>
        <w:rPr>
          <w:rFonts w:hint="eastAsia" w:ascii="宋体" w:hAnsi="宋体" w:cs="宋体"/>
          <w:b/>
          <w:color w:val="auto"/>
          <w:kern w:val="0"/>
          <w:sz w:val="24"/>
          <w:highlight w:val="none"/>
        </w:rPr>
        <w:t>六、采购需求（概述）：</w:t>
      </w:r>
    </w:p>
    <w:p>
      <w:pPr>
        <w:snapToGrid w:val="0"/>
        <w:spacing w:line="48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 xml:space="preserve"> 详见采购需求。</w:t>
      </w:r>
    </w:p>
    <w:p>
      <w:pPr>
        <w:snapToGrid w:val="0"/>
        <w:spacing w:line="480" w:lineRule="exact"/>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七、合格投标人的资格要求</w:t>
      </w:r>
      <w:r>
        <w:rPr>
          <w:rFonts w:hint="eastAsia" w:ascii="宋体" w:hAnsi="宋体" w:cs="Arial"/>
          <w:b/>
          <w:bCs/>
          <w:color w:val="auto"/>
          <w:sz w:val="24"/>
          <w:highlight w:val="none"/>
        </w:rPr>
        <w:t>（详见第六章</w:t>
      </w:r>
      <w:r>
        <w:rPr>
          <w:rFonts w:hint="eastAsia" w:ascii="宋体" w:hAnsi="宋体"/>
          <w:b/>
          <w:color w:val="auto"/>
          <w:sz w:val="24"/>
          <w:highlight w:val="none"/>
        </w:rPr>
        <w:t>▲资格文件要求的证明材料</w:t>
      </w:r>
      <w:r>
        <w:rPr>
          <w:rFonts w:hint="eastAsia" w:ascii="宋体" w:hAnsi="宋体" w:cs="Arial"/>
          <w:b/>
          <w:bCs/>
          <w:color w:val="auto"/>
          <w:sz w:val="24"/>
          <w:highlight w:val="none"/>
        </w:rPr>
        <w:t>）</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（二）符合浙财采监【2013】24号《关于规范政府采购供应商资格设定及资格审查的通知》第六条规定,且未被</w:t>
      </w:r>
      <w:r>
        <w:rPr>
          <w:rFonts w:hint="eastAsia" w:ascii="宋体" w:hAnsi="宋体" w:cs="宋体"/>
          <w:b/>
          <w:bCs/>
          <w:color w:val="auto"/>
          <w:sz w:val="24"/>
          <w:highlight w:val="none"/>
        </w:rPr>
        <w:t>“信用中国”（www.creditchina.gov.cn）</w:t>
      </w:r>
      <w:r>
        <w:rPr>
          <w:rFonts w:hint="eastAsia" w:ascii="宋体" w:hAnsi="宋体" w:cs="宋体"/>
          <w:color w:val="auto"/>
          <w:sz w:val="24"/>
          <w:highlight w:val="none"/>
        </w:rPr>
        <w:t>、</w:t>
      </w:r>
      <w:r>
        <w:rPr>
          <w:rFonts w:hint="eastAsia" w:ascii="宋体" w:hAnsi="宋体" w:cs="宋体"/>
          <w:b/>
          <w:bCs/>
          <w:color w:val="auto"/>
          <w:sz w:val="24"/>
          <w:highlight w:val="none"/>
        </w:rPr>
        <w:t>中国政府采购网（www.ccgp.gov.cn/search/cr/）</w:t>
      </w:r>
      <w:r>
        <w:rPr>
          <w:rFonts w:hint="eastAsia" w:ascii="宋体" w:hAnsi="宋体" w:cs="宋体"/>
          <w:color w:val="auto"/>
          <w:sz w:val="24"/>
          <w:highlight w:val="none"/>
        </w:rPr>
        <w:t>列入失信被执行人、重大税收违法案件当事人名单、政府采购严重违法失信行为记录名单。</w:t>
      </w:r>
    </w:p>
    <w:p>
      <w:pPr>
        <w:pStyle w:val="3"/>
        <w:spacing w:before="0" w:after="0" w:line="480" w:lineRule="exact"/>
        <w:ind w:firstLine="482" w:firstLineChars="200"/>
        <w:rPr>
          <w:rFonts w:hint="eastAsia" w:ascii="宋体" w:hAnsi="宋体" w:eastAsia="宋体" w:cs="宋体"/>
          <w:color w:val="auto"/>
          <w:sz w:val="24"/>
          <w:szCs w:val="24"/>
          <w:highlight w:val="none"/>
        </w:rPr>
      </w:pPr>
      <w:bookmarkStart w:id="7" w:name="资格条件1"/>
      <w:r>
        <w:rPr>
          <w:rFonts w:hint="eastAsia" w:ascii="宋体" w:hAnsi="宋体" w:eastAsia="宋体" w:cs="宋体"/>
          <w:color w:val="auto"/>
          <w:sz w:val="24"/>
          <w:szCs w:val="24"/>
          <w:highlight w:val="none"/>
        </w:rPr>
        <w:t>投标人的特定条件：</w:t>
      </w:r>
    </w:p>
    <w:p>
      <w:pPr>
        <w:pStyle w:val="3"/>
        <w:spacing w:before="0" w:after="0" w:line="48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1.投标人营业执照经营范围，具有垃圾分类运维服务等内容;</w:t>
      </w:r>
    </w:p>
    <w:p>
      <w:pPr>
        <w:pStyle w:val="3"/>
        <w:spacing w:before="0" w:after="0" w:line="48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2.不允许联合体投标。</w:t>
      </w:r>
    </w:p>
    <w:bookmarkEnd w:id="7"/>
    <w:p>
      <w:pPr>
        <w:snapToGrid w:val="0"/>
        <w:spacing w:line="48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注：本采购项目，中标单位与采购人签订的政府采购合同适用于嘉兴市政府采购贷款政策，简称“政采贷”，具体内容可参阅政府采购贷款流程：</w:t>
      </w:r>
      <w:r>
        <w:rPr>
          <w:rFonts w:hint="eastAsia" w:ascii="宋体" w:hAnsi="宋体" w:cs="宋体"/>
          <w:b/>
          <w:color w:val="auto"/>
          <w:sz w:val="24"/>
          <w:highlight w:val="none"/>
        </w:rPr>
        <w:fldChar w:fldCharType="begin"/>
      </w:r>
      <w:r>
        <w:rPr>
          <w:rFonts w:hint="eastAsia" w:ascii="宋体" w:hAnsi="宋体" w:cs="宋体"/>
          <w:b/>
          <w:color w:val="auto"/>
          <w:sz w:val="24"/>
          <w:highlight w:val="none"/>
        </w:rPr>
        <w:instrText xml:space="preserve"> HYPERLINK "http://www.jxzbtb.gov.cn/jxcms/jxztb/category/zcd/zcd_zxqyrzwj/list.html" </w:instrText>
      </w:r>
      <w:r>
        <w:rPr>
          <w:rFonts w:hint="eastAsia" w:ascii="宋体" w:hAnsi="宋体" w:cs="宋体"/>
          <w:b/>
          <w:color w:val="auto"/>
          <w:sz w:val="24"/>
          <w:highlight w:val="none"/>
        </w:rPr>
        <w:fldChar w:fldCharType="separate"/>
      </w:r>
      <w:r>
        <w:rPr>
          <w:rStyle w:val="32"/>
          <w:rFonts w:hint="eastAsia" w:ascii="宋体" w:hAnsi="宋体" w:cs="宋体"/>
          <w:b/>
          <w:color w:val="auto"/>
          <w:sz w:val="24"/>
          <w:highlight w:val="none"/>
        </w:rPr>
        <w:t>http://www.jxzbtb.gov.cn/jxcms/jxztb/category/zcd/zcd_zxqyrzwj/list.html</w:t>
      </w:r>
      <w:r>
        <w:rPr>
          <w:rFonts w:hint="eastAsia" w:ascii="宋体" w:hAnsi="宋体" w:cs="宋体"/>
          <w:b/>
          <w:color w:val="auto"/>
          <w:sz w:val="24"/>
          <w:highlight w:val="none"/>
        </w:rPr>
        <w:fldChar w:fldCharType="end"/>
      </w:r>
    </w:p>
    <w:p>
      <w:pPr>
        <w:snapToGrid w:val="0"/>
        <w:spacing w:line="480" w:lineRule="exact"/>
        <w:ind w:firstLine="542" w:firstLineChars="225"/>
        <w:rPr>
          <w:rFonts w:hint="eastAsia" w:ascii="宋体" w:hAnsi="宋体" w:cs="宋体"/>
          <w:b/>
          <w:bCs/>
          <w:color w:val="auto"/>
          <w:sz w:val="24"/>
          <w:highlight w:val="none"/>
        </w:rPr>
      </w:pPr>
      <w:r>
        <w:rPr>
          <w:rFonts w:hint="eastAsia" w:ascii="宋体" w:hAnsi="宋体" w:cs="宋体"/>
          <w:b/>
          <w:bCs/>
          <w:color w:val="auto"/>
          <w:sz w:val="24"/>
          <w:highlight w:val="none"/>
        </w:rPr>
        <w:t>八、</w:t>
      </w:r>
      <w:r>
        <w:rPr>
          <w:rFonts w:hint="eastAsia" w:ascii="宋体" w:hAnsi="宋体" w:cs="宋体"/>
          <w:b/>
          <w:color w:val="auto"/>
          <w:sz w:val="24"/>
          <w:highlight w:val="none"/>
        </w:rPr>
        <w:t>公告期限：</w:t>
      </w:r>
      <w:r>
        <w:rPr>
          <w:rFonts w:hint="eastAsia" w:ascii="宋体" w:hAnsi="宋体" w:cs="宋体"/>
          <w:b/>
          <w:i/>
          <w:iCs/>
          <w:color w:val="auto"/>
          <w:sz w:val="24"/>
          <w:highlight w:val="none"/>
          <w:u w:val="single"/>
        </w:rPr>
        <w:t xml:space="preserve"> </w:t>
      </w:r>
      <w:r>
        <w:rPr>
          <w:rFonts w:hint="eastAsia" w:ascii="宋体" w:hAnsi="宋体" w:cs="宋体"/>
          <w:b/>
          <w:color w:val="auto"/>
          <w:sz w:val="24"/>
          <w:highlight w:val="none"/>
          <w:u w:val="single"/>
        </w:rPr>
        <w:t xml:space="preserve"> 自公告发布之日起5个工作日 </w:t>
      </w:r>
      <w:r>
        <w:rPr>
          <w:rFonts w:hint="eastAsia" w:ascii="宋体" w:hAnsi="宋体" w:cs="宋体"/>
          <w:b/>
          <w:i/>
          <w:iCs/>
          <w:color w:val="auto"/>
          <w:sz w:val="24"/>
          <w:highlight w:val="none"/>
          <w:u w:val="single"/>
        </w:rPr>
        <w:t xml:space="preserve">  </w:t>
      </w:r>
    </w:p>
    <w:p>
      <w:pPr>
        <w:snapToGrid w:val="0"/>
        <w:spacing w:line="480" w:lineRule="exact"/>
        <w:ind w:firstLine="542" w:firstLineChars="225"/>
        <w:rPr>
          <w:rFonts w:hint="eastAsia" w:ascii="宋体" w:hAnsi="宋体" w:cs="宋体"/>
          <w:color w:val="auto"/>
          <w:sz w:val="24"/>
          <w:highlight w:val="none"/>
        </w:rPr>
      </w:pPr>
      <w:r>
        <w:rPr>
          <w:rFonts w:hint="eastAsia" w:ascii="宋体" w:hAnsi="宋体" w:cs="宋体"/>
          <w:b/>
          <w:bCs/>
          <w:color w:val="auto"/>
          <w:sz w:val="24"/>
          <w:highlight w:val="none"/>
        </w:rPr>
        <w:t>九、投标说明</w:t>
      </w:r>
      <w:r>
        <w:rPr>
          <w:rFonts w:hint="eastAsia" w:ascii="宋体" w:hAnsi="宋体" w:cs="宋体"/>
          <w:color w:val="auto"/>
          <w:sz w:val="24"/>
          <w:highlight w:val="none"/>
        </w:rPr>
        <w:t>：</w:t>
      </w:r>
    </w:p>
    <w:p>
      <w:pPr>
        <w:snapToGrid w:val="0"/>
        <w:spacing w:line="480" w:lineRule="exact"/>
        <w:ind w:firstLine="480" w:firstLineChars="200"/>
        <w:rPr>
          <w:rFonts w:hint="eastAsia" w:ascii="宋体" w:hAnsi="宋体" w:cs="宋体"/>
          <w:b/>
          <w:color w:val="auto"/>
          <w:kern w:val="0"/>
          <w:sz w:val="24"/>
          <w:highlight w:val="none"/>
        </w:rPr>
      </w:pPr>
      <w:r>
        <w:rPr>
          <w:rFonts w:hint="eastAsia" w:ascii="宋体" w:hAnsi="宋体" w:cs="宋体"/>
          <w:bCs/>
          <w:color w:val="auto"/>
          <w:kern w:val="0"/>
          <w:sz w:val="24"/>
          <w:highlight w:val="none"/>
        </w:rPr>
        <w:t>（一）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spacing w:line="480" w:lineRule="exact"/>
        <w:ind w:firstLine="482" w:firstLineChars="200"/>
        <w:rPr>
          <w:rFonts w:hint="eastAsia" w:ascii="宋体" w:hAnsi="宋体" w:cs="宋体"/>
          <w:b/>
          <w:color w:val="auto"/>
          <w:kern w:val="0"/>
          <w:sz w:val="24"/>
          <w:highlight w:val="none"/>
        </w:rPr>
      </w:pPr>
      <w:r>
        <w:rPr>
          <w:rFonts w:hint="eastAsia" w:ascii="宋体" w:hAnsi="宋体" w:cs="宋体"/>
          <w:b/>
          <w:color w:val="auto"/>
          <w:kern w:val="0"/>
          <w:sz w:val="24"/>
          <w:highlight w:val="none"/>
        </w:rPr>
        <w:t>（二）获取采购文件：</w:t>
      </w:r>
    </w:p>
    <w:p>
      <w:pPr>
        <w:snapToGrid w:val="0"/>
        <w:spacing w:line="480" w:lineRule="exact"/>
        <w:ind w:firstLine="472" w:firstLineChars="196"/>
        <w:rPr>
          <w:rFonts w:hint="eastAsia" w:ascii="宋体" w:hAnsi="宋体" w:cs="宋体"/>
          <w:bCs/>
          <w:color w:val="auto"/>
          <w:kern w:val="0"/>
          <w:sz w:val="24"/>
          <w:highlight w:val="none"/>
        </w:rPr>
      </w:pPr>
      <w:r>
        <w:rPr>
          <w:rFonts w:hint="eastAsia" w:ascii="宋体" w:hAnsi="宋体" w:cs="宋体"/>
          <w:b/>
          <w:color w:val="auto"/>
          <w:kern w:val="0"/>
          <w:sz w:val="24"/>
          <w:highlight w:val="none"/>
        </w:rPr>
        <w:t>1．获取方式：</w:t>
      </w:r>
      <w:r>
        <w:rPr>
          <w:rFonts w:hint="eastAsia" w:ascii="宋体" w:hAnsi="宋体" w:cs="宋体"/>
          <w:bCs/>
          <w:color w:val="auto"/>
          <w:kern w:val="0"/>
          <w:sz w:val="24"/>
          <w:highlight w:val="none"/>
        </w:rPr>
        <w:t>采购公告发布后，在政采云平台已完成注册的供应商登陆系统，申请获取采购文件，待审核通过后，可下载采购文件。如果“已申请”标签页显示状态为“审核通过”即为报名成功。路径：用户中心——项目采购——获取采购文件管理。在“已获取”的状态下，供应商可下载查看招标文件。</w:t>
      </w:r>
    </w:p>
    <w:p>
      <w:pPr>
        <w:snapToGrid w:val="0"/>
        <w:spacing w:line="480" w:lineRule="exact"/>
        <w:ind w:firstLine="482" w:firstLineChars="200"/>
        <w:rPr>
          <w:rFonts w:hint="eastAsia" w:ascii="宋体" w:hAnsi="宋体" w:cs="宋体"/>
          <w:bCs/>
          <w:color w:val="auto"/>
          <w:kern w:val="0"/>
          <w:sz w:val="24"/>
          <w:highlight w:val="none"/>
        </w:rPr>
      </w:pPr>
      <w:r>
        <w:rPr>
          <w:rFonts w:hint="eastAsia" w:ascii="宋体" w:hAnsi="宋体" w:cs="宋体"/>
          <w:b/>
          <w:color w:val="auto"/>
          <w:kern w:val="0"/>
          <w:sz w:val="24"/>
          <w:highlight w:val="none"/>
        </w:rPr>
        <w:t>2.获取网址：</w:t>
      </w:r>
      <w:r>
        <w:rPr>
          <w:rFonts w:hint="eastAsia" w:ascii="宋体" w:hAnsi="宋体" w:cs="宋体"/>
          <w:bCs/>
          <w:color w:val="auto"/>
          <w:kern w:val="0"/>
          <w:sz w:val="24"/>
          <w:highlight w:val="none"/>
        </w:rPr>
        <w:t>浙江政府采购网https://login.zcygov.cn/login</w:t>
      </w:r>
    </w:p>
    <w:p>
      <w:pPr>
        <w:snapToGrid w:val="0"/>
        <w:spacing w:line="480" w:lineRule="exact"/>
        <w:ind w:firstLine="482" w:firstLineChars="200"/>
        <w:rPr>
          <w:rFonts w:hint="eastAsia" w:ascii="宋体" w:hAnsi="宋体" w:cs="宋体"/>
          <w:color w:val="auto"/>
          <w:sz w:val="24"/>
          <w:highlight w:val="none"/>
        </w:rPr>
      </w:pPr>
      <w:r>
        <w:rPr>
          <w:rFonts w:hint="eastAsia" w:ascii="宋体" w:hAnsi="宋体" w:cs="宋体"/>
          <w:b/>
          <w:color w:val="auto"/>
          <w:kern w:val="0"/>
          <w:sz w:val="24"/>
          <w:highlight w:val="none"/>
        </w:rPr>
        <w:t>3.获取时间：</w:t>
      </w:r>
      <w:r>
        <w:rPr>
          <w:rFonts w:hint="eastAsia" w:ascii="宋体" w:hAnsi="宋体" w:cs="宋体"/>
          <w:color w:val="auto"/>
          <w:sz w:val="24"/>
          <w:highlight w:val="none"/>
        </w:rPr>
        <w:t xml:space="preserve"> 2020年6月24日至2020年7月15日9时30分</w:t>
      </w:r>
    </w:p>
    <w:p>
      <w:pPr>
        <w:spacing w:line="480" w:lineRule="exact"/>
        <w:ind w:firstLine="482" w:firstLineChars="200"/>
        <w:rPr>
          <w:rFonts w:hint="eastAsia" w:ascii="宋体" w:hAnsi="宋体" w:cs="宋体"/>
          <w:b/>
          <w:color w:val="auto"/>
          <w:kern w:val="0"/>
          <w:sz w:val="24"/>
          <w:highlight w:val="none"/>
        </w:rPr>
      </w:pPr>
      <w:r>
        <w:rPr>
          <w:rFonts w:hint="eastAsia" w:ascii="宋体" w:hAnsi="宋体" w:cs="宋体"/>
          <w:b/>
          <w:color w:val="auto"/>
          <w:kern w:val="0"/>
          <w:sz w:val="24"/>
          <w:highlight w:val="none"/>
        </w:rPr>
        <w:t>（三）供应商注册网址：</w:t>
      </w:r>
    </w:p>
    <w:p>
      <w:pPr>
        <w:spacing w:line="4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浙江政府采购网：https://middle.zcygov.cn/settle-front/#/registry，政采云咨询电话：400-881-7190；</w:t>
      </w:r>
    </w:p>
    <w:p>
      <w:pPr>
        <w:pStyle w:val="52"/>
        <w:spacing w:before="0" w:after="0" w:line="480" w:lineRule="exact"/>
        <w:ind w:firstLine="482" w:firstLineChars="200"/>
        <w:rPr>
          <w:rFonts w:hint="eastAsia" w:hAnsi="宋体"/>
          <w:b/>
          <w:color w:val="auto"/>
          <w:highlight w:val="none"/>
        </w:rPr>
      </w:pPr>
      <w:r>
        <w:rPr>
          <w:rFonts w:hint="eastAsia" w:hAnsi="宋体"/>
          <w:b/>
          <w:color w:val="auto"/>
          <w:highlight w:val="none"/>
        </w:rPr>
        <w:t>（四）投标文件制作注意事项：</w:t>
      </w:r>
    </w:p>
    <w:p>
      <w:pPr>
        <w:pStyle w:val="52"/>
        <w:spacing w:before="0" w:after="0" w:line="480" w:lineRule="exact"/>
        <w:ind w:firstLine="480" w:firstLineChars="200"/>
        <w:rPr>
          <w:rFonts w:hint="eastAsia" w:hAnsi="宋体"/>
          <w:color w:val="auto"/>
          <w:highlight w:val="none"/>
        </w:rPr>
      </w:pPr>
      <w:r>
        <w:rPr>
          <w:rFonts w:hint="eastAsia" w:hAnsi="宋体"/>
          <w:color w:val="auto"/>
          <w:highlight w:val="none"/>
        </w:rPr>
        <w:t>供应商将政采云电子交易客户端下载、安装完成后，可通过账号密码或CA登录客户端进行投标文件制作。</w:t>
      </w:r>
    </w:p>
    <w:p>
      <w:pPr>
        <w:pStyle w:val="52"/>
        <w:spacing w:before="0" w:after="0" w:line="480" w:lineRule="exact"/>
        <w:rPr>
          <w:rFonts w:hint="eastAsia" w:hAnsi="宋体"/>
          <w:color w:val="auto"/>
          <w:highlight w:val="none"/>
        </w:rPr>
      </w:pPr>
      <w:r>
        <w:rPr>
          <w:rFonts w:hint="eastAsia" w:hAnsi="宋体"/>
          <w:color w:val="auto"/>
          <w:highlight w:val="none"/>
        </w:rPr>
        <w:t>　　注：供应商先要申领CA，拿到CA后需要在政采云平台进行绑定，CA相关操作可参考</w:t>
      </w:r>
      <w:r>
        <w:rPr>
          <w:rFonts w:hint="eastAsia" w:hAnsi="宋体"/>
          <w:b/>
          <w:color w:val="auto"/>
          <w:highlight w:val="none"/>
        </w:rPr>
        <w:t>《CA申领操作指南》</w:t>
      </w:r>
      <w:r>
        <w:rPr>
          <w:rFonts w:hint="eastAsia" w:hAnsi="宋体"/>
          <w:color w:val="auto"/>
          <w:highlight w:val="none"/>
        </w:rPr>
        <w:t>和</w:t>
      </w:r>
      <w:r>
        <w:rPr>
          <w:rFonts w:hint="eastAsia" w:hAnsi="宋体"/>
          <w:b/>
          <w:color w:val="auto"/>
          <w:highlight w:val="none"/>
        </w:rPr>
        <w:t>《CA管理操作指南》</w:t>
      </w:r>
      <w:r>
        <w:rPr>
          <w:rFonts w:hint="eastAsia" w:hAnsi="宋体"/>
          <w:color w:val="auto"/>
          <w:highlight w:val="none"/>
        </w:rPr>
        <w:t>。完成CA数字证书办理在资料齐全的情况下预计7个工作日左右，建议供应商获取采购文件后立即办理。</w:t>
      </w:r>
    </w:p>
    <w:p>
      <w:pPr>
        <w:pStyle w:val="52"/>
        <w:spacing w:before="0" w:after="0" w:line="480" w:lineRule="exact"/>
        <w:rPr>
          <w:rFonts w:hint="eastAsia" w:hAnsi="宋体"/>
          <w:color w:val="auto"/>
          <w:highlight w:val="none"/>
        </w:rPr>
      </w:pPr>
      <w:r>
        <w:rPr>
          <w:rFonts w:hint="eastAsia" w:hAnsi="宋体"/>
          <w:b/>
          <w:color w:val="auto"/>
          <w:highlight w:val="none"/>
        </w:rPr>
        <w:t>　　供应商-政府采购项目电子交易操作指南：</w:t>
      </w:r>
      <w:r>
        <w:rPr>
          <w:rFonts w:hint="eastAsia" w:hAnsi="宋体"/>
          <w:color w:val="auto"/>
          <w:highlight w:val="none"/>
        </w:rPr>
        <w:fldChar w:fldCharType="begin"/>
      </w:r>
      <w:r>
        <w:rPr>
          <w:rFonts w:hint="eastAsia" w:hAnsi="宋体"/>
          <w:color w:val="auto"/>
          <w:highlight w:val="none"/>
        </w:rPr>
        <w:instrText xml:space="preserve"> HYPERLINK "https://help.zcygov.cn/web/site_2/2018/12-28/2573.html" </w:instrText>
      </w:r>
      <w:r>
        <w:rPr>
          <w:rFonts w:hint="eastAsia" w:hAnsi="宋体"/>
          <w:color w:val="auto"/>
          <w:highlight w:val="none"/>
        </w:rPr>
        <w:fldChar w:fldCharType="separate"/>
      </w:r>
      <w:r>
        <w:rPr>
          <w:rFonts w:hint="eastAsia" w:hAnsi="宋体"/>
          <w:color w:val="auto"/>
          <w:highlight w:val="none"/>
        </w:rPr>
        <w:t>https://help.zcygov.cn/web/site_2/2018/12-28/2573.html</w:t>
      </w:r>
      <w:r>
        <w:rPr>
          <w:rFonts w:hint="eastAsia" w:hAnsi="宋体"/>
          <w:color w:val="auto"/>
          <w:highlight w:val="none"/>
        </w:rPr>
        <w:fldChar w:fldCharType="end"/>
      </w:r>
    </w:p>
    <w:p>
      <w:pPr>
        <w:pStyle w:val="52"/>
        <w:spacing w:before="0" w:after="0" w:line="480" w:lineRule="exact"/>
        <w:rPr>
          <w:rFonts w:hint="eastAsia" w:hAnsi="宋体"/>
          <w:color w:val="auto"/>
          <w:highlight w:val="none"/>
        </w:rPr>
      </w:pPr>
      <w:r>
        <w:rPr>
          <w:rFonts w:hint="eastAsia" w:hAnsi="宋体"/>
          <w:b/>
          <w:color w:val="auto"/>
          <w:highlight w:val="none"/>
        </w:rPr>
        <w:t>　　《CA申领操作指南》：</w:t>
      </w:r>
      <w:r>
        <w:rPr>
          <w:rFonts w:hint="eastAsia" w:hAnsi="宋体"/>
          <w:color w:val="auto"/>
          <w:highlight w:val="none"/>
        </w:rPr>
        <w:fldChar w:fldCharType="begin"/>
      </w:r>
      <w:r>
        <w:rPr>
          <w:rFonts w:hint="eastAsia" w:hAnsi="宋体"/>
          <w:color w:val="auto"/>
          <w:highlight w:val="none"/>
        </w:rPr>
        <w:instrText xml:space="preserve"> HYPERLINK "https://help.zcygov.cn/web/site_2/2018/11-29/2452.html" </w:instrText>
      </w:r>
      <w:r>
        <w:rPr>
          <w:rFonts w:hint="eastAsia" w:hAnsi="宋体"/>
          <w:color w:val="auto"/>
          <w:highlight w:val="none"/>
        </w:rPr>
        <w:fldChar w:fldCharType="separate"/>
      </w:r>
      <w:r>
        <w:rPr>
          <w:rFonts w:hint="eastAsia" w:hAnsi="宋体"/>
          <w:color w:val="auto"/>
          <w:highlight w:val="none"/>
        </w:rPr>
        <w:t>https://help.zcygov.cn/web/site_2/2018/11-29/2452.html</w:t>
      </w:r>
      <w:r>
        <w:rPr>
          <w:rFonts w:hint="eastAsia" w:hAnsi="宋体"/>
          <w:color w:val="auto"/>
          <w:highlight w:val="none"/>
        </w:rPr>
        <w:fldChar w:fldCharType="end"/>
      </w:r>
    </w:p>
    <w:p>
      <w:pPr>
        <w:pStyle w:val="52"/>
        <w:spacing w:before="0" w:after="0" w:line="480" w:lineRule="exact"/>
        <w:ind w:firstLine="481"/>
        <w:rPr>
          <w:rFonts w:hint="eastAsia" w:hAnsi="宋体"/>
          <w:b/>
          <w:color w:val="auto"/>
          <w:highlight w:val="none"/>
        </w:rPr>
      </w:pPr>
      <w:r>
        <w:rPr>
          <w:rFonts w:hint="eastAsia" w:hAnsi="宋体"/>
          <w:b/>
          <w:color w:val="auto"/>
          <w:highlight w:val="none"/>
        </w:rPr>
        <w:t>《CA驱动和申领流程》</w:t>
      </w:r>
    </w:p>
    <w:p>
      <w:pPr>
        <w:pStyle w:val="52"/>
        <w:spacing w:before="0" w:after="0" w:line="480" w:lineRule="exact"/>
        <w:rPr>
          <w:rFonts w:hint="eastAsia" w:hAnsi="宋体"/>
          <w:color w:val="auto"/>
          <w:highlight w:val="none"/>
        </w:rPr>
      </w:pPr>
      <w:r>
        <w:rPr>
          <w:rFonts w:hint="eastAsia" w:hAnsi="宋体"/>
          <w:color w:val="auto"/>
          <w:highlight w:val="none"/>
        </w:rPr>
        <w:t>http://www.zjzfcg.gov.cn/bidClientTemplate/2019-05-27/12945.html</w:t>
      </w:r>
    </w:p>
    <w:p>
      <w:pPr>
        <w:spacing w:line="480" w:lineRule="exact"/>
        <w:ind w:firstLine="495"/>
        <w:rPr>
          <w:rFonts w:hint="eastAsia" w:ascii="宋体" w:hAnsi="宋体" w:cs="宋体"/>
          <w:b/>
          <w:bCs/>
          <w:color w:val="auto"/>
          <w:kern w:val="0"/>
          <w:sz w:val="24"/>
          <w:highlight w:val="none"/>
          <w:u w:val="single"/>
        </w:rPr>
      </w:pPr>
      <w:r>
        <w:rPr>
          <w:rFonts w:hint="eastAsia" w:ascii="宋体" w:hAnsi="宋体" w:cs="宋体"/>
          <w:b/>
          <w:bCs/>
          <w:color w:val="auto"/>
          <w:kern w:val="0"/>
          <w:sz w:val="24"/>
          <w:highlight w:val="none"/>
          <w:u w:val="single"/>
        </w:rPr>
        <w:t>在使用政采云投标客户端时，建议使用WIN7 64位及以上操作系统。</w:t>
      </w:r>
    </w:p>
    <w:p>
      <w:pPr>
        <w:spacing w:line="480" w:lineRule="exact"/>
        <w:ind w:firstLine="472" w:firstLineChars="196"/>
        <w:rPr>
          <w:rFonts w:hint="eastAsia" w:ascii="宋体" w:hAnsi="宋体" w:cs="宋体"/>
          <w:color w:val="auto"/>
          <w:sz w:val="24"/>
          <w:highlight w:val="none"/>
        </w:rPr>
      </w:pPr>
      <w:r>
        <w:rPr>
          <w:rFonts w:hint="eastAsia" w:ascii="宋体" w:hAnsi="宋体" w:cs="宋体"/>
          <w:b/>
          <w:color w:val="auto"/>
          <w:sz w:val="24"/>
          <w:highlight w:val="none"/>
        </w:rPr>
        <w:t>十</w:t>
      </w:r>
      <w:r>
        <w:rPr>
          <w:rFonts w:hint="eastAsia" w:ascii="宋体" w:hAnsi="宋体" w:cs="宋体"/>
          <w:b/>
          <w:bCs/>
          <w:color w:val="auto"/>
          <w:sz w:val="24"/>
          <w:highlight w:val="none"/>
        </w:rPr>
        <w:t>、投标截止时间</w:t>
      </w:r>
      <w:r>
        <w:rPr>
          <w:rFonts w:hint="eastAsia" w:ascii="宋体" w:hAnsi="宋体" w:cs="宋体"/>
          <w:color w:val="auto"/>
          <w:sz w:val="24"/>
          <w:highlight w:val="none"/>
        </w:rPr>
        <w:t>：2020年7月15日9时30分；投标人应于2020年7月15日9时30分前按照电子投标要求将电子加密标书上传到“政采云”平台，逾期或未上传成功的将导致无法投标或投标无效。</w:t>
      </w:r>
    </w:p>
    <w:p>
      <w:pPr>
        <w:pStyle w:val="14"/>
        <w:adjustRightInd w:val="0"/>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kern w:val="0"/>
          <w:highlight w:val="none"/>
        </w:rPr>
        <w:t>投标人应于2020年7月15日10时00分前</w:t>
      </w:r>
      <w:r>
        <w:rPr>
          <w:rFonts w:hint="eastAsia" w:hAnsi="宋体" w:cs="宋体"/>
          <w:color w:val="auto"/>
          <w:highlight w:val="none"/>
        </w:rPr>
        <w:t>登录“政采云”平台，用“项目采购-开标评标”功能进行解密投标文件。若供应商在规定时间内（2020年7月15日10时00分前）无法解密或解密失败，则投标无效。</w:t>
      </w:r>
    </w:p>
    <w:p>
      <w:pPr>
        <w:snapToGrid w:val="0"/>
        <w:spacing w:line="480" w:lineRule="exact"/>
        <w:ind w:firstLine="472" w:firstLineChars="196"/>
        <w:rPr>
          <w:rFonts w:hint="eastAsia" w:ascii="宋体" w:hAnsi="宋体" w:cs="宋体"/>
          <w:color w:val="auto"/>
          <w:sz w:val="24"/>
          <w:highlight w:val="none"/>
        </w:rPr>
      </w:pPr>
      <w:r>
        <w:rPr>
          <w:rFonts w:hint="eastAsia" w:ascii="宋体" w:hAnsi="宋体" w:cs="宋体"/>
          <w:b/>
          <w:bCs/>
          <w:color w:val="auto"/>
          <w:sz w:val="24"/>
          <w:highlight w:val="none"/>
        </w:rPr>
        <w:t>十</w:t>
      </w:r>
      <w:r>
        <w:rPr>
          <w:rFonts w:hint="eastAsia" w:ascii="宋体" w:hAnsi="宋体" w:cs="宋体"/>
          <w:b/>
          <w:color w:val="auto"/>
          <w:sz w:val="24"/>
          <w:highlight w:val="none"/>
        </w:rPr>
        <w:t>一</w:t>
      </w:r>
      <w:r>
        <w:rPr>
          <w:rFonts w:hint="eastAsia" w:ascii="宋体" w:hAnsi="宋体" w:cs="宋体"/>
          <w:b/>
          <w:bCs/>
          <w:color w:val="auto"/>
          <w:sz w:val="24"/>
          <w:highlight w:val="none"/>
        </w:rPr>
        <w:t>、开标时间及地点</w:t>
      </w:r>
      <w:r>
        <w:rPr>
          <w:rFonts w:hint="eastAsia" w:ascii="宋体" w:hAnsi="宋体" w:cs="宋体"/>
          <w:color w:val="auto"/>
          <w:sz w:val="24"/>
          <w:highlight w:val="none"/>
        </w:rPr>
        <w:t>：</w:t>
      </w:r>
    </w:p>
    <w:p>
      <w:pPr>
        <w:pStyle w:val="14"/>
        <w:adjustRightInd w:val="0"/>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highlight w:val="none"/>
        </w:rPr>
        <w:t>本次招标将于2020年7月15日9时30分在嘉善县公共资源交易中心二楼2号开标室开标。投标人无需到开标现场，只需准时在线参加。开标时间后半小时内（2020年7月15日10时00分前）供应商登录“政采云”平台，用“项目采购-开标评标”功能进行解密投标文件。若供应商在规定时间内（2020年7月15日10时00分前）无法解密或解密失败，则投标无效。</w:t>
      </w:r>
    </w:p>
    <w:p>
      <w:pPr>
        <w:pStyle w:val="14"/>
        <w:adjustRightInd w:val="0"/>
        <w:snapToGrid w:val="0"/>
        <w:spacing w:before="0" w:beforeLines="0" w:after="0" w:afterLines="0" w:line="480" w:lineRule="exact"/>
        <w:ind w:firstLine="482" w:firstLineChars="200"/>
        <w:rPr>
          <w:rFonts w:hint="eastAsia" w:hAnsi="宋体" w:cs="宋体"/>
          <w:b/>
          <w:color w:val="auto"/>
          <w:highlight w:val="none"/>
        </w:rPr>
      </w:pPr>
      <w:r>
        <w:rPr>
          <w:rFonts w:hint="eastAsia" w:hAnsi="宋体" w:cs="宋体"/>
          <w:b/>
          <w:color w:val="auto"/>
          <w:highlight w:val="none"/>
        </w:rPr>
        <w:t>十二、投标保证金：</w:t>
      </w:r>
      <w:r>
        <w:rPr>
          <w:rFonts w:hint="eastAsia" w:hAnsi="宋体" w:cs="宋体"/>
          <w:color w:val="auto"/>
          <w:highlight w:val="none"/>
        </w:rPr>
        <w:t>无</w:t>
      </w:r>
    </w:p>
    <w:p>
      <w:pPr>
        <w:snapToGrid w:val="0"/>
        <w:spacing w:line="4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十三、招标公告发布于：</w:t>
      </w:r>
    </w:p>
    <w:p>
      <w:pPr>
        <w:snapToGrid w:val="0"/>
        <w:spacing w:line="48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浙江省政府采购网(http://www.zjzfcg.gov.cn/)和</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"http://www.sxztb.gov.cn"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fldChar w:fldCharType="end"/>
      </w:r>
      <w:r>
        <w:rPr>
          <w:rFonts w:hint="eastAsia" w:ascii="宋体" w:hAnsi="宋体" w:cs="宋体"/>
          <w:color w:val="auto"/>
          <w:sz w:val="24"/>
          <w:highlight w:val="none"/>
        </w:rPr>
        <w:t>嘉善县公共资源交易中心网（http://js.jxzbtb.cn/)。</w:t>
      </w:r>
    </w:p>
    <w:p>
      <w:pPr>
        <w:snapToGrid w:val="0"/>
        <w:spacing w:line="480" w:lineRule="exact"/>
        <w:ind w:firstLine="420"/>
        <w:rPr>
          <w:rFonts w:hint="eastAsia" w:ascii="宋体" w:hAnsi="宋体" w:cs="宋体"/>
          <w:b/>
          <w:color w:val="auto"/>
          <w:sz w:val="24"/>
          <w:highlight w:val="none"/>
        </w:rPr>
      </w:pPr>
      <w:r>
        <w:rPr>
          <w:rFonts w:hint="eastAsia" w:ascii="宋体" w:hAnsi="宋体" w:cs="宋体"/>
          <w:b/>
          <w:color w:val="auto"/>
          <w:sz w:val="24"/>
          <w:highlight w:val="none"/>
        </w:rPr>
        <w:t>十四、业务咨询：</w:t>
      </w:r>
    </w:p>
    <w:p>
      <w:pPr>
        <w:widowControl/>
        <w:shd w:val="clear" w:color="auto" w:fill="FFFFFF"/>
        <w:spacing w:line="480" w:lineRule="exact"/>
        <w:ind w:firstLine="540"/>
        <w:jc w:val="left"/>
        <w:rPr>
          <w:rFonts w:hint="eastAsia" w:ascii="宋体" w:hAnsi="宋体" w:cs="宋体"/>
          <w:color w:val="auto"/>
          <w:sz w:val="24"/>
          <w:highlight w:val="none"/>
        </w:rPr>
      </w:pPr>
      <w:r>
        <w:rPr>
          <w:rFonts w:hint="eastAsia" w:ascii="宋体" w:hAnsi="宋体" w:cs="宋体"/>
          <w:color w:val="auto"/>
          <w:sz w:val="24"/>
          <w:highlight w:val="none"/>
        </w:rPr>
        <w:t>1、采购代理机构名称：嘉善县公共资源交易中心</w:t>
      </w:r>
    </w:p>
    <w:p>
      <w:pPr>
        <w:widowControl/>
        <w:shd w:val="clear" w:color="auto" w:fill="FFFFFF"/>
        <w:spacing w:line="480" w:lineRule="exact"/>
        <w:ind w:firstLine="540"/>
        <w:jc w:val="left"/>
        <w:rPr>
          <w:rFonts w:hint="eastAsia" w:ascii="宋体" w:hAnsi="宋体" w:cs="宋体"/>
          <w:color w:val="auto"/>
          <w:sz w:val="24"/>
          <w:highlight w:val="none"/>
        </w:rPr>
      </w:pPr>
      <w:r>
        <w:rPr>
          <w:rFonts w:hint="eastAsia" w:ascii="宋体" w:hAnsi="宋体" w:cs="宋体"/>
          <w:color w:val="auto"/>
          <w:sz w:val="24"/>
          <w:highlight w:val="none"/>
        </w:rPr>
        <w:t>联系人：陆先生</w:t>
      </w:r>
    </w:p>
    <w:p>
      <w:pPr>
        <w:widowControl/>
        <w:shd w:val="clear" w:color="auto" w:fill="FFFFFF"/>
        <w:spacing w:line="480" w:lineRule="exact"/>
        <w:ind w:firstLine="540"/>
        <w:jc w:val="left"/>
        <w:rPr>
          <w:rFonts w:hint="eastAsia" w:ascii="宋体" w:hAnsi="宋体" w:cs="宋体"/>
          <w:color w:val="auto"/>
          <w:sz w:val="24"/>
          <w:highlight w:val="none"/>
        </w:rPr>
      </w:pPr>
      <w:r>
        <w:rPr>
          <w:rFonts w:hint="eastAsia" w:ascii="宋体" w:hAnsi="宋体" w:cs="宋体"/>
          <w:color w:val="auto"/>
          <w:sz w:val="24"/>
          <w:highlight w:val="none"/>
        </w:rPr>
        <w:t>联系电话：0573-84129502</w:t>
      </w:r>
    </w:p>
    <w:p>
      <w:pPr>
        <w:widowControl/>
        <w:shd w:val="clear" w:color="auto" w:fill="FFFFFF"/>
        <w:spacing w:line="480" w:lineRule="exact"/>
        <w:ind w:firstLine="540"/>
        <w:jc w:val="left"/>
        <w:rPr>
          <w:rFonts w:hint="eastAsia" w:ascii="宋体" w:hAnsi="宋体" w:cs="宋体"/>
          <w:color w:val="auto"/>
          <w:sz w:val="24"/>
          <w:highlight w:val="none"/>
        </w:rPr>
      </w:pPr>
      <w:r>
        <w:rPr>
          <w:rFonts w:hint="eastAsia" w:ascii="宋体" w:hAnsi="宋体" w:cs="宋体"/>
          <w:color w:val="auto"/>
          <w:sz w:val="24"/>
          <w:highlight w:val="none"/>
        </w:rPr>
        <w:t>传真：0573-84129636</w:t>
      </w:r>
    </w:p>
    <w:p>
      <w:pPr>
        <w:widowControl/>
        <w:shd w:val="clear" w:color="auto" w:fill="FFFFFF"/>
        <w:spacing w:line="480" w:lineRule="exact"/>
        <w:ind w:firstLine="540"/>
        <w:jc w:val="left"/>
        <w:rPr>
          <w:rFonts w:hint="eastAsia" w:ascii="宋体" w:hAnsi="宋体" w:cs="宋体"/>
          <w:color w:val="auto"/>
          <w:sz w:val="24"/>
          <w:highlight w:val="none"/>
        </w:rPr>
      </w:pPr>
      <w:r>
        <w:rPr>
          <w:rFonts w:hint="eastAsia" w:ascii="宋体" w:hAnsi="宋体" w:cs="宋体"/>
          <w:color w:val="auto"/>
          <w:sz w:val="24"/>
          <w:highlight w:val="none"/>
        </w:rPr>
        <w:t>地址：嘉善县环北西路261-263号</w:t>
      </w:r>
    </w:p>
    <w:p>
      <w:pPr>
        <w:widowControl/>
        <w:shd w:val="clear" w:color="auto" w:fill="FFFFFF"/>
        <w:spacing w:line="48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2、采购人名称：嘉善县人民政府罗星街道办事处</w:t>
      </w:r>
    </w:p>
    <w:p>
      <w:pPr>
        <w:widowControl/>
        <w:shd w:val="clear" w:color="auto" w:fill="FFFFFF"/>
        <w:spacing w:line="48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联系人：蒋女士</w:t>
      </w:r>
    </w:p>
    <w:p>
      <w:pPr>
        <w:widowControl/>
        <w:shd w:val="clear" w:color="auto" w:fill="FFFFFF"/>
        <w:spacing w:line="48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联系电话：0573-84011022</w:t>
      </w:r>
    </w:p>
    <w:p>
      <w:pPr>
        <w:widowControl/>
        <w:shd w:val="clear" w:color="auto" w:fill="FFFFFF"/>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地址：嘉善县人民大道881号</w:t>
      </w:r>
    </w:p>
    <w:p>
      <w:pPr>
        <w:widowControl/>
        <w:shd w:val="clear" w:color="auto" w:fill="FFFFFF"/>
        <w:spacing w:line="48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3、同级政府采购监督管理部门名称：嘉善县财政局</w:t>
      </w:r>
    </w:p>
    <w:p>
      <w:pPr>
        <w:widowControl/>
        <w:shd w:val="clear" w:color="auto" w:fill="FFFFFF"/>
        <w:spacing w:line="48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联系人：高先生</w:t>
      </w:r>
    </w:p>
    <w:p>
      <w:pPr>
        <w:widowControl/>
        <w:shd w:val="clear" w:color="auto" w:fill="FFFFFF"/>
        <w:spacing w:line="48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监督投诉电话：0573-84122310</w:t>
      </w:r>
    </w:p>
    <w:p>
      <w:pPr>
        <w:widowControl/>
        <w:shd w:val="clear" w:color="auto" w:fill="FFFFFF"/>
        <w:spacing w:line="48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传真：0573-84122528</w:t>
      </w:r>
    </w:p>
    <w:p>
      <w:pPr>
        <w:widowControl/>
        <w:shd w:val="clear" w:color="auto" w:fill="FFFFFF"/>
        <w:spacing w:line="480" w:lineRule="exact"/>
        <w:ind w:firstLine="480" w:firstLineChars="200"/>
        <w:jc w:val="left"/>
        <w:rPr>
          <w:rFonts w:hint="eastAsia" w:ascii="宋体" w:hAnsi="宋体" w:cs="宋体"/>
          <w:color w:val="auto"/>
          <w:sz w:val="24"/>
          <w:highlight w:val="none"/>
        </w:rPr>
      </w:pPr>
      <w:bookmarkStart w:id="8" w:name="_Toc406402982"/>
      <w:r>
        <w:rPr>
          <w:rFonts w:hint="eastAsia" w:ascii="宋体" w:hAnsi="宋体" w:cs="宋体"/>
          <w:color w:val="auto"/>
          <w:sz w:val="24"/>
          <w:highlight w:val="none"/>
        </w:rPr>
        <w:t>地址：嘉善县解放东路318号</w:t>
      </w:r>
    </w:p>
    <w:bookmarkEnd w:id="8"/>
    <w:p>
      <w:pPr>
        <w:rPr>
          <w:rFonts w:hint="eastAsia"/>
          <w:color w:val="auto"/>
          <w:highlight w:val="none"/>
        </w:rPr>
      </w:pPr>
    </w:p>
    <w:p>
      <w:pPr>
        <w:pStyle w:val="2"/>
        <w:spacing w:before="0" w:after="0" w:line="480" w:lineRule="exact"/>
        <w:rPr>
          <w:rFonts w:hint="eastAsia"/>
          <w:color w:val="auto"/>
          <w:highlight w:val="none"/>
        </w:rPr>
      </w:pPr>
      <w:r>
        <w:rPr>
          <w:rFonts w:hint="eastAsia"/>
          <w:color w:val="auto"/>
          <w:highlight w:val="none"/>
        </w:rPr>
        <w:t>第二章  招标需求</w:t>
      </w:r>
    </w:p>
    <w:p>
      <w:pPr>
        <w:pStyle w:val="2"/>
        <w:spacing w:before="0" w:after="0" w:line="480" w:lineRule="exact"/>
        <w:jc w:val="both"/>
        <w:rPr>
          <w:rFonts w:hint="eastAsia" w:ascii="宋体" w:hAnsi="宋体" w:cs="宋体"/>
          <w:color w:val="auto"/>
          <w:sz w:val="24"/>
          <w:highlight w:val="none"/>
        </w:rPr>
      </w:pPr>
    </w:p>
    <w:p>
      <w:pPr>
        <w:spacing w:line="300" w:lineRule="auto"/>
        <w:ind w:firstLine="482" w:firstLineChars="200"/>
        <w:contextualSpacing/>
        <w:jc w:val="left"/>
        <w:rPr>
          <w:rFonts w:ascii="宋体" w:hAnsi="宋体" w:cs="宋体"/>
          <w:b/>
          <w:color w:val="auto"/>
          <w:sz w:val="24"/>
          <w:highlight w:val="none"/>
        </w:rPr>
      </w:pPr>
      <w:bookmarkStart w:id="9" w:name="_Toc406402986"/>
      <w:r>
        <w:rPr>
          <w:rFonts w:hint="eastAsia" w:ascii="宋体" w:hAnsi="宋体" w:cs="宋体"/>
          <w:b/>
          <w:color w:val="auto"/>
          <w:sz w:val="24"/>
          <w:highlight w:val="none"/>
        </w:rPr>
        <w:t>一、服务范围</w:t>
      </w:r>
    </w:p>
    <w:p>
      <w:pPr>
        <w:pStyle w:val="14"/>
        <w:snapToGrid w:val="0"/>
        <w:spacing w:beforeLines="0" w:afterLines="0" w:line="300" w:lineRule="auto"/>
        <w:ind w:firstLine="480" w:firstLineChars="200"/>
        <w:rPr>
          <w:rFonts w:hAnsi="宋体"/>
          <w:color w:val="auto"/>
          <w:highlight w:val="none"/>
        </w:rPr>
      </w:pPr>
      <w:r>
        <w:rPr>
          <w:rFonts w:hint="eastAsia" w:hAnsi="宋体"/>
          <w:color w:val="auto"/>
          <w:highlight w:val="none"/>
        </w:rPr>
        <w:t xml:space="preserve">服务范围：罗星街道实行城镇垃圾分类区域内30类分类场景5622个分类单位（包含但不仅限于以上场景）的垃圾分类项目运维服务。具体见表1、表2。            </w:t>
      </w:r>
    </w:p>
    <w:p>
      <w:pPr>
        <w:adjustRightInd w:val="0"/>
        <w:snapToGrid w:val="0"/>
        <w:spacing w:line="500" w:lineRule="exact"/>
        <w:ind w:firstLine="480" w:firstLineChars="200"/>
        <w:rPr>
          <w:rFonts w:hAnsi="宋体"/>
          <w:color w:val="auto"/>
          <w:sz w:val="24"/>
          <w:highlight w:val="none"/>
        </w:rPr>
      </w:pPr>
      <w:r>
        <w:rPr>
          <w:rFonts w:hint="eastAsia" w:hAnsi="宋体"/>
          <w:color w:val="auto"/>
          <w:sz w:val="24"/>
          <w:highlight w:val="none"/>
        </w:rPr>
        <w:t xml:space="preserve">表1：                  </w:t>
      </w:r>
      <w:r>
        <w:rPr>
          <w:rFonts w:hint="eastAsia" w:hAnsi="宋体"/>
          <w:b/>
          <w:color w:val="auto"/>
          <w:sz w:val="24"/>
          <w:highlight w:val="none"/>
        </w:rPr>
        <w:t>罗星街道生活垃圾分类场所统计表</w:t>
      </w:r>
    </w:p>
    <w:tbl>
      <w:tblPr>
        <w:tblStyle w:val="26"/>
        <w:tblW w:w="9064" w:type="dxa"/>
        <w:tblInd w:w="93" w:type="dxa"/>
        <w:tblLayout w:type="autofit"/>
        <w:tblCellMar>
          <w:top w:w="0" w:type="dxa"/>
          <w:left w:w="108" w:type="dxa"/>
          <w:bottom w:w="0" w:type="dxa"/>
          <w:right w:w="108" w:type="dxa"/>
        </w:tblCellMar>
      </w:tblPr>
      <w:tblGrid>
        <w:gridCol w:w="974"/>
        <w:gridCol w:w="5616"/>
        <w:gridCol w:w="2474"/>
      </w:tblGrid>
      <w:tr>
        <w:tblPrEx>
          <w:tblCellMar>
            <w:top w:w="0" w:type="dxa"/>
            <w:left w:w="108" w:type="dxa"/>
            <w:bottom w:w="0" w:type="dxa"/>
            <w:right w:w="108" w:type="dxa"/>
          </w:tblCellMar>
        </w:tblPrEx>
        <w:trPr>
          <w:trHeight w:val="301" w:hRule="atLeast"/>
        </w:trPr>
        <w:tc>
          <w:tcPr>
            <w:tcW w:w="9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56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类型（包含但不仅限于）</w:t>
            </w:r>
          </w:p>
        </w:tc>
        <w:tc>
          <w:tcPr>
            <w:tcW w:w="247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数量</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居民小区</w:t>
            </w:r>
          </w:p>
        </w:tc>
        <w:tc>
          <w:tcPr>
            <w:tcW w:w="247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77</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机关单位</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116</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社团组织（协会、学会、联合会）</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60</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规模以上企业</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35</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中小企业</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3314</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沿街商铺</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1109</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银行（含网点）</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35</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办事窗口</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9</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医疗机构（医院、诊所、卫生院等）</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40</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学校</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23</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11</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展馆类（博物馆、展览馆、纪念馆）</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12</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车站</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13</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体育场馆</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14</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演出场馆</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12</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图书馆</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16</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购物中心</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17</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商场超市</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18</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餐饮服务业（宾馆、酒店、饭店等）</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688</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19</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娱乐场所（网吧、酒吧、会所、电影院等）</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29</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20</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专业市场</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21</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农贸市场、农产品批发市场</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22</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商用写字楼</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23</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物流</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24</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快递站</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25</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广场</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26</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公园、景点</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27</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码头</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0</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28</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加油站</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29</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宗教</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r>
      <w:tr>
        <w:tblPrEx>
          <w:tblCellMar>
            <w:top w:w="0" w:type="dxa"/>
            <w:left w:w="108" w:type="dxa"/>
            <w:bottom w:w="0" w:type="dxa"/>
            <w:right w:w="108" w:type="dxa"/>
          </w:tblCellMar>
        </w:tblPrEx>
        <w:trPr>
          <w:trHeight w:val="301" w:hRule="atLeast"/>
        </w:trPr>
        <w:tc>
          <w:tcPr>
            <w:tcW w:w="9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30</w:t>
            </w:r>
          </w:p>
        </w:tc>
        <w:tc>
          <w:tcPr>
            <w:tcW w:w="561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果壳箱（设置沿路果壳箱的道路条数）</w:t>
            </w:r>
          </w:p>
        </w:tc>
        <w:tc>
          <w:tcPr>
            <w:tcW w:w="247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r>
      <w:tr>
        <w:tblPrEx>
          <w:tblCellMar>
            <w:top w:w="0" w:type="dxa"/>
            <w:left w:w="108" w:type="dxa"/>
            <w:bottom w:w="0" w:type="dxa"/>
            <w:right w:w="108" w:type="dxa"/>
          </w:tblCellMar>
        </w:tblPrEx>
        <w:trPr>
          <w:trHeight w:val="301" w:hRule="atLeast"/>
        </w:trPr>
        <w:tc>
          <w:tcPr>
            <w:tcW w:w="659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 xml:space="preserve">        合  计</w:t>
            </w:r>
          </w:p>
        </w:tc>
        <w:tc>
          <w:tcPr>
            <w:tcW w:w="247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5622</w:t>
            </w:r>
          </w:p>
        </w:tc>
      </w:tr>
    </w:tbl>
    <w:p>
      <w:pPr>
        <w:pStyle w:val="14"/>
        <w:snapToGrid w:val="0"/>
        <w:spacing w:beforeLines="0" w:afterLines="0" w:line="300" w:lineRule="auto"/>
        <w:ind w:firstLine="480" w:firstLineChars="200"/>
        <w:rPr>
          <w:rFonts w:hAnsi="宋体"/>
          <w:color w:val="auto"/>
          <w:highlight w:val="none"/>
        </w:rPr>
        <w:sectPr>
          <w:footerReference r:id="rId3" w:type="default"/>
          <w:pgSz w:w="11906" w:h="16838"/>
          <w:pgMar w:top="1134" w:right="1134" w:bottom="1134" w:left="1134" w:header="851" w:footer="992" w:gutter="0"/>
          <w:cols w:space="720" w:num="1"/>
          <w:docGrid w:type="lines" w:linePitch="312" w:charSpace="0"/>
        </w:sectPr>
      </w:pPr>
    </w:p>
    <w:tbl>
      <w:tblPr>
        <w:tblStyle w:val="26"/>
        <w:tblW w:w="5000" w:type="pct"/>
        <w:tblInd w:w="0" w:type="dxa"/>
        <w:tblLayout w:type="autofit"/>
        <w:tblCellMar>
          <w:top w:w="15" w:type="dxa"/>
          <w:left w:w="15" w:type="dxa"/>
          <w:bottom w:w="15" w:type="dxa"/>
          <w:right w:w="15" w:type="dxa"/>
        </w:tblCellMar>
      </w:tblPr>
      <w:tblGrid>
        <w:gridCol w:w="461"/>
        <w:gridCol w:w="558"/>
        <w:gridCol w:w="2351"/>
        <w:gridCol w:w="569"/>
        <w:gridCol w:w="511"/>
        <w:gridCol w:w="511"/>
        <w:gridCol w:w="540"/>
        <w:gridCol w:w="508"/>
        <w:gridCol w:w="569"/>
        <w:gridCol w:w="493"/>
        <w:gridCol w:w="511"/>
        <w:gridCol w:w="493"/>
        <w:gridCol w:w="526"/>
        <w:gridCol w:w="602"/>
        <w:gridCol w:w="648"/>
        <w:gridCol w:w="602"/>
        <w:gridCol w:w="616"/>
        <w:gridCol w:w="514"/>
        <w:gridCol w:w="710"/>
        <w:gridCol w:w="750"/>
        <w:gridCol w:w="730"/>
        <w:gridCol w:w="827"/>
      </w:tblGrid>
      <w:tr>
        <w:tblPrEx>
          <w:tblCellMar>
            <w:top w:w="15" w:type="dxa"/>
            <w:left w:w="15" w:type="dxa"/>
            <w:bottom w:w="15" w:type="dxa"/>
            <w:right w:w="15" w:type="dxa"/>
          </w:tblCellMar>
        </w:tblPrEx>
        <w:trPr>
          <w:trHeight w:val="480" w:hRule="atLeast"/>
        </w:trPr>
        <w:tc>
          <w:tcPr>
            <w:tcW w:w="5000" w:type="pct"/>
            <w:gridSpan w:val="22"/>
            <w:shd w:val="clear" w:color="auto" w:fill="FFFFFF"/>
            <w:noWrap w:val="0"/>
            <w:vAlign w:val="center"/>
          </w:tcPr>
          <w:p>
            <w:pPr>
              <w:widowControl/>
              <w:textAlignment w:val="center"/>
              <w:rPr>
                <w:rFonts w:ascii="宋体" w:hAnsi="宋体" w:cs="宋体"/>
                <w:b/>
                <w:color w:val="auto"/>
                <w:sz w:val="24"/>
                <w:highlight w:val="none"/>
              </w:rPr>
            </w:pPr>
            <w:r>
              <w:rPr>
                <w:rFonts w:hint="eastAsia" w:ascii="宋体" w:hAnsi="宋体" w:cs="宋体"/>
                <w:b/>
                <w:color w:val="auto"/>
                <w:kern w:val="0"/>
                <w:sz w:val="30"/>
                <w:szCs w:val="30"/>
                <w:highlight w:val="none"/>
              </w:rPr>
              <w:t xml:space="preserve">  </w:t>
            </w:r>
            <w:r>
              <w:rPr>
                <w:rFonts w:hint="eastAsia" w:ascii="宋体" w:hAnsi="宋体" w:cs="宋体"/>
                <w:b/>
                <w:color w:val="auto"/>
                <w:kern w:val="0"/>
                <w:sz w:val="24"/>
                <w:highlight w:val="none"/>
              </w:rPr>
              <w:t xml:space="preserve">  表2                                  罗星街道各社区各小区基本情况统计表</w:t>
            </w:r>
          </w:p>
        </w:tc>
      </w:tr>
      <w:tr>
        <w:tblPrEx>
          <w:tblCellMar>
            <w:top w:w="15" w:type="dxa"/>
            <w:left w:w="15" w:type="dxa"/>
            <w:bottom w:w="15" w:type="dxa"/>
            <w:right w:w="15" w:type="dxa"/>
          </w:tblCellMar>
        </w:tblPrEx>
        <w:trPr>
          <w:trHeight w:val="295" w:hRule="atLeast"/>
        </w:trPr>
        <w:tc>
          <w:tcPr>
            <w:tcW w:w="158"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序号</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社区</w:t>
            </w:r>
            <w:r>
              <w:rPr>
                <w:rFonts w:hint="eastAsia" w:ascii="黑体" w:hAnsi="宋体" w:eastAsia="黑体" w:cs="黑体"/>
                <w:b/>
                <w:color w:val="auto"/>
                <w:kern w:val="0"/>
                <w:szCs w:val="21"/>
                <w:highlight w:val="none"/>
              </w:rPr>
              <w:br w:type="textWrapping"/>
            </w:r>
            <w:r>
              <w:rPr>
                <w:rFonts w:hint="eastAsia" w:ascii="黑体" w:hAnsi="宋体" w:eastAsia="黑体" w:cs="黑体"/>
                <w:b/>
                <w:color w:val="auto"/>
                <w:kern w:val="0"/>
                <w:szCs w:val="21"/>
                <w:highlight w:val="none"/>
              </w:rPr>
              <w:t>名称</w:t>
            </w: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 xml:space="preserve">小   区   </w:t>
            </w:r>
            <w:r>
              <w:rPr>
                <w:rFonts w:hint="eastAsia" w:ascii="黑体" w:hAnsi="宋体" w:eastAsia="黑体" w:cs="黑体"/>
                <w:b/>
                <w:color w:val="auto"/>
                <w:kern w:val="0"/>
                <w:szCs w:val="21"/>
                <w:highlight w:val="none"/>
              </w:rPr>
              <w:br w:type="textWrapping"/>
            </w:r>
            <w:r>
              <w:rPr>
                <w:rFonts w:hint="eastAsia" w:ascii="黑体" w:hAnsi="宋体" w:eastAsia="黑体" w:cs="黑体"/>
                <w:b/>
                <w:color w:val="auto"/>
                <w:kern w:val="0"/>
                <w:szCs w:val="21"/>
                <w:highlight w:val="none"/>
              </w:rPr>
              <w:t>名   称</w:t>
            </w:r>
          </w:p>
        </w:tc>
        <w:tc>
          <w:tcPr>
            <w:tcW w:w="904"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幢数</w:t>
            </w:r>
          </w:p>
        </w:tc>
        <w:tc>
          <w:tcPr>
            <w:tcW w:w="888"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楼梯数</w:t>
            </w:r>
          </w:p>
        </w:tc>
        <w:tc>
          <w:tcPr>
            <w:tcW w:w="1021"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总户数（套数）</w:t>
            </w:r>
          </w:p>
        </w:tc>
        <w:tc>
          <w:tcPr>
            <w:tcW w:w="500"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户籍在册</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 xml:space="preserve"> 实际居住</w:t>
            </w:r>
          </w:p>
        </w:tc>
      </w:tr>
      <w:tr>
        <w:tblPrEx>
          <w:tblCellMar>
            <w:top w:w="15" w:type="dxa"/>
            <w:left w:w="15" w:type="dxa"/>
            <w:bottom w:w="15" w:type="dxa"/>
            <w:right w:w="15" w:type="dxa"/>
          </w:tblCellMar>
        </w:tblPrEx>
        <w:trPr>
          <w:trHeight w:val="375" w:hRule="atLeast"/>
        </w:trPr>
        <w:tc>
          <w:tcPr>
            <w:tcW w:w="158"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b/>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b/>
                <w:color w:val="auto"/>
                <w:szCs w:val="21"/>
                <w:highlight w:val="none"/>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b/>
                <w:color w:val="auto"/>
                <w:szCs w:val="21"/>
                <w:highlight w:val="none"/>
              </w:rPr>
            </w:pPr>
          </w:p>
        </w:tc>
        <w:tc>
          <w:tcPr>
            <w:tcW w:w="19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总数</w:t>
            </w:r>
          </w:p>
        </w:tc>
        <w:tc>
          <w:tcPr>
            <w:tcW w:w="17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高层</w:t>
            </w:r>
          </w:p>
        </w:tc>
        <w:tc>
          <w:tcPr>
            <w:tcW w:w="17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多层</w:t>
            </w:r>
          </w:p>
        </w:tc>
        <w:tc>
          <w:tcPr>
            <w:tcW w:w="18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排屋</w:t>
            </w:r>
          </w:p>
        </w:tc>
        <w:tc>
          <w:tcPr>
            <w:tcW w:w="172"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别墅</w:t>
            </w:r>
          </w:p>
        </w:tc>
        <w:tc>
          <w:tcPr>
            <w:tcW w:w="19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总数</w:t>
            </w:r>
          </w:p>
        </w:tc>
        <w:tc>
          <w:tcPr>
            <w:tcW w:w="169"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高层</w:t>
            </w:r>
          </w:p>
        </w:tc>
        <w:tc>
          <w:tcPr>
            <w:tcW w:w="17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多层</w:t>
            </w:r>
          </w:p>
        </w:tc>
        <w:tc>
          <w:tcPr>
            <w:tcW w:w="169"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排屋</w:t>
            </w:r>
          </w:p>
        </w:tc>
        <w:tc>
          <w:tcPr>
            <w:tcW w:w="178"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别墅</w:t>
            </w:r>
          </w:p>
        </w:tc>
        <w:tc>
          <w:tcPr>
            <w:tcW w:w="206"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总数</w:t>
            </w:r>
          </w:p>
        </w:tc>
        <w:tc>
          <w:tcPr>
            <w:tcW w:w="222"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高层</w:t>
            </w:r>
          </w:p>
        </w:tc>
        <w:tc>
          <w:tcPr>
            <w:tcW w:w="206"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多层</w:t>
            </w:r>
          </w:p>
        </w:tc>
        <w:tc>
          <w:tcPr>
            <w:tcW w:w="211"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排屋</w:t>
            </w:r>
          </w:p>
        </w:tc>
        <w:tc>
          <w:tcPr>
            <w:tcW w:w="172"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别墅</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总户数</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总人数</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总户数</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b/>
                <w:color w:val="auto"/>
                <w:szCs w:val="21"/>
                <w:highlight w:val="none"/>
              </w:rPr>
            </w:pPr>
            <w:r>
              <w:rPr>
                <w:rFonts w:hint="eastAsia" w:ascii="黑体" w:hAnsi="宋体" w:eastAsia="黑体" w:cs="黑体"/>
                <w:b/>
                <w:color w:val="auto"/>
                <w:kern w:val="0"/>
                <w:szCs w:val="21"/>
                <w:highlight w:val="none"/>
              </w:rPr>
              <w:t>总人数</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柳洲</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欣达</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865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865</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541</w:t>
            </w:r>
          </w:p>
        </w:tc>
        <w:tc>
          <w:tcPr>
            <w:tcW w:w="256" w:type="pct"/>
            <w:tcBorders>
              <w:left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1447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865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865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小城故事</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479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393</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96</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479</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478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证大·东方名嘉</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582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582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319</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871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582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1615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风泽泗洲</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82</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179</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73</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487</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79</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82</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485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1455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嘉景公寓</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65</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114</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嘉湖阳光花园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131</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171</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995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富康花苑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201</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201</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563</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阳光地带</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146</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360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1143</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124</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82</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493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3406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337</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2789</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208</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82</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1746</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4695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3388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7179</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玉兰</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雪松里</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836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836</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592</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1750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811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2920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10</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桂花里</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619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619</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429</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1199</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602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2168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11</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冬青里</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172</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478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223</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803</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12</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冬青别墅</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13</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学仕嘉园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481</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349</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650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431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1552</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14</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学仕华庄</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15</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罗星公寓</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720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16</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博文府邸</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163</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203</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710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17</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河滨花苑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60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75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175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93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16</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54</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283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255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26</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77</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2994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538</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2316</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26</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54</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1655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4672</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2594</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9356</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18</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瓶山</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南苑里</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175" w:type="pct"/>
            <w:tcBorders>
              <w:top w:val="single" w:color="000000" w:sz="4" w:space="0"/>
              <w:left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8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2" w:type="pct"/>
            <w:tcBorders>
              <w:top w:val="single" w:color="000000" w:sz="4" w:space="0"/>
              <w:left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536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529</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356</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994</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536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1642</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19</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阳光名邸</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203</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114</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20</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嘉河花苑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561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1125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21</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永福花园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667</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667</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1054</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667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2268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22</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乐福苑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126</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99</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425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23</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龙鼎御园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757</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472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285</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729</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757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2574</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24</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南城花苑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61</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25</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下塘街47号楼</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136</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26</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钱家汇36号楼</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27</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下塘街34号楼</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28</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下塘街2弄</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72</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29</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南庵弄</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95</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2725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598</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2226</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1426</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3991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2717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9067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30</w:t>
            </w:r>
          </w:p>
        </w:tc>
        <w:tc>
          <w:tcPr>
            <w:tcW w:w="191" w:type="pct"/>
            <w:vMerge w:val="restart"/>
            <w:tcBorders>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南门</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城市心境</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432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684</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1547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31</w:t>
            </w:r>
          </w:p>
        </w:tc>
        <w:tc>
          <w:tcPr>
            <w:tcW w:w="191" w:type="pct"/>
            <w:vMerge w:val="continue"/>
            <w:tcBorders>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中央花园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410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198</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410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1394</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32</w:t>
            </w:r>
          </w:p>
        </w:tc>
        <w:tc>
          <w:tcPr>
            <w:tcW w:w="191" w:type="pct"/>
            <w:vMerge w:val="continue"/>
            <w:tcBorders>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人民大道828号楼</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33</w:t>
            </w:r>
          </w:p>
        </w:tc>
        <w:tc>
          <w:tcPr>
            <w:tcW w:w="191" w:type="pct"/>
            <w:vMerge w:val="continue"/>
            <w:tcBorders>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江南乐章</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29</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11</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578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36</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578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1965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34</w:t>
            </w:r>
          </w:p>
        </w:tc>
        <w:tc>
          <w:tcPr>
            <w:tcW w:w="191" w:type="pct"/>
            <w:vMerge w:val="continue"/>
            <w:tcBorders>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蓝天家园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361</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44</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317</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333</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416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1414</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35</w:t>
            </w:r>
          </w:p>
        </w:tc>
        <w:tc>
          <w:tcPr>
            <w:tcW w:w="191" w:type="pct"/>
            <w:vMerge w:val="continue"/>
            <w:tcBorders>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车站南路220弄</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75</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1834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1519</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56</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868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2294</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1889</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6424</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36</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晋阳</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南玫瑰小区</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186</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529</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857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37</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北玫瑰小区</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333</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333</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227</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619</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333</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1016</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38</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南龙柏小区</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439</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1237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2100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39</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北龙柏小区</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315</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611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1100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40</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幽澜苑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119</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119</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321</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41</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城南新村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248</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720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42</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龙鑫公寓</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126</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339</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43</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晋阳公寓</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93</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93</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57</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93</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283</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44</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车站南路439弄</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45</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魏塘农机站</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84</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2254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2254</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1453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4047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2254</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6940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46</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子胥</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兴贤新村联排</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47</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西城半岛</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274</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411</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48</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南城花苑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52</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49</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子胥苑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1648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94</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1554</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704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1841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1100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2956</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50</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瑞景嘉苑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1081</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851</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802</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51</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景园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457</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457</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52</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新农圩</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53</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瑞园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476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476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593</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54</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丰前新村(有机更新)</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128</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285</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55</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银河景苑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782</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56</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拆迁片</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797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4523</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1761</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2704</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1583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4037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2347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6029</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57</w:t>
            </w:r>
          </w:p>
        </w:tc>
        <w:tc>
          <w:tcPr>
            <w:tcW w:w="191" w:type="pct"/>
            <w:vMerge w:val="restart"/>
            <w:tcBorders>
              <w:top w:val="single" w:color="000000" w:sz="4" w:space="0"/>
              <w:left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新联</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世博帝宝</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1380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1380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177</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1067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2700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58</w:t>
            </w: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崇文府第</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99</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287</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403</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1134</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59</w:t>
            </w: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东方润园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141</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1393</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1201</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48</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309</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763</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2460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60</w:t>
            </w: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杉达嘉苑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53</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201</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61</w:t>
            </w: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世博名邸</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402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393</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1179</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62</w:t>
            </w: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嘉华春晓</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69</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44</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1547</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1371</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176</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865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790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2370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63</w:t>
            </w: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盈湖花园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62</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124</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58</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64</w:t>
            </w: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东方之珠</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396</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65</w:t>
            </w: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鑫和苑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64</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149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45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43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61</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392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82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247</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5702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4761</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563</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378</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1288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3205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3895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10998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66</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江南</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四季江南</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1457</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324</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1133</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417</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1047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1301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5418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67</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临江景苑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1395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1165</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280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730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1198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5106</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68</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白云花苑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549</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167</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1837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69</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金都上品</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139</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322</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421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2422</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70</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御景湾</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533</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533</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129</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374</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1519</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71</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颐和家园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1224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1224</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389</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1597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5700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4337</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1133</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1084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2706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4176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17899</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72</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绿洲</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景辰家园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209</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808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73</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滨湖绿洲</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708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528</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440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587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2471</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74</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金地家园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1420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1096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728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915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4218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75</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旭景嘉苑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916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916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916</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76</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万联花园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1688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1688</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187</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561</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77</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海上风华（1期+2期）</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1396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1396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234</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6337</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5833</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715</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1736</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2111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9208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78</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泗洲</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锦和苑</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2000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1240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760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373</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911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1716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6858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79</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书香门邸</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595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595</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318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518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2078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80</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百合春天</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1950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1950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524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1295</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1681</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6727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27</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4545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3785</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760</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1021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2524</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3915</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15663</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81</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新洲</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汇丰家园</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819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552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267</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166</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420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734</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2937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82</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塞纳蓝湾一期</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1038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894</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198</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464</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753</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2267</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83</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塞纳蓝湾天悦苑二期</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45</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1358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1278</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187</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448</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482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1449</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84</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孔雀城·半岛跃府</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32</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26</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1380</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1380</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 w:val="22"/>
                <w:szCs w:val="22"/>
                <w:highlight w:val="none"/>
              </w:rPr>
            </w:pPr>
            <w:r>
              <w:rPr>
                <w:rFonts w:hint="eastAsia" w:ascii="仿宋" w:hAnsi="仿宋" w:eastAsia="仿宋"/>
                <w:color w:val="auto"/>
                <w:sz w:val="22"/>
                <w:szCs w:val="22"/>
                <w:highlight w:val="none"/>
              </w:rPr>
              <w:t>四季美庐</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23</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1264</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669</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72</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523</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　</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113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47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23</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201</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141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27</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33</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0</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5859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4773</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339</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224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523</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551</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1332</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1969</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宋体"/>
                <w:color w:val="auto"/>
                <w:szCs w:val="21"/>
                <w:highlight w:val="none"/>
              </w:rPr>
            </w:pPr>
            <w:r>
              <w:rPr>
                <w:rFonts w:hint="eastAsia" w:ascii="仿宋" w:hAnsi="仿宋" w:eastAsia="仿宋"/>
                <w:color w:val="auto"/>
                <w:szCs w:val="21"/>
                <w:highlight w:val="none"/>
              </w:rPr>
              <w:t>6653</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85</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星辰</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塘院</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1102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808</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294</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150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369</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296</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800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86</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荷院</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52</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739</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467</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272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54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141</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108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328</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87</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麓院</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18</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437</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437</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232</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54</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60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120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88</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朔院</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69"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75" w:type="pct"/>
            <w:tcBorders>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69" w:type="pct"/>
            <w:tcBorders>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1041</w:t>
            </w:r>
          </w:p>
        </w:tc>
        <w:tc>
          <w:tcPr>
            <w:tcW w:w="222"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1041</w:t>
            </w:r>
          </w:p>
        </w:tc>
        <w:tc>
          <w:tcPr>
            <w:tcW w:w="206" w:type="pct"/>
            <w:tcBorders>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left w:val="single" w:color="000000" w:sz="4" w:space="0"/>
              <w:bottom w:val="single" w:color="000000" w:sz="4" w:space="0"/>
              <w:right w:val="single" w:color="000000" w:sz="4" w:space="0"/>
            </w:tcBorders>
            <w:shd w:val="clear" w:color="auto" w:fill="FFFFFF"/>
            <w:noWrap w:val="0"/>
            <w:vAlign w:val="bottom"/>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256"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106</w:t>
            </w:r>
          </w:p>
        </w:tc>
        <w:tc>
          <w:tcPr>
            <w:tcW w:w="250"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280"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102</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89</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孔雀城·翰邻悦府</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1338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1338</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90</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孔雀城·翰峰悦府</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19</w:t>
            </w: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43</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771</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714</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57</w:t>
            </w: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91</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孔雀城·翰秀悦府</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1141</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1141</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翰景悦府（2021年交付）</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1308</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1308</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翰宸雅苑（2022年交付）</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810</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810</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翰萃悦府（2021年交付）</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498</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498</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210</w:t>
            </w:r>
          </w:p>
        </w:tc>
        <w:tc>
          <w:tcPr>
            <w:tcW w:w="17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62</w:t>
            </w:r>
          </w:p>
        </w:tc>
        <w:tc>
          <w:tcPr>
            <w:tcW w:w="17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111</w:t>
            </w:r>
          </w:p>
        </w:tc>
        <w:tc>
          <w:tcPr>
            <w:tcW w:w="18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37</w:t>
            </w:r>
          </w:p>
        </w:tc>
        <w:tc>
          <w:tcPr>
            <w:tcW w:w="172"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169</w:t>
            </w:r>
          </w:p>
        </w:tc>
        <w:tc>
          <w:tcPr>
            <w:tcW w:w="169"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105</w:t>
            </w:r>
          </w:p>
        </w:tc>
        <w:tc>
          <w:tcPr>
            <w:tcW w:w="17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69"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178"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9185</w:t>
            </w:r>
          </w:p>
        </w:tc>
        <w:tc>
          <w:tcPr>
            <w:tcW w:w="222"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8562</w:t>
            </w:r>
          </w:p>
        </w:tc>
        <w:tc>
          <w:tcPr>
            <w:tcW w:w="206"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855</w:t>
            </w:r>
          </w:p>
        </w:tc>
        <w:tc>
          <w:tcPr>
            <w:tcW w:w="172"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252</w:t>
            </w:r>
          </w:p>
        </w:tc>
        <w:tc>
          <w:tcPr>
            <w:tcW w:w="256"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670</w:t>
            </w:r>
          </w:p>
        </w:tc>
        <w:tc>
          <w:tcPr>
            <w:tcW w:w="250"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514</w:t>
            </w:r>
          </w:p>
        </w:tc>
        <w:tc>
          <w:tcPr>
            <w:tcW w:w="280"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1350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92</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星河</w:t>
            </w: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澜院</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shd w:val="clear" w:color="auto" w:fill="FFFFFF"/>
            <w:noWrap w:val="0"/>
            <w:vAlign w:val="center"/>
          </w:tcPr>
          <w:p>
            <w:pPr>
              <w:jc w:val="center"/>
              <w:rPr>
                <w:rFonts w:ascii="宋体" w:hAnsi="宋体" w:cs="宋体"/>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shd w:val="clear" w:color="auto" w:fill="FFFFFF"/>
            <w:noWrap w:val="0"/>
            <w:vAlign w:val="center"/>
          </w:tcPr>
          <w:p>
            <w:pPr>
              <w:jc w:val="center"/>
              <w:rPr>
                <w:rFonts w:ascii="宋体" w:hAnsi="宋体" w:cs="宋体"/>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1035</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1035</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70</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200</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93</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珑院</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1386</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1386</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72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94</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盛景澜湾（2019年12月移交，暂代）</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932</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932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72</w:t>
            </w:r>
          </w:p>
        </w:tc>
      </w:tr>
      <w:tr>
        <w:tblPrEx>
          <w:tblCellMar>
            <w:top w:w="15" w:type="dxa"/>
            <w:left w:w="15" w:type="dxa"/>
            <w:bottom w:w="15" w:type="dxa"/>
            <w:right w:w="15" w:type="dxa"/>
          </w:tblCellMar>
        </w:tblPrEx>
        <w:trPr>
          <w:trHeight w:val="58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95</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四季澜湾（2020年移交，暂代）</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548</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29</w:t>
            </w:r>
          </w:p>
        </w:tc>
      </w:tr>
      <w:tr>
        <w:tblPrEx>
          <w:tblCellMar>
            <w:top w:w="15" w:type="dxa"/>
            <w:left w:w="15" w:type="dxa"/>
            <w:bottom w:w="15" w:type="dxa"/>
            <w:right w:w="15" w:type="dxa"/>
          </w:tblCellMar>
        </w:tblPrEx>
        <w:trPr>
          <w:trHeight w:val="73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96</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学府澜湾（2019年10月移交，暂代）</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1458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1362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96</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125</w:t>
            </w:r>
          </w:p>
        </w:tc>
      </w:tr>
      <w:tr>
        <w:tblPrEx>
          <w:tblCellMar>
            <w:top w:w="15" w:type="dxa"/>
            <w:left w:w="15" w:type="dxa"/>
            <w:bottom w:w="15" w:type="dxa"/>
            <w:right w:w="15" w:type="dxa"/>
          </w:tblCellMar>
        </w:tblPrEx>
        <w:trPr>
          <w:trHeight w:val="73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亭溪苑（2022年交付）</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22</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8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44</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24</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20</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1201</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1061</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73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御峰雅园（2021年交付）</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1008</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1008</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  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107</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28</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33</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7568</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7332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96</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173</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158</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426</w:t>
            </w:r>
          </w:p>
        </w:tc>
      </w:tr>
      <w:tr>
        <w:tblPrEx>
          <w:tblCellMar>
            <w:top w:w="15" w:type="dxa"/>
            <w:left w:w="15" w:type="dxa"/>
            <w:bottom w:w="15" w:type="dxa"/>
            <w:right w:w="15" w:type="dxa"/>
          </w:tblCellMar>
        </w:tblPrEx>
        <w:trPr>
          <w:trHeight w:val="450"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97</w:t>
            </w:r>
          </w:p>
        </w:tc>
        <w:tc>
          <w:tcPr>
            <w:tcW w:w="1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归谷园区</w:t>
            </w: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孔雀城·悦珑湾1期</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1100</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1100</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97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孔雀城·悦珑湾2期（2021年交付）</w:t>
            </w: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85"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9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16</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9"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8"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06"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1082</w:t>
            </w:r>
          </w:p>
        </w:tc>
        <w:tc>
          <w:tcPr>
            <w:tcW w:w="222" w:type="pct"/>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1082</w:t>
            </w:r>
          </w:p>
        </w:tc>
        <w:tc>
          <w:tcPr>
            <w:tcW w:w="20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11"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172"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43"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6"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5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c>
          <w:tcPr>
            <w:tcW w:w="280" w:type="pct"/>
            <w:tcBorders>
              <w:left w:val="single" w:color="000000" w:sz="4" w:space="0"/>
              <w:bottom w:val="single" w:color="000000" w:sz="4" w:space="0"/>
              <w:right w:val="single" w:color="000000" w:sz="4" w:space="0"/>
            </w:tcBorders>
            <w:shd w:val="clear" w:color="auto" w:fill="FFFFFF"/>
            <w:noWrap w:val="0"/>
            <w:vAlign w:val="center"/>
          </w:tcPr>
          <w:p>
            <w:pPr>
              <w:jc w:val="center"/>
              <w:rPr>
                <w:rFonts w:ascii="仿宋" w:hAnsi="仿宋" w:eastAsia="仿宋" w:cs="仿宋"/>
                <w:color w:val="auto"/>
                <w:szCs w:val="21"/>
                <w:highlight w:val="none"/>
              </w:rPr>
            </w:pPr>
          </w:p>
        </w:tc>
      </w:tr>
      <w:tr>
        <w:tblPrEx>
          <w:tblCellMar>
            <w:top w:w="15" w:type="dxa"/>
            <w:left w:w="15" w:type="dxa"/>
            <w:bottom w:w="15" w:type="dxa"/>
            <w:right w:w="15" w:type="dxa"/>
          </w:tblCellMar>
        </w:tblPrEx>
        <w:trPr>
          <w:trHeight w:val="37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p>
        </w:tc>
        <w:tc>
          <w:tcPr>
            <w:tcW w:w="1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黑体" w:hAnsi="宋体" w:eastAsia="黑体" w:cs="黑体"/>
                <w:color w:val="auto"/>
                <w:szCs w:val="21"/>
                <w:highlight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合计</w:t>
            </w:r>
          </w:p>
        </w:tc>
        <w:tc>
          <w:tcPr>
            <w:tcW w:w="19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17</w:t>
            </w:r>
          </w:p>
        </w:tc>
        <w:tc>
          <w:tcPr>
            <w:tcW w:w="17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7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8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9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34</w:t>
            </w:r>
          </w:p>
        </w:tc>
        <w:tc>
          <w:tcPr>
            <w:tcW w:w="169"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28</w:t>
            </w:r>
          </w:p>
        </w:tc>
        <w:tc>
          <w:tcPr>
            <w:tcW w:w="175"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9"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8"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06"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2182</w:t>
            </w:r>
          </w:p>
        </w:tc>
        <w:tc>
          <w:tcPr>
            <w:tcW w:w="222"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2182</w:t>
            </w:r>
          </w:p>
        </w:tc>
        <w:tc>
          <w:tcPr>
            <w:tcW w:w="206"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11"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172"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43"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6"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50"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c>
          <w:tcPr>
            <w:tcW w:w="280" w:type="pct"/>
            <w:tcBorders>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0</w:t>
            </w:r>
          </w:p>
        </w:tc>
      </w:tr>
      <w:tr>
        <w:tblPrEx>
          <w:tblCellMar>
            <w:top w:w="15" w:type="dxa"/>
            <w:left w:w="15" w:type="dxa"/>
            <w:bottom w:w="15" w:type="dxa"/>
            <w:right w:w="15" w:type="dxa"/>
          </w:tblCellMar>
        </w:tblPrEx>
        <w:trPr>
          <w:trHeight w:val="495" w:hRule="atLeast"/>
        </w:trPr>
        <w:tc>
          <w:tcPr>
            <w:tcW w:w="1154"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rPr>
              <w:t>总合计</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1808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468</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826</w:t>
            </w:r>
          </w:p>
        </w:tc>
        <w:tc>
          <w:tcPr>
            <w:tcW w:w="18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298</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204</w:t>
            </w:r>
          </w:p>
        </w:tc>
        <w:tc>
          <w:tcPr>
            <w:tcW w:w="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3313</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930</w:t>
            </w:r>
          </w:p>
        </w:tc>
        <w:tc>
          <w:tcPr>
            <w:tcW w:w="17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1774</w:t>
            </w:r>
          </w:p>
        </w:tc>
        <w:tc>
          <w:tcPr>
            <w:tcW w:w="1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401</w:t>
            </w:r>
          </w:p>
        </w:tc>
        <w:tc>
          <w:tcPr>
            <w:tcW w:w="1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192</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6481</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45055</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16989</w:t>
            </w:r>
          </w:p>
        </w:tc>
        <w:tc>
          <w:tcPr>
            <w:tcW w:w="2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2161</w:t>
            </w:r>
          </w:p>
        </w:tc>
        <w:tc>
          <w:tcPr>
            <w:tcW w:w="17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662</w:t>
            </w:r>
          </w:p>
        </w:tc>
        <w:tc>
          <w:tcPr>
            <w:tcW w:w="2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13642</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35909</w:t>
            </w:r>
          </w:p>
        </w:tc>
        <w:tc>
          <w:tcPr>
            <w:tcW w:w="2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31812</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highlight w:val="none"/>
              </w:rPr>
            </w:pPr>
            <w:r>
              <w:rPr>
                <w:rFonts w:hint="eastAsia"/>
                <w:color w:val="auto"/>
                <w:szCs w:val="21"/>
                <w:highlight w:val="none"/>
              </w:rPr>
              <w:t>107192</w:t>
            </w:r>
          </w:p>
        </w:tc>
      </w:tr>
    </w:tbl>
    <w:p>
      <w:pPr>
        <w:spacing w:line="300" w:lineRule="auto"/>
        <w:ind w:firstLine="482" w:firstLineChars="200"/>
        <w:contextualSpacing/>
        <w:jc w:val="left"/>
        <w:rPr>
          <w:rFonts w:ascii="宋体" w:hAnsi="宋体" w:cs="宋体"/>
          <w:b/>
          <w:color w:val="auto"/>
          <w:sz w:val="24"/>
          <w:highlight w:val="none"/>
        </w:rPr>
        <w:sectPr>
          <w:pgSz w:w="16838" w:h="11906" w:orient="landscape"/>
          <w:pgMar w:top="1134" w:right="1134" w:bottom="1134" w:left="1134" w:header="851" w:footer="992" w:gutter="0"/>
          <w:cols w:space="720" w:num="1"/>
          <w:docGrid w:type="lines" w:linePitch="312" w:charSpace="0"/>
        </w:sectPr>
      </w:pPr>
    </w:p>
    <w:p>
      <w:pPr>
        <w:adjustRightInd w:val="0"/>
        <w:snapToGrid w:val="0"/>
        <w:spacing w:line="5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二、服务内容及要求：</w:t>
      </w:r>
      <w:r>
        <w:rPr>
          <w:rFonts w:hAnsi="宋体"/>
          <w:color w:val="auto"/>
          <w:sz w:val="24"/>
          <w:highlight w:val="none"/>
        </w:rPr>
        <w:t xml:space="preserve"> </w:t>
      </w:r>
    </w:p>
    <w:p>
      <w:pPr>
        <w:adjustRightInd w:val="0"/>
        <w:snapToGrid w:val="0"/>
        <w:spacing w:line="500" w:lineRule="exact"/>
        <w:ind w:firstLine="480" w:firstLineChars="200"/>
        <w:rPr>
          <w:rFonts w:hAnsi="宋体"/>
          <w:color w:val="auto"/>
          <w:sz w:val="24"/>
          <w:highlight w:val="none"/>
        </w:rPr>
      </w:pPr>
      <w:r>
        <w:rPr>
          <w:rFonts w:hint="eastAsia" w:hAnsi="宋体"/>
          <w:color w:val="auto"/>
          <w:sz w:val="24"/>
          <w:highlight w:val="none"/>
        </w:rPr>
        <w:t>中标人在服务范围内按照采购人要求进行生活垃圾四分类设施采购投放、布点建设，提供生活垃圾分类日常运行管理服务，具体包括宣传、劝导、督导、培训，居民分类积分兑换物品，分类收运车辆采购、运维，可回收物收运处置，有害垃圾代收暂存等。相关工作要求如下：</w:t>
      </w:r>
    </w:p>
    <w:p>
      <w:pPr>
        <w:spacing w:line="300" w:lineRule="auto"/>
        <w:ind w:firstLine="600" w:firstLineChars="249"/>
        <w:contextualSpacing/>
        <w:jc w:val="left"/>
        <w:rPr>
          <w:color w:val="auto"/>
          <w:highlight w:val="none"/>
        </w:rPr>
      </w:pPr>
      <w:r>
        <w:rPr>
          <w:rFonts w:hint="eastAsia" w:ascii="宋体" w:hAnsi="宋体" w:cs="宋体"/>
          <w:b/>
          <w:color w:val="auto"/>
          <w:sz w:val="24"/>
          <w:highlight w:val="none"/>
        </w:rPr>
        <w:t>（一）宣传培训</w:t>
      </w:r>
    </w:p>
    <w:p>
      <w:pPr>
        <w:widowControl/>
        <w:shd w:val="clear" w:color="auto" w:fill="FFFFFF"/>
        <w:adjustRightInd w:val="0"/>
        <w:snapToGrid w:val="0"/>
        <w:spacing w:line="400" w:lineRule="exact"/>
        <w:ind w:firstLine="480" w:firstLineChars="200"/>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1.上门宣传指导分类。给每户居民发放垃圾分类宣传指导手册，包括每月一次上门发放垃圾袋或标签。</w:t>
      </w:r>
    </w:p>
    <w:p>
      <w:pPr>
        <w:widowControl/>
        <w:shd w:val="clear" w:color="auto" w:fill="FFFFFF"/>
        <w:adjustRightInd w:val="0"/>
        <w:snapToGrid w:val="0"/>
        <w:spacing w:line="400" w:lineRule="exact"/>
        <w:ind w:firstLine="480" w:firstLineChars="200"/>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2.在居民小区和企事业单位醒目位置公布小区和企事业单位的垃圾分类方法、垃圾分类工作责任人和联系电话，有害垃圾和可回收物种类、服务电话、回收时间等信息。</w:t>
      </w:r>
    </w:p>
    <w:p>
      <w:pPr>
        <w:widowControl/>
        <w:shd w:val="clear" w:color="auto" w:fill="FFFFFF"/>
        <w:adjustRightInd w:val="0"/>
        <w:snapToGrid w:val="0"/>
        <w:spacing w:line="400" w:lineRule="exact"/>
        <w:ind w:firstLine="480" w:firstLineChars="200"/>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3. 按要求制定和建立年度垃圾分类宣传、培训方案并上报街道分类办。每个小区每月开展垃圾分类宣传和垃圾分类知识培训活动不少于1次（省高标示范小区每月不少于2次）。每次参加活动人数不少于50人。每次活动开展的工作信息、宣传培训等过程性资料整理后及时交给街道分类办。</w:t>
      </w:r>
    </w:p>
    <w:p>
      <w:pPr>
        <w:pStyle w:val="72"/>
        <w:spacing w:line="400" w:lineRule="exact"/>
        <w:ind w:firstLine="480"/>
        <w:rPr>
          <w:rFonts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4.每年组织不少于4次大型垃圾分类专职人员知识培训（劝导员、保洁员、物管人员等）；每月进机关企事业单位宣讲分类知识。每周上报1篇宣传信息，每日上报一篇工作动态。配合街道分类办、社区开展垃圾分类志愿者等活动。相关台账资料在次月5日前交予街道分类办。</w:t>
      </w:r>
    </w:p>
    <w:p>
      <w:pPr>
        <w:pStyle w:val="72"/>
        <w:spacing w:line="400" w:lineRule="exact"/>
        <w:ind w:firstLine="480"/>
        <w:rPr>
          <w:rFonts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5.居民小区在启动定时定点投放时开展一次启动仪式,每次参加活动人数不少于300人，（小区实际居住人数不足300人的，参加人数不少于实际居住人数的60%），每次费用不低于3000元。每个季度开展大型主题宣传兑换活动1次，每次参加活动人数不少于300人，举办活动之前把方案递交街道分类办审核。每次活动的奖品、照片、工作信息由中标单位落实完成，相关照片、信息、参加活动名单等及时交予社区，所上报的动态信息稿件要求具有时效性。</w:t>
      </w:r>
    </w:p>
    <w:p>
      <w:pPr>
        <w:pStyle w:val="72"/>
        <w:spacing w:line="400" w:lineRule="exact"/>
        <w:ind w:firstLine="480"/>
        <w:rPr>
          <w:rFonts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6.宣传形式现场和线上都要有。现场活动内容要精彩，有新意，让居民喜闻乐见；线上宣传形式多样化。每次活动都要得出有效的宣传数据。定期总结优秀经验做法，每月上报街道分类办经验性做法不少于1篇。</w:t>
      </w:r>
    </w:p>
    <w:p>
      <w:pPr>
        <w:pStyle w:val="72"/>
        <w:spacing w:line="400" w:lineRule="exact"/>
        <w:ind w:firstLine="480"/>
        <w:rPr>
          <w:rFonts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需根据县市等上级文件要求开展好各类宣传服务活动，各类宣传活动开展所需设施设备、宣传资料以及人员由中标单位落实并支付相关费用。</w:t>
      </w:r>
    </w:p>
    <w:p>
      <w:pPr>
        <w:pStyle w:val="72"/>
        <w:spacing w:line="400" w:lineRule="exact"/>
        <w:ind w:firstLine="480"/>
        <w:rPr>
          <w:rFonts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7.宣传效果。实现省级高标准小区和定时定点投放小区的居民垃圾分类知识知晓率100%、参与率达到95%、准确率达到95%以上；未开展定时定点投放小区居民和其他29类场景（包含但不仅限于）垃圾分类基本内容的知晓率达到100%、参与率达到95%以上、准确率达到90%以上。居民满意率均达95%以上。</w:t>
      </w:r>
    </w:p>
    <w:p>
      <w:pPr>
        <w:pStyle w:val="72"/>
        <w:spacing w:line="400" w:lineRule="exact"/>
        <w:ind w:firstLine="480"/>
        <w:rPr>
          <w:rFonts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8.培训要求。每年组织不少于4次生活垃圾分类从业人员知识培训，主要培训对象：劝导员、团队成员、物业人员、企事业单位管理人员等。每月不少于一次与居民、商铺经营人员、企事业员工等垃圾分类个体之间的交流培训，每次培训都要得出有效的培训数据。</w:t>
      </w:r>
    </w:p>
    <w:p>
      <w:pPr>
        <w:pStyle w:val="72"/>
        <w:spacing w:line="400" w:lineRule="exact"/>
        <w:ind w:firstLine="482"/>
        <w:rPr>
          <w:rFonts w:ascii="宋体" w:hAnsi="宋体" w:cs="宋体"/>
          <w:b/>
          <w:color w:val="auto"/>
          <w:kern w:val="0"/>
          <w:sz w:val="24"/>
          <w:szCs w:val="24"/>
          <w:highlight w:val="none"/>
          <w:shd w:val="clear" w:color="auto" w:fill="FFFFFF"/>
        </w:rPr>
      </w:pPr>
      <w:r>
        <w:rPr>
          <w:rFonts w:hint="eastAsia" w:ascii="宋体" w:hAnsi="宋体" w:cs="宋体"/>
          <w:b/>
          <w:color w:val="auto"/>
          <w:kern w:val="0"/>
          <w:sz w:val="24"/>
          <w:szCs w:val="24"/>
          <w:highlight w:val="none"/>
          <w:shd w:val="clear" w:color="auto" w:fill="FFFFFF"/>
        </w:rPr>
        <w:t>（二）运维管理</w:t>
      </w:r>
    </w:p>
    <w:p>
      <w:pPr>
        <w:pStyle w:val="72"/>
        <w:spacing w:line="400" w:lineRule="exact"/>
        <w:ind w:firstLine="480"/>
        <w:rPr>
          <w:rFonts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1.建立四分类体系：可回收物、有害垃圾、易腐垃圾【小区为易腐（厨余）垃圾，餐饮行业、单位、企业及学校为易腐（餐厨）垃圾，农贸市场为易腐（生鲜）垃圾】、其他垃圾。建立全街道生活垃圾四分类宣传、督查、收运清单，各类垃圾分类投放、收集运输、处置体系健全（台帐体现）。定期对辖区内小区、企业、学校、机关事业分类工作进行日常指导、协调、检查和监督。协助社区组织楼道长、物业管理员、志愿者、督导员每周开展现场指导和监督工作。（记录照片）</w:t>
      </w:r>
    </w:p>
    <w:p>
      <w:pPr>
        <w:widowControl/>
        <w:shd w:val="clear" w:color="auto" w:fill="FFFFFF"/>
        <w:adjustRightInd w:val="0"/>
        <w:snapToGrid w:val="0"/>
        <w:spacing w:line="300" w:lineRule="auto"/>
        <w:ind w:firstLine="480" w:firstLineChars="200"/>
        <w:rPr>
          <w:rFonts w:ascii="宋体" w:hAnsi="宋体" w:cs="宋体"/>
          <w:bCs/>
          <w:color w:val="auto"/>
          <w:kern w:val="0"/>
          <w:sz w:val="24"/>
          <w:highlight w:val="none"/>
          <w:shd w:val="clear" w:color="auto" w:fill="FFFFFF"/>
        </w:rPr>
      </w:pPr>
      <w:r>
        <w:rPr>
          <w:rFonts w:hint="eastAsia" w:ascii="宋体" w:hAnsi="宋体" w:cs="宋体"/>
          <w:bCs/>
          <w:color w:val="auto"/>
          <w:kern w:val="0"/>
          <w:sz w:val="24"/>
          <w:highlight w:val="none"/>
          <w:shd w:val="clear" w:color="auto" w:fill="FFFFFF"/>
        </w:rPr>
        <w:t>2.基础设施维护及建设要求：</w:t>
      </w:r>
    </w:p>
    <w:p>
      <w:pPr>
        <w:snapToGrid w:val="0"/>
        <w:spacing w:line="300" w:lineRule="auto"/>
        <w:ind w:firstLine="480" w:firstLineChars="200"/>
        <w:rPr>
          <w:rFonts w:ascii="宋体" w:hAnsi="宋体" w:cs="宋体"/>
          <w:bCs/>
          <w:color w:val="auto"/>
          <w:kern w:val="0"/>
          <w:sz w:val="24"/>
          <w:highlight w:val="none"/>
          <w:shd w:val="clear" w:color="auto" w:fill="FFFFFF"/>
        </w:rPr>
      </w:pPr>
      <w:r>
        <w:rPr>
          <w:rFonts w:hint="eastAsia" w:ascii="宋体" w:hAnsi="宋体" w:cs="宋体"/>
          <w:bCs/>
          <w:color w:val="auto"/>
          <w:kern w:val="0"/>
          <w:sz w:val="24"/>
          <w:highlight w:val="none"/>
          <w:shd w:val="clear" w:color="auto" w:fill="FFFFFF"/>
        </w:rPr>
        <w:t>定时定点投放站点建设以及宣传栏、公示栏、分类导引牌、楼道评比栏等制作和安装需根据每个小区、每个楼道的实际情况进行安排，中标后按照采购人的要求进行施工（费用按实结算，其中定时定点投放站点建设须提供施工图纸并通过采购人审核），并交采购人验收，不达标的要及时进行整改，两次不通过可扣除相应费用。</w:t>
      </w:r>
    </w:p>
    <w:p>
      <w:pPr>
        <w:spacing w:line="300" w:lineRule="auto"/>
        <w:ind w:firstLine="480" w:firstLineChars="200"/>
        <w:contextualSpacing/>
        <w:jc w:val="left"/>
        <w:rPr>
          <w:rFonts w:ascii="宋体" w:hAnsi="宋体" w:cs="宋体"/>
          <w:b/>
          <w:color w:val="auto"/>
          <w:sz w:val="24"/>
          <w:highlight w:val="none"/>
        </w:rPr>
      </w:pPr>
      <w:r>
        <w:rPr>
          <w:rFonts w:hint="eastAsia" w:ascii="宋体" w:hAnsi="宋体" w:cs="宋体"/>
          <w:color w:val="auto"/>
          <w:sz w:val="24"/>
          <w:highlight w:val="none"/>
        </w:rPr>
        <w:t>（1）已有分类设施设备维</w:t>
      </w:r>
      <w:r>
        <w:rPr>
          <w:rFonts w:hint="eastAsia" w:ascii="宋体" w:hAnsi="宋体" w:cs="宋体"/>
          <w:color w:val="auto"/>
          <w:kern w:val="0"/>
          <w:sz w:val="24"/>
          <w:highlight w:val="none"/>
          <w:shd w:val="clear" w:color="auto" w:fill="FFFFFF"/>
        </w:rPr>
        <w:t>护。采购人将辖 区内已有分类设施设备移交给中标人运维管理，中标人需落实好维护管理：机关事业单位（包括学校）垃圾分类智能设备定期维护，保持正常运行； 居民小区定时定点投放站点、垃圾收集容器（桶）及周边环境保持整洁，摆放整齐，无破损、满溢，桶盖盖合。宣传评比栏及时更新，智能四分类、机械桶等设施设备运作正常，定期检修、维护保养，发袋机、礼品兑换机内物品要补足，保证居民能正常使用。要使用好街道“善分类”云数据管理平台，每天实时、如实上传居民分类情况。已有</w:t>
      </w:r>
      <w:r>
        <w:rPr>
          <w:rFonts w:hint="eastAsia" w:ascii="宋体" w:hAnsi="宋体" w:cs="宋体"/>
          <w:color w:val="auto"/>
          <w:sz w:val="24"/>
          <w:highlight w:val="none"/>
        </w:rPr>
        <w:t>分类设施设备见表3、表4。</w:t>
      </w:r>
    </w:p>
    <w:p>
      <w:pPr>
        <w:pStyle w:val="14"/>
        <w:snapToGrid w:val="0"/>
        <w:spacing w:beforeLines="0" w:afterLines="0" w:line="300" w:lineRule="auto"/>
        <w:rPr>
          <w:rFonts w:hAnsi="宋体"/>
          <w:b/>
          <w:color w:val="auto"/>
          <w:sz w:val="28"/>
          <w:szCs w:val="28"/>
          <w:highlight w:val="none"/>
        </w:rPr>
      </w:pPr>
      <w:r>
        <w:rPr>
          <w:rFonts w:hint="eastAsia" w:hAnsi="宋体"/>
          <w:b/>
          <w:color w:val="auto"/>
          <w:sz w:val="28"/>
          <w:szCs w:val="28"/>
          <w:highlight w:val="none"/>
        </w:rPr>
        <w:t>表3：             罗星街道各小区现有设施设备明细表</w:t>
      </w:r>
    </w:p>
    <w:tbl>
      <w:tblPr>
        <w:tblStyle w:val="26"/>
        <w:tblW w:w="9654" w:type="dxa"/>
        <w:tblInd w:w="93" w:type="dxa"/>
        <w:tblLayout w:type="fixed"/>
        <w:tblCellMar>
          <w:top w:w="0" w:type="dxa"/>
          <w:left w:w="108" w:type="dxa"/>
          <w:bottom w:w="0" w:type="dxa"/>
          <w:right w:w="108" w:type="dxa"/>
        </w:tblCellMar>
      </w:tblPr>
      <w:tblGrid>
        <w:gridCol w:w="691"/>
        <w:gridCol w:w="742"/>
        <w:gridCol w:w="1559"/>
        <w:gridCol w:w="1134"/>
        <w:gridCol w:w="709"/>
        <w:gridCol w:w="1134"/>
        <w:gridCol w:w="567"/>
        <w:gridCol w:w="709"/>
        <w:gridCol w:w="708"/>
        <w:gridCol w:w="993"/>
        <w:gridCol w:w="708"/>
      </w:tblGrid>
      <w:tr>
        <w:tblPrEx>
          <w:tblCellMar>
            <w:top w:w="0" w:type="dxa"/>
            <w:left w:w="108" w:type="dxa"/>
            <w:bottom w:w="0" w:type="dxa"/>
            <w:right w:w="108" w:type="dxa"/>
          </w:tblCellMar>
        </w:tblPrEx>
        <w:trPr>
          <w:trHeight w:val="280" w:hRule="atLeast"/>
        </w:trPr>
        <w:tc>
          <w:tcPr>
            <w:tcW w:w="6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　</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小区</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2"/>
                <w:szCs w:val="22"/>
                <w:highlight w:val="none"/>
              </w:rPr>
            </w:pPr>
            <w:r>
              <w:rPr>
                <w:rFonts w:hint="eastAsia" w:hAnsi="宋体"/>
                <w:color w:val="auto"/>
                <w:sz w:val="24"/>
                <w:highlight w:val="none"/>
              </w:rPr>
              <w:t>智能可回收四分类垃圾箱</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
                <w:bCs/>
                <w:color w:val="auto"/>
                <w:kern w:val="0"/>
                <w:sz w:val="22"/>
                <w:szCs w:val="22"/>
                <w:highlight w:val="none"/>
              </w:rPr>
            </w:pPr>
            <w:r>
              <w:rPr>
                <w:rFonts w:hint="eastAsia" w:hAnsi="宋体"/>
                <w:color w:val="auto"/>
                <w:sz w:val="24"/>
                <w:highlight w:val="none"/>
              </w:rPr>
              <w:t>有害垃圾收纳箱</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b/>
                <w:bCs/>
                <w:color w:val="auto"/>
                <w:kern w:val="0"/>
                <w:sz w:val="22"/>
                <w:szCs w:val="22"/>
                <w:highlight w:val="none"/>
              </w:rPr>
            </w:pPr>
            <w:r>
              <w:rPr>
                <w:rFonts w:hint="eastAsia" w:hAnsi="宋体"/>
                <w:color w:val="auto"/>
                <w:sz w:val="24"/>
                <w:highlight w:val="none"/>
              </w:rPr>
              <w:t>机械分类桶(个）</w:t>
            </w:r>
          </w:p>
        </w:tc>
        <w:tc>
          <w:tcPr>
            <w:tcW w:w="567" w:type="dxa"/>
            <w:tcBorders>
              <w:top w:val="single" w:color="auto" w:sz="4" w:space="0"/>
              <w:left w:val="nil"/>
              <w:bottom w:val="single" w:color="auto" w:sz="4" w:space="0"/>
              <w:right w:val="single" w:color="auto" w:sz="4" w:space="0"/>
            </w:tcBorders>
            <w:noWrap/>
            <w:vAlign w:val="center"/>
          </w:tcPr>
          <w:p>
            <w:pPr>
              <w:widowControl/>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定时收集房、亭</w:t>
            </w:r>
          </w:p>
        </w:tc>
        <w:tc>
          <w:tcPr>
            <w:tcW w:w="709" w:type="dxa"/>
            <w:tcBorders>
              <w:top w:val="single" w:color="auto" w:sz="4" w:space="0"/>
              <w:left w:val="nil"/>
              <w:bottom w:val="single" w:color="auto" w:sz="4" w:space="0"/>
              <w:right w:val="single" w:color="auto" w:sz="4" w:space="0"/>
            </w:tcBorders>
            <w:noWrap w:val="0"/>
            <w:vAlign w:val="top"/>
          </w:tcPr>
          <w:p>
            <w:pPr>
              <w:pStyle w:val="14"/>
              <w:snapToGrid w:val="0"/>
              <w:spacing w:beforeLines="0" w:afterLines="0" w:line="300" w:lineRule="auto"/>
              <w:rPr>
                <w:rFonts w:hAnsi="宋体"/>
                <w:color w:val="auto"/>
                <w:highlight w:val="none"/>
              </w:rPr>
            </w:pPr>
            <w:r>
              <w:rPr>
                <w:rFonts w:hint="eastAsia" w:hAnsi="宋体"/>
                <w:color w:val="auto"/>
                <w:highlight w:val="none"/>
              </w:rPr>
              <w:t>礼品兑换机</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
                <w:bCs/>
                <w:color w:val="auto"/>
                <w:kern w:val="0"/>
                <w:sz w:val="22"/>
                <w:szCs w:val="22"/>
                <w:highlight w:val="none"/>
              </w:rPr>
            </w:pPr>
            <w:r>
              <w:rPr>
                <w:rFonts w:hint="eastAsia" w:hAnsi="宋体"/>
                <w:color w:val="auto"/>
                <w:sz w:val="24"/>
                <w:highlight w:val="none"/>
              </w:rPr>
              <w:t>垃圾袋发放机</w:t>
            </w: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hAnsi="宋体"/>
                <w:color w:val="auto"/>
                <w:sz w:val="24"/>
                <w:highlight w:val="none"/>
              </w:rPr>
            </w:pPr>
            <w:r>
              <w:rPr>
                <w:rFonts w:hint="eastAsia" w:hAnsi="宋体"/>
                <w:color w:val="auto"/>
                <w:sz w:val="24"/>
                <w:highlight w:val="none"/>
              </w:rPr>
              <w:t>垃圾分类宣传栏</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hAnsi="宋体"/>
                <w:color w:val="auto"/>
                <w:sz w:val="24"/>
                <w:highlight w:val="none"/>
              </w:rPr>
            </w:pPr>
            <w:r>
              <w:rPr>
                <w:rFonts w:hint="eastAsia" w:hAnsi="宋体"/>
                <w:color w:val="auto"/>
                <w:sz w:val="24"/>
                <w:highlight w:val="none"/>
              </w:rPr>
              <w:t>评比公示栏</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4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江南社区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白云花苑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color w:val="auto"/>
                <w:sz w:val="22"/>
                <w:szCs w:val="22"/>
                <w:highlight w:val="none"/>
              </w:rPr>
            </w:pPr>
            <w:r>
              <w:rPr>
                <w:rFonts w:hint="eastAsia" w:ascii="宋体" w:hAnsi="宋体" w:cs="宋体"/>
                <w:color w:val="auto"/>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临江景苑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69</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7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四季江南</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7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金都上品</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7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御景湾</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7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颐和家园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74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绿洲社区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滨湖绿洲</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81</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旭景嘉苑</w:t>
            </w:r>
          </w:p>
        </w:tc>
        <w:tc>
          <w:tcPr>
            <w:tcW w:w="1134" w:type="dxa"/>
            <w:tcBorders>
              <w:top w:val="single" w:color="auto" w:sz="4" w:space="0"/>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single" w:color="auto" w:sz="4" w:space="0"/>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金地家园一期</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33</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金地家园二期</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金地家园三期</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海上风华一期</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海上风华二期</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万联花园一期</w:t>
            </w:r>
          </w:p>
        </w:tc>
        <w:tc>
          <w:tcPr>
            <w:tcW w:w="1134" w:type="dxa"/>
            <w:tcBorders>
              <w:top w:val="single" w:color="auto" w:sz="4" w:space="0"/>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single" w:color="auto" w:sz="4" w:space="0"/>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万联花园二期</w:t>
            </w:r>
          </w:p>
        </w:tc>
        <w:tc>
          <w:tcPr>
            <w:tcW w:w="1134" w:type="dxa"/>
            <w:tcBorders>
              <w:top w:val="single" w:color="auto" w:sz="4" w:space="0"/>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single" w:color="auto" w:sz="4" w:space="0"/>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景辰家园</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w:t>
            </w:r>
          </w:p>
        </w:tc>
        <w:tc>
          <w:tcPr>
            <w:tcW w:w="74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新洲社区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塞纳蓝湾一期</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99</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塞纳蓝湾二期</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color w:val="auto"/>
                <w:kern w:val="0"/>
                <w:sz w:val="22"/>
                <w:szCs w:val="22"/>
                <w:highlight w:val="none"/>
              </w:rPr>
            </w:pPr>
          </w:p>
        </w:tc>
        <w:tc>
          <w:tcPr>
            <w:tcW w:w="567" w:type="dxa"/>
            <w:tcBorders>
              <w:top w:val="single" w:color="auto" w:sz="4" w:space="0"/>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09"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汇丰家园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23</w:t>
            </w:r>
          </w:p>
        </w:tc>
        <w:tc>
          <w:tcPr>
            <w:tcW w:w="742"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子胥社区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子胥苑</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99</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24</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景园</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33</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25</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瑞园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25</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26</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瑞景嘉苑</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44</w:t>
            </w:r>
          </w:p>
        </w:tc>
        <w:tc>
          <w:tcPr>
            <w:tcW w:w="567" w:type="dxa"/>
            <w:tcBorders>
              <w:top w:val="single" w:color="auto" w:sz="4" w:space="0"/>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27</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西城半岛</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40</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28</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银河景苑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37</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w:t>
            </w:r>
          </w:p>
        </w:tc>
        <w:tc>
          <w:tcPr>
            <w:tcW w:w="74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泗洲社区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书香名邸</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31</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锦和苑</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182</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32</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百合春天</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154</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34</w:t>
            </w:r>
          </w:p>
        </w:tc>
        <w:tc>
          <w:tcPr>
            <w:tcW w:w="74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南门社区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中央花园</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33</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35</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城市心境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56</w:t>
            </w:r>
          </w:p>
        </w:tc>
        <w:tc>
          <w:tcPr>
            <w:tcW w:w="567" w:type="dxa"/>
            <w:tcBorders>
              <w:top w:val="single" w:color="auto" w:sz="4" w:space="0"/>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36</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蓝天家园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37</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江南乐章</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39</w:t>
            </w:r>
          </w:p>
        </w:tc>
        <w:tc>
          <w:tcPr>
            <w:tcW w:w="742"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瓶山社区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龙鼎御园北</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47</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40</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龙鼎御园南</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39</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41</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嘉河花苑</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36</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42</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南苑里</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48</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43</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永福花园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44</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乐福苑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45</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阳光名邸</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46</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南城花苑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47</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下塘街47号</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48</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下塘街34号</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49</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下塘街2弄</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车站南路220弄</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51</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钱家汇36号</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53</w:t>
            </w:r>
          </w:p>
        </w:tc>
        <w:tc>
          <w:tcPr>
            <w:tcW w:w="74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晋阳社区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晋阳公寓</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54</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龙鑫公寓</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55</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南龙柏</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56</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北龙柏</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57</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北玫瑰</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58</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南玫瑰</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59</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城南新村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60</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幽澜苑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61</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车站南路439弄</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62</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晋阳东路32号</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64</w:t>
            </w:r>
          </w:p>
        </w:tc>
        <w:tc>
          <w:tcPr>
            <w:tcW w:w="74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玉兰社区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罗星公寓</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65</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学仕嘉园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60</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66</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学仕华庄</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67</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博文府邸</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68</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冬青里</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69</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冬青别墅</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70</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桂花里</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57</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71</w:t>
            </w:r>
          </w:p>
        </w:tc>
        <w:tc>
          <w:tcPr>
            <w:tcW w:w="7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雪松里</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73</w:t>
            </w:r>
          </w:p>
        </w:tc>
        <w:tc>
          <w:tcPr>
            <w:tcW w:w="742"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柳洲社区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风泽泗洲</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74</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阳光地带</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75</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欣达小区</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76</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小城故事</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39</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77</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富康花苑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78</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证大小区</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79</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嘉湖阳光花园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80</w:t>
            </w:r>
          </w:p>
        </w:tc>
        <w:tc>
          <w:tcPr>
            <w:tcW w:w="74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嘉景公寓</w:t>
            </w:r>
          </w:p>
        </w:tc>
        <w:tc>
          <w:tcPr>
            <w:tcW w:w="1134" w:type="dxa"/>
            <w:tcBorders>
              <w:top w:val="nil"/>
              <w:left w:val="nil"/>
              <w:bottom w:val="nil"/>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nil"/>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567" w:type="dxa"/>
            <w:tcBorders>
              <w:top w:val="nil"/>
              <w:left w:val="nil"/>
              <w:bottom w:val="nil"/>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nil"/>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82</w:t>
            </w:r>
          </w:p>
        </w:tc>
        <w:tc>
          <w:tcPr>
            <w:tcW w:w="74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新联社区</w:t>
            </w: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东方之珠</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83</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世博名邸</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84</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世博帝宝</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45</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85</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崇文府第</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40</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86</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杉达嘉苑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87</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盈湖花园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25</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88</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嘉华春晓</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69</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80"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89</w:t>
            </w:r>
          </w:p>
        </w:tc>
        <w:tc>
          <w:tcPr>
            <w:tcW w:w="74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p>
        </w:tc>
        <w:tc>
          <w:tcPr>
            <w:tcW w:w="155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东方润园</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34"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59</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09"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993"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08" w:type="dxa"/>
            <w:tcBorders>
              <w:top w:val="nil"/>
              <w:left w:val="nil"/>
              <w:bottom w:val="single" w:color="auto" w:sz="4" w:space="0"/>
              <w:right w:val="single" w:color="auto" w:sz="4" w:space="0"/>
            </w:tcBorders>
            <w:noWrap w:val="0"/>
            <w:vAlign w:val="top"/>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r>
      <w:tr>
        <w:tblPrEx>
          <w:tblCellMar>
            <w:top w:w="0" w:type="dxa"/>
            <w:left w:w="108" w:type="dxa"/>
            <w:bottom w:w="0" w:type="dxa"/>
            <w:right w:w="108" w:type="dxa"/>
          </w:tblCellMar>
        </w:tblPrEx>
        <w:trPr>
          <w:trHeight w:val="270" w:hRule="atLeast"/>
        </w:trPr>
        <w:tc>
          <w:tcPr>
            <w:tcW w:w="299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合计</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53</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53</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2381</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48</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52</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79</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79</w:t>
            </w:r>
          </w:p>
        </w:tc>
      </w:tr>
    </w:tbl>
    <w:p>
      <w:pPr>
        <w:spacing w:line="300" w:lineRule="auto"/>
        <w:contextualSpacing/>
        <w:jc w:val="left"/>
        <w:rPr>
          <w:rFonts w:ascii="宋体" w:hAnsi="宋体" w:cs="宋体"/>
          <w:b/>
          <w:color w:val="auto"/>
          <w:sz w:val="24"/>
          <w:highlight w:val="none"/>
        </w:rPr>
      </w:pPr>
      <w:r>
        <w:rPr>
          <w:rFonts w:hint="eastAsia" w:ascii="宋体" w:hAnsi="宋体" w:cs="宋体"/>
          <w:b/>
          <w:color w:val="auto"/>
          <w:sz w:val="24"/>
          <w:highlight w:val="none"/>
        </w:rPr>
        <w:t xml:space="preserve">                                                                                           </w:t>
      </w:r>
    </w:p>
    <w:tbl>
      <w:tblPr>
        <w:tblStyle w:val="26"/>
        <w:tblW w:w="10330" w:type="dxa"/>
        <w:tblInd w:w="-176" w:type="dxa"/>
        <w:tblLayout w:type="autofit"/>
        <w:tblCellMar>
          <w:top w:w="0" w:type="dxa"/>
          <w:left w:w="108" w:type="dxa"/>
          <w:bottom w:w="0" w:type="dxa"/>
          <w:right w:w="108" w:type="dxa"/>
        </w:tblCellMar>
      </w:tblPr>
      <w:tblGrid>
        <w:gridCol w:w="911"/>
        <w:gridCol w:w="2938"/>
        <w:gridCol w:w="642"/>
        <w:gridCol w:w="944"/>
        <w:gridCol w:w="642"/>
        <w:gridCol w:w="1051"/>
        <w:gridCol w:w="1051"/>
        <w:gridCol w:w="1000"/>
        <w:gridCol w:w="1151"/>
      </w:tblGrid>
      <w:tr>
        <w:tblPrEx>
          <w:tblCellMar>
            <w:top w:w="0" w:type="dxa"/>
            <w:left w:w="108" w:type="dxa"/>
            <w:bottom w:w="0" w:type="dxa"/>
            <w:right w:w="108" w:type="dxa"/>
          </w:tblCellMar>
        </w:tblPrEx>
        <w:trPr>
          <w:wBefore w:w="0" w:type="dxa"/>
          <w:wAfter w:w="0" w:type="dxa"/>
          <w:trHeight w:val="660" w:hRule="atLeast"/>
        </w:trPr>
        <w:tc>
          <w:tcPr>
            <w:tcW w:w="10330" w:type="dxa"/>
            <w:gridSpan w:val="9"/>
            <w:tcBorders>
              <w:top w:val="nil"/>
              <w:left w:val="nil"/>
              <w:bottom w:val="nil"/>
              <w:right w:val="nil"/>
            </w:tcBorders>
            <w:shd w:val="clear" w:color="000000" w:fill="FFFFFF"/>
            <w:noWrap/>
            <w:vAlign w:val="center"/>
          </w:tcPr>
          <w:p>
            <w:pPr>
              <w:widowControl/>
              <w:jc w:val="left"/>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表4            罗星街道学校、机关单位设备投放一览表</w:t>
            </w:r>
          </w:p>
        </w:tc>
      </w:tr>
      <w:tr>
        <w:tblPrEx>
          <w:tblCellMar>
            <w:top w:w="0" w:type="dxa"/>
            <w:left w:w="108" w:type="dxa"/>
            <w:bottom w:w="0" w:type="dxa"/>
            <w:right w:w="108" w:type="dxa"/>
          </w:tblCellMar>
        </w:tblPrEx>
        <w:trPr>
          <w:wBefore w:w="0" w:type="dxa"/>
          <w:wAfter w:w="0" w:type="dxa"/>
          <w:trHeight w:val="510" w:hRule="atLeast"/>
        </w:trPr>
        <w:tc>
          <w:tcPr>
            <w:tcW w:w="911" w:type="dxa"/>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938"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2228"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机械分类桶（个）</w:t>
            </w:r>
          </w:p>
        </w:tc>
        <w:tc>
          <w:tcPr>
            <w:tcW w:w="1051"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垃圾袋发放机（个）</w:t>
            </w:r>
          </w:p>
        </w:tc>
        <w:tc>
          <w:tcPr>
            <w:tcW w:w="1051"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积分兑换机（个）</w:t>
            </w:r>
          </w:p>
        </w:tc>
        <w:tc>
          <w:tcPr>
            <w:tcW w:w="1000"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智能四分类（组）</w:t>
            </w:r>
          </w:p>
        </w:tc>
        <w:tc>
          <w:tcPr>
            <w:tcW w:w="1151"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有害垃圾桶（个）</w:t>
            </w:r>
          </w:p>
        </w:tc>
      </w:tr>
      <w:tr>
        <w:tblPrEx>
          <w:tblCellMar>
            <w:top w:w="0" w:type="dxa"/>
            <w:left w:w="108" w:type="dxa"/>
            <w:bottom w:w="0" w:type="dxa"/>
            <w:right w:w="108" w:type="dxa"/>
          </w:tblCellMar>
        </w:tblPrEx>
        <w:trPr>
          <w:wBefore w:w="0" w:type="dxa"/>
          <w:wAfter w:w="0" w:type="dxa"/>
          <w:trHeight w:val="540" w:hRule="atLeast"/>
        </w:trPr>
        <w:tc>
          <w:tcPr>
            <w:tcW w:w="91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4"/>
                <w:highlight w:val="none"/>
              </w:rPr>
            </w:pPr>
          </w:p>
        </w:tc>
        <w:tc>
          <w:tcPr>
            <w:tcW w:w="293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4"/>
                <w:highlight w:val="none"/>
              </w:rPr>
            </w:pP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其他</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可回收</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厨余</w:t>
            </w:r>
          </w:p>
        </w:tc>
        <w:tc>
          <w:tcPr>
            <w:tcW w:w="1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9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嘉善县中等专业学校</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嘉善中学</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93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玉兰幼儿园</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嘉善电大</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党校</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293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江南幼儿园</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泗洲幼儿园</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泗洲小学</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9</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泗洲中学</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实验中学</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11</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吴镇小学</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12</w:t>
            </w:r>
          </w:p>
        </w:tc>
        <w:tc>
          <w:tcPr>
            <w:tcW w:w="293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高级中学</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13</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实验二小</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14</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光彪学院</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实验小学</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16</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嘉华幼儿园</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17</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嘉善质量检测局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18</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嘉善卫健局</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944"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19</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疾控中心</w:t>
            </w: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9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20</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红十字</w:t>
            </w: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9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21</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卫生监督所</w:t>
            </w: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9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22</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嘉善人防办</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0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23</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水务集团</w:t>
            </w: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9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24</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农业农村局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25</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罗星***</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26</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司法局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27</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国土资源局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28</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嘉善检察院</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29</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国有资产投资有限公司</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30</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税务分局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31</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罗星街道办事处</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32</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嘉善县教育局</w:t>
            </w: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9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33</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嘉善县行政审批中心</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34</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嘉善环保局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35</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嘉善县公安局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36</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嘉善县文化旅游体育局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37</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嘉善电力局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38</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嘉善档案局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39</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嘉善县民政局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40</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嘉善法院</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41</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中国渔政</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42</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嘉善气象局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43</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中国公路管理</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44</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广电局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45</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嘉善县市场监督管理局</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46</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嘉善县信访局</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c>
          <w:tcPr>
            <w:tcW w:w="944"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64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0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15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47</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嘉善县政府</w:t>
            </w: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9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6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c>
          <w:tcPr>
            <w:tcW w:w="11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48</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孙道临影视城</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342"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49</w:t>
            </w:r>
          </w:p>
        </w:tc>
        <w:tc>
          <w:tcPr>
            <w:tcW w:w="293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消防中队</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64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1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wBefore w:w="0" w:type="dxa"/>
          <w:wAfter w:w="0" w:type="dxa"/>
          <w:trHeight w:val="600" w:hRule="atLeast"/>
        </w:trPr>
        <w:tc>
          <w:tcPr>
            <w:tcW w:w="91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38"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合计</w:t>
            </w:r>
          </w:p>
        </w:tc>
        <w:tc>
          <w:tcPr>
            <w:tcW w:w="642" w:type="dxa"/>
            <w:tcBorders>
              <w:top w:val="nil"/>
              <w:left w:val="nil"/>
              <w:bottom w:val="single" w:color="auto" w:sz="4" w:space="0"/>
              <w:right w:val="single" w:color="auto" w:sz="4" w:space="0"/>
            </w:tcBorders>
            <w:noWrap/>
            <w:vAlign w:val="center"/>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125</w:t>
            </w:r>
          </w:p>
        </w:tc>
        <w:tc>
          <w:tcPr>
            <w:tcW w:w="944" w:type="dxa"/>
            <w:tcBorders>
              <w:top w:val="nil"/>
              <w:left w:val="nil"/>
              <w:bottom w:val="single" w:color="auto" w:sz="4" w:space="0"/>
              <w:right w:val="single" w:color="auto" w:sz="4" w:space="0"/>
            </w:tcBorders>
            <w:noWrap/>
            <w:vAlign w:val="center"/>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69</w:t>
            </w:r>
          </w:p>
        </w:tc>
        <w:tc>
          <w:tcPr>
            <w:tcW w:w="642" w:type="dxa"/>
            <w:tcBorders>
              <w:top w:val="nil"/>
              <w:left w:val="nil"/>
              <w:bottom w:val="single" w:color="auto" w:sz="4" w:space="0"/>
              <w:right w:val="single" w:color="auto" w:sz="4" w:space="0"/>
            </w:tcBorders>
            <w:noWrap/>
            <w:vAlign w:val="center"/>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10</w:t>
            </w:r>
          </w:p>
        </w:tc>
        <w:tc>
          <w:tcPr>
            <w:tcW w:w="1051" w:type="dxa"/>
            <w:tcBorders>
              <w:top w:val="nil"/>
              <w:left w:val="nil"/>
              <w:bottom w:val="single" w:color="auto" w:sz="4" w:space="0"/>
              <w:right w:val="single" w:color="auto" w:sz="4" w:space="0"/>
            </w:tcBorders>
            <w:noWrap/>
            <w:vAlign w:val="center"/>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13</w:t>
            </w:r>
          </w:p>
        </w:tc>
        <w:tc>
          <w:tcPr>
            <w:tcW w:w="1051" w:type="dxa"/>
            <w:tcBorders>
              <w:top w:val="nil"/>
              <w:left w:val="nil"/>
              <w:bottom w:val="single" w:color="auto" w:sz="4" w:space="0"/>
              <w:right w:val="single" w:color="auto" w:sz="4" w:space="0"/>
            </w:tcBorders>
            <w:noWrap/>
            <w:vAlign w:val="center"/>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000" w:type="dxa"/>
            <w:tcBorders>
              <w:top w:val="nil"/>
              <w:left w:val="nil"/>
              <w:bottom w:val="single" w:color="auto" w:sz="4" w:space="0"/>
              <w:right w:val="single" w:color="auto" w:sz="4" w:space="0"/>
            </w:tcBorders>
            <w:noWrap/>
            <w:vAlign w:val="center"/>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31</w:t>
            </w:r>
          </w:p>
        </w:tc>
        <w:tc>
          <w:tcPr>
            <w:tcW w:w="1151" w:type="dxa"/>
            <w:tcBorders>
              <w:top w:val="nil"/>
              <w:left w:val="nil"/>
              <w:bottom w:val="single" w:color="auto" w:sz="4" w:space="0"/>
              <w:right w:val="single" w:color="auto" w:sz="4" w:space="0"/>
            </w:tcBorders>
            <w:noWrap/>
            <w:vAlign w:val="center"/>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29</w:t>
            </w:r>
          </w:p>
        </w:tc>
      </w:tr>
    </w:tbl>
    <w:p>
      <w:pPr>
        <w:spacing w:line="300" w:lineRule="auto"/>
        <w:ind w:firstLine="480" w:firstLineChars="200"/>
        <w:contextualSpacing/>
        <w:jc w:val="left"/>
        <w:rPr>
          <w:rFonts w:ascii="宋体" w:hAnsi="宋体" w:cs="宋体"/>
          <w:bCs/>
          <w:color w:val="auto"/>
          <w:kern w:val="0"/>
          <w:sz w:val="24"/>
          <w:highlight w:val="none"/>
          <w:shd w:val="clear" w:color="auto" w:fill="FFFFFF"/>
        </w:rPr>
      </w:pPr>
      <w:r>
        <w:rPr>
          <w:rFonts w:hint="eastAsia" w:ascii="宋体" w:hAnsi="宋体" w:cs="宋体"/>
          <w:color w:val="auto"/>
          <w:sz w:val="24"/>
          <w:highlight w:val="none"/>
        </w:rPr>
        <w:t>（2）新启动居民小区定时定点投放站点建设。</w:t>
      </w:r>
      <w:r>
        <w:rPr>
          <w:rFonts w:hint="eastAsia" w:ascii="宋体" w:hAnsi="宋体" w:cs="宋体"/>
          <w:bCs/>
          <w:color w:val="auto"/>
          <w:kern w:val="0"/>
          <w:sz w:val="24"/>
          <w:highlight w:val="none"/>
          <w:shd w:val="clear" w:color="auto" w:fill="FFFFFF"/>
        </w:rPr>
        <w:t>选址安全并方便居民投放，配备给排水和220V电源，具备通电、投放引导提示、冲洗、消杀、运输、污水入网等条件。有正确规范的四分类投入标识，各类垃圾收集容器配置齐全，有视频播放设备等必要设施设备。小区启动定时定点投放时，已有的机械分类桶必须保持完好无缺，由采购人收回。</w:t>
      </w:r>
    </w:p>
    <w:p>
      <w:pPr>
        <w:widowControl/>
        <w:shd w:val="clear" w:color="auto" w:fill="FFFFFF"/>
        <w:adjustRightInd w:val="0"/>
        <w:snapToGrid w:val="0"/>
        <w:spacing w:line="300" w:lineRule="auto"/>
        <w:ind w:firstLine="480" w:firstLineChars="200"/>
        <w:rPr>
          <w:rFonts w:ascii="宋体" w:hAnsi="宋体" w:cs="宋体"/>
          <w:bCs/>
          <w:color w:val="auto"/>
          <w:kern w:val="0"/>
          <w:sz w:val="24"/>
          <w:highlight w:val="none"/>
          <w:shd w:val="clear" w:color="auto" w:fill="FFFFFF"/>
        </w:rPr>
      </w:pPr>
      <w:r>
        <w:rPr>
          <w:rFonts w:hint="eastAsia" w:ascii="宋体" w:hAnsi="宋体" w:cs="宋体"/>
          <w:bCs/>
          <w:color w:val="auto"/>
          <w:kern w:val="0"/>
          <w:sz w:val="24"/>
          <w:highlight w:val="none"/>
          <w:shd w:val="clear" w:color="auto" w:fill="FFFFFF"/>
        </w:rPr>
        <w:t xml:space="preserve">（3）新交付居民小区宣传栏、公示栏、分类引导牌、楼道评比栏等制作和安装。根据每个小区、每个楼道的实际情况进行安排，中标后按照采购人的要求进行制作和安装。     </w:t>
      </w:r>
    </w:p>
    <w:p>
      <w:pPr>
        <w:pStyle w:val="10"/>
        <w:snapToGrid w:val="0"/>
        <w:spacing w:after="0" w:line="300" w:lineRule="auto"/>
        <w:ind w:firstLine="480" w:firstLineChars="200"/>
        <w:rPr>
          <w:rFonts w:ascii="宋体" w:hAnsi="宋体" w:cs="宋体"/>
          <w:bCs/>
          <w:color w:val="auto"/>
          <w:kern w:val="0"/>
          <w:sz w:val="24"/>
          <w:highlight w:val="none"/>
          <w:shd w:val="clear" w:color="auto" w:fill="FFFFFF"/>
        </w:rPr>
      </w:pPr>
      <w:r>
        <w:rPr>
          <w:rFonts w:hint="eastAsia" w:ascii="宋体" w:hAnsi="宋体" w:cs="宋体"/>
          <w:bCs/>
          <w:color w:val="auto"/>
          <w:kern w:val="0"/>
          <w:sz w:val="24"/>
          <w:highlight w:val="none"/>
          <w:shd w:val="clear" w:color="auto" w:fill="FFFFFF"/>
        </w:rPr>
        <w:t>3.可回收物、有害垃圾收集：建立统一登记、统一车辆、统一标识、统一着装的“四色”分类收运体系。收运车辆、人员进行备案管理。居民小区可回收物每周收集不少于1次，一月内至少有一次回收时间安排在双休日，根据实际情况可采用电话、微信、短信等方式预约上门回收，楼道有害垃圾收集每周不少于2次，小区入口有害垃圾收集箱收集每周不少于1次。做好沿街商铺、机关企事业单位的可回收物、有害垃圾收集，每月不少于2次。做好其他各类分类场景有害垃圾收集，每月收集不少于2次。做好10个行政村（农村社区）的有害垃圾暂存。建立可回收物、有害垃圾两类管理台账，有来源、去向记录，有数据统计、分析。有害垃圾的转运、处置必须按相关规定执行并建立分类管理台账，明确处置去向和处置数量。</w:t>
      </w:r>
    </w:p>
    <w:p>
      <w:pPr>
        <w:pStyle w:val="10"/>
        <w:snapToGrid w:val="0"/>
        <w:spacing w:after="0" w:line="300" w:lineRule="auto"/>
        <w:ind w:firstLine="480" w:firstLineChars="200"/>
        <w:rPr>
          <w:rFonts w:ascii="宋体" w:hAnsi="宋体" w:cs="宋体"/>
          <w:bCs/>
          <w:color w:val="auto"/>
          <w:kern w:val="0"/>
          <w:sz w:val="24"/>
          <w:highlight w:val="none"/>
          <w:shd w:val="clear" w:color="auto" w:fill="FFFFFF"/>
        </w:rPr>
      </w:pPr>
      <w:r>
        <w:rPr>
          <w:rFonts w:hint="eastAsia" w:ascii="宋体" w:hAnsi="宋体" w:cs="宋体"/>
          <w:bCs/>
          <w:color w:val="auto"/>
          <w:kern w:val="0"/>
          <w:sz w:val="24"/>
          <w:highlight w:val="none"/>
          <w:shd w:val="clear" w:color="auto" w:fill="FFFFFF"/>
        </w:rPr>
        <w:t xml:space="preserve">4.源头减量：对于居民提供的可回收物和有害垃圾，不论其价值高低必须回收。引导居民做好可回收物和低附加值垃圾的分类收集，落实垃圾减量。做好每日垃圾减量的数据登记统计及相关数据的分析工作。 </w:t>
      </w:r>
    </w:p>
    <w:p>
      <w:pPr>
        <w:pStyle w:val="10"/>
        <w:snapToGrid w:val="0"/>
        <w:spacing w:after="0" w:line="300" w:lineRule="auto"/>
        <w:ind w:firstLine="480" w:firstLineChars="200"/>
        <w:rPr>
          <w:rFonts w:ascii="宋体" w:hAnsi="宋体" w:cs="宋体"/>
          <w:bCs/>
          <w:color w:val="auto"/>
          <w:kern w:val="0"/>
          <w:sz w:val="24"/>
          <w:highlight w:val="none"/>
          <w:shd w:val="clear" w:color="auto" w:fill="FFFFFF"/>
        </w:rPr>
      </w:pPr>
      <w:r>
        <w:rPr>
          <w:rFonts w:hint="eastAsia" w:ascii="宋体" w:hAnsi="宋体" w:cs="宋体"/>
          <w:bCs/>
          <w:color w:val="auto"/>
          <w:kern w:val="0"/>
          <w:sz w:val="24"/>
          <w:highlight w:val="none"/>
          <w:shd w:val="clear" w:color="auto" w:fill="FFFFFF"/>
        </w:rPr>
        <w:t>5.工作汇报：每月不少于2次向街道分类办汇报辖区整体垃圾分类工作实施推进情况及下阶段工作安排。</w:t>
      </w:r>
    </w:p>
    <w:p>
      <w:pPr>
        <w:pStyle w:val="10"/>
        <w:snapToGrid w:val="0"/>
        <w:spacing w:after="0" w:line="300" w:lineRule="auto"/>
        <w:ind w:firstLine="562" w:firstLineChars="200"/>
        <w:rPr>
          <w:rFonts w:ascii="宋体" w:hAnsi="宋体" w:cs="宋体"/>
          <w:b/>
          <w:bCs/>
          <w:color w:val="auto"/>
          <w:highlight w:val="none"/>
          <w:shd w:val="clear" w:color="auto" w:fill="FFFFFF"/>
        </w:rPr>
      </w:pPr>
      <w:r>
        <w:rPr>
          <w:rFonts w:hint="eastAsia" w:ascii="宋体" w:hAnsi="宋体" w:cs="宋体"/>
          <w:b/>
          <w:bCs/>
          <w:color w:val="auto"/>
          <w:highlight w:val="none"/>
          <w:shd w:val="clear" w:color="auto" w:fill="FFFFFF"/>
        </w:rPr>
        <w:t>（三）人员要求</w:t>
      </w:r>
    </w:p>
    <w:p>
      <w:pPr>
        <w:pStyle w:val="10"/>
        <w:snapToGrid w:val="0"/>
        <w:spacing w:after="0" w:line="30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中标人应安排有从事垃圾分类项目工作经验及有智能化设备工作经验的工作人员作为本项目管理者。</w:t>
      </w:r>
    </w:p>
    <w:p>
      <w:pPr>
        <w:pStyle w:val="10"/>
        <w:snapToGrid w:val="0"/>
        <w:spacing w:after="0" w:line="30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1.要求配备项目经理1名、文员2名，宣传员3名。</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bCs/>
          <w:color w:val="auto"/>
          <w:sz w:val="24"/>
          <w:highlight w:val="none"/>
        </w:rPr>
        <w:t>2.专职劝导员（督导员）</w:t>
      </w:r>
      <w:r>
        <w:rPr>
          <w:rFonts w:hint="eastAsia" w:ascii="宋体" w:hAnsi="宋体" w:cs="宋体"/>
          <w:bCs/>
          <w:color w:val="auto"/>
          <w:sz w:val="24"/>
          <w:highlight w:val="none"/>
        </w:rPr>
        <w:br w:type="textWrapping"/>
      </w:r>
      <w:r>
        <w:rPr>
          <w:rFonts w:hint="eastAsia" w:ascii="宋体" w:hAnsi="宋体" w:cs="宋体"/>
          <w:bCs/>
          <w:color w:val="auto"/>
          <w:sz w:val="24"/>
          <w:highlight w:val="none"/>
        </w:rPr>
        <w:t xml:space="preserve">   （1）具备基本的智能手机操作能力和较好的交流沟通能力。原则上所有小区按照每200户配备1名专职劝导员（督导员）的比例配置（因部分小区入住率还不高，劝导员数量按实际入住户数配备），具体劝导员（督导员）配备方案报街道分类办同意后才可以实施。</w:t>
      </w:r>
      <w:r>
        <w:rPr>
          <w:rFonts w:hint="eastAsia" w:ascii="宋体" w:hAnsi="宋体" w:cs="宋体"/>
          <w:bCs/>
          <w:color w:val="auto"/>
          <w:sz w:val="24"/>
          <w:highlight w:val="none"/>
        </w:rPr>
        <w:br w:type="textWrapping"/>
      </w:r>
      <w:r>
        <w:rPr>
          <w:rFonts w:hint="eastAsia" w:ascii="宋体" w:hAnsi="宋体" w:cs="宋体"/>
          <w:bCs/>
          <w:color w:val="auto"/>
          <w:sz w:val="24"/>
          <w:highlight w:val="none"/>
        </w:rPr>
        <w:t xml:space="preserve">   （2）专职督导员对小区内专职劝导员在岗情况和工作质量进行常态化抽查考核，每月进行</w:t>
      </w:r>
      <w:r>
        <w:rPr>
          <w:rFonts w:hint="eastAsia" w:ascii="宋体" w:hAnsi="宋体" w:cs="宋体"/>
          <w:color w:val="auto"/>
          <w:sz w:val="24"/>
          <w:highlight w:val="none"/>
          <w:shd w:val="clear" w:color="auto" w:fill="FFFFFF"/>
        </w:rPr>
        <w:t>考核评比，对每幢楼开展垃圾分类质量评比公示，相关人员和费用由中标单位承担。对小区以外的其他29类场景（包含但不仅限于）分类设施配备使用情况、宣传氛围、分类投放情况进行宣传督导，要求每月宣传督导不少于两次，每次宣传督导后3天内提交所督导场景分类情况统计报告。督导员人数满足实际工作需求。</w:t>
      </w:r>
    </w:p>
    <w:p>
      <w:pPr>
        <w:pStyle w:val="10"/>
        <w:snapToGrid w:val="0"/>
        <w:spacing w:after="0" w:line="300" w:lineRule="auto"/>
        <w:ind w:firstLine="360" w:firstLineChars="15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专职劝导员针对定时定点小区，做好启动前期入户宣传指导分类。负责每天在定时定点垃圾分类投放高峰期现场指导分类投放，做好居民投放质量的扫码评比记录，现场向居民反馈分类投放中的问题，对未分类投放的行为进行正确分类示范。针对未参与定时定点投放的居民户及时上门宣传、检查家庭垃圾桶分类情况。做好台账记录及楼道、幢评比公示。</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针对非定时定点小区，做到每月1次入户宣传、发放标签给业主、告知分类投放要求、反馈上月投放质量、巡检垃圾桶内的分类质量并做好相关记录。每天抽检家庭不少于总户数20%的比例，抽检家庭前后不能重复，每月每户家庭两类垃圾抽检不少于4次，有台账有记录，并做好楼道、幢评比公示。</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3.可回收物和有害垃圾收运工作人员</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xml:space="preserve">主要负责可回收物和有害垃圾的回收、整理，要求每辆收运车配备不少于2名工作人员。   </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4.工作时间要求</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本项目行政人员（项目经理、宣传员、文员）、劝导员工作时间不少于8小时。</w:t>
      </w:r>
    </w:p>
    <w:p>
      <w:pPr>
        <w:pStyle w:val="10"/>
        <w:snapToGrid w:val="0"/>
        <w:spacing w:after="0" w:line="300" w:lineRule="auto"/>
        <w:ind w:firstLine="562" w:firstLineChars="200"/>
        <w:rPr>
          <w:rFonts w:ascii="宋体" w:hAnsi="宋体" w:cs="宋体"/>
          <w:b/>
          <w:color w:val="auto"/>
          <w:highlight w:val="none"/>
          <w:shd w:val="clear" w:color="auto" w:fill="FFFFFF"/>
        </w:rPr>
      </w:pPr>
      <w:r>
        <w:rPr>
          <w:rFonts w:hint="eastAsia" w:ascii="宋体" w:hAnsi="宋体" w:cs="宋体"/>
          <w:b/>
          <w:color w:val="auto"/>
          <w:highlight w:val="none"/>
          <w:shd w:val="clear" w:color="auto" w:fill="FFFFFF"/>
        </w:rPr>
        <w:t>（四）车辆配置要求</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配置8辆可回收物和有害垃圾收运车辆，其中可回收物、有害垃圾收集至少有2辆≧1T≦2T的厢式货车，其他收运车辆可以是符合道路交通运输规定的电动箱体车。所有收运车辆应标识正确齐全、外观整洁。</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各类收运车辆需满足项目需求，视实际情况作增补。</w:t>
      </w:r>
    </w:p>
    <w:p>
      <w:pPr>
        <w:pStyle w:val="10"/>
        <w:snapToGrid w:val="0"/>
        <w:spacing w:after="0" w:line="300" w:lineRule="auto"/>
        <w:ind w:firstLine="562" w:firstLineChars="200"/>
        <w:rPr>
          <w:rFonts w:ascii="宋体" w:hAnsi="宋体" w:cs="宋体"/>
          <w:b/>
          <w:color w:val="auto"/>
          <w:highlight w:val="none"/>
          <w:shd w:val="clear" w:color="auto" w:fill="FFFFFF"/>
        </w:rPr>
      </w:pPr>
      <w:bookmarkStart w:id="10" w:name="_Toc404258603"/>
      <w:bookmarkEnd w:id="10"/>
      <w:r>
        <w:rPr>
          <w:rFonts w:hint="eastAsia" w:ascii="宋体" w:hAnsi="宋体" w:cs="宋体"/>
          <w:b/>
          <w:color w:val="auto"/>
          <w:highlight w:val="none"/>
          <w:shd w:val="clear" w:color="auto" w:fill="FFFFFF"/>
        </w:rPr>
        <w:t>（五）服务要求</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中标人对接并接收现有垃圾分类的全部智能设备后，要落实好日常运维，其中发袋机、礼品兑换机内物品要补足，保证居民能正常使用。衔接现有设备至“善分类”云数据管理平台，每天实时、如实上传居民分类情况及日常工作开展情况。实现垃圾分类数字化、智能化管理。</w:t>
      </w:r>
    </w:p>
    <w:p>
      <w:pPr>
        <w:pStyle w:val="10"/>
        <w:snapToGrid w:val="0"/>
        <w:spacing w:after="0" w:line="300" w:lineRule="auto"/>
        <w:ind w:firstLine="480" w:firstLineChars="200"/>
        <w:rPr>
          <w:rFonts w:ascii="宋体" w:hAnsi="宋体" w:cs="宋体"/>
          <w:bCs/>
          <w:color w:val="auto"/>
          <w:sz w:val="24"/>
          <w:highlight w:val="none"/>
        </w:rPr>
      </w:pPr>
      <w:r>
        <w:rPr>
          <w:rFonts w:hint="eastAsia" w:ascii="宋体" w:hAnsi="宋体" w:cs="宋体"/>
          <w:color w:val="auto"/>
          <w:sz w:val="24"/>
          <w:highlight w:val="none"/>
          <w:shd w:val="clear" w:color="auto" w:fill="FFFFFF"/>
        </w:rPr>
        <w:t>▲2.</w:t>
      </w:r>
      <w:r>
        <w:rPr>
          <w:rFonts w:hint="eastAsia" w:ascii="宋体" w:hAnsi="宋体" w:cs="宋体"/>
          <w:bCs/>
          <w:color w:val="auto"/>
          <w:sz w:val="24"/>
          <w:highlight w:val="none"/>
        </w:rPr>
        <w:t xml:space="preserve"> 中标人应在垃圾分类方面制定高效的管理制度和作业流程。</w:t>
      </w:r>
      <w:r>
        <w:rPr>
          <w:rFonts w:hint="eastAsia" w:ascii="宋体" w:hAnsi="宋体" w:cs="宋体"/>
          <w:color w:val="auto"/>
          <w:sz w:val="24"/>
          <w:highlight w:val="none"/>
          <w:shd w:val="clear" w:color="auto" w:fill="FFFFFF"/>
        </w:rPr>
        <w:t>要求中标人在每个小区按照要求配备专职劝导员，根据考核要求对小区内相关垃圾分类的硬件宣传、投放设施、分类情况进行现场巡检维护工作，确保服务质量。</w:t>
      </w:r>
      <w:r>
        <w:rPr>
          <w:rFonts w:hint="eastAsia" w:ascii="宋体" w:hAnsi="宋体" w:cs="宋体"/>
          <w:color w:val="auto"/>
          <w:sz w:val="24"/>
          <w:highlight w:val="none"/>
        </w:rPr>
        <w:t>建立巡查队伍，每日巡查服务区域内垃圾分类工作开展情况并建立台账。</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3.要求中标人全面维护好分类基础设施，做到标识正确清晰、摆放合理、清洁美观、归位及时。</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4.要求中标人监督好垃圾分类并巡检垃圾桶内的分类质量，做到分类明确、投放正确。</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5.做好入户垃圾分类知识宣传，实时掌握小区居民对垃圾分类工作开展的有关诉求及意见建议，保证居民垃圾分类知识入户宣传率100%。制定详尽的提升居民垃圾分类知识知晓率、参与率、准确率的实施方案及阶段性目标考核措施。</w:t>
      </w:r>
    </w:p>
    <w:p>
      <w:pPr>
        <w:widowControl/>
        <w:shd w:val="clear" w:color="auto" w:fill="FFFFFF"/>
        <w:adjustRightInd w:val="0"/>
        <w:snapToGrid w:val="0"/>
        <w:spacing w:line="300" w:lineRule="auto"/>
        <w:ind w:firstLine="480" w:firstLineChars="200"/>
        <w:rPr>
          <w:rFonts w:ascii="宋体" w:hAnsi="宋体" w:cs="宋体"/>
          <w:color w:val="auto"/>
          <w:kern w:val="0"/>
          <w:sz w:val="24"/>
          <w:highlight w:val="none"/>
          <w:shd w:val="clear" w:color="auto" w:fill="FFFFFF"/>
          <w:lang w:bidi="en-US"/>
        </w:rPr>
      </w:pPr>
      <w:r>
        <w:rPr>
          <w:rFonts w:hint="eastAsia" w:ascii="宋体" w:hAnsi="宋体" w:cs="宋体"/>
          <w:color w:val="auto"/>
          <w:sz w:val="24"/>
          <w:highlight w:val="none"/>
          <w:shd w:val="clear" w:color="auto" w:fill="FFFFFF"/>
        </w:rPr>
        <w:t>6.</w:t>
      </w:r>
      <w:r>
        <w:rPr>
          <w:rFonts w:hint="eastAsia" w:ascii="宋体" w:hAnsi="宋体" w:cs="宋体"/>
          <w:color w:val="auto"/>
          <w:kern w:val="0"/>
          <w:sz w:val="24"/>
          <w:highlight w:val="none"/>
          <w:shd w:val="clear" w:color="auto" w:fill="FFFFFF"/>
          <w:lang w:bidi="en-US"/>
        </w:rPr>
        <w:t>要求中标人按照要求做好垃圾袋或标签的上门发放工作。每月确保各小区居民“易腐（厨余）垃圾、其他垃圾”两类垃圾袋或标签的供应及使用，做到发放到位、数量准确，宣传到位。</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7.要求中标人保证小区内无建筑垃圾、绿化垃圾等非生活垃圾混入生活垃圾的情况。</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8.中标人需配合采购人完成各类垃圾分类示范街区创建目标任务。</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9.中标人服务的小区和开放式楼道服务覆盖率需达到100%。</w:t>
      </w:r>
    </w:p>
    <w:p>
      <w:pPr>
        <w:pStyle w:val="10"/>
        <w:snapToGrid w:val="0"/>
        <w:spacing w:after="0" w:line="300" w:lineRule="auto"/>
        <w:ind w:firstLine="480" w:firstLineChars="200"/>
        <w:rPr>
          <w:rFonts w:ascii="宋体" w:hAnsi="宋体" w:cs="宋体"/>
          <w:color w:val="auto"/>
          <w:sz w:val="24"/>
          <w:highlight w:val="none"/>
          <w:shd w:val="clear" w:color="auto" w:fill="FFFFFF"/>
        </w:rPr>
      </w:pPr>
      <w:bookmarkStart w:id="11" w:name="_Toc404258606"/>
      <w:bookmarkEnd w:id="11"/>
      <w:r>
        <w:rPr>
          <w:rFonts w:hint="eastAsia" w:ascii="宋体" w:hAnsi="宋体" w:cs="宋体"/>
          <w:color w:val="auto"/>
          <w:sz w:val="24"/>
          <w:highlight w:val="none"/>
          <w:shd w:val="clear" w:color="auto" w:fill="FFFFFF"/>
        </w:rPr>
        <w:t>10.积分兑换：</w:t>
      </w:r>
      <w:r>
        <w:rPr>
          <w:rFonts w:ascii="宋体" w:hAnsi="宋体" w:cs="宋体"/>
          <w:color w:val="auto"/>
          <w:sz w:val="24"/>
          <w:highlight w:val="none"/>
          <w:shd w:val="clear" w:color="auto" w:fill="FFFFFF"/>
        </w:rPr>
        <w:t xml:space="preserve"> </w:t>
      </w:r>
      <w:r>
        <w:rPr>
          <w:rFonts w:hint="eastAsia" w:ascii="宋体" w:hAnsi="宋体" w:cs="宋体"/>
          <w:color w:val="auto"/>
          <w:sz w:val="24"/>
          <w:highlight w:val="none"/>
          <w:shd w:val="clear" w:color="auto" w:fill="FFFFFF"/>
        </w:rPr>
        <w:t>积分兑换奖品按照1个积分=0.01元进行兑换（不能低于这个价格）。积分获取：1）智能可回收物箱内居民投放的可回收物按照实际投放量由中标方结算。积分按可回收物的市场价进行计算。居民每天投放智能垃圾分类箱得到积分必须每天以1条短信或微信的方式传递到居民手机上。2）正确投放易腐（厨余）、其他两类垃圾给予积分。定时定点小区居民每次正确投放易腐（厨余）、其他两类垃圾给予10积分，每天每户最高20积分；非定时定点小区巡检居民两类垃圾分类正确的每次给予20积分，每月每户最高80积分。3）中标人应创新互动分类游戏给积分等形式，激励居民主动参与垃圾分类。</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中标人对每户居民垃圾分类的种类、数量进行登记，并录入积分管理系统，积分多形式多途径予以兑换。兑换数据每季不少于一次提交街道分类办。</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11.在服务期内，中标人负责本项目使用所有设施设备的维护、维修、保洁（包含机械箱体内外）等工作，保证采购人（用户）能正常使用，获得高质量满意的服务。服务期内，除不可抗力等因素所造成的损害外，中标人必须免费提供维修服务。</w:t>
      </w:r>
    </w:p>
    <w:p>
      <w:pPr>
        <w:pStyle w:val="10"/>
        <w:snapToGrid w:val="0"/>
        <w:spacing w:after="0" w:line="30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12.在服务期内，如遇政策变化中止服务的，采购人则对所有中标人投入设备的剩余资产进行回购处置。</w:t>
      </w:r>
    </w:p>
    <w:p>
      <w:pPr>
        <w:pStyle w:val="10"/>
        <w:snapToGrid w:val="0"/>
        <w:spacing w:after="0"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shd w:val="clear" w:color="auto" w:fill="FFFFFF"/>
        </w:rPr>
        <w:t>13.在服务期满后，所有中标人投入的设备资产归属采购人，采购人如需继续使用该设备，中标人必须无条件满足。</w:t>
      </w:r>
    </w:p>
    <w:p>
      <w:pPr>
        <w:widowControl/>
        <w:shd w:val="clear" w:color="auto" w:fill="FFFFFF"/>
        <w:adjustRightInd w:val="0"/>
        <w:snapToGrid w:val="0"/>
        <w:spacing w:line="300" w:lineRule="auto"/>
        <w:ind w:firstLine="420"/>
        <w:rPr>
          <w:rFonts w:hint="eastAsia"/>
          <w:b/>
          <w:bCs/>
          <w:color w:val="auto"/>
          <w:kern w:val="44"/>
          <w:sz w:val="32"/>
          <w:szCs w:val="44"/>
          <w:highlight w:val="none"/>
        </w:rPr>
      </w:pPr>
      <w:r>
        <w:rPr>
          <w:rFonts w:hint="eastAsia" w:ascii="宋体" w:hAnsi="宋体" w:cs="宋体"/>
          <w:b/>
          <w:bCs/>
          <w:color w:val="auto"/>
          <w:kern w:val="0"/>
          <w:sz w:val="24"/>
          <w:highlight w:val="none"/>
          <w:shd w:val="clear" w:color="auto" w:fill="FFFFFF"/>
        </w:rPr>
        <w:t>三、</w:t>
      </w:r>
      <w:r>
        <w:rPr>
          <w:rFonts w:hint="eastAsia" w:ascii="宋体" w:hAnsi="宋体" w:cs="宋体"/>
          <w:b/>
          <w:color w:val="auto"/>
          <w:kern w:val="0"/>
          <w:sz w:val="24"/>
          <w:highlight w:val="none"/>
          <w:shd w:val="clear" w:color="auto" w:fill="FFFFFF"/>
        </w:rPr>
        <w:t>设施设备技术参数</w:t>
      </w:r>
    </w:p>
    <w:p>
      <w:pPr>
        <w:widowControl/>
        <w:shd w:val="clear" w:color="auto" w:fill="FFFFFF"/>
        <w:adjustRightInd w:val="0"/>
        <w:snapToGrid w:val="0"/>
        <w:spacing w:line="300" w:lineRule="auto"/>
        <w:rPr>
          <w:rFonts w:ascii="宋体" w:hAnsi="宋体" w:cs="宋体"/>
          <w:b/>
          <w:bCs/>
          <w:color w:val="auto"/>
          <w:kern w:val="0"/>
          <w:sz w:val="24"/>
          <w:highlight w:val="none"/>
          <w:shd w:val="clear" w:color="auto" w:fill="FFFFFF"/>
        </w:rPr>
      </w:pPr>
      <w:r>
        <w:rPr>
          <w:rFonts w:hint="eastAsia" w:ascii="宋体" w:hAnsi="宋体" w:cs="宋体"/>
          <w:b/>
          <w:bCs/>
          <w:color w:val="auto"/>
          <w:kern w:val="0"/>
          <w:sz w:val="24"/>
          <w:highlight w:val="none"/>
          <w:shd w:val="clear" w:color="auto" w:fill="FFFFFF"/>
        </w:rPr>
        <w:t>（一）定时定点投放站点(建筑面积25平方）</w:t>
      </w:r>
    </w:p>
    <w:tbl>
      <w:tblPr>
        <w:tblStyle w:val="26"/>
        <w:tblW w:w="9937" w:type="dxa"/>
        <w:tblInd w:w="94" w:type="dxa"/>
        <w:tblLayout w:type="autofit"/>
        <w:tblCellMar>
          <w:top w:w="0" w:type="dxa"/>
          <w:left w:w="108" w:type="dxa"/>
          <w:bottom w:w="0" w:type="dxa"/>
          <w:right w:w="108" w:type="dxa"/>
        </w:tblCellMar>
      </w:tblPr>
      <w:tblGrid>
        <w:gridCol w:w="675"/>
        <w:gridCol w:w="1296"/>
        <w:gridCol w:w="1240"/>
        <w:gridCol w:w="5025"/>
        <w:gridCol w:w="709"/>
        <w:gridCol w:w="992"/>
      </w:tblGrid>
      <w:tr>
        <w:tblPrEx>
          <w:tblCellMar>
            <w:top w:w="0" w:type="dxa"/>
            <w:left w:w="108" w:type="dxa"/>
            <w:bottom w:w="0" w:type="dxa"/>
            <w:right w:w="108" w:type="dxa"/>
          </w:tblCellMar>
        </w:tblPrEx>
        <w:trPr>
          <w:trHeight w:val="450"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序号</w:t>
            </w:r>
          </w:p>
        </w:tc>
        <w:tc>
          <w:tcPr>
            <w:tcW w:w="1296"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项目编码</w:t>
            </w:r>
          </w:p>
        </w:tc>
        <w:tc>
          <w:tcPr>
            <w:tcW w:w="124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项目名称</w:t>
            </w:r>
          </w:p>
        </w:tc>
        <w:tc>
          <w:tcPr>
            <w:tcW w:w="502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项目特征</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计量</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单位</w:t>
            </w:r>
          </w:p>
        </w:tc>
        <w:tc>
          <w:tcPr>
            <w:tcW w:w="992"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工程量</w:t>
            </w:r>
          </w:p>
        </w:tc>
      </w:tr>
      <w:tr>
        <w:tblPrEx>
          <w:tblCellMar>
            <w:top w:w="0" w:type="dxa"/>
            <w:left w:w="108" w:type="dxa"/>
            <w:bottom w:w="0" w:type="dxa"/>
            <w:right w:w="108" w:type="dxa"/>
          </w:tblCellMar>
        </w:tblPrEx>
        <w:trPr>
          <w:trHeight w:val="36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18"/>
                <w:szCs w:val="18"/>
                <w:highlight w:val="none"/>
              </w:rPr>
            </w:pPr>
          </w:p>
        </w:tc>
        <w:tc>
          <w:tcPr>
            <w:tcW w:w="12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18"/>
                <w:szCs w:val="18"/>
                <w:highlight w:val="none"/>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18"/>
                <w:szCs w:val="18"/>
                <w:highlight w:val="none"/>
              </w:rPr>
            </w:pPr>
          </w:p>
        </w:tc>
        <w:tc>
          <w:tcPr>
            <w:tcW w:w="5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18"/>
                <w:szCs w:val="18"/>
                <w:highlight w:val="none"/>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18"/>
                <w:szCs w:val="1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18"/>
                <w:szCs w:val="18"/>
                <w:highlight w:val="none"/>
              </w:rPr>
            </w:pP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　</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垃圾分类投放点（房）</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p>
        </w:tc>
      </w:tr>
      <w:tr>
        <w:tblPrEx>
          <w:tblCellMar>
            <w:top w:w="0" w:type="dxa"/>
            <w:left w:w="108" w:type="dxa"/>
            <w:bottom w:w="0" w:type="dxa"/>
            <w:right w:w="108" w:type="dxa"/>
          </w:tblCellMar>
        </w:tblPrEx>
        <w:trPr>
          <w:trHeight w:val="57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040101001001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挖一般土方</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1、土壤类别：一、二类土</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2、运距：外运,运距自行考虑</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m3</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6.11</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040202001001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路床（槽）整形</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路床（槽）整形  路床碾压检验</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30.55</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040202011001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碎石</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100厚级配碎石垫层</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30.55</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4</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040203007001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水泥混凝土</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100厚C25砼垫层</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30.55</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5</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011102001001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石材楼地面</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25厚芝麻灰火烧板水泥砂浆铺贴</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6.31</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6</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011102001002</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石材楼地面</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中国黑花岗石门口板</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0.27</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7</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011102003001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块料楼地面</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200*200白色广场砖铺面,留一砖缝</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25.00</w:t>
            </w:r>
          </w:p>
        </w:tc>
      </w:tr>
      <w:tr>
        <w:tblPrEx>
          <w:tblCellMar>
            <w:top w:w="0" w:type="dxa"/>
            <w:left w:w="108" w:type="dxa"/>
            <w:bottom w:w="0" w:type="dxa"/>
            <w:right w:w="108" w:type="dxa"/>
          </w:tblCellMar>
        </w:tblPrEx>
        <w:trPr>
          <w:trHeight w:val="126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8</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010401014001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砖地沟、明沟</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100厚碎石上100厚C15砼垫层,Mu10砼实心砖,M7.5水泥砂浆,抹面采用20厚1:2防水水泥砂浆,304不锈钢盖板,沟内贴白色瓷砖,报价含模板、挖、填土等费用</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5.60</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9</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010603001001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实腹钢柱</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热镀锌方管,表面灰色金属漆二度</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t</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0.377</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10</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010604001001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钢梁</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热镀锌方管,表面灰色金属漆二度</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t</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0.735</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11</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010606001001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钢支撑、钢拉条</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热镀锌方管,表面灰色金属漆二度</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t</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0.143</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12</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01B001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人工草皮铺设</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2cm厚加密仿真草皮，夹芯钢板封边</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10.80</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13</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01B002</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不锈钢水槽</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清洗区304不锈钢水槽：1.2厚不锈钢水槽焊接</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3.00</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14</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011207001001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墙面装饰板</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8mm水泥板墙面</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75.00</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15</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011207001002</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墙面装饰板</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4厚35丝木纹铝塑板墙面</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75.00</w:t>
            </w:r>
          </w:p>
        </w:tc>
      </w:tr>
      <w:tr>
        <w:tblPrEx>
          <w:tblCellMar>
            <w:top w:w="0" w:type="dxa"/>
            <w:left w:w="108" w:type="dxa"/>
            <w:bottom w:w="0" w:type="dxa"/>
            <w:right w:w="108" w:type="dxa"/>
          </w:tblCellMar>
        </w:tblPrEx>
        <w:trPr>
          <w:trHeight w:val="555"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17</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010805005001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全玻自由门</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12厚钢化玻璃地弹门,含不锈钢拉手,门夹等</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5.67</w:t>
            </w:r>
          </w:p>
        </w:tc>
      </w:tr>
      <w:tr>
        <w:tblPrEx>
          <w:tblCellMar>
            <w:top w:w="0" w:type="dxa"/>
            <w:left w:w="108" w:type="dxa"/>
            <w:bottom w:w="0" w:type="dxa"/>
            <w:right w:w="108" w:type="dxa"/>
          </w:tblCellMar>
        </w:tblPrEx>
        <w:trPr>
          <w:trHeight w:val="63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18</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011210003001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玻璃隔断</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10厚钢化固定玻璃,具体做法详见图纸</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1.17</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19</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010808004001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金属门窗套</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木龙骨细木工板基层上304不锈钢包边窗套</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1.37</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20</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011505010001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镜面玻璃</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车边银镜,具体做法详见图纸</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0.50</w:t>
            </w:r>
          </w:p>
        </w:tc>
      </w:tr>
      <w:tr>
        <w:tblPrEx>
          <w:tblCellMar>
            <w:top w:w="0" w:type="dxa"/>
            <w:left w:w="108" w:type="dxa"/>
            <w:bottom w:w="0" w:type="dxa"/>
            <w:right w:w="108" w:type="dxa"/>
          </w:tblCellMar>
        </w:tblPrEx>
        <w:trPr>
          <w:trHeight w:val="36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21</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011505001001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洗漱台</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人造石台面洗手盆，含五金配件</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0.60</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22</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010807001001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金属（塑钢、断桥）窗</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1.5厚型材铝合金推拉窗5厚单玻</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11.50</w:t>
            </w:r>
          </w:p>
        </w:tc>
      </w:tr>
      <w:tr>
        <w:tblPrEx>
          <w:tblCellMar>
            <w:top w:w="0" w:type="dxa"/>
            <w:left w:w="108" w:type="dxa"/>
            <w:bottom w:w="0" w:type="dxa"/>
            <w:right w:w="108" w:type="dxa"/>
          </w:tblCellMar>
        </w:tblPrEx>
        <w:trPr>
          <w:trHeight w:val="57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23</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011302001001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吊顶天棚</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1、5cm厚夹芯板，2、1.5厚镀锌板包边</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35.00</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24</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01B003</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投放口</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1.2厚不锈钢投放口55*50cm含不锈钢包边、自动闭门器</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4</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25</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011508002001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有机玻璃字</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40cm亚克力发光字</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5.50</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26</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010902001001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屋面卷材防水</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原基层清洁处理,SBS改性沥青防水卷材防水</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m2</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28.82</w:t>
            </w:r>
          </w:p>
        </w:tc>
      </w:tr>
      <w:tr>
        <w:tblPrEx>
          <w:tblCellMar>
            <w:top w:w="0" w:type="dxa"/>
            <w:left w:w="108" w:type="dxa"/>
            <w:bottom w:w="0" w:type="dxa"/>
            <w:right w:w="108" w:type="dxa"/>
          </w:tblCellMar>
        </w:tblPrEx>
        <w:trPr>
          <w:trHeight w:val="99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27</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031001006002</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塑料管</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安装部位:室内</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介质:排水</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材质、规格:UPVC110排水管</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连接形式:粘接</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15.00</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28</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031003001001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螺纹阀门</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截止阀DN25安装</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57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29</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031003001002</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螺纹阀门</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止回阀DN25安装</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30</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031004014001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给、排水附(配)件</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冲洗水龙头安装 公称直径（mm）15</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885"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31</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031003013001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水表</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1、安装部位(室内外)：室外</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2、型号、规格：DN25</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3、连接形式：螺纹连接</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组</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32</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040504001001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砌筑井</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砌筑水表井 DN25以内 含井盖</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座</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81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33</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010101003001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挖沟槽土方</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1.土壤类别:自行现场勘探</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2.挖土深度:1.5m以内</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3.回填要求:就地夯实</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m3</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9.80</w:t>
            </w:r>
          </w:p>
        </w:tc>
      </w:tr>
      <w:tr>
        <w:tblPrEx>
          <w:tblCellMar>
            <w:top w:w="0" w:type="dxa"/>
            <w:left w:w="108" w:type="dxa"/>
            <w:bottom w:w="0" w:type="dxa"/>
            <w:right w:w="108" w:type="dxa"/>
          </w:tblCellMar>
        </w:tblPrEx>
        <w:trPr>
          <w:trHeight w:val="102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34</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03B001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管道局部开挖后绿化修复、开挖路面及按原标准修复</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管道局部开挖后绿化修复、开挖路面及按原标准修复 现场自行勘探，综合考虑</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项</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35</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　</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网络设备</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p>
        </w:tc>
      </w:tr>
      <w:tr>
        <w:tblPrEx>
          <w:tblCellMar>
            <w:top w:w="0" w:type="dxa"/>
            <w:left w:w="108" w:type="dxa"/>
            <w:bottom w:w="0" w:type="dxa"/>
            <w:right w:w="108" w:type="dxa"/>
          </w:tblCellMar>
        </w:tblPrEx>
        <w:trPr>
          <w:trHeight w:val="1065"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36</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030507008001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监控摄像设备</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200W高清球机 iDS-2DE7223MX-A(B)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23倍光学变倍，16倍数字变倍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支持H.265编码，实现超低码流传输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信噪比达到55dB，实现宽动态范围监控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支持隐私遮挡，最多24块区域,同时最多有8块区域在同一个画面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宽动态效果，加上图像降噪功能，完美的白天/夜晚图像展现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支持软件集成的开放式API，支持标准协议(Onvif、CGI、GB/T28181)、支持大华SDK 和第三方管理平台接入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支持三码流技术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支持穿越围栏、绊线入侵、区域入侵、物品遗留、快速移动、停车检测、人员聚集、物品搬移、徘徊检测多种行为检测；支持目标过滤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支持人脸检测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水平方向360°连续旋转，垂直方向-15°～90°自动翻转180°后连续监视,无监视盲区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水平键控速度0.1°～160°/s ，垂直键控速度0.1°～120°/s，云台定位可精确到0.1°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支持300个预置位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可以按照所设置的预置位完成8条巡航路径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可设置5条巡迹路径，每条路径的记录时间大于15分钟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内置150米红外灯补光，采用倍率与</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台</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204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37</w:t>
            </w:r>
          </w:p>
        </w:tc>
        <w:tc>
          <w:tcPr>
            <w:tcW w:w="129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红外灯功率匹配算法，补光效果更均匀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 xml:space="preserve">支持AC24V±25%宽电压输入 </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室外球达到IP66防护等级，6000V防雷、防浪涌和防突波保护</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含配套壁装支架</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型号仅作参考，参数不低于</w:t>
            </w:r>
          </w:p>
        </w:tc>
        <w:tc>
          <w:tcPr>
            <w:tcW w:w="709" w:type="dxa"/>
            <w:tcBorders>
              <w:top w:val="nil"/>
              <w:left w:val="nil"/>
              <w:bottom w:val="single" w:color="auto" w:sz="4" w:space="0"/>
              <w:right w:val="single" w:color="auto" w:sz="4" w:space="0"/>
            </w:tcBorders>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992" w:type="dxa"/>
            <w:tcBorders>
              <w:top w:val="nil"/>
              <w:left w:val="nil"/>
              <w:bottom w:val="single" w:color="auto" w:sz="4" w:space="0"/>
              <w:right w:val="single" w:color="auto" w:sz="4" w:space="0"/>
            </w:tcBorders>
            <w:noWrap/>
            <w:vAlign w:val="bottom"/>
          </w:tcPr>
          <w:p>
            <w:pPr>
              <w:widowControl/>
              <w:jc w:val="center"/>
              <w:rPr>
                <w:rFonts w:ascii="Arial" w:hAnsi="Arial" w:cs="Arial"/>
                <w:color w:val="auto"/>
                <w:kern w:val="0"/>
                <w:sz w:val="20"/>
                <w:szCs w:val="20"/>
                <w:highlight w:val="none"/>
              </w:rPr>
            </w:pPr>
          </w:p>
        </w:tc>
      </w:tr>
      <w:tr>
        <w:tblPrEx>
          <w:tblCellMar>
            <w:top w:w="0" w:type="dxa"/>
            <w:left w:w="108" w:type="dxa"/>
            <w:bottom w:w="0" w:type="dxa"/>
            <w:right w:w="108" w:type="dxa"/>
          </w:tblCellMar>
        </w:tblPrEx>
        <w:trPr>
          <w:trHeight w:val="117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38</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030507013001</w:t>
            </w:r>
          </w:p>
        </w:tc>
        <w:tc>
          <w:tcPr>
            <w:tcW w:w="12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录像设备</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硬盘录像机（4G） DS-7604N-K1(标配)(USB 4G)</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支持嵌入式Linux系统，工业级嵌入式微控制器支持WEB、本地GUI界面操作可接驳支持ONVIF、PSIA、RTSP协议的第三方摄像机和主流品牌摄像机，支持IPv4、IPv6、ONVIF（不支持ONVIF Server）、HTTP、DHCP、UPnP、NTP、SNMP、PPPoE、DDNS、FTP等网络协议</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支持最大4路网络视频接入，网络性能接入28Mbps，储存28Mbps，转发28Mbps</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支持6M/5M/4M/3M/1080P/1.3M/720P IPC分辨率接入，支持1×6M/4×3M/6×1080P/12×720P/24×D1解码，最大支持4路视频回放，支持1路VGA，1路HDMI，支持VGA/HDMI视频同源输出，支持1个内置SATA接口，单盘容量支持6T，支持2个USB接口（2个后置USB2.0接口），支持1个百兆以太网口，支持按时间、按事件等多种方式进行录像的检索、回放、备份，支持图片本地回放与查询；支持标签自定义功能，设备支持对指定时间的录像进行标签并归档，便于后续査看，支持本机硬盘、网络等存储方式，支持外接USB存储设备备份方式</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支持设备操作日志、报警日志、系</w:t>
            </w:r>
            <w:r>
              <w:rPr>
                <w:rFonts w:hint="eastAsia" w:ascii="宋体" w:hAnsi="宋体" w:cs="Arial"/>
                <w:color w:val="auto"/>
                <w:kern w:val="0"/>
                <w:sz w:val="18"/>
                <w:szCs w:val="18"/>
                <w:highlight w:val="none"/>
              </w:rPr>
              <w:t>统日志的记录与查询功能，支持断网续传功能，能对前端摄像机断网这段时间内SD卡中的录像回传到NVR，支持即时回放功能，在预览画面下回放指定通道的录像，支持预览图像与回放图像的电子放大，支持远程管理IPC功能，支持对前端IPC远程升级，支持远程对IPC的编码配置修改等操作支持一键添加摄像机显示监控画面，支持远程零通道预览功能</w:t>
            </w:r>
            <w:r>
              <w:rPr>
                <w:rFonts w:hint="eastAsia" w:ascii="宋体" w:hAnsi="宋体" w:cs="Arial"/>
                <w:color w:val="auto"/>
                <w:kern w:val="0"/>
                <w:sz w:val="18"/>
                <w:szCs w:val="18"/>
                <w:highlight w:val="none"/>
              </w:rPr>
              <w:br w:type="textWrapping"/>
            </w:r>
            <w:r>
              <w:rPr>
                <w:rFonts w:hint="eastAsia" w:ascii="宋体" w:hAnsi="宋体" w:cs="Arial"/>
                <w:color w:val="auto"/>
                <w:kern w:val="0"/>
                <w:sz w:val="18"/>
                <w:szCs w:val="18"/>
                <w:highlight w:val="none"/>
              </w:rPr>
              <w:t>含USB无线网卡</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套</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90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39</w:t>
            </w:r>
          </w:p>
        </w:tc>
        <w:tc>
          <w:tcPr>
            <w:tcW w:w="1296" w:type="dxa"/>
            <w:tcBorders>
              <w:top w:val="single" w:color="000000" w:sz="4" w:space="0"/>
              <w:left w:val="nil"/>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030507013002</w:t>
            </w:r>
          </w:p>
        </w:tc>
        <w:tc>
          <w:tcPr>
            <w:tcW w:w="1240" w:type="dxa"/>
            <w:tcBorders>
              <w:top w:val="single" w:color="000000" w:sz="4" w:space="0"/>
              <w:left w:val="single" w:color="000000" w:sz="4" w:space="0"/>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录像设备</w:t>
            </w:r>
          </w:p>
        </w:tc>
        <w:tc>
          <w:tcPr>
            <w:tcW w:w="5025" w:type="dxa"/>
            <w:tcBorders>
              <w:top w:val="single" w:color="000000" w:sz="4" w:space="0"/>
              <w:left w:val="single" w:color="000000" w:sz="4" w:space="0"/>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企业级监控专用硬盘 4t 3.5英寸 4000G 7200 128M SATA3，</w:t>
            </w:r>
          </w:p>
        </w:tc>
        <w:tc>
          <w:tcPr>
            <w:tcW w:w="709" w:type="dxa"/>
            <w:tcBorders>
              <w:top w:val="single" w:color="000000" w:sz="4" w:space="0"/>
              <w:left w:val="single" w:color="000000" w:sz="4" w:space="0"/>
              <w:bottom w:val="nil"/>
              <w:right w:val="nil"/>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块</w:t>
            </w:r>
          </w:p>
        </w:tc>
        <w:tc>
          <w:tcPr>
            <w:tcW w:w="99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40</w:t>
            </w:r>
          </w:p>
        </w:tc>
        <w:tc>
          <w:tcPr>
            <w:tcW w:w="1296" w:type="dxa"/>
            <w:tcBorders>
              <w:top w:val="single" w:color="000000" w:sz="4" w:space="0"/>
              <w:left w:val="nil"/>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030404016001</w:t>
            </w:r>
          </w:p>
        </w:tc>
        <w:tc>
          <w:tcPr>
            <w:tcW w:w="1240" w:type="dxa"/>
            <w:tcBorders>
              <w:top w:val="single" w:color="000000" w:sz="4" w:space="0"/>
              <w:left w:val="single" w:color="000000" w:sz="4" w:space="0"/>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防水箱</w:t>
            </w:r>
          </w:p>
        </w:tc>
        <w:tc>
          <w:tcPr>
            <w:tcW w:w="5025" w:type="dxa"/>
            <w:tcBorders>
              <w:top w:val="single" w:color="000000" w:sz="4" w:space="0"/>
              <w:left w:val="single" w:color="000000" w:sz="4" w:space="0"/>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防水箱 500*400*200防水防腐耐酸塑料配电箱</w:t>
            </w:r>
          </w:p>
        </w:tc>
        <w:tc>
          <w:tcPr>
            <w:tcW w:w="709" w:type="dxa"/>
            <w:tcBorders>
              <w:top w:val="single" w:color="000000" w:sz="4" w:space="0"/>
              <w:left w:val="single" w:color="000000" w:sz="4" w:space="0"/>
              <w:bottom w:val="nil"/>
              <w:right w:val="nil"/>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台</w:t>
            </w:r>
          </w:p>
        </w:tc>
        <w:tc>
          <w:tcPr>
            <w:tcW w:w="99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63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Arial"/>
                <w:color w:val="auto"/>
                <w:kern w:val="0"/>
                <w:sz w:val="18"/>
                <w:szCs w:val="18"/>
                <w:highlight w:val="none"/>
                <w:lang w:eastAsia="zh-CN"/>
              </w:rPr>
            </w:pPr>
            <w:r>
              <w:rPr>
                <w:rFonts w:hint="eastAsia" w:ascii="宋体" w:hAnsi="宋体" w:cs="Arial"/>
                <w:color w:val="auto"/>
                <w:kern w:val="0"/>
                <w:sz w:val="18"/>
                <w:szCs w:val="18"/>
                <w:highlight w:val="none"/>
              </w:rPr>
              <w:t>4</w:t>
            </w:r>
            <w:r>
              <w:rPr>
                <w:rFonts w:hint="eastAsia" w:ascii="宋体" w:hAnsi="宋体" w:cs="Arial"/>
                <w:color w:val="auto"/>
                <w:kern w:val="0"/>
                <w:sz w:val="18"/>
                <w:szCs w:val="18"/>
                <w:highlight w:val="none"/>
                <w:lang w:val="en-US" w:eastAsia="zh-CN"/>
              </w:rPr>
              <w:t>1</w:t>
            </w:r>
          </w:p>
        </w:tc>
        <w:tc>
          <w:tcPr>
            <w:tcW w:w="1296" w:type="dxa"/>
            <w:tcBorders>
              <w:top w:val="single" w:color="000000" w:sz="4" w:space="0"/>
              <w:left w:val="nil"/>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03B002</w:t>
            </w:r>
          </w:p>
        </w:tc>
        <w:tc>
          <w:tcPr>
            <w:tcW w:w="1240" w:type="dxa"/>
            <w:tcBorders>
              <w:top w:val="single" w:color="000000" w:sz="4" w:space="0"/>
              <w:left w:val="single" w:color="000000" w:sz="4" w:space="0"/>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配套2年期4G流量卡</w:t>
            </w:r>
          </w:p>
        </w:tc>
        <w:tc>
          <w:tcPr>
            <w:tcW w:w="5025" w:type="dxa"/>
            <w:tcBorders>
              <w:top w:val="single" w:color="000000" w:sz="4" w:space="0"/>
              <w:left w:val="single" w:color="000000" w:sz="4" w:space="0"/>
              <w:bottom w:val="nil"/>
              <w:right w:val="nil"/>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配套2年期4G流量卡  配套使用，满足使用功能及验收要求</w:t>
            </w:r>
          </w:p>
        </w:tc>
        <w:tc>
          <w:tcPr>
            <w:tcW w:w="709" w:type="dxa"/>
            <w:tcBorders>
              <w:top w:val="single" w:color="000000" w:sz="4" w:space="0"/>
              <w:left w:val="single" w:color="000000" w:sz="4" w:space="0"/>
              <w:bottom w:val="nil"/>
              <w:right w:val="nil"/>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套</w:t>
            </w:r>
          </w:p>
        </w:tc>
        <w:tc>
          <w:tcPr>
            <w:tcW w:w="99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90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Arial"/>
                <w:color w:val="auto"/>
                <w:kern w:val="0"/>
                <w:sz w:val="18"/>
                <w:szCs w:val="18"/>
                <w:highlight w:val="none"/>
                <w:lang w:eastAsia="zh-CN"/>
              </w:rPr>
            </w:pPr>
            <w:r>
              <w:rPr>
                <w:rFonts w:hint="eastAsia" w:ascii="宋体" w:hAnsi="宋体" w:cs="Arial"/>
                <w:color w:val="auto"/>
                <w:kern w:val="0"/>
                <w:sz w:val="18"/>
                <w:szCs w:val="18"/>
                <w:highlight w:val="none"/>
              </w:rPr>
              <w:t>4</w:t>
            </w:r>
            <w:r>
              <w:rPr>
                <w:rFonts w:hint="eastAsia" w:ascii="宋体" w:hAnsi="宋体" w:cs="Arial"/>
                <w:color w:val="auto"/>
                <w:kern w:val="0"/>
                <w:sz w:val="18"/>
                <w:szCs w:val="18"/>
                <w:highlight w:val="none"/>
                <w:lang w:val="en-US" w:eastAsia="zh-CN"/>
              </w:rPr>
              <w:t>2</w:t>
            </w:r>
          </w:p>
        </w:tc>
        <w:tc>
          <w:tcPr>
            <w:tcW w:w="129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03B003</w:t>
            </w:r>
          </w:p>
        </w:tc>
        <w:tc>
          <w:tcPr>
            <w:tcW w:w="124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监控辅材</w:t>
            </w:r>
          </w:p>
        </w:tc>
        <w:tc>
          <w:tcPr>
            <w:tcW w:w="502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施工辅材 电源线、接头、网线、接线板、插头、电源管线及施工易耗品</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批</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w:t>
            </w:r>
          </w:p>
        </w:tc>
      </w:tr>
      <w:tr>
        <w:tblPrEx>
          <w:tblCellMar>
            <w:top w:w="0" w:type="dxa"/>
            <w:left w:w="108" w:type="dxa"/>
            <w:bottom w:w="0" w:type="dxa"/>
            <w:right w:w="108" w:type="dxa"/>
          </w:tblCellMar>
        </w:tblPrEx>
        <w:trPr>
          <w:trHeight w:val="45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Arial"/>
                <w:color w:val="auto"/>
                <w:kern w:val="0"/>
                <w:sz w:val="18"/>
                <w:szCs w:val="18"/>
                <w:highlight w:val="none"/>
                <w:lang w:eastAsia="zh-CN"/>
              </w:rPr>
            </w:pPr>
            <w:r>
              <w:rPr>
                <w:rFonts w:hint="eastAsia" w:ascii="宋体" w:hAnsi="宋体" w:cs="Arial"/>
                <w:color w:val="auto"/>
                <w:kern w:val="0"/>
                <w:sz w:val="18"/>
                <w:szCs w:val="18"/>
                <w:highlight w:val="none"/>
              </w:rPr>
              <w:t>4</w:t>
            </w:r>
            <w:r>
              <w:rPr>
                <w:rFonts w:hint="eastAsia" w:ascii="宋体" w:hAnsi="宋体" w:cs="Arial"/>
                <w:color w:val="auto"/>
                <w:kern w:val="0"/>
                <w:sz w:val="18"/>
                <w:szCs w:val="18"/>
                <w:highlight w:val="none"/>
                <w:lang w:val="en-US" w:eastAsia="zh-CN"/>
              </w:rPr>
              <w:t>3</w:t>
            </w:r>
          </w:p>
        </w:tc>
        <w:tc>
          <w:tcPr>
            <w:tcW w:w="129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03B004</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物联称</w:t>
            </w:r>
          </w:p>
        </w:tc>
        <w:tc>
          <w:tcPr>
            <w:tcW w:w="5025"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具备自动称重、拍照上传、扫码积分等功能</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   个</w:t>
            </w:r>
          </w:p>
        </w:tc>
        <w:tc>
          <w:tcPr>
            <w:tcW w:w="992" w:type="dxa"/>
            <w:tcBorders>
              <w:top w:val="nil"/>
              <w:left w:val="nil"/>
              <w:bottom w:val="single" w:color="auto" w:sz="4" w:space="0"/>
              <w:right w:val="single" w:color="auto" w:sz="4" w:space="0"/>
            </w:tcBorders>
            <w:noWrap/>
            <w:vAlign w:val="bottom"/>
          </w:tcPr>
          <w:p>
            <w:pPr>
              <w:widowControl/>
              <w:jc w:val="center"/>
              <w:rPr>
                <w:rFonts w:ascii="宋体" w:hAnsi="宋体" w:cs="Arial"/>
                <w:color w:val="auto"/>
                <w:kern w:val="0"/>
                <w:sz w:val="18"/>
                <w:szCs w:val="18"/>
                <w:highlight w:val="none"/>
              </w:rPr>
            </w:pPr>
            <w:r>
              <w:rPr>
                <w:rFonts w:ascii="宋体" w:hAnsi="宋体" w:cs="Arial"/>
                <w:color w:val="auto"/>
                <w:kern w:val="0"/>
                <w:sz w:val="18"/>
                <w:szCs w:val="18"/>
                <w:highlight w:val="none"/>
              </w:rPr>
              <w:t>1</w:t>
            </w:r>
          </w:p>
        </w:tc>
      </w:tr>
    </w:tbl>
    <w:p>
      <w:pPr>
        <w:widowControl/>
        <w:shd w:val="clear" w:color="auto" w:fill="FFFFFF"/>
        <w:adjustRightInd w:val="0"/>
        <w:snapToGrid w:val="0"/>
        <w:spacing w:line="300" w:lineRule="auto"/>
        <w:ind w:firstLine="420"/>
        <w:rPr>
          <w:rFonts w:ascii="宋体" w:hAnsi="宋体" w:cs="宋体"/>
          <w:b/>
          <w:bCs/>
          <w:color w:val="auto"/>
          <w:kern w:val="0"/>
          <w:sz w:val="24"/>
          <w:highlight w:val="none"/>
          <w:shd w:val="clear" w:color="auto" w:fill="FFFFFF"/>
        </w:rPr>
      </w:pPr>
    </w:p>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b/>
          <w:color w:val="auto"/>
          <w:sz w:val="24"/>
          <w:highlight w:val="none"/>
        </w:rPr>
        <w:t>（二）有害垃圾收纳袋</w:t>
      </w:r>
    </w:p>
    <w:p>
      <w:pPr>
        <w:widowControl/>
        <w:shd w:val="clear" w:color="auto" w:fill="FFFFFF"/>
        <w:adjustRightInd w:val="0"/>
        <w:snapToGrid w:val="0"/>
        <w:spacing w:line="300" w:lineRule="auto"/>
        <w:ind w:firstLine="420"/>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1.材质：600D加厚涂层牛津布</w:t>
      </w:r>
    </w:p>
    <w:p>
      <w:pPr>
        <w:widowControl/>
        <w:shd w:val="clear" w:color="auto" w:fill="FFFFFF"/>
        <w:adjustRightInd w:val="0"/>
        <w:snapToGrid w:val="0"/>
        <w:spacing w:line="300" w:lineRule="auto"/>
        <w:ind w:firstLine="420"/>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2.尺寸：70*80cm</w:t>
      </w:r>
    </w:p>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b/>
          <w:color w:val="auto"/>
          <w:sz w:val="24"/>
          <w:highlight w:val="none"/>
        </w:rPr>
        <w:t>（三）宣传栏、公示栏</w:t>
      </w: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4297"/>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部件</w:t>
            </w:r>
          </w:p>
        </w:tc>
        <w:tc>
          <w:tcPr>
            <w:tcW w:w="4297"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技术参数和规格</w:t>
            </w:r>
          </w:p>
        </w:tc>
        <w:tc>
          <w:tcPr>
            <w:tcW w:w="2841"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shd w:val="clear" w:color="auto" w:fill="FFFFFF"/>
              <w:adjustRightInd w:val="0"/>
              <w:snapToGrid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钢管立柱</w:t>
            </w:r>
          </w:p>
        </w:tc>
        <w:tc>
          <w:tcPr>
            <w:tcW w:w="4297" w:type="dxa"/>
            <w:noWrap w:val="0"/>
            <w:vAlign w:val="top"/>
          </w:tcPr>
          <w:p>
            <w:pPr>
              <w:widowControl/>
              <w:shd w:val="clear" w:color="auto" w:fill="FFFFFF"/>
              <w:adjustRightInd w:val="0"/>
              <w:snapToGrid w:val="0"/>
              <w:spacing w:line="300" w:lineRule="auto"/>
              <w:ind w:firstLine="42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10*10cm镀锌方管烤漆</w:t>
            </w:r>
          </w:p>
        </w:tc>
        <w:tc>
          <w:tcPr>
            <w:tcW w:w="2841"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adjustRightInd w:val="0"/>
              <w:snapToGrid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标题栏</w:t>
            </w:r>
          </w:p>
        </w:tc>
        <w:tc>
          <w:tcPr>
            <w:tcW w:w="4297" w:type="dxa"/>
            <w:noWrap w:val="0"/>
            <w:vAlign w:val="top"/>
          </w:tcPr>
          <w:p>
            <w:pPr>
              <w:widowControl/>
              <w:adjustRightInd w:val="0"/>
              <w:snapToGrid w:val="0"/>
              <w:spacing w:line="300" w:lineRule="auto"/>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镀锌板激光雕刻焊接喷漆</w:t>
            </w:r>
          </w:p>
        </w:tc>
        <w:tc>
          <w:tcPr>
            <w:tcW w:w="2841" w:type="dxa"/>
            <w:noWrap w:val="0"/>
            <w:vAlign w:val="top"/>
          </w:tcPr>
          <w:p>
            <w:pPr>
              <w:widowControl/>
              <w:adjustRightInd w:val="0"/>
              <w:snapToGrid w:val="0"/>
              <w:spacing w:line="300" w:lineRule="auto"/>
              <w:rPr>
                <w:rFonts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adjustRightInd w:val="0"/>
              <w:snapToGrid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画面底板</w:t>
            </w:r>
          </w:p>
        </w:tc>
        <w:tc>
          <w:tcPr>
            <w:tcW w:w="4297" w:type="dxa"/>
            <w:noWrap w:val="0"/>
            <w:vAlign w:val="top"/>
          </w:tcPr>
          <w:p>
            <w:pPr>
              <w:widowControl/>
              <w:adjustRightInd w:val="0"/>
              <w:snapToGrid w:val="0"/>
              <w:spacing w:line="300" w:lineRule="auto"/>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镀锌板折边烤漆</w:t>
            </w:r>
          </w:p>
        </w:tc>
        <w:tc>
          <w:tcPr>
            <w:tcW w:w="2841" w:type="dxa"/>
            <w:noWrap w:val="0"/>
            <w:vAlign w:val="top"/>
          </w:tcPr>
          <w:p>
            <w:pPr>
              <w:widowControl/>
              <w:adjustRightInd w:val="0"/>
              <w:snapToGrid w:val="0"/>
              <w:spacing w:line="300" w:lineRule="auto"/>
              <w:rPr>
                <w:rFonts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adjustRightInd w:val="0"/>
              <w:snapToGrid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基础</w:t>
            </w:r>
          </w:p>
        </w:tc>
        <w:tc>
          <w:tcPr>
            <w:tcW w:w="4297" w:type="dxa"/>
            <w:noWrap w:val="0"/>
            <w:vAlign w:val="top"/>
          </w:tcPr>
          <w:p>
            <w:pPr>
              <w:widowControl/>
              <w:adjustRightInd w:val="0"/>
              <w:snapToGrid w:val="0"/>
              <w:spacing w:line="300" w:lineRule="auto"/>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混凝土基础安装</w:t>
            </w:r>
          </w:p>
        </w:tc>
        <w:tc>
          <w:tcPr>
            <w:tcW w:w="2841" w:type="dxa"/>
            <w:noWrap w:val="0"/>
            <w:vAlign w:val="top"/>
          </w:tcPr>
          <w:p>
            <w:pPr>
              <w:widowControl/>
              <w:adjustRightInd w:val="0"/>
              <w:snapToGrid w:val="0"/>
              <w:spacing w:line="300" w:lineRule="auto"/>
              <w:rPr>
                <w:rFonts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adjustRightInd w:val="0"/>
              <w:snapToGrid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规格</w:t>
            </w:r>
          </w:p>
        </w:tc>
        <w:tc>
          <w:tcPr>
            <w:tcW w:w="4297" w:type="dxa"/>
            <w:noWrap w:val="0"/>
            <w:vAlign w:val="top"/>
          </w:tcPr>
          <w:p>
            <w:pPr>
              <w:widowControl/>
              <w:adjustRightInd w:val="0"/>
              <w:snapToGrid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xml:space="preserve">2.8*2.3  </w:t>
            </w:r>
            <w:r>
              <w:rPr>
                <w:rFonts w:hint="eastAsia" w:ascii="宋体" w:hAnsi="宋体" w:cs="宋体"/>
                <w:color w:val="auto"/>
                <w:kern w:val="0"/>
                <w:sz w:val="24"/>
                <w:highlight w:val="none"/>
                <w:shd w:val="clear" w:color="auto" w:fill="FFFFFF"/>
                <w:lang w:bidi="en-US"/>
              </w:rPr>
              <w:t>长*宽  单位m</w:t>
            </w:r>
          </w:p>
        </w:tc>
        <w:tc>
          <w:tcPr>
            <w:tcW w:w="2841" w:type="dxa"/>
            <w:noWrap w:val="0"/>
            <w:vAlign w:val="top"/>
          </w:tcPr>
          <w:p>
            <w:pPr>
              <w:widowControl/>
              <w:adjustRightInd w:val="0"/>
              <w:snapToGrid w:val="0"/>
              <w:spacing w:line="300" w:lineRule="auto"/>
              <w:rPr>
                <w:rFonts w:ascii="宋体" w:hAnsi="宋体" w:cs="宋体"/>
                <w:b/>
                <w:color w:val="auto"/>
                <w:sz w:val="24"/>
                <w:highlight w:val="none"/>
              </w:rPr>
            </w:pPr>
            <w:r>
              <w:rPr>
                <w:rFonts w:hint="eastAsia" w:ascii="宋体" w:hAnsi="宋体" w:cs="宋体"/>
                <w:b/>
                <w:color w:val="auto"/>
                <w:sz w:val="24"/>
                <w:highlight w:val="none"/>
              </w:rPr>
              <w:t xml:space="preserve">   </w:t>
            </w:r>
          </w:p>
        </w:tc>
      </w:tr>
    </w:tbl>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b/>
          <w:color w:val="auto"/>
          <w:sz w:val="24"/>
          <w:highlight w:val="none"/>
        </w:rPr>
        <w:t>（四）分类导引牌</w:t>
      </w: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4297"/>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部件</w:t>
            </w:r>
          </w:p>
        </w:tc>
        <w:tc>
          <w:tcPr>
            <w:tcW w:w="4297"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技术参数和规格</w:t>
            </w:r>
          </w:p>
        </w:tc>
        <w:tc>
          <w:tcPr>
            <w:tcW w:w="2841"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点位图</w:t>
            </w:r>
          </w:p>
        </w:tc>
        <w:tc>
          <w:tcPr>
            <w:tcW w:w="4297"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不锈钢烤漆文字彩印，画面pvc</w:t>
            </w:r>
            <w:r>
              <w:rPr>
                <w:rFonts w:ascii="宋体" w:hAnsi="宋体" w:cs="宋体"/>
                <w:color w:val="auto"/>
                <w:sz w:val="24"/>
                <w:highlight w:val="none"/>
                <w:shd w:val="clear" w:color="auto" w:fill="FFFFFF"/>
              </w:rPr>
              <w:t xml:space="preserve"> </w:t>
            </w:r>
          </w:p>
        </w:tc>
        <w:tc>
          <w:tcPr>
            <w:tcW w:w="2841" w:type="dxa"/>
            <w:noWrap w:val="0"/>
            <w:vAlign w:val="top"/>
          </w:tcPr>
          <w:p>
            <w:pPr>
              <w:widowControl/>
              <w:shd w:val="clear" w:color="auto" w:fill="FFFFFF"/>
              <w:adjustRightInd w:val="0"/>
              <w:snapToGrid w:val="0"/>
              <w:spacing w:line="300" w:lineRule="auto"/>
              <w:ind w:firstLine="420"/>
              <w:rPr>
                <w:rFonts w:ascii="宋体" w:hAnsi="宋体" w:cs="宋体"/>
                <w:b/>
                <w:color w:val="auto"/>
                <w:sz w:val="24"/>
                <w:highlight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color w:val="auto"/>
                <w:sz w:val="24"/>
                <w:highlight w:val="none"/>
                <w:shd w:val="clear" w:color="auto" w:fill="FFFFFF"/>
              </w:rPr>
              <w:t>规格</w:t>
            </w:r>
          </w:p>
        </w:tc>
        <w:tc>
          <w:tcPr>
            <w:tcW w:w="4297" w:type="dxa"/>
            <w:noWrap w:val="0"/>
            <w:vAlign w:val="top"/>
          </w:tcPr>
          <w:p>
            <w:pPr>
              <w:widowControl/>
              <w:adjustRightInd w:val="0"/>
              <w:snapToGrid w:val="0"/>
              <w:spacing w:line="300" w:lineRule="auto"/>
              <w:rPr>
                <w:rFonts w:ascii="宋体" w:hAnsi="宋体" w:cs="宋体"/>
                <w:b/>
                <w:color w:val="auto"/>
                <w:sz w:val="24"/>
                <w:highlight w:val="none"/>
              </w:rPr>
            </w:pPr>
            <w:r>
              <w:rPr>
                <w:rFonts w:hint="eastAsia" w:ascii="宋体" w:hAnsi="宋体" w:cs="宋体"/>
                <w:color w:val="auto"/>
                <w:sz w:val="24"/>
                <w:highlight w:val="none"/>
                <w:shd w:val="clear" w:color="auto" w:fill="FFFFFF"/>
              </w:rPr>
              <w:t xml:space="preserve">   70*50*3   </w:t>
            </w:r>
            <w:r>
              <w:rPr>
                <w:rFonts w:hint="eastAsia" w:ascii="宋体" w:hAnsi="宋体" w:cs="宋体"/>
                <w:color w:val="auto"/>
                <w:kern w:val="0"/>
                <w:sz w:val="24"/>
                <w:highlight w:val="none"/>
                <w:shd w:val="clear" w:color="auto" w:fill="FFFFFF"/>
                <w:lang w:bidi="en-US"/>
              </w:rPr>
              <w:t>长*宽*厚  单位cm</w:t>
            </w:r>
          </w:p>
        </w:tc>
        <w:tc>
          <w:tcPr>
            <w:tcW w:w="2841" w:type="dxa"/>
            <w:noWrap w:val="0"/>
            <w:vAlign w:val="top"/>
          </w:tcPr>
          <w:p>
            <w:pPr>
              <w:widowControl/>
              <w:adjustRightInd w:val="0"/>
              <w:snapToGrid w:val="0"/>
              <w:spacing w:line="300" w:lineRule="auto"/>
              <w:ind w:firstLine="354" w:firstLineChars="147"/>
              <w:rPr>
                <w:rFonts w:ascii="宋体" w:hAnsi="宋体" w:cs="宋体"/>
                <w:b/>
                <w:color w:val="auto"/>
                <w:sz w:val="24"/>
                <w:highlight w:val="none"/>
              </w:rPr>
            </w:pPr>
          </w:p>
        </w:tc>
      </w:tr>
    </w:tbl>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b/>
          <w:color w:val="auto"/>
          <w:sz w:val="24"/>
          <w:highlight w:val="none"/>
        </w:rPr>
        <w:t>（五）楼道评比栏</w:t>
      </w: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4297"/>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部件</w:t>
            </w:r>
          </w:p>
        </w:tc>
        <w:tc>
          <w:tcPr>
            <w:tcW w:w="4297"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技术参数和规格</w:t>
            </w:r>
          </w:p>
        </w:tc>
        <w:tc>
          <w:tcPr>
            <w:tcW w:w="2841"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主体</w:t>
            </w:r>
          </w:p>
        </w:tc>
        <w:tc>
          <w:tcPr>
            <w:tcW w:w="4297"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5mmpvc板 户外写真</w:t>
            </w:r>
          </w:p>
        </w:tc>
        <w:tc>
          <w:tcPr>
            <w:tcW w:w="2841" w:type="dxa"/>
            <w:noWrap w:val="0"/>
            <w:vAlign w:val="top"/>
          </w:tcPr>
          <w:p>
            <w:pPr>
              <w:widowControl/>
              <w:shd w:val="clear" w:color="auto" w:fill="FFFFFF"/>
              <w:adjustRightInd w:val="0"/>
              <w:snapToGrid w:val="0"/>
              <w:spacing w:line="300" w:lineRule="auto"/>
              <w:ind w:firstLine="420"/>
              <w:rPr>
                <w:rFonts w:ascii="宋体" w:hAnsi="宋体" w:cs="宋体"/>
                <w:color w:val="auto"/>
                <w:sz w:val="24"/>
                <w:highlight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color w:val="auto"/>
                <w:sz w:val="24"/>
                <w:highlight w:val="none"/>
                <w:shd w:val="clear" w:color="auto" w:fill="FFFFFF"/>
              </w:rPr>
              <w:t>规格</w:t>
            </w:r>
          </w:p>
        </w:tc>
        <w:tc>
          <w:tcPr>
            <w:tcW w:w="4297" w:type="dxa"/>
            <w:noWrap w:val="0"/>
            <w:vAlign w:val="top"/>
          </w:tcPr>
          <w:p>
            <w:pPr>
              <w:widowControl/>
              <w:adjustRightInd w:val="0"/>
              <w:snapToGrid w:val="0"/>
              <w:spacing w:line="300" w:lineRule="auto"/>
              <w:rPr>
                <w:rFonts w:ascii="宋体" w:hAnsi="宋体" w:cs="宋体"/>
                <w:b/>
                <w:color w:val="auto"/>
                <w:sz w:val="24"/>
                <w:highlight w:val="none"/>
              </w:rPr>
            </w:pPr>
            <w:r>
              <w:rPr>
                <w:rFonts w:hint="eastAsia" w:ascii="宋体" w:hAnsi="宋体" w:cs="宋体"/>
                <w:color w:val="auto"/>
                <w:sz w:val="24"/>
                <w:highlight w:val="none"/>
                <w:shd w:val="clear" w:color="auto" w:fill="FFFFFF"/>
              </w:rPr>
              <w:t xml:space="preserve">   70*50   </w:t>
            </w:r>
            <w:r>
              <w:rPr>
                <w:rFonts w:hint="eastAsia" w:ascii="宋体" w:hAnsi="宋体" w:cs="宋体"/>
                <w:color w:val="auto"/>
                <w:kern w:val="0"/>
                <w:sz w:val="24"/>
                <w:highlight w:val="none"/>
                <w:shd w:val="clear" w:color="auto" w:fill="FFFFFF"/>
                <w:lang w:bidi="en-US"/>
              </w:rPr>
              <w:t>长*宽  单位cm</w:t>
            </w:r>
          </w:p>
        </w:tc>
        <w:tc>
          <w:tcPr>
            <w:tcW w:w="2841" w:type="dxa"/>
            <w:noWrap w:val="0"/>
            <w:vAlign w:val="top"/>
          </w:tcPr>
          <w:p>
            <w:pPr>
              <w:widowControl/>
              <w:adjustRightInd w:val="0"/>
              <w:snapToGrid w:val="0"/>
              <w:spacing w:line="300" w:lineRule="auto"/>
              <w:rPr>
                <w:rFonts w:ascii="宋体" w:hAnsi="宋体" w:cs="宋体"/>
                <w:b/>
                <w:color w:val="auto"/>
                <w:sz w:val="24"/>
                <w:highlight w:val="none"/>
              </w:rPr>
            </w:pPr>
          </w:p>
        </w:tc>
      </w:tr>
    </w:tbl>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b/>
          <w:color w:val="auto"/>
          <w:sz w:val="24"/>
          <w:highlight w:val="none"/>
        </w:rPr>
        <w:t>（六）可回收四分类智能箱</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8"/>
        <w:gridCol w:w="5781"/>
        <w:gridCol w:w="1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noWrap w:val="0"/>
            <w:vAlign w:val="top"/>
          </w:tcPr>
          <w:p>
            <w:pPr>
              <w:widowControl/>
              <w:shd w:val="clear" w:color="auto" w:fill="FFFFFF"/>
              <w:adjustRightInd w:val="0"/>
              <w:snapToGrid w:val="0"/>
              <w:spacing w:line="300" w:lineRule="auto"/>
              <w:ind w:firstLine="420"/>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部件</w:t>
            </w:r>
          </w:p>
        </w:tc>
        <w:tc>
          <w:tcPr>
            <w:tcW w:w="5781" w:type="dxa"/>
            <w:noWrap w:val="0"/>
            <w:vAlign w:val="top"/>
          </w:tcPr>
          <w:p>
            <w:pPr>
              <w:widowControl/>
              <w:shd w:val="clear" w:color="auto" w:fill="FFFFFF"/>
              <w:adjustRightInd w:val="0"/>
              <w:snapToGrid w:val="0"/>
              <w:spacing w:line="300" w:lineRule="auto"/>
              <w:ind w:firstLine="420"/>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技术参数和规格</w:t>
            </w:r>
          </w:p>
        </w:tc>
        <w:tc>
          <w:tcPr>
            <w:tcW w:w="1165" w:type="dxa"/>
            <w:noWrap w:val="0"/>
            <w:vAlign w:val="top"/>
          </w:tcPr>
          <w:p>
            <w:pPr>
              <w:widowControl/>
              <w:shd w:val="clear" w:color="auto" w:fill="FFFFFF"/>
              <w:adjustRightInd w:val="0"/>
              <w:snapToGrid w:val="0"/>
              <w:spacing w:line="300" w:lineRule="auto"/>
              <w:ind w:firstLine="240" w:firstLineChars="100"/>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noWrap w:val="0"/>
            <w:vAlign w:val="top"/>
          </w:tcPr>
          <w:p>
            <w:pPr>
              <w:widowControl/>
              <w:shd w:val="clear" w:color="auto" w:fill="FFFFFF"/>
              <w:adjustRightInd w:val="0"/>
              <w:snapToGrid w:val="0"/>
              <w:spacing w:line="300" w:lineRule="auto"/>
              <w:rPr>
                <w:rFonts w:ascii="宋体" w:hAnsi="宋体" w:cs="宋体"/>
                <w:color w:val="auto"/>
                <w:kern w:val="0"/>
                <w:sz w:val="24"/>
                <w:highlight w:val="none"/>
                <w:shd w:val="clear" w:color="auto" w:fill="FFFFFF"/>
                <w:lang w:bidi="en-US"/>
              </w:rPr>
            </w:pPr>
            <w:r>
              <w:rPr>
                <w:rFonts w:hint="eastAsia" w:ascii="宋体" w:hAnsi="宋体" w:cs="宋体"/>
                <w:color w:val="auto"/>
                <w:kern w:val="0"/>
                <w:sz w:val="24"/>
                <w:highlight w:val="none"/>
                <w:shd w:val="clear" w:color="auto" w:fill="FFFFFF"/>
                <w:lang w:bidi="en-US"/>
              </w:rPr>
              <w:t>规格</w:t>
            </w:r>
          </w:p>
        </w:tc>
        <w:tc>
          <w:tcPr>
            <w:tcW w:w="5781" w:type="dxa"/>
            <w:noWrap w:val="0"/>
            <w:vAlign w:val="top"/>
          </w:tcPr>
          <w:p>
            <w:pPr>
              <w:widowControl/>
              <w:shd w:val="clear" w:color="auto" w:fill="FFFFFF"/>
              <w:adjustRightInd w:val="0"/>
              <w:snapToGrid w:val="0"/>
              <w:spacing w:line="300" w:lineRule="auto"/>
              <w:rPr>
                <w:rFonts w:ascii="宋体" w:hAnsi="宋体" w:cs="宋体"/>
                <w:color w:val="auto"/>
                <w:kern w:val="0"/>
                <w:sz w:val="24"/>
                <w:highlight w:val="none"/>
                <w:shd w:val="clear" w:color="auto" w:fill="FFFFFF"/>
                <w:lang w:bidi="en-US"/>
              </w:rPr>
            </w:pPr>
            <w:r>
              <w:rPr>
                <w:rFonts w:hint="eastAsia" w:ascii="宋体" w:hAnsi="宋体" w:cs="宋体"/>
                <w:color w:val="auto"/>
                <w:kern w:val="0"/>
                <w:sz w:val="24"/>
                <w:highlight w:val="none"/>
                <w:shd w:val="clear" w:color="auto" w:fill="FFFFFF"/>
                <w:lang w:bidi="en-US"/>
              </w:rPr>
              <w:t xml:space="preserve">312*91*122   长*宽*高  单位cm </w:t>
            </w:r>
          </w:p>
        </w:tc>
        <w:tc>
          <w:tcPr>
            <w:tcW w:w="1165" w:type="dxa"/>
            <w:noWrap w:val="0"/>
            <w:vAlign w:val="top"/>
          </w:tcPr>
          <w:p>
            <w:pPr>
              <w:widowControl/>
              <w:shd w:val="clear" w:color="auto" w:fill="FFFFFF"/>
              <w:adjustRightInd w:val="0"/>
              <w:snapToGrid w:val="0"/>
              <w:spacing w:line="300" w:lineRule="auto"/>
              <w:rPr>
                <w:rFonts w:ascii="宋体" w:hAnsi="宋体" w:cs="宋体"/>
                <w:color w:val="auto"/>
                <w:kern w:val="0"/>
                <w:sz w:val="24"/>
                <w:highlight w:val="none"/>
                <w:shd w:val="clear" w:color="auto" w:fill="FFFFFF"/>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noWrap w:val="0"/>
            <w:vAlign w:val="top"/>
          </w:tcPr>
          <w:p>
            <w:pPr>
              <w:widowControl/>
              <w:adjustRightInd w:val="0"/>
              <w:snapToGrid w:val="0"/>
              <w:spacing w:line="300" w:lineRule="auto"/>
              <w:rPr>
                <w:rFonts w:ascii="宋体" w:hAnsi="宋体" w:cs="宋体"/>
                <w:color w:val="auto"/>
                <w:kern w:val="0"/>
                <w:sz w:val="24"/>
                <w:highlight w:val="none"/>
                <w:lang w:bidi="en-US"/>
              </w:rPr>
            </w:pPr>
            <w:r>
              <w:rPr>
                <w:rFonts w:hint="eastAsia" w:ascii="宋体" w:hAnsi="宋体" w:cs="宋体"/>
                <w:color w:val="auto"/>
                <w:kern w:val="0"/>
                <w:sz w:val="24"/>
                <w:highlight w:val="none"/>
                <w:lang w:bidi="en-US"/>
              </w:rPr>
              <w:t>用</w:t>
            </w:r>
            <w:r>
              <w:rPr>
                <w:rFonts w:ascii="宋体" w:hAnsi="宋体" w:cs="宋体"/>
                <w:color w:val="auto"/>
                <w:kern w:val="0"/>
                <w:sz w:val="24"/>
                <w:highlight w:val="none"/>
                <w:lang w:eastAsia="en-US" w:bidi="en-US"/>
              </w:rPr>
              <w:t>材</w:t>
            </w:r>
          </w:p>
        </w:tc>
        <w:tc>
          <w:tcPr>
            <w:tcW w:w="5781" w:type="dxa"/>
            <w:noWrap w:val="0"/>
            <w:vAlign w:val="top"/>
          </w:tcPr>
          <w:p>
            <w:pPr>
              <w:widowControl/>
              <w:adjustRightInd w:val="0"/>
              <w:snapToGrid w:val="0"/>
              <w:spacing w:line="300" w:lineRule="auto"/>
              <w:rPr>
                <w:rFonts w:ascii="宋体" w:hAnsi="宋体" w:cs="宋体"/>
                <w:color w:val="auto"/>
                <w:kern w:val="0"/>
                <w:sz w:val="24"/>
                <w:highlight w:val="none"/>
                <w:lang w:bidi="en-US"/>
              </w:rPr>
            </w:pPr>
            <w:r>
              <w:rPr>
                <w:rFonts w:ascii="宋体" w:hAnsi="宋体" w:cs="宋体"/>
                <w:color w:val="auto"/>
                <w:kern w:val="0"/>
                <w:sz w:val="24"/>
                <w:highlight w:val="none"/>
                <w:lang w:eastAsia="en-US" w:bidi="en-US"/>
              </w:rPr>
              <w:t>≥</w:t>
            </w:r>
            <w:r>
              <w:rPr>
                <w:rFonts w:hint="eastAsia" w:ascii="宋体" w:hAnsi="宋体" w:cs="宋体"/>
                <w:color w:val="auto"/>
                <w:kern w:val="0"/>
                <w:sz w:val="24"/>
                <w:highlight w:val="none"/>
                <w:lang w:bidi="en-US"/>
              </w:rPr>
              <w:t>1.0mm不锈钢，304材质</w:t>
            </w:r>
          </w:p>
        </w:tc>
        <w:tc>
          <w:tcPr>
            <w:tcW w:w="1165" w:type="dxa"/>
            <w:noWrap w:val="0"/>
            <w:vAlign w:val="top"/>
          </w:tcPr>
          <w:p>
            <w:pPr>
              <w:widowControl/>
              <w:adjustRightInd w:val="0"/>
              <w:snapToGrid w:val="0"/>
              <w:spacing w:line="300" w:lineRule="auto"/>
              <w:rPr>
                <w:rFonts w:ascii="宋体" w:hAnsi="宋体" w:cs="宋体"/>
                <w:b/>
                <w:color w:val="auto"/>
                <w:kern w:val="0"/>
                <w:sz w:val="24"/>
                <w:highlight w:val="none"/>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noWrap w:val="0"/>
            <w:vAlign w:val="top"/>
          </w:tcPr>
          <w:p>
            <w:pPr>
              <w:widowControl/>
              <w:adjustRightInd w:val="0"/>
              <w:snapToGrid w:val="0"/>
              <w:spacing w:line="300" w:lineRule="auto"/>
              <w:rPr>
                <w:rFonts w:ascii="宋体" w:hAnsi="宋体" w:cs="宋体"/>
                <w:color w:val="auto"/>
                <w:kern w:val="0"/>
                <w:sz w:val="24"/>
                <w:highlight w:val="none"/>
                <w:lang w:eastAsia="en-US" w:bidi="en-US"/>
              </w:rPr>
            </w:pPr>
            <w:r>
              <w:rPr>
                <w:rFonts w:hint="eastAsia" w:ascii="宋体" w:hAnsi="宋体" w:cs="宋体"/>
                <w:color w:val="auto"/>
                <w:kern w:val="0"/>
                <w:sz w:val="24"/>
                <w:highlight w:val="none"/>
                <w:lang w:bidi="en-US"/>
              </w:rPr>
              <w:t>刷</w:t>
            </w:r>
            <w:r>
              <w:rPr>
                <w:rFonts w:ascii="宋体" w:hAnsi="宋体" w:cs="宋体"/>
                <w:color w:val="auto"/>
                <w:kern w:val="0"/>
                <w:sz w:val="24"/>
                <w:highlight w:val="none"/>
                <w:lang w:eastAsia="en-US" w:bidi="en-US"/>
              </w:rPr>
              <w:t>卡有效时间</w:t>
            </w:r>
          </w:p>
        </w:tc>
        <w:tc>
          <w:tcPr>
            <w:tcW w:w="5781" w:type="dxa"/>
            <w:noWrap w:val="0"/>
            <w:vAlign w:val="top"/>
          </w:tcPr>
          <w:p>
            <w:pPr>
              <w:widowControl/>
              <w:adjustRightInd w:val="0"/>
              <w:snapToGrid w:val="0"/>
              <w:spacing w:line="300" w:lineRule="auto"/>
              <w:rPr>
                <w:rFonts w:ascii="宋体" w:hAnsi="宋体" w:cs="宋体"/>
                <w:color w:val="auto"/>
                <w:kern w:val="0"/>
                <w:sz w:val="24"/>
                <w:highlight w:val="none"/>
                <w:lang w:bidi="en-US"/>
              </w:rPr>
            </w:pPr>
            <w:r>
              <w:rPr>
                <w:rFonts w:hint="eastAsia" w:ascii="宋体" w:hAnsi="宋体" w:cs="宋体"/>
                <w:color w:val="auto"/>
                <w:kern w:val="0"/>
                <w:sz w:val="24"/>
                <w:highlight w:val="none"/>
                <w:lang w:bidi="en-US"/>
              </w:rPr>
              <w:t>20秒</w:t>
            </w:r>
          </w:p>
        </w:tc>
        <w:tc>
          <w:tcPr>
            <w:tcW w:w="1165" w:type="dxa"/>
            <w:noWrap w:val="0"/>
            <w:vAlign w:val="top"/>
          </w:tcPr>
          <w:p>
            <w:pPr>
              <w:widowControl/>
              <w:adjustRightInd w:val="0"/>
              <w:snapToGrid w:val="0"/>
              <w:spacing w:line="300" w:lineRule="auto"/>
              <w:rPr>
                <w:rFonts w:ascii="宋体" w:hAnsi="宋体" w:cs="宋体"/>
                <w:b/>
                <w:color w:val="auto"/>
                <w:kern w:val="0"/>
                <w:sz w:val="24"/>
                <w:highlight w:val="none"/>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noWrap w:val="0"/>
            <w:vAlign w:val="top"/>
          </w:tcPr>
          <w:p>
            <w:pPr>
              <w:widowControl/>
              <w:adjustRightInd w:val="0"/>
              <w:snapToGrid w:val="0"/>
              <w:spacing w:line="300" w:lineRule="auto"/>
              <w:rPr>
                <w:rFonts w:ascii="宋体" w:hAnsi="宋体" w:cs="宋体"/>
                <w:color w:val="auto"/>
                <w:kern w:val="0"/>
                <w:sz w:val="24"/>
                <w:highlight w:val="none"/>
                <w:lang w:eastAsia="en-US" w:bidi="en-US"/>
              </w:rPr>
            </w:pPr>
            <w:r>
              <w:rPr>
                <w:rFonts w:ascii="宋体" w:hAnsi="宋体" w:cs="宋体"/>
                <w:color w:val="auto"/>
                <w:kern w:val="0"/>
                <w:sz w:val="24"/>
                <w:highlight w:val="none"/>
                <w:lang w:eastAsia="en-US" w:bidi="en-US"/>
              </w:rPr>
              <w:t>通信类型</w:t>
            </w:r>
          </w:p>
        </w:tc>
        <w:tc>
          <w:tcPr>
            <w:tcW w:w="5781" w:type="dxa"/>
            <w:noWrap w:val="0"/>
            <w:vAlign w:val="top"/>
          </w:tcPr>
          <w:p>
            <w:pPr>
              <w:widowControl/>
              <w:adjustRightInd w:val="0"/>
              <w:snapToGrid w:val="0"/>
              <w:spacing w:line="300" w:lineRule="auto"/>
              <w:rPr>
                <w:rFonts w:ascii="宋体" w:hAnsi="宋体" w:cs="宋体"/>
                <w:color w:val="auto"/>
                <w:kern w:val="0"/>
                <w:sz w:val="24"/>
                <w:highlight w:val="none"/>
                <w:lang w:eastAsia="en-US" w:bidi="en-US"/>
              </w:rPr>
            </w:pPr>
            <w:r>
              <w:rPr>
                <w:rFonts w:ascii="宋体" w:hAnsi="宋体" w:cs="宋体"/>
                <w:color w:val="auto"/>
                <w:kern w:val="0"/>
                <w:sz w:val="24"/>
                <w:highlight w:val="none"/>
                <w:lang w:eastAsia="en-US" w:bidi="en-US"/>
              </w:rPr>
              <w:t>无线通信</w:t>
            </w:r>
          </w:p>
        </w:tc>
        <w:tc>
          <w:tcPr>
            <w:tcW w:w="1165" w:type="dxa"/>
            <w:noWrap w:val="0"/>
            <w:vAlign w:val="top"/>
          </w:tcPr>
          <w:p>
            <w:pPr>
              <w:widowControl/>
              <w:adjustRightInd w:val="0"/>
              <w:snapToGrid w:val="0"/>
              <w:spacing w:line="300" w:lineRule="auto"/>
              <w:rPr>
                <w:rFonts w:ascii="宋体" w:hAnsi="宋体" w:cs="宋体"/>
                <w:b/>
                <w:color w:val="auto"/>
                <w:kern w:val="0"/>
                <w:sz w:val="24"/>
                <w:highlight w:val="none"/>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noWrap w:val="0"/>
            <w:vAlign w:val="top"/>
          </w:tcPr>
          <w:p>
            <w:pPr>
              <w:widowControl/>
              <w:adjustRightInd w:val="0"/>
              <w:snapToGrid w:val="0"/>
              <w:spacing w:line="300" w:lineRule="auto"/>
              <w:rPr>
                <w:rFonts w:ascii="宋体" w:hAnsi="宋体" w:cs="宋体"/>
                <w:color w:val="auto"/>
                <w:kern w:val="0"/>
                <w:sz w:val="24"/>
                <w:highlight w:val="none"/>
                <w:lang w:bidi="en-US"/>
              </w:rPr>
            </w:pPr>
            <w:r>
              <w:rPr>
                <w:rFonts w:hint="eastAsia" w:ascii="宋体" w:hAnsi="宋体" w:cs="宋体"/>
                <w:color w:val="auto"/>
                <w:kern w:val="0"/>
                <w:sz w:val="24"/>
                <w:highlight w:val="none"/>
                <w:lang w:bidi="en-US"/>
              </w:rPr>
              <w:t>箱体数量</w:t>
            </w:r>
          </w:p>
        </w:tc>
        <w:tc>
          <w:tcPr>
            <w:tcW w:w="5781" w:type="dxa"/>
            <w:noWrap w:val="0"/>
            <w:vAlign w:val="top"/>
          </w:tcPr>
          <w:p>
            <w:pPr>
              <w:widowControl/>
              <w:adjustRightInd w:val="0"/>
              <w:snapToGrid w:val="0"/>
              <w:spacing w:line="300" w:lineRule="auto"/>
              <w:rPr>
                <w:rFonts w:ascii="宋体" w:hAnsi="宋体" w:cs="宋体"/>
                <w:color w:val="auto"/>
                <w:kern w:val="0"/>
                <w:sz w:val="24"/>
                <w:highlight w:val="none"/>
                <w:lang w:bidi="en-US"/>
              </w:rPr>
            </w:pPr>
            <w:r>
              <w:rPr>
                <w:rFonts w:ascii="宋体" w:hAnsi="宋体" w:cs="宋体"/>
                <w:color w:val="auto"/>
                <w:kern w:val="0"/>
                <w:sz w:val="24"/>
                <w:highlight w:val="none"/>
                <w:lang w:eastAsia="en-US" w:bidi="en-US"/>
              </w:rPr>
              <w:t>≥</w:t>
            </w:r>
            <w:r>
              <w:rPr>
                <w:rFonts w:hint="eastAsia" w:ascii="宋体" w:hAnsi="宋体" w:cs="宋体"/>
                <w:color w:val="auto"/>
                <w:kern w:val="0"/>
                <w:sz w:val="24"/>
                <w:highlight w:val="none"/>
                <w:lang w:bidi="en-US"/>
              </w:rPr>
              <w:t>4</w:t>
            </w:r>
          </w:p>
        </w:tc>
        <w:tc>
          <w:tcPr>
            <w:tcW w:w="1165" w:type="dxa"/>
            <w:noWrap w:val="0"/>
            <w:vAlign w:val="top"/>
          </w:tcPr>
          <w:p>
            <w:pPr>
              <w:widowControl/>
              <w:adjustRightInd w:val="0"/>
              <w:snapToGrid w:val="0"/>
              <w:spacing w:line="300" w:lineRule="auto"/>
              <w:rPr>
                <w:rFonts w:ascii="宋体" w:hAnsi="宋体" w:cs="宋体"/>
                <w:b/>
                <w:color w:val="auto"/>
                <w:kern w:val="0"/>
                <w:sz w:val="24"/>
                <w:highlight w:val="none"/>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18" w:type="dxa"/>
            <w:noWrap w:val="0"/>
            <w:vAlign w:val="top"/>
          </w:tcPr>
          <w:p>
            <w:pPr>
              <w:widowControl/>
              <w:adjustRightInd w:val="0"/>
              <w:snapToGrid w:val="0"/>
              <w:spacing w:line="300" w:lineRule="auto"/>
              <w:rPr>
                <w:rFonts w:ascii="宋体" w:hAnsi="宋体" w:cs="宋体"/>
                <w:color w:val="auto"/>
                <w:kern w:val="0"/>
                <w:sz w:val="24"/>
                <w:highlight w:val="none"/>
                <w:lang w:bidi="en-US"/>
              </w:rPr>
            </w:pPr>
            <w:r>
              <w:rPr>
                <w:rFonts w:hint="eastAsia" w:ascii="宋体" w:hAnsi="宋体" w:cs="宋体"/>
                <w:color w:val="auto"/>
                <w:kern w:val="0"/>
                <w:sz w:val="24"/>
                <w:highlight w:val="none"/>
                <w:lang w:bidi="en-US"/>
              </w:rPr>
              <w:t>定位</w:t>
            </w:r>
          </w:p>
        </w:tc>
        <w:tc>
          <w:tcPr>
            <w:tcW w:w="5781" w:type="dxa"/>
            <w:noWrap w:val="0"/>
            <w:vAlign w:val="top"/>
          </w:tcPr>
          <w:p>
            <w:pPr>
              <w:widowControl/>
              <w:adjustRightInd w:val="0"/>
              <w:snapToGrid w:val="0"/>
              <w:spacing w:line="300" w:lineRule="auto"/>
              <w:rPr>
                <w:rFonts w:ascii="宋体" w:hAnsi="宋体" w:cs="宋体"/>
                <w:color w:val="auto"/>
                <w:kern w:val="0"/>
                <w:sz w:val="24"/>
                <w:highlight w:val="none"/>
                <w:lang w:bidi="en-US"/>
              </w:rPr>
            </w:pPr>
            <w:r>
              <w:rPr>
                <w:rFonts w:hint="eastAsia" w:ascii="宋体" w:hAnsi="宋体" w:cs="宋体"/>
                <w:color w:val="auto"/>
                <w:kern w:val="0"/>
                <w:sz w:val="24"/>
                <w:highlight w:val="none"/>
                <w:lang w:bidi="en-US"/>
              </w:rPr>
              <w:t>GPS定位</w:t>
            </w:r>
          </w:p>
        </w:tc>
        <w:tc>
          <w:tcPr>
            <w:tcW w:w="1165" w:type="dxa"/>
            <w:noWrap w:val="0"/>
            <w:vAlign w:val="top"/>
          </w:tcPr>
          <w:p>
            <w:pPr>
              <w:widowControl/>
              <w:adjustRightInd w:val="0"/>
              <w:snapToGrid w:val="0"/>
              <w:spacing w:line="300" w:lineRule="auto"/>
              <w:rPr>
                <w:rFonts w:ascii="宋体" w:hAnsi="宋体" w:cs="宋体"/>
                <w:b/>
                <w:color w:val="auto"/>
                <w:kern w:val="0"/>
                <w:sz w:val="24"/>
                <w:highlight w:val="none"/>
                <w:lang w:eastAsia="en-US" w:bidi="en-US"/>
              </w:rPr>
            </w:pPr>
          </w:p>
        </w:tc>
      </w:tr>
    </w:tbl>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b/>
          <w:color w:val="auto"/>
          <w:sz w:val="24"/>
          <w:highlight w:val="none"/>
        </w:rPr>
        <w:t>（七）二维码分类垃圾袋</w:t>
      </w: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623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376" w:type="dxa"/>
            <w:noWrap w:val="0"/>
            <w:vAlign w:val="top"/>
          </w:tcPr>
          <w:p>
            <w:pPr>
              <w:widowControl/>
              <w:shd w:val="clear" w:color="auto" w:fill="FFFFFF"/>
              <w:adjustRightInd w:val="0"/>
              <w:snapToGrid w:val="0"/>
              <w:spacing w:line="300" w:lineRule="auto"/>
              <w:jc w:val="center"/>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部件</w:t>
            </w:r>
          </w:p>
        </w:tc>
        <w:tc>
          <w:tcPr>
            <w:tcW w:w="6237" w:type="dxa"/>
            <w:noWrap w:val="0"/>
            <w:vAlign w:val="top"/>
          </w:tcPr>
          <w:p>
            <w:pPr>
              <w:widowControl/>
              <w:shd w:val="clear" w:color="auto" w:fill="FFFFFF"/>
              <w:adjustRightInd w:val="0"/>
              <w:snapToGrid w:val="0"/>
              <w:spacing w:line="300" w:lineRule="auto"/>
              <w:ind w:firstLine="420"/>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技术参数和规格</w:t>
            </w:r>
          </w:p>
        </w:tc>
        <w:tc>
          <w:tcPr>
            <w:tcW w:w="709" w:type="dxa"/>
            <w:noWrap w:val="0"/>
            <w:vAlign w:val="top"/>
          </w:tcPr>
          <w:p>
            <w:pPr>
              <w:widowControl/>
              <w:shd w:val="clear" w:color="auto" w:fill="FFFFFF"/>
              <w:adjustRightInd w:val="0"/>
              <w:snapToGrid w:val="0"/>
              <w:spacing w:line="300" w:lineRule="auto"/>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376" w:type="dxa"/>
            <w:noWrap w:val="0"/>
            <w:vAlign w:val="top"/>
          </w:tcPr>
          <w:p>
            <w:pPr>
              <w:widowControl/>
              <w:shd w:val="clear" w:color="auto" w:fill="FFFFFF"/>
              <w:adjustRightInd w:val="0"/>
              <w:snapToGrid w:val="0"/>
              <w:spacing w:line="300" w:lineRule="auto"/>
              <w:jc w:val="center"/>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规格</w:t>
            </w:r>
          </w:p>
        </w:tc>
        <w:tc>
          <w:tcPr>
            <w:tcW w:w="6237" w:type="dxa"/>
            <w:noWrap w:val="0"/>
            <w:vAlign w:val="top"/>
          </w:tcPr>
          <w:p>
            <w:pPr>
              <w:widowControl/>
              <w:shd w:val="clear" w:color="auto" w:fill="FFFFFF"/>
              <w:adjustRightInd w:val="0"/>
              <w:snapToGrid w:val="0"/>
              <w:spacing w:line="300" w:lineRule="auto"/>
              <w:rPr>
                <w:rFonts w:ascii="宋体" w:hAnsi="宋体" w:cs="宋体"/>
                <w:color w:val="auto"/>
                <w:kern w:val="0"/>
                <w:sz w:val="24"/>
                <w:highlight w:val="none"/>
                <w:shd w:val="clear" w:color="auto" w:fill="FFFFFF"/>
                <w:lang w:bidi="en-US"/>
              </w:rPr>
            </w:pPr>
            <w:r>
              <w:rPr>
                <w:rFonts w:hint="eastAsia" w:ascii="宋体" w:hAnsi="宋体" w:cs="宋体"/>
                <w:color w:val="auto"/>
                <w:kern w:val="0"/>
                <w:sz w:val="24"/>
                <w:highlight w:val="none"/>
                <w:shd w:val="clear" w:color="auto" w:fill="FFFFFF"/>
                <w:lang w:bidi="en-US"/>
              </w:rPr>
              <w:t>30个/卷</w:t>
            </w:r>
          </w:p>
        </w:tc>
        <w:tc>
          <w:tcPr>
            <w:tcW w:w="709" w:type="dxa"/>
            <w:noWrap w:val="0"/>
            <w:vAlign w:val="top"/>
          </w:tcPr>
          <w:p>
            <w:pPr>
              <w:widowControl/>
              <w:shd w:val="clear" w:color="auto" w:fill="FFFFFF"/>
              <w:adjustRightInd w:val="0"/>
              <w:snapToGrid w:val="0"/>
              <w:spacing w:line="300" w:lineRule="auto"/>
              <w:ind w:firstLine="420"/>
              <w:rPr>
                <w:rFonts w:ascii="宋体" w:hAnsi="宋体" w:cs="宋体"/>
                <w:color w:val="auto"/>
                <w:kern w:val="0"/>
                <w:sz w:val="24"/>
                <w:highlight w:val="none"/>
                <w:shd w:val="clear" w:color="auto" w:fill="FFFFFF"/>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376" w:type="dxa"/>
            <w:noWrap w:val="0"/>
            <w:vAlign w:val="top"/>
          </w:tcPr>
          <w:p>
            <w:pPr>
              <w:widowControl/>
              <w:adjustRightInd w:val="0"/>
              <w:snapToGrid w:val="0"/>
              <w:spacing w:line="300" w:lineRule="auto"/>
              <w:jc w:val="center"/>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材料</w:t>
            </w:r>
          </w:p>
        </w:tc>
        <w:tc>
          <w:tcPr>
            <w:tcW w:w="6237" w:type="dxa"/>
            <w:noWrap w:val="0"/>
            <w:vAlign w:val="top"/>
          </w:tcPr>
          <w:p>
            <w:pPr>
              <w:widowControl/>
              <w:adjustRightInd w:val="0"/>
              <w:snapToGrid w:val="0"/>
              <w:spacing w:line="300" w:lineRule="auto"/>
              <w:rPr>
                <w:rFonts w:ascii="宋体" w:hAnsi="宋体" w:cs="宋体"/>
                <w:color w:val="auto"/>
                <w:kern w:val="0"/>
                <w:sz w:val="24"/>
                <w:highlight w:val="none"/>
                <w:shd w:val="clear" w:color="auto" w:fill="FFFFFF"/>
                <w:lang w:bidi="en-US"/>
              </w:rPr>
            </w:pPr>
            <w:r>
              <w:rPr>
                <w:rFonts w:hint="eastAsia" w:ascii="宋体" w:hAnsi="宋体" w:cs="宋体"/>
                <w:color w:val="auto"/>
                <w:kern w:val="0"/>
                <w:sz w:val="24"/>
                <w:highlight w:val="none"/>
                <w:shd w:val="clear" w:color="auto" w:fill="FFFFFF"/>
                <w:lang w:bidi="en-US"/>
              </w:rPr>
              <w:t>（PE-LD</w:t>
            </w:r>
            <w:r>
              <w:rPr>
                <w:rFonts w:ascii="宋体" w:hAnsi="宋体" w:cs="宋体"/>
                <w:color w:val="auto"/>
                <w:kern w:val="0"/>
                <w:sz w:val="24"/>
                <w:highlight w:val="none"/>
                <w:shd w:val="clear" w:color="auto" w:fill="FFFFFF"/>
                <w:lang w:bidi="en-US"/>
              </w:rPr>
              <w:t>）</w:t>
            </w:r>
            <w:r>
              <w:rPr>
                <w:rFonts w:hint="eastAsia" w:ascii="宋体" w:hAnsi="宋体" w:cs="宋体"/>
                <w:color w:val="auto"/>
                <w:kern w:val="0"/>
                <w:sz w:val="24"/>
                <w:highlight w:val="none"/>
                <w:shd w:val="clear" w:color="auto" w:fill="FFFFFF"/>
                <w:lang w:bidi="en-US"/>
              </w:rPr>
              <w:t>+SEP可降解</w:t>
            </w:r>
          </w:p>
        </w:tc>
        <w:tc>
          <w:tcPr>
            <w:tcW w:w="709" w:type="dxa"/>
            <w:noWrap w:val="0"/>
            <w:vAlign w:val="top"/>
          </w:tcPr>
          <w:p>
            <w:pPr>
              <w:widowControl/>
              <w:adjustRightInd w:val="0"/>
              <w:snapToGrid w:val="0"/>
              <w:spacing w:line="300" w:lineRule="auto"/>
              <w:rPr>
                <w:rFonts w:ascii="宋体" w:hAnsi="宋体" w:cs="宋体"/>
                <w:color w:val="auto"/>
                <w:kern w:val="0"/>
                <w:sz w:val="24"/>
                <w:highlight w:val="none"/>
                <w:shd w:val="clear" w:color="auto" w:fill="FFFFFF"/>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376" w:type="dxa"/>
            <w:noWrap w:val="0"/>
            <w:vAlign w:val="top"/>
          </w:tcPr>
          <w:p>
            <w:pPr>
              <w:widowControl/>
              <w:adjustRightInd w:val="0"/>
              <w:snapToGrid w:val="0"/>
              <w:spacing w:line="300" w:lineRule="auto"/>
              <w:jc w:val="center"/>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外观</w:t>
            </w:r>
          </w:p>
        </w:tc>
        <w:tc>
          <w:tcPr>
            <w:tcW w:w="6237" w:type="dxa"/>
            <w:noWrap w:val="0"/>
            <w:vAlign w:val="top"/>
          </w:tcPr>
          <w:p>
            <w:pPr>
              <w:widowControl/>
              <w:adjustRightInd w:val="0"/>
              <w:snapToGrid w:val="0"/>
              <w:spacing w:line="300" w:lineRule="auto"/>
              <w:rPr>
                <w:rFonts w:ascii="宋体" w:hAnsi="宋体" w:cs="宋体"/>
                <w:color w:val="auto"/>
                <w:kern w:val="0"/>
                <w:sz w:val="24"/>
                <w:highlight w:val="none"/>
                <w:shd w:val="clear" w:color="auto" w:fill="FFFFFF"/>
                <w:lang w:bidi="en-US"/>
              </w:rPr>
            </w:pPr>
            <w:r>
              <w:rPr>
                <w:rFonts w:hint="eastAsia" w:ascii="宋体" w:hAnsi="宋体" w:cs="宋体"/>
                <w:color w:val="auto"/>
                <w:kern w:val="0"/>
                <w:sz w:val="24"/>
                <w:highlight w:val="none"/>
                <w:shd w:val="clear" w:color="auto" w:fill="FFFFFF"/>
                <w:lang w:bidi="en-US"/>
              </w:rPr>
              <w:t>印有易腐垃圾标识，二维码标识，宣传标语，服务热线等</w:t>
            </w:r>
          </w:p>
        </w:tc>
        <w:tc>
          <w:tcPr>
            <w:tcW w:w="709" w:type="dxa"/>
            <w:noWrap w:val="0"/>
            <w:vAlign w:val="top"/>
          </w:tcPr>
          <w:p>
            <w:pPr>
              <w:widowControl/>
              <w:adjustRightInd w:val="0"/>
              <w:snapToGrid w:val="0"/>
              <w:spacing w:line="300" w:lineRule="auto"/>
              <w:rPr>
                <w:rFonts w:ascii="宋体" w:hAnsi="宋体" w:cs="宋体"/>
                <w:color w:val="auto"/>
                <w:kern w:val="0"/>
                <w:sz w:val="24"/>
                <w:highlight w:val="none"/>
                <w:shd w:val="clear" w:color="auto" w:fill="FFFFFF"/>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376" w:type="dxa"/>
            <w:noWrap w:val="0"/>
            <w:vAlign w:val="top"/>
          </w:tcPr>
          <w:p>
            <w:pPr>
              <w:widowControl/>
              <w:adjustRightInd w:val="0"/>
              <w:snapToGrid w:val="0"/>
              <w:spacing w:line="300" w:lineRule="auto"/>
              <w:jc w:val="center"/>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颜色</w:t>
            </w:r>
          </w:p>
        </w:tc>
        <w:tc>
          <w:tcPr>
            <w:tcW w:w="6237" w:type="dxa"/>
            <w:noWrap w:val="0"/>
            <w:vAlign w:val="top"/>
          </w:tcPr>
          <w:p>
            <w:pPr>
              <w:widowControl/>
              <w:adjustRightInd w:val="0"/>
              <w:snapToGrid w:val="0"/>
              <w:spacing w:line="300" w:lineRule="auto"/>
              <w:rPr>
                <w:rFonts w:ascii="宋体" w:hAnsi="宋体" w:cs="宋体"/>
                <w:color w:val="auto"/>
                <w:kern w:val="0"/>
                <w:sz w:val="24"/>
                <w:highlight w:val="none"/>
                <w:shd w:val="clear" w:color="auto" w:fill="FFFFFF"/>
                <w:lang w:bidi="en-US"/>
              </w:rPr>
            </w:pPr>
            <w:r>
              <w:rPr>
                <w:rFonts w:ascii="宋体" w:hAnsi="宋体" w:cs="宋体"/>
                <w:color w:val="auto"/>
                <w:kern w:val="0"/>
                <w:sz w:val="24"/>
                <w:highlight w:val="none"/>
                <w:shd w:val="clear" w:color="auto" w:fill="FFFFFF"/>
                <w:lang w:eastAsia="en-US" w:bidi="en-US"/>
              </w:rPr>
              <w:t>绿色</w:t>
            </w:r>
          </w:p>
        </w:tc>
        <w:tc>
          <w:tcPr>
            <w:tcW w:w="709" w:type="dxa"/>
            <w:noWrap w:val="0"/>
            <w:vAlign w:val="top"/>
          </w:tcPr>
          <w:p>
            <w:pPr>
              <w:widowControl/>
              <w:adjustRightInd w:val="0"/>
              <w:snapToGrid w:val="0"/>
              <w:spacing w:line="300" w:lineRule="auto"/>
              <w:rPr>
                <w:rFonts w:ascii="宋体" w:hAnsi="宋体" w:cs="宋体"/>
                <w:color w:val="auto"/>
                <w:kern w:val="0"/>
                <w:sz w:val="24"/>
                <w:highlight w:val="none"/>
                <w:shd w:val="clear" w:color="auto" w:fill="FFFFFF"/>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376" w:type="dxa"/>
            <w:noWrap w:val="0"/>
            <w:vAlign w:val="top"/>
          </w:tcPr>
          <w:p>
            <w:pPr>
              <w:widowControl/>
              <w:adjustRightInd w:val="0"/>
              <w:snapToGrid w:val="0"/>
              <w:spacing w:line="300" w:lineRule="auto"/>
              <w:jc w:val="center"/>
              <w:rPr>
                <w:rFonts w:ascii="宋体" w:hAnsi="宋体" w:cs="宋体"/>
                <w:color w:val="auto"/>
                <w:kern w:val="0"/>
                <w:sz w:val="24"/>
                <w:highlight w:val="none"/>
                <w:shd w:val="clear" w:color="auto" w:fill="FFFFFF"/>
                <w:lang w:eastAsia="en-US" w:bidi="en-US"/>
              </w:rPr>
            </w:pPr>
            <w:r>
              <w:rPr>
                <w:rFonts w:hint="eastAsia" w:ascii="宋体" w:hAnsi="宋体" w:cs="宋体"/>
                <w:color w:val="auto"/>
                <w:kern w:val="0"/>
                <w:sz w:val="24"/>
                <w:highlight w:val="none"/>
                <w:shd w:val="clear" w:color="auto" w:fill="FFFFFF"/>
                <w:lang w:eastAsia="en-US" w:bidi="en-US"/>
              </w:rPr>
              <w:t>尺寸、厚度、容积</w:t>
            </w:r>
          </w:p>
        </w:tc>
        <w:tc>
          <w:tcPr>
            <w:tcW w:w="6237" w:type="dxa"/>
            <w:noWrap w:val="0"/>
            <w:vAlign w:val="top"/>
          </w:tcPr>
          <w:p>
            <w:pPr>
              <w:widowControl/>
              <w:adjustRightInd w:val="0"/>
              <w:snapToGrid w:val="0"/>
              <w:spacing w:line="300" w:lineRule="auto"/>
              <w:rPr>
                <w:rFonts w:ascii="宋体" w:hAnsi="宋体" w:cs="宋体"/>
                <w:color w:val="auto"/>
                <w:kern w:val="0"/>
                <w:sz w:val="24"/>
                <w:highlight w:val="none"/>
                <w:shd w:val="clear" w:color="auto" w:fill="FFFFFF"/>
                <w:lang w:bidi="en-US"/>
              </w:rPr>
            </w:pPr>
            <w:r>
              <w:rPr>
                <w:rFonts w:hint="eastAsia" w:ascii="宋体" w:hAnsi="宋体" w:cs="宋体"/>
                <w:color w:val="auto"/>
                <w:kern w:val="0"/>
                <w:sz w:val="24"/>
                <w:highlight w:val="none"/>
                <w:shd w:val="clear" w:color="auto" w:fill="FFFFFF"/>
                <w:lang w:bidi="en-US"/>
              </w:rPr>
              <w:t>460*530（长*宽）单位：mm，厚：0.17mm，容积：10L</w:t>
            </w:r>
          </w:p>
        </w:tc>
        <w:tc>
          <w:tcPr>
            <w:tcW w:w="709" w:type="dxa"/>
            <w:noWrap w:val="0"/>
            <w:vAlign w:val="top"/>
          </w:tcPr>
          <w:p>
            <w:pPr>
              <w:widowControl/>
              <w:adjustRightInd w:val="0"/>
              <w:snapToGrid w:val="0"/>
              <w:spacing w:line="300" w:lineRule="auto"/>
              <w:rPr>
                <w:rFonts w:ascii="宋体" w:hAnsi="宋体" w:cs="宋体"/>
                <w:color w:val="auto"/>
                <w:kern w:val="0"/>
                <w:sz w:val="24"/>
                <w:highlight w:val="none"/>
                <w:shd w:val="clear" w:color="auto" w:fill="FFFFFF"/>
                <w:lang w:bidi="en-US"/>
              </w:rPr>
            </w:pPr>
          </w:p>
        </w:tc>
      </w:tr>
    </w:tbl>
    <w:p>
      <w:pPr>
        <w:widowControl/>
        <w:shd w:val="clear" w:color="auto" w:fill="FFFFFF"/>
        <w:adjustRightInd w:val="0"/>
        <w:snapToGrid w:val="0"/>
        <w:spacing w:line="300" w:lineRule="auto"/>
        <w:ind w:firstLine="420"/>
        <w:rPr>
          <w:rFonts w:ascii="宋体" w:hAnsi="宋体" w:cs="宋体"/>
          <w:color w:val="auto"/>
          <w:kern w:val="0"/>
          <w:sz w:val="24"/>
          <w:highlight w:val="none"/>
          <w:shd w:val="clear" w:color="auto" w:fill="FFFFFF"/>
        </w:rPr>
      </w:pPr>
    </w:p>
    <w:p>
      <w:pPr>
        <w:widowControl/>
        <w:shd w:val="clear" w:color="auto" w:fill="FFFFFF"/>
        <w:adjustRightInd w:val="0"/>
        <w:snapToGrid w:val="0"/>
        <w:spacing w:line="300" w:lineRule="auto"/>
        <w:ind w:firstLine="420"/>
        <w:rPr>
          <w:rFonts w:ascii="宋体" w:hAnsi="宋体" w:cs="宋体"/>
          <w:b/>
          <w:color w:val="auto"/>
          <w:sz w:val="24"/>
          <w:highlight w:val="none"/>
        </w:rPr>
      </w:pPr>
      <w:r>
        <w:rPr>
          <w:rFonts w:hint="eastAsia" w:ascii="宋体" w:hAnsi="宋体" w:cs="宋体"/>
          <w:b/>
          <w:color w:val="auto"/>
          <w:sz w:val="24"/>
          <w:highlight w:val="none"/>
        </w:rPr>
        <w:t>四、服务期限</w:t>
      </w:r>
    </w:p>
    <w:p>
      <w:pPr>
        <w:widowControl/>
        <w:shd w:val="clear" w:color="auto" w:fill="FFFFFF"/>
        <w:adjustRightInd w:val="0"/>
        <w:snapToGrid w:val="0"/>
        <w:spacing w:line="300" w:lineRule="auto"/>
        <w:ind w:firstLine="420"/>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一）服务年限：服务年限2年，服务合同每年一签订。如中标人操作规范、服务优良、单位评价较好，经双方协商一致并报县财政部门审核同意后，可延长续签一次合同，由采购人根据具体运营考核情况决定是否续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15" w:firstLineChars="198"/>
        <w:jc w:val="left"/>
        <w:rPr>
          <w:rFonts w:hAnsi="宋体"/>
          <w:color w:val="auto"/>
          <w:highlight w:val="none"/>
          <w:shd w:val="clear" w:color="auto" w:fill="FFFFFF"/>
        </w:rPr>
      </w:pPr>
      <w:r>
        <w:rPr>
          <w:rFonts w:hint="eastAsia" w:hAnsi="宋体"/>
          <w:color w:val="auto"/>
          <w:highlight w:val="none"/>
          <w:shd w:val="clear" w:color="auto" w:fill="FFFFFF"/>
        </w:rPr>
        <w:t>（</w:t>
      </w:r>
      <w:r>
        <w:rPr>
          <w:rFonts w:hint="eastAsia" w:ascii="宋体" w:hAnsi="宋体" w:cs="宋体"/>
          <w:color w:val="auto"/>
          <w:kern w:val="0"/>
          <w:sz w:val="24"/>
          <w:highlight w:val="none"/>
          <w:shd w:val="clear" w:color="auto" w:fill="FFFFFF"/>
        </w:rPr>
        <w:t>二）中标人如连续两个月的月度考核成绩低于80分的，直接解除合同。</w:t>
      </w:r>
    </w:p>
    <w:p>
      <w:pPr>
        <w:spacing w:line="300" w:lineRule="auto"/>
        <w:ind w:firstLine="482" w:firstLineChars="200"/>
        <w:contextualSpacing/>
        <w:jc w:val="left"/>
        <w:rPr>
          <w:rFonts w:ascii="宋体" w:hAnsi="宋体" w:cs="宋体"/>
          <w:b/>
          <w:color w:val="auto"/>
          <w:sz w:val="24"/>
          <w:highlight w:val="none"/>
        </w:rPr>
      </w:pPr>
      <w:r>
        <w:rPr>
          <w:rFonts w:hint="eastAsia" w:ascii="宋体" w:hAnsi="宋体" w:cs="宋体"/>
          <w:b/>
          <w:color w:val="auto"/>
          <w:sz w:val="24"/>
          <w:highlight w:val="none"/>
        </w:rPr>
        <w:t>五、服务清单</w:t>
      </w:r>
    </w:p>
    <w:p>
      <w:pPr>
        <w:spacing w:line="300" w:lineRule="auto"/>
        <w:ind w:firstLine="482" w:firstLineChars="200"/>
        <w:contextualSpacing/>
        <w:jc w:val="left"/>
        <w:rPr>
          <w:rFonts w:ascii="宋体" w:hAnsi="宋体" w:cs="宋体"/>
          <w:b/>
          <w:color w:val="auto"/>
          <w:sz w:val="24"/>
          <w:highlight w:val="none"/>
        </w:rPr>
      </w:pPr>
      <w:r>
        <w:rPr>
          <w:rFonts w:hint="eastAsia" w:ascii="宋体" w:hAnsi="宋体" w:cs="宋体"/>
          <w:b/>
          <w:color w:val="auto"/>
          <w:sz w:val="24"/>
          <w:highlight w:val="none"/>
        </w:rPr>
        <w:t>（一）一次性投入部分</w:t>
      </w:r>
    </w:p>
    <w:tbl>
      <w:tblPr>
        <w:tblStyle w:val="26"/>
        <w:tblW w:w="9073" w:type="dxa"/>
        <w:tblInd w:w="-176" w:type="dxa"/>
        <w:tblLayout w:type="autofit"/>
        <w:tblCellMar>
          <w:top w:w="0" w:type="dxa"/>
          <w:left w:w="108" w:type="dxa"/>
          <w:bottom w:w="0" w:type="dxa"/>
          <w:right w:w="108" w:type="dxa"/>
        </w:tblCellMar>
      </w:tblPr>
      <w:tblGrid>
        <w:gridCol w:w="748"/>
        <w:gridCol w:w="812"/>
        <w:gridCol w:w="1199"/>
        <w:gridCol w:w="757"/>
        <w:gridCol w:w="737"/>
        <w:gridCol w:w="4820"/>
      </w:tblGrid>
      <w:tr>
        <w:tblPrEx>
          <w:tblCellMar>
            <w:top w:w="0" w:type="dxa"/>
            <w:left w:w="108" w:type="dxa"/>
            <w:bottom w:w="0" w:type="dxa"/>
            <w:right w:w="108" w:type="dxa"/>
          </w:tblCellMar>
        </w:tblPrEx>
        <w:trPr>
          <w:wBefore w:w="0" w:type="dxa"/>
          <w:wAfter w:w="0" w:type="dxa"/>
          <w:trHeight w:val="585" w:hRule="atLeast"/>
        </w:trPr>
        <w:tc>
          <w:tcPr>
            <w:tcW w:w="74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812"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w:t>
            </w:r>
          </w:p>
        </w:tc>
        <w:tc>
          <w:tcPr>
            <w:tcW w:w="1199"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子项</w:t>
            </w:r>
          </w:p>
        </w:tc>
        <w:tc>
          <w:tcPr>
            <w:tcW w:w="757"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737"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单位</w:t>
            </w:r>
          </w:p>
        </w:tc>
        <w:tc>
          <w:tcPr>
            <w:tcW w:w="482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r>
      <w:tr>
        <w:tblPrEx>
          <w:tblCellMar>
            <w:top w:w="0" w:type="dxa"/>
            <w:left w:w="108" w:type="dxa"/>
            <w:bottom w:w="0" w:type="dxa"/>
            <w:right w:w="108" w:type="dxa"/>
          </w:tblCellMar>
        </w:tblPrEx>
        <w:trPr>
          <w:wBefore w:w="0" w:type="dxa"/>
          <w:wAfter w:w="0" w:type="dxa"/>
          <w:trHeight w:val="1155" w:hRule="atLeast"/>
        </w:trPr>
        <w:tc>
          <w:tcPr>
            <w:tcW w:w="748"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12" w:type="dxa"/>
            <w:vMerge w:val="restart"/>
            <w:tcBorders>
              <w:top w:val="nil"/>
              <w:left w:val="single" w:color="auto" w:sz="8" w:space="0"/>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小区设施设备一次性投入费用</w:t>
            </w:r>
          </w:p>
        </w:tc>
        <w:tc>
          <w:tcPr>
            <w:tcW w:w="119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分类导引牌</w:t>
            </w:r>
          </w:p>
        </w:tc>
        <w:tc>
          <w:tcPr>
            <w:tcW w:w="75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89</w:t>
            </w:r>
          </w:p>
        </w:tc>
        <w:tc>
          <w:tcPr>
            <w:tcW w:w="73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82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每个小区建设一个垃圾分类设施导引牌</w:t>
            </w:r>
          </w:p>
        </w:tc>
      </w:tr>
      <w:tr>
        <w:tblPrEx>
          <w:tblCellMar>
            <w:top w:w="0" w:type="dxa"/>
            <w:left w:w="108" w:type="dxa"/>
            <w:bottom w:w="0" w:type="dxa"/>
            <w:right w:w="108" w:type="dxa"/>
          </w:tblCellMar>
        </w:tblPrEx>
        <w:trPr>
          <w:wBefore w:w="0" w:type="dxa"/>
          <w:wAfter w:w="0" w:type="dxa"/>
          <w:trHeight w:val="1230"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highlight w:val="none"/>
              </w:rPr>
            </w:pPr>
          </w:p>
        </w:tc>
        <w:tc>
          <w:tcPr>
            <w:tcW w:w="812"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119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宣传栏（公示栏）</w:t>
            </w:r>
          </w:p>
        </w:tc>
        <w:tc>
          <w:tcPr>
            <w:tcW w:w="75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73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82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每个小区建设一个垃圾分类宣传、分类情况公示栏（至2020年1月除孔雀城区域外已交付小区已设置，待新设置小区17个）</w:t>
            </w:r>
          </w:p>
        </w:tc>
      </w:tr>
      <w:tr>
        <w:tblPrEx>
          <w:tblCellMar>
            <w:top w:w="0" w:type="dxa"/>
            <w:left w:w="108" w:type="dxa"/>
            <w:bottom w:w="0" w:type="dxa"/>
            <w:right w:w="108" w:type="dxa"/>
          </w:tblCellMar>
        </w:tblPrEx>
        <w:trPr>
          <w:wBefore w:w="0" w:type="dxa"/>
          <w:wAfter w:w="0" w:type="dxa"/>
          <w:trHeight w:val="312"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highlight w:val="none"/>
              </w:rPr>
            </w:pPr>
          </w:p>
        </w:tc>
        <w:tc>
          <w:tcPr>
            <w:tcW w:w="812"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1199"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楼道评比栏</w:t>
            </w:r>
          </w:p>
        </w:tc>
        <w:tc>
          <w:tcPr>
            <w:tcW w:w="757" w:type="dxa"/>
            <w:vMerge w:val="restart"/>
            <w:tcBorders>
              <w:top w:val="nil"/>
              <w:left w:val="single" w:color="auto" w:sz="8" w:space="0"/>
              <w:bottom w:val="single" w:color="000000" w:sz="8"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342</w:t>
            </w:r>
          </w:p>
        </w:tc>
        <w:tc>
          <w:tcPr>
            <w:tcW w:w="737" w:type="dxa"/>
            <w:vMerge w:val="restart"/>
            <w:tcBorders>
              <w:top w:val="nil"/>
              <w:left w:val="single" w:color="auto" w:sz="8" w:space="0"/>
              <w:bottom w:val="single" w:color="000000" w:sz="8"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482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每个楼道1张垃圾分类评比栏，2020年17个待制作小区，高层、多层342个楼道</w:t>
            </w:r>
          </w:p>
        </w:tc>
      </w:tr>
      <w:tr>
        <w:tblPrEx>
          <w:tblCellMar>
            <w:top w:w="0" w:type="dxa"/>
            <w:left w:w="108" w:type="dxa"/>
            <w:bottom w:w="0" w:type="dxa"/>
            <w:right w:w="108" w:type="dxa"/>
          </w:tblCellMar>
        </w:tblPrEx>
        <w:trPr>
          <w:wBefore w:w="0" w:type="dxa"/>
          <w:wAfter w:w="0" w:type="dxa"/>
          <w:trHeight w:val="690"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highlight w:val="none"/>
              </w:rPr>
            </w:pPr>
          </w:p>
        </w:tc>
        <w:tc>
          <w:tcPr>
            <w:tcW w:w="812"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119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highlight w:val="none"/>
              </w:rPr>
            </w:pPr>
          </w:p>
        </w:tc>
        <w:tc>
          <w:tcPr>
            <w:tcW w:w="757"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737"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482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wBefore w:w="0" w:type="dxa"/>
          <w:wAfter w:w="0" w:type="dxa"/>
          <w:trHeight w:val="1635"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highlight w:val="none"/>
              </w:rPr>
            </w:pPr>
          </w:p>
        </w:tc>
        <w:tc>
          <w:tcPr>
            <w:tcW w:w="812"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1199" w:type="dxa"/>
            <w:tcBorders>
              <w:top w:val="nil"/>
              <w:left w:val="nil"/>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定时定点投放站点建设、原垃圾桶点位改造</w:t>
            </w:r>
          </w:p>
        </w:tc>
        <w:tc>
          <w:tcPr>
            <w:tcW w:w="757" w:type="dxa"/>
            <w:tcBorders>
              <w:top w:val="nil"/>
              <w:left w:val="nil"/>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108</w:t>
            </w:r>
          </w:p>
        </w:tc>
        <w:tc>
          <w:tcPr>
            <w:tcW w:w="737" w:type="dxa"/>
            <w:tcBorders>
              <w:top w:val="nil"/>
              <w:left w:val="nil"/>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820" w:type="dxa"/>
            <w:tcBorders>
              <w:top w:val="nil"/>
              <w:left w:val="nil"/>
              <w:bottom w:val="nil"/>
              <w:right w:val="single" w:color="auto" w:sz="8" w:space="0"/>
            </w:tcBorders>
            <w:noWrap w:val="0"/>
            <w:vAlign w:val="center"/>
          </w:tcPr>
          <w:p>
            <w:pPr>
              <w:widowControl/>
              <w:shd w:val="clear" w:color="auto" w:fill="FFFFFF"/>
              <w:adjustRightInd w:val="0"/>
              <w:snapToGrid w:val="0"/>
              <w:spacing w:line="300" w:lineRule="auto"/>
              <w:ind w:firstLine="420"/>
              <w:rPr>
                <w:rFonts w:ascii="宋体" w:hAnsi="宋体" w:cs="宋体"/>
                <w:b/>
                <w:color w:val="auto"/>
                <w:kern w:val="0"/>
                <w:sz w:val="24"/>
                <w:highlight w:val="none"/>
                <w:shd w:val="clear" w:color="auto" w:fill="FFFFFF"/>
              </w:rPr>
            </w:pPr>
            <w:r>
              <w:rPr>
                <w:rFonts w:hint="eastAsia" w:ascii="宋体" w:hAnsi="宋体" w:cs="宋体"/>
                <w:color w:val="auto"/>
                <w:kern w:val="0"/>
                <w:szCs w:val="21"/>
                <w:highlight w:val="none"/>
              </w:rPr>
              <w:t>每个小区按300户~400户建设一个，2020年预估建设108个投放房，预计建设25平方大小的投放房54个，建设15平方大小的投放房54个，具体按设施设备技术参数要求建设，包括完成原分类垃圾桶点位复绿改造。（建造个数按实结算）</w:t>
            </w:r>
          </w:p>
        </w:tc>
      </w:tr>
      <w:tr>
        <w:tblPrEx>
          <w:tblCellMar>
            <w:top w:w="0" w:type="dxa"/>
            <w:left w:w="108" w:type="dxa"/>
            <w:bottom w:w="0" w:type="dxa"/>
            <w:right w:w="108" w:type="dxa"/>
          </w:tblCellMar>
        </w:tblPrEx>
        <w:trPr>
          <w:wBefore w:w="0" w:type="dxa"/>
          <w:wAfter w:w="0" w:type="dxa"/>
          <w:trHeight w:val="1635" w:hRule="atLeast"/>
        </w:trPr>
        <w:tc>
          <w:tcPr>
            <w:tcW w:w="748" w:type="dxa"/>
            <w:tcBorders>
              <w:top w:val="nil"/>
              <w:left w:val="single" w:color="auto" w:sz="8" w:space="0"/>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12"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收运车辆</w:t>
            </w:r>
          </w:p>
        </w:tc>
        <w:tc>
          <w:tcPr>
            <w:tcW w:w="1199"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厢式货车</w:t>
            </w:r>
          </w:p>
        </w:tc>
        <w:tc>
          <w:tcPr>
            <w:tcW w:w="757"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37"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辆</w:t>
            </w:r>
          </w:p>
        </w:tc>
        <w:tc>
          <w:tcPr>
            <w:tcW w:w="4820" w:type="dxa"/>
            <w:tcBorders>
              <w:top w:val="single" w:color="auto" w:sz="8" w:space="0"/>
              <w:left w:val="nil"/>
              <w:bottom w:val="nil"/>
              <w:right w:val="single" w:color="auto" w:sz="8" w:space="0"/>
            </w:tcBorders>
            <w:noWrap w:val="0"/>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用于有害垃圾收运，车辆≧1T≦2T的厢式货车，厢体必须密闭，车辆符合道路交通运输规定，取得合法机动车辆行驶证，配摄像头，标识正确齐全、外观整洁。(此项投标人无需报价）</w:t>
            </w:r>
          </w:p>
        </w:tc>
      </w:tr>
      <w:tr>
        <w:tblPrEx>
          <w:tblCellMar>
            <w:top w:w="0" w:type="dxa"/>
            <w:left w:w="108" w:type="dxa"/>
            <w:bottom w:w="0" w:type="dxa"/>
            <w:right w:w="108" w:type="dxa"/>
          </w:tblCellMar>
        </w:tblPrEx>
        <w:trPr>
          <w:wBefore w:w="0" w:type="dxa"/>
          <w:wAfter w:w="0" w:type="dxa"/>
          <w:trHeight w:val="1965" w:hRule="atLeast"/>
        </w:trPr>
        <w:tc>
          <w:tcPr>
            <w:tcW w:w="74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12"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其他不可预见费用</w:t>
            </w:r>
          </w:p>
        </w:tc>
        <w:tc>
          <w:tcPr>
            <w:tcW w:w="1199"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757"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737"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250万元</w:t>
            </w:r>
          </w:p>
        </w:tc>
        <w:tc>
          <w:tcPr>
            <w:tcW w:w="482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此项费用是业主为了可能发生的变更增加暂列的准备金额，费用归业主所有。投标人在报价时不得上下浮动，结算时如不发生增加项目则从结算价中扣除本项金额，如发生增加项目则按实际发生金额结算</w:t>
            </w:r>
          </w:p>
        </w:tc>
      </w:tr>
    </w:tbl>
    <w:p>
      <w:pPr>
        <w:rPr>
          <w:rFonts w:ascii="宋体" w:hAnsi="宋体" w:cs="宋体"/>
          <w:b/>
          <w:color w:val="auto"/>
          <w:sz w:val="24"/>
          <w:highlight w:val="none"/>
        </w:rPr>
      </w:pPr>
      <w:r>
        <w:rPr>
          <w:rFonts w:hint="eastAsia" w:ascii="宋体" w:hAnsi="宋体" w:cs="宋体"/>
          <w:b/>
          <w:color w:val="auto"/>
          <w:sz w:val="24"/>
          <w:highlight w:val="none"/>
        </w:rPr>
        <w:t>（二）每年运营投入部分</w:t>
      </w:r>
    </w:p>
    <w:tbl>
      <w:tblPr>
        <w:tblStyle w:val="26"/>
        <w:tblW w:w="8804" w:type="dxa"/>
        <w:tblInd w:w="93" w:type="dxa"/>
        <w:tblLayout w:type="autofit"/>
        <w:tblCellMar>
          <w:top w:w="0" w:type="dxa"/>
          <w:left w:w="108" w:type="dxa"/>
          <w:bottom w:w="0" w:type="dxa"/>
          <w:right w:w="108" w:type="dxa"/>
        </w:tblCellMar>
      </w:tblPr>
      <w:tblGrid>
        <w:gridCol w:w="473"/>
        <w:gridCol w:w="525"/>
        <w:gridCol w:w="1412"/>
        <w:gridCol w:w="846"/>
        <w:gridCol w:w="846"/>
        <w:gridCol w:w="4702"/>
      </w:tblGrid>
      <w:tr>
        <w:tblPrEx>
          <w:tblCellMar>
            <w:top w:w="0" w:type="dxa"/>
            <w:left w:w="108" w:type="dxa"/>
            <w:bottom w:w="0" w:type="dxa"/>
            <w:right w:w="108" w:type="dxa"/>
          </w:tblCellMar>
        </w:tblPrEx>
        <w:trPr>
          <w:trHeight w:val="585" w:hRule="atLeast"/>
        </w:trPr>
        <w:tc>
          <w:tcPr>
            <w:tcW w:w="473"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52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w:t>
            </w:r>
          </w:p>
        </w:tc>
        <w:tc>
          <w:tcPr>
            <w:tcW w:w="1412"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子项</w:t>
            </w:r>
          </w:p>
        </w:tc>
        <w:tc>
          <w:tcPr>
            <w:tcW w:w="84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84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单位</w:t>
            </w:r>
          </w:p>
        </w:tc>
        <w:tc>
          <w:tcPr>
            <w:tcW w:w="4702"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r>
      <w:tr>
        <w:tblPrEx>
          <w:tblCellMar>
            <w:top w:w="0" w:type="dxa"/>
            <w:left w:w="108" w:type="dxa"/>
            <w:bottom w:w="0" w:type="dxa"/>
            <w:right w:w="108" w:type="dxa"/>
          </w:tblCellMar>
        </w:tblPrEx>
        <w:trPr>
          <w:trHeight w:val="720" w:hRule="atLeast"/>
        </w:trPr>
        <w:tc>
          <w:tcPr>
            <w:tcW w:w="473" w:type="dxa"/>
            <w:vMerge w:val="restart"/>
            <w:tcBorders>
              <w:top w:val="nil"/>
              <w:left w:val="single" w:color="auto" w:sz="8" w:space="0"/>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25" w:type="dxa"/>
            <w:vMerge w:val="restart"/>
            <w:tcBorders>
              <w:top w:val="nil"/>
              <w:left w:val="single" w:color="auto" w:sz="8" w:space="0"/>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人员经费</w:t>
            </w:r>
          </w:p>
        </w:tc>
        <w:tc>
          <w:tcPr>
            <w:tcW w:w="141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项目经理</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46"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人</w:t>
            </w:r>
          </w:p>
        </w:tc>
        <w:tc>
          <w:tcPr>
            <w:tcW w:w="470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大专以上学历，有垃圾分类项目成熟运行经验，统筹协调、综合管理能力较强。</w:t>
            </w:r>
          </w:p>
        </w:tc>
      </w:tr>
      <w:tr>
        <w:tblPrEx>
          <w:tblCellMar>
            <w:top w:w="0" w:type="dxa"/>
            <w:left w:w="108" w:type="dxa"/>
            <w:bottom w:w="0" w:type="dxa"/>
            <w:right w:w="108" w:type="dxa"/>
          </w:tblCellMar>
        </w:tblPrEx>
        <w:trPr>
          <w:trHeight w:val="420" w:hRule="atLeast"/>
        </w:trPr>
        <w:tc>
          <w:tcPr>
            <w:tcW w:w="473"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文员</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人</w:t>
            </w:r>
          </w:p>
        </w:tc>
        <w:tc>
          <w:tcPr>
            <w:tcW w:w="470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大专以上学历，有较好文字总结、台账资料收集管理能力。</w:t>
            </w:r>
          </w:p>
        </w:tc>
      </w:tr>
      <w:tr>
        <w:tblPrEx>
          <w:tblCellMar>
            <w:top w:w="0" w:type="dxa"/>
            <w:left w:w="108" w:type="dxa"/>
            <w:bottom w:w="0" w:type="dxa"/>
            <w:right w:w="108" w:type="dxa"/>
          </w:tblCellMar>
        </w:tblPrEx>
        <w:trPr>
          <w:trHeight w:val="495" w:hRule="atLeast"/>
        </w:trPr>
        <w:tc>
          <w:tcPr>
            <w:tcW w:w="473"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宣传员</w:t>
            </w:r>
          </w:p>
        </w:tc>
        <w:tc>
          <w:tcPr>
            <w:tcW w:w="84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人</w:t>
            </w:r>
          </w:p>
        </w:tc>
        <w:tc>
          <w:tcPr>
            <w:tcW w:w="470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大专以上学历，有较好语言表达、沟通交流、宣传服务能力。</w:t>
            </w:r>
          </w:p>
        </w:tc>
      </w:tr>
      <w:tr>
        <w:tblPrEx>
          <w:tblCellMar>
            <w:top w:w="0" w:type="dxa"/>
            <w:left w:w="108" w:type="dxa"/>
            <w:bottom w:w="0" w:type="dxa"/>
            <w:right w:w="108" w:type="dxa"/>
          </w:tblCellMar>
        </w:tblPrEx>
        <w:trPr>
          <w:trHeight w:val="960" w:hRule="atLeast"/>
        </w:trPr>
        <w:tc>
          <w:tcPr>
            <w:tcW w:w="473"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劝导员(督导员）工作经费</w:t>
            </w:r>
          </w:p>
        </w:tc>
        <w:tc>
          <w:tcPr>
            <w:tcW w:w="84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160</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人</w:t>
            </w:r>
          </w:p>
        </w:tc>
        <w:tc>
          <w:tcPr>
            <w:tcW w:w="470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olor w:val="auto"/>
                <w:sz w:val="24"/>
                <w:highlight w:val="none"/>
              </w:rPr>
              <w:t>初中以上学历，</w:t>
            </w:r>
            <w:r>
              <w:rPr>
                <w:rFonts w:hint="eastAsia" w:ascii="宋体" w:hAnsi="宋体" w:cs="宋体"/>
                <w:color w:val="auto"/>
                <w:kern w:val="0"/>
                <w:szCs w:val="21"/>
                <w:highlight w:val="none"/>
              </w:rPr>
              <w:t>按每200户配1名，按目前实际居住户数3.2万户计算，配160人，要求具备基本的智能手机操作能力和较好的交流沟通能力。（按实际人数配备结算）</w:t>
            </w:r>
          </w:p>
        </w:tc>
      </w:tr>
      <w:tr>
        <w:tblPrEx>
          <w:tblCellMar>
            <w:top w:w="0" w:type="dxa"/>
            <w:left w:w="108" w:type="dxa"/>
            <w:bottom w:w="0" w:type="dxa"/>
            <w:right w:w="108" w:type="dxa"/>
          </w:tblCellMar>
        </w:tblPrEx>
        <w:trPr>
          <w:trHeight w:val="990" w:hRule="atLeast"/>
        </w:trPr>
        <w:tc>
          <w:tcPr>
            <w:tcW w:w="473"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可回收物、有害垃圾收运人员工作经费</w:t>
            </w:r>
          </w:p>
        </w:tc>
        <w:tc>
          <w:tcPr>
            <w:tcW w:w="84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人</w:t>
            </w:r>
          </w:p>
        </w:tc>
        <w:tc>
          <w:tcPr>
            <w:tcW w:w="470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人员车辆自备，对公布可回收物目录中的低价值物按照相关补助标准给予补助；有害垃圾处置按照相关部门补助标准给予补助(此项投标人无需报价）</w:t>
            </w:r>
          </w:p>
        </w:tc>
      </w:tr>
      <w:tr>
        <w:tblPrEx>
          <w:tblCellMar>
            <w:top w:w="0" w:type="dxa"/>
            <w:left w:w="108" w:type="dxa"/>
            <w:bottom w:w="0" w:type="dxa"/>
            <w:right w:w="108" w:type="dxa"/>
          </w:tblCellMar>
        </w:tblPrEx>
        <w:trPr>
          <w:trHeight w:val="870" w:hRule="atLeast"/>
        </w:trPr>
        <w:tc>
          <w:tcPr>
            <w:tcW w:w="4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日常运营经费</w:t>
            </w: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易腐分类垃圾袋</w:t>
            </w:r>
          </w:p>
        </w:tc>
        <w:tc>
          <w:tcPr>
            <w:tcW w:w="84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384000</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卷·年</w:t>
            </w:r>
          </w:p>
        </w:tc>
        <w:tc>
          <w:tcPr>
            <w:tcW w:w="470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每户每月发放1卷（30只/卷）二维码垃圾袋，全年12卷，按目前实际居住户数3.2万户计算，32000户*12月=384000卷（按实际发放结算）</w:t>
            </w:r>
          </w:p>
        </w:tc>
      </w:tr>
      <w:tr>
        <w:tblPrEx>
          <w:tblCellMar>
            <w:top w:w="0" w:type="dxa"/>
            <w:left w:w="108" w:type="dxa"/>
            <w:bottom w:w="0" w:type="dxa"/>
            <w:right w:w="108" w:type="dxa"/>
          </w:tblCellMar>
        </w:tblPrEx>
        <w:trPr>
          <w:trHeight w:val="930" w:hRule="atLeast"/>
        </w:trPr>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其他垃圾标签</w:t>
            </w:r>
          </w:p>
        </w:tc>
        <w:tc>
          <w:tcPr>
            <w:tcW w:w="84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384000</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张·年</w:t>
            </w:r>
          </w:p>
        </w:tc>
        <w:tc>
          <w:tcPr>
            <w:tcW w:w="470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每户每月发放1张（可用30天），全年12张。按目前实际居住户数3.2万户计算，32000户*12月=384000张（按实际发放结算）</w:t>
            </w:r>
          </w:p>
        </w:tc>
      </w:tr>
      <w:tr>
        <w:tblPrEx>
          <w:tblCellMar>
            <w:top w:w="0" w:type="dxa"/>
            <w:left w:w="108" w:type="dxa"/>
            <w:bottom w:w="0" w:type="dxa"/>
            <w:right w:w="108" w:type="dxa"/>
          </w:tblCellMar>
        </w:tblPrEx>
        <w:trPr>
          <w:trHeight w:val="945" w:hRule="atLeast"/>
        </w:trPr>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分类引导牌、宣传栏、评比栏等维护更新</w:t>
            </w:r>
          </w:p>
        </w:tc>
        <w:tc>
          <w:tcPr>
            <w:tcW w:w="84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79</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702"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已设置分类宣传设施的79个小区做好日常维护、更新</w:t>
            </w:r>
          </w:p>
        </w:tc>
      </w:tr>
      <w:tr>
        <w:tblPrEx>
          <w:tblCellMar>
            <w:top w:w="0" w:type="dxa"/>
            <w:left w:w="108" w:type="dxa"/>
            <w:bottom w:w="0" w:type="dxa"/>
            <w:right w:w="108" w:type="dxa"/>
          </w:tblCellMar>
        </w:tblPrEx>
        <w:trPr>
          <w:trHeight w:val="1455" w:hRule="atLeast"/>
        </w:trPr>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智能四分类箱、机械分类箱体维护</w:t>
            </w:r>
          </w:p>
        </w:tc>
        <w:tc>
          <w:tcPr>
            <w:tcW w:w="84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84</w:t>
            </w:r>
          </w:p>
        </w:tc>
        <w:tc>
          <w:tcPr>
            <w:tcW w:w="84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702" w:type="dxa"/>
            <w:tcBorders>
              <w:top w:val="nil"/>
              <w:left w:val="single" w:color="auto" w:sz="4" w:space="0"/>
              <w:bottom w:val="single" w:color="auto" w:sz="4" w:space="0"/>
              <w:right w:val="single" w:color="auto" w:sz="8"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智能四分类箱确保能正常使用，小区内机械分类箱体内外维护到位，有破损及时维护。</w:t>
            </w:r>
          </w:p>
        </w:tc>
      </w:tr>
      <w:tr>
        <w:tblPrEx>
          <w:tblCellMar>
            <w:top w:w="0" w:type="dxa"/>
            <w:left w:w="108" w:type="dxa"/>
            <w:bottom w:w="0" w:type="dxa"/>
            <w:right w:w="108" w:type="dxa"/>
          </w:tblCellMar>
        </w:tblPrEx>
        <w:trPr>
          <w:trHeight w:val="1245" w:hRule="atLeast"/>
        </w:trPr>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定时投放定点（房）保洁、维护运行</w:t>
            </w:r>
          </w:p>
        </w:tc>
        <w:tc>
          <w:tcPr>
            <w:tcW w:w="84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156</w:t>
            </w:r>
          </w:p>
        </w:tc>
        <w:tc>
          <w:tcPr>
            <w:tcW w:w="846"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702" w:type="dxa"/>
            <w:tcBorders>
              <w:top w:val="nil"/>
              <w:left w:val="single" w:color="auto" w:sz="4" w:space="0"/>
              <w:bottom w:val="single" w:color="auto" w:sz="4" w:space="0"/>
              <w:right w:val="single" w:color="auto" w:sz="8"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目前已建分类投放点19个，预计到2020年底共建成156个，投放点日常维护包括水电费（考虑使用空调）、扫码积分设备流量费、桶损耗等。（按实际投入使用点位计算）</w:t>
            </w:r>
          </w:p>
        </w:tc>
      </w:tr>
      <w:tr>
        <w:tblPrEx>
          <w:tblCellMar>
            <w:top w:w="0" w:type="dxa"/>
            <w:left w:w="108" w:type="dxa"/>
            <w:bottom w:w="0" w:type="dxa"/>
            <w:right w:w="108" w:type="dxa"/>
          </w:tblCellMar>
        </w:tblPrEx>
        <w:trPr>
          <w:trHeight w:val="1065" w:hRule="atLeast"/>
        </w:trPr>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nil"/>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居民分类行为奖励积分</w:t>
            </w:r>
          </w:p>
        </w:tc>
        <w:tc>
          <w:tcPr>
            <w:tcW w:w="846" w:type="dxa"/>
            <w:tcBorders>
              <w:top w:val="nil"/>
              <w:left w:val="single" w:color="auto" w:sz="8" w:space="0"/>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3200</w:t>
            </w:r>
          </w:p>
        </w:tc>
        <w:tc>
          <w:tcPr>
            <w:tcW w:w="846" w:type="dxa"/>
            <w:tcBorders>
              <w:top w:val="nil"/>
              <w:left w:val="nil"/>
              <w:bottom w:val="nil"/>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天</w:t>
            </w:r>
          </w:p>
        </w:tc>
        <w:tc>
          <w:tcPr>
            <w:tcW w:w="4702" w:type="dxa"/>
            <w:tcBorders>
              <w:top w:val="nil"/>
              <w:left w:val="single" w:color="auto" w:sz="4" w:space="0"/>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具体奖励积分规则见招标需求（按实际产生直接结算）。</w:t>
            </w:r>
          </w:p>
        </w:tc>
      </w:tr>
      <w:tr>
        <w:tblPrEx>
          <w:tblCellMar>
            <w:top w:w="0" w:type="dxa"/>
            <w:left w:w="108" w:type="dxa"/>
            <w:bottom w:w="0" w:type="dxa"/>
            <w:right w:w="108" w:type="dxa"/>
          </w:tblCellMar>
        </w:tblPrEx>
        <w:trPr>
          <w:trHeight w:val="810" w:hRule="atLeast"/>
        </w:trPr>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412" w:type="dxa"/>
            <w:tcBorders>
              <w:top w:val="single" w:color="auto" w:sz="8" w:space="0"/>
              <w:left w:val="nil"/>
              <w:bottom w:val="nil"/>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厢式货车运营费</w:t>
            </w:r>
          </w:p>
        </w:tc>
        <w:tc>
          <w:tcPr>
            <w:tcW w:w="846" w:type="dxa"/>
            <w:tcBorders>
              <w:top w:val="single" w:color="auto" w:sz="8" w:space="0"/>
              <w:left w:val="single" w:color="auto" w:sz="8" w:space="0"/>
              <w:bottom w:val="nil"/>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46" w:type="dxa"/>
            <w:tcBorders>
              <w:top w:val="single" w:color="auto" w:sz="8" w:space="0"/>
              <w:left w:val="nil"/>
              <w:bottom w:val="nil"/>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辆</w:t>
            </w:r>
          </w:p>
        </w:tc>
        <w:tc>
          <w:tcPr>
            <w:tcW w:w="4702"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车辆折旧、保险、维修等</w:t>
            </w:r>
          </w:p>
        </w:tc>
      </w:tr>
      <w:tr>
        <w:tblPrEx>
          <w:tblCellMar>
            <w:top w:w="0" w:type="dxa"/>
            <w:left w:w="108" w:type="dxa"/>
            <w:bottom w:w="0" w:type="dxa"/>
            <w:right w:w="108" w:type="dxa"/>
          </w:tblCellMar>
        </w:tblPrEx>
        <w:trPr>
          <w:trHeight w:val="585" w:hRule="atLeast"/>
        </w:trPr>
        <w:tc>
          <w:tcPr>
            <w:tcW w:w="473" w:type="dxa"/>
            <w:vMerge w:val="restart"/>
            <w:tcBorders>
              <w:top w:val="single" w:color="auto" w:sz="8" w:space="0"/>
              <w:left w:val="single" w:color="auto" w:sz="8" w:space="0"/>
              <w:bottom w:val="single" w:color="000000" w:sz="8"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525" w:type="dxa"/>
            <w:vMerge w:val="restart"/>
            <w:tcBorders>
              <w:top w:val="single" w:color="auto" w:sz="8" w:space="0"/>
              <w:left w:val="single" w:color="auto" w:sz="4" w:space="0"/>
              <w:bottom w:val="single" w:color="000000" w:sz="8"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宣传费用</w:t>
            </w:r>
          </w:p>
        </w:tc>
        <w:tc>
          <w:tcPr>
            <w:tcW w:w="1412" w:type="dxa"/>
            <w:tcBorders>
              <w:top w:val="single" w:color="auto" w:sz="8" w:space="0"/>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定时定点启动宣传</w:t>
            </w:r>
          </w:p>
        </w:tc>
        <w:tc>
          <w:tcPr>
            <w:tcW w:w="846"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66</w:t>
            </w:r>
          </w:p>
        </w:tc>
        <w:tc>
          <w:tcPr>
            <w:tcW w:w="846"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702" w:type="dxa"/>
            <w:tcBorders>
              <w:top w:val="single" w:color="auto" w:sz="8" w:space="0"/>
              <w:left w:val="nil"/>
              <w:bottom w:val="single" w:color="auto" w:sz="4"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小区启动定时定点前一次大型宣传服务活动</w:t>
            </w:r>
          </w:p>
        </w:tc>
      </w:tr>
      <w:tr>
        <w:tblPrEx>
          <w:tblCellMar>
            <w:top w:w="0" w:type="dxa"/>
            <w:left w:w="108" w:type="dxa"/>
            <w:bottom w:w="0" w:type="dxa"/>
            <w:right w:w="108" w:type="dxa"/>
          </w:tblCellMar>
        </w:tblPrEx>
        <w:trPr>
          <w:trHeight w:val="585" w:hRule="atLeast"/>
        </w:trPr>
        <w:tc>
          <w:tcPr>
            <w:tcW w:w="473"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各小区日常宣传服务活动</w:t>
            </w:r>
          </w:p>
        </w:tc>
        <w:tc>
          <w:tcPr>
            <w:tcW w:w="846"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91</w:t>
            </w:r>
          </w:p>
        </w:tc>
        <w:tc>
          <w:tcPr>
            <w:tcW w:w="84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702" w:type="dxa"/>
            <w:tcBorders>
              <w:top w:val="nil"/>
              <w:left w:val="nil"/>
              <w:bottom w:val="single" w:color="auto" w:sz="4"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每月一次进小区垃圾分类宣传活动</w:t>
            </w:r>
          </w:p>
        </w:tc>
      </w:tr>
      <w:tr>
        <w:tblPrEx>
          <w:tblCellMar>
            <w:top w:w="0" w:type="dxa"/>
            <w:left w:w="108" w:type="dxa"/>
            <w:bottom w:w="0" w:type="dxa"/>
            <w:right w:w="108" w:type="dxa"/>
          </w:tblCellMar>
        </w:tblPrEx>
        <w:trPr>
          <w:trHeight w:val="525" w:hRule="atLeast"/>
        </w:trPr>
        <w:tc>
          <w:tcPr>
            <w:tcW w:w="473"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525" w:type="dxa"/>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412" w:type="dxa"/>
            <w:tcBorders>
              <w:top w:val="nil"/>
              <w:left w:val="nil"/>
              <w:bottom w:val="single" w:color="auto" w:sz="8"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每户宣传资料</w:t>
            </w:r>
          </w:p>
        </w:tc>
        <w:tc>
          <w:tcPr>
            <w:tcW w:w="846" w:type="dxa"/>
            <w:tcBorders>
              <w:top w:val="nil"/>
              <w:left w:val="single" w:color="auto" w:sz="8" w:space="0"/>
              <w:bottom w:val="single" w:color="auto" w:sz="8"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91</w:t>
            </w:r>
          </w:p>
        </w:tc>
        <w:tc>
          <w:tcPr>
            <w:tcW w:w="846" w:type="dxa"/>
            <w:tcBorders>
              <w:top w:val="nil"/>
              <w:left w:val="nil"/>
              <w:bottom w:val="single" w:color="auto" w:sz="8"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470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居民垃圾分类宣传资料</w:t>
            </w:r>
          </w:p>
        </w:tc>
      </w:tr>
    </w:tbl>
    <w:p>
      <w:pPr>
        <w:pStyle w:val="59"/>
        <w:snapToGrid w:val="0"/>
        <w:spacing w:line="300" w:lineRule="auto"/>
        <w:ind w:firstLine="602" w:firstLineChars="250"/>
        <w:rPr>
          <w:rFonts w:ascii="Calibri" w:hAnsi="Calibri" w:eastAsia="宋体" w:cs="Times New Roman"/>
          <w:color w:val="auto"/>
          <w:kern w:val="0"/>
          <w:highlight w:val="none"/>
          <w:lang w:bidi="en-US"/>
        </w:rPr>
      </w:pPr>
      <w:r>
        <w:rPr>
          <w:rFonts w:hint="eastAsia" w:ascii="Calibri" w:hAnsi="Calibri" w:eastAsia="宋体" w:cs="Times New Roman"/>
          <w:color w:val="auto"/>
          <w:kern w:val="0"/>
          <w:highlight w:val="none"/>
          <w:lang w:bidi="en-US"/>
        </w:rPr>
        <w:t>注：1.本次招标提供的数量只是暂定数量，采购人有权按实际需要对数量进行调整，调整数量大小不可预计，最终单价仍按中标单价，数量按实际需求数量进行结算，中标供应商不得以此理由向采购人提出索赔。</w:t>
      </w:r>
    </w:p>
    <w:p>
      <w:pPr>
        <w:snapToGrid w:val="0"/>
        <w:spacing w:line="300" w:lineRule="auto"/>
        <w:ind w:firstLine="482" w:firstLineChars="200"/>
        <w:rPr>
          <w:rFonts w:ascii="Calibri" w:hAnsi="Calibri"/>
          <w:b/>
          <w:color w:val="auto"/>
          <w:kern w:val="0"/>
          <w:sz w:val="24"/>
          <w:highlight w:val="none"/>
          <w:lang w:bidi="en-US"/>
        </w:rPr>
      </w:pPr>
      <w:r>
        <w:rPr>
          <w:rFonts w:hint="eastAsia" w:ascii="Calibri" w:hAnsi="Calibri"/>
          <w:b/>
          <w:color w:val="auto"/>
          <w:kern w:val="0"/>
          <w:sz w:val="24"/>
          <w:highlight w:val="none"/>
          <w:lang w:bidi="en-US"/>
        </w:rPr>
        <w:t>2.一次性投入部分分年分批次购置投入，投标人需将此部分因素考虑进投标报价中，今后不得以此理由向采购人提出索赔。</w:t>
      </w:r>
    </w:p>
    <w:p>
      <w:pPr>
        <w:snapToGrid w:val="0"/>
        <w:spacing w:line="300" w:lineRule="auto"/>
        <w:ind w:firstLine="354" w:firstLineChars="147"/>
        <w:contextualSpacing/>
        <w:jc w:val="left"/>
        <w:rPr>
          <w:rFonts w:ascii="宋体" w:hAnsi="宋体" w:cs="宋体"/>
          <w:b/>
          <w:color w:val="auto"/>
          <w:sz w:val="24"/>
          <w:highlight w:val="none"/>
        </w:rPr>
      </w:pPr>
      <w:r>
        <w:rPr>
          <w:rFonts w:hint="eastAsia" w:ascii="宋体" w:hAnsi="宋体" w:cs="宋体"/>
          <w:b/>
          <w:color w:val="auto"/>
          <w:sz w:val="24"/>
          <w:highlight w:val="none"/>
        </w:rPr>
        <w:t>六、结算方式</w:t>
      </w:r>
    </w:p>
    <w:p>
      <w:pPr>
        <w:pStyle w:val="10"/>
        <w:snapToGrid w:val="0"/>
        <w:spacing w:after="0" w:line="300" w:lineRule="auto"/>
        <w:ind w:firstLine="480" w:firstLineChars="200"/>
        <w:rPr>
          <w:color w:val="auto"/>
          <w:sz w:val="24"/>
          <w:highlight w:val="none"/>
        </w:rPr>
      </w:pPr>
      <w:r>
        <w:rPr>
          <w:rFonts w:hint="eastAsia" w:ascii="宋体" w:hAnsi="宋体"/>
          <w:color w:val="auto"/>
          <w:sz w:val="24"/>
          <w:highlight w:val="none"/>
        </w:rPr>
        <w:t>1.</w:t>
      </w:r>
      <w:r>
        <w:rPr>
          <w:rFonts w:hint="eastAsia"/>
          <w:color w:val="auto"/>
          <w:sz w:val="24"/>
          <w:highlight w:val="none"/>
        </w:rPr>
        <w:t xml:space="preserve">一次性投入部分依据中标价按3年进行摊销，摊销方式和比例在合同中明确，经验收合格交付使用后起付。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ascii="宋体" w:hAnsi="宋体" w:cs="宋体"/>
          <w:color w:val="auto"/>
          <w:kern w:val="0"/>
          <w:sz w:val="24"/>
          <w:highlight w:val="none"/>
          <w:shd w:val="clear" w:color="auto" w:fill="FFFFFF"/>
        </w:rPr>
      </w:pPr>
      <w:r>
        <w:rPr>
          <w:rFonts w:hint="eastAsia" w:ascii="宋体" w:hAnsi="宋体"/>
          <w:color w:val="auto"/>
          <w:sz w:val="24"/>
          <w:highlight w:val="none"/>
        </w:rPr>
        <w:t>2.</w:t>
      </w:r>
      <w:r>
        <w:rPr>
          <w:rFonts w:hint="eastAsia" w:ascii="宋体" w:hAnsi="宋体" w:cs="宋体"/>
          <w:color w:val="auto"/>
          <w:kern w:val="0"/>
          <w:sz w:val="24"/>
          <w:highlight w:val="none"/>
          <w:shd w:val="clear" w:color="auto" w:fill="FFFFFF"/>
        </w:rPr>
        <w:t xml:space="preserve"> 每年运营投入部分的90%每季度依据考核结果结算，10%依据年度考核结果结算。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7" w:firstLineChars="198"/>
        <w:jc w:val="left"/>
        <w:rPr>
          <w:rFonts w:ascii="宋体" w:hAnsi="宋体"/>
          <w:b/>
          <w:color w:val="auto"/>
          <w:sz w:val="24"/>
          <w:highlight w:val="none"/>
        </w:rPr>
      </w:pPr>
      <w:r>
        <w:rPr>
          <w:rFonts w:hint="eastAsia" w:ascii="宋体" w:hAnsi="宋体"/>
          <w:b/>
          <w:color w:val="auto"/>
          <w:sz w:val="24"/>
          <w:highlight w:val="none"/>
        </w:rPr>
        <w:t>七、项目考核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ascii="宋体" w:hAnsi="宋体"/>
          <w:color w:val="auto"/>
          <w:sz w:val="24"/>
          <w:highlight w:val="none"/>
        </w:rPr>
      </w:pPr>
      <w:r>
        <w:rPr>
          <w:rFonts w:hint="eastAsia" w:ascii="宋体" w:hAnsi="宋体"/>
          <w:color w:val="auto"/>
          <w:sz w:val="24"/>
          <w:highlight w:val="none"/>
        </w:rPr>
        <w:t>按照《嘉善县罗星街道城镇生活垃圾分类考核办法》及《嘉善县罗星街道城镇生活垃圾分类考核评分标准》进行考核（如上级考核要求作调整的考核评分标准将作相应调整），详见本章后附件1、附件2。</w:t>
      </w:r>
      <w:r>
        <w:rPr>
          <w:rFonts w:ascii="宋体" w:hAnsi="宋体"/>
          <w:color w:val="auto"/>
          <w:sz w:val="24"/>
          <w:highlight w:val="none"/>
        </w:rPr>
        <w:t xml:space="preserve"> </w:t>
      </w:r>
    </w:p>
    <w:p>
      <w:pPr>
        <w:widowControl/>
        <w:spacing w:line="300" w:lineRule="auto"/>
        <w:ind w:firstLine="240" w:firstLineChars="100"/>
        <w:jc w:val="center"/>
        <w:rPr>
          <w:rFonts w:ascii="宋体" w:hAnsi="宋体"/>
          <w:color w:val="auto"/>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left"/>
        <w:rPr>
          <w:rFonts w:hint="eastAsia" w:ascii="宋体" w:hAnsi="宋体"/>
          <w:color w:val="auto"/>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left"/>
        <w:rPr>
          <w:rFonts w:hint="eastAsia" w:ascii="宋体" w:hAnsi="宋体"/>
          <w:color w:val="auto"/>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left"/>
        <w:rPr>
          <w:rFonts w:hint="eastAsia" w:ascii="宋体" w:hAnsi="宋体"/>
          <w:color w:val="auto"/>
          <w:sz w:val="24"/>
          <w:highlight w:val="none"/>
        </w:rPr>
      </w:pPr>
      <w:r>
        <w:rPr>
          <w:rFonts w:hint="eastAsia" w:ascii="宋体" w:hAnsi="宋体"/>
          <w:color w:val="auto"/>
          <w:sz w:val="24"/>
          <w:highlight w:val="none"/>
        </w:rPr>
        <w:t xml:space="preserve">附件1         </w:t>
      </w:r>
      <w:r>
        <w:rPr>
          <w:rFonts w:hint="eastAsia" w:ascii="宋体" w:hAnsi="宋体"/>
          <w:b/>
          <w:color w:val="auto"/>
          <w:sz w:val="24"/>
          <w:highlight w:val="none"/>
        </w:rPr>
        <w:t xml:space="preserve"> 嘉善县罗星街道城镇生活垃圾分类考核办法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为进一步提高我街道生活垃圾减量化、资源化、无害化处理水平，建立生活垃圾分类处理长效管理机制，逐步提高城镇生活垃圾分类市场化运行和管理水平，特制定本考核办法。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一、考核主体：采购人（嘉善县人民政府罗星街道办事处）或采购人委托的其他第三方机构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二、考核对象：本项目中标供应商。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三、考核内容：本项目的服务内容及要求。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四、考核范围：本项目的服务范围。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五、考核方式：明查和暗查相结合，采取检查垃圾信息化监管平台运行数据、查阅台账资料、实地检查、不定期巡查等多种方式，随机对30类分类场景（包含但不仅限于）进行考核；考核时间为每月考核1次。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六、考核成绩：分为月度考核成绩、季度考核成绩、年度考核成绩。</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（一）月度考核成绩由采购人或采购人委托的其他第三方机构依据《嘉善县罗星街道城镇生活垃圾分类考核评分标准》组织开展考核，综合评定后得出。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（二）季度考核成绩由3个月度考核成绩的平均值和上级主管部门考核得分组成，占比为各50%。季度考核成绩作为运行费的结算依据。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（三）年度考核成绩由季度考核成绩平均值和年度考核得分组成。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考核结果以书面形式通报至中标人，中标人在规定期限内以书面形式反馈意见。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七、考核结果运用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（一）考核成绩运用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1.月度考核成绩低于80分的，第一次由采购人约谈中标人；连续两个月的月度考核成绩低于80分的，直接解除合同。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ascii="宋体" w:hAnsi="宋体"/>
          <w:color w:val="auto"/>
          <w:sz w:val="24"/>
          <w:highlight w:val="none"/>
        </w:rPr>
      </w:pPr>
      <w:r>
        <w:rPr>
          <w:rFonts w:hint="eastAsia" w:ascii="宋体" w:hAnsi="宋体"/>
          <w:color w:val="auto"/>
          <w:sz w:val="24"/>
          <w:highlight w:val="none"/>
        </w:rPr>
        <w:t>2.季度考核，将全年运营费用的90%分为</w:t>
      </w:r>
      <w:r>
        <w:rPr>
          <w:rFonts w:ascii="宋体" w:hAnsi="宋体"/>
          <w:color w:val="auto"/>
          <w:sz w:val="24"/>
          <w:highlight w:val="none"/>
        </w:rPr>
        <w:t>4</w:t>
      </w:r>
      <w:r>
        <w:rPr>
          <w:rFonts w:hint="eastAsia" w:ascii="宋体" w:hAnsi="宋体"/>
          <w:color w:val="auto"/>
          <w:sz w:val="24"/>
          <w:highlight w:val="none"/>
        </w:rPr>
        <w:t>个季度结算，每季度按实际考评结果支付运营费用，下一季度支付上一季度的运营款。设总分100分，考核达90分以上（包含90分）的全额拨付当季运营服务款，考核90分以下的每下降1分扣款2000元。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rFonts w:hint="eastAsia" w:ascii="宋体" w:hAnsi="宋体"/>
          <w:color w:val="auto"/>
          <w:sz w:val="24"/>
          <w:highlight w:val="none"/>
        </w:rPr>
      </w:pPr>
      <w:r>
        <w:rPr>
          <w:rFonts w:hint="eastAsia" w:ascii="宋体" w:hAnsi="宋体"/>
          <w:color w:val="auto"/>
          <w:sz w:val="24"/>
          <w:highlight w:val="none"/>
        </w:rPr>
        <w:t>3.年度考核，全年运营费用的10%于年度末的下一个月综合全年考评情况支付。全年四个季度考核平均分90分以上（包含90分）的全额支付；平均分85-89分的支付90%；80-84分的支付85%，以此类推。</w:t>
      </w:r>
    </w:p>
    <w:p>
      <w:pPr>
        <w:spacing w:line="360" w:lineRule="auto"/>
        <w:ind w:firstLine="420"/>
        <w:jc w:val="left"/>
        <w:rPr>
          <w:rFonts w:hint="eastAsia"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（二）其他</w:t>
      </w:r>
    </w:p>
    <w:p>
      <w:pPr>
        <w:widowControl/>
        <w:ind w:firstLine="480" w:firstLineChars="200"/>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1.中标人运营期间发生人员未到岗情况的，每查实一人扣500元。</w:t>
      </w:r>
    </w:p>
    <w:p>
      <w:pPr>
        <w:spacing w:line="360" w:lineRule="auto"/>
        <w:ind w:firstLine="420"/>
        <w:jc w:val="left"/>
        <w:rPr>
          <w:rFonts w:hint="eastAsia"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2.中标人运营期间发生群众投诉情况的，经核实后属实的每发生一次扣1000元。</w:t>
      </w:r>
    </w:p>
    <w:p>
      <w:pPr>
        <w:spacing w:line="360" w:lineRule="auto"/>
        <w:jc w:val="left"/>
        <w:rPr>
          <w:rFonts w:hint="eastAsia" w:ascii="仿宋" w:hAnsi="仿宋" w:eastAsia="仿宋" w:cs="宋体"/>
          <w:b/>
          <w:bCs/>
          <w:color w:val="auto"/>
          <w:highlight w:val="none"/>
          <w:lang w:val="zh-CN"/>
        </w:rPr>
      </w:pPr>
      <w:r>
        <w:rPr>
          <w:rFonts w:hint="eastAsia" w:ascii="仿宋" w:hAnsi="仿宋" w:eastAsia="仿宋" w:cs="宋体"/>
          <w:b/>
          <w:bCs/>
          <w:color w:val="auto"/>
          <w:highlight w:val="none"/>
          <w:lang w:val="zh-CN"/>
        </w:rPr>
        <w:t xml:space="preserve"> </w:t>
      </w:r>
      <w:r>
        <w:rPr>
          <w:rFonts w:hint="eastAsia" w:ascii="宋体" w:hAnsi="宋体" w:cs="宋体"/>
          <w:color w:val="auto"/>
          <w:kern w:val="0"/>
          <w:sz w:val="24"/>
          <w:highlight w:val="none"/>
          <w:shd w:val="clear" w:color="auto" w:fill="FFFFFF"/>
        </w:rPr>
        <w:t xml:space="preserve">   3.中标人未配合完成街道下达的其他应急任务的，每项扣1000元。</w:t>
      </w:r>
    </w:p>
    <w:p>
      <w:pPr>
        <w:spacing w:line="360" w:lineRule="auto"/>
        <w:jc w:val="left"/>
        <w:rPr>
          <w:rFonts w:hint="eastAsia" w:ascii="仿宋" w:hAnsi="仿宋" w:eastAsia="仿宋" w:cs="宋体"/>
          <w:b/>
          <w:bCs/>
          <w:color w:val="auto"/>
          <w:highlight w:val="none"/>
          <w:lang w:val="zh-CN"/>
        </w:rPr>
      </w:pPr>
      <w:r>
        <w:rPr>
          <w:rFonts w:hint="eastAsia" w:ascii="仿宋" w:hAnsi="仿宋" w:eastAsia="仿宋" w:cs="宋体"/>
          <w:b/>
          <w:bCs/>
          <w:color w:val="auto"/>
          <w:highlight w:val="none"/>
          <w:lang w:val="zh-CN"/>
        </w:rPr>
        <w:t xml:space="preserve"> </w:t>
      </w:r>
      <w:r>
        <w:rPr>
          <w:rFonts w:hint="eastAsia" w:ascii="宋体" w:hAnsi="宋体" w:cs="宋体"/>
          <w:color w:val="auto"/>
          <w:kern w:val="0"/>
          <w:sz w:val="24"/>
          <w:highlight w:val="none"/>
          <w:shd w:val="clear" w:color="auto" w:fill="FFFFFF"/>
        </w:rPr>
        <w:t xml:space="preserve">   4.街道月度考核名次位列全县第一名的奖励5000元，位列第二名的奖励3000元，位列第三名的奖励2000元；街道月度考核名次位列全县第七名的扣3000元，位列第八名的扣5000元，位列第九名的扣8000元。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75" w:firstLineChars="198"/>
        <w:jc w:val="left"/>
        <w:rPr>
          <w:color w:val="auto"/>
          <w:highlight w:val="none"/>
        </w:rPr>
      </w:pPr>
      <w:r>
        <w:rPr>
          <w:rFonts w:hint="eastAsia" w:ascii="宋体" w:hAnsi="宋体"/>
          <w:color w:val="auto"/>
          <w:sz w:val="24"/>
          <w:highlight w:val="none"/>
        </w:rPr>
        <w:t xml:space="preserve">（三）本考核办法的最终解释权为采购人。 </w:t>
      </w:r>
    </w:p>
    <w:p>
      <w:pPr>
        <w:widowControl/>
        <w:ind w:firstLine="211" w:firstLineChars="100"/>
        <w:jc w:val="left"/>
        <w:rPr>
          <w:rFonts w:ascii="仿宋" w:hAnsi="仿宋" w:eastAsia="仿宋" w:cs="宋体"/>
          <w:b/>
          <w:bCs/>
          <w:color w:val="auto"/>
          <w:highlight w:val="none"/>
        </w:rPr>
      </w:pPr>
    </w:p>
    <w:p>
      <w:pPr>
        <w:widowControl/>
        <w:ind w:firstLine="211" w:firstLineChars="100"/>
        <w:jc w:val="center"/>
        <w:rPr>
          <w:rFonts w:ascii="仿宋" w:hAnsi="仿宋" w:eastAsia="仿宋" w:cs="宋体"/>
          <w:b/>
          <w:bCs/>
          <w:color w:val="auto"/>
          <w:highlight w:val="none"/>
          <w:lang w:val="zh-CN"/>
        </w:rPr>
      </w:pPr>
    </w:p>
    <w:p>
      <w:pPr>
        <w:widowControl/>
        <w:ind w:firstLine="211" w:firstLineChars="100"/>
        <w:jc w:val="center"/>
        <w:rPr>
          <w:rFonts w:ascii="仿宋" w:hAnsi="仿宋" w:eastAsia="仿宋" w:cs="宋体"/>
          <w:b/>
          <w:bCs/>
          <w:color w:val="auto"/>
          <w:highlight w:val="none"/>
          <w:lang w:val="zh-CN"/>
        </w:rPr>
        <w:sectPr>
          <w:pgSz w:w="11906" w:h="16838"/>
          <w:pgMar w:top="1134" w:right="1134" w:bottom="1134" w:left="1134" w:header="851" w:footer="992" w:gutter="0"/>
          <w:cols w:space="720" w:num="1"/>
          <w:docGrid w:type="lines" w:linePitch="312" w:charSpace="0"/>
        </w:sectPr>
      </w:pPr>
    </w:p>
    <w:p>
      <w:pPr>
        <w:spacing w:line="360" w:lineRule="auto"/>
        <w:rPr>
          <w:color w:val="auto"/>
          <w:highlight w:val="none"/>
        </w:rPr>
      </w:pPr>
      <w:r>
        <w:rPr>
          <w:rFonts w:hint="eastAsia" w:ascii="宋体" w:hAnsi="宋体"/>
          <w:b/>
          <w:color w:val="auto"/>
          <w:szCs w:val="21"/>
          <w:highlight w:val="none"/>
        </w:rPr>
        <w:t>附件2                                        罗星街道城镇生活垃圾分类考核评分标准</w:t>
      </w:r>
    </w:p>
    <w:tbl>
      <w:tblPr>
        <w:tblStyle w:val="26"/>
        <w:tblW w:w="14301"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337"/>
        <w:gridCol w:w="746"/>
        <w:gridCol w:w="993"/>
        <w:gridCol w:w="8747"/>
        <w:gridCol w:w="17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vMerge w:val="restart"/>
            <w:tcBorders>
              <w:top w:val="single" w:color="auto" w:sz="12" w:space="0"/>
            </w:tcBorders>
            <w:noWrap w:val="0"/>
            <w:vAlign w:val="center"/>
          </w:tcPr>
          <w:p>
            <w:pPr>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项目</w:t>
            </w:r>
          </w:p>
        </w:tc>
        <w:tc>
          <w:tcPr>
            <w:tcW w:w="1083" w:type="dxa"/>
            <w:gridSpan w:val="2"/>
            <w:tcBorders>
              <w:top w:val="single" w:color="auto" w:sz="12" w:space="0"/>
            </w:tcBorders>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分值</w:t>
            </w:r>
          </w:p>
        </w:tc>
        <w:tc>
          <w:tcPr>
            <w:tcW w:w="993" w:type="dxa"/>
            <w:tcBorders>
              <w:top w:val="single" w:color="auto" w:sz="12" w:space="0"/>
            </w:tcBorders>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考核</w:t>
            </w:r>
          </w:p>
        </w:tc>
        <w:tc>
          <w:tcPr>
            <w:tcW w:w="10486" w:type="dxa"/>
            <w:gridSpan w:val="2"/>
            <w:vMerge w:val="restart"/>
            <w:tcBorders>
              <w:top w:val="single" w:color="auto" w:sz="12" w:space="0"/>
            </w:tcBorders>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考核标准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vMerge w:val="continue"/>
            <w:noWrap w:val="0"/>
            <w:vAlign w:val="center"/>
          </w:tcPr>
          <w:p>
            <w:pPr>
              <w:jc w:val="center"/>
              <w:rPr>
                <w:rFonts w:ascii="宋体" w:hAnsi="宋体" w:cs="宋体"/>
                <w:color w:val="auto"/>
                <w:kern w:val="0"/>
                <w:szCs w:val="21"/>
                <w:highlight w:val="none"/>
                <w:shd w:val="clear" w:color="auto" w:fill="FFFFFF"/>
              </w:rPr>
            </w:pP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w:t>
            </w:r>
            <w:r>
              <w:rPr>
                <w:rFonts w:ascii="宋体" w:hAnsi="宋体" w:cs="宋体"/>
                <w:color w:val="auto"/>
                <w:kern w:val="0"/>
                <w:szCs w:val="21"/>
                <w:highlight w:val="none"/>
                <w:shd w:val="clear" w:color="auto" w:fill="FFFFFF"/>
              </w:rPr>
              <w:t>100</w:t>
            </w:r>
            <w:r>
              <w:rPr>
                <w:rFonts w:hint="eastAsia" w:ascii="宋体" w:hAnsi="宋体" w:cs="宋体"/>
                <w:color w:val="auto"/>
                <w:kern w:val="0"/>
                <w:szCs w:val="21"/>
                <w:highlight w:val="none"/>
                <w:shd w:val="clear" w:color="auto" w:fill="FFFFFF"/>
              </w:rPr>
              <w:t>分）</w:t>
            </w:r>
          </w:p>
        </w:tc>
        <w:tc>
          <w:tcPr>
            <w:tcW w:w="993"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得分</w:t>
            </w:r>
          </w:p>
        </w:tc>
        <w:tc>
          <w:tcPr>
            <w:tcW w:w="10486" w:type="dxa"/>
            <w:gridSpan w:val="2"/>
            <w:vMerge w:val="continue"/>
            <w:noWrap w:val="0"/>
            <w:vAlign w:val="center"/>
          </w:tcPr>
          <w:p>
            <w:pPr>
              <w:jc w:val="center"/>
              <w:rPr>
                <w:rFonts w:ascii="宋体" w:hAnsi="宋体" w:cs="宋体"/>
                <w:color w:val="auto"/>
                <w:kern w:val="0"/>
                <w:szCs w:val="21"/>
                <w:highlight w:val="none"/>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项目运营服务人员要求</w:t>
            </w: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6</w:t>
            </w:r>
          </w:p>
        </w:tc>
        <w:tc>
          <w:tcPr>
            <w:tcW w:w="993" w:type="dxa"/>
            <w:noWrap w:val="0"/>
            <w:vAlign w:val="center"/>
          </w:tcPr>
          <w:p>
            <w:pPr>
              <w:jc w:val="cente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满足项目运营服务的人员用品配备齐全，在职专职人员数不满足项目要求的，每少</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人扣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分；加强培训高效管理，有工作人员出现有责投诉及媒体曝光问题的每发现一次扣2分。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综合分拣存储中心</w:t>
            </w: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2</w:t>
            </w:r>
          </w:p>
        </w:tc>
        <w:tc>
          <w:tcPr>
            <w:tcW w:w="993" w:type="dxa"/>
            <w:noWrap w:val="0"/>
            <w:vAlign w:val="center"/>
          </w:tcPr>
          <w:p>
            <w:pPr>
              <w:jc w:val="center"/>
              <w:rPr>
                <w:rFonts w:ascii="宋体" w:hAnsi="宋体" w:cs="宋体"/>
                <w:color w:val="auto"/>
                <w:kern w:val="0"/>
                <w:szCs w:val="21"/>
                <w:highlight w:val="none"/>
                <w:shd w:val="clear" w:color="auto" w:fill="FFFFFF"/>
              </w:rPr>
            </w:pPr>
          </w:p>
        </w:tc>
        <w:tc>
          <w:tcPr>
            <w:tcW w:w="10486" w:type="dxa"/>
            <w:gridSpan w:val="2"/>
            <w:noWrap w:val="0"/>
            <w:vAlign w:val="center"/>
          </w:tcPr>
          <w:p>
            <w:pPr>
              <w:rPr>
                <w:rFonts w:ascii="仿宋_GB2312" w:hAnsi="仿宋" w:eastAsia="仿宋_GB2312"/>
                <w:color w:val="auto"/>
                <w:szCs w:val="21"/>
                <w:highlight w:val="none"/>
              </w:rPr>
            </w:pPr>
            <w:r>
              <w:rPr>
                <w:rFonts w:hint="eastAsia" w:ascii="宋体" w:hAnsi="宋体" w:cs="宋体"/>
                <w:color w:val="auto"/>
                <w:kern w:val="0"/>
                <w:szCs w:val="21"/>
                <w:highlight w:val="none"/>
                <w:shd w:val="clear" w:color="auto" w:fill="FFFFFF"/>
              </w:rPr>
              <w:t>建立</w:t>
            </w:r>
            <w:r>
              <w:rPr>
                <w:rFonts w:ascii="宋体" w:hAnsi="宋体" w:cs="宋体"/>
                <w:color w:val="auto"/>
                <w:kern w:val="0"/>
                <w:szCs w:val="21"/>
                <w:highlight w:val="none"/>
                <w:shd w:val="clear" w:color="auto" w:fill="FFFFFF"/>
              </w:rPr>
              <w:t>可回收物</w:t>
            </w:r>
            <w:r>
              <w:rPr>
                <w:rFonts w:hint="eastAsia" w:ascii="宋体" w:hAnsi="宋体" w:cs="宋体"/>
                <w:color w:val="auto"/>
                <w:kern w:val="0"/>
                <w:szCs w:val="21"/>
                <w:highlight w:val="none"/>
                <w:shd w:val="clear" w:color="auto" w:fill="FFFFFF"/>
              </w:rPr>
              <w:t>分拣、</w:t>
            </w:r>
            <w:r>
              <w:rPr>
                <w:rFonts w:ascii="宋体" w:hAnsi="宋体" w:cs="宋体"/>
                <w:color w:val="auto"/>
                <w:kern w:val="0"/>
                <w:szCs w:val="21"/>
                <w:highlight w:val="none"/>
                <w:shd w:val="clear" w:color="auto" w:fill="FFFFFF"/>
              </w:rPr>
              <w:t>有害垃圾暂存</w:t>
            </w:r>
            <w:r>
              <w:rPr>
                <w:rFonts w:hint="eastAsia" w:ascii="宋体" w:hAnsi="宋体" w:cs="宋体"/>
                <w:color w:val="auto"/>
                <w:kern w:val="0"/>
                <w:szCs w:val="21"/>
                <w:highlight w:val="none"/>
                <w:shd w:val="clear" w:color="auto" w:fill="FFFFFF"/>
              </w:rPr>
              <w:t>等</w:t>
            </w:r>
            <w:r>
              <w:rPr>
                <w:rFonts w:ascii="宋体" w:hAnsi="宋体" w:cs="宋体"/>
                <w:color w:val="auto"/>
                <w:kern w:val="0"/>
                <w:szCs w:val="21"/>
                <w:highlight w:val="none"/>
                <w:shd w:val="clear" w:color="auto" w:fill="FFFFFF"/>
              </w:rPr>
              <w:t>综合分拣存储中心</w:t>
            </w:r>
            <w:r>
              <w:rPr>
                <w:rFonts w:hint="eastAsia" w:ascii="宋体" w:hAnsi="宋体" w:cs="宋体"/>
                <w:color w:val="auto"/>
                <w:kern w:val="0"/>
                <w:szCs w:val="21"/>
                <w:highlight w:val="none"/>
                <w:shd w:val="clear" w:color="auto" w:fill="FFFFFF"/>
              </w:rPr>
              <w:t>，未建立的扣2分；分拣中心建设规格、作业流程、管理不符合分类分拣存储要求，发现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处（次）扣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分。（建立分拣中心所需场地及其他资源由投标人自行解决）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3"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分类设施建设及维护</w:t>
            </w: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18</w:t>
            </w:r>
          </w:p>
        </w:tc>
        <w:tc>
          <w:tcPr>
            <w:tcW w:w="993" w:type="dxa"/>
            <w:noWrap w:val="0"/>
            <w:vAlign w:val="center"/>
          </w:tcPr>
          <w:p>
            <w:pPr>
              <w:jc w:val="center"/>
              <w:rPr>
                <w:rFonts w:ascii="宋体" w:hAnsi="宋体" w:cs="宋体"/>
                <w:color w:val="auto"/>
                <w:kern w:val="0"/>
                <w:szCs w:val="21"/>
                <w:highlight w:val="none"/>
                <w:shd w:val="clear" w:color="auto" w:fill="FFFFFF"/>
              </w:rPr>
            </w:pPr>
          </w:p>
        </w:tc>
        <w:tc>
          <w:tcPr>
            <w:tcW w:w="10486" w:type="dxa"/>
            <w:gridSpan w:val="2"/>
            <w:noWrap w:val="0"/>
            <w:vAlign w:val="center"/>
          </w:tcPr>
          <w:p>
            <w:pPr>
              <w:spacing w:line="240" w:lineRule="exact"/>
              <w:jc w:val="left"/>
              <w:rPr>
                <w:rFonts w:ascii="宋体" w:hAnsi="宋体" w:cs="宋体"/>
                <w:color w:val="auto"/>
                <w:kern w:val="0"/>
                <w:szCs w:val="21"/>
                <w:highlight w:val="none"/>
                <w:shd w:val="clear" w:color="auto" w:fill="FFFFFF"/>
              </w:rPr>
            </w:pPr>
            <w:r>
              <w:rPr>
                <w:rFonts w:hint="eastAsia" w:ascii="宋体" w:hAnsi="宋体" w:cs="仿宋"/>
                <w:color w:val="auto"/>
                <w:szCs w:val="21"/>
                <w:highlight w:val="none"/>
              </w:rPr>
              <w:t>1</w:t>
            </w:r>
            <w:r>
              <w:rPr>
                <w:rFonts w:hint="eastAsia" w:ascii="宋体" w:hAnsi="宋体" w:cs="宋体"/>
                <w:color w:val="auto"/>
                <w:kern w:val="0"/>
                <w:szCs w:val="21"/>
                <w:highlight w:val="none"/>
                <w:shd w:val="clear" w:color="auto" w:fill="FFFFFF"/>
              </w:rPr>
              <w:t xml:space="preserve">、各类垃圾分类投放四分类模式不健全的，未按标准建设和配置的，每处扣1分；智能垃圾分类设备不能正常使用的，每次发现扣1分； </w:t>
            </w:r>
          </w:p>
          <w:p>
            <w:pPr>
              <w:spacing w:line="240" w:lineRule="exact"/>
              <w:jc w:val="left"/>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2、分类亭、投放站点、宣传栏等设施设备和垃圾收集容器（桶）标记标识不正确每处扣1分，脏污或周边环境脏乱的，每处扣2分；垃圾收集容器（桶）摆放不整齐的，每处扣1分；分类亭、投放站点、宣传栏等设施设备和垃圾收集容器（桶）有损坏、破损的，每处扣1分；垃圾收集容器（桶）满溢的，每处扣1分；垃圾收集容器（桶）未盖合的，每处扣1分；</w:t>
            </w:r>
          </w:p>
          <w:p>
            <w:pPr>
              <w:spacing w:line="240" w:lineRule="exact"/>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3、中低价值可回收物投放点未设扣1分，告示牌未设置扣1分，告示牌设置不规范扣0.5分。</w:t>
            </w:r>
          </w:p>
          <w:p>
            <w:pPr>
              <w:spacing w:line="240" w:lineRule="exact"/>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4、省高标小区未建设“大件、园林、装修”垃圾投放点的扣4分，建设不规范的每个扣2分；其他小区未建设的扣1分，不规范建设的扣0.5分。</w:t>
            </w:r>
          </w:p>
          <w:p>
            <w:pPr>
              <w:spacing w:line="240" w:lineRule="exact"/>
              <w:jc w:val="left"/>
              <w:rPr>
                <w:rFonts w:ascii="宋体" w:hAnsi="宋体" w:cs="宋体"/>
                <w:color w:val="auto"/>
                <w:kern w:val="0"/>
                <w:szCs w:val="21"/>
                <w:highlight w:val="none"/>
                <w:shd w:val="clear" w:color="auto" w:fill="FFFFFF"/>
              </w:rPr>
            </w:pPr>
            <w:r>
              <w:rPr>
                <w:rFonts w:hint="eastAsia" w:ascii="宋体" w:hAnsi="宋体" w:cs="宋体"/>
                <w:bCs/>
                <w:color w:val="auto"/>
                <w:kern w:val="0"/>
                <w:szCs w:val="21"/>
                <w:highlight w:val="none"/>
                <w:shd w:val="clear" w:color="auto" w:fill="FFFFFF"/>
              </w:rPr>
              <w:t>5.定时定点投放站点未按标准建设配置的扣5分，污水未纳管 或接入雨水管道的扣18分。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信息化平台管理与维护</w:t>
            </w: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2</w:t>
            </w:r>
          </w:p>
        </w:tc>
        <w:tc>
          <w:tcPr>
            <w:tcW w:w="993" w:type="dxa"/>
            <w:noWrap w:val="0"/>
            <w:vAlign w:val="center"/>
          </w:tcPr>
          <w:p>
            <w:pPr>
              <w:jc w:val="cente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信息化平台管理、维护不及时以及分类信息更新不及时的，扣</w:t>
            </w:r>
            <w:r>
              <w:rPr>
                <w:rFonts w:ascii="宋体" w:hAnsi="宋体" w:cs="宋体"/>
                <w:color w:val="auto"/>
                <w:kern w:val="0"/>
                <w:szCs w:val="21"/>
                <w:highlight w:val="none"/>
                <w:shd w:val="clear" w:color="auto" w:fill="FFFFFF"/>
              </w:rPr>
              <w:t>2</w:t>
            </w:r>
            <w:r>
              <w:rPr>
                <w:rFonts w:hint="eastAsia" w:ascii="宋体" w:hAnsi="宋体" w:cs="宋体"/>
                <w:color w:val="auto"/>
                <w:kern w:val="0"/>
                <w:szCs w:val="21"/>
                <w:highlight w:val="none"/>
                <w:shd w:val="clear" w:color="auto" w:fill="FFFFFF"/>
              </w:rPr>
              <w:t>分；不能及时查询垃圾分类信息的，扣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分；出现用户投诉的，每发现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次扣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分类宣传</w:t>
            </w: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6</w:t>
            </w:r>
          </w:p>
        </w:tc>
        <w:tc>
          <w:tcPr>
            <w:tcW w:w="993" w:type="dxa"/>
            <w:noWrap w:val="0"/>
            <w:vAlign w:val="center"/>
          </w:tcPr>
          <w:p>
            <w:pP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按要求制定和建立年度垃圾分类宣传、培训方案并上报街道分类办，没有方案的扣2分，未按方案组织实施的发现1 次扣1 分；每月组织至少</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次垃圾分类宣传培训活动，需提供活动时间、地点、现场照片信息，未组织专题宣传活动的，此项不得分；未按要求、规定频率组织的，发现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次扣1分。信息未按要求上报的发现一次扣0.5分（具体参照招标需求。）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1"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p>
          <w:p>
            <w:pPr>
              <w:widowControl/>
              <w:jc w:val="center"/>
              <w:textAlignment w:val="center"/>
              <w:rPr>
                <w:rFonts w:ascii="宋体" w:hAnsi="宋体" w:cs="宋体"/>
                <w:color w:val="auto"/>
                <w:kern w:val="0"/>
                <w:szCs w:val="21"/>
                <w:highlight w:val="none"/>
                <w:shd w:val="clear" w:color="auto" w:fill="FFFFFF"/>
              </w:rPr>
            </w:pPr>
          </w:p>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分类投放</w:t>
            </w:r>
          </w:p>
          <w:p>
            <w:pPr>
              <w:widowControl/>
              <w:jc w:val="center"/>
              <w:textAlignment w:val="center"/>
              <w:rPr>
                <w:rFonts w:ascii="宋体" w:hAnsi="宋体" w:cs="宋体"/>
                <w:color w:val="auto"/>
                <w:kern w:val="0"/>
                <w:szCs w:val="21"/>
                <w:highlight w:val="none"/>
                <w:shd w:val="clear" w:color="auto" w:fill="FFFFFF"/>
              </w:rPr>
            </w:pPr>
          </w:p>
          <w:p>
            <w:pPr>
              <w:widowControl/>
              <w:jc w:val="center"/>
              <w:textAlignment w:val="center"/>
              <w:rPr>
                <w:rFonts w:ascii="宋体" w:hAnsi="宋体" w:cs="宋体"/>
                <w:color w:val="auto"/>
                <w:kern w:val="0"/>
                <w:szCs w:val="21"/>
                <w:highlight w:val="none"/>
                <w:shd w:val="clear" w:color="auto" w:fill="FFFFFF"/>
              </w:rPr>
            </w:pPr>
          </w:p>
          <w:p>
            <w:pPr>
              <w:widowControl/>
              <w:jc w:val="center"/>
              <w:textAlignment w:val="center"/>
              <w:rPr>
                <w:rFonts w:ascii="宋体" w:hAnsi="宋体" w:cs="宋体"/>
                <w:color w:val="auto"/>
                <w:kern w:val="0"/>
                <w:szCs w:val="21"/>
                <w:highlight w:val="none"/>
                <w:shd w:val="clear" w:color="auto" w:fill="FFFFFF"/>
              </w:rPr>
            </w:pP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27</w:t>
            </w:r>
          </w:p>
        </w:tc>
        <w:tc>
          <w:tcPr>
            <w:tcW w:w="993" w:type="dxa"/>
            <w:noWrap w:val="0"/>
            <w:vAlign w:val="center"/>
          </w:tcPr>
          <w:p>
            <w:pPr>
              <w:rPr>
                <w:rFonts w:ascii="宋体" w:hAnsi="宋体" w:cs="宋体"/>
                <w:color w:val="auto"/>
                <w:kern w:val="0"/>
                <w:szCs w:val="21"/>
                <w:highlight w:val="none"/>
                <w:shd w:val="clear" w:color="auto" w:fill="FFFFFF"/>
              </w:rPr>
            </w:pPr>
          </w:p>
        </w:tc>
        <w:tc>
          <w:tcPr>
            <w:tcW w:w="10486" w:type="dxa"/>
            <w:gridSpan w:val="2"/>
            <w:noWrap w:val="0"/>
            <w:vAlign w:val="center"/>
          </w:tcPr>
          <w:p>
            <w:pPr>
              <w:spacing w:line="320" w:lineRule="exact"/>
              <w:rPr>
                <w:rFonts w:ascii="宋体" w:hAnsi="宋体" w:cs="宋体"/>
                <w:color w:val="auto"/>
                <w:kern w:val="0"/>
                <w:szCs w:val="21"/>
                <w:highlight w:val="none"/>
                <w:shd w:val="clear" w:color="auto" w:fill="FFFFFF"/>
              </w:rPr>
            </w:pP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劝导员不在工作岗位，每次扣</w:t>
            </w:r>
            <w:r>
              <w:rPr>
                <w:rFonts w:ascii="宋体" w:hAnsi="宋体" w:cs="宋体"/>
                <w:color w:val="auto"/>
                <w:kern w:val="0"/>
                <w:szCs w:val="21"/>
                <w:highlight w:val="none"/>
                <w:shd w:val="clear" w:color="auto" w:fill="FFFFFF"/>
              </w:rPr>
              <w:t>2</w:t>
            </w:r>
            <w:r>
              <w:rPr>
                <w:rFonts w:hint="eastAsia" w:ascii="宋体" w:hAnsi="宋体" w:cs="宋体"/>
                <w:color w:val="auto"/>
                <w:kern w:val="0"/>
                <w:szCs w:val="21"/>
                <w:highlight w:val="none"/>
                <w:shd w:val="clear" w:color="auto" w:fill="FFFFFF"/>
              </w:rPr>
              <w:t>分；</w:t>
            </w:r>
            <w:r>
              <w:rPr>
                <w:rFonts w:ascii="宋体" w:hAnsi="宋体" w:cs="宋体"/>
                <w:color w:val="auto"/>
                <w:kern w:val="0"/>
                <w:szCs w:val="21"/>
                <w:highlight w:val="none"/>
                <w:shd w:val="clear" w:color="auto" w:fill="FFFFFF"/>
              </w:rPr>
              <w:br w:type="textWrapping"/>
            </w:r>
            <w:r>
              <w:rPr>
                <w:rFonts w:ascii="宋体" w:hAnsi="宋体" w:cs="宋体"/>
                <w:color w:val="auto"/>
                <w:kern w:val="0"/>
                <w:szCs w:val="21"/>
                <w:highlight w:val="none"/>
                <w:shd w:val="clear" w:color="auto" w:fill="FFFFFF"/>
              </w:rPr>
              <w:t>2.</w:t>
            </w:r>
            <w:r>
              <w:rPr>
                <w:rFonts w:hint="eastAsia" w:ascii="宋体" w:hAnsi="宋体" w:cs="宋体"/>
                <w:color w:val="auto"/>
                <w:kern w:val="0"/>
                <w:szCs w:val="21"/>
                <w:highlight w:val="none"/>
                <w:shd w:val="clear" w:color="auto" w:fill="FFFFFF"/>
              </w:rPr>
              <w:t>分类指导员履行职责不到位，每次扣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分；（具体参照招标需求）</w:t>
            </w:r>
            <w:r>
              <w:rPr>
                <w:rFonts w:ascii="宋体" w:hAnsi="宋体" w:cs="宋体"/>
                <w:color w:val="auto"/>
                <w:kern w:val="0"/>
                <w:szCs w:val="21"/>
                <w:highlight w:val="none"/>
                <w:shd w:val="clear" w:color="auto" w:fill="FFFFFF"/>
              </w:rPr>
              <w:br w:type="textWrapping"/>
            </w:r>
            <w:r>
              <w:rPr>
                <w:rFonts w:ascii="宋体" w:hAnsi="宋体" w:cs="宋体"/>
                <w:color w:val="auto"/>
                <w:kern w:val="0"/>
                <w:szCs w:val="21"/>
                <w:highlight w:val="none"/>
                <w:shd w:val="clear" w:color="auto" w:fill="FFFFFF"/>
              </w:rPr>
              <w:t>3.</w:t>
            </w:r>
            <w:r>
              <w:rPr>
                <w:rFonts w:hint="eastAsia" w:ascii="宋体" w:hAnsi="宋体" w:cs="宋体"/>
                <w:color w:val="auto"/>
                <w:kern w:val="0"/>
                <w:szCs w:val="21"/>
                <w:highlight w:val="none"/>
                <w:shd w:val="clear" w:color="auto" w:fill="FFFFFF"/>
              </w:rPr>
              <w:t>分类投放点管理混乱，每发现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处扣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分，引发投诉的，加倍扣分；</w:t>
            </w:r>
            <w:r>
              <w:rPr>
                <w:rFonts w:ascii="宋体" w:hAnsi="宋体" w:cs="宋体"/>
                <w:color w:val="auto"/>
                <w:kern w:val="0"/>
                <w:szCs w:val="21"/>
                <w:highlight w:val="none"/>
                <w:shd w:val="clear" w:color="auto" w:fill="FFFFFF"/>
              </w:rPr>
              <w:br w:type="textWrapping"/>
            </w:r>
            <w:r>
              <w:rPr>
                <w:rFonts w:ascii="宋体" w:hAnsi="宋体" w:cs="宋体"/>
                <w:color w:val="auto"/>
                <w:kern w:val="0"/>
                <w:szCs w:val="21"/>
                <w:highlight w:val="none"/>
                <w:shd w:val="clear" w:color="auto" w:fill="FFFFFF"/>
              </w:rPr>
              <w:t>4.</w:t>
            </w:r>
            <w:r>
              <w:rPr>
                <w:rFonts w:hint="eastAsia" w:ascii="宋体" w:hAnsi="宋体" w:cs="宋体"/>
                <w:color w:val="auto"/>
                <w:kern w:val="0"/>
                <w:szCs w:val="21"/>
                <w:highlight w:val="none"/>
                <w:shd w:val="clear" w:color="auto" w:fill="FFFFFF"/>
              </w:rPr>
              <w:t>居民未按规定分类投放，每发现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处扣</w:t>
            </w:r>
            <w:r>
              <w:rPr>
                <w:rFonts w:ascii="宋体" w:hAnsi="宋体" w:cs="宋体"/>
                <w:color w:val="auto"/>
                <w:kern w:val="0"/>
                <w:szCs w:val="21"/>
                <w:highlight w:val="none"/>
                <w:shd w:val="clear" w:color="auto" w:fill="FFFFFF"/>
              </w:rPr>
              <w:t>0.5</w:t>
            </w:r>
            <w:r>
              <w:rPr>
                <w:rFonts w:hint="eastAsia" w:ascii="宋体" w:hAnsi="宋体" w:cs="宋体"/>
                <w:color w:val="auto"/>
                <w:kern w:val="0"/>
                <w:szCs w:val="21"/>
                <w:highlight w:val="none"/>
                <w:shd w:val="clear" w:color="auto" w:fill="FFFFFF"/>
              </w:rPr>
              <w:t>分，其中有毒有害垃圾未按规定投放，每发现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处扣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w:t>
            </w:r>
          </w:p>
          <w:p>
            <w:pPr>
              <w:spacing w:line="240" w:lineRule="exact"/>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5. 落实各场景分类宣传督导，督导员履行职责不到位，每次扣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分。发现有未开展垃圾分类的场景，扣10分；发现垃圾分类不准确、混装、错投、垃圾落地的</w:t>
            </w:r>
            <w:r>
              <w:rPr>
                <w:rFonts w:ascii="宋体" w:hAnsi="宋体" w:cs="宋体"/>
                <w:color w:val="auto"/>
                <w:kern w:val="0"/>
                <w:szCs w:val="21"/>
                <w:highlight w:val="none"/>
                <w:shd w:val="clear" w:color="auto" w:fill="FFFFFF"/>
              </w:rPr>
              <w:t>，每次扣2分</w:t>
            </w:r>
            <w:r>
              <w:rPr>
                <w:rFonts w:hint="eastAsia" w:ascii="宋体" w:hAnsi="宋体" w:cs="宋体"/>
                <w:color w:val="auto"/>
                <w:kern w:val="0"/>
                <w:szCs w:val="21"/>
                <w:highlight w:val="none"/>
                <w:shd w:val="clear" w:color="auto" w:fill="FFFFFF"/>
              </w:rPr>
              <w:t>，小区上限10分，其他场景上限8分</w:t>
            </w:r>
            <w:r>
              <w:rPr>
                <w:rFonts w:ascii="宋体" w:hAnsi="宋体" w:cs="宋体"/>
                <w:color w:val="auto"/>
                <w:kern w:val="0"/>
                <w:szCs w:val="21"/>
                <w:highlight w:val="none"/>
                <w:shd w:val="clear" w:color="auto" w:fill="FFFFFF"/>
              </w:rPr>
              <w:t>；</w:t>
            </w:r>
          </w:p>
          <w:p>
            <w:pPr>
              <w:spacing w:line="240" w:lineRule="exact"/>
              <w:jc w:val="left"/>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6、分类绩效评比公示不及时、不公正的每发现一次扣2分。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vMerge w:val="restart"/>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分类收集</w:t>
            </w: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3</w:t>
            </w:r>
          </w:p>
        </w:tc>
        <w:tc>
          <w:tcPr>
            <w:tcW w:w="993" w:type="dxa"/>
            <w:noWrap w:val="0"/>
            <w:vAlign w:val="center"/>
          </w:tcPr>
          <w:p>
            <w:pP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在分类区域设置低价值可回收物和有毒有害垃圾固定收集点，未组织定点收集活动的，此项不得分；未按规定频率组织的，发现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次扣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vMerge w:val="continue"/>
            <w:noWrap w:val="0"/>
            <w:vAlign w:val="center"/>
          </w:tcPr>
          <w:p>
            <w:pPr>
              <w:jc w:val="center"/>
              <w:rPr>
                <w:rFonts w:ascii="宋体" w:hAnsi="宋体" w:cs="宋体"/>
                <w:color w:val="auto"/>
                <w:kern w:val="0"/>
                <w:szCs w:val="21"/>
                <w:highlight w:val="none"/>
                <w:shd w:val="clear" w:color="auto" w:fill="FFFFFF"/>
              </w:rPr>
            </w:pP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2</w:t>
            </w:r>
          </w:p>
        </w:tc>
        <w:tc>
          <w:tcPr>
            <w:tcW w:w="993" w:type="dxa"/>
            <w:noWrap w:val="0"/>
            <w:vAlign w:val="center"/>
          </w:tcPr>
          <w:p>
            <w:pP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对大件垃圾或高值可回收物提供上门回收服务，预约上门可通过固定电话、微信、短信等方式。未组织上门服务的，此项不得分；接到用户投诉的，每投诉</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次扣</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分类运输及处置</w:t>
            </w: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0</w:t>
            </w:r>
          </w:p>
        </w:tc>
        <w:tc>
          <w:tcPr>
            <w:tcW w:w="993" w:type="dxa"/>
            <w:noWrap w:val="0"/>
            <w:vAlign w:val="center"/>
          </w:tcPr>
          <w:p>
            <w:pPr>
              <w:rPr>
                <w:rFonts w:ascii="宋体" w:hAnsi="宋体" w:cs="宋体"/>
                <w:color w:val="auto"/>
                <w:kern w:val="0"/>
                <w:szCs w:val="21"/>
                <w:highlight w:val="none"/>
                <w:shd w:val="clear" w:color="auto" w:fill="FFFFFF"/>
              </w:rPr>
            </w:pPr>
          </w:p>
        </w:tc>
        <w:tc>
          <w:tcPr>
            <w:tcW w:w="10486" w:type="dxa"/>
            <w:gridSpan w:val="2"/>
            <w:noWrap w:val="0"/>
            <w:vAlign w:val="center"/>
          </w:tcPr>
          <w:p>
            <w:pPr>
              <w:spacing w:line="300" w:lineRule="auto"/>
              <w:jc w:val="left"/>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1、收运</w:t>
            </w:r>
            <w:r>
              <w:rPr>
                <w:rFonts w:ascii="宋体" w:hAnsi="宋体" w:cs="宋体"/>
                <w:color w:val="auto"/>
                <w:kern w:val="0"/>
                <w:szCs w:val="21"/>
                <w:highlight w:val="none"/>
                <w:shd w:val="clear" w:color="auto" w:fill="FFFFFF"/>
              </w:rPr>
              <w:t>车辆、人员进行备案管理。</w:t>
            </w:r>
            <w:r>
              <w:rPr>
                <w:rFonts w:hint="eastAsia" w:ascii="宋体" w:hAnsi="宋体" w:cs="宋体"/>
                <w:color w:val="auto"/>
                <w:kern w:val="0"/>
                <w:szCs w:val="21"/>
                <w:highlight w:val="none"/>
                <w:shd w:val="clear" w:color="auto" w:fill="FFFFFF"/>
              </w:rPr>
              <w:t>未</w:t>
            </w:r>
            <w:r>
              <w:rPr>
                <w:rFonts w:ascii="宋体" w:hAnsi="宋体" w:cs="宋体"/>
                <w:color w:val="auto"/>
                <w:kern w:val="0"/>
                <w:szCs w:val="21"/>
                <w:highlight w:val="none"/>
                <w:shd w:val="clear" w:color="auto" w:fill="FFFFFF"/>
              </w:rPr>
              <w:t>备案管理的，每次扣</w:t>
            </w:r>
            <w:r>
              <w:rPr>
                <w:rFonts w:hint="eastAsia" w:ascii="宋体" w:hAnsi="宋体" w:cs="宋体"/>
                <w:color w:val="auto"/>
                <w:kern w:val="0"/>
                <w:szCs w:val="21"/>
                <w:highlight w:val="none"/>
                <w:shd w:val="clear" w:color="auto" w:fill="FFFFFF"/>
              </w:rPr>
              <w:t>1分</w:t>
            </w:r>
            <w:r>
              <w:rPr>
                <w:rFonts w:ascii="宋体" w:hAnsi="宋体" w:cs="宋体"/>
                <w:color w:val="auto"/>
                <w:kern w:val="0"/>
                <w:szCs w:val="21"/>
                <w:highlight w:val="none"/>
                <w:shd w:val="clear" w:color="auto" w:fill="FFFFFF"/>
              </w:rPr>
              <w:t>；</w:t>
            </w:r>
          </w:p>
          <w:p>
            <w:pPr>
              <w:spacing w:line="300" w:lineRule="auto"/>
              <w:jc w:val="left"/>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2、建立</w:t>
            </w:r>
            <w:r>
              <w:rPr>
                <w:rFonts w:ascii="宋体" w:hAnsi="宋体" w:cs="宋体"/>
                <w:color w:val="auto"/>
                <w:kern w:val="0"/>
                <w:szCs w:val="21"/>
                <w:highlight w:val="none"/>
                <w:shd w:val="clear" w:color="auto" w:fill="FFFFFF"/>
              </w:rPr>
              <w:t>生活垃圾</w:t>
            </w:r>
            <w:r>
              <w:rPr>
                <w:rFonts w:hint="eastAsia" w:ascii="宋体" w:hAnsi="宋体" w:cs="宋体"/>
                <w:color w:val="auto"/>
                <w:kern w:val="0"/>
                <w:szCs w:val="21"/>
                <w:highlight w:val="none"/>
                <w:shd w:val="clear" w:color="auto" w:fill="FFFFFF"/>
              </w:rPr>
              <w:t>分类</w:t>
            </w:r>
            <w:r>
              <w:rPr>
                <w:rFonts w:ascii="宋体" w:hAnsi="宋体" w:cs="宋体"/>
                <w:color w:val="auto"/>
                <w:kern w:val="0"/>
                <w:szCs w:val="21"/>
                <w:highlight w:val="none"/>
                <w:shd w:val="clear" w:color="auto" w:fill="FFFFFF"/>
              </w:rPr>
              <w:t>管理台账，有各类生活垃圾</w:t>
            </w:r>
            <w:r>
              <w:rPr>
                <w:rFonts w:hint="eastAsia" w:ascii="宋体" w:hAnsi="宋体" w:cs="宋体"/>
                <w:color w:val="auto"/>
                <w:kern w:val="0"/>
                <w:szCs w:val="21"/>
                <w:highlight w:val="none"/>
                <w:shd w:val="clear" w:color="auto" w:fill="FFFFFF"/>
              </w:rPr>
              <w:t>来源</w:t>
            </w:r>
            <w:r>
              <w:rPr>
                <w:rFonts w:ascii="宋体" w:hAnsi="宋体" w:cs="宋体"/>
                <w:color w:val="auto"/>
                <w:kern w:val="0"/>
                <w:szCs w:val="21"/>
                <w:highlight w:val="none"/>
                <w:shd w:val="clear" w:color="auto" w:fill="FFFFFF"/>
              </w:rPr>
              <w:t>、去向记录，有数据统计</w:t>
            </w:r>
            <w:r>
              <w:rPr>
                <w:rFonts w:hint="eastAsia" w:ascii="宋体" w:hAnsi="宋体" w:cs="宋体"/>
                <w:color w:val="auto"/>
                <w:kern w:val="0"/>
                <w:szCs w:val="21"/>
                <w:highlight w:val="none"/>
                <w:shd w:val="clear" w:color="auto" w:fill="FFFFFF"/>
              </w:rPr>
              <w:t>、</w:t>
            </w:r>
            <w:r>
              <w:rPr>
                <w:rFonts w:ascii="宋体" w:hAnsi="宋体" w:cs="宋体"/>
                <w:color w:val="auto"/>
                <w:kern w:val="0"/>
                <w:szCs w:val="21"/>
                <w:highlight w:val="none"/>
                <w:shd w:val="clear" w:color="auto" w:fill="FFFFFF"/>
              </w:rPr>
              <w:t>分析。</w:t>
            </w:r>
            <w:r>
              <w:rPr>
                <w:rFonts w:hint="eastAsia" w:ascii="宋体" w:hAnsi="宋体" w:cs="宋体"/>
                <w:color w:val="auto"/>
                <w:kern w:val="0"/>
                <w:szCs w:val="21"/>
                <w:highlight w:val="none"/>
                <w:shd w:val="clear" w:color="auto" w:fill="FFFFFF"/>
              </w:rPr>
              <w:t>无</w:t>
            </w:r>
            <w:r>
              <w:rPr>
                <w:rFonts w:ascii="宋体" w:hAnsi="宋体" w:cs="宋体"/>
                <w:color w:val="auto"/>
                <w:kern w:val="0"/>
                <w:szCs w:val="21"/>
                <w:highlight w:val="none"/>
                <w:shd w:val="clear" w:color="auto" w:fill="FFFFFF"/>
              </w:rPr>
              <w:t>管理台账、去向记录的，扣</w:t>
            </w:r>
            <w:r>
              <w:rPr>
                <w:rFonts w:hint="eastAsia" w:ascii="宋体" w:hAnsi="宋体" w:cs="宋体"/>
                <w:color w:val="auto"/>
                <w:kern w:val="0"/>
                <w:szCs w:val="21"/>
                <w:highlight w:val="none"/>
                <w:shd w:val="clear" w:color="auto" w:fill="FFFFFF"/>
              </w:rPr>
              <w:t>4分</w:t>
            </w:r>
            <w:r>
              <w:rPr>
                <w:rFonts w:ascii="宋体" w:hAnsi="宋体" w:cs="宋体"/>
                <w:color w:val="auto"/>
                <w:kern w:val="0"/>
                <w:szCs w:val="21"/>
                <w:highlight w:val="none"/>
                <w:shd w:val="clear" w:color="auto" w:fill="FFFFFF"/>
              </w:rPr>
              <w:t>；管理台账</w:t>
            </w:r>
            <w:r>
              <w:rPr>
                <w:rFonts w:hint="eastAsia" w:ascii="宋体" w:hAnsi="宋体" w:cs="宋体"/>
                <w:color w:val="auto"/>
                <w:kern w:val="0"/>
                <w:szCs w:val="21"/>
                <w:highlight w:val="none"/>
                <w:shd w:val="clear" w:color="auto" w:fill="FFFFFF"/>
              </w:rPr>
              <w:t>缺失</w:t>
            </w:r>
            <w:r>
              <w:rPr>
                <w:rFonts w:ascii="宋体" w:hAnsi="宋体" w:cs="宋体"/>
                <w:color w:val="auto"/>
                <w:kern w:val="0"/>
                <w:szCs w:val="21"/>
                <w:highlight w:val="none"/>
                <w:shd w:val="clear" w:color="auto" w:fill="FFFFFF"/>
              </w:rPr>
              <w:t>、去向记录等数据统计不全的，扣</w:t>
            </w:r>
            <w:r>
              <w:rPr>
                <w:rFonts w:hint="eastAsia" w:ascii="宋体" w:hAnsi="宋体" w:cs="宋体"/>
                <w:color w:val="auto"/>
                <w:kern w:val="0"/>
                <w:szCs w:val="21"/>
                <w:highlight w:val="none"/>
                <w:shd w:val="clear" w:color="auto" w:fill="FFFFFF"/>
              </w:rPr>
              <w:t>2分</w:t>
            </w:r>
            <w:r>
              <w:rPr>
                <w:rFonts w:ascii="宋体" w:hAnsi="宋体" w:cs="宋体"/>
                <w:color w:val="auto"/>
                <w:kern w:val="0"/>
                <w:szCs w:val="21"/>
                <w:highlight w:val="none"/>
                <w:shd w:val="clear" w:color="auto" w:fill="FFFFFF"/>
              </w:rPr>
              <w:t>；</w:t>
            </w:r>
          </w:p>
          <w:p>
            <w:pP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3、建立可回收物、有害垃圾统一登记、统一车辆、统一标识、统一着装的分类收运体系。收运车辆收运车辆配置数量、规格、外观等不符合分类运输要求，发现一次扣</w:t>
            </w:r>
            <w:r>
              <w:rPr>
                <w:rFonts w:ascii="宋体" w:hAnsi="宋体" w:cs="宋体"/>
                <w:color w:val="auto"/>
                <w:kern w:val="0"/>
                <w:szCs w:val="21"/>
                <w:highlight w:val="none"/>
                <w:shd w:val="clear" w:color="auto" w:fill="FFFFFF"/>
              </w:rPr>
              <w:t>2</w:t>
            </w:r>
            <w:r>
              <w:rPr>
                <w:rFonts w:hint="eastAsia" w:ascii="宋体" w:hAnsi="宋体" w:cs="宋体"/>
                <w:color w:val="auto"/>
                <w:kern w:val="0"/>
                <w:szCs w:val="21"/>
                <w:highlight w:val="none"/>
                <w:shd w:val="clear" w:color="auto" w:fill="FFFFFF"/>
              </w:rPr>
              <w:t>分，标识错误的 ，每发现一次扣2分；</w:t>
            </w:r>
          </w:p>
          <w:p>
            <w:pPr>
              <w:spacing w:line="300" w:lineRule="auto"/>
              <w:jc w:val="left"/>
              <w:rPr>
                <w:rFonts w:ascii="仿宋_GB2312" w:hAnsi="仿宋" w:eastAsia="仿宋_GB2312" w:cs="仿宋"/>
                <w:color w:val="auto"/>
                <w:szCs w:val="21"/>
                <w:highlight w:val="none"/>
              </w:rPr>
            </w:pPr>
            <w:r>
              <w:rPr>
                <w:rFonts w:hint="eastAsia" w:ascii="宋体" w:hAnsi="宋体" w:cs="宋体"/>
                <w:color w:val="auto"/>
                <w:kern w:val="0"/>
                <w:szCs w:val="21"/>
                <w:highlight w:val="none"/>
                <w:shd w:val="clear" w:color="auto" w:fill="FFFFFF"/>
              </w:rPr>
              <w:t>4、有毒有害垃圾的运输及处置：因为未及时清运被投诉并核实，出现一次扣</w:t>
            </w:r>
            <w:r>
              <w:rPr>
                <w:rFonts w:ascii="宋体" w:hAnsi="宋体" w:cs="宋体"/>
                <w:color w:val="auto"/>
                <w:kern w:val="0"/>
                <w:szCs w:val="21"/>
                <w:highlight w:val="none"/>
                <w:shd w:val="clear" w:color="auto" w:fill="FFFFFF"/>
              </w:rPr>
              <w:t>2</w:t>
            </w:r>
            <w:r>
              <w:rPr>
                <w:rFonts w:hint="eastAsia" w:ascii="宋体" w:hAnsi="宋体" w:cs="宋体"/>
                <w:color w:val="auto"/>
                <w:kern w:val="0"/>
                <w:szCs w:val="21"/>
                <w:highlight w:val="none"/>
                <w:shd w:val="clear" w:color="auto" w:fill="FFFFFF"/>
              </w:rPr>
              <w:t>分；未按相关规定处置有毒有害垃圾的，发现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次扣</w:t>
            </w:r>
            <w:r>
              <w:rPr>
                <w:rFonts w:ascii="宋体" w:hAnsi="宋体" w:cs="宋体"/>
                <w:color w:val="auto"/>
                <w:kern w:val="0"/>
                <w:szCs w:val="21"/>
                <w:highlight w:val="none"/>
                <w:shd w:val="clear" w:color="auto" w:fill="FFFFFF"/>
              </w:rPr>
              <w:t>10</w:t>
            </w:r>
            <w:r>
              <w:rPr>
                <w:rFonts w:hint="eastAsia" w:ascii="宋体" w:hAnsi="宋体" w:cs="宋体"/>
                <w:color w:val="auto"/>
                <w:kern w:val="0"/>
                <w:szCs w:val="21"/>
                <w:highlight w:val="none"/>
                <w:shd w:val="clear" w:color="auto" w:fill="FFFFFF"/>
              </w:rPr>
              <w:t>分；收集、转运、处置必须建立台账联单不齐全、不清晰的，发现一次扣</w:t>
            </w:r>
            <w:r>
              <w:rPr>
                <w:rFonts w:ascii="宋体" w:hAnsi="宋体" w:cs="宋体"/>
                <w:color w:val="auto"/>
                <w:kern w:val="0"/>
                <w:szCs w:val="21"/>
                <w:highlight w:val="none"/>
                <w:shd w:val="clear" w:color="auto" w:fill="FFFFFF"/>
              </w:rPr>
              <w:t>2</w:t>
            </w:r>
            <w:r>
              <w:rPr>
                <w:rFonts w:hint="eastAsia" w:ascii="宋体" w:hAnsi="宋体" w:cs="宋体"/>
                <w:color w:val="auto"/>
                <w:kern w:val="0"/>
                <w:szCs w:val="21"/>
                <w:highlight w:val="none"/>
                <w:shd w:val="clear" w:color="auto" w:fill="FFFFFF"/>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vMerge w:val="restart"/>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积分兑换</w:t>
            </w: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5</w:t>
            </w:r>
          </w:p>
        </w:tc>
        <w:tc>
          <w:tcPr>
            <w:tcW w:w="993" w:type="dxa"/>
            <w:noWrap w:val="0"/>
            <w:vAlign w:val="center"/>
          </w:tcPr>
          <w:p>
            <w:pPr>
              <w:rPr>
                <w:rFonts w:ascii="宋体" w:hAnsi="宋体" w:cs="宋体"/>
                <w:color w:val="auto"/>
                <w:kern w:val="0"/>
                <w:szCs w:val="21"/>
                <w:highlight w:val="none"/>
                <w:shd w:val="clear" w:color="auto" w:fill="FFFFFF"/>
              </w:rPr>
            </w:pPr>
          </w:p>
        </w:tc>
        <w:tc>
          <w:tcPr>
            <w:tcW w:w="10486" w:type="dxa"/>
            <w:gridSpan w:val="2"/>
            <w:noWrap w:val="0"/>
            <w:vAlign w:val="center"/>
          </w:tcPr>
          <w:p>
            <w:pPr>
              <w:widowControl/>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落实居民正确投放易腐（厨余）、其他两类垃圾给积分，有落实不到位的每发现一次扣1分，定期开展兑换活动，未按规定频率组织开展的，发现</w:t>
            </w: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次扣</w:t>
            </w:r>
            <w:r>
              <w:rPr>
                <w:rFonts w:ascii="宋体" w:hAnsi="宋体" w:cs="宋体"/>
                <w:color w:val="auto"/>
                <w:kern w:val="0"/>
                <w:szCs w:val="21"/>
                <w:highlight w:val="none"/>
                <w:shd w:val="clear" w:color="auto" w:fill="FFFFFF"/>
              </w:rPr>
              <w:t>2</w:t>
            </w:r>
            <w:r>
              <w:rPr>
                <w:rFonts w:hint="eastAsia" w:ascii="宋体" w:hAnsi="宋体" w:cs="宋体"/>
                <w:color w:val="auto"/>
                <w:kern w:val="0"/>
                <w:szCs w:val="21"/>
                <w:highlight w:val="none"/>
                <w:shd w:val="clear" w:color="auto" w:fill="FFFFFF"/>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vMerge w:val="continue"/>
            <w:noWrap w:val="0"/>
            <w:vAlign w:val="center"/>
          </w:tcPr>
          <w:p>
            <w:pPr>
              <w:jc w:val="center"/>
              <w:rPr>
                <w:rFonts w:ascii="宋体" w:hAnsi="宋体" w:cs="宋体"/>
                <w:color w:val="auto"/>
                <w:kern w:val="0"/>
                <w:szCs w:val="21"/>
                <w:highlight w:val="none"/>
                <w:shd w:val="clear" w:color="auto" w:fill="FFFFFF"/>
              </w:rPr>
            </w:pPr>
          </w:p>
        </w:tc>
        <w:tc>
          <w:tcPr>
            <w:tcW w:w="1083" w:type="dxa"/>
            <w:gridSpan w:val="2"/>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5</w:t>
            </w:r>
          </w:p>
        </w:tc>
        <w:tc>
          <w:tcPr>
            <w:tcW w:w="993" w:type="dxa"/>
            <w:noWrap w:val="0"/>
            <w:vAlign w:val="center"/>
          </w:tcPr>
          <w:p>
            <w:pP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ascii="宋体" w:hAnsi="宋体" w:cs="宋体"/>
                <w:color w:val="auto"/>
                <w:kern w:val="0"/>
                <w:szCs w:val="21"/>
                <w:highlight w:val="none"/>
                <w:shd w:val="clear" w:color="auto" w:fill="FFFFFF"/>
              </w:rPr>
              <w:t>1.</w:t>
            </w:r>
            <w:r>
              <w:rPr>
                <w:rFonts w:hint="eastAsia" w:ascii="宋体" w:hAnsi="宋体" w:cs="宋体"/>
                <w:color w:val="auto"/>
                <w:kern w:val="0"/>
                <w:szCs w:val="21"/>
                <w:highlight w:val="none"/>
                <w:shd w:val="clear" w:color="auto" w:fill="FFFFFF"/>
              </w:rPr>
              <w:t>未建立建立科学合理的积分兑换奖励体系的，此项不得分；</w:t>
            </w:r>
            <w:r>
              <w:rPr>
                <w:rFonts w:ascii="宋体" w:hAnsi="宋体" w:cs="宋体"/>
                <w:color w:val="auto"/>
                <w:kern w:val="0"/>
                <w:szCs w:val="21"/>
                <w:highlight w:val="none"/>
                <w:shd w:val="clear" w:color="auto" w:fill="FFFFFF"/>
              </w:rPr>
              <w:br w:type="textWrapping"/>
            </w:r>
            <w:r>
              <w:rPr>
                <w:rFonts w:ascii="宋体" w:hAnsi="宋体" w:cs="宋体"/>
                <w:color w:val="auto"/>
                <w:kern w:val="0"/>
                <w:szCs w:val="21"/>
                <w:highlight w:val="none"/>
                <w:shd w:val="clear" w:color="auto" w:fill="FFFFFF"/>
              </w:rPr>
              <w:t>2.</w:t>
            </w:r>
            <w:r>
              <w:rPr>
                <w:rFonts w:hint="eastAsia" w:ascii="宋体" w:hAnsi="宋体" w:cs="宋体"/>
                <w:color w:val="auto"/>
                <w:kern w:val="0"/>
                <w:szCs w:val="21"/>
                <w:highlight w:val="none"/>
                <w:shd w:val="clear" w:color="auto" w:fill="FFFFFF"/>
              </w:rPr>
              <w:t>未提供居民获得分类积分的明细记录的，扣</w:t>
            </w:r>
            <w:r>
              <w:rPr>
                <w:rFonts w:ascii="宋体" w:hAnsi="宋体" w:cs="宋体"/>
                <w:color w:val="auto"/>
                <w:kern w:val="0"/>
                <w:szCs w:val="21"/>
                <w:highlight w:val="none"/>
                <w:shd w:val="clear" w:color="auto" w:fill="FFFFFF"/>
              </w:rPr>
              <w:t>0.5—2</w:t>
            </w:r>
            <w:r>
              <w:rPr>
                <w:rFonts w:hint="eastAsia" w:ascii="宋体" w:hAnsi="宋体" w:cs="宋体"/>
                <w:color w:val="auto"/>
                <w:kern w:val="0"/>
                <w:szCs w:val="21"/>
                <w:highlight w:val="none"/>
                <w:shd w:val="clear" w:color="auto" w:fill="FFFFFF"/>
              </w:rPr>
              <w:t>分；</w:t>
            </w:r>
          </w:p>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3.发现居民帐户积分一个月无变动的，每发现1 次扣1分</w:t>
            </w:r>
            <w:r>
              <w:rPr>
                <w:rFonts w:ascii="宋体" w:hAnsi="宋体" w:cs="宋体"/>
                <w:color w:val="auto"/>
                <w:kern w:val="0"/>
                <w:szCs w:val="21"/>
                <w:highlight w:val="none"/>
                <w:shd w:val="clear" w:color="auto" w:fill="FFFFFF"/>
              </w:rPr>
              <w:br w:type="textWrapping"/>
            </w:r>
            <w:r>
              <w:rPr>
                <w:rFonts w:ascii="宋体" w:hAnsi="宋体" w:cs="宋体"/>
                <w:color w:val="auto"/>
                <w:kern w:val="0"/>
                <w:szCs w:val="21"/>
                <w:highlight w:val="none"/>
                <w:shd w:val="clear" w:color="auto" w:fill="FFFFFF"/>
              </w:rPr>
              <w:t>4.</w:t>
            </w:r>
            <w:r>
              <w:rPr>
                <w:rFonts w:hint="eastAsia" w:ascii="宋体" w:hAnsi="宋体" w:cs="宋体"/>
                <w:color w:val="auto"/>
                <w:kern w:val="0"/>
                <w:szCs w:val="21"/>
                <w:highlight w:val="none"/>
                <w:shd w:val="clear" w:color="auto" w:fill="FFFFFF"/>
              </w:rPr>
              <w:t>积分兑换的物品或服务品质较差，用户投诉的，每次扣1分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生活垃圾分类知识知晓率</w:t>
            </w:r>
          </w:p>
        </w:tc>
        <w:tc>
          <w:tcPr>
            <w:tcW w:w="1083" w:type="dxa"/>
            <w:gridSpan w:val="2"/>
            <w:noWrap w:val="0"/>
            <w:vAlign w:val="center"/>
          </w:tcPr>
          <w:p>
            <w:pPr>
              <w:jc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3</w:t>
            </w:r>
          </w:p>
        </w:tc>
        <w:tc>
          <w:tcPr>
            <w:tcW w:w="993" w:type="dxa"/>
            <w:noWrap w:val="0"/>
            <w:vAlign w:val="center"/>
          </w:tcPr>
          <w:p>
            <w:pPr>
              <w:jc w:val="cente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生活垃圾分类知识知晓率：合同签订之日起3个月内不得低于95%，之后要求达到100%(以随机抽查结果为准，）每少于2%的扣1分，扣完为止.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生活垃圾分类参与率</w:t>
            </w:r>
          </w:p>
        </w:tc>
        <w:tc>
          <w:tcPr>
            <w:tcW w:w="1083" w:type="dxa"/>
            <w:gridSpan w:val="2"/>
            <w:noWrap w:val="0"/>
            <w:vAlign w:val="center"/>
          </w:tcPr>
          <w:p>
            <w:pPr>
              <w:jc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3</w:t>
            </w:r>
          </w:p>
        </w:tc>
        <w:tc>
          <w:tcPr>
            <w:tcW w:w="993" w:type="dxa"/>
            <w:noWrap w:val="0"/>
            <w:vAlign w:val="center"/>
          </w:tcPr>
          <w:p>
            <w:pPr>
              <w:jc w:val="cente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生活垃圾分类参与率：合同签订之日起3个月内不得低于90%，之后要求达到95%以上（参与率</w:t>
            </w:r>
            <w:r>
              <w:rPr>
                <w:rFonts w:ascii="宋体" w:hAnsi="宋体" w:cs="宋体"/>
                <w:color w:val="auto"/>
                <w:kern w:val="0"/>
                <w:szCs w:val="21"/>
                <w:highlight w:val="none"/>
                <w:shd w:val="clear" w:color="auto" w:fill="FFFFFF"/>
              </w:rPr>
              <w:t>=</w:t>
            </w:r>
            <w:r>
              <w:rPr>
                <w:rFonts w:hint="eastAsia" w:ascii="宋体" w:hAnsi="宋体" w:cs="宋体"/>
                <w:color w:val="auto"/>
                <w:kern w:val="0"/>
                <w:szCs w:val="21"/>
                <w:highlight w:val="none"/>
                <w:shd w:val="clear" w:color="auto" w:fill="FFFFFF"/>
              </w:rPr>
              <w:t>二维码垃圾袋或标签使用户数÷统计实际居住户数，以信息化管理平台数据为准）注：小区内垃圾投放点总数不足10个扣分按比例折算至10个计算。已实行定时定点的小区查看后台数据结合现场投放）每少于2%的扣1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1739" w:type="dxa"/>
            <w:noWrap w:val="0"/>
            <w:vAlign w:val="center"/>
          </w:tcPr>
          <w:p>
            <w:pPr>
              <w:widowControl/>
              <w:jc w:val="center"/>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生活垃圾分类投放准确率</w:t>
            </w:r>
          </w:p>
        </w:tc>
        <w:tc>
          <w:tcPr>
            <w:tcW w:w="1083" w:type="dxa"/>
            <w:gridSpan w:val="2"/>
            <w:noWrap w:val="0"/>
            <w:vAlign w:val="center"/>
          </w:tcPr>
          <w:p>
            <w:pPr>
              <w:jc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5</w:t>
            </w:r>
          </w:p>
        </w:tc>
        <w:tc>
          <w:tcPr>
            <w:tcW w:w="993" w:type="dxa"/>
            <w:noWrap w:val="0"/>
            <w:vAlign w:val="center"/>
          </w:tcPr>
          <w:p>
            <w:pPr>
              <w:jc w:val="cente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生活垃圾分类投放准确率：非定时定点小区自合同签订之日起3个月内不得低于85%，之后要求达到90%以上；定时定点小区自合同签订之日起3个月内不得低于90%，之后要求达到95以上%（以随机抽查结果为准）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1" w:hRule="atLeast"/>
        </w:trPr>
        <w:tc>
          <w:tcPr>
            <w:tcW w:w="1739" w:type="dxa"/>
            <w:noWrap w:val="0"/>
            <w:vAlign w:val="center"/>
          </w:tcPr>
          <w:p>
            <w:pPr>
              <w:widowControl/>
              <w:jc w:val="center"/>
              <w:textAlignment w:val="center"/>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居民垃圾分类满意率</w:t>
            </w:r>
          </w:p>
        </w:tc>
        <w:tc>
          <w:tcPr>
            <w:tcW w:w="1083" w:type="dxa"/>
            <w:gridSpan w:val="2"/>
            <w:noWrap w:val="0"/>
            <w:vAlign w:val="center"/>
          </w:tcPr>
          <w:p>
            <w:pPr>
              <w:jc w:val="center"/>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3</w:t>
            </w:r>
          </w:p>
        </w:tc>
        <w:tc>
          <w:tcPr>
            <w:tcW w:w="993" w:type="dxa"/>
            <w:noWrap w:val="0"/>
            <w:vAlign w:val="center"/>
          </w:tcPr>
          <w:p>
            <w:pPr>
              <w:jc w:val="center"/>
              <w:rPr>
                <w:rFonts w:ascii="宋体" w:hAnsi="宋体" w:cs="宋体"/>
                <w:color w:val="auto"/>
                <w:kern w:val="0"/>
                <w:szCs w:val="21"/>
                <w:highlight w:val="none"/>
                <w:shd w:val="clear" w:color="auto" w:fill="FFFFFF"/>
              </w:rPr>
            </w:pPr>
          </w:p>
        </w:tc>
        <w:tc>
          <w:tcPr>
            <w:tcW w:w="10486" w:type="dxa"/>
            <w:gridSpan w:val="2"/>
            <w:noWrap w:val="0"/>
            <w:vAlign w:val="center"/>
          </w:tcPr>
          <w:p>
            <w:pPr>
              <w:widowControl/>
              <w:jc w:val="left"/>
              <w:textAlignment w:val="center"/>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居民垃圾分类满意率：合同签订之日起3个月内不得低于85%，之后要求达到95%(以随机抽查结果为准，）每少于2%的扣1分，扣完为止.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739" w:type="dxa"/>
          <w:trHeight w:val="725" w:hRule="atLeast"/>
        </w:trPr>
        <w:tc>
          <w:tcPr>
            <w:tcW w:w="2076" w:type="dxa"/>
            <w:gridSpan w:val="2"/>
            <w:noWrap w:val="0"/>
            <w:vAlign w:val="center"/>
          </w:tcPr>
          <w:p>
            <w:pPr>
              <w:jc w:val="center"/>
              <w:rPr>
                <w:rFonts w:ascii="宋体" w:hAnsi="宋体" w:cs="宋体"/>
                <w:b/>
                <w:color w:val="auto"/>
                <w:kern w:val="0"/>
                <w:szCs w:val="21"/>
                <w:highlight w:val="none"/>
                <w:shd w:val="clear" w:color="auto" w:fill="FFFFFF"/>
              </w:rPr>
            </w:pPr>
            <w:r>
              <w:rPr>
                <w:rFonts w:hint="eastAsia" w:ascii="宋体" w:hAnsi="宋体" w:cs="宋体"/>
                <w:b/>
                <w:color w:val="auto"/>
                <w:kern w:val="0"/>
                <w:szCs w:val="21"/>
                <w:highlight w:val="none"/>
                <w:shd w:val="clear" w:color="auto" w:fill="FFFFFF"/>
              </w:rPr>
              <w:t>考核总得分</w:t>
            </w:r>
          </w:p>
        </w:tc>
        <w:tc>
          <w:tcPr>
            <w:tcW w:w="10486" w:type="dxa"/>
            <w:gridSpan w:val="3"/>
            <w:noWrap w:val="0"/>
            <w:vAlign w:val="center"/>
          </w:tcPr>
          <w:p>
            <w:pPr>
              <w:rPr>
                <w:rFonts w:ascii="宋体" w:hAnsi="宋体" w:cs="宋体"/>
                <w:color w:val="auto"/>
                <w:kern w:val="0"/>
                <w:szCs w:val="21"/>
                <w:highlight w:val="none"/>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739" w:type="dxa"/>
          <w:trHeight w:val="284" w:hRule="atLeast"/>
        </w:trPr>
        <w:tc>
          <w:tcPr>
            <w:tcW w:w="2076" w:type="dxa"/>
            <w:gridSpan w:val="2"/>
            <w:noWrap w:val="0"/>
            <w:vAlign w:val="center"/>
          </w:tcPr>
          <w:p>
            <w:pPr>
              <w:jc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加分项</w:t>
            </w:r>
          </w:p>
        </w:tc>
        <w:tc>
          <w:tcPr>
            <w:tcW w:w="10486" w:type="dxa"/>
            <w:gridSpan w:val="3"/>
            <w:noWrap w:val="0"/>
            <w:vAlign w:val="center"/>
          </w:tcPr>
          <w:p>
            <w:pP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市级以上垃圾分类检查获得表扬肯定的每次加1分（全年上限5 分）； 创新性开展工作获得经验性推广的，县级每次加3分，市级每次加5分，省级每次加10分（全年上限不超10分）；信息报送质量高被国家级媒体采用的每篇加3分，省级媒体采用的每篇加2分，市级媒体采用的每篇加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739" w:type="dxa"/>
          <w:trHeight w:val="284" w:hRule="atLeast"/>
        </w:trPr>
        <w:tc>
          <w:tcPr>
            <w:tcW w:w="2076" w:type="dxa"/>
            <w:gridSpan w:val="2"/>
            <w:tcBorders>
              <w:bottom w:val="single" w:color="auto" w:sz="12" w:space="0"/>
            </w:tcBorders>
            <w:noWrap w:val="0"/>
            <w:vAlign w:val="center"/>
          </w:tcPr>
          <w:p>
            <w:pPr>
              <w:jc w:val="cente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扣分项</w:t>
            </w:r>
          </w:p>
        </w:tc>
        <w:tc>
          <w:tcPr>
            <w:tcW w:w="10486" w:type="dxa"/>
            <w:gridSpan w:val="3"/>
            <w:tcBorders>
              <w:bottom w:val="single" w:color="auto" w:sz="12" w:space="0"/>
            </w:tcBorders>
            <w:noWrap w:val="0"/>
            <w:vAlign w:val="center"/>
          </w:tcPr>
          <w:p>
            <w:pPr>
              <w:rPr>
                <w:rFonts w:ascii="宋体" w:hAnsi="宋体" w:cs="宋体"/>
                <w:color w:val="auto"/>
                <w:kern w:val="0"/>
                <w:szCs w:val="21"/>
                <w:highlight w:val="none"/>
                <w:shd w:val="clear" w:color="auto" w:fill="FFFFFF"/>
              </w:rPr>
            </w:pPr>
            <w:r>
              <w:rPr>
                <w:rFonts w:hint="eastAsia" w:ascii="宋体" w:hAnsi="宋体" w:cs="宋体"/>
                <w:color w:val="auto"/>
                <w:kern w:val="0"/>
                <w:szCs w:val="21"/>
                <w:highlight w:val="none"/>
              </w:rPr>
              <w:t>服务区域内垃圾分类工作被县分类办及县级以上部门通报批评的或县级及以上领导点名的，每次扣3分；被群众投诉举报，问题得不到解决的，每次扣1分；被省、市、县级新闻媒体曝光批评的，省级每次扣5分、市级每次扣3分、县级每次扣2分；被国家级新闻媒体曝光批评的，扣20分</w:t>
            </w:r>
            <w:r>
              <w:rPr>
                <w:rFonts w:hint="eastAsia" w:ascii="仿宋_GB2312" w:hAnsi="宋体" w:eastAsia="仿宋_GB2312" w:cs="宋体"/>
                <w:color w:val="auto"/>
                <w:kern w:val="0"/>
                <w:szCs w:val="21"/>
                <w:highlight w:val="none"/>
              </w:rPr>
              <w:t>。</w:t>
            </w:r>
          </w:p>
        </w:tc>
      </w:tr>
    </w:tbl>
    <w:p>
      <w:pPr>
        <w:spacing w:line="480" w:lineRule="exact"/>
        <w:rPr>
          <w:rFonts w:hint="eastAsia" w:ascii="宋体" w:hAnsi="宋体" w:cs="宋体"/>
          <w:color w:val="auto"/>
          <w:kern w:val="0"/>
          <w:sz w:val="24"/>
          <w:highlight w:val="none"/>
          <w:shd w:val="clear" w:color="auto" w:fill="FFFFFF"/>
        </w:rPr>
        <w:sectPr>
          <w:headerReference r:id="rId4" w:type="default"/>
          <w:footerReference r:id="rId5" w:type="default"/>
          <w:pgSz w:w="16838" w:h="11906" w:orient="landscape"/>
          <w:pgMar w:top="1797" w:right="1440" w:bottom="1797" w:left="1440" w:header="851" w:footer="851" w:gutter="0"/>
          <w:cols w:space="720" w:num="1"/>
          <w:docGrid w:linePitch="312" w:charSpace="0"/>
        </w:sectPr>
      </w:pPr>
    </w:p>
    <w:bookmarkEnd w:id="9"/>
    <w:p>
      <w:pPr>
        <w:snapToGrid w:val="0"/>
        <w:spacing w:line="400" w:lineRule="exact"/>
        <w:jc w:val="center"/>
        <w:outlineLvl w:val="1"/>
        <w:rPr>
          <w:rFonts w:hint="eastAsia" w:ascii="宋体" w:hAnsi="宋体"/>
          <w:b/>
          <w:color w:val="auto"/>
          <w:sz w:val="32"/>
          <w:szCs w:val="32"/>
          <w:highlight w:val="none"/>
        </w:rPr>
      </w:pPr>
      <w:r>
        <w:rPr>
          <w:rFonts w:hint="eastAsia" w:ascii="宋体" w:hAnsi="宋体"/>
          <w:b/>
          <w:color w:val="auto"/>
          <w:sz w:val="32"/>
          <w:szCs w:val="32"/>
          <w:highlight w:val="none"/>
        </w:rPr>
        <w:t>第三章  投标人须知</w:t>
      </w:r>
    </w:p>
    <w:p>
      <w:pPr>
        <w:snapToGrid w:val="0"/>
        <w:spacing w:line="400" w:lineRule="exact"/>
        <w:ind w:left="238"/>
        <w:jc w:val="center"/>
        <w:outlineLvl w:val="1"/>
        <w:rPr>
          <w:rFonts w:ascii="宋体" w:hAnsi="宋体"/>
          <w:b/>
          <w:color w:val="auto"/>
          <w:sz w:val="24"/>
          <w:highlight w:val="none"/>
        </w:rPr>
      </w:pPr>
      <w:r>
        <w:rPr>
          <w:rFonts w:hint="eastAsia" w:ascii="宋体" w:hAnsi="宋体"/>
          <w:b/>
          <w:color w:val="auto"/>
          <w:sz w:val="24"/>
          <w:highlight w:val="none"/>
        </w:rPr>
        <w:t>前附表</w:t>
      </w:r>
    </w:p>
    <w:tbl>
      <w:tblPr>
        <w:tblStyle w:val="26"/>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3000" w:firstLineChars="1250"/>
              <w:rPr>
                <w:rFonts w:hint="eastAsia" w:ascii="宋体" w:hAnsi="宋体" w:cs="宋体"/>
                <w:color w:val="auto"/>
                <w:sz w:val="24"/>
                <w:highlight w:val="none"/>
              </w:rPr>
            </w:pPr>
            <w:r>
              <w:rPr>
                <w:rFonts w:hint="eastAsia" w:ascii="宋体" w:hAnsi="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120" w:beforeLines="0" w:after="120" w:afterLines="0" w:line="360" w:lineRule="auto"/>
              <w:rPr>
                <w:rFonts w:hint="eastAsia" w:hAnsi="宋体" w:cs="宋体"/>
                <w:color w:val="auto"/>
                <w:highlight w:val="none"/>
              </w:rPr>
            </w:pPr>
            <w:r>
              <w:rPr>
                <w:rFonts w:hint="eastAsia" w:hAnsi="宋体" w:cs="宋体"/>
                <w:color w:val="auto"/>
                <w:highlight w:val="none"/>
              </w:rPr>
              <w:t>项目名称：嘉善县罗星街道城镇垃圾分类服务项目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采购内容：详见第一章公开招标公告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 xml:space="preserve">投标报价及费用：1、本项目投标应以人民币报价；2、不论投标结果如何，投标人均应自行承担所有与投标有关的全部费用。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现场考察：无。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cs="宋体"/>
                <w:color w:val="auto"/>
                <w:sz w:val="24"/>
                <w:highlight w:val="none"/>
              </w:rPr>
            </w:pPr>
            <w:r>
              <w:rPr>
                <w:rFonts w:hint="eastAsia" w:ascii="宋体" w:hAnsi="宋体" w:cs="宋体"/>
                <w:color w:val="auto"/>
                <w:sz w:val="24"/>
                <w:highlight w:val="none"/>
              </w:rPr>
              <w:t>投标文件份数：本项目实行网上投标，投标人应准备以下投标文件：</w:t>
            </w:r>
          </w:p>
          <w:p>
            <w:pPr>
              <w:spacing w:line="420" w:lineRule="exact"/>
              <w:rPr>
                <w:rFonts w:hint="eastAsia" w:ascii="宋体" w:hAnsi="宋体" w:cs="宋体"/>
                <w:color w:val="auto"/>
                <w:sz w:val="24"/>
                <w:highlight w:val="none"/>
              </w:rPr>
            </w:pPr>
            <w:r>
              <w:rPr>
                <w:rFonts w:hint="eastAsia" w:ascii="宋体" w:hAnsi="宋体" w:cs="宋体"/>
                <w:color w:val="auto"/>
                <w:sz w:val="24"/>
                <w:highlight w:val="none"/>
              </w:rPr>
              <w:t>（1）投标人于“政采云”上提供电子投标文件。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上传电子投标文件时间：2020年7月15日9时30分前在“政采云”上自行加密上传电子投标文件，逾期上传或未按要求上传的投标文件将予以拒收。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讲标：本项目需要讲标演示，演示内容详见第四章评分办法“讲标10分”。请各供应商按照项目要求做好准备，在评审开始前下载注册成为钉钉用户，并学会钉钉操作，确保演示效果。</w:t>
            </w:r>
          </w:p>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演示时间：不超过10分钟（不包含评委提问时间）</w:t>
            </w:r>
          </w:p>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演示次序：以政采云平台中“项目采购”应用模块获取招标文件时间顺序为准</w:t>
            </w:r>
          </w:p>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如供应商未能在规定时间内完成演示设备调试的或演示过程中出现视频中断、无法连接演示视频的，则由下一顺位的供应商进行演示，同时可再给予该供应商一次重新演示的机会，但演示顺序排至所有演示供应商的最末位，出现同类问题的其他供应商亦按此方法处理。</w:t>
            </w:r>
          </w:p>
          <w:p>
            <w:pPr>
              <w:snapToGrid w:val="0"/>
              <w:jc w:val="left"/>
              <w:rPr>
                <w:rFonts w:ascii="宋体" w:hAnsi="宋体" w:cs="宋体"/>
                <w:color w:val="auto"/>
                <w:sz w:val="24"/>
                <w:highlight w:val="none"/>
              </w:rPr>
            </w:pPr>
            <w:r>
              <w:rPr>
                <w:rFonts w:hint="eastAsia" w:ascii="宋体" w:hAnsi="宋体" w:cs="宋体"/>
                <w:color w:val="auto"/>
                <w:sz w:val="24"/>
                <w:highlight w:val="none"/>
              </w:rPr>
              <w:t>演示途径：通过钉钉-视频会议进行演示，其中涉及需要安装的软件供应商应在开标前自行下载安装，确保网络、摄像头、麦克风、演示环境等演示所需设备和系统正常稳定，并提前熟悉操作和使用。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评标结果公告：评标结束后2个工作日内，评标结果公告于浙江省政府采购网(http://www.zjzfcg.gov.cn/)和</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"http://www.sxztb.gov.cn"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fldChar w:fldCharType="end"/>
            </w:r>
            <w:r>
              <w:rPr>
                <w:rFonts w:hint="eastAsia" w:ascii="宋体" w:hAnsi="宋体" w:cs="宋体"/>
                <w:color w:val="auto"/>
                <w:sz w:val="24"/>
                <w:highlight w:val="none"/>
              </w:rPr>
              <w:t>嘉善县公共资源交易中心网（http://js.jxzbtb.cn/)。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中标公告及中标通知书：中标公告发布于上述媒体，中标公告期限为1个工作日。在公告中标结果的同时，集中采购机构向中标人发出中标通知书。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签订合同时间：中标通知书发出后30日内。建议采购人在对采购结果质疑期（自采购结果公告之日起七个工作日）后与中标人签订政府采购合同。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开标地点：通过政采云线上参加。</w:t>
            </w:r>
          </w:p>
          <w:p>
            <w:pPr>
              <w:pStyle w:val="10"/>
              <w:rPr>
                <w:rFonts w:hint="eastAsia" w:ascii="宋体" w:hAnsi="宋体" w:cs="宋体"/>
                <w:color w:val="auto"/>
                <w:sz w:val="24"/>
                <w:highlight w:val="none"/>
              </w:rPr>
            </w:pPr>
            <w:r>
              <w:rPr>
                <w:rFonts w:hint="eastAsia" w:ascii="宋体" w:hAnsi="宋体" w:cs="宋体"/>
                <w:color w:val="auto"/>
                <w:sz w:val="24"/>
                <w:highlight w:val="none"/>
              </w:rPr>
              <w:t>2020年7月15日9时30分前在“政采云”上自行加密上传电子投标文件，逾期上传或未按要求上传的投标文件将予以拒收。投标人无需到开标现场，只需准时在线参加。开标时间后半小时小时内（2020年7月15日10时0分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本项目预算：2650万元人民币。超预算价的投标文件无效。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付款方式：按合同约定。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投标文件有效期：</w:t>
            </w:r>
            <w:r>
              <w:rPr>
                <w:rFonts w:hint="eastAsia" w:ascii="宋体" w:hAnsi="宋体" w:cs="宋体"/>
                <w:color w:val="auto"/>
                <w:sz w:val="24"/>
                <w:highlight w:val="none"/>
                <w:u w:val="single"/>
              </w:rPr>
              <w:t>90</w:t>
            </w:r>
            <w:r>
              <w:rPr>
                <w:rFonts w:hint="eastAsia" w:ascii="宋体" w:hAnsi="宋体" w:cs="宋体"/>
                <w:color w:val="auto"/>
                <w:sz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报名、注册及招标文件的获取：详见第一章公开招标公告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20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color w:val="auto"/>
                <w:sz w:val="24"/>
                <w:highlight w:val="none"/>
              </w:rPr>
            </w:pPr>
            <w:r>
              <w:rPr>
                <w:rFonts w:hint="eastAsia" w:ascii="宋体" w:hAnsi="宋体" w:cs="宋体"/>
                <w:color w:val="auto"/>
                <w:sz w:val="24"/>
                <w:highlight w:val="none"/>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21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解释：本招标文件的解释权属于采购人和嘉善县公共资源交易中心。</w:t>
            </w:r>
          </w:p>
        </w:tc>
      </w:tr>
    </w:tbl>
    <w:p>
      <w:pPr>
        <w:pStyle w:val="14"/>
        <w:snapToGrid w:val="0"/>
        <w:spacing w:before="120" w:beforeLines="0" w:after="120" w:afterLines="0" w:line="360" w:lineRule="auto"/>
        <w:jc w:val="center"/>
        <w:rPr>
          <w:rFonts w:hAnsi="宋体"/>
          <w:b/>
          <w:color w:val="auto"/>
          <w:sz w:val="32"/>
          <w:szCs w:val="32"/>
          <w:highlight w:val="none"/>
        </w:rPr>
      </w:pPr>
    </w:p>
    <w:p>
      <w:pPr>
        <w:pStyle w:val="14"/>
        <w:snapToGrid w:val="0"/>
        <w:spacing w:before="120" w:beforeLines="0" w:after="120" w:afterLines="0" w:line="360" w:lineRule="auto"/>
        <w:jc w:val="center"/>
        <w:rPr>
          <w:rFonts w:hint="eastAsia" w:hAnsi="宋体" w:cs="宋体"/>
          <w:b/>
          <w:color w:val="auto"/>
          <w:sz w:val="32"/>
          <w:szCs w:val="32"/>
          <w:highlight w:val="none"/>
        </w:rPr>
      </w:pPr>
      <w:r>
        <w:rPr>
          <w:rFonts w:hAnsi="宋体"/>
          <w:b/>
          <w:color w:val="auto"/>
          <w:sz w:val="32"/>
          <w:szCs w:val="32"/>
          <w:highlight w:val="none"/>
        </w:rPr>
        <w:br w:type="page"/>
      </w:r>
      <w:r>
        <w:rPr>
          <w:rFonts w:hint="eastAsia" w:hAnsi="宋体" w:cs="宋体"/>
          <w:b/>
          <w:color w:val="auto"/>
          <w:sz w:val="32"/>
          <w:szCs w:val="32"/>
          <w:highlight w:val="none"/>
        </w:rPr>
        <w:t>一、总  则</w:t>
      </w:r>
    </w:p>
    <w:p>
      <w:pPr>
        <w:snapToGrid w:val="0"/>
        <w:spacing w:line="480" w:lineRule="exact"/>
        <w:ind w:firstLine="472" w:firstLineChars="196"/>
        <w:jc w:val="left"/>
        <w:outlineLvl w:val="1"/>
        <w:rPr>
          <w:rFonts w:hint="eastAsia" w:ascii="宋体" w:hAnsi="宋体" w:cs="宋体"/>
          <w:b/>
          <w:color w:val="auto"/>
          <w:sz w:val="24"/>
          <w:highlight w:val="none"/>
        </w:rPr>
      </w:pPr>
      <w:r>
        <w:rPr>
          <w:rFonts w:hint="eastAsia" w:ascii="宋体" w:hAnsi="宋体" w:cs="宋体"/>
          <w:b/>
          <w:color w:val="auto"/>
          <w:sz w:val="24"/>
          <w:highlight w:val="none"/>
        </w:rPr>
        <w:t>（一） 适用范围</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本招标文件适用于该项目的招标、投标、评标、定标、验收、合同履约、付款等行为（法律、法规另有规定的，从其规定）。</w:t>
      </w:r>
    </w:p>
    <w:p>
      <w:pPr>
        <w:snapToGrid w:val="0"/>
        <w:spacing w:line="480" w:lineRule="exact"/>
        <w:ind w:firstLine="354" w:firstLineChars="147"/>
        <w:jc w:val="left"/>
        <w:outlineLvl w:val="1"/>
        <w:rPr>
          <w:rFonts w:hint="eastAsia" w:ascii="宋体" w:hAnsi="宋体" w:cs="宋体"/>
          <w:b/>
          <w:color w:val="auto"/>
          <w:sz w:val="24"/>
          <w:highlight w:val="none"/>
        </w:rPr>
      </w:pPr>
      <w:r>
        <w:rPr>
          <w:rFonts w:hint="eastAsia" w:ascii="宋体" w:hAnsi="宋体" w:cs="宋体"/>
          <w:b/>
          <w:color w:val="auto"/>
          <w:sz w:val="24"/>
          <w:highlight w:val="none"/>
        </w:rPr>
        <w:t>（二）定义</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1.招标采购人系指组织本次招标的嘉善县公共资源交易中心（“招标人”）和采购人。</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2.“投标人”系指向招标方提交投标文件的单位或个人。</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3.“产品”系指供方按招标文件规定，须向采购人提供的一切设备、保险、税金、备品备件、工具、手册及其它有关技术资料和材料。</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4.“服务”系指招标文件规定投标人须承担的安装、调试、技术协助、校准、培训、技术指导以及其他类似的义务。</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5.“项目”系指投标人按招标文件规定向采购人提供的产品和服务。</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6.“书面形式”包括信函、传真、电报等。</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7.“▲”系指实质性要求条款，不满足实行性要求条款的投标文件无效。“★”系指核心产品。</w:t>
      </w:r>
    </w:p>
    <w:p>
      <w:pPr>
        <w:snapToGrid w:val="0"/>
        <w:spacing w:line="480" w:lineRule="exact"/>
        <w:ind w:firstLine="472" w:firstLineChars="196"/>
        <w:jc w:val="left"/>
        <w:outlineLvl w:val="1"/>
        <w:rPr>
          <w:rFonts w:hint="eastAsia" w:ascii="宋体" w:hAnsi="宋体" w:cs="宋体"/>
          <w:b/>
          <w:color w:val="auto"/>
          <w:sz w:val="24"/>
          <w:highlight w:val="none"/>
        </w:rPr>
      </w:pPr>
      <w:r>
        <w:rPr>
          <w:rFonts w:hint="eastAsia" w:ascii="宋体" w:hAnsi="宋体" w:cs="宋体"/>
          <w:b/>
          <w:color w:val="auto"/>
          <w:sz w:val="24"/>
          <w:highlight w:val="none"/>
        </w:rPr>
        <w:t>（三）招标方式</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本次招标采用公开招标方式进行。</w:t>
      </w:r>
    </w:p>
    <w:p>
      <w:pPr>
        <w:snapToGrid w:val="0"/>
        <w:spacing w:line="480" w:lineRule="exact"/>
        <w:ind w:firstLine="472" w:firstLineChars="196"/>
        <w:jc w:val="left"/>
        <w:outlineLvl w:val="1"/>
        <w:rPr>
          <w:rFonts w:hint="eastAsia" w:ascii="宋体" w:hAnsi="宋体" w:cs="宋体"/>
          <w:b/>
          <w:color w:val="auto"/>
          <w:sz w:val="24"/>
          <w:highlight w:val="none"/>
        </w:rPr>
      </w:pPr>
      <w:r>
        <w:rPr>
          <w:rFonts w:hint="eastAsia" w:ascii="宋体" w:hAnsi="宋体" w:cs="宋体"/>
          <w:b/>
          <w:color w:val="auto"/>
          <w:sz w:val="24"/>
          <w:highlight w:val="none"/>
        </w:rPr>
        <w:t>（四）投标委托</w:t>
      </w:r>
    </w:p>
    <w:p>
      <w:pPr>
        <w:pStyle w:val="11"/>
        <w:snapToGrid w:val="0"/>
        <w:spacing w:line="480" w:lineRule="exact"/>
        <w:ind w:firstLine="464" w:firstLineChars="200"/>
        <w:jc w:val="left"/>
        <w:rPr>
          <w:rFonts w:hint="eastAsia" w:hAnsi="宋体" w:cs="宋体"/>
          <w:color w:val="auto"/>
          <w:sz w:val="24"/>
          <w:szCs w:val="24"/>
          <w:highlight w:val="none"/>
        </w:rPr>
      </w:pPr>
      <w:r>
        <w:rPr>
          <w:rFonts w:hint="eastAsia" w:hAnsi="宋体" w:cs="宋体"/>
          <w:color w:val="auto"/>
          <w:sz w:val="24"/>
          <w:szCs w:val="24"/>
          <w:highlight w:val="none"/>
        </w:rPr>
        <w:t>投标人代表须携带有效身份证件。如投标人代表不是法定代表人，须有法定代表人出具的授权委托书。</w:t>
      </w:r>
    </w:p>
    <w:p>
      <w:pPr>
        <w:snapToGrid w:val="0"/>
        <w:spacing w:line="480" w:lineRule="exact"/>
        <w:ind w:firstLine="472" w:firstLineChars="196"/>
        <w:jc w:val="left"/>
        <w:outlineLvl w:val="1"/>
        <w:rPr>
          <w:rFonts w:hint="eastAsia" w:ascii="宋体" w:hAnsi="宋体" w:cs="宋体"/>
          <w:b/>
          <w:color w:val="auto"/>
          <w:sz w:val="24"/>
          <w:highlight w:val="none"/>
        </w:rPr>
      </w:pPr>
      <w:r>
        <w:rPr>
          <w:rFonts w:hint="eastAsia" w:ascii="宋体" w:hAnsi="宋体" w:cs="宋体"/>
          <w:b/>
          <w:color w:val="auto"/>
          <w:sz w:val="24"/>
          <w:highlight w:val="none"/>
        </w:rPr>
        <w:t>（五）投标费用</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不论投标结果如何，投标人均应自行承担所有与投标有关的全部费用（招标文件有相反规定除外）。</w:t>
      </w:r>
    </w:p>
    <w:p>
      <w:pPr>
        <w:snapToGrid w:val="0"/>
        <w:spacing w:line="480" w:lineRule="exact"/>
        <w:ind w:firstLine="472" w:firstLineChars="196"/>
        <w:jc w:val="left"/>
        <w:rPr>
          <w:rFonts w:hint="eastAsia" w:ascii="宋体" w:hAnsi="宋体" w:cs="宋体"/>
          <w:b/>
          <w:color w:val="auto"/>
          <w:sz w:val="24"/>
          <w:highlight w:val="none"/>
        </w:rPr>
      </w:pPr>
      <w:r>
        <w:rPr>
          <w:rFonts w:hint="eastAsia" w:ascii="宋体" w:hAnsi="宋体" w:cs="宋体"/>
          <w:b/>
          <w:color w:val="auto"/>
          <w:sz w:val="24"/>
          <w:highlight w:val="none"/>
        </w:rPr>
        <w:t>（六）联合体投标</w:t>
      </w:r>
    </w:p>
    <w:p>
      <w:pPr>
        <w:snapToGrid w:val="0"/>
        <w:spacing w:line="480" w:lineRule="exact"/>
        <w:ind w:firstLine="723" w:firstLineChars="300"/>
        <w:jc w:val="left"/>
        <w:rPr>
          <w:rFonts w:hint="eastAsia" w:ascii="宋体" w:hAnsi="宋体" w:cs="宋体"/>
          <w:b/>
          <w:bCs/>
          <w:color w:val="auto"/>
          <w:sz w:val="24"/>
          <w:highlight w:val="none"/>
        </w:rPr>
      </w:pPr>
      <w:r>
        <w:rPr>
          <w:rFonts w:hint="eastAsia" w:ascii="宋体" w:hAnsi="宋体" w:cs="宋体"/>
          <w:b/>
          <w:bCs/>
          <w:color w:val="auto"/>
          <w:sz w:val="24"/>
          <w:highlight w:val="none"/>
        </w:rPr>
        <w:t>本项目不接受联合体投标。</w:t>
      </w:r>
    </w:p>
    <w:p>
      <w:pPr>
        <w:snapToGrid w:val="0"/>
        <w:spacing w:line="4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（七）转包与分包</w:t>
      </w:r>
    </w:p>
    <w:p>
      <w:pPr>
        <w:snapToGrid w:val="0"/>
        <w:spacing w:line="4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snapToGrid w:val="0"/>
        <w:spacing w:line="4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（八）是否允许采购进口产品</w:t>
      </w:r>
    </w:p>
    <w:p>
      <w:pPr>
        <w:snapToGrid w:val="0"/>
        <w:spacing w:line="4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本项目不允采购进口产品。</w:t>
      </w:r>
    </w:p>
    <w:p>
      <w:pPr>
        <w:snapToGrid w:val="0"/>
        <w:spacing w:line="4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▲（九）特别说明：</w:t>
      </w:r>
    </w:p>
    <w:p>
      <w:pPr>
        <w:pStyle w:val="14"/>
        <w:snapToGrid w:val="0"/>
        <w:spacing w:before="0" w:beforeLines="0" w:after="0" w:afterLines="0" w:line="480" w:lineRule="exact"/>
        <w:ind w:left="2" w:leftChars="1" w:firstLine="480" w:firstLineChars="200"/>
        <w:rPr>
          <w:rFonts w:hAnsi="宋体"/>
          <w:color w:val="auto"/>
          <w:highlight w:val="none"/>
        </w:rPr>
      </w:pPr>
      <w:r>
        <w:rPr>
          <w:rFonts w:hint="eastAsia" w:hAnsi="宋体"/>
          <w:color w:val="auto"/>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4"/>
        <w:snapToGrid w:val="0"/>
        <w:spacing w:before="0" w:beforeLines="0" w:after="0" w:afterLines="0" w:line="480" w:lineRule="exact"/>
        <w:ind w:left="2" w:leftChars="1" w:firstLine="480" w:firstLineChars="200"/>
        <w:rPr>
          <w:rFonts w:hAnsi="宋体"/>
          <w:color w:val="auto"/>
          <w:highlight w:val="none"/>
        </w:rPr>
      </w:pPr>
      <w:r>
        <w:rPr>
          <w:rFonts w:hint="eastAsia" w:hAnsi="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4"/>
        <w:snapToGrid w:val="0"/>
        <w:spacing w:before="0" w:beforeLines="0" w:after="0" w:afterLines="0" w:line="480" w:lineRule="exact"/>
        <w:ind w:left="2" w:leftChars="1" w:firstLine="480" w:firstLineChars="200"/>
        <w:rPr>
          <w:rFonts w:hAnsi="宋体"/>
          <w:color w:val="auto"/>
          <w:highlight w:val="none"/>
        </w:rPr>
      </w:pPr>
      <w:r>
        <w:rPr>
          <w:rFonts w:hint="eastAsia" w:hAnsi="宋体"/>
          <w:color w:val="auto"/>
          <w:highlight w:val="none"/>
        </w:rPr>
        <w:t>非单一产品采购项目，采购人应当根据采购项目技术构成、产品价格比重等合理确定核心产品，并在招标文件中载明。多家投标人提供的核心产品品牌相同的，按前两款规定处理。</w:t>
      </w:r>
    </w:p>
    <w:p>
      <w:pPr>
        <w:pStyle w:val="14"/>
        <w:snapToGrid w:val="0"/>
        <w:spacing w:before="0" w:beforeLines="0" w:after="0" w:afterLines="0" w:line="480" w:lineRule="exact"/>
        <w:ind w:left="2" w:leftChars="1" w:firstLine="480" w:firstLineChars="200"/>
        <w:rPr>
          <w:rFonts w:hAnsi="宋体"/>
          <w:color w:val="auto"/>
          <w:highlight w:val="none"/>
        </w:rPr>
      </w:pPr>
      <w:r>
        <w:rPr>
          <w:rFonts w:hint="eastAsia" w:hAnsi="宋体"/>
          <w:color w:val="auto"/>
          <w:highlight w:val="none"/>
        </w:rPr>
        <w:t>2.</w:t>
      </w:r>
      <w:r>
        <w:rPr>
          <w:rFonts w:hAnsi="宋体"/>
          <w:color w:val="auto"/>
          <w:highlight w:val="none"/>
        </w:rPr>
        <w:t>投标人投标所使用的资格、信誉、荣誉、业绩与企业认证必须为本法人所拥有。投标人投标所使用的采购项目实施人员必须为本法人员工（或必须为本法人或控股公司正式员工）。</w:t>
      </w:r>
    </w:p>
    <w:p>
      <w:pPr>
        <w:pStyle w:val="14"/>
        <w:snapToGrid w:val="0"/>
        <w:spacing w:before="0" w:beforeLines="0" w:after="0" w:afterLines="0" w:line="480" w:lineRule="exact"/>
        <w:ind w:left="2" w:leftChars="1" w:firstLine="480" w:firstLineChars="200"/>
        <w:rPr>
          <w:rFonts w:hAnsi="宋体"/>
          <w:color w:val="auto"/>
          <w:highlight w:val="none"/>
        </w:rPr>
      </w:pPr>
      <w:r>
        <w:rPr>
          <w:rFonts w:hint="eastAsia" w:hAnsi="宋体"/>
          <w:color w:val="auto"/>
          <w:highlight w:val="none"/>
        </w:rPr>
        <w:t>3.</w:t>
      </w:r>
      <w:r>
        <w:rPr>
          <w:rFonts w:hAnsi="宋体"/>
          <w:color w:val="auto"/>
          <w:highlight w:val="none"/>
        </w:rPr>
        <w:t>投标人应仔细阅读招标文件的所有内容，按照招标文件的要求提交投标文件，并对所提供的全部资料的真实性承担法律责任。</w:t>
      </w:r>
    </w:p>
    <w:p>
      <w:pPr>
        <w:pStyle w:val="14"/>
        <w:snapToGrid w:val="0"/>
        <w:spacing w:before="0" w:beforeLines="0" w:after="0" w:afterLines="0" w:line="480" w:lineRule="exact"/>
        <w:ind w:firstLine="472" w:firstLineChars="196"/>
        <w:outlineLvl w:val="1"/>
        <w:rPr>
          <w:rFonts w:hAnsi="宋体"/>
          <w:b/>
          <w:bCs/>
          <w:color w:val="auto"/>
          <w:highlight w:val="none"/>
        </w:rPr>
      </w:pPr>
      <w:r>
        <w:rPr>
          <w:rFonts w:hAnsi="宋体"/>
          <w:b/>
          <w:bCs/>
          <w:color w:val="auto"/>
          <w:highlight w:val="none"/>
        </w:rPr>
        <w:t>（九）质疑和投诉</w:t>
      </w:r>
    </w:p>
    <w:p>
      <w:pPr>
        <w:pStyle w:val="14"/>
        <w:snapToGrid w:val="0"/>
        <w:spacing w:before="0" w:beforeLines="0" w:after="0" w:afterLines="0" w:line="480" w:lineRule="exact"/>
        <w:ind w:firstLine="480" w:firstLineChars="200"/>
        <w:rPr>
          <w:rFonts w:hAnsi="宋体"/>
          <w:bCs/>
          <w:color w:val="auto"/>
          <w:highlight w:val="none"/>
        </w:rPr>
      </w:pPr>
      <w:r>
        <w:rPr>
          <w:rFonts w:hAnsi="宋体"/>
          <w:bCs/>
          <w:color w:val="auto"/>
          <w:highlight w:val="none"/>
        </w:rPr>
        <w:t>1</w:t>
      </w:r>
      <w:r>
        <w:rPr>
          <w:rFonts w:hint="eastAsia" w:hAnsi="宋体"/>
          <w:bCs/>
          <w:color w:val="auto"/>
          <w:highlight w:val="none"/>
        </w:rPr>
        <w:t>.</w:t>
      </w:r>
      <w:r>
        <w:rPr>
          <w:rFonts w:hAnsi="宋体"/>
          <w:bCs/>
          <w:color w:val="auto"/>
          <w:highlight w:val="none"/>
        </w:rPr>
        <w:t>投标人认为招标文件、招标过程</w:t>
      </w:r>
      <w:r>
        <w:rPr>
          <w:rFonts w:hint="eastAsia" w:hAnsi="宋体"/>
          <w:bCs/>
          <w:color w:val="auto"/>
          <w:highlight w:val="none"/>
        </w:rPr>
        <w:t>或</w:t>
      </w:r>
      <w:r>
        <w:rPr>
          <w:rFonts w:hAnsi="宋体"/>
          <w:bCs/>
          <w:color w:val="auto"/>
          <w:highlight w:val="none"/>
        </w:rPr>
        <w:t>中标结果使自己的合法权益受到损害的，应当在知道或者应知其权益受到损害之日起七个工作日内，以书面形式向采购人、</w:t>
      </w:r>
      <w:r>
        <w:rPr>
          <w:rFonts w:hint="eastAsia" w:hAnsi="宋体"/>
          <w:bCs/>
          <w:color w:val="auto"/>
          <w:highlight w:val="none"/>
        </w:rPr>
        <w:t>集中采购机构</w:t>
      </w:r>
      <w:r>
        <w:rPr>
          <w:rFonts w:hAnsi="宋体"/>
          <w:bCs/>
          <w:color w:val="auto"/>
          <w:highlight w:val="none"/>
        </w:rPr>
        <w:t>提出质疑。</w:t>
      </w:r>
      <w:r>
        <w:rPr>
          <w:rFonts w:hAnsi="宋体"/>
          <w:color w:val="auto"/>
          <w:highlight w:val="none"/>
        </w:rPr>
        <w:t>投标人对招标采购人的质疑答复不满意或者招标采购人未在规定时间内作出答复的，可以在答复期满后十五个工作日内向同级采购监管部门投诉。</w:t>
      </w:r>
    </w:p>
    <w:p>
      <w:pPr>
        <w:pStyle w:val="14"/>
        <w:snapToGrid w:val="0"/>
        <w:spacing w:before="0" w:beforeLines="0" w:after="0" w:afterLines="0" w:line="480" w:lineRule="exact"/>
        <w:ind w:firstLine="480" w:firstLineChars="200"/>
        <w:rPr>
          <w:rFonts w:hAnsi="宋体"/>
          <w:bCs/>
          <w:color w:val="auto"/>
          <w:highlight w:val="none"/>
        </w:rPr>
      </w:pPr>
      <w:r>
        <w:rPr>
          <w:rFonts w:hAnsi="宋体"/>
          <w:bCs/>
          <w:color w:val="auto"/>
          <w:highlight w:val="none"/>
        </w:rPr>
        <w:t>2</w:t>
      </w:r>
      <w:r>
        <w:rPr>
          <w:rFonts w:hint="eastAsia" w:hAnsi="宋体"/>
          <w:bCs/>
          <w:color w:val="auto"/>
          <w:highlight w:val="none"/>
        </w:rPr>
        <w:t>.</w:t>
      </w:r>
      <w:r>
        <w:rPr>
          <w:rFonts w:hAnsi="宋体"/>
          <w:bCs/>
          <w:color w:val="auto"/>
          <w:highlight w:val="none"/>
        </w:rPr>
        <w:t>质疑、投诉应当采用书面形式，质疑书、投诉书均应明确阐述招标文件、招标过程</w:t>
      </w:r>
      <w:r>
        <w:rPr>
          <w:rFonts w:hint="eastAsia" w:hAnsi="宋体"/>
          <w:bCs/>
          <w:color w:val="auto"/>
          <w:highlight w:val="none"/>
        </w:rPr>
        <w:t>或</w:t>
      </w:r>
      <w:r>
        <w:rPr>
          <w:rFonts w:hAnsi="宋体"/>
          <w:bCs/>
          <w:color w:val="auto"/>
          <w:highlight w:val="none"/>
        </w:rPr>
        <w:t>中标结果中使自己合法权益受到损害的实质性内容，提供相关事实、依据和证据及其来源或线索，便于有关单位调查、答复和处理</w:t>
      </w:r>
      <w:r>
        <w:rPr>
          <w:rFonts w:hint="eastAsia" w:hAnsi="宋体"/>
          <w:bCs/>
          <w:color w:val="auto"/>
          <w:highlight w:val="none"/>
        </w:rPr>
        <w:t>。</w:t>
      </w:r>
    </w:p>
    <w:p>
      <w:pPr>
        <w:pStyle w:val="14"/>
        <w:snapToGrid w:val="0"/>
        <w:spacing w:before="120" w:after="120" w:line="360" w:lineRule="auto"/>
        <w:ind w:firstLine="472" w:firstLineChars="196"/>
        <w:jc w:val="center"/>
        <w:outlineLvl w:val="0"/>
        <w:rPr>
          <w:rFonts w:hAnsi="宋体"/>
          <w:b/>
          <w:color w:val="auto"/>
          <w:highlight w:val="none"/>
        </w:rPr>
      </w:pPr>
      <w:bookmarkStart w:id="12" w:name="_Toc406402943"/>
      <w:bookmarkStart w:id="13" w:name="_Toc406402987"/>
      <w:r>
        <w:rPr>
          <w:rFonts w:hAnsi="宋体"/>
          <w:b/>
          <w:color w:val="auto"/>
          <w:highlight w:val="none"/>
        </w:rPr>
        <w:t>二</w:t>
      </w:r>
      <w:r>
        <w:rPr>
          <w:rFonts w:hint="eastAsia" w:hAnsi="宋体"/>
          <w:b/>
          <w:color w:val="auto"/>
          <w:highlight w:val="none"/>
        </w:rPr>
        <w:t>、</w:t>
      </w:r>
      <w:r>
        <w:rPr>
          <w:rFonts w:hAnsi="宋体"/>
          <w:b/>
          <w:color w:val="auto"/>
          <w:highlight w:val="none"/>
        </w:rPr>
        <w:t>招标文件</w:t>
      </w:r>
      <w:bookmarkEnd w:id="12"/>
      <w:bookmarkEnd w:id="13"/>
    </w:p>
    <w:p>
      <w:pPr>
        <w:snapToGrid w:val="0"/>
        <w:spacing w:line="48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（一）招标文件的构成。本招标文件由以下部份组成：</w:t>
      </w:r>
    </w:p>
    <w:p>
      <w:pPr>
        <w:snapToGrid w:val="0"/>
        <w:spacing w:line="480" w:lineRule="exact"/>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招标公告</w:t>
      </w:r>
    </w:p>
    <w:p>
      <w:pPr>
        <w:snapToGrid w:val="0"/>
        <w:spacing w:line="480" w:lineRule="exact"/>
        <w:ind w:firstLine="480" w:firstLineChars="200"/>
        <w:jc w:val="left"/>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招标需求</w:t>
      </w:r>
    </w:p>
    <w:p>
      <w:pPr>
        <w:snapToGrid w:val="0"/>
        <w:spacing w:line="480" w:lineRule="exact"/>
        <w:ind w:firstLine="480" w:firstLineChars="200"/>
        <w:jc w:val="left"/>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投标人须知</w:t>
      </w:r>
    </w:p>
    <w:p>
      <w:pPr>
        <w:snapToGrid w:val="0"/>
        <w:spacing w:line="480" w:lineRule="exact"/>
        <w:ind w:firstLine="480" w:firstLineChars="200"/>
        <w:jc w:val="left"/>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w:t>
      </w:r>
      <w:r>
        <w:rPr>
          <w:rFonts w:ascii="宋体" w:hAnsi="宋体"/>
          <w:color w:val="auto"/>
          <w:sz w:val="24"/>
          <w:highlight w:val="none"/>
        </w:rPr>
        <w:t>评标办法及标准</w:t>
      </w:r>
    </w:p>
    <w:p>
      <w:pPr>
        <w:snapToGrid w:val="0"/>
        <w:spacing w:line="480" w:lineRule="exact"/>
        <w:ind w:firstLine="480" w:firstLineChars="200"/>
        <w:jc w:val="left"/>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合同主要条款</w:t>
      </w:r>
    </w:p>
    <w:p>
      <w:pPr>
        <w:snapToGrid w:val="0"/>
        <w:spacing w:line="480" w:lineRule="exact"/>
        <w:ind w:firstLine="480" w:firstLineChars="200"/>
        <w:jc w:val="left"/>
        <w:rPr>
          <w:rFonts w:hint="eastAsia"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w:t>
      </w:r>
      <w:r>
        <w:rPr>
          <w:rFonts w:ascii="宋体" w:hAnsi="宋体"/>
          <w:color w:val="auto"/>
          <w:sz w:val="24"/>
          <w:highlight w:val="none"/>
        </w:rPr>
        <w:t>投标文件格式</w:t>
      </w:r>
    </w:p>
    <w:p>
      <w:pPr>
        <w:snapToGrid w:val="0"/>
        <w:spacing w:line="48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7.本项目</w:t>
      </w:r>
      <w:r>
        <w:rPr>
          <w:rFonts w:ascii="宋体" w:hAnsi="宋体"/>
          <w:color w:val="auto"/>
          <w:sz w:val="24"/>
          <w:highlight w:val="none"/>
        </w:rPr>
        <w:t>招标文件</w:t>
      </w:r>
      <w:r>
        <w:rPr>
          <w:rFonts w:hint="eastAsia" w:ascii="宋体" w:hAnsi="宋体"/>
          <w:color w:val="auto"/>
          <w:sz w:val="24"/>
          <w:highlight w:val="none"/>
        </w:rPr>
        <w:t>的</w:t>
      </w:r>
      <w:r>
        <w:rPr>
          <w:rFonts w:ascii="宋体" w:hAnsi="宋体"/>
          <w:color w:val="auto"/>
          <w:sz w:val="24"/>
          <w:highlight w:val="none"/>
        </w:rPr>
        <w:t>澄清、答复、修改、补充的内容</w:t>
      </w:r>
    </w:p>
    <w:p>
      <w:pPr>
        <w:snapToGrid w:val="0"/>
        <w:spacing w:line="48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（二）投标人的风险</w:t>
      </w:r>
    </w:p>
    <w:p>
      <w:pPr>
        <w:pStyle w:val="22"/>
        <w:spacing w:line="480" w:lineRule="exact"/>
        <w:rPr>
          <w:rFonts w:ascii="宋体" w:eastAsia="宋体"/>
          <w:color w:val="auto"/>
          <w:highlight w:val="none"/>
        </w:rPr>
      </w:pPr>
      <w:r>
        <w:rPr>
          <w:rFonts w:hint="eastAsia" w:ascii="宋体" w:eastAsia="宋体"/>
          <w:color w:val="auto"/>
          <w:highlight w:val="none"/>
        </w:rPr>
        <w:t>投标人没有按照招标文件要求提供全部资料，或者投标人没有对招标文件在各方面作出实质性响应是投标人的风险，并可能导致其投标为无效标。</w:t>
      </w:r>
    </w:p>
    <w:p>
      <w:pPr>
        <w:pStyle w:val="4"/>
        <w:widowControl w:val="0"/>
        <w:tabs>
          <w:tab w:val="clear" w:pos="454"/>
        </w:tabs>
        <w:snapToGrid w:val="0"/>
        <w:spacing w:after="0" w:afterLines="0" w:line="480" w:lineRule="exact"/>
        <w:ind w:left="0" w:firstLine="472" w:firstLineChars="196"/>
        <w:rPr>
          <w:rFonts w:ascii="宋体" w:hAnsi="宋体"/>
          <w:b/>
          <w:color w:val="auto"/>
          <w:szCs w:val="24"/>
          <w:highlight w:val="none"/>
        </w:rPr>
      </w:pPr>
      <w:r>
        <w:rPr>
          <w:rFonts w:hint="eastAsia" w:ascii="宋体" w:hAnsi="宋体"/>
          <w:b/>
          <w:color w:val="auto"/>
          <w:szCs w:val="24"/>
          <w:highlight w:val="none"/>
        </w:rPr>
        <w:t>（三）招标文件的澄清与修改</w:t>
      </w:r>
      <w:r>
        <w:rPr>
          <w:rFonts w:ascii="宋体" w:hAnsi="宋体"/>
          <w:b/>
          <w:color w:val="auto"/>
          <w:szCs w:val="24"/>
          <w:highlight w:val="none"/>
        </w:rPr>
        <w:t xml:space="preserve"> </w:t>
      </w:r>
    </w:p>
    <w:p>
      <w:pPr>
        <w:pStyle w:val="14"/>
        <w:snapToGrid w:val="0"/>
        <w:spacing w:before="0" w:beforeLines="0" w:after="0" w:afterLines="0" w:line="480" w:lineRule="exact"/>
        <w:ind w:firstLine="480" w:firstLineChars="200"/>
        <w:rPr>
          <w:rFonts w:hAnsi="宋体"/>
          <w:color w:val="auto"/>
          <w:highlight w:val="none"/>
        </w:rPr>
      </w:pPr>
      <w:r>
        <w:rPr>
          <w:rFonts w:hAnsi="宋体"/>
          <w:color w:val="auto"/>
          <w:highlight w:val="none"/>
        </w:rPr>
        <w:t>1</w:t>
      </w:r>
      <w:r>
        <w:rPr>
          <w:rFonts w:hint="eastAsia" w:hAnsi="宋体"/>
          <w:color w:val="auto"/>
          <w:highlight w:val="none"/>
        </w:rPr>
        <w:t>.</w:t>
      </w:r>
      <w:r>
        <w:rPr>
          <w:rFonts w:hAnsi="宋体"/>
          <w:bCs/>
          <w:color w:val="auto"/>
          <w:highlight w:val="none"/>
        </w:rPr>
        <w:t>投标人应认真阅读本招标文件，发现其中有误或有不合理要求的，</w:t>
      </w:r>
      <w:r>
        <w:rPr>
          <w:rFonts w:hint="eastAsia" w:hAnsi="宋体"/>
          <w:bCs/>
          <w:color w:val="auto"/>
          <w:highlight w:val="none"/>
        </w:rPr>
        <w:t>可</w:t>
      </w:r>
      <w:r>
        <w:rPr>
          <w:rFonts w:hAnsi="宋体"/>
          <w:bCs/>
          <w:color w:val="auto"/>
          <w:highlight w:val="none"/>
        </w:rPr>
        <w:t>要求招标采购人澄清</w:t>
      </w:r>
      <w:r>
        <w:rPr>
          <w:rFonts w:hAnsi="宋体"/>
          <w:color w:val="auto"/>
          <w:highlight w:val="none"/>
        </w:rPr>
        <w:t>。</w:t>
      </w:r>
      <w:r>
        <w:rPr>
          <w:rFonts w:hint="eastAsia" w:hAnsi="宋体"/>
          <w:color w:val="auto"/>
          <w:highlight w:val="none"/>
        </w:rPr>
        <w:t>招标采购人</w:t>
      </w:r>
      <w:r>
        <w:rPr>
          <w:rFonts w:hAnsi="宋体"/>
          <w:color w:val="auto"/>
          <w:highlight w:val="none"/>
        </w:rPr>
        <w:t>对已发出的招标文件进行必要澄清</w:t>
      </w:r>
      <w:r>
        <w:rPr>
          <w:rFonts w:hint="eastAsia" w:hAnsi="宋体"/>
          <w:color w:val="auto"/>
          <w:highlight w:val="none"/>
        </w:rPr>
        <w:t>或者</w:t>
      </w:r>
      <w:r>
        <w:rPr>
          <w:rFonts w:hAnsi="宋体"/>
          <w:color w:val="auto"/>
          <w:highlight w:val="none"/>
        </w:rPr>
        <w:t>修改的，应当在招标文件要求提交投标文件截止</w:t>
      </w:r>
      <w:r>
        <w:rPr>
          <w:rFonts w:hint="eastAsia" w:hAnsi="宋体"/>
          <w:color w:val="auto"/>
          <w:highlight w:val="none"/>
        </w:rPr>
        <w:t>十</w:t>
      </w:r>
      <w:r>
        <w:rPr>
          <w:rFonts w:hAnsi="宋体"/>
          <w:color w:val="auto"/>
          <w:highlight w:val="none"/>
        </w:rPr>
        <w:t>五日前，在财政部门指定的政府采购信息发布媒体上发布更正公告，并以书面形式通知所有招标文件</w:t>
      </w:r>
      <w:r>
        <w:rPr>
          <w:rFonts w:hint="eastAsia" w:hAnsi="宋体"/>
          <w:color w:val="auto"/>
          <w:highlight w:val="none"/>
        </w:rPr>
        <w:t>获取</w:t>
      </w:r>
      <w:r>
        <w:rPr>
          <w:rFonts w:hAnsi="宋体"/>
          <w:color w:val="auto"/>
          <w:highlight w:val="none"/>
        </w:rPr>
        <w:t>人。</w:t>
      </w:r>
    </w:p>
    <w:p>
      <w:pPr>
        <w:pStyle w:val="14"/>
        <w:snapToGrid w:val="0"/>
        <w:spacing w:before="0" w:beforeLines="0" w:after="0" w:afterLines="0" w:line="480" w:lineRule="exact"/>
        <w:ind w:firstLine="480" w:firstLineChars="200"/>
        <w:rPr>
          <w:rFonts w:hAnsi="宋体"/>
          <w:color w:val="auto"/>
          <w:highlight w:val="none"/>
        </w:rPr>
      </w:pPr>
      <w:r>
        <w:rPr>
          <w:rFonts w:hAnsi="宋体"/>
          <w:color w:val="auto"/>
          <w:highlight w:val="none"/>
        </w:rPr>
        <w:t>2</w:t>
      </w:r>
      <w:r>
        <w:rPr>
          <w:rFonts w:hint="eastAsia" w:hAnsi="宋体"/>
          <w:color w:val="auto"/>
          <w:highlight w:val="none"/>
        </w:rPr>
        <w:t>.</w:t>
      </w:r>
      <w:r>
        <w:rPr>
          <w:rFonts w:hAnsi="宋体"/>
          <w:color w:val="auto"/>
          <w:highlight w:val="none"/>
        </w:rPr>
        <w:t>招标文件澄清</w:t>
      </w:r>
      <w:r>
        <w:rPr>
          <w:rFonts w:hint="eastAsia" w:hAnsi="宋体"/>
          <w:color w:val="auto"/>
          <w:highlight w:val="none"/>
        </w:rPr>
        <w:t>或者</w:t>
      </w:r>
      <w:r>
        <w:rPr>
          <w:rFonts w:hAnsi="宋体"/>
          <w:color w:val="auto"/>
          <w:highlight w:val="none"/>
        </w:rPr>
        <w:t>修改的内容为招标文件的组成部分。当招标文件与澄清</w:t>
      </w:r>
      <w:r>
        <w:rPr>
          <w:rFonts w:hint="eastAsia" w:hAnsi="宋体"/>
          <w:color w:val="auto"/>
          <w:highlight w:val="none"/>
        </w:rPr>
        <w:t>或者</w:t>
      </w:r>
      <w:r>
        <w:rPr>
          <w:rFonts w:hAnsi="宋体"/>
          <w:color w:val="auto"/>
          <w:highlight w:val="none"/>
        </w:rPr>
        <w:t>修改就同一内容的表述不一致时，以最后发出的书面文件为准。</w:t>
      </w:r>
    </w:p>
    <w:p>
      <w:pPr>
        <w:pStyle w:val="14"/>
        <w:snapToGrid w:val="0"/>
        <w:spacing w:before="0" w:beforeLines="0" w:after="0" w:afterLines="0" w:line="480" w:lineRule="exact"/>
        <w:ind w:firstLine="480" w:firstLineChars="200"/>
        <w:rPr>
          <w:rFonts w:hint="eastAsia" w:hAnsi="宋体"/>
          <w:color w:val="auto"/>
          <w:highlight w:val="none"/>
        </w:rPr>
      </w:pPr>
      <w:r>
        <w:rPr>
          <w:rFonts w:hint="eastAsia" w:hAnsi="宋体"/>
          <w:color w:val="auto"/>
          <w:highlight w:val="none"/>
        </w:rPr>
        <w:t>3.对</w:t>
      </w:r>
      <w:r>
        <w:rPr>
          <w:rFonts w:hAnsi="宋体"/>
          <w:color w:val="auto"/>
          <w:highlight w:val="none"/>
        </w:rPr>
        <w:t>招标文件的澄清、答复、修改或补充都应该通过</w:t>
      </w:r>
      <w:r>
        <w:rPr>
          <w:rFonts w:hint="eastAsia" w:hAnsi="宋体"/>
          <w:color w:val="auto"/>
          <w:highlight w:val="none"/>
        </w:rPr>
        <w:t>集中采购机构</w:t>
      </w:r>
      <w:r>
        <w:rPr>
          <w:rFonts w:hAnsi="宋体"/>
          <w:color w:val="auto"/>
          <w:highlight w:val="none"/>
        </w:rPr>
        <w:t>以法定形式发布，采购人非通过本机构，不得擅自澄清、答复、修改或补充招标文件。</w:t>
      </w:r>
    </w:p>
    <w:p>
      <w:pPr>
        <w:pStyle w:val="14"/>
        <w:snapToGrid w:val="0"/>
        <w:spacing w:before="0" w:beforeLines="0" w:after="0" w:afterLines="0" w:line="480" w:lineRule="exact"/>
        <w:ind w:firstLine="472" w:firstLineChars="196"/>
        <w:jc w:val="center"/>
        <w:outlineLvl w:val="1"/>
        <w:rPr>
          <w:rFonts w:hint="eastAsia" w:hAnsi="宋体"/>
          <w:b/>
          <w:color w:val="auto"/>
          <w:highlight w:val="none"/>
        </w:rPr>
      </w:pPr>
      <w:r>
        <w:rPr>
          <w:rFonts w:hAnsi="宋体"/>
          <w:b/>
          <w:color w:val="auto"/>
          <w:highlight w:val="none"/>
        </w:rPr>
        <w:t>三、投标文件的编制</w:t>
      </w:r>
    </w:p>
    <w:p>
      <w:pPr>
        <w:pStyle w:val="14"/>
        <w:snapToGrid w:val="0"/>
        <w:spacing w:before="0" w:beforeLines="0" w:after="0" w:afterLines="0" w:line="480" w:lineRule="exact"/>
        <w:ind w:firstLine="472" w:firstLineChars="196"/>
        <w:outlineLvl w:val="1"/>
        <w:rPr>
          <w:rFonts w:hint="eastAsia" w:hAnsi="宋体" w:cs="宋体"/>
          <w:b/>
          <w:color w:val="auto"/>
          <w:highlight w:val="none"/>
        </w:rPr>
      </w:pPr>
      <w:r>
        <w:rPr>
          <w:rFonts w:hint="eastAsia" w:hAnsi="宋体" w:cs="宋体"/>
          <w:b/>
          <w:color w:val="auto"/>
          <w:highlight w:val="none"/>
        </w:rPr>
        <w:t>本项目所涉投标文件格式请详见第六章，未给出的格式请自拟。资信商务及技术文件中不得出现报价，否则投标文件将被视为无效。</w:t>
      </w:r>
    </w:p>
    <w:p>
      <w:pPr>
        <w:adjustRightInd w:val="0"/>
        <w:snapToGrid w:val="0"/>
        <w:spacing w:line="480" w:lineRule="exact"/>
        <w:ind w:firstLine="472" w:firstLineChars="196"/>
        <w:rPr>
          <w:rFonts w:hint="eastAsia" w:ascii="宋体" w:hAnsi="宋体" w:cs="宋体"/>
          <w:b/>
          <w:color w:val="auto"/>
          <w:highlight w:val="none"/>
        </w:rPr>
      </w:pPr>
      <w:r>
        <w:rPr>
          <w:rFonts w:hint="eastAsia" w:ascii="宋体" w:hAnsi="宋体" w:cs="宋体"/>
          <w:b/>
          <w:color w:val="auto"/>
          <w:sz w:val="24"/>
          <w:highlight w:val="none"/>
        </w:rPr>
        <w:t>在电子投标文件中所有需要</w:t>
      </w:r>
      <w:r>
        <w:rPr>
          <w:rFonts w:hint="eastAsia" w:ascii="宋体" w:hAnsi="宋体" w:cs="宋体"/>
          <w:b/>
          <w:color w:val="auto"/>
          <w:sz w:val="24"/>
          <w:highlight w:val="none"/>
          <w:lang w:eastAsia="zh-CN"/>
        </w:rPr>
        <w:t>签字的地方须法定代表人或者授权委托人签字（印章），</w:t>
      </w:r>
      <w:r>
        <w:rPr>
          <w:rFonts w:hint="eastAsia" w:ascii="宋体" w:hAnsi="宋体" w:cs="宋体"/>
          <w:b/>
          <w:color w:val="auto"/>
          <w:sz w:val="24"/>
          <w:highlight w:val="none"/>
        </w:rPr>
        <w:t>加盖公章的均采用CA签章。</w:t>
      </w:r>
    </w:p>
    <w:p>
      <w:pPr>
        <w:snapToGrid w:val="0"/>
        <w:spacing w:line="480" w:lineRule="exact"/>
        <w:ind w:firstLine="472" w:firstLineChars="196"/>
        <w:jc w:val="left"/>
        <w:outlineLvl w:val="0"/>
        <w:rPr>
          <w:rFonts w:hint="eastAsia" w:ascii="宋体" w:hAnsi="宋体" w:cs="宋体"/>
          <w:b/>
          <w:color w:val="auto"/>
          <w:sz w:val="24"/>
          <w:highlight w:val="none"/>
        </w:rPr>
      </w:pPr>
      <w:bookmarkStart w:id="14" w:name="_Toc406402944"/>
      <w:bookmarkStart w:id="15" w:name="_Toc406402988"/>
      <w:r>
        <w:rPr>
          <w:rFonts w:hint="eastAsia" w:ascii="宋体" w:hAnsi="宋体" w:cs="宋体"/>
          <w:b/>
          <w:color w:val="auto"/>
          <w:sz w:val="24"/>
          <w:highlight w:val="none"/>
        </w:rPr>
        <w:t>（一）投标文件的组成</w:t>
      </w:r>
      <w:bookmarkEnd w:id="14"/>
      <w:bookmarkEnd w:id="15"/>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投标文件由资格响应文件、商务技术响应文件、报价响应文件组成。</w:t>
      </w:r>
    </w:p>
    <w:p>
      <w:pPr>
        <w:numPr>
          <w:ilvl w:val="0"/>
          <w:numId w:val="3"/>
        </w:numPr>
        <w:snapToGrid w:val="0"/>
        <w:spacing w:line="480" w:lineRule="exact"/>
        <w:jc w:val="left"/>
        <w:rPr>
          <w:rFonts w:hint="eastAsia" w:ascii="宋体" w:hAnsi="宋体" w:cs="宋体"/>
          <w:b/>
          <w:bCs/>
          <w:color w:val="auto"/>
          <w:sz w:val="24"/>
          <w:highlight w:val="none"/>
        </w:rPr>
      </w:pPr>
      <w:r>
        <w:rPr>
          <w:rFonts w:hint="eastAsia" w:ascii="宋体" w:hAnsi="宋体" w:cs="宋体"/>
          <w:b/>
          <w:bCs/>
          <w:color w:val="auto"/>
          <w:sz w:val="24"/>
          <w:highlight w:val="none"/>
        </w:rPr>
        <w:t>资格响应文件</w:t>
      </w:r>
    </w:p>
    <w:p>
      <w:pPr>
        <w:snapToGrid w:val="0"/>
        <w:spacing w:line="480" w:lineRule="exact"/>
        <w:jc w:val="left"/>
        <w:rPr>
          <w:rFonts w:hint="eastAsia" w:ascii="宋体" w:hAnsi="宋体" w:cs="宋体"/>
          <w:b/>
          <w:bCs/>
          <w:color w:val="auto"/>
          <w:sz w:val="24"/>
          <w:highlight w:val="none"/>
        </w:rPr>
      </w:pPr>
      <w:bookmarkStart w:id="16" w:name="_Toc406402945"/>
      <w:bookmarkStart w:id="17" w:name="_Toc406402989"/>
      <w:r>
        <w:rPr>
          <w:rFonts w:hint="eastAsia" w:ascii="宋体" w:hAnsi="宋体" w:cs="宋体"/>
          <w:bCs/>
          <w:color w:val="auto"/>
          <w:sz w:val="24"/>
          <w:highlight w:val="none"/>
        </w:rPr>
        <w:t>资格审查要求的证明材料（格式见第六章）</w:t>
      </w:r>
    </w:p>
    <w:p>
      <w:pPr>
        <w:numPr>
          <w:ilvl w:val="0"/>
          <w:numId w:val="3"/>
        </w:numPr>
        <w:snapToGrid w:val="0"/>
        <w:spacing w:line="480" w:lineRule="exact"/>
        <w:jc w:val="left"/>
        <w:rPr>
          <w:rFonts w:hint="eastAsia" w:ascii="宋体" w:hAnsi="宋体" w:cs="宋体"/>
          <w:b/>
          <w:color w:val="auto"/>
          <w:sz w:val="24"/>
          <w:highlight w:val="none"/>
        </w:rPr>
      </w:pPr>
      <w:r>
        <w:rPr>
          <w:rFonts w:hint="eastAsia" w:ascii="宋体" w:hAnsi="宋体" w:cs="宋体"/>
          <w:b/>
          <w:color w:val="auto"/>
          <w:sz w:val="24"/>
          <w:highlight w:val="none"/>
        </w:rPr>
        <w:t>商务技术响应文件</w:t>
      </w:r>
    </w:p>
    <w:p>
      <w:pPr>
        <w:snapToGrid w:val="0"/>
        <w:spacing w:line="480" w:lineRule="exact"/>
        <w:jc w:val="left"/>
        <w:rPr>
          <w:rFonts w:hint="eastAsia" w:ascii="宋体" w:hAnsi="宋体" w:cs="宋体"/>
          <w:b/>
          <w:color w:val="auto"/>
          <w:sz w:val="24"/>
          <w:highlight w:val="none"/>
        </w:rPr>
      </w:pPr>
      <w:r>
        <w:rPr>
          <w:rFonts w:hint="eastAsia" w:ascii="宋体" w:hAnsi="宋体" w:cs="宋体"/>
          <w:b/>
          <w:color w:val="auto"/>
          <w:sz w:val="24"/>
          <w:highlight w:val="none"/>
        </w:rPr>
        <w:t>2.1资信商务文件：</w:t>
      </w:r>
    </w:p>
    <w:p>
      <w:pPr>
        <w:spacing w:line="480" w:lineRule="exact"/>
        <w:ind w:firstLine="480" w:firstLineChars="200"/>
        <w:rPr>
          <w:rFonts w:hint="eastAsia" w:ascii="宋体" w:hAnsi="宋体" w:cs="宋体"/>
          <w:color w:val="auto"/>
          <w:sz w:val="24"/>
          <w:highlight w:val="none"/>
        </w:rPr>
      </w:pPr>
      <w:r>
        <w:rPr>
          <w:rFonts w:hint="eastAsia" w:ascii="宋体" w:hAnsi="宋体" w:cs="宋体"/>
          <w:bCs/>
          <w:color w:val="auto"/>
          <w:sz w:val="24"/>
          <w:highlight w:val="none"/>
        </w:rPr>
        <w:t>2.1.1</w:t>
      </w:r>
      <w:r>
        <w:rPr>
          <w:rFonts w:hint="eastAsia" w:ascii="宋体" w:hAnsi="宋体" w:cs="宋体"/>
          <w:color w:val="auto"/>
          <w:sz w:val="24"/>
          <w:highlight w:val="none"/>
        </w:rPr>
        <w:t>投标声明书（格式见第六章）；</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2.1.2法定代表人授权委托书（格式见第六章）；</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2.1.3诚信承诺书（格式见第六章）；</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2.1.4政府采购项目自评表（格式见第六章）；</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2.1.5投标单位截止投标时间前三年内的奖惩情况说明（格式自拟）；</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2.1.6企业实力（格式自拟）；</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2.1.7投标人信誉和荣誉（格式自拟）；</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2.1.8投标人业绩、项目经理业绩（格式见第六章）；</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2.1.9本地化服务（格式自拟）；</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2.1.10投标人需要说明的其他内容（未尽事宜可按评分细则部分制作）。</w:t>
      </w:r>
    </w:p>
    <w:p>
      <w:pPr>
        <w:snapToGrid w:val="0"/>
        <w:spacing w:line="480" w:lineRule="exact"/>
        <w:jc w:val="left"/>
        <w:rPr>
          <w:rFonts w:hint="eastAsia" w:ascii="宋体" w:hAnsi="宋体" w:cs="宋体"/>
          <w:b/>
          <w:color w:val="auto"/>
          <w:sz w:val="24"/>
          <w:highlight w:val="none"/>
        </w:rPr>
      </w:pPr>
      <w:r>
        <w:rPr>
          <w:rFonts w:hint="eastAsia" w:ascii="宋体" w:hAnsi="宋体" w:cs="宋体"/>
          <w:b/>
          <w:color w:val="auto"/>
          <w:sz w:val="24"/>
          <w:highlight w:val="none"/>
        </w:rPr>
        <w:t>2.2技术文件：</w:t>
      </w:r>
    </w:p>
    <w:p>
      <w:pPr>
        <w:spacing w:line="480" w:lineRule="exact"/>
        <w:ind w:firstLine="472" w:firstLineChars="197"/>
        <w:rPr>
          <w:rFonts w:hint="eastAsia" w:ascii="宋体" w:hAnsi="宋体" w:cs="宋体"/>
          <w:color w:val="auto"/>
          <w:sz w:val="24"/>
          <w:highlight w:val="none"/>
        </w:rPr>
      </w:pPr>
      <w:r>
        <w:rPr>
          <w:rFonts w:hint="eastAsia" w:ascii="宋体" w:hAnsi="宋体" w:cs="宋体"/>
          <w:color w:val="auto"/>
          <w:sz w:val="24"/>
          <w:highlight w:val="none"/>
        </w:rPr>
        <w:t xml:space="preserve">2.2.1投标产品详细清单（格式见第六章）及技术响应表（格式见第六章），详细列明所投项目主要设备清单，完整配置方案及技术指标，项目的核心产品必须明确所投品牌、规格型号及具体技术指标。任何含糊不清的表述对评标结果的影响将是投标人的责任； </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2.2.2总体方案、实施推进方案、质量保证措施和服务承诺、合理化建议（格式自拟）；</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2.2.3讲标（格式自拟）；</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2.2.4人员实力（格式自拟）；</w:t>
      </w:r>
    </w:p>
    <w:p>
      <w:pPr>
        <w:pStyle w:val="5"/>
        <w:overflowPunct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2.2.5车辆配置（格式自拟）；</w:t>
      </w:r>
    </w:p>
    <w:p>
      <w:pPr>
        <w:pStyle w:val="5"/>
        <w:overflowPunct w:val="0"/>
        <w:spacing w:line="48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2.2.6投标人需要说明的其他内容（未尽事宜可按评分细则部分制作）。</w:t>
      </w:r>
    </w:p>
    <w:p>
      <w:pPr>
        <w:snapToGrid w:val="0"/>
        <w:spacing w:line="480" w:lineRule="exact"/>
        <w:jc w:val="left"/>
        <w:rPr>
          <w:rFonts w:hint="eastAsia" w:ascii="宋体" w:hAnsi="宋体" w:cs="宋体"/>
          <w:b/>
          <w:color w:val="auto"/>
          <w:sz w:val="24"/>
          <w:highlight w:val="none"/>
        </w:rPr>
      </w:pPr>
      <w:r>
        <w:rPr>
          <w:rFonts w:hint="eastAsia" w:ascii="宋体" w:hAnsi="宋体" w:cs="宋体"/>
          <w:b/>
          <w:color w:val="auto"/>
          <w:sz w:val="24"/>
          <w:highlight w:val="none"/>
        </w:rPr>
        <w:t>3、报价响应文件：</w:t>
      </w:r>
    </w:p>
    <w:p>
      <w:pPr>
        <w:tabs>
          <w:tab w:val="left" w:pos="3870"/>
          <w:tab w:val="left" w:pos="4085"/>
        </w:tabs>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3.1投标函（格式见第六章）； </w:t>
      </w:r>
    </w:p>
    <w:p>
      <w:pPr>
        <w:pStyle w:val="15"/>
        <w:snapToGrid w:val="0"/>
        <w:spacing w:line="480" w:lineRule="exact"/>
        <w:ind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3.2开标一览表（格式见第六章）； </w:t>
      </w:r>
    </w:p>
    <w:p>
      <w:pPr>
        <w:pStyle w:val="15"/>
        <w:snapToGrid w:val="0"/>
        <w:spacing w:line="480" w:lineRule="exact"/>
        <w:ind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3.3投标报价明细表（格式见第六章）；</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3.4属于小型和微型企业的，投标文件中必须同时提供《中小企业声明函》（格式见第六章）、“国家企业信用信息公示系统——小微企业名录”页面查询结果；</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3.5残疾人福利性单位声明函（格式见第六章）及其他符合政策性条件的承诺函或证明材料；（非残疾人福利性单位不需提供此项）</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3.6投标人针对报价需要说明的其他文件和说明（格式自拟）。</w:t>
      </w:r>
    </w:p>
    <w:bookmarkEnd w:id="16"/>
    <w:bookmarkEnd w:id="17"/>
    <w:p>
      <w:pPr>
        <w:snapToGrid w:val="0"/>
        <w:spacing w:line="480" w:lineRule="exact"/>
        <w:ind w:firstLine="472" w:firstLineChars="196"/>
        <w:jc w:val="left"/>
        <w:outlineLvl w:val="0"/>
        <w:rPr>
          <w:rFonts w:hint="eastAsia" w:ascii="宋体" w:hAnsi="宋体" w:cs="宋体"/>
          <w:b/>
          <w:color w:val="auto"/>
          <w:sz w:val="24"/>
          <w:highlight w:val="none"/>
        </w:rPr>
      </w:pPr>
      <w:bookmarkStart w:id="18" w:name="_Toc385854100"/>
      <w:bookmarkStart w:id="19" w:name="_Toc385854146"/>
      <w:bookmarkStart w:id="20" w:name="_Toc402963084"/>
      <w:bookmarkStart w:id="21" w:name="_Toc406402990"/>
      <w:bookmarkStart w:id="22" w:name="_Toc406402946"/>
      <w:bookmarkStart w:id="23" w:name="_Toc402963117"/>
      <w:r>
        <w:rPr>
          <w:rFonts w:hint="eastAsia" w:ascii="宋体" w:hAnsi="宋体" w:cs="宋体"/>
          <w:b/>
          <w:color w:val="auto"/>
          <w:sz w:val="24"/>
          <w:highlight w:val="none"/>
        </w:rPr>
        <w:t>（二）投标文件的语言及计量</w:t>
      </w:r>
      <w:bookmarkEnd w:id="18"/>
      <w:bookmarkEnd w:id="19"/>
      <w:bookmarkEnd w:id="20"/>
      <w:bookmarkEnd w:id="21"/>
      <w:bookmarkEnd w:id="22"/>
      <w:bookmarkEnd w:id="23"/>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480" w:lineRule="exact"/>
        <w:ind w:firstLine="472" w:firstLineChars="196"/>
        <w:jc w:val="left"/>
        <w:outlineLvl w:val="0"/>
        <w:rPr>
          <w:rFonts w:hint="eastAsia" w:ascii="宋体" w:hAnsi="宋体" w:cs="宋体"/>
          <w:b/>
          <w:color w:val="auto"/>
          <w:sz w:val="24"/>
          <w:highlight w:val="none"/>
        </w:rPr>
      </w:pPr>
      <w:bookmarkStart w:id="24" w:name="_Toc385854101"/>
      <w:bookmarkStart w:id="25" w:name="_Toc385854147"/>
      <w:bookmarkStart w:id="26" w:name="_Toc402963085"/>
      <w:bookmarkStart w:id="27" w:name="_Toc406402991"/>
      <w:bookmarkStart w:id="28" w:name="_Toc402963118"/>
      <w:bookmarkStart w:id="29" w:name="_Toc406402947"/>
      <w:r>
        <w:rPr>
          <w:rFonts w:hint="eastAsia" w:ascii="宋体" w:hAnsi="宋体" w:cs="宋体"/>
          <w:b/>
          <w:color w:val="auto"/>
          <w:sz w:val="24"/>
          <w:highlight w:val="none"/>
        </w:rPr>
        <w:t>（三）投标报价</w:t>
      </w:r>
      <w:bookmarkEnd w:id="24"/>
      <w:bookmarkEnd w:id="25"/>
      <w:bookmarkEnd w:id="26"/>
      <w:bookmarkEnd w:id="27"/>
      <w:bookmarkEnd w:id="28"/>
      <w:bookmarkEnd w:id="29"/>
    </w:p>
    <w:p>
      <w:pPr>
        <w:pStyle w:val="14"/>
        <w:snapToGrid w:val="0"/>
        <w:spacing w:before="0" w:beforeLines="0" w:after="0" w:afterLines="0" w:line="480" w:lineRule="exact"/>
        <w:ind w:firstLine="480" w:firstLineChars="200"/>
        <w:jc w:val="left"/>
        <w:rPr>
          <w:rFonts w:hint="eastAsia" w:hAnsi="宋体" w:cs="宋体"/>
          <w:color w:val="auto"/>
          <w:highlight w:val="none"/>
        </w:rPr>
      </w:pPr>
      <w:r>
        <w:rPr>
          <w:rFonts w:hint="eastAsia" w:hAnsi="宋体" w:cs="宋体"/>
          <w:color w:val="auto"/>
          <w:highlight w:val="none"/>
        </w:rPr>
        <w:t>1.投标报价应按招标文件中相关附表格式填写。</w:t>
      </w:r>
    </w:p>
    <w:p>
      <w:pPr>
        <w:pStyle w:val="14"/>
        <w:snapToGrid w:val="0"/>
        <w:spacing w:before="0" w:beforeLines="0" w:after="0" w:afterLines="0" w:line="480" w:lineRule="exact"/>
        <w:ind w:firstLine="480" w:firstLineChars="200"/>
        <w:jc w:val="left"/>
        <w:rPr>
          <w:rFonts w:hint="eastAsia" w:hAnsi="宋体" w:cs="宋体"/>
          <w:color w:val="auto"/>
          <w:highlight w:val="none"/>
        </w:rPr>
      </w:pPr>
      <w:r>
        <w:rPr>
          <w:rFonts w:hint="eastAsia" w:hAnsi="宋体" w:cs="宋体"/>
          <w:color w:val="auto"/>
          <w:highlight w:val="none"/>
        </w:rPr>
        <w:t>2.投标报价是履行合同的最终价格，应包括货款、标准附件、备品备件、专用工具、包装、运输、装卸、保险、税金、货到就位以及安装、调试、培训、保修和前期方案编制、招投标、审计等一切税金和费用。</w:t>
      </w:r>
    </w:p>
    <w:p>
      <w:pPr>
        <w:tabs>
          <w:tab w:val="left" w:pos="525"/>
        </w:tabs>
        <w:snapToGrid w:val="0"/>
        <w:spacing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3.投标文件只允许有一个报价，有选择的或有条件的报价将不予接受。</w:t>
      </w:r>
    </w:p>
    <w:p>
      <w:pPr>
        <w:pStyle w:val="4"/>
        <w:widowControl w:val="0"/>
        <w:tabs>
          <w:tab w:val="clear" w:pos="454"/>
        </w:tabs>
        <w:snapToGrid w:val="0"/>
        <w:spacing w:after="0" w:afterLines="0" w:line="480" w:lineRule="exact"/>
        <w:ind w:left="0" w:firstLine="472" w:firstLineChars="196"/>
        <w:rPr>
          <w:rFonts w:hint="eastAsia" w:ascii="宋体" w:hAnsi="宋体" w:cs="宋体"/>
          <w:b/>
          <w:color w:val="auto"/>
          <w:szCs w:val="24"/>
          <w:highlight w:val="none"/>
        </w:rPr>
      </w:pPr>
      <w:r>
        <w:rPr>
          <w:rFonts w:hint="eastAsia" w:ascii="宋体" w:hAnsi="宋体" w:cs="宋体"/>
          <w:b/>
          <w:color w:val="auto"/>
          <w:szCs w:val="24"/>
          <w:highlight w:val="none"/>
        </w:rPr>
        <w:t>（四）投标文件的有效期</w:t>
      </w:r>
    </w:p>
    <w:p>
      <w:pPr>
        <w:pStyle w:val="4"/>
        <w:widowControl w:val="0"/>
        <w:tabs>
          <w:tab w:val="left" w:pos="4500"/>
          <w:tab w:val="clear" w:pos="454"/>
        </w:tabs>
        <w:snapToGrid w:val="0"/>
        <w:spacing w:after="0" w:afterLines="0" w:line="480" w:lineRule="exact"/>
        <w:ind w:left="0" w:firstLine="480" w:firstLineChars="200"/>
        <w:rPr>
          <w:rFonts w:hint="eastAsia" w:ascii="宋体" w:hAnsi="宋体" w:cs="宋体"/>
          <w:color w:val="auto"/>
          <w:szCs w:val="24"/>
          <w:highlight w:val="none"/>
        </w:rPr>
      </w:pPr>
      <w:r>
        <w:rPr>
          <w:rFonts w:hint="eastAsia" w:ascii="宋体" w:hAnsi="宋体" w:cs="宋体"/>
          <w:color w:val="auto"/>
          <w:szCs w:val="24"/>
          <w:highlight w:val="none"/>
        </w:rPr>
        <w:t>1.自投标截止日起</w:t>
      </w:r>
      <w:r>
        <w:rPr>
          <w:rFonts w:hint="eastAsia" w:ascii="宋体" w:hAnsi="宋体" w:cs="宋体"/>
          <w:color w:val="auto"/>
          <w:szCs w:val="24"/>
          <w:highlight w:val="none"/>
          <w:u w:val="single"/>
        </w:rPr>
        <w:t>90</w:t>
      </w:r>
      <w:r>
        <w:rPr>
          <w:rFonts w:hint="eastAsia" w:ascii="宋体" w:hAnsi="宋体" w:cs="宋体"/>
          <w:color w:val="auto"/>
          <w:szCs w:val="24"/>
          <w:highlight w:val="none"/>
        </w:rPr>
        <w:t>天投标文件应保持有效。有效期不足的投标文件将被拒绝。</w:t>
      </w:r>
    </w:p>
    <w:p>
      <w:pPr>
        <w:pStyle w:val="4"/>
        <w:widowControl w:val="0"/>
        <w:tabs>
          <w:tab w:val="clear" w:pos="454"/>
        </w:tabs>
        <w:snapToGrid w:val="0"/>
        <w:spacing w:after="0" w:afterLines="0" w:line="480" w:lineRule="exact"/>
        <w:ind w:left="0" w:firstLine="480" w:firstLineChars="200"/>
        <w:rPr>
          <w:rFonts w:hint="eastAsia" w:ascii="宋体" w:hAnsi="宋体" w:cs="宋体"/>
          <w:color w:val="auto"/>
          <w:szCs w:val="24"/>
          <w:highlight w:val="none"/>
        </w:rPr>
      </w:pPr>
      <w:r>
        <w:rPr>
          <w:rFonts w:hint="eastAsia" w:ascii="宋体" w:hAnsi="宋体" w:cs="宋体"/>
          <w:color w:val="auto"/>
          <w:szCs w:val="24"/>
          <w:highlight w:val="none"/>
        </w:rPr>
        <w:t>2.在特殊情况下，招标人可与投标人协商延长投标书的有效期，这种要求和答复均以书面形式进行。</w:t>
      </w:r>
    </w:p>
    <w:p>
      <w:pPr>
        <w:snapToGrid w:val="0"/>
        <w:spacing w:line="480" w:lineRule="exact"/>
        <w:ind w:firstLine="480" w:firstLineChars="200"/>
        <w:jc w:val="left"/>
        <w:outlineLvl w:val="0"/>
        <w:rPr>
          <w:rFonts w:hint="eastAsia" w:ascii="宋体" w:hAnsi="宋体" w:cs="宋体"/>
          <w:b/>
          <w:color w:val="auto"/>
          <w:sz w:val="24"/>
          <w:highlight w:val="none"/>
        </w:rPr>
      </w:pPr>
      <w:bookmarkStart w:id="30" w:name="_Toc406402993"/>
      <w:bookmarkStart w:id="31" w:name="_Toc406402949"/>
      <w:bookmarkStart w:id="32" w:name="_Toc402963087"/>
      <w:bookmarkStart w:id="33" w:name="_Toc385854103"/>
      <w:bookmarkStart w:id="34" w:name="_Toc402963120"/>
      <w:bookmarkStart w:id="35" w:name="_Toc385854149"/>
      <w:r>
        <w:rPr>
          <w:rFonts w:hint="eastAsia" w:ascii="宋体" w:hAnsi="宋体" w:cs="宋体"/>
          <w:color w:val="auto"/>
          <w:sz w:val="24"/>
          <w:highlight w:val="none"/>
        </w:rPr>
        <w:t>3.中标人的投标文件自开标之日起至合同履行完毕止均应保持有效。</w:t>
      </w:r>
      <w:bookmarkEnd w:id="30"/>
      <w:bookmarkEnd w:id="31"/>
      <w:bookmarkEnd w:id="32"/>
      <w:bookmarkEnd w:id="33"/>
      <w:bookmarkEnd w:id="34"/>
      <w:bookmarkEnd w:id="35"/>
    </w:p>
    <w:p>
      <w:pPr>
        <w:snapToGrid w:val="0"/>
        <w:spacing w:line="480" w:lineRule="exact"/>
        <w:ind w:firstLine="472" w:firstLineChars="196"/>
        <w:jc w:val="left"/>
        <w:outlineLvl w:val="0"/>
        <w:rPr>
          <w:rFonts w:hint="eastAsia" w:ascii="宋体" w:hAnsi="宋体" w:cs="宋体"/>
          <w:b/>
          <w:color w:val="auto"/>
          <w:sz w:val="24"/>
          <w:highlight w:val="none"/>
        </w:rPr>
      </w:pPr>
      <w:bookmarkStart w:id="36" w:name="_Toc406402995"/>
      <w:bookmarkStart w:id="37" w:name="_Toc385854105"/>
      <w:bookmarkStart w:id="38" w:name="_Toc385854151"/>
      <w:bookmarkStart w:id="39" w:name="_Toc402963089"/>
      <w:bookmarkStart w:id="40" w:name="_Toc406402951"/>
      <w:bookmarkStart w:id="41" w:name="_Toc402963122"/>
      <w:r>
        <w:rPr>
          <w:rFonts w:hint="eastAsia" w:ascii="宋体" w:hAnsi="宋体" w:cs="宋体"/>
          <w:b/>
          <w:color w:val="auto"/>
          <w:sz w:val="24"/>
          <w:highlight w:val="none"/>
        </w:rPr>
        <w:t>（五）投标文件的</w:t>
      </w:r>
      <w:bookmarkEnd w:id="36"/>
      <w:bookmarkEnd w:id="37"/>
      <w:bookmarkEnd w:id="38"/>
      <w:bookmarkEnd w:id="39"/>
      <w:bookmarkEnd w:id="40"/>
      <w:bookmarkEnd w:id="41"/>
      <w:r>
        <w:rPr>
          <w:rFonts w:hint="eastAsia" w:ascii="宋体" w:hAnsi="宋体" w:cs="宋体"/>
          <w:b/>
          <w:color w:val="auto"/>
          <w:sz w:val="24"/>
          <w:highlight w:val="none"/>
        </w:rPr>
        <w:t>递交</w:t>
      </w:r>
    </w:p>
    <w:p>
      <w:pPr>
        <w:snapToGrid w:val="0"/>
        <w:spacing w:line="480" w:lineRule="exact"/>
        <w:ind w:firstLine="472" w:firstLineChars="196"/>
        <w:jc w:val="left"/>
        <w:outlineLvl w:val="0"/>
        <w:rPr>
          <w:rFonts w:hint="eastAsia" w:ascii="宋体" w:hAnsi="宋体" w:cs="宋体"/>
          <w:b/>
          <w:color w:val="auto"/>
          <w:kern w:val="0"/>
          <w:sz w:val="24"/>
          <w:highlight w:val="none"/>
        </w:rPr>
      </w:pPr>
      <w:r>
        <w:rPr>
          <w:rFonts w:hint="eastAsia" w:ascii="宋体" w:hAnsi="宋体" w:cs="宋体"/>
          <w:b/>
          <w:color w:val="auto"/>
          <w:kern w:val="0"/>
          <w:sz w:val="24"/>
          <w:highlight w:val="none"/>
        </w:rPr>
        <w:t>电子投标文件</w:t>
      </w:r>
    </w:p>
    <w:p>
      <w:pPr>
        <w:snapToGrid w:val="0"/>
        <w:spacing w:line="480" w:lineRule="exact"/>
        <w:ind w:firstLine="470" w:firstLineChars="196"/>
        <w:jc w:val="left"/>
        <w:outlineLvl w:val="0"/>
        <w:rPr>
          <w:rFonts w:hint="eastAsia" w:ascii="宋体" w:hAnsi="宋体" w:cs="宋体"/>
          <w:color w:val="auto"/>
          <w:kern w:val="0"/>
          <w:sz w:val="24"/>
          <w:highlight w:val="none"/>
        </w:rPr>
      </w:pPr>
      <w:r>
        <w:rPr>
          <w:rFonts w:hint="eastAsia" w:ascii="宋体" w:hAnsi="宋体" w:cs="宋体"/>
          <w:color w:val="auto"/>
          <w:kern w:val="0"/>
          <w:sz w:val="24"/>
          <w:highlight w:val="none"/>
        </w:rPr>
        <w:t>电子投标文件按政采云平台供应商电子招投标操作指南（网址：</w:t>
      </w: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HYPERLINK "https://help.zcygov.cn/web/site_2/2018/12-28/2573.html）及本招标文件规定的格式和顺序编制电子投标文件并进行关联定位。" </w:instrText>
      </w:r>
      <w:r>
        <w:rPr>
          <w:rFonts w:hint="eastAsia" w:ascii="宋体" w:hAnsi="宋体" w:cs="宋体"/>
          <w:color w:val="auto"/>
          <w:kern w:val="0"/>
          <w:sz w:val="24"/>
          <w:highlight w:val="none"/>
        </w:rPr>
        <w:fldChar w:fldCharType="separate"/>
      </w:r>
      <w:r>
        <w:rPr>
          <w:rStyle w:val="32"/>
          <w:rFonts w:hint="eastAsia" w:ascii="宋体" w:hAnsi="宋体" w:cs="宋体"/>
          <w:color w:val="auto"/>
          <w:kern w:val="0"/>
          <w:sz w:val="24"/>
          <w:highlight w:val="none"/>
        </w:rPr>
        <w:t>https://help.zcygov.cn/web/site_2/2018/12-28/2573.html）及本招标文件规定的格式和顺序编制电子投标文件并进行关联定位。</w:t>
      </w:r>
      <w:r>
        <w:rPr>
          <w:rFonts w:hint="eastAsia" w:ascii="宋体" w:hAnsi="宋体" w:cs="宋体"/>
          <w:color w:val="auto"/>
          <w:kern w:val="0"/>
          <w:sz w:val="24"/>
          <w:highlight w:val="none"/>
        </w:rPr>
        <w:fldChar w:fldCharType="end"/>
      </w:r>
    </w:p>
    <w:p>
      <w:pPr>
        <w:tabs>
          <w:tab w:val="left" w:pos="2212"/>
        </w:tabs>
        <w:adjustRightInd w:val="0"/>
        <w:snapToGrid w:val="0"/>
        <w:spacing w:line="480" w:lineRule="exact"/>
        <w:ind w:firstLine="480" w:firstLineChars="200"/>
        <w:rPr>
          <w:rFonts w:hint="eastAsia" w:ascii="宋体" w:hAnsi="宋体" w:cs="宋体"/>
          <w:color w:val="auto"/>
          <w:sz w:val="24"/>
          <w:szCs w:val="21"/>
          <w:highlight w:val="none"/>
        </w:rPr>
      </w:pPr>
      <w:r>
        <w:rPr>
          <w:rFonts w:hint="eastAsia" w:ascii="宋体" w:hAnsi="宋体" w:cs="宋体"/>
          <w:bCs/>
          <w:color w:val="auto"/>
          <w:sz w:val="24"/>
          <w:highlight w:val="none"/>
        </w:rPr>
        <w:t>1.</w:t>
      </w:r>
      <w:r>
        <w:rPr>
          <w:rFonts w:hint="eastAsia" w:ascii="宋体" w:hAnsi="宋体" w:cs="宋体"/>
          <w:color w:val="auto"/>
          <w:sz w:val="24"/>
          <w:highlight w:val="none"/>
        </w:rPr>
        <w:t>2020年7月15日9时30分前在“政采云”上自行加密上传电子投标文件，逾期上传或未按要求上传的投标文件将予以拒收。</w:t>
      </w:r>
      <w:r>
        <w:rPr>
          <w:rFonts w:hint="eastAsia" w:ascii="宋体" w:hAnsi="宋体" w:cs="宋体"/>
          <w:b/>
          <w:color w:val="auto"/>
          <w:sz w:val="24"/>
          <w:highlight w:val="none"/>
        </w:rPr>
        <w:t>投标人无需到开标现场，只需准时在线参加</w:t>
      </w:r>
      <w:r>
        <w:rPr>
          <w:rFonts w:hint="eastAsia" w:ascii="宋体" w:hAnsi="宋体" w:cs="宋体"/>
          <w:color w:val="auto"/>
          <w:sz w:val="24"/>
          <w:szCs w:val="21"/>
          <w:highlight w:val="none"/>
        </w:rPr>
        <w:t>。</w:t>
      </w:r>
    </w:p>
    <w:p>
      <w:pPr>
        <w:pStyle w:val="14"/>
        <w:spacing w:before="0" w:beforeLines="0" w:after="0" w:afterLines="0" w:line="480" w:lineRule="exact"/>
        <w:ind w:firstLine="482" w:firstLineChars="200"/>
        <w:rPr>
          <w:rFonts w:hint="eastAsia" w:hAnsi="宋体" w:cs="宋体"/>
          <w:b/>
          <w:bCs/>
          <w:color w:val="auto"/>
          <w:highlight w:val="none"/>
        </w:rPr>
      </w:pPr>
      <w:r>
        <w:rPr>
          <w:rFonts w:hint="eastAsia" w:hAnsi="宋体" w:cs="宋体"/>
          <w:b/>
          <w:bCs/>
          <w:color w:val="auto"/>
          <w:highlight w:val="none"/>
        </w:rPr>
        <w:t>投标文件解密</w:t>
      </w:r>
    </w:p>
    <w:p>
      <w:pPr>
        <w:tabs>
          <w:tab w:val="left" w:pos="2212"/>
        </w:tabs>
        <w:adjustRightInd w:val="0"/>
        <w:snapToGrid w:val="0"/>
        <w:spacing w:line="480" w:lineRule="exact"/>
        <w:ind w:firstLine="482" w:firstLineChars="200"/>
        <w:rPr>
          <w:rFonts w:hint="eastAsia" w:ascii="宋体" w:hAnsi="宋体" w:cs="宋体"/>
          <w:color w:val="auto"/>
          <w:highlight w:val="none"/>
        </w:rPr>
      </w:pPr>
      <w:r>
        <w:rPr>
          <w:rFonts w:hint="eastAsia" w:ascii="宋体" w:hAnsi="宋体" w:cs="宋体"/>
          <w:b/>
          <w:color w:val="auto"/>
          <w:sz w:val="24"/>
          <w:highlight w:val="none"/>
        </w:rPr>
        <w:t>开标时间后半小时小时内（2020年7月15日10时0分前）投标可以登录“政采云”平台，用“项目采购-开标评标”功能进行解密投标文件。若投标人在规定时间内无法解密或解密失败，将导致投标无效或失败。</w:t>
      </w:r>
    </w:p>
    <w:p>
      <w:pPr>
        <w:snapToGrid w:val="0"/>
        <w:spacing w:line="480" w:lineRule="exact"/>
        <w:ind w:firstLine="482" w:firstLineChars="200"/>
        <w:jc w:val="left"/>
        <w:rPr>
          <w:rFonts w:hint="eastAsia" w:ascii="宋体" w:hAnsi="宋体" w:cs="宋体"/>
          <w:color w:val="auto"/>
          <w:sz w:val="24"/>
          <w:szCs w:val="21"/>
          <w:highlight w:val="none"/>
        </w:rPr>
      </w:pPr>
      <w:r>
        <w:rPr>
          <w:rFonts w:hint="eastAsia" w:ascii="宋体" w:hAnsi="宋体" w:cs="宋体"/>
          <w:b/>
          <w:bCs/>
          <w:color w:val="auto"/>
          <w:sz w:val="24"/>
          <w:highlight w:val="none"/>
        </w:rPr>
        <w:t>3.</w:t>
      </w:r>
      <w:r>
        <w:rPr>
          <w:rFonts w:hint="eastAsia" w:ascii="宋体" w:hAnsi="宋体" w:cs="宋体"/>
          <w:color w:val="auto"/>
          <w:sz w:val="24"/>
          <w:szCs w:val="21"/>
          <w:highlight w:val="none"/>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720" w:firstLineChars="300"/>
        <w:rPr>
          <w:rFonts w:hint="eastAsia" w:ascii="宋体" w:hAnsi="宋体" w:cs="宋体"/>
          <w:color w:val="auto"/>
          <w:sz w:val="24"/>
          <w:szCs w:val="21"/>
          <w:highlight w:val="none"/>
        </w:rPr>
      </w:pPr>
      <w:r>
        <w:rPr>
          <w:rFonts w:hint="eastAsia" w:ascii="宋体" w:hAnsi="宋体" w:cs="宋体"/>
          <w:color w:val="auto"/>
          <w:sz w:val="24"/>
          <w:szCs w:val="21"/>
          <w:highlight w:val="none"/>
        </w:rPr>
        <w:t>在投标截止时间之后，投标人不得对其投标做任何修改。</w:t>
      </w:r>
    </w:p>
    <w:p>
      <w:pPr>
        <w:tabs>
          <w:tab w:val="left" w:pos="2212"/>
        </w:tabs>
        <w:adjustRightInd w:val="0"/>
        <w:snapToGrid w:val="0"/>
        <w:spacing w:line="400" w:lineRule="exact"/>
        <w:ind w:firstLine="720" w:firstLineChars="300"/>
        <w:rPr>
          <w:rFonts w:hint="eastAsia" w:ascii="宋体" w:hAnsi="宋体" w:cs="宋体"/>
          <w:color w:val="auto"/>
          <w:sz w:val="24"/>
          <w:szCs w:val="21"/>
          <w:highlight w:val="none"/>
        </w:rPr>
      </w:pPr>
      <w:r>
        <w:rPr>
          <w:rFonts w:hint="eastAsia" w:ascii="宋体" w:hAnsi="宋体" w:cs="宋体"/>
          <w:color w:val="auto"/>
          <w:sz w:val="24"/>
          <w:szCs w:val="21"/>
          <w:highlight w:val="none"/>
        </w:rPr>
        <w:t>从投标截止时间至投标人在投标书格式中确定的投标有效期期满这段时间内，投标人不得撤回其投标。</w:t>
      </w:r>
    </w:p>
    <w:p>
      <w:pPr>
        <w:snapToGrid w:val="0"/>
        <w:spacing w:line="480" w:lineRule="exact"/>
        <w:ind w:firstLine="472" w:firstLineChars="196"/>
        <w:outlineLvl w:val="2"/>
        <w:rPr>
          <w:rFonts w:hint="eastAsia" w:ascii="宋体" w:hAnsi="宋体" w:cs="宋体"/>
          <w:b/>
          <w:color w:val="auto"/>
          <w:sz w:val="24"/>
          <w:highlight w:val="none"/>
        </w:rPr>
      </w:pPr>
      <w:r>
        <w:rPr>
          <w:rFonts w:hint="eastAsia" w:ascii="宋体" w:hAnsi="宋体" w:cs="宋体"/>
          <w:b/>
          <w:color w:val="auto"/>
          <w:sz w:val="24"/>
          <w:highlight w:val="none"/>
        </w:rPr>
        <w:t>（六）投标无效的情形</w:t>
      </w:r>
    </w:p>
    <w:p>
      <w:pPr>
        <w:snapToGrid w:val="0"/>
        <w:spacing w:line="48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实质上没有响应招标文件要求的投标将被视为无效投标。投标人修改、补正投标文件后，不影响评标委员会对其投标文件所作的评价和评分结果。</w:t>
      </w:r>
    </w:p>
    <w:p>
      <w:pPr>
        <w:snapToGrid w:val="0"/>
        <w:spacing w:line="480" w:lineRule="exact"/>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1.电子投标文件解密失败的，且未在规定时间内提交有效备份投标文件的。</w:t>
      </w:r>
    </w:p>
    <w:p>
      <w:pPr>
        <w:snapToGrid w:val="0"/>
        <w:spacing w:line="480" w:lineRule="exact"/>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2.没有通过资格审查的，投标文件将被视为无效。</w:t>
      </w:r>
    </w:p>
    <w:p>
      <w:pPr>
        <w:snapToGrid w:val="0"/>
        <w:spacing w:line="480" w:lineRule="exact"/>
        <w:ind w:firstLine="472" w:firstLineChars="196"/>
        <w:rPr>
          <w:rFonts w:hint="eastAsia" w:ascii="宋体" w:hAnsi="宋体" w:cs="宋体"/>
          <w:bCs/>
          <w:color w:val="auto"/>
          <w:sz w:val="24"/>
          <w:highlight w:val="none"/>
        </w:rPr>
      </w:pPr>
      <w:r>
        <w:rPr>
          <w:rFonts w:hint="eastAsia" w:ascii="宋体" w:hAnsi="宋体" w:cs="宋体"/>
          <w:b/>
          <w:color w:val="auto"/>
          <w:sz w:val="24"/>
          <w:highlight w:val="none"/>
        </w:rPr>
        <w:t>3.在符合性审查和商务评审时，如发现下列情形之一的，投标文件将被视为无效：</w:t>
      </w:r>
    </w:p>
    <w:p>
      <w:pPr>
        <w:snapToGrid w:val="0"/>
        <w:spacing w:line="480" w:lineRule="exact"/>
        <w:ind w:firstLine="470" w:firstLineChars="196"/>
        <w:rPr>
          <w:rFonts w:hint="eastAsia" w:ascii="宋体" w:hAnsi="宋体" w:cs="宋体"/>
          <w:color w:val="auto"/>
          <w:sz w:val="24"/>
          <w:highlight w:val="none"/>
        </w:rPr>
      </w:pPr>
      <w:r>
        <w:rPr>
          <w:rFonts w:hint="eastAsia" w:ascii="宋体" w:hAnsi="宋体" w:cs="宋体"/>
          <w:bCs/>
          <w:color w:val="auto"/>
          <w:sz w:val="24"/>
          <w:highlight w:val="none"/>
        </w:rPr>
        <w:t>（1）</w:t>
      </w:r>
      <w:r>
        <w:rPr>
          <w:rFonts w:hint="eastAsia" w:ascii="宋体" w:hAnsi="宋体" w:cs="宋体"/>
          <w:color w:val="auto"/>
          <w:sz w:val="24"/>
          <w:highlight w:val="none"/>
        </w:rPr>
        <w:t>电子投标文件未按规定要求提供电子签章的；</w:t>
      </w:r>
    </w:p>
    <w:p>
      <w:pPr>
        <w:snapToGrid w:val="0"/>
        <w:spacing w:line="480" w:lineRule="exact"/>
        <w:ind w:firstLine="480" w:firstLineChars="200"/>
        <w:rPr>
          <w:rFonts w:hint="eastAsia" w:ascii="宋体" w:hAnsi="宋体" w:cs="宋体"/>
          <w:bCs/>
          <w:color w:val="auto"/>
          <w:sz w:val="24"/>
          <w:highlight w:val="none"/>
        </w:rPr>
      </w:pPr>
      <w:r>
        <w:rPr>
          <w:rFonts w:hint="eastAsia" w:ascii="宋体" w:hAnsi="宋体" w:cs="宋体"/>
          <w:color w:val="auto"/>
          <w:sz w:val="24"/>
          <w:highlight w:val="none"/>
        </w:rPr>
        <w:t>（2）</w:t>
      </w:r>
      <w:r>
        <w:rPr>
          <w:rFonts w:hint="eastAsia" w:ascii="宋体" w:hAnsi="宋体" w:cs="宋体"/>
          <w:bCs/>
          <w:color w:val="auto"/>
          <w:sz w:val="24"/>
          <w:highlight w:val="none"/>
        </w:rPr>
        <w:t>在资信商务技术文件中出现报价的；</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（3）资格证明文件不全的，或者不符合招标文件标明的资格要求的；</w:t>
      </w:r>
    </w:p>
    <w:p>
      <w:pPr>
        <w:snapToGrid w:val="0"/>
        <w:spacing w:line="480" w:lineRule="exact"/>
        <w:ind w:firstLine="470" w:firstLineChars="196"/>
        <w:rPr>
          <w:rFonts w:hint="eastAsia" w:ascii="宋体" w:hAnsi="宋体" w:cs="宋体"/>
          <w:bCs/>
          <w:color w:val="auto"/>
          <w:kern w:val="0"/>
          <w:sz w:val="24"/>
          <w:highlight w:val="none"/>
        </w:rPr>
      </w:pPr>
      <w:r>
        <w:rPr>
          <w:rFonts w:hint="eastAsia" w:ascii="宋体" w:hAnsi="宋体" w:cs="宋体"/>
          <w:color w:val="auto"/>
          <w:sz w:val="24"/>
          <w:highlight w:val="none"/>
        </w:rPr>
        <w:t>（4）投标文件无法定代表人签字（或盖章）,或未</w:t>
      </w:r>
      <w:r>
        <w:rPr>
          <w:rFonts w:hint="eastAsia" w:ascii="宋体" w:hAnsi="宋体" w:cs="宋体"/>
          <w:bCs/>
          <w:color w:val="auto"/>
          <w:kern w:val="0"/>
          <w:sz w:val="24"/>
          <w:highlight w:val="none"/>
        </w:rPr>
        <w:t>提供法定代表人授权委托书、投标声明书或者填写项目不齐全的；</w:t>
      </w:r>
    </w:p>
    <w:p>
      <w:pPr>
        <w:snapToGrid w:val="0"/>
        <w:spacing w:line="480" w:lineRule="exact"/>
        <w:ind w:firstLine="470" w:firstLineChars="196"/>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sz w:val="24"/>
          <w:highlight w:val="none"/>
        </w:rPr>
        <w:t>5）</w:t>
      </w:r>
      <w:r>
        <w:rPr>
          <w:rFonts w:hint="eastAsia" w:ascii="宋体" w:hAnsi="宋体" w:cs="宋体"/>
          <w:color w:val="auto"/>
          <w:sz w:val="24"/>
          <w:highlight w:val="none"/>
        </w:rPr>
        <w:t xml:space="preserve">投标代表人未能出具身份证明或与法定代表人授权委托人身份不符的； </w:t>
      </w:r>
    </w:p>
    <w:p>
      <w:pPr>
        <w:pStyle w:val="11"/>
        <w:snapToGrid w:val="0"/>
        <w:spacing w:line="480" w:lineRule="exact"/>
        <w:ind w:firstLine="454" w:firstLineChars="196"/>
        <w:rPr>
          <w:rFonts w:hint="eastAsia" w:hAnsi="宋体" w:cs="宋体"/>
          <w:snapToGrid w:val="0"/>
          <w:color w:val="auto"/>
          <w:sz w:val="24"/>
          <w:szCs w:val="24"/>
          <w:highlight w:val="none"/>
        </w:rPr>
      </w:pPr>
      <w:r>
        <w:rPr>
          <w:rFonts w:hint="eastAsia" w:hAnsi="宋体" w:cs="宋体"/>
          <w:color w:val="auto"/>
          <w:sz w:val="24"/>
          <w:szCs w:val="24"/>
          <w:highlight w:val="none"/>
        </w:rPr>
        <w:t>（6）投标文件格式不规范、项目不齐全或者内容虚假的；</w:t>
      </w:r>
    </w:p>
    <w:p>
      <w:pPr>
        <w:pStyle w:val="11"/>
        <w:snapToGrid w:val="0"/>
        <w:spacing w:line="480" w:lineRule="exact"/>
        <w:ind w:firstLine="454" w:firstLineChars="196"/>
        <w:rPr>
          <w:rFonts w:hint="eastAsia" w:hAnsi="宋体" w:cs="宋体"/>
          <w:snapToGrid w:val="0"/>
          <w:color w:val="auto"/>
          <w:sz w:val="24"/>
          <w:szCs w:val="24"/>
          <w:highlight w:val="none"/>
        </w:rPr>
      </w:pPr>
      <w:r>
        <w:rPr>
          <w:rFonts w:hint="eastAsia" w:hAnsi="宋体" w:cs="宋体"/>
          <w:color w:val="auto"/>
          <w:sz w:val="24"/>
          <w:szCs w:val="24"/>
          <w:highlight w:val="none"/>
        </w:rPr>
        <w:t>（</w:t>
      </w:r>
      <w:r>
        <w:rPr>
          <w:rFonts w:hint="eastAsia" w:hAnsi="宋体" w:cs="宋体"/>
          <w:snapToGrid w:val="0"/>
          <w:color w:val="auto"/>
          <w:sz w:val="24"/>
          <w:szCs w:val="24"/>
          <w:highlight w:val="none"/>
        </w:rPr>
        <w:t>7）</w:t>
      </w:r>
      <w:r>
        <w:rPr>
          <w:rFonts w:hint="eastAsia" w:hAnsi="宋体" w:cs="宋体"/>
          <w:color w:val="auto"/>
          <w:sz w:val="24"/>
          <w:szCs w:val="24"/>
          <w:highlight w:val="none"/>
        </w:rPr>
        <w:t>投标文件的实质性内容未使用中文表述、意思表述不明确、前后矛盾或者使用计量单位不符合招标文件要求的（经评标委员会认定并允许其当场更正的笔误除外）；</w:t>
      </w:r>
    </w:p>
    <w:p>
      <w:pPr>
        <w:pStyle w:val="11"/>
        <w:snapToGrid w:val="0"/>
        <w:spacing w:line="480" w:lineRule="exact"/>
        <w:ind w:firstLine="454" w:firstLineChars="196"/>
        <w:rPr>
          <w:rFonts w:hint="eastAsia" w:hAnsi="宋体" w:cs="宋体"/>
          <w:snapToGrid w:val="0"/>
          <w:color w:val="auto"/>
          <w:sz w:val="24"/>
          <w:szCs w:val="24"/>
          <w:highlight w:val="none"/>
        </w:rPr>
      </w:pPr>
      <w:r>
        <w:rPr>
          <w:rFonts w:hint="eastAsia" w:hAnsi="宋体" w:cs="宋体"/>
          <w:color w:val="auto"/>
          <w:sz w:val="24"/>
          <w:szCs w:val="24"/>
          <w:highlight w:val="none"/>
        </w:rPr>
        <w:t>（8）</w:t>
      </w:r>
      <w:r>
        <w:rPr>
          <w:rFonts w:hint="eastAsia" w:hAnsi="宋体" w:cs="宋体"/>
          <w:snapToGrid w:val="0"/>
          <w:color w:val="auto"/>
          <w:sz w:val="24"/>
          <w:szCs w:val="24"/>
          <w:highlight w:val="none"/>
        </w:rPr>
        <w:t>投标有效期、交货时间、质保期等商务条款不能满足招标文件要求的；</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（9）未实质性响应招标文件要求或者投标文件有招标方不能接受的附加条件的；</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（10）不符合本招标文件中的实质性要求条款。</w:t>
      </w:r>
    </w:p>
    <w:p>
      <w:pPr>
        <w:pStyle w:val="11"/>
        <w:snapToGrid w:val="0"/>
        <w:spacing w:line="480" w:lineRule="exact"/>
        <w:ind w:firstLine="457" w:firstLineChars="196"/>
        <w:rPr>
          <w:rFonts w:hint="eastAsia" w:hAnsi="宋体" w:cs="宋体"/>
          <w:b/>
          <w:bCs/>
          <w:color w:val="auto"/>
          <w:sz w:val="24"/>
          <w:szCs w:val="24"/>
          <w:highlight w:val="none"/>
        </w:rPr>
      </w:pPr>
      <w:r>
        <w:rPr>
          <w:rFonts w:hint="eastAsia" w:hAnsi="宋体" w:cs="宋体"/>
          <w:b/>
          <w:bCs/>
          <w:color w:val="auto"/>
          <w:sz w:val="24"/>
          <w:szCs w:val="24"/>
          <w:highlight w:val="none"/>
        </w:rPr>
        <w:t>4.在技术评审时，如发现下列情形之一的，投标文件将被视为无效：</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（1）未提供或未如实提供投标货物的技术参数，或者投标文件标明的响应或偏离与事实不符或虚假投标的；</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（2）</w:t>
      </w:r>
      <w:r>
        <w:rPr>
          <w:rFonts w:hint="eastAsia" w:hAnsi="宋体" w:cs="宋体"/>
          <w:snapToGrid w:val="0"/>
          <w:color w:val="auto"/>
          <w:sz w:val="24"/>
          <w:szCs w:val="24"/>
          <w:highlight w:val="none"/>
        </w:rPr>
        <w:t>明显不符合招标文件要求的规格型号、质量标准，或者与</w:t>
      </w:r>
      <w:r>
        <w:rPr>
          <w:rFonts w:hint="eastAsia" w:hAnsi="宋体" w:cs="宋体"/>
          <w:color w:val="auto"/>
          <w:sz w:val="24"/>
          <w:szCs w:val="24"/>
          <w:highlight w:val="none"/>
        </w:rPr>
        <w:t>招标文件中标“▲”的技术指标、主要功能项目发生实质性偏离的；</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snapToGrid w:val="0"/>
          <w:color w:val="auto"/>
          <w:sz w:val="24"/>
          <w:szCs w:val="24"/>
          <w:highlight w:val="none"/>
        </w:rPr>
        <w:t>（3）</w:t>
      </w:r>
      <w:r>
        <w:rPr>
          <w:rFonts w:hint="eastAsia" w:hAnsi="宋体" w:cs="宋体"/>
          <w:color w:val="auto"/>
          <w:sz w:val="24"/>
          <w:szCs w:val="24"/>
          <w:highlight w:val="none"/>
        </w:rPr>
        <w:t>投标技术方案不明确，存在一个或一个以上备选（替代）投标方案的；</w:t>
      </w:r>
    </w:p>
    <w:p>
      <w:pPr>
        <w:pStyle w:val="11"/>
        <w:snapToGrid w:val="0"/>
        <w:spacing w:line="480" w:lineRule="exact"/>
        <w:ind w:firstLine="457" w:firstLineChars="196"/>
        <w:rPr>
          <w:rFonts w:hint="eastAsia" w:hAnsi="宋体" w:cs="宋体"/>
          <w:b/>
          <w:bCs/>
          <w:color w:val="auto"/>
          <w:sz w:val="24"/>
          <w:szCs w:val="24"/>
          <w:highlight w:val="none"/>
        </w:rPr>
      </w:pPr>
      <w:r>
        <w:rPr>
          <w:rFonts w:hint="eastAsia" w:hAnsi="宋体" w:cs="宋体"/>
          <w:b/>
          <w:bCs/>
          <w:color w:val="auto"/>
          <w:sz w:val="24"/>
          <w:szCs w:val="24"/>
          <w:highlight w:val="none"/>
        </w:rPr>
        <w:t>5.在报价评审时，如发现下列情形之一的，投标文件将被视为无效：</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（1）未采用人民币报价或者未按照招标文件标明的币种报价的；</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（2）报价超出最高限价；</w:t>
      </w:r>
    </w:p>
    <w:p>
      <w:pPr>
        <w:pStyle w:val="11"/>
        <w:snapToGrid w:val="0"/>
        <w:spacing w:line="480" w:lineRule="exact"/>
        <w:ind w:firstLine="464" w:firstLineChars="200"/>
        <w:rPr>
          <w:rFonts w:hint="eastAsia" w:hAnsi="宋体" w:cs="宋体"/>
          <w:color w:val="auto"/>
          <w:sz w:val="24"/>
          <w:szCs w:val="24"/>
          <w:highlight w:val="none"/>
        </w:rPr>
      </w:pPr>
      <w:r>
        <w:rPr>
          <w:rFonts w:hint="eastAsia" w:hAnsi="宋体" w:cs="宋体"/>
          <w:color w:val="auto"/>
          <w:sz w:val="24"/>
          <w:szCs w:val="24"/>
          <w:highlight w:val="none"/>
        </w:rPr>
        <w:t xml:space="preserve">（3）投标报价具有选择性，或者开标价格与投标文件承诺的优惠（折扣）价格不一致的。                                                                                            </w:t>
      </w:r>
    </w:p>
    <w:p>
      <w:pPr>
        <w:pStyle w:val="11"/>
        <w:snapToGrid w:val="0"/>
        <w:spacing w:line="480" w:lineRule="exact"/>
        <w:ind w:firstLine="457" w:firstLineChars="196"/>
        <w:rPr>
          <w:rFonts w:hint="eastAsia" w:hAnsi="宋体" w:cs="宋体"/>
          <w:b/>
          <w:snapToGrid w:val="0"/>
          <w:color w:val="auto"/>
          <w:sz w:val="24"/>
          <w:szCs w:val="24"/>
          <w:highlight w:val="none"/>
        </w:rPr>
      </w:pPr>
      <w:r>
        <w:rPr>
          <w:rFonts w:hint="eastAsia" w:hAnsi="宋体" w:cs="宋体"/>
          <w:b/>
          <w:color w:val="auto"/>
          <w:sz w:val="24"/>
          <w:szCs w:val="24"/>
          <w:highlight w:val="none"/>
        </w:rPr>
        <w:t>6.被拒绝的投标文件为无效。</w:t>
      </w:r>
    </w:p>
    <w:p>
      <w:pPr>
        <w:pStyle w:val="11"/>
        <w:snapToGrid w:val="0"/>
        <w:spacing w:line="480" w:lineRule="exact"/>
        <w:ind w:firstLine="457" w:firstLineChars="196"/>
        <w:jc w:val="center"/>
        <w:outlineLvl w:val="1"/>
        <w:rPr>
          <w:rFonts w:hint="eastAsia" w:hAnsi="宋体" w:cs="宋体"/>
          <w:b/>
          <w:snapToGrid w:val="0"/>
          <w:color w:val="auto"/>
          <w:sz w:val="24"/>
          <w:szCs w:val="24"/>
          <w:highlight w:val="none"/>
        </w:rPr>
      </w:pPr>
      <w:r>
        <w:rPr>
          <w:rFonts w:hint="eastAsia" w:hAnsi="宋体" w:cs="宋体"/>
          <w:b/>
          <w:color w:val="auto"/>
          <w:sz w:val="24"/>
          <w:szCs w:val="24"/>
          <w:highlight w:val="none"/>
        </w:rPr>
        <w:t>四、开标</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1、本项目实行电子开评标，投标人无需前往开评标现场，只需在规定时间内在“政采云”平台上上传电子投标文件和准时在线上参加开标。</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2、电子开评标及评审程序</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 xml:space="preserve">2.1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2.2.采购人或代理机构对投标人的资格审查文件和评标委员会对投标人的资信商务及技术响应文件进行评审；</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2.3评标委员会对报价文件进行评审；</w:t>
      </w:r>
    </w:p>
    <w:p>
      <w:pPr>
        <w:pStyle w:val="11"/>
        <w:snapToGrid w:val="0"/>
        <w:spacing w:line="480" w:lineRule="exact"/>
        <w:ind w:firstLine="454" w:firstLineChars="196"/>
        <w:rPr>
          <w:rFonts w:hint="eastAsia" w:hAnsi="宋体" w:cs="宋体"/>
          <w:color w:val="auto"/>
          <w:sz w:val="24"/>
          <w:szCs w:val="24"/>
          <w:highlight w:val="none"/>
        </w:rPr>
      </w:pPr>
      <w:r>
        <w:rPr>
          <w:rFonts w:hint="eastAsia" w:hAnsi="宋体" w:cs="宋体"/>
          <w:color w:val="auto"/>
          <w:sz w:val="24"/>
          <w:szCs w:val="24"/>
          <w:highlight w:val="none"/>
        </w:rPr>
        <w:t>2.4在系统上公布评审结果。</w:t>
      </w:r>
    </w:p>
    <w:p>
      <w:pPr>
        <w:pStyle w:val="14"/>
        <w:snapToGrid w:val="0"/>
        <w:spacing w:beforeLines="0" w:afterLines="0" w:line="360" w:lineRule="auto"/>
        <w:ind w:left="802" w:leftChars="267" w:hanging="241" w:hangingChars="100"/>
        <w:jc w:val="center"/>
        <w:outlineLvl w:val="1"/>
        <w:rPr>
          <w:rFonts w:hint="eastAsia" w:hAnsi="宋体" w:cs="宋体"/>
          <w:b/>
          <w:color w:val="auto"/>
          <w:highlight w:val="none"/>
        </w:rPr>
      </w:pPr>
      <w:r>
        <w:rPr>
          <w:rFonts w:hint="eastAsia" w:hAnsi="宋体" w:cs="宋体"/>
          <w:b/>
          <w:color w:val="auto"/>
          <w:highlight w:val="none"/>
        </w:rPr>
        <w:t>五、评标</w:t>
      </w:r>
    </w:p>
    <w:p>
      <w:pPr>
        <w:pStyle w:val="14"/>
        <w:snapToGrid w:val="0"/>
        <w:spacing w:before="0" w:beforeLines="0" w:after="0" w:afterLines="0" w:line="480" w:lineRule="exact"/>
        <w:ind w:left="720" w:leftChars="228" w:hanging="241" w:hangingChars="100"/>
        <w:rPr>
          <w:rFonts w:hint="eastAsia" w:hAnsi="宋体" w:cs="宋体"/>
          <w:b/>
          <w:color w:val="auto"/>
          <w:highlight w:val="none"/>
        </w:rPr>
      </w:pPr>
      <w:r>
        <w:rPr>
          <w:rFonts w:hint="eastAsia" w:hAnsi="宋体" w:cs="宋体"/>
          <w:b/>
          <w:color w:val="auto"/>
          <w:highlight w:val="none"/>
        </w:rPr>
        <w:t>（一）组建评标委员会</w:t>
      </w:r>
    </w:p>
    <w:p>
      <w:pPr>
        <w:pStyle w:val="14"/>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kern w:val="0"/>
          <w:highlight w:val="none"/>
        </w:rPr>
        <w:t>评标委员会由采购人代表和评审专家组成，</w:t>
      </w:r>
      <w:r>
        <w:rPr>
          <w:rFonts w:hint="eastAsia" w:hAnsi="宋体" w:cs="宋体"/>
          <w:color w:val="auto"/>
          <w:highlight w:val="none"/>
        </w:rPr>
        <w:t>共</w:t>
      </w:r>
      <w:r>
        <w:rPr>
          <w:rFonts w:hint="eastAsia" w:hAnsi="宋体" w:cs="宋体"/>
          <w:color w:val="auto"/>
          <w:highlight w:val="none"/>
          <w:u w:val="single"/>
        </w:rPr>
        <w:t xml:space="preserve"> 7 </w:t>
      </w:r>
      <w:r>
        <w:rPr>
          <w:rFonts w:hint="eastAsia" w:hAnsi="宋体" w:cs="宋体"/>
          <w:color w:val="auto"/>
          <w:highlight w:val="none"/>
        </w:rPr>
        <w:t>人。</w:t>
      </w:r>
    </w:p>
    <w:p>
      <w:pPr>
        <w:widowControl/>
        <w:shd w:val="clear" w:color="auto" w:fill="FFFFFF"/>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评标委员会负责具体评标事务，并独立履行下列职责：</w:t>
      </w:r>
    </w:p>
    <w:p>
      <w:pPr>
        <w:widowControl/>
        <w:shd w:val="clear" w:color="auto" w:fill="FFFFFF"/>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1、审查、评价投标文件是否符合招标文件的商务、技术等实质性要求；</w:t>
      </w:r>
    </w:p>
    <w:p>
      <w:pPr>
        <w:widowControl/>
        <w:shd w:val="clear" w:color="auto" w:fill="FFFFFF"/>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2、要求投标人对投标文件有关事项作出澄清或者说明；</w:t>
      </w:r>
    </w:p>
    <w:p>
      <w:pPr>
        <w:widowControl/>
        <w:shd w:val="clear" w:color="auto" w:fill="FFFFFF"/>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3、对投标文件进行比较和评价；</w:t>
      </w:r>
    </w:p>
    <w:p>
      <w:pPr>
        <w:widowControl/>
        <w:shd w:val="clear" w:color="auto" w:fill="FFFFFF"/>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4、确定中标候选人名单，以及根据采购人委托直接确定中标人；</w:t>
      </w:r>
    </w:p>
    <w:p>
      <w:pPr>
        <w:widowControl/>
        <w:shd w:val="clear" w:color="auto" w:fill="FFFFFF"/>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5、向采购人、集中采购机构或者有关部门报告评标中发现的违法行为。</w:t>
      </w:r>
    </w:p>
    <w:p>
      <w:pPr>
        <w:widowControl/>
        <w:shd w:val="clear" w:color="auto" w:fill="FFFFFF"/>
        <w:spacing w:line="480" w:lineRule="exact"/>
        <w:ind w:firstLine="482" w:firstLineChars="200"/>
        <w:jc w:val="left"/>
        <w:rPr>
          <w:rFonts w:hint="eastAsia" w:ascii="宋体" w:hAnsi="宋体" w:cs="宋体"/>
          <w:b/>
          <w:color w:val="auto"/>
          <w:kern w:val="0"/>
          <w:sz w:val="24"/>
          <w:highlight w:val="none"/>
          <w:u w:val="single"/>
        </w:rPr>
      </w:pPr>
      <w:r>
        <w:rPr>
          <w:rFonts w:hint="eastAsia" w:ascii="宋体" w:hAnsi="宋体" w:cs="宋体"/>
          <w:b/>
          <w:color w:val="auto"/>
          <w:kern w:val="0"/>
          <w:sz w:val="24"/>
          <w:highlight w:val="none"/>
          <w:u w:val="single"/>
        </w:rPr>
        <w:t>除采购人代表、评标现场组织人员外，采购人的其他工作人员以及与评标工作无关的人员不得进入评标现场。</w:t>
      </w:r>
    </w:p>
    <w:p>
      <w:pPr>
        <w:pStyle w:val="14"/>
        <w:snapToGrid w:val="0"/>
        <w:spacing w:before="0" w:beforeLines="0" w:after="0" w:afterLines="0" w:line="480" w:lineRule="exact"/>
        <w:ind w:left="720" w:leftChars="228" w:hanging="241" w:hangingChars="100"/>
        <w:rPr>
          <w:rFonts w:hint="eastAsia" w:hAnsi="宋体" w:cs="宋体"/>
          <w:b/>
          <w:color w:val="auto"/>
          <w:highlight w:val="none"/>
        </w:rPr>
      </w:pPr>
      <w:r>
        <w:rPr>
          <w:rFonts w:hint="eastAsia" w:hAnsi="宋体" w:cs="宋体"/>
          <w:b/>
          <w:color w:val="auto"/>
          <w:highlight w:val="none"/>
        </w:rPr>
        <w:t>（二）评标的方式</w:t>
      </w:r>
    </w:p>
    <w:p>
      <w:pPr>
        <w:pStyle w:val="14"/>
        <w:snapToGrid w:val="0"/>
        <w:spacing w:before="0" w:beforeLines="0" w:after="0" w:afterLines="0" w:line="480" w:lineRule="exact"/>
        <w:ind w:left="719" w:leftChars="228" w:hanging="240" w:hangingChars="100"/>
        <w:rPr>
          <w:rFonts w:hint="eastAsia" w:hAnsi="宋体" w:cs="宋体"/>
          <w:color w:val="auto"/>
          <w:highlight w:val="none"/>
        </w:rPr>
      </w:pPr>
      <w:r>
        <w:rPr>
          <w:rFonts w:hint="eastAsia" w:hAnsi="宋体" w:cs="宋体"/>
          <w:color w:val="auto"/>
          <w:highlight w:val="none"/>
        </w:rPr>
        <w:t>本项目采用不公开方式评标，评标的依据为招标文件和投标文件。</w:t>
      </w:r>
    </w:p>
    <w:p>
      <w:pPr>
        <w:pStyle w:val="14"/>
        <w:snapToGrid w:val="0"/>
        <w:spacing w:before="0" w:beforeLines="0" w:after="0" w:afterLines="0" w:line="480" w:lineRule="exact"/>
        <w:ind w:left="720" w:leftChars="228" w:hanging="241" w:hangingChars="100"/>
        <w:rPr>
          <w:rFonts w:hint="eastAsia" w:hAnsi="宋体" w:cs="宋体"/>
          <w:b/>
          <w:bCs/>
          <w:color w:val="auto"/>
          <w:highlight w:val="none"/>
        </w:rPr>
      </w:pPr>
      <w:r>
        <w:rPr>
          <w:rFonts w:hint="eastAsia" w:hAnsi="宋体" w:cs="宋体"/>
          <w:b/>
          <w:color w:val="auto"/>
          <w:highlight w:val="none"/>
        </w:rPr>
        <w:t>（三）</w:t>
      </w:r>
      <w:r>
        <w:rPr>
          <w:rFonts w:hint="eastAsia" w:hAnsi="宋体" w:cs="宋体"/>
          <w:b/>
          <w:bCs/>
          <w:color w:val="auto"/>
          <w:highlight w:val="none"/>
        </w:rPr>
        <w:t>评标程序</w:t>
      </w:r>
    </w:p>
    <w:p>
      <w:pPr>
        <w:pStyle w:val="14"/>
        <w:snapToGrid w:val="0"/>
        <w:spacing w:before="0" w:beforeLines="0" w:after="0" w:afterLines="0" w:line="480" w:lineRule="exact"/>
        <w:ind w:firstLine="480" w:firstLineChars="200"/>
        <w:rPr>
          <w:rFonts w:hint="eastAsia" w:hAnsi="宋体" w:cs="宋体"/>
          <w:bCs/>
          <w:color w:val="auto"/>
          <w:highlight w:val="none"/>
        </w:rPr>
      </w:pPr>
      <w:r>
        <w:rPr>
          <w:rFonts w:hint="eastAsia" w:hAnsi="宋体" w:cs="宋体"/>
          <w:bCs/>
          <w:color w:val="auto"/>
          <w:highlight w:val="none"/>
        </w:rPr>
        <w:t>采购人可以在评标前说明项目背景和采购需求，说明内容不得含有歧视性、倾向性意见，不得超出招标文件所述范围。说明应当提交书面材料，并随采购文件一并存档。</w:t>
      </w:r>
    </w:p>
    <w:p>
      <w:pPr>
        <w:snapToGrid w:val="0"/>
        <w:spacing w:line="480" w:lineRule="exact"/>
        <w:ind w:firstLine="472" w:firstLineChars="196"/>
        <w:rPr>
          <w:rFonts w:hint="eastAsia" w:ascii="宋体" w:hAnsi="宋体" w:cs="宋体"/>
          <w:b/>
          <w:bCs/>
          <w:color w:val="auto"/>
          <w:sz w:val="24"/>
          <w:highlight w:val="none"/>
        </w:rPr>
      </w:pPr>
      <w:r>
        <w:rPr>
          <w:rFonts w:hint="eastAsia" w:ascii="宋体" w:hAnsi="宋体" w:cs="宋体"/>
          <w:b/>
          <w:bCs/>
          <w:color w:val="auto"/>
          <w:sz w:val="24"/>
          <w:highlight w:val="none"/>
        </w:rPr>
        <w:t>1.形式审查</w:t>
      </w:r>
    </w:p>
    <w:p>
      <w:pPr>
        <w:snapToGrid w:val="0"/>
        <w:spacing w:line="48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形式审查包括资格审查（除符合性审查以外的关于投标人资格条件等内容）和符合性审查，即对投标人的资格和投标文件的完整性、合法性等进行审查。投标文件形式审查未通过的投标人，其投标文件将不再评审。</w:t>
      </w:r>
    </w:p>
    <w:p>
      <w:pPr>
        <w:numPr>
          <w:ilvl w:val="0"/>
          <w:numId w:val="4"/>
        </w:numPr>
        <w:snapToGrid w:val="0"/>
        <w:spacing w:line="480" w:lineRule="exact"/>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实质审查与比较</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（2）评标委员会将根据投标人的投标文件进行审查、核对,如有疑问,将对投标人进行询标,投标人要向评标委员会澄清有关问题并答复。</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（3）各投标人的资信商务及技术分按照评标委员会成员的独立评分结果汇后的算术平均分计算。</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（4）嘉善县公共资源交易中心工作人员协助评标委员会根据本项目的评分标准操作政采云系统，由系统计算各投标人的商务报价得分。</w:t>
      </w:r>
    </w:p>
    <w:p>
      <w:pPr>
        <w:pStyle w:val="14"/>
        <w:snapToGrid w:val="0"/>
        <w:spacing w:before="0" w:beforeLines="0" w:after="0" w:afterLines="0" w:line="480" w:lineRule="exact"/>
        <w:ind w:left="719" w:leftChars="228" w:hanging="240" w:hangingChars="100"/>
        <w:rPr>
          <w:rFonts w:hint="eastAsia" w:hAnsi="宋体" w:cs="宋体"/>
          <w:color w:val="auto"/>
          <w:highlight w:val="none"/>
        </w:rPr>
      </w:pPr>
      <w:r>
        <w:rPr>
          <w:rFonts w:hint="eastAsia" w:hAnsi="宋体" w:cs="宋体"/>
          <w:color w:val="auto"/>
          <w:highlight w:val="none"/>
        </w:rPr>
        <w:t>（5）评标委员会完成评标后,评委对各部分得分汇总,计算出本项目最终得</w:t>
      </w:r>
    </w:p>
    <w:p>
      <w:pPr>
        <w:pStyle w:val="14"/>
        <w:snapToGrid w:val="0"/>
        <w:spacing w:before="0" w:beforeLines="0" w:after="0" w:afterLines="0" w:line="480" w:lineRule="exact"/>
        <w:rPr>
          <w:rFonts w:hint="eastAsia" w:hAnsi="宋体" w:cs="宋体"/>
          <w:color w:val="auto"/>
          <w:highlight w:val="none"/>
        </w:rPr>
      </w:pPr>
      <w:r>
        <w:rPr>
          <w:rFonts w:hint="eastAsia" w:hAnsi="宋体" w:cs="宋体"/>
          <w:color w:val="auto"/>
          <w:highlight w:val="none"/>
        </w:rPr>
        <w:t>分、性价比、评标价等。评标委员会按评标原则推荐中标候选人同时起草评标报告。</w:t>
      </w:r>
    </w:p>
    <w:p>
      <w:pPr>
        <w:pStyle w:val="14"/>
        <w:snapToGrid w:val="0"/>
        <w:spacing w:before="0" w:beforeLines="0" w:after="0" w:afterLines="0" w:line="480" w:lineRule="exact"/>
        <w:ind w:left="720" w:leftChars="228" w:hanging="241" w:hangingChars="100"/>
        <w:rPr>
          <w:rFonts w:hint="eastAsia" w:hAnsi="宋体" w:cs="宋体"/>
          <w:b/>
          <w:color w:val="auto"/>
          <w:highlight w:val="none"/>
        </w:rPr>
      </w:pPr>
      <w:r>
        <w:rPr>
          <w:rFonts w:hint="eastAsia" w:hAnsi="宋体" w:cs="宋体"/>
          <w:b/>
          <w:color w:val="auto"/>
          <w:highlight w:val="none"/>
        </w:rPr>
        <w:t>（四）错误修正</w:t>
      </w:r>
    </w:p>
    <w:p>
      <w:pPr>
        <w:pStyle w:val="14"/>
        <w:snapToGrid w:val="0"/>
        <w:spacing w:before="0" w:beforeLines="0" w:after="0" w:afterLines="0" w:line="480" w:lineRule="exact"/>
        <w:ind w:left="719" w:leftChars="228" w:hanging="240" w:hangingChars="100"/>
        <w:rPr>
          <w:rFonts w:hint="eastAsia" w:hAnsi="宋体" w:cs="宋体"/>
          <w:color w:val="auto"/>
          <w:highlight w:val="none"/>
        </w:rPr>
      </w:pPr>
      <w:r>
        <w:rPr>
          <w:rFonts w:hint="eastAsia" w:hAnsi="宋体" w:cs="宋体"/>
          <w:color w:val="auto"/>
          <w:highlight w:val="none"/>
        </w:rPr>
        <w:t>投标文件如果出现计算或表达上的错误，修正错误的原则如下：</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1.开标一览表总价与投标报价明细表汇总数不一致的，</w:t>
      </w:r>
      <w:r>
        <w:rPr>
          <w:rFonts w:hint="eastAsia" w:ascii="宋体" w:hAnsi="宋体" w:cs="宋体"/>
          <w:color w:val="auto"/>
          <w:kern w:val="0"/>
          <w:sz w:val="24"/>
          <w:highlight w:val="none"/>
        </w:rPr>
        <w:t>以开标一览表为准；</w:t>
      </w:r>
    </w:p>
    <w:p>
      <w:pPr>
        <w:pStyle w:val="14"/>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highlight w:val="none"/>
        </w:rPr>
        <w:t>2.投标文件的大写金额和小写金额不一致的，以大写金额为准；</w:t>
      </w:r>
    </w:p>
    <w:p>
      <w:pPr>
        <w:pStyle w:val="14"/>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highlight w:val="none"/>
        </w:rPr>
        <w:t>3.总价金额与按单价汇总金额不一致的，以单价金额计算结果为准；</w:t>
      </w:r>
    </w:p>
    <w:p>
      <w:pPr>
        <w:pStyle w:val="14"/>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highlight w:val="none"/>
        </w:rPr>
        <w:t>4.对不同文字文本投标文件的解释发生异议的，以中文文本为准。</w:t>
      </w:r>
    </w:p>
    <w:p>
      <w:pPr>
        <w:pStyle w:val="14"/>
        <w:spacing w:before="120" w:after="120" w:line="460" w:lineRule="exact"/>
        <w:ind w:firstLine="482"/>
        <w:rPr>
          <w:rFonts w:hint="eastAsia" w:hAnsi="宋体" w:cs="宋体"/>
          <w:bCs/>
          <w:color w:val="auto"/>
          <w:highlight w:val="none"/>
        </w:rPr>
      </w:pPr>
      <w:r>
        <w:rPr>
          <w:rFonts w:hint="eastAsia" w:hAnsi="宋体" w:cs="宋体"/>
          <w:bCs/>
          <w:color w:val="auto"/>
          <w:highlight w:val="none"/>
        </w:rPr>
        <w:t>5.按上述修正错误的原则及方法调整或修正投标文件的投标报价，投标人同意后，调整后的投标报价对投标人起约束作用。如果投标人不接受修正后的报价，则其投标将被拒绝，并不影响评标工作。</w:t>
      </w:r>
    </w:p>
    <w:p>
      <w:pPr>
        <w:pStyle w:val="14"/>
        <w:spacing w:before="120" w:after="120" w:line="460" w:lineRule="exact"/>
        <w:ind w:firstLine="482"/>
        <w:rPr>
          <w:rFonts w:hint="eastAsia" w:hAnsi="宋体" w:cs="宋体"/>
          <w:color w:val="auto"/>
          <w:highlight w:val="none"/>
        </w:rPr>
      </w:pPr>
      <w:r>
        <w:rPr>
          <w:rFonts w:hint="eastAsia" w:hAnsi="宋体" w:cs="宋体"/>
          <w:bCs/>
          <w:color w:val="auto"/>
          <w:highlight w:val="none"/>
        </w:rPr>
        <w:t>6.招</w:t>
      </w:r>
      <w:r>
        <w:rPr>
          <w:rFonts w:hint="eastAsia" w:hAnsi="宋体" w:cs="宋体"/>
          <w:color w:val="auto"/>
          <w:highlight w:val="none"/>
        </w:rPr>
        <w:t>标文件其它地方有特别规定的，从其规定。</w:t>
      </w:r>
    </w:p>
    <w:p>
      <w:pPr>
        <w:snapToGrid w:val="0"/>
        <w:spacing w:line="4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（五）澄清问题的形式</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4"/>
        <w:tabs>
          <w:tab w:val="left" w:pos="0"/>
        </w:tabs>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highlight w:val="none"/>
        </w:rPr>
        <w:t>2、如果投标人代表拒绝按评标委员会要求在“政采云”平台作出在线回复且无其他有效回复方式的，评标委员会可以对其作出无效标处理。</w:t>
      </w:r>
    </w:p>
    <w:p>
      <w:pPr>
        <w:pStyle w:val="14"/>
        <w:tabs>
          <w:tab w:val="left" w:pos="630"/>
        </w:tabs>
        <w:snapToGrid w:val="0"/>
        <w:spacing w:before="0" w:beforeLines="0" w:after="0" w:afterLines="0" w:line="480" w:lineRule="exact"/>
        <w:ind w:firstLine="241" w:firstLineChars="100"/>
        <w:rPr>
          <w:rFonts w:hint="eastAsia" w:hAnsi="宋体" w:cs="宋体"/>
          <w:b/>
          <w:color w:val="auto"/>
          <w:highlight w:val="none"/>
        </w:rPr>
      </w:pPr>
      <w:r>
        <w:rPr>
          <w:rFonts w:hint="eastAsia" w:hAnsi="宋体" w:cs="宋体"/>
          <w:b/>
          <w:color w:val="auto"/>
          <w:highlight w:val="none"/>
        </w:rPr>
        <w:t>（六）评标原则和评标办法</w:t>
      </w:r>
    </w:p>
    <w:p>
      <w:pPr>
        <w:pStyle w:val="14"/>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highlight w:val="none"/>
        </w:rPr>
        <w:t>2.评标办法。本项目评标办法是 综合评标法 ，具体评标内容及评分标准等详见《第四章：评标办法及评分标准》。</w:t>
      </w:r>
    </w:p>
    <w:p>
      <w:pPr>
        <w:pStyle w:val="14"/>
        <w:snapToGrid w:val="0"/>
        <w:spacing w:before="0" w:beforeLines="0" w:after="0" w:afterLines="0" w:line="480" w:lineRule="exact"/>
        <w:ind w:firstLine="472" w:firstLineChars="196"/>
        <w:rPr>
          <w:rFonts w:hint="eastAsia" w:hAnsi="宋体" w:cs="宋体"/>
          <w:b/>
          <w:color w:val="auto"/>
          <w:highlight w:val="none"/>
        </w:rPr>
      </w:pPr>
      <w:r>
        <w:rPr>
          <w:rFonts w:hint="eastAsia" w:hAnsi="宋体" w:cs="宋体"/>
          <w:b/>
          <w:color w:val="auto"/>
          <w:highlight w:val="none"/>
        </w:rPr>
        <w:t>（七）评标过程的监控</w:t>
      </w:r>
    </w:p>
    <w:p>
      <w:pPr>
        <w:pStyle w:val="14"/>
        <w:snapToGrid w:val="0"/>
        <w:spacing w:before="0" w:beforeLines="0" w:after="0" w:afterLines="0" w:line="480" w:lineRule="exact"/>
        <w:ind w:firstLine="480" w:firstLineChars="200"/>
        <w:rPr>
          <w:rFonts w:hint="eastAsia" w:hAnsi="宋体" w:cs="宋体"/>
          <w:color w:val="auto"/>
          <w:highlight w:val="none"/>
        </w:rPr>
      </w:pPr>
      <w:r>
        <w:rPr>
          <w:rFonts w:hint="eastAsia" w:hAnsi="宋体" w:cs="宋体"/>
          <w:color w:val="auto"/>
          <w:highlight w:val="none"/>
        </w:rPr>
        <w:t>本项目评标过程实行全程录音、录像监控，嘉善县公共资源交易管理科监督人员进行现场监督，且由嘉善县公证处公证人员现场公证。投标人在评标过程中所进行的试图影响评标结果的不公正活动，可能导致其投标被拒绝。</w:t>
      </w:r>
    </w:p>
    <w:p>
      <w:pPr>
        <w:pStyle w:val="14"/>
        <w:snapToGrid w:val="0"/>
        <w:spacing w:before="0" w:beforeLines="0" w:after="0" w:afterLines="0" w:line="480" w:lineRule="exact"/>
        <w:ind w:firstLine="472" w:firstLineChars="196"/>
        <w:jc w:val="center"/>
        <w:outlineLvl w:val="1"/>
        <w:rPr>
          <w:rFonts w:hint="eastAsia" w:hAnsi="宋体" w:cs="宋体"/>
          <w:b/>
          <w:color w:val="auto"/>
          <w:highlight w:val="none"/>
        </w:rPr>
      </w:pPr>
      <w:r>
        <w:rPr>
          <w:rFonts w:hint="eastAsia" w:hAnsi="宋体" w:cs="宋体"/>
          <w:b/>
          <w:color w:val="auto"/>
          <w:highlight w:val="none"/>
        </w:rPr>
        <w:t>六、定标</w:t>
      </w:r>
    </w:p>
    <w:p>
      <w:pPr>
        <w:pStyle w:val="14"/>
        <w:snapToGrid w:val="0"/>
        <w:spacing w:before="0" w:beforeLines="0" w:after="0" w:afterLines="0" w:line="480" w:lineRule="exact"/>
        <w:ind w:firstLine="472" w:firstLineChars="196"/>
        <w:rPr>
          <w:rFonts w:hint="eastAsia" w:hAnsi="宋体" w:cs="宋体"/>
          <w:b/>
          <w:bCs/>
          <w:color w:val="auto"/>
          <w:highlight w:val="none"/>
        </w:rPr>
      </w:pPr>
      <w:r>
        <w:rPr>
          <w:rFonts w:hint="eastAsia" w:hAnsi="宋体" w:cs="宋体"/>
          <w:b/>
          <w:bCs/>
          <w:color w:val="auto"/>
          <w:highlight w:val="none"/>
        </w:rPr>
        <w:t>（一）确定中标人。本项目由采购人确定中标人。</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1.嘉善县公共资源交易中心在评标结束后2个工作日内将评标报告交采购人确认，同时在发布招标公告的网站上对评标结果进行公告。</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2.投标人对评标结果无异议的，采购人应在收到评标报告后5个工作日内对评标结果进行确认。如有投标人对评标结果提出质疑的，采购人可在质疑处理完毕后确定中标人。</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 在公告中标结果的同时，集中采购机构向中标人发出中标通知书。</w:t>
      </w:r>
    </w:p>
    <w:p>
      <w:pPr>
        <w:pStyle w:val="14"/>
        <w:snapToGrid w:val="0"/>
        <w:spacing w:beforeLines="0" w:afterLines="0" w:line="360" w:lineRule="auto"/>
        <w:ind w:firstLine="472" w:firstLineChars="196"/>
        <w:jc w:val="center"/>
        <w:outlineLvl w:val="1"/>
        <w:rPr>
          <w:rFonts w:hint="eastAsia" w:hAnsi="宋体" w:cs="宋体"/>
          <w:b/>
          <w:color w:val="auto"/>
          <w:highlight w:val="none"/>
        </w:rPr>
      </w:pPr>
      <w:r>
        <w:rPr>
          <w:rFonts w:hint="eastAsia" w:hAnsi="宋体" w:cs="宋体"/>
          <w:b/>
          <w:color w:val="auto"/>
          <w:highlight w:val="none"/>
        </w:rPr>
        <w:t>七、合同授予</w:t>
      </w:r>
    </w:p>
    <w:p>
      <w:pPr>
        <w:snapToGrid w:val="0"/>
        <w:spacing w:line="480" w:lineRule="exact"/>
        <w:ind w:firstLine="472" w:firstLineChars="196"/>
        <w:rPr>
          <w:rFonts w:hint="eastAsia" w:ascii="宋体" w:hAnsi="宋体" w:cs="宋体"/>
          <w:b/>
          <w:bCs/>
          <w:color w:val="auto"/>
          <w:sz w:val="24"/>
          <w:highlight w:val="none"/>
        </w:rPr>
      </w:pPr>
      <w:r>
        <w:rPr>
          <w:rFonts w:hint="eastAsia" w:ascii="宋体" w:hAnsi="宋体" w:cs="宋体"/>
          <w:b/>
          <w:bCs/>
          <w:color w:val="auto"/>
          <w:sz w:val="24"/>
          <w:highlight w:val="none"/>
        </w:rPr>
        <w:t>（一）签订合同</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1.采购人与中标人应当在《中标通知书》发出之日起30日内签订政府采购合同。同时，集中采购机构对合同内容进行审查，如发现与采购结果和投标承诺内容不一致的，将予以纠正。</w:t>
      </w:r>
    </w:p>
    <w:p>
      <w:pPr>
        <w:snapToGrid w:val="0"/>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2.中标人拖延、拒签合同的,将被取消中标资格。</w:t>
      </w:r>
    </w:p>
    <w:p>
      <w:pPr>
        <w:pStyle w:val="14"/>
        <w:snapToGrid w:val="0"/>
        <w:spacing w:before="0" w:beforeLines="0" w:after="0" w:afterLines="0" w:line="480" w:lineRule="exact"/>
        <w:jc w:val="center"/>
        <w:rPr>
          <w:rFonts w:hint="eastAsia" w:hAnsi="宋体" w:cs="宋体"/>
          <w:b/>
          <w:bCs/>
          <w:color w:val="auto"/>
          <w:kern w:val="44"/>
          <w:sz w:val="32"/>
          <w:szCs w:val="44"/>
          <w:highlight w:val="none"/>
        </w:rPr>
      </w:pPr>
      <w:r>
        <w:rPr>
          <w:color w:val="auto"/>
          <w:highlight w:val="none"/>
        </w:rPr>
        <w:br w:type="page"/>
      </w:r>
      <w:bookmarkStart w:id="42" w:name="_Toc406402996"/>
      <w:r>
        <w:rPr>
          <w:rFonts w:hint="eastAsia" w:hAnsi="宋体" w:cs="宋体"/>
          <w:b/>
          <w:bCs/>
          <w:color w:val="auto"/>
          <w:kern w:val="44"/>
          <w:sz w:val="32"/>
          <w:szCs w:val="44"/>
          <w:highlight w:val="none"/>
        </w:rPr>
        <w:t>第四章 评标办法及评分标准</w:t>
      </w:r>
      <w:bookmarkEnd w:id="42"/>
    </w:p>
    <w:p>
      <w:pPr>
        <w:spacing w:line="480" w:lineRule="exact"/>
        <w:ind w:firstLine="420"/>
        <w:rPr>
          <w:rFonts w:hint="eastAsia" w:ascii="宋体" w:hAnsi="宋体" w:cs="宋体"/>
          <w:color w:val="auto"/>
          <w:sz w:val="24"/>
          <w:highlight w:val="none"/>
        </w:rPr>
      </w:pPr>
      <w:bookmarkStart w:id="43" w:name="_Toc406403000"/>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spacing w:line="480" w:lineRule="exact"/>
        <w:ind w:firstLine="420"/>
        <w:rPr>
          <w:rFonts w:hint="eastAsia"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b/>
          <w:bCs/>
          <w:color w:val="auto"/>
          <w:sz w:val="24"/>
          <w:highlight w:val="none"/>
        </w:rPr>
        <w:t>嘉善县罗星街道城镇垃圾分类服务项目</w:t>
      </w:r>
      <w:r>
        <w:rPr>
          <w:rFonts w:hint="eastAsia" w:ascii="宋体" w:hAnsi="宋体" w:cs="宋体"/>
          <w:color w:val="auto"/>
          <w:sz w:val="24"/>
          <w:highlight w:val="none"/>
        </w:rPr>
        <w:t>的评标。</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一 、总则</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次评标采用综合评分法，总分为100分，其中价格分20分、技术分56分、商务资信24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排名第二的投标人为候补中标候选人，其他投标人中标候选资格依此类推。</w:t>
      </w:r>
      <w:r>
        <w:rPr>
          <w:rFonts w:hint="eastAsia" w:ascii="宋体" w:hAnsi="宋体"/>
          <w:b/>
          <w:color w:val="auto"/>
          <w:sz w:val="24"/>
          <w:highlight w:val="none"/>
        </w:rPr>
        <w:t>中标人拒绝与采购人签订合同的，采购人可以按照评审报告推荐的中标候选人名单顺序，确定下一候选人为中标人，也可以重新开展政府采购活动</w:t>
      </w:r>
      <w:r>
        <w:rPr>
          <w:rFonts w:hint="eastAsia" w:ascii="宋体" w:hAnsi="宋体"/>
          <w:color w:val="auto"/>
          <w:sz w:val="24"/>
          <w:highlight w:val="none"/>
        </w:rPr>
        <w:t>。评分过程中采用四舍五入法，并保留小数2位。</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投标人评标综合得分=价格分+技术分+资信商务及其他分</w:t>
      </w:r>
    </w:p>
    <w:p>
      <w:pPr>
        <w:spacing w:line="480" w:lineRule="exact"/>
        <w:rPr>
          <w:rFonts w:hint="eastAsia"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 xml:space="preserve"> </w:t>
      </w:r>
      <w:r>
        <w:rPr>
          <w:rFonts w:hint="eastAsia" w:ascii="宋体" w:hAnsi="宋体"/>
          <w:b/>
          <w:color w:val="auto"/>
          <w:sz w:val="24"/>
          <w:highlight w:val="none"/>
        </w:rPr>
        <w:t>、评标内容及标准</w:t>
      </w:r>
    </w:p>
    <w:p>
      <w:pPr>
        <w:pStyle w:val="11"/>
        <w:spacing w:line="480" w:lineRule="exact"/>
        <w:ind w:firstLine="0"/>
        <w:rPr>
          <w:rFonts w:hint="eastAsia" w:hAnsi="宋体"/>
          <w:b/>
          <w:bCs/>
          <w:color w:val="auto"/>
          <w:sz w:val="24"/>
          <w:szCs w:val="24"/>
          <w:highlight w:val="none"/>
        </w:rPr>
      </w:pPr>
      <w:r>
        <w:rPr>
          <w:rFonts w:hAnsi="宋体"/>
          <w:b/>
          <w:color w:val="auto"/>
          <w:sz w:val="24"/>
          <w:szCs w:val="24"/>
          <w:highlight w:val="none"/>
        </w:rPr>
        <w:t>（一）</w:t>
      </w:r>
      <w:r>
        <w:rPr>
          <w:rFonts w:hAnsi="宋体"/>
          <w:b/>
          <w:bCs/>
          <w:color w:val="auto"/>
          <w:sz w:val="24"/>
          <w:szCs w:val="24"/>
          <w:highlight w:val="none"/>
        </w:rPr>
        <w:t>价格分（</w:t>
      </w:r>
      <w:r>
        <w:rPr>
          <w:rFonts w:hint="eastAsia" w:hAnsi="宋体"/>
          <w:b/>
          <w:bCs/>
          <w:color w:val="auto"/>
          <w:sz w:val="24"/>
          <w:szCs w:val="24"/>
          <w:highlight w:val="none"/>
        </w:rPr>
        <w:t>20分）</w:t>
      </w:r>
    </w:p>
    <w:p>
      <w:pPr>
        <w:pStyle w:val="11"/>
        <w:spacing w:line="480" w:lineRule="exact"/>
        <w:ind w:firstLine="464" w:firstLineChars="200"/>
        <w:rPr>
          <w:rFonts w:hint="eastAsia" w:hAnsi="宋体"/>
          <w:bCs/>
          <w:color w:val="auto"/>
          <w:sz w:val="24"/>
          <w:szCs w:val="24"/>
          <w:highlight w:val="none"/>
        </w:rPr>
      </w:pPr>
      <w:r>
        <w:rPr>
          <w:rFonts w:hint="eastAsia" w:hAnsi="宋体"/>
          <w:bCs/>
          <w:color w:val="auto"/>
          <w:sz w:val="24"/>
          <w:szCs w:val="24"/>
          <w:highlight w:val="none"/>
        </w:rPr>
        <w:t>1.价格分采用低价优先法计算，即满足招标文件要求且投标价格最低的投标报价为评标基准价，其他投标人的价格分按照下列公式计算：</w:t>
      </w:r>
    </w:p>
    <w:p>
      <w:pPr>
        <w:spacing w:line="480" w:lineRule="exact"/>
        <w:ind w:firstLine="464" w:firstLineChars="200"/>
        <w:rPr>
          <w:rFonts w:hint="eastAsia" w:ascii="宋体" w:hAnsi="宋体"/>
          <w:bCs/>
          <w:color w:val="auto"/>
          <w:spacing w:val="-4"/>
          <w:sz w:val="24"/>
          <w:highlight w:val="none"/>
        </w:rPr>
      </w:pPr>
      <w:r>
        <w:rPr>
          <w:rFonts w:hint="eastAsia" w:ascii="宋体" w:hAnsi="宋体"/>
          <w:bCs/>
          <w:color w:val="auto"/>
          <w:spacing w:val="-4"/>
          <w:sz w:val="24"/>
          <w:highlight w:val="none"/>
        </w:rPr>
        <w:t>价格分=（评标基准价/投标报价）×20%×100</w:t>
      </w:r>
    </w:p>
    <w:p>
      <w:pPr>
        <w:numPr>
          <w:ilvl w:val="0"/>
          <w:numId w:val="5"/>
        </w:numPr>
        <w:spacing w:line="480" w:lineRule="exact"/>
        <w:ind w:firstLine="480" w:firstLineChars="200"/>
        <w:rPr>
          <w:rFonts w:hint="eastAsia" w:hAnsi="宋体"/>
          <w:bCs/>
          <w:color w:val="auto"/>
          <w:sz w:val="24"/>
          <w:highlight w:val="none"/>
        </w:rPr>
      </w:pPr>
      <w:r>
        <w:rPr>
          <w:rFonts w:hint="eastAsia" w:hAnsi="宋体"/>
          <w:bCs/>
          <w:color w:val="auto"/>
          <w:sz w:val="24"/>
          <w:highlight w:val="none"/>
        </w:rPr>
        <w:t>根据财库〔2011〕181号的相关规定，在评审时对小型和微型企业的投标报价给予6%的扣除，取扣除后的价格作为最终投标报价（此最终投标报价仅作为价格分计算）。属于小型和微型企业的，</w:t>
      </w:r>
      <w:r>
        <w:rPr>
          <w:rFonts w:hint="eastAsia" w:hAnsi="宋体"/>
          <w:b/>
          <w:color w:val="auto"/>
          <w:sz w:val="24"/>
          <w:highlight w:val="none"/>
        </w:rPr>
        <w:t>投标人必须同时提供</w:t>
      </w:r>
      <w:r>
        <w:rPr>
          <w:rFonts w:hint="eastAsia" w:hAnsi="宋体"/>
          <w:bCs/>
          <w:color w:val="auto"/>
          <w:sz w:val="24"/>
          <w:highlight w:val="none"/>
        </w:rPr>
        <w:t>《中小企业声明函》（格式见第六章）、“国家企业信用信息公示系统——小微企业名录”页面查询结果http://xwqy.gsxt.gov.cn/mirco/micro_lib。</w:t>
      </w:r>
    </w:p>
    <w:p>
      <w:pPr>
        <w:numPr>
          <w:ilvl w:val="0"/>
          <w:numId w:val="5"/>
        </w:numPr>
        <w:spacing w:line="480" w:lineRule="exact"/>
        <w:ind w:firstLine="480" w:firstLineChars="200"/>
        <w:rPr>
          <w:rFonts w:hint="eastAsia" w:hAnsi="宋体"/>
          <w:bCs/>
          <w:color w:val="auto"/>
          <w:sz w:val="24"/>
          <w:highlight w:val="none"/>
        </w:rPr>
      </w:pPr>
      <w:r>
        <w:rPr>
          <w:rFonts w:hint="eastAsia" w:hAnsi="宋体"/>
          <w:bCs/>
          <w:color w:val="auto"/>
          <w:sz w:val="24"/>
          <w:highlight w:val="none"/>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numPr>
          <w:ilvl w:val="0"/>
          <w:numId w:val="5"/>
        </w:numPr>
        <w:spacing w:line="480" w:lineRule="exact"/>
        <w:ind w:firstLine="480" w:firstLineChars="200"/>
        <w:rPr>
          <w:rFonts w:hint="eastAsia" w:hAnsi="宋体"/>
          <w:bCs/>
          <w:color w:val="auto"/>
          <w:sz w:val="24"/>
          <w:highlight w:val="none"/>
        </w:rPr>
      </w:pPr>
      <w:r>
        <w:rPr>
          <w:rFonts w:hint="eastAsia" w:hAnsi="宋体"/>
          <w:bCs/>
          <w:color w:val="auto"/>
          <w:sz w:val="24"/>
          <w:highlight w:val="none"/>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numPr>
          <w:ilvl w:val="0"/>
          <w:numId w:val="5"/>
        </w:numPr>
        <w:spacing w:line="480" w:lineRule="exact"/>
        <w:ind w:firstLine="480" w:firstLineChars="200"/>
        <w:rPr>
          <w:rFonts w:hint="eastAsia" w:hAnsi="宋体"/>
          <w:bCs/>
          <w:color w:val="auto"/>
          <w:sz w:val="24"/>
          <w:highlight w:val="none"/>
        </w:rPr>
      </w:pPr>
      <w:r>
        <w:rPr>
          <w:rFonts w:hint="eastAsia" w:hAnsi="宋体"/>
          <w:bCs/>
          <w:color w:val="auto"/>
          <w:sz w:val="24"/>
          <w:highlight w:val="none"/>
        </w:rPr>
        <w:t>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ascii="宋体" w:hAnsi="宋体"/>
          <w:b/>
          <w:color w:val="auto"/>
          <w:sz w:val="24"/>
          <w:highlight w:val="none"/>
        </w:rPr>
      </w:pPr>
      <w:r>
        <w:rPr>
          <w:rFonts w:hint="eastAsia" w:ascii="宋体" w:hAnsi="宋体"/>
          <w:b/>
          <w:color w:val="auto"/>
          <w:sz w:val="24"/>
          <w:highlight w:val="none"/>
        </w:rPr>
        <w:t>（二）技术分（56分）</w:t>
      </w:r>
    </w:p>
    <w:tbl>
      <w:tblPr>
        <w:tblStyle w:val="26"/>
        <w:tblW w:w="10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29"/>
        <w:gridCol w:w="6341"/>
        <w:gridCol w:w="900"/>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825" w:type="dxa"/>
            <w:vMerge w:val="restart"/>
            <w:noWrap w:val="0"/>
            <w:vAlign w:val="center"/>
          </w:tcPr>
          <w:p>
            <w:pPr>
              <w:widowControl/>
              <w:spacing w:line="360" w:lineRule="exac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技术分</w:t>
            </w:r>
          </w:p>
          <w:p>
            <w:pPr>
              <w:widowControl/>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56分</w:t>
            </w:r>
          </w:p>
        </w:tc>
        <w:tc>
          <w:tcPr>
            <w:tcW w:w="1229" w:type="dxa"/>
            <w:noWrap w:val="0"/>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总体方案10分</w:t>
            </w:r>
          </w:p>
        </w:tc>
        <w:tc>
          <w:tcPr>
            <w:tcW w:w="6341" w:type="dxa"/>
            <w:noWrap w:val="0"/>
            <w:vAlign w:val="center"/>
          </w:tcPr>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项目实施方案总体评分：</w:t>
            </w:r>
          </w:p>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1.投标人对照采购人本次采购项目的完整要求所制定方案的合理性、完整性、可行性等进行综合分析。（0-3）；</w:t>
            </w:r>
          </w:p>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2.工作车辆、工作场所的配置方案；（0-3）</w:t>
            </w:r>
          </w:p>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3.各类工作人员配置方案，人员管理措施。（0-4）</w:t>
            </w:r>
          </w:p>
        </w:tc>
        <w:tc>
          <w:tcPr>
            <w:tcW w:w="900" w:type="dxa"/>
            <w:noWrap w:val="0"/>
            <w:vAlign w:val="center"/>
          </w:tcPr>
          <w:p>
            <w:pPr>
              <w:widowControl/>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0-10</w:t>
            </w:r>
          </w:p>
        </w:tc>
        <w:tc>
          <w:tcPr>
            <w:tcW w:w="1364"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825" w:type="dxa"/>
            <w:vMerge w:val="continue"/>
            <w:noWrap w:val="0"/>
            <w:vAlign w:val="center"/>
          </w:tcPr>
          <w:p>
            <w:pPr>
              <w:widowControl/>
              <w:spacing w:line="360" w:lineRule="exact"/>
              <w:jc w:val="center"/>
              <w:rPr>
                <w:rFonts w:hint="eastAsia" w:ascii="宋体" w:hAnsi="宋体" w:eastAsia="宋体" w:cs="宋体"/>
                <w:color w:val="auto"/>
                <w:kern w:val="0"/>
                <w:sz w:val="21"/>
                <w:szCs w:val="21"/>
                <w:highlight w:val="none"/>
              </w:rPr>
            </w:pPr>
          </w:p>
        </w:tc>
        <w:tc>
          <w:tcPr>
            <w:tcW w:w="1229" w:type="dxa"/>
            <w:noWrap w:val="0"/>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实施推进方案10分</w:t>
            </w:r>
          </w:p>
        </w:tc>
        <w:tc>
          <w:tcPr>
            <w:tcW w:w="6341" w:type="dxa"/>
            <w:noWrap w:val="0"/>
            <w:vAlign w:val="center"/>
          </w:tcPr>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垃圾分类目标实施推进方案：</w:t>
            </w:r>
          </w:p>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1.投标人对本项目各阶段目标设置的服务计划合理性、可行性； （0-2分）</w:t>
            </w:r>
          </w:p>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 提升垃圾分类知晓率、分类参与率、投放准确率的具体措施；（0-3分）</w:t>
            </w:r>
          </w:p>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3.引导居民源头减量的措施；（0-2分）</w:t>
            </w:r>
          </w:p>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4.高标准垃圾分类示范小区、商业街、企事业等不同场景分类典型打造的创新举措。（0-3分）</w:t>
            </w:r>
          </w:p>
        </w:tc>
        <w:tc>
          <w:tcPr>
            <w:tcW w:w="900" w:type="dxa"/>
            <w:noWrap w:val="0"/>
            <w:vAlign w:val="center"/>
          </w:tcPr>
          <w:p>
            <w:pPr>
              <w:widowControl/>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0-10</w:t>
            </w:r>
          </w:p>
        </w:tc>
        <w:tc>
          <w:tcPr>
            <w:tcW w:w="1364"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25" w:type="dxa"/>
            <w:vMerge w:val="continue"/>
            <w:noWrap w:val="0"/>
            <w:vAlign w:val="center"/>
          </w:tcPr>
          <w:p>
            <w:pPr>
              <w:widowControl/>
              <w:spacing w:line="360" w:lineRule="exact"/>
              <w:jc w:val="center"/>
              <w:rPr>
                <w:rFonts w:hint="eastAsia" w:ascii="宋体" w:hAnsi="宋体" w:eastAsia="宋体" w:cs="宋体"/>
                <w:color w:val="auto"/>
                <w:kern w:val="0"/>
                <w:sz w:val="21"/>
                <w:szCs w:val="21"/>
                <w:highlight w:val="none"/>
              </w:rPr>
            </w:pPr>
          </w:p>
        </w:tc>
        <w:tc>
          <w:tcPr>
            <w:tcW w:w="1229" w:type="dxa"/>
            <w:noWrap w:val="0"/>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质量保证措施和服务承诺3分</w:t>
            </w:r>
          </w:p>
        </w:tc>
        <w:tc>
          <w:tcPr>
            <w:tcW w:w="6341" w:type="dxa"/>
            <w:noWrap w:val="0"/>
            <w:vAlign w:val="center"/>
          </w:tcPr>
          <w:p>
            <w:pPr>
              <w:spacing w:line="180" w:lineRule="exact"/>
              <w:rPr>
                <w:rFonts w:hint="eastAsia" w:ascii="宋体" w:hAnsi="宋体" w:eastAsia="宋体" w:cs="宋体"/>
                <w:bCs/>
                <w:color w:val="auto"/>
                <w:sz w:val="21"/>
                <w:szCs w:val="21"/>
                <w:highlight w:val="none"/>
              </w:rPr>
            </w:pPr>
          </w:p>
          <w:p>
            <w:pPr>
              <w:spacing w:line="28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1.投标人完整的质量保证措施、售后服务及建设工期等情况（0-1.5）</w:t>
            </w:r>
          </w:p>
          <w:p>
            <w:pPr>
              <w:pStyle w:val="2"/>
              <w:spacing w:before="0" w:after="0" w:line="280" w:lineRule="exact"/>
              <w:jc w:val="both"/>
              <w:rPr>
                <w:rFonts w:hint="eastAsia" w:ascii="宋体" w:hAnsi="宋体" w:eastAsia="宋体" w:cs="宋体"/>
                <w:b w:val="0"/>
                <w:color w:val="auto"/>
                <w:kern w:val="2"/>
                <w:sz w:val="21"/>
                <w:szCs w:val="21"/>
                <w:highlight w:val="none"/>
              </w:rPr>
            </w:pPr>
            <w:r>
              <w:rPr>
                <w:rFonts w:hint="eastAsia" w:ascii="宋体" w:hAnsi="宋体" w:eastAsia="宋体" w:cs="宋体"/>
                <w:b w:val="0"/>
                <w:color w:val="auto"/>
                <w:kern w:val="2"/>
                <w:sz w:val="21"/>
                <w:szCs w:val="21"/>
                <w:highlight w:val="none"/>
              </w:rPr>
              <w:t>2.投标人针对特殊时段、特殊情况的应急处置方案（0-1.5）</w:t>
            </w:r>
          </w:p>
        </w:tc>
        <w:tc>
          <w:tcPr>
            <w:tcW w:w="900" w:type="dxa"/>
            <w:noWrap w:val="0"/>
            <w:vAlign w:val="center"/>
          </w:tcPr>
          <w:p>
            <w:pPr>
              <w:widowControl/>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0-3</w:t>
            </w:r>
          </w:p>
        </w:tc>
        <w:tc>
          <w:tcPr>
            <w:tcW w:w="1364" w:type="dxa"/>
            <w:noWrap w:val="0"/>
            <w:vAlign w:val="center"/>
          </w:tcPr>
          <w:p>
            <w:pPr>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825" w:type="dxa"/>
            <w:vMerge w:val="continue"/>
            <w:noWrap w:val="0"/>
            <w:vAlign w:val="center"/>
          </w:tcPr>
          <w:p>
            <w:pPr>
              <w:widowControl/>
              <w:spacing w:line="360" w:lineRule="exact"/>
              <w:jc w:val="center"/>
              <w:rPr>
                <w:rFonts w:hint="eastAsia" w:ascii="宋体" w:hAnsi="宋体" w:eastAsia="宋体" w:cs="宋体"/>
                <w:color w:val="auto"/>
                <w:kern w:val="0"/>
                <w:sz w:val="21"/>
                <w:szCs w:val="21"/>
                <w:highlight w:val="none"/>
              </w:rPr>
            </w:pPr>
          </w:p>
        </w:tc>
        <w:tc>
          <w:tcPr>
            <w:tcW w:w="1229" w:type="dxa"/>
            <w:noWrap w:val="0"/>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讲标10分</w:t>
            </w:r>
          </w:p>
        </w:tc>
        <w:tc>
          <w:tcPr>
            <w:tcW w:w="6341" w:type="dxa"/>
            <w:noWrap w:val="0"/>
            <w:vAlign w:val="center"/>
          </w:tcPr>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根据投标人对标的演示情况进行评分，演示时间不超过10分钟（不包含评委当初提问和解答时间）：讲标规则详见P33“讲标”</w:t>
            </w:r>
          </w:p>
          <w:p>
            <w:pPr>
              <w:numPr>
                <w:ilvl w:val="0"/>
                <w:numId w:val="6"/>
              </w:num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讲标人为项目经理的得2分</w:t>
            </w:r>
          </w:p>
          <w:p>
            <w:pPr>
              <w:numPr>
                <w:ilvl w:val="0"/>
                <w:numId w:val="6"/>
              </w:num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投标人对本项目的整体理解等（0-1）</w:t>
            </w:r>
          </w:p>
          <w:p>
            <w:pPr>
              <w:numPr>
                <w:ilvl w:val="0"/>
                <w:numId w:val="6"/>
              </w:num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生活垃圾四分类设施采购投放、布点建设等（0-1）</w:t>
            </w:r>
          </w:p>
          <w:p>
            <w:pPr>
              <w:numPr>
                <w:ilvl w:val="0"/>
                <w:numId w:val="6"/>
              </w:num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垃圾分类宣传、督导、培训，居民分类积分兑换物品等（0-3）</w:t>
            </w:r>
          </w:p>
          <w:p>
            <w:pPr>
              <w:numPr>
                <w:ilvl w:val="0"/>
                <w:numId w:val="6"/>
              </w:num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可回收物收运处置，有害垃圾代收暂存等（0-1）</w:t>
            </w:r>
          </w:p>
          <w:p>
            <w:pPr>
              <w:numPr>
                <w:ilvl w:val="0"/>
                <w:numId w:val="6"/>
              </w:num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专职劝导员等工作人员规范化专业化管理措施（（0-2）</w:t>
            </w:r>
          </w:p>
        </w:tc>
        <w:tc>
          <w:tcPr>
            <w:tcW w:w="900" w:type="dxa"/>
            <w:noWrap w:val="0"/>
            <w:vAlign w:val="center"/>
          </w:tcPr>
          <w:p>
            <w:pPr>
              <w:widowControl/>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0-10</w:t>
            </w:r>
          </w:p>
        </w:tc>
        <w:tc>
          <w:tcPr>
            <w:tcW w:w="1364" w:type="dxa"/>
            <w:noWrap w:val="0"/>
            <w:vAlign w:val="center"/>
          </w:tcPr>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1.客观分</w:t>
            </w:r>
          </w:p>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2.专家打分</w:t>
            </w:r>
          </w:p>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3.专家打分4.专家打分</w:t>
            </w:r>
          </w:p>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5.专家打分</w:t>
            </w:r>
          </w:p>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vMerge w:val="continue"/>
            <w:noWrap w:val="0"/>
            <w:vAlign w:val="center"/>
          </w:tcPr>
          <w:p>
            <w:pPr>
              <w:widowControl/>
              <w:spacing w:line="360" w:lineRule="exact"/>
              <w:jc w:val="center"/>
              <w:rPr>
                <w:rFonts w:hint="eastAsia" w:ascii="宋体" w:hAnsi="宋体" w:eastAsia="宋体" w:cs="宋体"/>
                <w:color w:val="auto"/>
                <w:kern w:val="0"/>
                <w:sz w:val="21"/>
                <w:szCs w:val="21"/>
                <w:highlight w:val="none"/>
              </w:rPr>
            </w:pPr>
          </w:p>
        </w:tc>
        <w:tc>
          <w:tcPr>
            <w:tcW w:w="1229" w:type="dxa"/>
            <w:noWrap w:val="0"/>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设施设备</w:t>
            </w:r>
          </w:p>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10分</w:t>
            </w:r>
          </w:p>
        </w:tc>
        <w:tc>
          <w:tcPr>
            <w:tcW w:w="6341"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根据第二章“设施设备技术参数”要求，以及投标人提供的设备参数，设计图纸等进行评分：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1.定时定点投放房（1-5）；</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分类导引牌、宣传栏、公示栏、楼道评比栏、有害垃圾收纳袋、二维码分类垃圾袋（（1-3）；</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3.可回收四分类智能箱（1-2）；</w:t>
            </w:r>
          </w:p>
          <w:p>
            <w:pPr>
              <w:rPr>
                <w:rFonts w:hint="eastAsia" w:ascii="宋体" w:hAnsi="宋体" w:eastAsia="宋体" w:cs="宋体"/>
                <w:color w:val="auto"/>
                <w:sz w:val="21"/>
                <w:szCs w:val="21"/>
                <w:highlight w:val="none"/>
              </w:rPr>
            </w:pPr>
          </w:p>
        </w:tc>
        <w:tc>
          <w:tcPr>
            <w:tcW w:w="900" w:type="dxa"/>
            <w:noWrap w:val="0"/>
            <w:vAlign w:val="center"/>
          </w:tcPr>
          <w:p>
            <w:pPr>
              <w:widowControl/>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3-10</w:t>
            </w:r>
          </w:p>
        </w:tc>
        <w:tc>
          <w:tcPr>
            <w:tcW w:w="1364" w:type="dxa"/>
            <w:noWrap w:val="0"/>
            <w:vAlign w:val="center"/>
          </w:tcPr>
          <w:p>
            <w:pPr>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825" w:type="dxa"/>
            <w:vMerge w:val="continue"/>
            <w:noWrap w:val="0"/>
            <w:vAlign w:val="center"/>
          </w:tcPr>
          <w:p>
            <w:pPr>
              <w:widowControl/>
              <w:spacing w:line="360" w:lineRule="exact"/>
              <w:jc w:val="center"/>
              <w:rPr>
                <w:rFonts w:hint="eastAsia" w:ascii="宋体" w:hAnsi="宋体" w:eastAsia="宋体" w:cs="宋体"/>
                <w:color w:val="auto"/>
                <w:kern w:val="0"/>
                <w:sz w:val="21"/>
                <w:szCs w:val="21"/>
                <w:highlight w:val="none"/>
              </w:rPr>
            </w:pPr>
          </w:p>
        </w:tc>
        <w:tc>
          <w:tcPr>
            <w:tcW w:w="1229" w:type="dxa"/>
            <w:noWrap w:val="0"/>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人员实力10分</w:t>
            </w:r>
          </w:p>
        </w:tc>
        <w:tc>
          <w:tcPr>
            <w:tcW w:w="6341"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shd w:val="clear" w:color="auto" w:fill="FFFFFF"/>
              </w:rPr>
              <w:t>行政人员（项目经理、宣传员、文员）</w:t>
            </w:r>
            <w:r>
              <w:rPr>
                <w:rFonts w:hint="eastAsia" w:ascii="宋体" w:hAnsi="宋体" w:eastAsia="宋体" w:cs="宋体"/>
                <w:color w:val="auto"/>
                <w:sz w:val="21"/>
                <w:szCs w:val="21"/>
                <w:highlight w:val="none"/>
              </w:rPr>
              <w:t>是否有完备的岗位职责和分工、项目实施组织、工作考核、管理制度等。行政人员学历须为大专以上学历且提供毕业证书（学位证书）以及社保缴纳记录；投标人承诺中标后行政人员必须与投标时一致，项目经理未经采购人同意不得随意更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0－3</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shd w:val="clear" w:color="auto" w:fill="FFFFFF"/>
              </w:rPr>
              <w:t>劝导员、垃圾收运工作人员</w:t>
            </w:r>
            <w:r>
              <w:rPr>
                <w:rFonts w:hint="eastAsia" w:ascii="宋体" w:hAnsi="宋体" w:eastAsia="宋体" w:cs="宋体"/>
                <w:color w:val="auto"/>
                <w:sz w:val="21"/>
                <w:szCs w:val="21"/>
                <w:highlight w:val="none"/>
              </w:rPr>
              <w:t>的岗位安排、培训、考核制度、日常管理等的合理性、科学可行性进行综合分析比。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0－</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3.横向比较</w:t>
            </w:r>
            <w:r>
              <w:rPr>
                <w:rFonts w:hint="eastAsia" w:ascii="宋体" w:hAnsi="宋体" w:eastAsia="宋体" w:cs="宋体"/>
                <w:color w:val="auto"/>
                <w:kern w:val="0"/>
                <w:sz w:val="21"/>
                <w:szCs w:val="21"/>
                <w:highlight w:val="none"/>
              </w:rPr>
              <w:t>团队或个人获得的相关</w:t>
            </w:r>
            <w:r>
              <w:rPr>
                <w:rFonts w:hint="eastAsia" w:ascii="宋体" w:hAnsi="宋体" w:eastAsia="宋体" w:cs="宋体"/>
                <w:bCs/>
                <w:color w:val="auto"/>
                <w:kern w:val="0"/>
                <w:sz w:val="21"/>
                <w:szCs w:val="21"/>
                <w:highlight w:val="none"/>
              </w:rPr>
              <w:t>荣誉、证书等情况进行评分。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0－3</w:t>
            </w:r>
            <w:r>
              <w:rPr>
                <w:rFonts w:hint="eastAsia" w:ascii="宋体" w:hAnsi="宋体" w:eastAsia="宋体" w:cs="宋体"/>
                <w:color w:val="auto"/>
                <w:sz w:val="21"/>
                <w:szCs w:val="21"/>
                <w:highlight w:val="none"/>
                <w:lang w:eastAsia="zh-CN"/>
              </w:rPr>
              <w:t>）</w:t>
            </w:r>
          </w:p>
        </w:tc>
        <w:tc>
          <w:tcPr>
            <w:tcW w:w="900" w:type="dxa"/>
            <w:noWrap w:val="0"/>
            <w:vAlign w:val="center"/>
          </w:tcPr>
          <w:p>
            <w:pPr>
              <w:widowControl/>
              <w:adjustRightInd w:val="0"/>
              <w:spacing w:line="360" w:lineRule="exact"/>
              <w:ind w:left="-57" w:leftChars="-27"/>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0-10</w:t>
            </w:r>
          </w:p>
        </w:tc>
        <w:tc>
          <w:tcPr>
            <w:tcW w:w="1364" w:type="dxa"/>
            <w:noWrap w:val="0"/>
            <w:vAlign w:val="center"/>
          </w:tcPr>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25" w:type="dxa"/>
            <w:vMerge w:val="continue"/>
            <w:noWrap w:val="0"/>
            <w:vAlign w:val="center"/>
          </w:tcPr>
          <w:p>
            <w:pPr>
              <w:widowControl/>
              <w:spacing w:line="360" w:lineRule="exact"/>
              <w:jc w:val="center"/>
              <w:rPr>
                <w:rFonts w:hint="eastAsia" w:ascii="宋体" w:hAnsi="宋体" w:eastAsia="宋体" w:cs="宋体"/>
                <w:color w:val="auto"/>
                <w:kern w:val="0"/>
                <w:sz w:val="21"/>
                <w:szCs w:val="21"/>
                <w:highlight w:val="none"/>
              </w:rPr>
            </w:pPr>
          </w:p>
        </w:tc>
        <w:tc>
          <w:tcPr>
            <w:tcW w:w="1229" w:type="dxa"/>
            <w:noWrap w:val="0"/>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车辆配置2分</w:t>
            </w:r>
          </w:p>
        </w:tc>
        <w:tc>
          <w:tcPr>
            <w:tcW w:w="6341"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根据招标文件第二章要求及投标人车辆配置情况，进行评分：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每提供一辆符合要求的厢式货车得1分，每提供一辆符合要求的其他收运车辆得0.5分。最高得2分。车辆须为投标人所有，以车辆行驶证为准。</w:t>
            </w:r>
          </w:p>
        </w:tc>
        <w:tc>
          <w:tcPr>
            <w:tcW w:w="900" w:type="dxa"/>
            <w:noWrap w:val="0"/>
            <w:vAlign w:val="center"/>
          </w:tcPr>
          <w:p>
            <w:pPr>
              <w:widowControl/>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w:t>
            </w:r>
          </w:p>
        </w:tc>
        <w:tc>
          <w:tcPr>
            <w:tcW w:w="1364"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25" w:type="dxa"/>
            <w:vMerge w:val="continue"/>
            <w:noWrap w:val="0"/>
            <w:vAlign w:val="center"/>
          </w:tcPr>
          <w:p>
            <w:pPr>
              <w:widowControl/>
              <w:spacing w:line="360" w:lineRule="exact"/>
              <w:jc w:val="center"/>
              <w:rPr>
                <w:rFonts w:hint="eastAsia" w:ascii="宋体" w:hAnsi="宋体" w:eastAsia="宋体" w:cs="宋体"/>
                <w:color w:val="auto"/>
                <w:kern w:val="0"/>
                <w:sz w:val="21"/>
                <w:szCs w:val="21"/>
                <w:highlight w:val="none"/>
              </w:rPr>
            </w:pPr>
          </w:p>
        </w:tc>
        <w:tc>
          <w:tcPr>
            <w:tcW w:w="1229" w:type="dxa"/>
            <w:noWrap w:val="0"/>
            <w:vAlign w:val="center"/>
          </w:tcPr>
          <w:p>
            <w:pPr>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合理化建议1分</w:t>
            </w:r>
          </w:p>
        </w:tc>
        <w:tc>
          <w:tcPr>
            <w:tcW w:w="6341" w:type="dxa"/>
            <w:noWrap w:val="0"/>
            <w:vAlign w:val="top"/>
          </w:tcPr>
          <w:p>
            <w:pPr>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针对本项目建设内容提出的合理化建议和其他优惠措施。</w:t>
            </w:r>
          </w:p>
        </w:tc>
        <w:tc>
          <w:tcPr>
            <w:tcW w:w="900" w:type="dxa"/>
            <w:noWrap w:val="0"/>
            <w:vAlign w:val="center"/>
          </w:tcPr>
          <w:p>
            <w:pPr>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0-1</w:t>
            </w:r>
          </w:p>
        </w:tc>
        <w:tc>
          <w:tcPr>
            <w:tcW w:w="1364"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专家打分</w:t>
            </w:r>
          </w:p>
        </w:tc>
      </w:tr>
    </w:tbl>
    <w:p>
      <w:pPr>
        <w:pStyle w:val="11"/>
        <w:spacing w:before="120" w:beforeLines="50" w:after="120" w:afterLines="50" w:line="360" w:lineRule="auto"/>
        <w:ind w:firstLine="0"/>
        <w:rPr>
          <w:rFonts w:hAnsi="宋体"/>
          <w:b/>
          <w:color w:val="auto"/>
          <w:sz w:val="24"/>
          <w:szCs w:val="24"/>
          <w:highlight w:val="none"/>
        </w:rPr>
      </w:pPr>
    </w:p>
    <w:p>
      <w:pPr>
        <w:pStyle w:val="11"/>
        <w:spacing w:before="120" w:beforeLines="50" w:after="120" w:afterLines="50" w:line="360" w:lineRule="auto"/>
        <w:ind w:firstLine="0"/>
        <w:rPr>
          <w:rFonts w:hAnsi="宋体"/>
          <w:b/>
          <w:color w:val="auto"/>
          <w:sz w:val="24"/>
          <w:highlight w:val="none"/>
        </w:rPr>
      </w:pPr>
      <w:r>
        <w:rPr>
          <w:rFonts w:hint="eastAsia" w:hAnsi="宋体"/>
          <w:b/>
          <w:color w:val="auto"/>
          <w:sz w:val="24"/>
          <w:szCs w:val="24"/>
          <w:highlight w:val="none"/>
        </w:rPr>
        <w:t>（三）商务</w:t>
      </w:r>
      <w:r>
        <w:rPr>
          <w:rFonts w:hint="eastAsia" w:hAnsi="宋体"/>
          <w:b/>
          <w:bCs/>
          <w:color w:val="auto"/>
          <w:sz w:val="24"/>
          <w:highlight w:val="none"/>
        </w:rPr>
        <w:t>资信分（24分</w:t>
      </w:r>
      <w:r>
        <w:rPr>
          <w:rFonts w:hint="eastAsia" w:hAnsi="宋体"/>
          <w:b/>
          <w:color w:val="auto"/>
          <w:sz w:val="24"/>
          <w:highlight w:val="none"/>
        </w:rPr>
        <w:t>）</w:t>
      </w:r>
    </w:p>
    <w:tbl>
      <w:tblPr>
        <w:tblStyle w:val="26"/>
        <w:tblW w:w="10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60"/>
        <w:gridCol w:w="6390"/>
        <w:gridCol w:w="1078"/>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12" w:hRule="atLeast"/>
          <w:jc w:val="center"/>
        </w:trPr>
        <w:tc>
          <w:tcPr>
            <w:tcW w:w="846" w:type="dxa"/>
            <w:vMerge w:val="restart"/>
            <w:noWrap w:val="0"/>
            <w:vAlign w:val="center"/>
          </w:tcPr>
          <w:p>
            <w:pPr>
              <w:widowControl/>
              <w:spacing w:line="400" w:lineRule="exact"/>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商务</w:t>
            </w:r>
            <w:r>
              <w:rPr>
                <w:rFonts w:hint="eastAsia" w:ascii="宋体" w:hAnsi="宋体" w:eastAsia="宋体" w:cs="宋体"/>
                <w:b/>
                <w:bCs/>
                <w:color w:val="auto"/>
                <w:sz w:val="21"/>
                <w:szCs w:val="21"/>
                <w:highlight w:val="none"/>
              </w:rPr>
              <w:t>资信24分</w:t>
            </w:r>
          </w:p>
        </w:tc>
        <w:tc>
          <w:tcPr>
            <w:tcW w:w="1260" w:type="dxa"/>
            <w:noWrap w:val="0"/>
            <w:vAlign w:val="center"/>
          </w:tcPr>
          <w:p>
            <w:pPr>
              <w:snapToGrid w:val="0"/>
              <w:spacing w:line="3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诚信分</w:t>
            </w:r>
          </w:p>
          <w:p>
            <w:pPr>
              <w:snapToGrid w:val="0"/>
              <w:spacing w:line="3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1分</w:t>
            </w:r>
          </w:p>
        </w:tc>
        <w:tc>
          <w:tcPr>
            <w:tcW w:w="6390" w:type="dxa"/>
            <w:noWrap w:val="0"/>
            <w:vAlign w:val="center"/>
          </w:tcPr>
          <w:p>
            <w:pPr>
              <w:spacing w:line="36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凡在投标截止时间前三年内在经营活动中有重大违法记录或记入不良行为的，此项得分为0；若无重大违法记录、未被记入不良行为且签署诚信承诺书的得1分（如有重大违法记录或不良记录又虚假隐瞒的，一经发现将取消投标资格）。</w:t>
            </w:r>
          </w:p>
        </w:tc>
        <w:tc>
          <w:tcPr>
            <w:tcW w:w="1078"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c>
          <w:tcPr>
            <w:tcW w:w="1162"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5" w:hRule="atLeast"/>
          <w:jc w:val="center"/>
        </w:trPr>
        <w:tc>
          <w:tcPr>
            <w:tcW w:w="846" w:type="dxa"/>
            <w:vMerge w:val="continue"/>
            <w:noWrap w:val="0"/>
            <w:vAlign w:val="center"/>
          </w:tcPr>
          <w:p>
            <w:pPr>
              <w:widowControl/>
              <w:spacing w:line="400" w:lineRule="exact"/>
              <w:rPr>
                <w:rFonts w:hint="eastAsia" w:ascii="宋体" w:hAnsi="宋体" w:eastAsia="宋体" w:cs="宋体"/>
                <w:b/>
                <w:color w:val="auto"/>
                <w:sz w:val="21"/>
                <w:szCs w:val="21"/>
                <w:highlight w:val="none"/>
              </w:rPr>
            </w:pPr>
          </w:p>
        </w:tc>
        <w:tc>
          <w:tcPr>
            <w:tcW w:w="1260" w:type="dxa"/>
            <w:noWrap w:val="0"/>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企业实力</w:t>
            </w:r>
          </w:p>
          <w:p>
            <w:pPr>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5分</w:t>
            </w:r>
          </w:p>
        </w:tc>
        <w:tc>
          <w:tcPr>
            <w:tcW w:w="6390" w:type="dxa"/>
            <w:noWrap w:val="0"/>
            <w:vAlign w:val="center"/>
          </w:tcPr>
          <w:p>
            <w:pPr>
              <w:spacing w:line="2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1.在浙江省内具有再生资源回收经营者备案登记证明，得2分。</w:t>
            </w:r>
          </w:p>
          <w:p>
            <w:pPr>
              <w:spacing w:line="2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2.具有ISO9000质量管理体系、ISO14000环境管理体系、ISO45001职业安全健康管理体系的每项得1分，最多得3分</w:t>
            </w:r>
          </w:p>
        </w:tc>
        <w:tc>
          <w:tcPr>
            <w:tcW w:w="1078" w:type="dxa"/>
            <w:noWrap w:val="0"/>
            <w:vAlign w:val="center"/>
          </w:tcPr>
          <w:p>
            <w:pPr>
              <w:widowControl/>
              <w:adjustRightInd w:val="0"/>
              <w:spacing w:line="3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kern w:val="0"/>
                <w:sz w:val="21"/>
                <w:szCs w:val="21"/>
                <w:highlight w:val="none"/>
              </w:rPr>
              <w:t>0－2</w:t>
            </w:r>
          </w:p>
          <w:p>
            <w:pPr>
              <w:widowControl/>
              <w:adjustRightIn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2.0－3</w:t>
            </w:r>
          </w:p>
        </w:tc>
        <w:tc>
          <w:tcPr>
            <w:tcW w:w="1162" w:type="dxa"/>
            <w:noWrap w:val="0"/>
            <w:vAlign w:val="center"/>
          </w:tcPr>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1.客观分</w:t>
            </w:r>
          </w:p>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7" w:hRule="atLeast"/>
          <w:jc w:val="center"/>
        </w:trPr>
        <w:tc>
          <w:tcPr>
            <w:tcW w:w="846" w:type="dxa"/>
            <w:vMerge w:val="continue"/>
            <w:noWrap w:val="0"/>
            <w:vAlign w:val="center"/>
          </w:tcPr>
          <w:p>
            <w:pPr>
              <w:widowControl/>
              <w:adjustRightInd w:val="0"/>
              <w:spacing w:line="360" w:lineRule="auto"/>
              <w:jc w:val="left"/>
              <w:rPr>
                <w:rFonts w:hint="eastAsia" w:ascii="宋体" w:hAnsi="宋体" w:eastAsia="宋体" w:cs="宋体"/>
                <w:color w:val="auto"/>
                <w:kern w:val="0"/>
                <w:sz w:val="21"/>
                <w:szCs w:val="21"/>
                <w:highlight w:val="none"/>
              </w:rPr>
            </w:pPr>
          </w:p>
        </w:tc>
        <w:tc>
          <w:tcPr>
            <w:tcW w:w="1260" w:type="dxa"/>
            <w:noWrap w:val="0"/>
            <w:vAlign w:val="center"/>
          </w:tcPr>
          <w:p>
            <w:pPr>
              <w:widowControl/>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投标人业绩8分</w:t>
            </w:r>
          </w:p>
        </w:tc>
        <w:tc>
          <w:tcPr>
            <w:tcW w:w="6390" w:type="dxa"/>
            <w:noWrap w:val="0"/>
            <w:vAlign w:val="center"/>
          </w:tcPr>
          <w:p>
            <w:pPr>
              <w:spacing w:line="2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近三年以来（自投标截止日起往前追溯3年，时间以合同签订为准）投标人已完成的同类业绩</w:t>
            </w:r>
            <w:r>
              <w:rPr>
                <w:rFonts w:hint="eastAsia" w:ascii="宋体" w:hAnsi="宋体" w:eastAsia="宋体" w:cs="宋体"/>
                <w:b/>
                <w:color w:val="auto"/>
                <w:sz w:val="21"/>
                <w:szCs w:val="21"/>
                <w:highlight w:val="none"/>
              </w:rPr>
              <w:t>（电子标书中须上传合同原件扫描件和验收材料原件扫描件，否则不得分）</w:t>
            </w:r>
            <w:r>
              <w:rPr>
                <w:rFonts w:hint="eastAsia" w:ascii="宋体" w:hAnsi="宋体" w:eastAsia="宋体" w:cs="宋体"/>
                <w:color w:val="auto"/>
                <w:sz w:val="21"/>
                <w:szCs w:val="21"/>
                <w:highlight w:val="none"/>
              </w:rPr>
              <w:t>。</w:t>
            </w:r>
          </w:p>
          <w:p>
            <w:pPr>
              <w:widowControl/>
              <w:adjustRightInd w:val="0"/>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1.同类业绩每个得2分，最高得5分；</w:t>
            </w:r>
          </w:p>
          <w:p>
            <w:pPr>
              <w:spacing w:line="2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shd w:val="clear" w:color="auto" w:fill="FFFFFF"/>
              </w:rPr>
              <w:t>横向比较投标人业绩的项目情况、履约情况及甲方评价情况进行评分</w:t>
            </w:r>
            <w:r>
              <w:rPr>
                <w:rFonts w:hint="eastAsia" w:ascii="宋体" w:hAnsi="宋体" w:eastAsia="宋体" w:cs="宋体"/>
                <w:color w:val="auto"/>
                <w:sz w:val="21"/>
                <w:szCs w:val="21"/>
                <w:highlight w:val="none"/>
              </w:rPr>
              <w:t>，最高得3分。</w:t>
            </w:r>
          </w:p>
        </w:tc>
        <w:tc>
          <w:tcPr>
            <w:tcW w:w="1078" w:type="dxa"/>
            <w:noWrap w:val="0"/>
            <w:vAlign w:val="center"/>
          </w:tcPr>
          <w:p>
            <w:pPr>
              <w:widowControl/>
              <w:adjustRightInd w:val="0"/>
              <w:spacing w:line="3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1.0-5</w:t>
            </w:r>
          </w:p>
          <w:p>
            <w:pPr>
              <w:widowControl/>
              <w:adjustRightIn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kern w:val="0"/>
                <w:sz w:val="21"/>
                <w:szCs w:val="21"/>
                <w:highlight w:val="none"/>
              </w:rPr>
              <w:t>0-3</w:t>
            </w:r>
          </w:p>
          <w:p>
            <w:pPr>
              <w:spacing w:line="360" w:lineRule="exact"/>
              <w:jc w:val="center"/>
              <w:rPr>
                <w:rFonts w:hint="eastAsia" w:ascii="宋体" w:hAnsi="宋体" w:eastAsia="宋体" w:cs="宋体"/>
                <w:color w:val="auto"/>
                <w:sz w:val="21"/>
                <w:szCs w:val="21"/>
                <w:highlight w:val="none"/>
              </w:rPr>
            </w:pPr>
          </w:p>
        </w:tc>
        <w:tc>
          <w:tcPr>
            <w:tcW w:w="1162" w:type="dxa"/>
            <w:noWrap w:val="0"/>
            <w:vAlign w:val="center"/>
          </w:tcPr>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1.客观分</w:t>
            </w:r>
          </w:p>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2.专家打分</w:t>
            </w:r>
          </w:p>
          <w:p>
            <w:pPr>
              <w:spacing w:line="3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3" w:hRule="atLeast"/>
          <w:jc w:val="center"/>
        </w:trPr>
        <w:tc>
          <w:tcPr>
            <w:tcW w:w="846" w:type="dxa"/>
            <w:vMerge w:val="continue"/>
            <w:noWrap w:val="0"/>
            <w:vAlign w:val="center"/>
          </w:tcPr>
          <w:p>
            <w:pPr>
              <w:widowControl/>
              <w:adjustRightInd w:val="0"/>
              <w:spacing w:line="360" w:lineRule="auto"/>
              <w:jc w:val="left"/>
              <w:rPr>
                <w:rFonts w:hint="eastAsia" w:ascii="宋体" w:hAnsi="宋体" w:eastAsia="宋体" w:cs="宋体"/>
                <w:color w:val="auto"/>
                <w:kern w:val="0"/>
                <w:sz w:val="21"/>
                <w:szCs w:val="21"/>
                <w:highlight w:val="none"/>
              </w:rPr>
            </w:pPr>
          </w:p>
        </w:tc>
        <w:tc>
          <w:tcPr>
            <w:tcW w:w="1260" w:type="dxa"/>
            <w:noWrap w:val="0"/>
            <w:vAlign w:val="center"/>
          </w:tcPr>
          <w:p>
            <w:pPr>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项目经理业绩6分</w:t>
            </w:r>
          </w:p>
        </w:tc>
        <w:tc>
          <w:tcPr>
            <w:tcW w:w="6390" w:type="dxa"/>
            <w:noWrap w:val="0"/>
            <w:vAlign w:val="center"/>
          </w:tcPr>
          <w:p>
            <w:pPr>
              <w:spacing w:line="2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近三年以来（自投标截止日起往前追溯3年，时间以合同签订为准）项目</w:t>
            </w:r>
            <w:r>
              <w:rPr>
                <w:rFonts w:hint="eastAsia" w:ascii="宋体" w:hAnsi="宋体" w:eastAsia="宋体" w:cs="宋体"/>
                <w:color w:val="auto"/>
                <w:kern w:val="0"/>
                <w:sz w:val="21"/>
                <w:szCs w:val="21"/>
                <w:highlight w:val="none"/>
              </w:rPr>
              <w:t>经理</w:t>
            </w:r>
            <w:r>
              <w:rPr>
                <w:rFonts w:hint="eastAsia" w:ascii="宋体" w:hAnsi="宋体" w:eastAsia="宋体" w:cs="宋体"/>
                <w:color w:val="auto"/>
                <w:sz w:val="21"/>
                <w:szCs w:val="21"/>
                <w:highlight w:val="none"/>
              </w:rPr>
              <w:t>已完成的同类业绩</w:t>
            </w:r>
            <w:r>
              <w:rPr>
                <w:rFonts w:hint="eastAsia" w:ascii="宋体" w:hAnsi="宋体" w:eastAsia="宋体" w:cs="宋体"/>
                <w:b/>
                <w:color w:val="auto"/>
                <w:sz w:val="21"/>
                <w:szCs w:val="21"/>
                <w:highlight w:val="none"/>
              </w:rPr>
              <w:t>（电子标书中须上传合同原件扫描件和验收材料原件扫描件，并且</w:t>
            </w:r>
            <w:r>
              <w:rPr>
                <w:rFonts w:hint="eastAsia" w:ascii="宋体" w:hAnsi="宋体" w:eastAsia="宋体" w:cs="宋体"/>
                <w:b/>
                <w:bCs/>
                <w:color w:val="auto"/>
                <w:sz w:val="21"/>
                <w:szCs w:val="21"/>
                <w:highlight w:val="none"/>
                <w:shd w:val="clear" w:color="auto" w:fill="FFFFFF"/>
              </w:rPr>
              <w:t>提供项目负责人与投标人的劳动关系，以社保记录为准</w:t>
            </w:r>
            <w:r>
              <w:rPr>
                <w:rFonts w:hint="eastAsia" w:ascii="宋体" w:hAnsi="宋体" w:eastAsia="宋体" w:cs="宋体"/>
                <w:b/>
                <w:color w:val="auto"/>
                <w:sz w:val="21"/>
                <w:szCs w:val="21"/>
                <w:highlight w:val="none"/>
              </w:rPr>
              <w:t>，否则不得分）。</w:t>
            </w:r>
          </w:p>
          <w:p>
            <w:pPr>
              <w:widowControl/>
              <w:adjustRightInd w:val="0"/>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1.同类业绩每个得1分，最高得3分。</w:t>
            </w:r>
          </w:p>
          <w:p>
            <w:pPr>
              <w:widowControl/>
              <w:adjustRightInd w:val="0"/>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shd w:val="clear" w:color="auto" w:fill="FFFFFF"/>
              </w:rPr>
              <w:t>横向比较</w:t>
            </w:r>
            <w:r>
              <w:rPr>
                <w:rFonts w:hint="eastAsia" w:ascii="宋体" w:hAnsi="宋体" w:eastAsia="宋体" w:cs="宋体"/>
                <w:color w:val="auto"/>
                <w:sz w:val="21"/>
                <w:szCs w:val="21"/>
                <w:highlight w:val="none"/>
              </w:rPr>
              <w:t>项目</w:t>
            </w:r>
            <w:r>
              <w:rPr>
                <w:rFonts w:hint="eastAsia" w:ascii="宋体" w:hAnsi="宋体" w:eastAsia="宋体" w:cs="宋体"/>
                <w:color w:val="auto"/>
                <w:kern w:val="0"/>
                <w:sz w:val="21"/>
                <w:szCs w:val="21"/>
                <w:highlight w:val="none"/>
              </w:rPr>
              <w:t>经理</w:t>
            </w:r>
            <w:r>
              <w:rPr>
                <w:rFonts w:hint="eastAsia" w:ascii="宋体" w:hAnsi="宋体" w:eastAsia="宋体" w:cs="宋体"/>
                <w:color w:val="auto"/>
                <w:sz w:val="21"/>
                <w:szCs w:val="21"/>
                <w:highlight w:val="none"/>
                <w:shd w:val="clear" w:color="auto" w:fill="FFFFFF"/>
              </w:rPr>
              <w:t>业绩的项目情况、履约情况及甲方评价情况进行评分</w:t>
            </w:r>
            <w:r>
              <w:rPr>
                <w:rFonts w:hint="eastAsia" w:ascii="宋体" w:hAnsi="宋体" w:eastAsia="宋体" w:cs="宋体"/>
                <w:color w:val="auto"/>
                <w:sz w:val="21"/>
                <w:szCs w:val="21"/>
                <w:highlight w:val="none"/>
              </w:rPr>
              <w:t>，最高得3分。</w:t>
            </w:r>
          </w:p>
        </w:tc>
        <w:tc>
          <w:tcPr>
            <w:tcW w:w="1078" w:type="dxa"/>
            <w:noWrap w:val="0"/>
            <w:vAlign w:val="center"/>
          </w:tcPr>
          <w:p>
            <w:pPr>
              <w:widowControl/>
              <w:adjustRightInd w:val="0"/>
              <w:spacing w:line="3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1.0-3</w:t>
            </w:r>
          </w:p>
          <w:p>
            <w:pPr>
              <w:widowControl/>
              <w:adjustRightIn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kern w:val="0"/>
                <w:sz w:val="21"/>
                <w:szCs w:val="21"/>
                <w:highlight w:val="none"/>
              </w:rPr>
              <w:t>0-3</w:t>
            </w:r>
          </w:p>
          <w:p>
            <w:pPr>
              <w:spacing w:line="360" w:lineRule="exact"/>
              <w:jc w:val="center"/>
              <w:rPr>
                <w:rFonts w:hint="eastAsia" w:ascii="宋体" w:hAnsi="宋体" w:eastAsia="宋体" w:cs="宋体"/>
                <w:color w:val="auto"/>
                <w:sz w:val="21"/>
                <w:szCs w:val="21"/>
                <w:highlight w:val="none"/>
              </w:rPr>
            </w:pPr>
          </w:p>
        </w:tc>
        <w:tc>
          <w:tcPr>
            <w:tcW w:w="1162" w:type="dxa"/>
            <w:noWrap w:val="0"/>
            <w:vAlign w:val="center"/>
          </w:tcPr>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1.客观分</w:t>
            </w:r>
          </w:p>
          <w:p>
            <w:pPr>
              <w:widowControl/>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2.专家打分</w:t>
            </w:r>
          </w:p>
          <w:p>
            <w:pPr>
              <w:spacing w:line="3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jc w:val="center"/>
        </w:trPr>
        <w:tc>
          <w:tcPr>
            <w:tcW w:w="846" w:type="dxa"/>
            <w:vMerge w:val="continue"/>
            <w:noWrap w:val="0"/>
            <w:vAlign w:val="center"/>
          </w:tcPr>
          <w:p>
            <w:pPr>
              <w:widowControl/>
              <w:adjustRightInd w:val="0"/>
              <w:spacing w:line="360" w:lineRule="auto"/>
              <w:jc w:val="left"/>
              <w:rPr>
                <w:rFonts w:hint="eastAsia" w:ascii="宋体" w:hAnsi="宋体" w:eastAsia="宋体" w:cs="宋体"/>
                <w:color w:val="auto"/>
                <w:kern w:val="0"/>
                <w:sz w:val="21"/>
                <w:szCs w:val="21"/>
                <w:highlight w:val="none"/>
              </w:rPr>
            </w:pPr>
          </w:p>
        </w:tc>
        <w:tc>
          <w:tcPr>
            <w:tcW w:w="1260" w:type="dxa"/>
            <w:noWrap w:val="0"/>
            <w:vAlign w:val="center"/>
          </w:tcPr>
          <w:p>
            <w:pPr>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本地化服务2分</w:t>
            </w:r>
          </w:p>
        </w:tc>
        <w:tc>
          <w:tcPr>
            <w:tcW w:w="6390" w:type="dxa"/>
            <w:noWrap w:val="0"/>
            <w:vAlign w:val="top"/>
          </w:tcPr>
          <w:p>
            <w:pPr>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投标人或其分支机构在嘉兴市范围内得2分，以营业执照或分公司营业执照为准。投标人或其分支机构在嘉兴市范围外的，承诺中标后在嘉善县范围内成立分支机构的得2分，必须提供承诺，不承诺的不得分。</w:t>
            </w:r>
          </w:p>
        </w:tc>
        <w:tc>
          <w:tcPr>
            <w:tcW w:w="1078" w:type="dxa"/>
            <w:noWrap w:val="0"/>
            <w:vAlign w:val="center"/>
          </w:tcPr>
          <w:p>
            <w:pPr>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0-2</w:t>
            </w:r>
          </w:p>
        </w:tc>
        <w:tc>
          <w:tcPr>
            <w:tcW w:w="1162"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7" w:hRule="atLeast"/>
          <w:jc w:val="center"/>
        </w:trPr>
        <w:tc>
          <w:tcPr>
            <w:tcW w:w="846" w:type="dxa"/>
            <w:vMerge w:val="continue"/>
            <w:noWrap w:val="0"/>
            <w:vAlign w:val="center"/>
          </w:tcPr>
          <w:p>
            <w:pPr>
              <w:widowControl/>
              <w:adjustRightInd w:val="0"/>
              <w:spacing w:line="360" w:lineRule="auto"/>
              <w:jc w:val="left"/>
              <w:rPr>
                <w:rFonts w:hint="eastAsia" w:ascii="宋体" w:hAnsi="宋体" w:eastAsia="宋体" w:cs="宋体"/>
                <w:color w:val="auto"/>
                <w:kern w:val="0"/>
                <w:sz w:val="21"/>
                <w:szCs w:val="21"/>
                <w:highlight w:val="none"/>
              </w:rPr>
            </w:pPr>
          </w:p>
        </w:tc>
        <w:tc>
          <w:tcPr>
            <w:tcW w:w="1260" w:type="dxa"/>
            <w:noWrap w:val="0"/>
            <w:vAlign w:val="center"/>
          </w:tcPr>
          <w:p>
            <w:pPr>
              <w:widowControl/>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标书质量分 2分</w:t>
            </w:r>
          </w:p>
        </w:tc>
        <w:tc>
          <w:tcPr>
            <w:tcW w:w="6390" w:type="dxa"/>
            <w:noWrap w:val="0"/>
            <w:vAlign w:val="center"/>
          </w:tcPr>
          <w:p>
            <w:pPr>
              <w:widowControl/>
              <w:adjustRightIn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编制完整，格式规范、符合招标文件要求的，得0-2分；投标文件有关内容前后矛盾、与招标文件要求不一致等，评标委员会允许且需要通过询标等程序进行澄清的，该项不得分；投标文件存在其他错漏的，每项（次）扣 0.5 分，扣完该项得分为止。</w:t>
            </w:r>
          </w:p>
        </w:tc>
        <w:tc>
          <w:tcPr>
            <w:tcW w:w="1078" w:type="dxa"/>
            <w:noWrap w:val="0"/>
            <w:vAlign w:val="center"/>
          </w:tcPr>
          <w:p>
            <w:pPr>
              <w:widowControl/>
              <w:adjustRightInd w:val="0"/>
              <w:spacing w:line="360" w:lineRule="auto"/>
              <w:ind w:firstLine="210" w:firstLineChars="1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0-2</w:t>
            </w:r>
          </w:p>
        </w:tc>
        <w:tc>
          <w:tcPr>
            <w:tcW w:w="1162" w:type="dxa"/>
            <w:noWrap w:val="0"/>
            <w:vAlign w:val="center"/>
          </w:tcPr>
          <w:p>
            <w:pPr>
              <w:widowControl/>
              <w:adjustRightIn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专家打分</w:t>
            </w:r>
          </w:p>
        </w:tc>
      </w:tr>
    </w:tbl>
    <w:p>
      <w:pPr>
        <w:spacing w:line="360" w:lineRule="auto"/>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注：上述要求提供证书、合同、验收材料等均必须在电子标书中上传原件扫描件或图片，不是原件的该项不得分。</w:t>
      </w:r>
    </w:p>
    <w:p>
      <w:pPr>
        <w:pStyle w:val="2"/>
        <w:rPr>
          <w:rFonts w:hint="eastAsia" w:ascii="宋体" w:hAnsi="宋体" w:cs="宋体"/>
          <w:b w:val="0"/>
          <w:bCs w:val="0"/>
          <w:color w:val="auto"/>
          <w:kern w:val="0"/>
          <w:szCs w:val="21"/>
          <w:highlight w:val="none"/>
        </w:rPr>
      </w:pPr>
    </w:p>
    <w:p>
      <w:pPr>
        <w:rPr>
          <w:rFonts w:hint="eastAsia" w:ascii="宋体" w:hAnsi="宋体" w:cs="宋体"/>
          <w:b/>
          <w:bCs/>
          <w:color w:val="auto"/>
          <w:kern w:val="0"/>
          <w:szCs w:val="21"/>
          <w:highlight w:val="none"/>
        </w:rPr>
      </w:pPr>
    </w:p>
    <w:p>
      <w:pPr>
        <w:pStyle w:val="2"/>
        <w:rPr>
          <w:rFonts w:hint="eastAsia" w:ascii="宋体" w:hAnsi="宋体" w:cs="宋体"/>
          <w:b w:val="0"/>
          <w:bCs w:val="0"/>
          <w:color w:val="auto"/>
          <w:kern w:val="0"/>
          <w:szCs w:val="21"/>
          <w:highlight w:val="none"/>
        </w:rPr>
      </w:pPr>
    </w:p>
    <w:p>
      <w:pPr>
        <w:rPr>
          <w:rFonts w:hint="eastAsia" w:ascii="宋体" w:hAnsi="宋体" w:cs="宋体"/>
          <w:b/>
          <w:bCs/>
          <w:color w:val="auto"/>
          <w:kern w:val="0"/>
          <w:szCs w:val="21"/>
          <w:highlight w:val="none"/>
        </w:rPr>
      </w:pPr>
    </w:p>
    <w:p>
      <w:pPr>
        <w:pStyle w:val="2"/>
        <w:rPr>
          <w:rFonts w:hint="eastAsia" w:ascii="宋体" w:hAnsi="宋体" w:cs="宋体"/>
          <w:b w:val="0"/>
          <w:bCs w:val="0"/>
          <w:color w:val="auto"/>
          <w:kern w:val="0"/>
          <w:szCs w:val="21"/>
          <w:highlight w:val="none"/>
        </w:rPr>
      </w:pPr>
    </w:p>
    <w:p>
      <w:pPr>
        <w:rPr>
          <w:rFonts w:hint="eastAsia" w:ascii="宋体" w:hAnsi="宋体" w:cs="宋体"/>
          <w:b/>
          <w:bCs/>
          <w:color w:val="auto"/>
          <w:kern w:val="0"/>
          <w:szCs w:val="21"/>
          <w:highlight w:val="none"/>
        </w:rPr>
      </w:pPr>
    </w:p>
    <w:p>
      <w:pPr>
        <w:pStyle w:val="2"/>
        <w:rPr>
          <w:rFonts w:hint="eastAsia" w:ascii="宋体" w:hAnsi="宋体" w:cs="宋体"/>
          <w:b w:val="0"/>
          <w:bCs w:val="0"/>
          <w:color w:val="auto"/>
          <w:kern w:val="0"/>
          <w:szCs w:val="21"/>
          <w:highlight w:val="none"/>
        </w:rPr>
      </w:pPr>
    </w:p>
    <w:p>
      <w:pPr>
        <w:rPr>
          <w:rFonts w:hint="eastAsia" w:ascii="宋体" w:hAnsi="宋体" w:cs="宋体"/>
          <w:b/>
          <w:bCs/>
          <w:color w:val="auto"/>
          <w:kern w:val="0"/>
          <w:szCs w:val="21"/>
          <w:highlight w:val="none"/>
        </w:rPr>
      </w:pPr>
    </w:p>
    <w:p>
      <w:pPr>
        <w:pStyle w:val="2"/>
        <w:rPr>
          <w:rFonts w:hint="eastAsia" w:ascii="宋体" w:hAnsi="宋体" w:cs="宋体"/>
          <w:b w:val="0"/>
          <w:bCs w:val="0"/>
          <w:color w:val="auto"/>
          <w:kern w:val="0"/>
          <w:szCs w:val="21"/>
          <w:highlight w:val="none"/>
        </w:rPr>
      </w:pPr>
    </w:p>
    <w:p>
      <w:pPr>
        <w:rPr>
          <w:rFonts w:hint="eastAsia" w:ascii="宋体" w:hAnsi="宋体" w:cs="宋体"/>
          <w:b/>
          <w:bCs/>
          <w:color w:val="auto"/>
          <w:kern w:val="0"/>
          <w:szCs w:val="21"/>
          <w:highlight w:val="none"/>
        </w:rPr>
      </w:pPr>
    </w:p>
    <w:p>
      <w:pPr>
        <w:rPr>
          <w:color w:val="auto"/>
          <w:highlight w:val="none"/>
        </w:rPr>
      </w:pPr>
    </w:p>
    <w:p>
      <w:pPr>
        <w:pStyle w:val="2"/>
        <w:rPr>
          <w:rFonts w:hint="eastAsia" w:ascii="宋体" w:hAnsi="宋体" w:cs="宋体"/>
          <w:color w:val="auto"/>
          <w:highlight w:val="none"/>
        </w:rPr>
      </w:pPr>
      <w:r>
        <w:rPr>
          <w:rFonts w:hint="eastAsia" w:ascii="宋体" w:hAnsi="宋体" w:cs="宋体"/>
          <w:color w:val="auto"/>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政府采购计划（预算）确认书编号：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预算金额：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采购人（以下称甲方）：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采购代理机构：嘉善县公共资源交易中心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采购文件编号： </w:t>
      </w:r>
      <w:r>
        <w:rPr>
          <w:rFonts w:hint="eastAsia" w:ascii="宋体" w:hAnsi="宋体" w:cs="宋体"/>
          <w:color w:val="auto"/>
          <w:kern w:val="0"/>
          <w:sz w:val="24"/>
          <w:highlight w:val="none"/>
          <w:u w:val="single"/>
        </w:rPr>
        <w:t xml:space="preserve">JSCG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根据《中华人民共和国政府采购法》、《中华人民共和国合同法》等法律法规的规定，甲乙双方按照</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1、本次采购的是</w:t>
      </w:r>
      <w:r>
        <w:rPr>
          <w:rFonts w:hint="eastAsia" w:ascii="宋体" w:hAnsi="宋体" w:cs="宋体"/>
          <w:color w:val="auto"/>
          <w:kern w:val="0"/>
          <w:sz w:val="24"/>
          <w:highlight w:val="none"/>
          <w:u w:val="singl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1、本合同项下总价款为人民币（大写）</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2、本合同总价款含所有税费(包括货款、标准附件、备品备件、专用工具、包装、运输、装卸、保险、税金、货到就位以及安装、调试、培训、保修等一切税金和费用。)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3、本项目资金来源性质为以下第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（1）一般预算；（2）政府基金；（3）专户核拨的预算外资金；（4）其他财政资金；（5）其他资金。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4、本合同付款方式为以下第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（2）本合同项下的采购资金须财政直接支付，付款程序为</w:t>
      </w:r>
      <w:r>
        <w:rPr>
          <w:rFonts w:hint="eastAsia" w:ascii="宋体" w:hAnsi="宋体" w:cs="宋体"/>
          <w:color w:val="auto"/>
          <w:kern w:val="0"/>
          <w:sz w:val="24"/>
          <w:highlight w:val="none"/>
          <w:u w:val="single"/>
        </w:rPr>
        <w:t>甲方根据年初预算申请生成用款计划，再在支付管理系统中发起直接支付申请，财政核算（支付)中心凭确认书、合同、验收单、发票进行审核支付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5、本合同项下的采购资金付款进度按采购文件与投标文件（或采购响应文件）规定，未规定时按以下第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（1）一次性付款：乙方合同履行达到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（2）分期付款：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时支付</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时支付</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时支付</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若收取了履约保证金，则不应重复设置尾款支付条件。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1、本项目设置履约保证金，乙方应于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（时间）向甲方提交履约保证金</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元（不得高于本合同金额的10%）。履约保证金在</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b/>
          <w:color w:val="auto"/>
          <w:kern w:val="0"/>
          <w:sz w:val="24"/>
          <w:highlight w:val="none"/>
        </w:rPr>
      </w:pPr>
      <w:r>
        <w:rPr>
          <w:rFonts w:hint="eastAsia" w:ascii="宋体" w:hAnsi="宋体" w:cs="宋体"/>
          <w:color w:val="auto"/>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乙方不得擅自部分或全部转让其应履行的合同义务。乙方分包的，应经过甲方书面同意。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（2）向</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本合同一式五份，甲乙双方、财政支付（核算）中心、县财政局、县公共资源交易中心各持一份。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采购人（甲方公章）                    供应商（乙方公章）：</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法定代表人                            法定代表人</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 xml:space="preserve">或被授权人（签字）：                   或被授权人（签字）：     </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 xml:space="preserve">电话：                                电话：  </w:t>
      </w:r>
    </w:p>
    <w:p>
      <w:pPr>
        <w:spacing w:line="480" w:lineRule="exact"/>
        <w:ind w:right="480" w:firstLine="2160" w:firstLineChars="900"/>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80" w:lineRule="exact"/>
        <w:ind w:right="480" w:firstLine="2160" w:firstLineChars="900"/>
        <w:jc w:val="center"/>
        <w:rPr>
          <w:rFonts w:hint="eastAsia" w:ascii="宋体" w:hAnsi="宋体" w:cs="宋体"/>
          <w:color w:val="auto"/>
          <w:sz w:val="24"/>
          <w:highlight w:val="none"/>
        </w:rPr>
      </w:pPr>
      <w:r>
        <w:rPr>
          <w:rFonts w:hint="eastAsia" w:ascii="宋体" w:hAnsi="宋体" w:cs="宋体"/>
          <w:color w:val="auto"/>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hint="eastAsia" w:ascii="宋体" w:hAnsi="宋体" w:cs="宋体"/>
          <w:color w:val="auto"/>
          <w:kern w:val="0"/>
          <w:sz w:val="24"/>
          <w:highlight w:val="none"/>
        </w:rPr>
      </w:pPr>
      <w:r>
        <w:rPr>
          <w:rFonts w:hint="eastAsia" w:ascii="宋体" w:hAnsi="宋体" w:cs="宋体"/>
          <w:color w:val="auto"/>
          <w:sz w:val="24"/>
          <w:highlight w:val="none"/>
        </w:rPr>
        <w:t xml:space="preserve">签约地点：               </w:t>
      </w:r>
    </w:p>
    <w:p>
      <w:pPr>
        <w:pStyle w:val="14"/>
        <w:adjustRightInd w:val="0"/>
        <w:spacing w:before="120" w:after="120" w:line="420" w:lineRule="exact"/>
        <w:rPr>
          <w:rFonts w:hint="eastAsia" w:hAnsi="宋体" w:cs="宋体"/>
          <w:bCs/>
          <w:color w:val="auto"/>
          <w:highlight w:val="none"/>
        </w:rPr>
        <w:sectPr>
          <w:pgSz w:w="11906" w:h="16838"/>
          <w:pgMar w:top="1440" w:right="1797" w:bottom="1440" w:left="1797" w:header="851" w:footer="851" w:gutter="0"/>
          <w:cols w:space="720" w:num="1"/>
          <w:docGrid w:linePitch="312" w:charSpace="0"/>
        </w:sectPr>
      </w:pPr>
    </w:p>
    <w:p>
      <w:pPr>
        <w:pStyle w:val="2"/>
        <w:rPr>
          <w:rFonts w:hint="eastAsia" w:ascii="宋体" w:hAnsi="宋体" w:cs="宋体"/>
          <w:color w:val="auto"/>
          <w:highlight w:val="none"/>
        </w:rPr>
      </w:pPr>
      <w:r>
        <w:rPr>
          <w:rFonts w:hint="eastAsia" w:ascii="宋体" w:hAnsi="宋体" w:cs="宋体"/>
          <w:color w:val="auto"/>
          <w:highlight w:val="none"/>
        </w:rPr>
        <w:t>第六章　投标文件格式</w:t>
      </w:r>
      <w:bookmarkEnd w:id="43"/>
    </w:p>
    <w:p>
      <w:pPr>
        <w:snapToGrid w:val="0"/>
        <w:spacing w:before="50" w:after="50"/>
        <w:outlineLvl w:val="1"/>
        <w:rPr>
          <w:rFonts w:hint="eastAsia" w:ascii="宋体" w:hAnsi="宋体" w:cs="宋体"/>
          <w:color w:val="auto"/>
          <w:sz w:val="32"/>
          <w:szCs w:val="20"/>
          <w:highlight w:val="none"/>
        </w:rPr>
      </w:pPr>
    </w:p>
    <w:p>
      <w:pPr>
        <w:snapToGrid w:val="0"/>
        <w:spacing w:before="120" w:beforeLines="50" w:after="50"/>
        <w:rPr>
          <w:rFonts w:ascii="宋体" w:hAnsi="宋体"/>
          <w:color w:val="auto"/>
          <w:sz w:val="24"/>
          <w:highlight w:val="none"/>
        </w:rPr>
      </w:pPr>
      <w:bookmarkStart w:id="44" w:name="_Toc219619166"/>
      <w:r>
        <w:rPr>
          <w:rFonts w:hint="eastAsia" w:ascii="宋体" w:hAnsi="宋体"/>
          <w:b/>
          <w:color w:val="auto"/>
          <w:sz w:val="24"/>
          <w:highlight w:val="none"/>
        </w:rPr>
        <w:t>商务技术响应文件、报价响应文件目录</w:t>
      </w:r>
      <w:r>
        <w:rPr>
          <w:rFonts w:hint="eastAsia" w:ascii="宋体" w:hAnsi="宋体"/>
          <w:b/>
          <w:bCs/>
          <w:color w:val="auto"/>
          <w:sz w:val="24"/>
          <w:highlight w:val="none"/>
        </w:rPr>
        <w:t>（请按照“第三章投标人须知，</w:t>
      </w:r>
      <w:r>
        <w:rPr>
          <w:rFonts w:ascii="宋体" w:hAnsi="宋体"/>
          <w:b/>
          <w:bCs/>
          <w:color w:val="auto"/>
          <w:sz w:val="24"/>
          <w:highlight w:val="none"/>
        </w:rPr>
        <w:t>三、投标文件的编制</w:t>
      </w:r>
      <w:r>
        <w:rPr>
          <w:rFonts w:hint="eastAsia" w:ascii="宋体" w:hAnsi="宋体"/>
          <w:b/>
          <w:bCs/>
          <w:color w:val="auto"/>
          <w:sz w:val="24"/>
          <w:highlight w:val="none"/>
        </w:rPr>
        <w:t>”的顺序，结合评标办法自行编制目录）</w:t>
      </w:r>
    </w:p>
    <w:p>
      <w:pPr>
        <w:snapToGrid w:val="0"/>
        <w:spacing w:before="50" w:after="50"/>
        <w:rPr>
          <w:rFonts w:hint="eastAsia" w:ascii="宋体" w:hAnsi="宋体"/>
          <w:b/>
          <w:bCs/>
          <w:color w:val="auto"/>
          <w:sz w:val="24"/>
          <w:highlight w:val="none"/>
        </w:rPr>
      </w:pPr>
      <w:r>
        <w:rPr>
          <w:rFonts w:hint="eastAsia" w:ascii="宋体" w:hAnsi="宋体"/>
          <w:b/>
          <w:bCs/>
          <w:color w:val="auto"/>
          <w:sz w:val="24"/>
          <w:highlight w:val="none"/>
        </w:rPr>
        <w:t>例如：</w:t>
      </w:r>
    </w:p>
    <w:p>
      <w:pPr>
        <w:snapToGrid w:val="0"/>
        <w:spacing w:before="50" w:after="50"/>
        <w:rPr>
          <w:rFonts w:hint="eastAsia" w:ascii="宋体" w:hAnsi="宋体"/>
          <w:b/>
          <w:bCs/>
          <w:color w:val="auto"/>
          <w:sz w:val="24"/>
          <w:highlight w:val="none"/>
        </w:rPr>
      </w:pPr>
      <w:r>
        <w:rPr>
          <w:rFonts w:hint="eastAsia" w:ascii="宋体" w:hAnsi="宋体"/>
          <w:b/>
          <w:bCs/>
          <w:color w:val="auto"/>
          <w:sz w:val="24"/>
          <w:highlight w:val="none"/>
        </w:rPr>
        <w:t>商务资信：</w:t>
      </w:r>
    </w:p>
    <w:p>
      <w:pPr>
        <w:snapToGrid w:val="0"/>
        <w:spacing w:before="50" w:after="50"/>
        <w:jc w:val="left"/>
        <w:rPr>
          <w:rFonts w:hint="eastAsia" w:ascii="宋体" w:hAnsi="宋体"/>
          <w:color w:val="auto"/>
          <w:sz w:val="24"/>
          <w:highlight w:val="none"/>
        </w:rPr>
      </w:pPr>
      <w:r>
        <w:rPr>
          <w:rFonts w:hint="eastAsia" w:ascii="宋体" w:hAnsi="宋体"/>
          <w:color w:val="auto"/>
          <w:sz w:val="24"/>
          <w:highlight w:val="none"/>
        </w:rPr>
        <w:t>（1）自评表 —————————————————————（页码）</w:t>
      </w:r>
    </w:p>
    <w:p>
      <w:pPr>
        <w:snapToGrid w:val="0"/>
        <w:spacing w:before="50" w:after="50"/>
        <w:jc w:val="left"/>
        <w:rPr>
          <w:rFonts w:hint="eastAsia" w:ascii="宋体" w:hAnsi="宋体"/>
          <w:color w:val="auto"/>
          <w:sz w:val="24"/>
          <w:highlight w:val="none"/>
        </w:rPr>
      </w:pPr>
      <w:r>
        <w:rPr>
          <w:rFonts w:hint="eastAsia" w:ascii="宋体" w:hAnsi="宋体"/>
          <w:color w:val="auto"/>
          <w:sz w:val="24"/>
          <w:highlight w:val="none"/>
        </w:rPr>
        <w:t>（2）投标声明书  —————————————（页码）</w:t>
      </w:r>
    </w:p>
    <w:p>
      <w:pPr>
        <w:snapToGrid w:val="0"/>
        <w:spacing w:before="50" w:after="50"/>
        <w:jc w:val="left"/>
        <w:rPr>
          <w:rFonts w:hint="eastAsia" w:ascii="宋体" w:hAnsi="宋体"/>
          <w:color w:val="auto"/>
          <w:sz w:val="24"/>
          <w:highlight w:val="none"/>
        </w:rPr>
      </w:pPr>
    </w:p>
    <w:p>
      <w:pPr>
        <w:snapToGrid w:val="0"/>
        <w:spacing w:before="120" w:beforeLines="50" w:after="50"/>
        <w:rPr>
          <w:rFonts w:hint="eastAsia" w:ascii="宋体" w:hAnsi="宋体" w:cs="宋体"/>
          <w:color w:val="auto"/>
          <w:sz w:val="24"/>
          <w:szCs w:val="20"/>
          <w:highlight w:val="none"/>
        </w:rPr>
      </w:pPr>
    </w:p>
    <w:tbl>
      <w:tblPr>
        <w:tblStyle w:val="26"/>
        <w:tblpPr w:leftFromText="180" w:rightFromText="180" w:vertAnchor="page" w:horzAnchor="page" w:tblpX="1992" w:tblpY="72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5685"/>
        <w:gridCol w:w="97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top"/>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序号</w:t>
            </w:r>
          </w:p>
        </w:tc>
        <w:tc>
          <w:tcPr>
            <w:tcW w:w="5685" w:type="dxa"/>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证明材料</w:t>
            </w:r>
          </w:p>
        </w:tc>
        <w:tc>
          <w:tcPr>
            <w:tcW w:w="975" w:type="dxa"/>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所在 页码</w:t>
            </w:r>
          </w:p>
        </w:tc>
        <w:tc>
          <w:tcPr>
            <w:tcW w:w="1095" w:type="dxa"/>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8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5685" w:type="dxa"/>
            <w:noWrap w:val="0"/>
            <w:vAlign w:val="center"/>
          </w:tcPr>
          <w:p>
            <w:pPr>
              <w:spacing w:line="480" w:lineRule="exact"/>
              <w:jc w:val="center"/>
              <w:rPr>
                <w:rFonts w:hint="eastAsia" w:ascii="宋体" w:hAnsi="宋体" w:cs="宋体"/>
                <w:color w:val="auto"/>
                <w:sz w:val="24"/>
                <w:highlight w:val="none"/>
              </w:rPr>
            </w:pPr>
            <w:r>
              <w:rPr>
                <w:rFonts w:hint="eastAsia" w:ascii="宋体" w:hAnsi="宋体" w:cs="宋体"/>
                <w:color w:val="auto"/>
                <w:sz w:val="24"/>
                <w:highlight w:val="none"/>
              </w:rPr>
              <w:t>营业执照(具有垃圾分类运维服务等内容)</w:t>
            </w:r>
          </w:p>
        </w:tc>
        <w:tc>
          <w:tcPr>
            <w:tcW w:w="975" w:type="dxa"/>
            <w:noWrap w:val="0"/>
            <w:vAlign w:val="center"/>
          </w:tcPr>
          <w:p>
            <w:pPr>
              <w:jc w:val="center"/>
              <w:rPr>
                <w:rFonts w:hint="eastAsia" w:ascii="宋体" w:hAnsi="宋体" w:cs="宋体"/>
                <w:color w:val="auto"/>
                <w:sz w:val="24"/>
                <w:highlight w:val="none"/>
              </w:rPr>
            </w:pPr>
          </w:p>
        </w:tc>
        <w:tc>
          <w:tcPr>
            <w:tcW w:w="1095" w:type="dxa"/>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8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5685" w:type="dxa"/>
            <w:noWrap w:val="0"/>
            <w:vAlign w:val="center"/>
          </w:tcPr>
          <w:p>
            <w:pPr>
              <w:spacing w:line="480" w:lineRule="exact"/>
              <w:jc w:val="center"/>
              <w:rPr>
                <w:rFonts w:hint="eastAsia" w:ascii="宋体" w:hAnsi="宋体" w:cs="宋体"/>
                <w:color w:val="auto"/>
                <w:sz w:val="24"/>
                <w:highlight w:val="none"/>
              </w:rPr>
            </w:pPr>
            <w:r>
              <w:rPr>
                <w:rFonts w:hint="eastAsia" w:ascii="宋体" w:hAnsi="宋体" w:cs="宋体"/>
                <w:color w:val="auto"/>
                <w:sz w:val="24"/>
                <w:highlight w:val="none"/>
              </w:rPr>
              <w:t>2019年度财务报告</w:t>
            </w:r>
            <w:r>
              <w:rPr>
                <w:rFonts w:hint="eastAsia" w:ascii="宋体" w:hAnsi="宋体" w:cs="宋体"/>
                <w:b/>
                <w:bCs/>
                <w:color w:val="auto"/>
                <w:sz w:val="24"/>
                <w:highlight w:val="none"/>
              </w:rPr>
              <w:t>或</w:t>
            </w:r>
            <w:r>
              <w:rPr>
                <w:rFonts w:hint="eastAsia" w:ascii="宋体" w:hAnsi="宋体" w:cs="宋体"/>
                <w:color w:val="auto"/>
                <w:sz w:val="24"/>
                <w:highlight w:val="none"/>
              </w:rPr>
              <w:t>开标截止期前半年内任意一个月的资产负债表及利润表</w:t>
            </w:r>
          </w:p>
        </w:tc>
        <w:tc>
          <w:tcPr>
            <w:tcW w:w="975" w:type="dxa"/>
            <w:noWrap w:val="0"/>
            <w:vAlign w:val="center"/>
          </w:tcPr>
          <w:p>
            <w:pPr>
              <w:jc w:val="center"/>
              <w:rPr>
                <w:rFonts w:hint="eastAsia" w:ascii="宋体" w:hAnsi="宋体" w:cs="宋体"/>
                <w:color w:val="auto"/>
                <w:sz w:val="24"/>
                <w:highlight w:val="none"/>
              </w:rPr>
            </w:pPr>
          </w:p>
        </w:tc>
        <w:tc>
          <w:tcPr>
            <w:tcW w:w="1095" w:type="dxa"/>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5685" w:type="dxa"/>
            <w:noWrap w:val="0"/>
            <w:vAlign w:val="center"/>
          </w:tcPr>
          <w:p>
            <w:pPr>
              <w:spacing w:line="480" w:lineRule="exact"/>
              <w:jc w:val="center"/>
              <w:rPr>
                <w:rFonts w:hint="eastAsia" w:ascii="宋体" w:hAnsi="宋体" w:cs="宋体"/>
                <w:color w:val="auto"/>
                <w:sz w:val="24"/>
                <w:highlight w:val="none"/>
              </w:rPr>
            </w:pPr>
            <w:r>
              <w:rPr>
                <w:rFonts w:hint="eastAsia" w:ascii="宋体" w:hAnsi="宋体" w:cs="宋体"/>
                <w:color w:val="auto"/>
                <w:sz w:val="24"/>
                <w:highlight w:val="none"/>
              </w:rPr>
              <w:t>具有履行合同所必需的设备和专业技术能力</w:t>
            </w:r>
          </w:p>
        </w:tc>
        <w:tc>
          <w:tcPr>
            <w:tcW w:w="975" w:type="dxa"/>
            <w:noWrap w:val="0"/>
            <w:vAlign w:val="center"/>
          </w:tcPr>
          <w:p>
            <w:pPr>
              <w:jc w:val="center"/>
              <w:rPr>
                <w:rFonts w:hint="eastAsia" w:ascii="宋体" w:hAnsi="宋体" w:cs="宋体"/>
                <w:color w:val="auto"/>
                <w:sz w:val="24"/>
                <w:highlight w:val="none"/>
              </w:rPr>
            </w:pPr>
          </w:p>
        </w:tc>
        <w:tc>
          <w:tcPr>
            <w:tcW w:w="1095" w:type="dxa"/>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8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4</w:t>
            </w:r>
          </w:p>
        </w:tc>
        <w:tc>
          <w:tcPr>
            <w:tcW w:w="5685" w:type="dxa"/>
            <w:noWrap w:val="0"/>
            <w:vAlign w:val="center"/>
          </w:tcPr>
          <w:p>
            <w:pPr>
              <w:spacing w:line="480" w:lineRule="exact"/>
              <w:jc w:val="center"/>
              <w:rPr>
                <w:rFonts w:hint="eastAsia" w:ascii="宋体" w:hAnsi="宋体" w:cs="宋体"/>
                <w:color w:val="auto"/>
                <w:sz w:val="24"/>
                <w:highlight w:val="none"/>
              </w:rPr>
            </w:pPr>
            <w:r>
              <w:rPr>
                <w:rFonts w:hint="eastAsia" w:ascii="宋体" w:hAnsi="宋体" w:cs="宋体"/>
                <w:color w:val="auto"/>
                <w:sz w:val="24"/>
                <w:highlight w:val="none"/>
              </w:rPr>
              <w:t>开标截止期前半年内任意一个月的税收缴纳证明</w:t>
            </w:r>
          </w:p>
          <w:p>
            <w:pPr>
              <w:spacing w:line="480" w:lineRule="exact"/>
              <w:jc w:val="center"/>
              <w:rPr>
                <w:rFonts w:hint="eastAsia" w:ascii="宋体" w:hAnsi="宋体" w:cs="宋体"/>
                <w:color w:val="auto"/>
                <w:sz w:val="24"/>
                <w:highlight w:val="none"/>
              </w:rPr>
            </w:pPr>
            <w:r>
              <w:rPr>
                <w:rFonts w:hint="eastAsia" w:ascii="宋体" w:hAnsi="宋体" w:cs="宋体"/>
                <w:color w:val="auto"/>
                <w:sz w:val="24"/>
                <w:highlight w:val="none"/>
              </w:rPr>
              <w:t>(税费凭证复印件或完税证明或依法免缴税费的证明或银行出具缴费凭证)</w:t>
            </w:r>
          </w:p>
        </w:tc>
        <w:tc>
          <w:tcPr>
            <w:tcW w:w="975" w:type="dxa"/>
            <w:noWrap w:val="0"/>
            <w:vAlign w:val="center"/>
          </w:tcPr>
          <w:p>
            <w:pPr>
              <w:jc w:val="center"/>
              <w:rPr>
                <w:rFonts w:hint="eastAsia" w:ascii="宋体" w:hAnsi="宋体" w:cs="宋体"/>
                <w:color w:val="auto"/>
                <w:sz w:val="24"/>
                <w:highlight w:val="none"/>
              </w:rPr>
            </w:pPr>
          </w:p>
        </w:tc>
        <w:tc>
          <w:tcPr>
            <w:tcW w:w="1095" w:type="dxa"/>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5</w:t>
            </w:r>
          </w:p>
        </w:tc>
        <w:tc>
          <w:tcPr>
            <w:tcW w:w="5685" w:type="dxa"/>
            <w:noWrap w:val="0"/>
            <w:vAlign w:val="center"/>
          </w:tcPr>
          <w:p>
            <w:pPr>
              <w:spacing w:line="480" w:lineRule="exact"/>
              <w:rPr>
                <w:rFonts w:hint="eastAsia" w:ascii="宋体" w:hAnsi="宋体" w:cs="宋体"/>
                <w:color w:val="auto"/>
                <w:sz w:val="24"/>
                <w:highlight w:val="none"/>
              </w:rPr>
            </w:pPr>
            <w:r>
              <w:rPr>
                <w:rFonts w:hint="eastAsia" w:ascii="宋体" w:hAnsi="宋体" w:cs="宋体"/>
                <w:color w:val="auto"/>
                <w:sz w:val="24"/>
                <w:highlight w:val="none"/>
              </w:rPr>
              <w:t>开标截止期前半年内任意一个月的社会保障缴纳证明(例如单位专用参保证明或银行出具缴费凭证等)</w:t>
            </w:r>
          </w:p>
        </w:tc>
        <w:tc>
          <w:tcPr>
            <w:tcW w:w="975" w:type="dxa"/>
            <w:noWrap w:val="0"/>
            <w:vAlign w:val="center"/>
          </w:tcPr>
          <w:p>
            <w:pPr>
              <w:jc w:val="center"/>
              <w:rPr>
                <w:rFonts w:hint="eastAsia" w:ascii="宋体" w:hAnsi="宋体" w:cs="宋体"/>
                <w:color w:val="auto"/>
                <w:sz w:val="24"/>
                <w:highlight w:val="none"/>
              </w:rPr>
            </w:pPr>
          </w:p>
        </w:tc>
        <w:tc>
          <w:tcPr>
            <w:tcW w:w="1095" w:type="dxa"/>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6</w:t>
            </w:r>
          </w:p>
        </w:tc>
        <w:tc>
          <w:tcPr>
            <w:tcW w:w="5685" w:type="dxa"/>
            <w:noWrap w:val="0"/>
            <w:vAlign w:val="center"/>
          </w:tcPr>
          <w:p>
            <w:pPr>
              <w:spacing w:line="480" w:lineRule="exact"/>
              <w:rPr>
                <w:rFonts w:hint="eastAsia" w:ascii="宋体" w:hAnsi="宋体" w:cs="宋体"/>
                <w:color w:val="auto"/>
                <w:sz w:val="24"/>
                <w:highlight w:val="none"/>
              </w:rPr>
            </w:pPr>
            <w:r>
              <w:rPr>
                <w:rFonts w:hint="eastAsia" w:ascii="宋体" w:hAnsi="宋体" w:cs="宋体"/>
                <w:color w:val="auto"/>
                <w:sz w:val="24"/>
                <w:highlight w:val="none"/>
              </w:rPr>
              <w:t>未被</w:t>
            </w:r>
            <w:r>
              <w:rPr>
                <w:rFonts w:hint="eastAsia" w:ascii="宋体" w:hAnsi="宋体" w:cs="宋体"/>
                <w:bCs/>
                <w:color w:val="auto"/>
                <w:sz w:val="24"/>
                <w:highlight w:val="none"/>
              </w:rPr>
              <w:t>“信用中国”（www.creditchina.gov.cn）</w:t>
            </w:r>
            <w:r>
              <w:rPr>
                <w:rFonts w:hint="eastAsia" w:ascii="宋体" w:hAnsi="宋体" w:cs="宋体"/>
                <w:color w:val="auto"/>
                <w:sz w:val="24"/>
                <w:highlight w:val="none"/>
              </w:rPr>
              <w:t>、</w:t>
            </w:r>
            <w:r>
              <w:rPr>
                <w:rFonts w:hint="eastAsia" w:ascii="宋体" w:hAnsi="宋体" w:cs="宋体"/>
                <w:bCs/>
                <w:color w:val="auto"/>
                <w:sz w:val="24"/>
                <w:highlight w:val="none"/>
              </w:rPr>
              <w:t>中国政府采购网（www.ccgp.gov.cn/search/cr/）</w:t>
            </w:r>
            <w:r>
              <w:rPr>
                <w:rFonts w:hint="eastAsia" w:ascii="宋体" w:hAnsi="宋体" w:cs="宋体"/>
                <w:color w:val="auto"/>
                <w:sz w:val="24"/>
                <w:highlight w:val="none"/>
              </w:rPr>
              <w:t>列入失信被执行人、重大税收违法案件当事人名单、政府采购严重违法失信行为记录名单</w:t>
            </w:r>
          </w:p>
        </w:tc>
        <w:tc>
          <w:tcPr>
            <w:tcW w:w="975" w:type="dxa"/>
            <w:noWrap w:val="0"/>
            <w:vAlign w:val="center"/>
          </w:tcPr>
          <w:p>
            <w:pPr>
              <w:jc w:val="center"/>
              <w:rPr>
                <w:rFonts w:hint="eastAsia" w:ascii="宋体" w:hAnsi="宋体" w:cs="宋体"/>
                <w:color w:val="auto"/>
                <w:sz w:val="24"/>
                <w:highlight w:val="none"/>
              </w:rPr>
            </w:pPr>
          </w:p>
        </w:tc>
        <w:tc>
          <w:tcPr>
            <w:tcW w:w="1095" w:type="dxa"/>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以资格审核人员当日查询为准</w:t>
            </w:r>
          </w:p>
        </w:tc>
      </w:tr>
    </w:tbl>
    <w:p>
      <w:pPr>
        <w:spacing w:line="480" w:lineRule="exact"/>
        <w:ind w:firstLine="2409" w:firstLineChars="1000"/>
        <w:rPr>
          <w:rFonts w:hint="eastAsia" w:ascii="宋体" w:hAnsi="宋体" w:cs="宋体"/>
          <w:b/>
          <w:bCs/>
          <w:color w:val="auto"/>
          <w:sz w:val="24"/>
          <w:highlight w:val="none"/>
        </w:rPr>
      </w:pPr>
      <w:r>
        <w:rPr>
          <w:rFonts w:hint="eastAsia" w:ascii="宋体" w:hAnsi="宋体"/>
          <w:b/>
          <w:color w:val="auto"/>
          <w:sz w:val="24"/>
          <w:highlight w:val="none"/>
        </w:rPr>
        <w:t>▲</w:t>
      </w:r>
      <w:r>
        <w:rPr>
          <w:rFonts w:hint="eastAsia" w:ascii="宋体" w:hAnsi="宋体" w:cs="宋体"/>
          <w:b/>
          <w:color w:val="auto"/>
          <w:sz w:val="24"/>
          <w:highlight w:val="none"/>
        </w:rPr>
        <w:t>资格文件要求的证明材料</w:t>
      </w: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rPr>
          <w:color w:val="auto"/>
          <w:sz w:val="24"/>
          <w:szCs w:val="20"/>
          <w:highlight w:val="none"/>
        </w:rPr>
      </w:pPr>
      <w:r>
        <w:rPr>
          <w:rFonts w:hint="eastAsia"/>
          <w:b/>
          <w:color w:val="auto"/>
          <w:sz w:val="24"/>
          <w:highlight w:val="none"/>
        </w:rPr>
        <w:t>商务技术响应文件封面格式：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商务技术文件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rFonts w:hint="eastAsia"/>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5"/>
        <w:snapToGrid w:val="0"/>
        <w:spacing w:before="50" w:after="50" w:line="320" w:lineRule="exact"/>
        <w:ind w:firstLine="1068" w:firstLineChars="445"/>
        <w:rPr>
          <w:rFonts w:hint="eastAsia"/>
          <w:bCs/>
          <w:color w:val="auto"/>
          <w:sz w:val="24"/>
          <w:highlight w:val="none"/>
        </w:rPr>
      </w:pPr>
      <w:r>
        <w:rPr>
          <w:rFonts w:hint="eastAsia"/>
          <w:bCs/>
          <w:color w:val="auto"/>
          <w:sz w:val="24"/>
          <w:highlight w:val="none"/>
        </w:rPr>
        <w:t xml:space="preserve">投标人名称：   </w:t>
      </w:r>
      <w:r>
        <w:rPr>
          <w:rFonts w:hint="eastAsia" w:ascii="宋体" w:hAnsi="宋体"/>
          <w:bCs/>
          <w:color w:val="auto"/>
          <w:sz w:val="24"/>
          <w:highlight w:val="none"/>
        </w:rPr>
        <w:t>（公章）</w:t>
      </w:r>
    </w:p>
    <w:p>
      <w:pPr>
        <w:pStyle w:val="5"/>
        <w:snapToGrid w:val="0"/>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color w:val="auto"/>
          <w:sz w:val="24"/>
          <w:szCs w:val="20"/>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hint="eastAsia" w:ascii="宋体" w:hAnsi="宋体" w:cs="宋体"/>
          <w:b/>
          <w:color w:val="auto"/>
          <w:sz w:val="32"/>
          <w:szCs w:val="32"/>
          <w:highlight w:val="none"/>
        </w:rPr>
      </w:pPr>
    </w:p>
    <w:p>
      <w:pPr>
        <w:pStyle w:val="2"/>
        <w:rPr>
          <w:rFonts w:hint="eastAsia" w:ascii="宋体" w:hAnsi="宋体" w:cs="宋体"/>
          <w:b w:val="0"/>
          <w:color w:val="auto"/>
          <w:szCs w:val="32"/>
          <w:highlight w:val="none"/>
        </w:rPr>
      </w:pPr>
    </w:p>
    <w:p>
      <w:pPr>
        <w:rPr>
          <w:rFonts w:hint="eastAsia"/>
          <w:color w:val="auto"/>
          <w:highlight w:val="none"/>
        </w:rPr>
      </w:pPr>
    </w:p>
    <w:p>
      <w:pPr>
        <w:rPr>
          <w:rFonts w:hint="eastAsia"/>
          <w:color w:val="auto"/>
          <w:highlight w:val="none"/>
        </w:rPr>
      </w:pPr>
    </w:p>
    <w:p>
      <w:pPr>
        <w:snapToGrid w:val="0"/>
        <w:spacing w:before="120" w:beforeLines="50" w:after="50"/>
        <w:rPr>
          <w:color w:val="auto"/>
          <w:sz w:val="24"/>
          <w:szCs w:val="20"/>
          <w:highlight w:val="none"/>
        </w:rPr>
      </w:pPr>
      <w:r>
        <w:rPr>
          <w:rFonts w:hint="eastAsia"/>
          <w:b/>
          <w:color w:val="auto"/>
          <w:sz w:val="24"/>
          <w:highlight w:val="none"/>
        </w:rPr>
        <w:t>报价文件</w:t>
      </w:r>
      <w:r>
        <w:rPr>
          <w:rFonts w:hint="eastAsia"/>
          <w:b/>
          <w:color w:val="auto"/>
          <w:sz w:val="24"/>
          <w:highlight w:val="none"/>
          <w:lang w:eastAsia="zh-CN"/>
        </w:rPr>
        <w:t>响应</w:t>
      </w:r>
      <w:r>
        <w:rPr>
          <w:rFonts w:hint="eastAsia"/>
          <w:b/>
          <w:color w:val="auto"/>
          <w:sz w:val="24"/>
          <w:highlight w:val="none"/>
        </w:rPr>
        <w:t>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报  价</w:t>
      </w:r>
      <w:r>
        <w:rPr>
          <w:b/>
          <w:bCs/>
          <w:color w:val="auto"/>
          <w:sz w:val="32"/>
          <w:szCs w:val="32"/>
          <w:highlight w:val="none"/>
        </w:rPr>
        <w:t xml:space="preserve"> </w:t>
      </w:r>
      <w:r>
        <w:rPr>
          <w:rFonts w:hint="eastAsia"/>
          <w:b/>
          <w:bCs/>
          <w:color w:val="auto"/>
          <w:sz w:val="32"/>
          <w:szCs w:val="32"/>
          <w:highlight w:val="none"/>
        </w:rPr>
        <w:t>文</w:t>
      </w:r>
      <w:r>
        <w:rPr>
          <w:b/>
          <w:bCs/>
          <w:color w:val="auto"/>
          <w:sz w:val="32"/>
          <w:szCs w:val="32"/>
          <w:highlight w:val="none"/>
        </w:rPr>
        <w:t xml:space="preserve"> </w:t>
      </w:r>
      <w:r>
        <w:rPr>
          <w:rFonts w:hint="eastAsia"/>
          <w:b/>
          <w:bCs/>
          <w:color w:val="auto"/>
          <w:sz w:val="32"/>
          <w:szCs w:val="32"/>
          <w:highlight w:val="none"/>
        </w:rPr>
        <w:t>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rFonts w:hint="eastAsia"/>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5"/>
        <w:snapToGrid w:val="0"/>
        <w:spacing w:before="50" w:after="50" w:line="320" w:lineRule="exact"/>
        <w:ind w:firstLine="1068" w:firstLineChars="445"/>
        <w:rPr>
          <w:rFonts w:hint="eastAsia"/>
          <w:bCs/>
          <w:color w:val="auto"/>
          <w:sz w:val="24"/>
          <w:highlight w:val="none"/>
        </w:rPr>
      </w:pPr>
      <w:r>
        <w:rPr>
          <w:rFonts w:hint="eastAsia"/>
          <w:bCs/>
          <w:color w:val="auto"/>
          <w:sz w:val="24"/>
          <w:highlight w:val="none"/>
        </w:rPr>
        <w:t xml:space="preserve">投标人名称：   </w:t>
      </w:r>
      <w:r>
        <w:rPr>
          <w:rFonts w:hint="eastAsia" w:ascii="宋体" w:hAnsi="宋体"/>
          <w:bCs/>
          <w:color w:val="auto"/>
          <w:sz w:val="24"/>
          <w:highlight w:val="none"/>
        </w:rPr>
        <w:t>（公章）</w:t>
      </w:r>
    </w:p>
    <w:p>
      <w:pPr>
        <w:pStyle w:val="5"/>
        <w:snapToGrid w:val="0"/>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jc w:val="center"/>
        <w:rPr>
          <w:rFonts w:hint="eastAsia" w:ascii="宋体" w:hAnsi="宋体" w:cs="宋体"/>
          <w:b/>
          <w:color w:val="auto"/>
          <w:sz w:val="32"/>
          <w:szCs w:val="32"/>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pStyle w:val="2"/>
        <w:rPr>
          <w:rFonts w:hint="eastAsia"/>
          <w:color w:val="auto"/>
          <w:highlight w:val="none"/>
        </w:rPr>
      </w:pPr>
    </w:p>
    <w:p>
      <w:pP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投标声明书</w:t>
      </w:r>
    </w:p>
    <w:p>
      <w:pPr>
        <w:snapToGrid w:val="0"/>
        <w:spacing w:before="120" w:beforeLines="50" w:after="50" w:line="400" w:lineRule="exact"/>
        <w:rPr>
          <w:rFonts w:hint="eastAsia" w:ascii="宋体" w:hAnsi="宋体" w:cs="宋体"/>
          <w:color w:val="auto"/>
          <w:sz w:val="24"/>
          <w:szCs w:val="20"/>
          <w:highlight w:val="none"/>
        </w:rPr>
      </w:pPr>
      <w:r>
        <w:rPr>
          <w:rFonts w:hint="eastAsia" w:ascii="宋体" w:hAnsi="宋体" w:cs="宋体"/>
          <w:color w:val="auto"/>
          <w:sz w:val="24"/>
          <w:highlight w:val="none"/>
        </w:rPr>
        <w:t xml:space="preserve">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400" w:lineRule="exact"/>
        <w:ind w:firstLine="720" w:firstLineChars="300"/>
        <w:rPr>
          <w:rFonts w:hint="eastAsia"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line="400" w:lineRule="exact"/>
        <w:ind w:firstLine="645"/>
        <w:rPr>
          <w:rFonts w:hint="eastAsia"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采购项目</w:t>
      </w:r>
      <w:r>
        <w:rPr>
          <w:rFonts w:hint="eastAsia" w:ascii="宋体" w:hAnsi="宋体" w:cs="宋体"/>
          <w:color w:val="auto"/>
          <w:sz w:val="24"/>
          <w:highlight w:val="none"/>
        </w:rPr>
        <w:t>的投标，为便于贵方公正、择优地确定中标人及其投标产品和服务，我方就本次投标有关事项郑重声明如下：</w:t>
      </w:r>
    </w:p>
    <w:p>
      <w:pPr>
        <w:snapToGrid w:val="0"/>
        <w:spacing w:line="400" w:lineRule="exact"/>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snapToGrid w:val="0"/>
        <w:spacing w:before="120" w:beforeLines="50" w:line="400" w:lineRule="exact"/>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before="120" w:beforeLines="50" w:line="400" w:lineRule="exact"/>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3.我方此次向贵方提供的产品名称为：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；规格型号：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；该型号产品我方有现货可供，并已于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月生产完工或向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（原厂商名称）购进［</w:t>
      </w:r>
      <w:r>
        <w:rPr>
          <w:rFonts w:hint="eastAsia" w:ascii="宋体" w:hAnsi="宋体" w:cs="宋体"/>
          <w:bCs/>
          <w:color w:val="auto"/>
          <w:sz w:val="24"/>
          <w:highlight w:val="none"/>
        </w:rPr>
        <w:t>或</w:t>
      </w:r>
      <w:r>
        <w:rPr>
          <w:rFonts w:hint="eastAsia" w:ascii="宋体" w:hAnsi="宋体" w:cs="宋体"/>
          <w:color w:val="auto"/>
          <w:sz w:val="24"/>
          <w:highlight w:val="none"/>
        </w:rPr>
        <w:t>需在中标后向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订购］。</w:t>
      </w:r>
    </w:p>
    <w:p>
      <w:pPr>
        <w:snapToGrid w:val="0"/>
        <w:spacing w:before="120" w:beforeLines="50" w:line="400" w:lineRule="exact"/>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4.我方诚意提请贵方关注：近期有关该型号产品的生产、供货、售后服务以及性能等方面的重大决策和事项有：</w:t>
      </w:r>
    </w:p>
    <w:p>
      <w:pPr>
        <w:snapToGrid w:val="0"/>
        <w:spacing w:before="120" w:beforeLines="50" w:line="400" w:lineRule="exact"/>
        <w:ind w:firstLine="480" w:firstLineChars="200"/>
        <w:rPr>
          <w:rFonts w:hint="eastAsia" w:ascii="宋体" w:hAnsi="宋体" w:cs="宋体"/>
          <w:color w:val="auto"/>
          <w:sz w:val="24"/>
          <w:szCs w:val="20"/>
          <w:highlight w:val="none"/>
          <w:u w:val="single"/>
        </w:rPr>
      </w:pPr>
      <w:r>
        <w:rPr>
          <w:rFonts w:hint="eastAsia" w:ascii="宋体" w:hAnsi="宋体" w:cs="宋体"/>
          <w:color w:val="auto"/>
          <w:sz w:val="24"/>
          <w:highlight w:val="none"/>
          <w:u w:val="single"/>
        </w:rPr>
        <w:t>　　　　　　　　　　　　　　　　　　　　　　　　　　　</w:t>
      </w:r>
    </w:p>
    <w:p>
      <w:pPr>
        <w:pStyle w:val="11"/>
        <w:snapToGrid w:val="0"/>
        <w:spacing w:line="400" w:lineRule="exact"/>
        <w:ind w:firstLine="464" w:firstLineChars="200"/>
        <w:rPr>
          <w:rFonts w:hint="eastAsia" w:hAnsi="宋体" w:cs="宋体"/>
          <w:color w:val="auto"/>
          <w:sz w:val="24"/>
          <w:highlight w:val="none"/>
        </w:rPr>
      </w:pPr>
      <w:r>
        <w:rPr>
          <w:rFonts w:hint="eastAsia" w:hAnsi="宋体" w:cs="宋体"/>
          <w:color w:val="auto"/>
          <w:sz w:val="24"/>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400" w:lineRule="exact"/>
        <w:ind w:firstLine="480" w:firstLineChars="200"/>
        <w:rPr>
          <w:rFonts w:hint="eastAsia" w:ascii="宋体" w:hAnsi="宋体" w:cs="宋体"/>
          <w:color w:val="auto"/>
          <w:sz w:val="24"/>
          <w:szCs w:val="20"/>
          <w:highlight w:val="none"/>
          <w:u w:val="single"/>
        </w:rPr>
      </w:pPr>
      <w:r>
        <w:rPr>
          <w:rFonts w:hint="eastAsia" w:ascii="宋体" w:hAnsi="宋体" w:cs="宋体"/>
          <w:color w:val="auto"/>
          <w:sz w:val="24"/>
          <w:highlight w:val="none"/>
          <w:u w:val="single"/>
        </w:rPr>
        <w:t>　　　　　　　　　　　　　　　　　　　　　　　　　　　</w:t>
      </w:r>
    </w:p>
    <w:p>
      <w:pPr>
        <w:snapToGrid w:val="0"/>
        <w:spacing w:line="400" w:lineRule="exact"/>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6.以上事项如有虚假或隐瞒，我方愿意承担一切后果，并不再寻求任何旨在减轻或免除法律责任的辩解。</w:t>
      </w:r>
    </w:p>
    <w:p>
      <w:pPr>
        <w:pStyle w:val="13"/>
        <w:tabs>
          <w:tab w:val="left" w:pos="939"/>
        </w:tabs>
        <w:snapToGrid w:val="0"/>
        <w:spacing w:line="400" w:lineRule="exact"/>
        <w:ind w:left="773" w:leftChars="150" w:hanging="458" w:hangingChars="191"/>
        <w:rPr>
          <w:rFonts w:hint="eastAsia" w:ascii="宋体" w:hAnsi="宋体" w:cs="宋体"/>
          <w:color w:val="auto"/>
          <w:sz w:val="24"/>
          <w:highlight w:val="none"/>
        </w:rPr>
      </w:pPr>
    </w:p>
    <w:p>
      <w:pPr>
        <w:snapToGrid w:val="0"/>
        <w:spacing w:before="120" w:beforeLines="50" w:line="400" w:lineRule="exact"/>
        <w:ind w:firstLine="200"/>
        <w:rPr>
          <w:rFonts w:hint="eastAsia" w:ascii="宋体" w:hAnsi="宋体" w:cs="宋体"/>
          <w:color w:val="auto"/>
          <w:sz w:val="24"/>
          <w:szCs w:val="20"/>
          <w:highlight w:val="none"/>
          <w:u w:val="single"/>
        </w:rPr>
      </w:pPr>
      <w:r>
        <w:rPr>
          <w:rFonts w:hint="eastAsia" w:ascii="宋体" w:hAnsi="宋体" w:cs="宋体"/>
          <w:color w:val="auto"/>
          <w:sz w:val="24"/>
          <w:highlight w:val="none"/>
        </w:rPr>
        <w:t>法定代表人或被授权人签字（或盖章）：</w:t>
      </w:r>
      <w:r>
        <w:rPr>
          <w:rFonts w:hint="eastAsia" w:ascii="宋体" w:hAnsi="宋体" w:cs="宋体"/>
          <w:color w:val="auto"/>
          <w:sz w:val="24"/>
          <w:highlight w:val="none"/>
          <w:u w:val="single"/>
        </w:rPr>
        <w:t xml:space="preserve">             </w:t>
      </w:r>
    </w:p>
    <w:p>
      <w:pPr>
        <w:snapToGrid w:val="0"/>
        <w:spacing w:before="120" w:beforeLines="50" w:after="50" w:line="400" w:lineRule="exact"/>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400" w:lineRule="exact"/>
        <w:ind w:firstLine="240" w:firstLineChars="100"/>
        <w:rPr>
          <w:rFonts w:hint="eastAsia" w:ascii="宋体" w:hAnsi="宋体" w:cs="宋体"/>
          <w:color w:val="auto"/>
          <w:sz w:val="24"/>
          <w:highlight w:val="none"/>
        </w:rPr>
      </w:pPr>
    </w:p>
    <w:p>
      <w:pPr>
        <w:pStyle w:val="62"/>
        <w:spacing w:line="360" w:lineRule="auto"/>
        <w:jc w:val="right"/>
        <w:rPr>
          <w:rFonts w:hint="eastAsia" w:hAnsi="宋体" w:eastAsia="宋体" w:cs="宋体"/>
          <w:color w:val="auto"/>
          <w:sz w:val="24"/>
          <w:szCs w:val="24"/>
          <w:highlight w:val="none"/>
        </w:rPr>
      </w:pPr>
      <w:r>
        <w:rPr>
          <w:rFonts w:hint="eastAsia" w:hAnsi="宋体" w:eastAsia="宋体" w:cs="宋体"/>
          <w:color w:val="auto"/>
          <w:sz w:val="24"/>
          <w:szCs w:val="24"/>
          <w:highlight w:val="none"/>
        </w:rPr>
        <w:t>年    月    日</w:t>
      </w:r>
    </w:p>
    <w:p>
      <w:pPr>
        <w:spacing w:line="360" w:lineRule="auto"/>
        <w:jc w:val="left"/>
        <w:rPr>
          <w:rFonts w:hint="eastAsia" w:ascii="宋体" w:hAnsi="宋体" w:cs="宋体"/>
          <w:b/>
          <w:color w:val="auto"/>
          <w:sz w:val="24"/>
          <w:highlight w:val="none"/>
        </w:rPr>
      </w:pPr>
    </w:p>
    <w:p>
      <w:pPr>
        <w:snapToGrid w:val="0"/>
        <w:spacing w:before="120" w:beforeLines="50" w:after="50"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line="360" w:lineRule="auto"/>
        <w:rPr>
          <w:rFonts w:hint="eastAsia"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hint="eastAsia"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360" w:lineRule="auto"/>
        <w:rPr>
          <w:rFonts w:hint="eastAsia" w:ascii="宋体" w:hAnsi="宋体" w:cs="宋体"/>
          <w:color w:val="auto"/>
          <w:sz w:val="24"/>
          <w:szCs w:val="20"/>
          <w:highlight w:val="none"/>
        </w:rPr>
      </w:pPr>
      <w:r>
        <w:rPr>
          <w:rFonts w:hint="eastAsia" w:ascii="宋体" w:hAnsi="宋体" w:cs="宋体"/>
          <w:color w:val="auto"/>
          <w:sz w:val="24"/>
          <w:highlight w:val="none"/>
        </w:rPr>
        <w:t xml:space="preserve">    我方对被授权人的签字事项负全部责任。</w:t>
      </w:r>
    </w:p>
    <w:p>
      <w:pPr>
        <w:snapToGrid w:val="0"/>
        <w:spacing w:before="120" w:beforeLines="50" w:after="50" w:line="360" w:lineRule="auto"/>
        <w:ind w:firstLine="480"/>
        <w:rPr>
          <w:rFonts w:hint="eastAsia"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line="360" w:lineRule="auto"/>
        <w:ind w:firstLine="480"/>
        <w:rPr>
          <w:rFonts w:hint="eastAsia"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szCs w:val="20"/>
          <w:highlight w:val="none"/>
          <w:u w:val="singl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hint="eastAsia"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jc w:val="right"/>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p>
      <w:pPr>
        <w:pStyle w:val="62"/>
        <w:spacing w:line="360" w:lineRule="auto"/>
        <w:rPr>
          <w:rFonts w:hint="eastAsia" w:hAnsi="宋体" w:eastAsia="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left"/>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诚信承诺书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u w:val="single"/>
        </w:rPr>
        <w:t xml:space="preserve">（采购人或招标组织机构） </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我方在参加贵单位的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政府采购项目的招投标活动中，郑重承诺如下：</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1、我方申报的所有资料都是真实、准确、完整的；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2、我方无资质挂靠情形，保证不参与串标、围标及抬标；</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3、我方未处于被各级行政主管部门做出停止市场行为处罚的期限内；</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4、我方参加本项目政府采购活动前3年内在经营活动中没有重大违法记录；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5、若我方中标，将严格按照规定及时与采购人签订合同；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6、若我方中标，将严格按照招标文件要求及投标文件承诺的报价、质量、工期、投标方案、项目负责人等内容组织实施；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特此承诺。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投标人（加盖公章）：</w:t>
      </w:r>
      <w:r>
        <w:rPr>
          <w:rFonts w:hint="eastAsia" w:ascii="宋体" w:hAnsi="宋体" w:cs="宋体"/>
          <w:color w:val="auto"/>
          <w:sz w:val="24"/>
          <w:highlight w:val="none"/>
          <w:u w:val="singl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投标人代表（签名）：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cs="宋体"/>
          <w:color w:val="auto"/>
          <w:sz w:val="24"/>
          <w:highlight w:val="none"/>
        </w:rPr>
      </w:pPr>
    </w:p>
    <w:p>
      <w:pPr>
        <w:spacing w:line="360" w:lineRule="auto"/>
        <w:ind w:firstLine="4920" w:firstLineChars="2050"/>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62"/>
        <w:spacing w:line="360" w:lineRule="auto"/>
        <w:rPr>
          <w:rFonts w:hint="eastAsia" w:hAnsi="宋体" w:eastAsia="宋体" w:cs="宋体"/>
          <w:color w:val="auto"/>
          <w:sz w:val="24"/>
          <w:highlight w:val="none"/>
        </w:rPr>
      </w:pPr>
    </w:p>
    <w:p>
      <w:pPr>
        <w:pStyle w:val="62"/>
        <w:spacing w:line="360" w:lineRule="auto"/>
        <w:rPr>
          <w:rFonts w:hint="eastAsia" w:hAnsi="宋体" w:eastAsia="宋体" w:cs="宋体"/>
          <w:color w:val="auto"/>
          <w:sz w:val="24"/>
          <w:highlight w:val="none"/>
        </w:rPr>
      </w:pPr>
    </w:p>
    <w:p>
      <w:pPr>
        <w:pStyle w:val="62"/>
        <w:spacing w:line="360" w:lineRule="auto"/>
        <w:rPr>
          <w:rFonts w:hint="eastAsia" w:hAnsi="宋体" w:eastAsia="宋体" w:cs="宋体"/>
          <w:color w:val="auto"/>
          <w:sz w:val="24"/>
          <w:highlight w:val="none"/>
        </w:rPr>
      </w:pPr>
    </w:p>
    <w:p>
      <w:pPr>
        <w:pStyle w:val="62"/>
        <w:spacing w:line="360" w:lineRule="auto"/>
        <w:rPr>
          <w:rFonts w:hint="eastAsia" w:hAnsi="宋体" w:eastAsia="宋体" w:cs="宋体"/>
          <w:color w:val="auto"/>
          <w:sz w:val="24"/>
          <w:highlight w:val="none"/>
        </w:rPr>
      </w:pPr>
    </w:p>
    <w:p>
      <w:pPr>
        <w:pStyle w:val="62"/>
        <w:spacing w:line="360" w:lineRule="auto"/>
        <w:rPr>
          <w:rFonts w:hint="eastAsia" w:hAnsi="宋体" w:eastAsia="宋体" w:cs="宋体"/>
          <w:color w:val="auto"/>
          <w:sz w:val="24"/>
          <w:highlight w:val="none"/>
        </w:rPr>
      </w:pPr>
    </w:p>
    <w:p>
      <w:pPr>
        <w:pStyle w:val="62"/>
        <w:spacing w:line="360" w:lineRule="auto"/>
        <w:rPr>
          <w:rFonts w:hint="eastAsia" w:hAnsi="宋体" w:eastAsia="宋体" w:cs="宋体"/>
          <w:color w:val="auto"/>
          <w:sz w:val="24"/>
          <w:highlight w:val="none"/>
        </w:rPr>
      </w:pPr>
    </w:p>
    <w:p>
      <w:pPr>
        <w:pStyle w:val="62"/>
        <w:spacing w:line="360" w:lineRule="auto"/>
        <w:rPr>
          <w:rFonts w:hint="eastAsia" w:hAnsi="宋体" w:eastAsia="宋体" w:cs="宋体"/>
          <w:color w:val="auto"/>
          <w:sz w:val="24"/>
          <w:highlight w:val="none"/>
        </w:rPr>
      </w:pPr>
    </w:p>
    <w:p>
      <w:pPr>
        <w:pStyle w:val="62"/>
        <w:spacing w:line="360" w:lineRule="auto"/>
        <w:rPr>
          <w:rFonts w:hint="eastAsia" w:hAnsi="宋体" w:eastAsia="宋体" w:cs="宋体"/>
          <w:color w:val="auto"/>
          <w:sz w:val="24"/>
          <w:highlight w:val="none"/>
        </w:rPr>
      </w:pPr>
    </w:p>
    <w:p>
      <w:pPr>
        <w:pStyle w:val="62"/>
        <w:spacing w:line="360" w:lineRule="auto"/>
        <w:rPr>
          <w:rFonts w:hint="eastAsia" w:hAnsi="宋体" w:eastAsia="宋体" w:cs="宋体"/>
          <w:color w:val="auto"/>
          <w:sz w:val="24"/>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color w:val="auto"/>
          <w:sz w:val="24"/>
          <w:highlight w:val="none"/>
        </w:rPr>
        <w:t>政府采购项目自评表</w:t>
      </w:r>
    </w:p>
    <w:tbl>
      <w:tblPr>
        <w:tblStyle w:val="2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2"/>
        <w:gridCol w:w="3300"/>
        <w:gridCol w:w="2272"/>
        <w:gridCol w:w="2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42" w:type="dxa"/>
            <w:gridSpan w:val="2"/>
            <w:vMerge w:val="restart"/>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评标内容及分值</w:t>
            </w:r>
          </w:p>
        </w:tc>
        <w:tc>
          <w:tcPr>
            <w:tcW w:w="4886" w:type="dxa"/>
            <w:gridSpan w:val="2"/>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42" w:type="dxa"/>
            <w:gridSpan w:val="2"/>
            <w:vMerge w:val="continue"/>
            <w:noWrap w:val="0"/>
            <w:vAlign w:val="center"/>
          </w:tcPr>
          <w:p>
            <w:pPr>
              <w:spacing w:line="360" w:lineRule="auto"/>
              <w:jc w:val="center"/>
              <w:rPr>
                <w:rFonts w:hint="eastAsia" w:ascii="宋体" w:hAnsi="宋体" w:cs="宋体"/>
                <w:b/>
                <w:bCs/>
                <w:color w:val="auto"/>
                <w:sz w:val="24"/>
                <w:highlight w:val="none"/>
              </w:rPr>
            </w:pPr>
          </w:p>
        </w:tc>
        <w:tc>
          <w:tcPr>
            <w:tcW w:w="2272" w:type="dxa"/>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自评分</w:t>
            </w:r>
          </w:p>
        </w:tc>
        <w:tc>
          <w:tcPr>
            <w:tcW w:w="2614" w:type="dxa"/>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442" w:type="dxa"/>
            <w:vMerge w:val="restart"/>
            <w:noWrap w:val="0"/>
            <w:vAlign w:val="center"/>
          </w:tcPr>
          <w:p>
            <w:pPr>
              <w:spacing w:line="360" w:lineRule="auto"/>
              <w:rPr>
                <w:rFonts w:hint="eastAsia" w:ascii="宋体" w:hAnsi="宋体" w:cs="宋体"/>
                <w:color w:val="auto"/>
                <w:sz w:val="24"/>
                <w:highlight w:val="none"/>
              </w:rPr>
            </w:pPr>
            <w:r>
              <w:rPr>
                <w:rFonts w:hint="eastAsia" w:ascii="宋体" w:hAnsi="宋体" w:cs="宋体"/>
                <w:b/>
                <w:bCs/>
                <w:color w:val="auto"/>
                <w:sz w:val="28"/>
                <w:szCs w:val="28"/>
                <w:highlight w:val="none"/>
              </w:rPr>
              <w:t>技术分（X分）</w:t>
            </w:r>
          </w:p>
        </w:tc>
        <w:tc>
          <w:tcPr>
            <w:tcW w:w="3300" w:type="dxa"/>
            <w:tcBorders>
              <w:bottom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tcBorders>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614" w:type="dxa"/>
            <w:tcBorders>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442"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614"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442"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614"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442"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614"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442"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614"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442" w:type="dxa"/>
            <w:vMerge w:val="continue"/>
            <w:noWrap w:val="0"/>
            <w:vAlign w:val="center"/>
          </w:tcPr>
          <w:p>
            <w:pPr>
              <w:spacing w:line="360" w:lineRule="exact"/>
              <w:jc w:val="left"/>
              <w:rPr>
                <w:rFonts w:hint="eastAsia" w:ascii="宋体" w:hAnsi="宋体" w:cs="宋体"/>
                <w:b/>
                <w:bCs/>
                <w:color w:val="auto"/>
                <w:sz w:val="28"/>
                <w:szCs w:val="28"/>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614"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442" w:type="dxa"/>
            <w:vMerge w:val="restart"/>
            <w:noWrap w:val="0"/>
            <w:vAlign w:val="center"/>
          </w:tcPr>
          <w:p>
            <w:pPr>
              <w:spacing w:line="360" w:lineRule="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商务、资信及其他分（X分）</w:t>
            </w: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noWrap w:val="0"/>
            <w:vAlign w:val="center"/>
          </w:tcPr>
          <w:p>
            <w:pPr>
              <w:spacing w:line="360" w:lineRule="auto"/>
              <w:jc w:val="left"/>
              <w:rPr>
                <w:rFonts w:hint="eastAsia" w:ascii="宋体" w:hAnsi="宋体" w:cs="宋体"/>
                <w:color w:val="auto"/>
                <w:szCs w:val="21"/>
                <w:highlight w:val="none"/>
              </w:rPr>
            </w:pPr>
          </w:p>
        </w:tc>
        <w:tc>
          <w:tcPr>
            <w:tcW w:w="2614"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2"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noWrap w:val="0"/>
            <w:vAlign w:val="center"/>
          </w:tcPr>
          <w:p>
            <w:pPr>
              <w:spacing w:line="360" w:lineRule="auto"/>
              <w:jc w:val="left"/>
              <w:rPr>
                <w:rFonts w:hint="eastAsia" w:ascii="宋体" w:hAnsi="宋体" w:cs="宋体"/>
                <w:color w:val="auto"/>
                <w:szCs w:val="21"/>
                <w:highlight w:val="none"/>
              </w:rPr>
            </w:pPr>
          </w:p>
        </w:tc>
        <w:tc>
          <w:tcPr>
            <w:tcW w:w="2614"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2"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noWrap w:val="0"/>
            <w:vAlign w:val="center"/>
          </w:tcPr>
          <w:p>
            <w:pPr>
              <w:spacing w:line="360" w:lineRule="auto"/>
              <w:jc w:val="left"/>
              <w:rPr>
                <w:rFonts w:hint="eastAsia" w:ascii="宋体" w:hAnsi="宋体" w:cs="宋体"/>
                <w:color w:val="auto"/>
                <w:szCs w:val="21"/>
                <w:highlight w:val="none"/>
              </w:rPr>
            </w:pPr>
          </w:p>
        </w:tc>
        <w:tc>
          <w:tcPr>
            <w:tcW w:w="2614"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2"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noWrap w:val="0"/>
            <w:vAlign w:val="center"/>
          </w:tcPr>
          <w:p>
            <w:pPr>
              <w:spacing w:line="360" w:lineRule="auto"/>
              <w:jc w:val="left"/>
              <w:rPr>
                <w:rFonts w:hint="eastAsia" w:ascii="宋体" w:hAnsi="宋体" w:cs="宋体"/>
                <w:color w:val="auto"/>
                <w:szCs w:val="21"/>
                <w:highlight w:val="none"/>
              </w:rPr>
            </w:pPr>
          </w:p>
        </w:tc>
        <w:tc>
          <w:tcPr>
            <w:tcW w:w="2614"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2"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noWrap w:val="0"/>
            <w:vAlign w:val="center"/>
          </w:tcPr>
          <w:p>
            <w:pPr>
              <w:spacing w:line="360" w:lineRule="auto"/>
              <w:jc w:val="left"/>
              <w:rPr>
                <w:rFonts w:hint="eastAsia" w:ascii="宋体" w:hAnsi="宋体" w:cs="宋体"/>
                <w:color w:val="auto"/>
                <w:szCs w:val="21"/>
                <w:highlight w:val="none"/>
              </w:rPr>
            </w:pPr>
          </w:p>
        </w:tc>
        <w:tc>
          <w:tcPr>
            <w:tcW w:w="2614"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2"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272" w:type="dxa"/>
            <w:noWrap w:val="0"/>
            <w:vAlign w:val="center"/>
          </w:tcPr>
          <w:p>
            <w:pPr>
              <w:spacing w:line="360" w:lineRule="auto"/>
              <w:jc w:val="left"/>
              <w:rPr>
                <w:rFonts w:hint="eastAsia" w:ascii="宋体" w:hAnsi="宋体" w:cs="宋体"/>
                <w:color w:val="auto"/>
                <w:szCs w:val="21"/>
                <w:highlight w:val="none"/>
              </w:rPr>
            </w:pPr>
          </w:p>
        </w:tc>
        <w:tc>
          <w:tcPr>
            <w:tcW w:w="2614"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vMerge w:val="continue"/>
            <w:noWrap w:val="0"/>
            <w:vAlign w:val="center"/>
          </w:tcPr>
          <w:p>
            <w:pPr>
              <w:spacing w:line="360" w:lineRule="auto"/>
              <w:ind w:firstLine="1528" w:firstLineChars="637"/>
              <w:jc w:val="center"/>
              <w:rPr>
                <w:rFonts w:hint="eastAsia" w:ascii="宋体" w:hAnsi="宋体" w:cs="宋体"/>
                <w:color w:val="auto"/>
                <w:sz w:val="24"/>
                <w:highlight w:val="none"/>
              </w:rPr>
            </w:pPr>
          </w:p>
        </w:tc>
        <w:tc>
          <w:tcPr>
            <w:tcW w:w="3300" w:type="dxa"/>
            <w:tcBorders>
              <w:left w:val="single" w:color="auto" w:sz="4" w:space="0"/>
            </w:tcBorders>
            <w:noWrap w:val="0"/>
            <w:vAlign w:val="center"/>
          </w:tcPr>
          <w:p>
            <w:pPr>
              <w:widowControl/>
              <w:adjustRightInd w:val="0"/>
              <w:spacing w:line="360" w:lineRule="auto"/>
              <w:jc w:val="center"/>
              <w:rPr>
                <w:rFonts w:hint="eastAsia" w:ascii="宋体" w:hAnsi="宋体" w:cs="宋体"/>
                <w:color w:val="auto"/>
                <w:szCs w:val="21"/>
                <w:highlight w:val="none"/>
              </w:rPr>
            </w:pPr>
          </w:p>
        </w:tc>
        <w:tc>
          <w:tcPr>
            <w:tcW w:w="2272" w:type="dxa"/>
            <w:noWrap w:val="0"/>
            <w:vAlign w:val="center"/>
          </w:tcPr>
          <w:p>
            <w:pPr>
              <w:spacing w:line="360" w:lineRule="auto"/>
              <w:jc w:val="left"/>
              <w:rPr>
                <w:rFonts w:hint="eastAsia" w:ascii="宋体" w:hAnsi="宋体" w:cs="宋体"/>
                <w:color w:val="auto"/>
                <w:szCs w:val="21"/>
                <w:highlight w:val="none"/>
              </w:rPr>
            </w:pPr>
          </w:p>
        </w:tc>
        <w:tc>
          <w:tcPr>
            <w:tcW w:w="2614" w:type="dxa"/>
            <w:noWrap w:val="0"/>
            <w:vAlign w:val="center"/>
          </w:tcPr>
          <w:p>
            <w:pPr>
              <w:spacing w:line="360" w:lineRule="auto"/>
              <w:jc w:val="center"/>
              <w:rPr>
                <w:rFonts w:hint="eastAsia" w:ascii="宋体" w:hAnsi="宋体" w:cs="宋体"/>
                <w:b/>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42" w:type="dxa"/>
            <w:gridSpan w:val="2"/>
            <w:noWrap w:val="0"/>
            <w:vAlign w:val="center"/>
          </w:tcPr>
          <w:p>
            <w:pPr>
              <w:spacing w:line="380" w:lineRule="exact"/>
              <w:jc w:val="center"/>
              <w:rPr>
                <w:rFonts w:hint="eastAsia" w:ascii="宋体" w:hAnsi="宋体" w:cs="宋体"/>
                <w:color w:val="auto"/>
                <w:sz w:val="24"/>
                <w:highlight w:val="none"/>
              </w:rPr>
            </w:pPr>
            <w:r>
              <w:rPr>
                <w:rFonts w:hint="eastAsia" w:ascii="宋体" w:hAnsi="宋体" w:cs="宋体"/>
                <w:bCs/>
                <w:color w:val="auto"/>
                <w:sz w:val="24"/>
                <w:highlight w:val="none"/>
              </w:rPr>
              <w:t>合计（满分X分）</w:t>
            </w:r>
          </w:p>
        </w:tc>
        <w:tc>
          <w:tcPr>
            <w:tcW w:w="4886" w:type="dxa"/>
            <w:gridSpan w:val="2"/>
            <w:noWrap w:val="0"/>
            <w:vAlign w:val="center"/>
          </w:tcPr>
          <w:p>
            <w:pPr>
              <w:spacing w:line="360" w:lineRule="auto"/>
              <w:jc w:val="center"/>
              <w:rPr>
                <w:rFonts w:hint="eastAsia" w:ascii="宋体" w:hAnsi="宋体" w:cs="宋体"/>
                <w:b/>
                <w:bCs/>
                <w:color w:val="auto"/>
                <w:sz w:val="24"/>
                <w:highlight w:val="none"/>
              </w:rPr>
            </w:pPr>
          </w:p>
        </w:tc>
      </w:tr>
    </w:tbl>
    <w:p>
      <w:pPr>
        <w:rPr>
          <w:rFonts w:hint="eastAsia" w:ascii="宋体" w:hAnsi="宋体" w:cs="宋体"/>
          <w:color w:val="auto"/>
          <w:highlight w:val="none"/>
        </w:rPr>
      </w:pPr>
    </w:p>
    <w:p>
      <w:pPr>
        <w:pStyle w:val="14"/>
        <w:snapToGrid w:val="0"/>
        <w:spacing w:before="24" w:beforeLines="10" w:after="24" w:afterLines="10"/>
        <w:ind w:firstLine="480" w:firstLineChars="200"/>
        <w:rPr>
          <w:rFonts w:hint="eastAsia" w:hAnsi="宋体" w:cs="宋体"/>
          <w:color w:val="auto"/>
          <w:szCs w:val="21"/>
          <w:highlight w:val="none"/>
        </w:rPr>
      </w:pPr>
    </w:p>
    <w:p>
      <w:pPr>
        <w:pStyle w:val="62"/>
        <w:spacing w:line="360" w:lineRule="auto"/>
        <w:jc w:val="center"/>
        <w:rPr>
          <w:rFonts w:hint="eastAsia" w:hAnsi="宋体" w:eastAsia="宋体" w:cs="宋体"/>
          <w:b/>
          <w:color w:val="auto"/>
          <w:sz w:val="24"/>
          <w:szCs w:val="24"/>
          <w:highlight w:val="none"/>
        </w:rPr>
      </w:pPr>
      <w:r>
        <w:rPr>
          <w:rFonts w:hint="eastAsia" w:hAnsi="宋体" w:eastAsia="宋体" w:cs="宋体"/>
          <w:b/>
          <w:color w:val="auto"/>
          <w:sz w:val="24"/>
          <w:szCs w:val="24"/>
          <w:highlight w:val="none"/>
        </w:rPr>
        <w:t>同类业绩表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1330"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采购人</w:t>
            </w:r>
            <w:r>
              <w:rPr>
                <w:rFonts w:hint="eastAsia" w:ascii="宋体" w:hAnsi="宋体" w:cs="宋体"/>
                <w:b/>
                <w:color w:val="auto"/>
                <w:szCs w:val="21"/>
                <w:highlight w:val="none"/>
              </w:rPr>
              <w:br w:type="textWrapping"/>
            </w:r>
            <w:r>
              <w:rPr>
                <w:rFonts w:hint="eastAsia" w:ascii="宋体" w:hAnsi="宋体" w:cs="宋体"/>
                <w:b/>
                <w:color w:val="auto"/>
                <w:szCs w:val="21"/>
                <w:highlight w:val="none"/>
              </w:rPr>
              <w:t>名   称</w:t>
            </w:r>
          </w:p>
        </w:tc>
        <w:tc>
          <w:tcPr>
            <w:tcW w:w="1511" w:type="dxa"/>
            <w:noWrap w:val="0"/>
            <w:vAlign w:val="center"/>
          </w:tcPr>
          <w:p>
            <w:pPr>
              <w:tabs>
                <w:tab w:val="left" w:pos="6252"/>
              </w:tabs>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项目起止时间</w:t>
            </w:r>
          </w:p>
        </w:tc>
        <w:tc>
          <w:tcPr>
            <w:tcW w:w="1259" w:type="dxa"/>
            <w:noWrap w:val="0"/>
            <w:vAlign w:val="center"/>
          </w:tcPr>
          <w:p>
            <w:pPr>
              <w:tabs>
                <w:tab w:val="left" w:pos="6252"/>
              </w:tabs>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设备或项目名称</w:t>
            </w:r>
          </w:p>
        </w:tc>
        <w:tc>
          <w:tcPr>
            <w:tcW w:w="943" w:type="dxa"/>
            <w:noWrap w:val="0"/>
            <w:vAlign w:val="center"/>
          </w:tcPr>
          <w:p>
            <w:pPr>
              <w:tabs>
                <w:tab w:val="left" w:pos="6252"/>
              </w:tabs>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采购</w:t>
            </w:r>
            <w:r>
              <w:rPr>
                <w:rFonts w:hint="eastAsia" w:ascii="宋体" w:hAnsi="宋体" w:cs="宋体"/>
                <w:b/>
                <w:color w:val="auto"/>
                <w:szCs w:val="21"/>
                <w:highlight w:val="none"/>
              </w:rPr>
              <w:br w:type="textWrapping"/>
            </w:r>
            <w:r>
              <w:rPr>
                <w:rFonts w:hint="eastAsia" w:ascii="宋体" w:hAnsi="宋体" w:cs="宋体"/>
                <w:b/>
                <w:color w:val="auto"/>
                <w:szCs w:val="21"/>
                <w:highlight w:val="none"/>
              </w:rPr>
              <w:t>数量</w:t>
            </w:r>
          </w:p>
        </w:tc>
        <w:tc>
          <w:tcPr>
            <w:tcW w:w="818" w:type="dxa"/>
            <w:noWrap w:val="0"/>
            <w:vAlign w:val="center"/>
          </w:tcPr>
          <w:p>
            <w:pPr>
              <w:tabs>
                <w:tab w:val="left" w:pos="6252"/>
              </w:tabs>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单价</w:t>
            </w:r>
          </w:p>
        </w:tc>
        <w:tc>
          <w:tcPr>
            <w:tcW w:w="1331" w:type="dxa"/>
            <w:noWrap w:val="0"/>
            <w:vAlign w:val="center"/>
          </w:tcPr>
          <w:p>
            <w:pPr>
              <w:tabs>
                <w:tab w:val="left" w:pos="6252"/>
              </w:tabs>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合同金额</w:t>
            </w:r>
          </w:p>
          <w:p>
            <w:pPr>
              <w:tabs>
                <w:tab w:val="left" w:pos="6252"/>
              </w:tabs>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（万元）</w:t>
            </w:r>
          </w:p>
        </w:tc>
        <w:tc>
          <w:tcPr>
            <w:tcW w:w="1850" w:type="dxa"/>
            <w:noWrap w:val="0"/>
            <w:vAlign w:val="center"/>
          </w:tcPr>
          <w:p>
            <w:pPr>
              <w:tabs>
                <w:tab w:val="left" w:pos="6252"/>
              </w:tabs>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4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30" w:type="dxa"/>
            <w:noWrap w:val="0"/>
            <w:vAlign w:val="center"/>
          </w:tcPr>
          <w:p>
            <w:pPr>
              <w:jc w:val="center"/>
              <w:rPr>
                <w:rFonts w:hint="eastAsia" w:ascii="宋体" w:hAnsi="宋体" w:cs="宋体"/>
                <w:color w:val="auto"/>
                <w:szCs w:val="21"/>
                <w:highlight w:val="none"/>
              </w:rPr>
            </w:pPr>
          </w:p>
        </w:tc>
        <w:tc>
          <w:tcPr>
            <w:tcW w:w="1511" w:type="dxa"/>
            <w:noWrap w:val="0"/>
            <w:vAlign w:val="top"/>
          </w:tcPr>
          <w:p>
            <w:pPr>
              <w:jc w:val="center"/>
              <w:rPr>
                <w:rFonts w:hint="eastAsia" w:ascii="宋体" w:hAnsi="宋体" w:cs="宋体"/>
                <w:color w:val="auto"/>
                <w:szCs w:val="21"/>
                <w:highlight w:val="none"/>
              </w:rPr>
            </w:pPr>
          </w:p>
        </w:tc>
        <w:tc>
          <w:tcPr>
            <w:tcW w:w="1259" w:type="dxa"/>
            <w:noWrap w:val="0"/>
            <w:vAlign w:val="top"/>
          </w:tcPr>
          <w:p>
            <w:pPr>
              <w:jc w:val="center"/>
              <w:rPr>
                <w:rFonts w:hint="eastAsia" w:ascii="宋体" w:hAnsi="宋体" w:cs="宋体"/>
                <w:color w:val="auto"/>
                <w:szCs w:val="21"/>
                <w:highlight w:val="none"/>
              </w:rPr>
            </w:pPr>
          </w:p>
        </w:tc>
        <w:tc>
          <w:tcPr>
            <w:tcW w:w="943" w:type="dxa"/>
            <w:noWrap w:val="0"/>
            <w:vAlign w:val="top"/>
          </w:tcPr>
          <w:p>
            <w:pPr>
              <w:jc w:val="center"/>
              <w:rPr>
                <w:rFonts w:hint="eastAsia" w:ascii="宋体" w:hAnsi="宋体" w:cs="宋体"/>
                <w:color w:val="auto"/>
                <w:szCs w:val="21"/>
                <w:highlight w:val="none"/>
              </w:rPr>
            </w:pPr>
          </w:p>
        </w:tc>
        <w:tc>
          <w:tcPr>
            <w:tcW w:w="818" w:type="dxa"/>
            <w:noWrap w:val="0"/>
            <w:vAlign w:val="top"/>
          </w:tcPr>
          <w:p>
            <w:pPr>
              <w:jc w:val="center"/>
              <w:rPr>
                <w:rFonts w:hint="eastAsia" w:ascii="宋体" w:hAnsi="宋体" w:cs="宋体"/>
                <w:color w:val="auto"/>
                <w:szCs w:val="21"/>
                <w:highlight w:val="none"/>
              </w:rPr>
            </w:pPr>
          </w:p>
        </w:tc>
        <w:tc>
          <w:tcPr>
            <w:tcW w:w="1331" w:type="dxa"/>
            <w:noWrap w:val="0"/>
            <w:vAlign w:val="center"/>
          </w:tcPr>
          <w:p>
            <w:pPr>
              <w:jc w:val="center"/>
              <w:rPr>
                <w:rFonts w:hint="eastAsia" w:ascii="宋体" w:hAnsi="宋体" w:cs="宋体"/>
                <w:color w:val="auto"/>
                <w:szCs w:val="21"/>
                <w:highlight w:val="none"/>
              </w:rPr>
            </w:pPr>
          </w:p>
        </w:tc>
        <w:tc>
          <w:tcPr>
            <w:tcW w:w="185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330" w:type="dxa"/>
            <w:noWrap w:val="0"/>
            <w:vAlign w:val="center"/>
          </w:tcPr>
          <w:p>
            <w:pPr>
              <w:jc w:val="center"/>
              <w:rPr>
                <w:rFonts w:hint="eastAsia" w:ascii="宋体" w:hAnsi="宋体" w:cs="宋体"/>
                <w:color w:val="auto"/>
                <w:szCs w:val="21"/>
                <w:highlight w:val="none"/>
              </w:rPr>
            </w:pPr>
          </w:p>
        </w:tc>
        <w:tc>
          <w:tcPr>
            <w:tcW w:w="1511" w:type="dxa"/>
            <w:noWrap w:val="0"/>
            <w:vAlign w:val="top"/>
          </w:tcPr>
          <w:p>
            <w:pPr>
              <w:jc w:val="center"/>
              <w:rPr>
                <w:rFonts w:hint="eastAsia" w:ascii="宋体" w:hAnsi="宋体" w:cs="宋体"/>
                <w:color w:val="auto"/>
                <w:szCs w:val="21"/>
                <w:highlight w:val="none"/>
              </w:rPr>
            </w:pPr>
          </w:p>
        </w:tc>
        <w:tc>
          <w:tcPr>
            <w:tcW w:w="1259" w:type="dxa"/>
            <w:noWrap w:val="0"/>
            <w:vAlign w:val="top"/>
          </w:tcPr>
          <w:p>
            <w:pPr>
              <w:jc w:val="center"/>
              <w:rPr>
                <w:rFonts w:hint="eastAsia" w:ascii="宋体" w:hAnsi="宋体" w:cs="宋体"/>
                <w:color w:val="auto"/>
                <w:szCs w:val="21"/>
                <w:highlight w:val="none"/>
              </w:rPr>
            </w:pPr>
          </w:p>
        </w:tc>
        <w:tc>
          <w:tcPr>
            <w:tcW w:w="943" w:type="dxa"/>
            <w:noWrap w:val="0"/>
            <w:vAlign w:val="top"/>
          </w:tcPr>
          <w:p>
            <w:pPr>
              <w:jc w:val="center"/>
              <w:rPr>
                <w:rFonts w:hint="eastAsia" w:ascii="宋体" w:hAnsi="宋体" w:cs="宋体"/>
                <w:color w:val="auto"/>
                <w:szCs w:val="21"/>
                <w:highlight w:val="none"/>
              </w:rPr>
            </w:pPr>
          </w:p>
        </w:tc>
        <w:tc>
          <w:tcPr>
            <w:tcW w:w="818" w:type="dxa"/>
            <w:noWrap w:val="0"/>
            <w:vAlign w:val="top"/>
          </w:tcPr>
          <w:p>
            <w:pPr>
              <w:jc w:val="center"/>
              <w:rPr>
                <w:rFonts w:hint="eastAsia" w:ascii="宋体" w:hAnsi="宋体" w:cs="宋体"/>
                <w:color w:val="auto"/>
                <w:szCs w:val="21"/>
                <w:highlight w:val="none"/>
              </w:rPr>
            </w:pPr>
          </w:p>
        </w:tc>
        <w:tc>
          <w:tcPr>
            <w:tcW w:w="1331" w:type="dxa"/>
            <w:noWrap w:val="0"/>
            <w:vAlign w:val="center"/>
          </w:tcPr>
          <w:p>
            <w:pPr>
              <w:jc w:val="center"/>
              <w:rPr>
                <w:rFonts w:hint="eastAsia" w:ascii="宋体" w:hAnsi="宋体" w:cs="宋体"/>
                <w:color w:val="auto"/>
                <w:szCs w:val="21"/>
                <w:highlight w:val="none"/>
              </w:rPr>
            </w:pPr>
          </w:p>
        </w:tc>
        <w:tc>
          <w:tcPr>
            <w:tcW w:w="185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330" w:type="dxa"/>
            <w:noWrap w:val="0"/>
            <w:vAlign w:val="center"/>
          </w:tcPr>
          <w:p>
            <w:pPr>
              <w:jc w:val="center"/>
              <w:rPr>
                <w:rFonts w:hint="eastAsia" w:ascii="宋体" w:hAnsi="宋体" w:cs="宋体"/>
                <w:color w:val="auto"/>
                <w:szCs w:val="21"/>
                <w:highlight w:val="none"/>
              </w:rPr>
            </w:pPr>
          </w:p>
        </w:tc>
        <w:tc>
          <w:tcPr>
            <w:tcW w:w="1511" w:type="dxa"/>
            <w:noWrap w:val="0"/>
            <w:vAlign w:val="top"/>
          </w:tcPr>
          <w:p>
            <w:pPr>
              <w:jc w:val="center"/>
              <w:rPr>
                <w:rFonts w:hint="eastAsia" w:ascii="宋体" w:hAnsi="宋体" w:cs="宋体"/>
                <w:color w:val="auto"/>
                <w:szCs w:val="21"/>
                <w:highlight w:val="none"/>
              </w:rPr>
            </w:pPr>
          </w:p>
        </w:tc>
        <w:tc>
          <w:tcPr>
            <w:tcW w:w="1259" w:type="dxa"/>
            <w:noWrap w:val="0"/>
            <w:vAlign w:val="top"/>
          </w:tcPr>
          <w:p>
            <w:pPr>
              <w:jc w:val="center"/>
              <w:rPr>
                <w:rFonts w:hint="eastAsia" w:ascii="宋体" w:hAnsi="宋体" w:cs="宋体"/>
                <w:color w:val="auto"/>
                <w:szCs w:val="21"/>
                <w:highlight w:val="none"/>
              </w:rPr>
            </w:pPr>
          </w:p>
        </w:tc>
        <w:tc>
          <w:tcPr>
            <w:tcW w:w="943" w:type="dxa"/>
            <w:noWrap w:val="0"/>
            <w:vAlign w:val="top"/>
          </w:tcPr>
          <w:p>
            <w:pPr>
              <w:jc w:val="center"/>
              <w:rPr>
                <w:rFonts w:hint="eastAsia" w:ascii="宋体" w:hAnsi="宋体" w:cs="宋体"/>
                <w:color w:val="auto"/>
                <w:szCs w:val="21"/>
                <w:highlight w:val="none"/>
              </w:rPr>
            </w:pPr>
          </w:p>
        </w:tc>
        <w:tc>
          <w:tcPr>
            <w:tcW w:w="818" w:type="dxa"/>
            <w:noWrap w:val="0"/>
            <w:vAlign w:val="top"/>
          </w:tcPr>
          <w:p>
            <w:pPr>
              <w:jc w:val="center"/>
              <w:rPr>
                <w:rFonts w:hint="eastAsia" w:ascii="宋体" w:hAnsi="宋体" w:cs="宋体"/>
                <w:color w:val="auto"/>
                <w:szCs w:val="21"/>
                <w:highlight w:val="none"/>
              </w:rPr>
            </w:pPr>
          </w:p>
        </w:tc>
        <w:tc>
          <w:tcPr>
            <w:tcW w:w="1331" w:type="dxa"/>
            <w:noWrap w:val="0"/>
            <w:vAlign w:val="center"/>
          </w:tcPr>
          <w:p>
            <w:pPr>
              <w:jc w:val="center"/>
              <w:rPr>
                <w:rFonts w:hint="eastAsia" w:ascii="宋体" w:hAnsi="宋体" w:cs="宋体"/>
                <w:color w:val="auto"/>
                <w:szCs w:val="21"/>
                <w:highlight w:val="none"/>
              </w:rPr>
            </w:pPr>
          </w:p>
        </w:tc>
        <w:tc>
          <w:tcPr>
            <w:tcW w:w="185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330" w:type="dxa"/>
            <w:noWrap w:val="0"/>
            <w:vAlign w:val="center"/>
          </w:tcPr>
          <w:p>
            <w:pPr>
              <w:jc w:val="center"/>
              <w:rPr>
                <w:rFonts w:hint="eastAsia" w:ascii="宋体" w:hAnsi="宋体" w:cs="宋体"/>
                <w:color w:val="auto"/>
                <w:szCs w:val="21"/>
                <w:highlight w:val="none"/>
              </w:rPr>
            </w:pPr>
          </w:p>
        </w:tc>
        <w:tc>
          <w:tcPr>
            <w:tcW w:w="1511" w:type="dxa"/>
            <w:noWrap w:val="0"/>
            <w:vAlign w:val="top"/>
          </w:tcPr>
          <w:p>
            <w:pPr>
              <w:jc w:val="center"/>
              <w:rPr>
                <w:rFonts w:hint="eastAsia" w:ascii="宋体" w:hAnsi="宋体" w:cs="宋体"/>
                <w:color w:val="auto"/>
                <w:szCs w:val="21"/>
                <w:highlight w:val="none"/>
              </w:rPr>
            </w:pPr>
          </w:p>
        </w:tc>
        <w:tc>
          <w:tcPr>
            <w:tcW w:w="1259" w:type="dxa"/>
            <w:noWrap w:val="0"/>
            <w:vAlign w:val="top"/>
          </w:tcPr>
          <w:p>
            <w:pPr>
              <w:jc w:val="center"/>
              <w:rPr>
                <w:rFonts w:hint="eastAsia" w:ascii="宋体" w:hAnsi="宋体" w:cs="宋体"/>
                <w:color w:val="auto"/>
                <w:szCs w:val="21"/>
                <w:highlight w:val="none"/>
              </w:rPr>
            </w:pPr>
          </w:p>
        </w:tc>
        <w:tc>
          <w:tcPr>
            <w:tcW w:w="943" w:type="dxa"/>
            <w:noWrap w:val="0"/>
            <w:vAlign w:val="top"/>
          </w:tcPr>
          <w:p>
            <w:pPr>
              <w:jc w:val="center"/>
              <w:rPr>
                <w:rFonts w:hint="eastAsia" w:ascii="宋体" w:hAnsi="宋体" w:cs="宋体"/>
                <w:color w:val="auto"/>
                <w:szCs w:val="21"/>
                <w:highlight w:val="none"/>
              </w:rPr>
            </w:pPr>
          </w:p>
        </w:tc>
        <w:tc>
          <w:tcPr>
            <w:tcW w:w="818" w:type="dxa"/>
            <w:noWrap w:val="0"/>
            <w:vAlign w:val="top"/>
          </w:tcPr>
          <w:p>
            <w:pPr>
              <w:jc w:val="center"/>
              <w:rPr>
                <w:rFonts w:hint="eastAsia" w:ascii="宋体" w:hAnsi="宋体" w:cs="宋体"/>
                <w:color w:val="auto"/>
                <w:szCs w:val="21"/>
                <w:highlight w:val="none"/>
              </w:rPr>
            </w:pPr>
          </w:p>
        </w:tc>
        <w:tc>
          <w:tcPr>
            <w:tcW w:w="1331" w:type="dxa"/>
            <w:noWrap w:val="0"/>
            <w:vAlign w:val="center"/>
          </w:tcPr>
          <w:p>
            <w:pPr>
              <w:jc w:val="center"/>
              <w:rPr>
                <w:rFonts w:hint="eastAsia" w:ascii="宋体" w:hAnsi="宋体" w:cs="宋体"/>
                <w:color w:val="auto"/>
                <w:szCs w:val="21"/>
                <w:highlight w:val="none"/>
              </w:rPr>
            </w:pPr>
          </w:p>
        </w:tc>
        <w:tc>
          <w:tcPr>
            <w:tcW w:w="1850" w:type="dxa"/>
            <w:noWrap w:val="0"/>
            <w:vAlign w:val="center"/>
          </w:tcPr>
          <w:p>
            <w:pPr>
              <w:jc w:val="center"/>
              <w:rPr>
                <w:rFonts w:hint="eastAsia" w:ascii="宋体" w:hAnsi="宋体" w:cs="宋体"/>
                <w:color w:val="auto"/>
                <w:szCs w:val="21"/>
                <w:highlight w:val="none"/>
              </w:rPr>
            </w:pPr>
          </w:p>
        </w:tc>
      </w:tr>
    </w:tbl>
    <w:p>
      <w:pPr>
        <w:snapToGrid w:val="0"/>
        <w:spacing w:before="120" w:beforeLines="50" w:line="400" w:lineRule="exact"/>
        <w:ind w:firstLine="200"/>
        <w:rPr>
          <w:rFonts w:hint="eastAsia" w:ascii="宋体" w:hAnsi="宋体" w:cs="宋体"/>
          <w:b/>
          <w:color w:val="auto"/>
          <w:szCs w:val="21"/>
          <w:highlight w:val="none"/>
        </w:rPr>
      </w:pPr>
      <w:r>
        <w:rPr>
          <w:rFonts w:hint="eastAsia" w:ascii="宋体" w:hAnsi="宋体" w:cs="宋体"/>
          <w:b/>
          <w:color w:val="auto"/>
          <w:szCs w:val="21"/>
          <w:highlight w:val="none"/>
        </w:rPr>
        <w:t>注：附合同复印件</w:t>
      </w:r>
    </w:p>
    <w:p>
      <w:pPr>
        <w:pStyle w:val="14"/>
        <w:snapToGrid w:val="0"/>
        <w:spacing w:before="24" w:beforeLines="10" w:after="24" w:afterLines="10"/>
        <w:ind w:right="960"/>
        <w:jc w:val="right"/>
        <w:rPr>
          <w:rFonts w:hint="eastAsia" w:hAnsi="宋体" w:cs="宋体"/>
          <w:color w:val="auto"/>
          <w:highlight w:val="none"/>
        </w:rPr>
      </w:pPr>
      <w:r>
        <w:rPr>
          <w:rFonts w:hint="eastAsia" w:hAnsi="宋体" w:cs="宋体"/>
          <w:color w:val="auto"/>
          <w:highlight w:val="none"/>
        </w:rPr>
        <w:t>法定代表人或授权委托人（签名）：            投标人（加盖公章）：                                          年    月    日</w:t>
      </w:r>
    </w:p>
    <w:p>
      <w:pPr>
        <w:pStyle w:val="14"/>
        <w:snapToGrid w:val="0"/>
        <w:spacing w:before="24" w:beforeLines="10" w:after="24" w:afterLines="10"/>
        <w:ind w:right="960"/>
        <w:jc w:val="right"/>
        <w:rPr>
          <w:rFonts w:hint="eastAsia" w:hAnsi="宋体" w:cs="宋体"/>
          <w:color w:val="auto"/>
          <w:highlight w:val="none"/>
        </w:rPr>
      </w:pPr>
    </w:p>
    <w:p>
      <w:pPr>
        <w:spacing w:line="360" w:lineRule="auto"/>
        <w:ind w:firstLine="562" w:firstLineChars="20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投标产品详细清单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填表说明：详细列明所投项目主要设备清单，完整配置方案及技术指标，项目的核心产品必须明确所投品牌、规格型号及具体技术指标。任何含糊不清的表述对评标结果的影响将是投标人的责任，可附具体的介绍图文资料。▲以下内容不得含有报价。</w:t>
      </w:r>
    </w:p>
    <w:tbl>
      <w:tblPr>
        <w:tblStyle w:val="26"/>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1801"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设备名称</w:t>
            </w:r>
          </w:p>
        </w:tc>
        <w:tc>
          <w:tcPr>
            <w:tcW w:w="90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数量</w:t>
            </w:r>
          </w:p>
        </w:tc>
        <w:tc>
          <w:tcPr>
            <w:tcW w:w="108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品牌</w:t>
            </w:r>
          </w:p>
        </w:tc>
        <w:tc>
          <w:tcPr>
            <w:tcW w:w="126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规格型号</w:t>
            </w:r>
          </w:p>
        </w:tc>
        <w:tc>
          <w:tcPr>
            <w:tcW w:w="162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性能及指标</w:t>
            </w:r>
          </w:p>
        </w:tc>
        <w:tc>
          <w:tcPr>
            <w:tcW w:w="1199"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1801" w:type="dxa"/>
            <w:noWrap w:val="0"/>
            <w:vAlign w:val="center"/>
          </w:tcPr>
          <w:p>
            <w:pPr>
              <w:jc w:val="center"/>
              <w:rPr>
                <w:rFonts w:hint="eastAsia" w:ascii="宋体" w:hAnsi="宋体" w:cs="宋体"/>
                <w:color w:val="auto"/>
                <w:sz w:val="24"/>
                <w:highlight w:val="none"/>
              </w:rPr>
            </w:pPr>
          </w:p>
        </w:tc>
        <w:tc>
          <w:tcPr>
            <w:tcW w:w="900" w:type="dxa"/>
            <w:noWrap w:val="0"/>
            <w:vAlign w:val="center"/>
          </w:tcPr>
          <w:p>
            <w:pPr>
              <w:jc w:val="center"/>
              <w:rPr>
                <w:rFonts w:hint="eastAsia" w:ascii="宋体" w:hAnsi="宋体" w:cs="宋体"/>
                <w:color w:val="auto"/>
                <w:sz w:val="24"/>
                <w:highlight w:val="none"/>
              </w:rPr>
            </w:pPr>
          </w:p>
        </w:tc>
        <w:tc>
          <w:tcPr>
            <w:tcW w:w="1080" w:type="dxa"/>
            <w:noWrap w:val="0"/>
            <w:vAlign w:val="center"/>
          </w:tcPr>
          <w:p>
            <w:pPr>
              <w:jc w:val="center"/>
              <w:rPr>
                <w:rFonts w:hint="eastAsia" w:ascii="宋体" w:hAnsi="宋体" w:cs="宋体"/>
                <w:color w:val="auto"/>
                <w:sz w:val="24"/>
                <w:highlight w:val="none"/>
              </w:rPr>
            </w:pPr>
          </w:p>
        </w:tc>
        <w:tc>
          <w:tcPr>
            <w:tcW w:w="1260" w:type="dxa"/>
            <w:noWrap w:val="0"/>
            <w:vAlign w:val="center"/>
          </w:tcPr>
          <w:p>
            <w:pPr>
              <w:jc w:val="center"/>
              <w:rPr>
                <w:rFonts w:hint="eastAsia" w:ascii="宋体" w:hAnsi="宋体" w:cs="宋体"/>
                <w:color w:val="auto"/>
                <w:sz w:val="24"/>
                <w:highlight w:val="none"/>
              </w:rPr>
            </w:pPr>
          </w:p>
        </w:tc>
        <w:tc>
          <w:tcPr>
            <w:tcW w:w="1620" w:type="dxa"/>
            <w:noWrap w:val="0"/>
            <w:vAlign w:val="center"/>
          </w:tcPr>
          <w:p>
            <w:pPr>
              <w:jc w:val="center"/>
              <w:rPr>
                <w:rFonts w:hint="eastAsia" w:ascii="宋体" w:hAnsi="宋体" w:cs="宋体"/>
                <w:color w:val="auto"/>
                <w:sz w:val="24"/>
                <w:highlight w:val="none"/>
              </w:rPr>
            </w:pPr>
          </w:p>
        </w:tc>
        <w:tc>
          <w:tcPr>
            <w:tcW w:w="1199" w:type="dxa"/>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1801" w:type="dxa"/>
            <w:noWrap w:val="0"/>
            <w:vAlign w:val="center"/>
          </w:tcPr>
          <w:p>
            <w:pPr>
              <w:jc w:val="center"/>
              <w:rPr>
                <w:rFonts w:hint="eastAsia" w:ascii="宋体" w:hAnsi="宋体" w:cs="宋体"/>
                <w:color w:val="auto"/>
                <w:sz w:val="24"/>
                <w:highlight w:val="none"/>
              </w:rPr>
            </w:pPr>
          </w:p>
        </w:tc>
        <w:tc>
          <w:tcPr>
            <w:tcW w:w="900" w:type="dxa"/>
            <w:noWrap w:val="0"/>
            <w:vAlign w:val="center"/>
          </w:tcPr>
          <w:p>
            <w:pPr>
              <w:jc w:val="center"/>
              <w:rPr>
                <w:rFonts w:hint="eastAsia" w:ascii="宋体" w:hAnsi="宋体" w:cs="宋体"/>
                <w:color w:val="auto"/>
                <w:sz w:val="24"/>
                <w:highlight w:val="none"/>
              </w:rPr>
            </w:pPr>
          </w:p>
        </w:tc>
        <w:tc>
          <w:tcPr>
            <w:tcW w:w="1080" w:type="dxa"/>
            <w:noWrap w:val="0"/>
            <w:vAlign w:val="center"/>
          </w:tcPr>
          <w:p>
            <w:pPr>
              <w:jc w:val="center"/>
              <w:rPr>
                <w:rFonts w:hint="eastAsia" w:ascii="宋体" w:hAnsi="宋体" w:cs="宋体"/>
                <w:color w:val="auto"/>
                <w:sz w:val="24"/>
                <w:highlight w:val="none"/>
              </w:rPr>
            </w:pPr>
          </w:p>
        </w:tc>
        <w:tc>
          <w:tcPr>
            <w:tcW w:w="1260" w:type="dxa"/>
            <w:noWrap w:val="0"/>
            <w:vAlign w:val="center"/>
          </w:tcPr>
          <w:p>
            <w:pPr>
              <w:jc w:val="center"/>
              <w:rPr>
                <w:rFonts w:hint="eastAsia" w:ascii="宋体" w:hAnsi="宋体" w:cs="宋体"/>
                <w:color w:val="auto"/>
                <w:sz w:val="24"/>
                <w:highlight w:val="none"/>
              </w:rPr>
            </w:pPr>
          </w:p>
        </w:tc>
        <w:tc>
          <w:tcPr>
            <w:tcW w:w="1620" w:type="dxa"/>
            <w:noWrap w:val="0"/>
            <w:vAlign w:val="center"/>
          </w:tcPr>
          <w:p>
            <w:pPr>
              <w:jc w:val="center"/>
              <w:rPr>
                <w:rFonts w:hint="eastAsia" w:ascii="宋体" w:hAnsi="宋体" w:cs="宋体"/>
                <w:color w:val="auto"/>
                <w:sz w:val="24"/>
                <w:highlight w:val="none"/>
              </w:rPr>
            </w:pPr>
          </w:p>
        </w:tc>
        <w:tc>
          <w:tcPr>
            <w:tcW w:w="1199" w:type="dxa"/>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1801" w:type="dxa"/>
            <w:noWrap w:val="0"/>
            <w:vAlign w:val="center"/>
          </w:tcPr>
          <w:p>
            <w:pPr>
              <w:jc w:val="center"/>
              <w:rPr>
                <w:rFonts w:hint="eastAsia" w:ascii="宋体" w:hAnsi="宋体" w:cs="宋体"/>
                <w:color w:val="auto"/>
                <w:sz w:val="24"/>
                <w:highlight w:val="none"/>
              </w:rPr>
            </w:pPr>
          </w:p>
        </w:tc>
        <w:tc>
          <w:tcPr>
            <w:tcW w:w="900" w:type="dxa"/>
            <w:noWrap w:val="0"/>
            <w:vAlign w:val="center"/>
          </w:tcPr>
          <w:p>
            <w:pPr>
              <w:jc w:val="center"/>
              <w:rPr>
                <w:rFonts w:hint="eastAsia" w:ascii="宋体" w:hAnsi="宋体" w:cs="宋体"/>
                <w:color w:val="auto"/>
                <w:sz w:val="24"/>
                <w:highlight w:val="none"/>
              </w:rPr>
            </w:pPr>
          </w:p>
        </w:tc>
        <w:tc>
          <w:tcPr>
            <w:tcW w:w="1080" w:type="dxa"/>
            <w:noWrap w:val="0"/>
            <w:vAlign w:val="center"/>
          </w:tcPr>
          <w:p>
            <w:pPr>
              <w:jc w:val="center"/>
              <w:rPr>
                <w:rFonts w:hint="eastAsia" w:ascii="宋体" w:hAnsi="宋体" w:cs="宋体"/>
                <w:color w:val="auto"/>
                <w:sz w:val="24"/>
                <w:highlight w:val="none"/>
              </w:rPr>
            </w:pPr>
          </w:p>
        </w:tc>
        <w:tc>
          <w:tcPr>
            <w:tcW w:w="1260" w:type="dxa"/>
            <w:noWrap w:val="0"/>
            <w:vAlign w:val="center"/>
          </w:tcPr>
          <w:p>
            <w:pPr>
              <w:jc w:val="center"/>
              <w:rPr>
                <w:rFonts w:hint="eastAsia" w:ascii="宋体" w:hAnsi="宋体" w:cs="宋体"/>
                <w:color w:val="auto"/>
                <w:sz w:val="24"/>
                <w:highlight w:val="none"/>
              </w:rPr>
            </w:pPr>
          </w:p>
        </w:tc>
        <w:tc>
          <w:tcPr>
            <w:tcW w:w="1620" w:type="dxa"/>
            <w:noWrap w:val="0"/>
            <w:vAlign w:val="center"/>
          </w:tcPr>
          <w:p>
            <w:pPr>
              <w:jc w:val="center"/>
              <w:rPr>
                <w:rFonts w:hint="eastAsia" w:ascii="宋体" w:hAnsi="宋体" w:cs="宋体"/>
                <w:color w:val="auto"/>
                <w:sz w:val="24"/>
                <w:highlight w:val="none"/>
              </w:rPr>
            </w:pPr>
          </w:p>
        </w:tc>
        <w:tc>
          <w:tcPr>
            <w:tcW w:w="1199" w:type="dxa"/>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w:t>
            </w:r>
          </w:p>
        </w:tc>
        <w:tc>
          <w:tcPr>
            <w:tcW w:w="1801" w:type="dxa"/>
            <w:noWrap w:val="0"/>
            <w:vAlign w:val="center"/>
          </w:tcPr>
          <w:p>
            <w:pPr>
              <w:jc w:val="center"/>
              <w:rPr>
                <w:rFonts w:hint="eastAsia" w:ascii="宋体" w:hAnsi="宋体" w:cs="宋体"/>
                <w:color w:val="auto"/>
                <w:sz w:val="24"/>
                <w:highlight w:val="none"/>
              </w:rPr>
            </w:pPr>
          </w:p>
        </w:tc>
        <w:tc>
          <w:tcPr>
            <w:tcW w:w="900" w:type="dxa"/>
            <w:noWrap w:val="0"/>
            <w:vAlign w:val="center"/>
          </w:tcPr>
          <w:p>
            <w:pPr>
              <w:jc w:val="center"/>
              <w:rPr>
                <w:rFonts w:hint="eastAsia" w:ascii="宋体" w:hAnsi="宋体" w:cs="宋体"/>
                <w:color w:val="auto"/>
                <w:sz w:val="24"/>
                <w:highlight w:val="none"/>
              </w:rPr>
            </w:pPr>
          </w:p>
        </w:tc>
        <w:tc>
          <w:tcPr>
            <w:tcW w:w="1080" w:type="dxa"/>
            <w:noWrap w:val="0"/>
            <w:vAlign w:val="center"/>
          </w:tcPr>
          <w:p>
            <w:pPr>
              <w:jc w:val="center"/>
              <w:rPr>
                <w:rFonts w:hint="eastAsia" w:ascii="宋体" w:hAnsi="宋体" w:cs="宋体"/>
                <w:color w:val="auto"/>
                <w:sz w:val="24"/>
                <w:highlight w:val="none"/>
              </w:rPr>
            </w:pPr>
          </w:p>
        </w:tc>
        <w:tc>
          <w:tcPr>
            <w:tcW w:w="1260" w:type="dxa"/>
            <w:noWrap w:val="0"/>
            <w:vAlign w:val="center"/>
          </w:tcPr>
          <w:p>
            <w:pPr>
              <w:jc w:val="center"/>
              <w:rPr>
                <w:rFonts w:hint="eastAsia" w:ascii="宋体" w:hAnsi="宋体" w:cs="宋体"/>
                <w:color w:val="auto"/>
                <w:sz w:val="24"/>
                <w:highlight w:val="none"/>
              </w:rPr>
            </w:pPr>
          </w:p>
        </w:tc>
        <w:tc>
          <w:tcPr>
            <w:tcW w:w="1620" w:type="dxa"/>
            <w:noWrap w:val="0"/>
            <w:vAlign w:val="center"/>
          </w:tcPr>
          <w:p>
            <w:pPr>
              <w:jc w:val="center"/>
              <w:rPr>
                <w:rFonts w:hint="eastAsia" w:ascii="宋体" w:hAnsi="宋体" w:cs="宋体"/>
                <w:color w:val="auto"/>
                <w:sz w:val="24"/>
                <w:highlight w:val="none"/>
              </w:rPr>
            </w:pPr>
          </w:p>
        </w:tc>
        <w:tc>
          <w:tcPr>
            <w:tcW w:w="1199"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w:t>
            </w:r>
          </w:p>
        </w:tc>
      </w:tr>
    </w:tbl>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注：投标文件中必须明确主要设备的品牌、规格型号、性能指标等内容。</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eastAsia="zh-CN"/>
        </w:rPr>
        <w:t>法定代表人或授权委托人</w:t>
      </w:r>
      <w:r>
        <w:rPr>
          <w:rFonts w:hint="eastAsia" w:ascii="宋体" w:hAnsi="宋体" w:cs="宋体"/>
          <w:color w:val="auto"/>
          <w:sz w:val="24"/>
          <w:highlight w:val="none"/>
        </w:rPr>
        <w:t xml:space="preserve">（签名）：            投标人（加盖公章）：                              </w:t>
      </w:r>
    </w:p>
    <w:p>
      <w:pPr>
        <w:spacing w:line="360" w:lineRule="auto"/>
        <w:ind w:firstLine="5160" w:firstLineChars="2150"/>
        <w:rPr>
          <w:rFonts w:hint="eastAsia" w:ascii="宋体" w:hAnsi="宋体" w:cs="宋体"/>
          <w:color w:val="auto"/>
          <w:sz w:val="24"/>
          <w:highlight w:val="none"/>
        </w:rPr>
      </w:pPr>
      <w:r>
        <w:rPr>
          <w:rFonts w:hint="eastAsia" w:ascii="宋体" w:hAnsi="宋体" w:cs="宋体"/>
          <w:color w:val="auto"/>
          <w:sz w:val="24"/>
          <w:highlight w:val="none"/>
        </w:rPr>
        <w:t xml:space="preserve"> 日期：20  年   月   日</w:t>
      </w:r>
    </w:p>
    <w:p>
      <w:pPr>
        <w:snapToGrid w:val="0"/>
        <w:spacing w:before="50" w:after="120" w:afterLines="50"/>
        <w:jc w:val="center"/>
        <w:rPr>
          <w:rFonts w:hint="eastAsia" w:ascii="宋体" w:hAnsi="宋体" w:cs="宋体"/>
          <w:b/>
          <w:color w:val="auto"/>
          <w:sz w:val="28"/>
          <w:szCs w:val="28"/>
          <w:highlight w:val="none"/>
        </w:rPr>
      </w:pPr>
    </w:p>
    <w:p>
      <w:pPr>
        <w:snapToGrid w:val="0"/>
        <w:spacing w:before="50" w:after="120" w:afterLines="50"/>
        <w:jc w:val="center"/>
        <w:rPr>
          <w:rFonts w:hint="eastAsia" w:ascii="宋体" w:hAnsi="宋体" w:cs="宋体"/>
          <w:color w:val="auto"/>
          <w:sz w:val="28"/>
          <w:szCs w:val="28"/>
          <w:highlight w:val="none"/>
          <w:u w:val="single"/>
        </w:rPr>
      </w:pPr>
      <w:r>
        <w:rPr>
          <w:rFonts w:hint="eastAsia" w:ascii="宋体" w:hAnsi="宋体" w:cs="宋体"/>
          <w:b/>
          <w:color w:val="auto"/>
          <w:sz w:val="28"/>
          <w:szCs w:val="28"/>
          <w:highlight w:val="none"/>
        </w:rPr>
        <w:t>技术响应表</w:t>
      </w:r>
    </w:p>
    <w:tbl>
      <w:tblPr>
        <w:tblStyle w:val="2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7"/>
        <w:gridCol w:w="2475"/>
        <w:gridCol w:w="1583"/>
        <w:gridCol w:w="1849"/>
        <w:gridCol w:w="1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6" w:hRule="atLeast"/>
        </w:trPr>
        <w:tc>
          <w:tcPr>
            <w:tcW w:w="4052" w:type="dxa"/>
            <w:gridSpan w:val="2"/>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jc w:val="center"/>
              <w:outlineLvl w:val="0"/>
              <w:rPr>
                <w:rFonts w:hint="eastAsia" w:hAnsi="宋体" w:cs="宋体"/>
                <w:color w:val="auto"/>
                <w:sz w:val="21"/>
                <w:szCs w:val="21"/>
                <w:highlight w:val="none"/>
              </w:rPr>
            </w:pPr>
            <w:bookmarkStart w:id="45" w:name="_Toc406402957"/>
            <w:bookmarkStart w:id="46" w:name="_Toc385854110"/>
            <w:bookmarkStart w:id="47" w:name="_Toc401570290"/>
            <w:bookmarkStart w:id="48" w:name="_Toc402963095"/>
            <w:bookmarkStart w:id="49" w:name="_Toc406403001"/>
            <w:bookmarkStart w:id="50" w:name="_Toc377653976"/>
            <w:bookmarkStart w:id="51" w:name="_Toc381081903"/>
            <w:bookmarkStart w:id="52" w:name="_Toc382928236"/>
            <w:bookmarkStart w:id="53" w:name="_Toc377028057"/>
            <w:bookmarkStart w:id="54" w:name="_Toc385854156"/>
            <w:bookmarkStart w:id="55" w:name="_Toc382928118"/>
            <w:bookmarkStart w:id="56" w:name="_Toc377028119"/>
            <w:bookmarkStart w:id="57" w:name="_Toc401570314"/>
            <w:bookmarkStart w:id="58" w:name="_Toc402963128"/>
            <w:r>
              <w:rPr>
                <w:rFonts w:hint="eastAsia" w:hAnsi="宋体" w:cs="宋体"/>
                <w:color w:val="auto"/>
                <w:sz w:val="21"/>
                <w:szCs w:val="21"/>
                <w:highlight w:val="none"/>
              </w:rPr>
              <w:t>招标文件要求</w:t>
            </w:r>
            <w:bookmarkEnd w:id="45"/>
            <w:bookmarkEnd w:id="46"/>
            <w:bookmarkEnd w:id="47"/>
            <w:bookmarkEnd w:id="48"/>
            <w:bookmarkEnd w:id="49"/>
            <w:bookmarkEnd w:id="50"/>
            <w:bookmarkEnd w:id="51"/>
            <w:bookmarkEnd w:id="52"/>
            <w:bookmarkEnd w:id="53"/>
            <w:bookmarkEnd w:id="54"/>
            <w:bookmarkEnd w:id="55"/>
            <w:bookmarkEnd w:id="56"/>
            <w:bookmarkEnd w:id="57"/>
            <w:bookmarkEnd w:id="58"/>
          </w:p>
        </w:tc>
        <w:tc>
          <w:tcPr>
            <w:tcW w:w="3432" w:type="dxa"/>
            <w:gridSpan w:val="2"/>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jc w:val="center"/>
              <w:outlineLvl w:val="0"/>
              <w:rPr>
                <w:rFonts w:hint="eastAsia" w:hAnsi="宋体" w:cs="宋体"/>
                <w:color w:val="auto"/>
                <w:sz w:val="21"/>
                <w:szCs w:val="21"/>
                <w:highlight w:val="none"/>
              </w:rPr>
            </w:pPr>
            <w:bookmarkStart w:id="59" w:name="_Toc382928237"/>
            <w:bookmarkStart w:id="60" w:name="_Toc377028058"/>
            <w:bookmarkStart w:id="61" w:name="_Toc377028120"/>
            <w:bookmarkStart w:id="62" w:name="_Toc402963096"/>
            <w:bookmarkStart w:id="63" w:name="_Toc385854157"/>
            <w:bookmarkStart w:id="64" w:name="_Toc406403002"/>
            <w:bookmarkStart w:id="65" w:name="_Toc401570315"/>
            <w:bookmarkStart w:id="66" w:name="_Toc377653977"/>
            <w:bookmarkStart w:id="67" w:name="_Toc385854111"/>
            <w:bookmarkStart w:id="68" w:name="_Toc382928119"/>
            <w:bookmarkStart w:id="69" w:name="_Toc406402958"/>
            <w:bookmarkStart w:id="70" w:name="_Toc402963129"/>
            <w:bookmarkStart w:id="71" w:name="_Toc401570291"/>
            <w:bookmarkStart w:id="72" w:name="_Toc381081904"/>
            <w:r>
              <w:rPr>
                <w:rFonts w:hint="eastAsia" w:hAnsi="宋体" w:cs="宋体"/>
                <w:color w:val="auto"/>
                <w:sz w:val="21"/>
                <w:szCs w:val="21"/>
                <w:highlight w:val="none"/>
              </w:rPr>
              <w:t>投标文件响应</w:t>
            </w:r>
            <w:bookmarkEnd w:id="59"/>
            <w:bookmarkEnd w:id="60"/>
            <w:bookmarkEnd w:id="61"/>
            <w:bookmarkEnd w:id="62"/>
            <w:bookmarkEnd w:id="63"/>
            <w:bookmarkEnd w:id="64"/>
            <w:bookmarkEnd w:id="65"/>
            <w:bookmarkEnd w:id="66"/>
            <w:bookmarkEnd w:id="67"/>
            <w:bookmarkEnd w:id="68"/>
            <w:bookmarkEnd w:id="69"/>
            <w:bookmarkEnd w:id="70"/>
            <w:bookmarkEnd w:id="71"/>
            <w:bookmarkEnd w:id="72"/>
          </w:p>
        </w:tc>
        <w:tc>
          <w:tcPr>
            <w:tcW w:w="1044"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295" w:beforeLines="0" w:after="295" w:afterLines="0" w:line="240" w:lineRule="auto"/>
              <w:jc w:val="center"/>
              <w:outlineLvl w:val="0"/>
              <w:rPr>
                <w:rFonts w:hint="eastAsia" w:hAnsi="宋体" w:cs="宋体"/>
                <w:color w:val="auto"/>
                <w:sz w:val="21"/>
                <w:szCs w:val="21"/>
                <w:highlight w:val="none"/>
              </w:rPr>
            </w:pPr>
            <w:bookmarkStart w:id="73" w:name="_Toc402963097"/>
            <w:bookmarkStart w:id="74" w:name="_Toc402963130"/>
            <w:bookmarkStart w:id="75" w:name="_Toc401570292"/>
            <w:bookmarkStart w:id="76" w:name="_Toc406402959"/>
            <w:bookmarkStart w:id="77" w:name="_Toc401570316"/>
            <w:bookmarkStart w:id="78" w:name="_Toc406403003"/>
            <w:bookmarkStart w:id="79" w:name="_Toc385854158"/>
            <w:bookmarkStart w:id="80" w:name="_Toc377028059"/>
            <w:bookmarkStart w:id="81" w:name="_Toc377028121"/>
            <w:bookmarkStart w:id="82" w:name="_Toc377653978"/>
            <w:bookmarkStart w:id="83" w:name="_Toc382928120"/>
            <w:bookmarkStart w:id="84" w:name="_Toc381081905"/>
            <w:bookmarkStart w:id="85" w:name="_Toc382928238"/>
            <w:bookmarkStart w:id="86" w:name="_Toc385854112"/>
            <w:r>
              <w:rPr>
                <w:rFonts w:hint="eastAsia" w:hAnsi="宋体" w:cs="宋体"/>
                <w:color w:val="auto"/>
                <w:sz w:val="21"/>
                <w:szCs w:val="21"/>
                <w:highlight w:val="none"/>
              </w:rPr>
              <w:t>偏离</w:t>
            </w:r>
            <w:r>
              <w:rPr>
                <w:rFonts w:hint="eastAsia" w:hAnsi="宋体" w:cs="宋体"/>
                <w:color w:val="auto"/>
                <w:sz w:val="21"/>
                <w:szCs w:val="21"/>
                <w:highlight w:val="none"/>
              </w:rPr>
              <w:br w:type="textWrapping"/>
            </w:r>
            <w:r>
              <w:rPr>
                <w:rFonts w:hint="eastAsia" w:hAnsi="宋体" w:cs="宋体"/>
                <w:color w:val="auto"/>
                <w:sz w:val="21"/>
                <w:szCs w:val="21"/>
                <w:highlight w:val="none"/>
              </w:rPr>
              <w:t>情况</w:t>
            </w:r>
            <w:bookmarkEnd w:id="73"/>
            <w:bookmarkEnd w:id="74"/>
            <w:bookmarkEnd w:id="75"/>
            <w:bookmarkEnd w:id="76"/>
            <w:bookmarkEnd w:id="77"/>
            <w:bookmarkEnd w:id="78"/>
            <w:bookmarkEnd w:id="79"/>
            <w:bookmarkEnd w:id="80"/>
            <w:bookmarkEnd w:id="81"/>
            <w:bookmarkEnd w:id="82"/>
            <w:bookmarkEnd w:id="83"/>
            <w:bookmarkEnd w:id="84"/>
            <w:bookmarkEnd w:id="85"/>
            <w:bookmarkEnd w:id="8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577"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jc w:val="center"/>
              <w:outlineLvl w:val="0"/>
              <w:rPr>
                <w:rFonts w:hint="eastAsia" w:hAnsi="宋体" w:cs="宋体"/>
                <w:color w:val="auto"/>
                <w:sz w:val="21"/>
                <w:szCs w:val="21"/>
                <w:highlight w:val="none"/>
              </w:rPr>
            </w:pPr>
            <w:bookmarkStart w:id="87" w:name="_Toc401570293"/>
            <w:bookmarkStart w:id="88" w:name="_Toc402963131"/>
            <w:bookmarkStart w:id="89" w:name="_Toc385854113"/>
            <w:bookmarkStart w:id="90" w:name="_Toc406402960"/>
            <w:bookmarkStart w:id="91" w:name="_Toc401570317"/>
            <w:bookmarkStart w:id="92" w:name="_Toc377653979"/>
            <w:bookmarkStart w:id="93" w:name="_Toc382928121"/>
            <w:bookmarkStart w:id="94" w:name="_Toc385854159"/>
            <w:bookmarkStart w:id="95" w:name="_Toc377028060"/>
            <w:bookmarkStart w:id="96" w:name="_Toc402963098"/>
            <w:bookmarkStart w:id="97" w:name="_Toc381081906"/>
            <w:bookmarkStart w:id="98" w:name="_Toc406403004"/>
            <w:bookmarkStart w:id="99" w:name="_Toc377028122"/>
            <w:bookmarkStart w:id="100" w:name="_Toc382928239"/>
            <w:r>
              <w:rPr>
                <w:rFonts w:hint="eastAsia" w:hAnsi="宋体" w:cs="宋体"/>
                <w:color w:val="auto"/>
                <w:sz w:val="21"/>
                <w:szCs w:val="21"/>
                <w:highlight w:val="none"/>
              </w:rPr>
              <w:t>项目</w:t>
            </w:r>
            <w:bookmarkEnd w:id="87"/>
            <w:bookmarkEnd w:id="88"/>
            <w:bookmarkEnd w:id="89"/>
            <w:bookmarkEnd w:id="90"/>
            <w:bookmarkEnd w:id="91"/>
            <w:bookmarkEnd w:id="92"/>
            <w:bookmarkEnd w:id="93"/>
            <w:bookmarkEnd w:id="94"/>
            <w:bookmarkEnd w:id="95"/>
            <w:bookmarkEnd w:id="96"/>
            <w:bookmarkEnd w:id="97"/>
            <w:bookmarkEnd w:id="98"/>
            <w:bookmarkEnd w:id="99"/>
            <w:bookmarkEnd w:id="100"/>
          </w:p>
        </w:tc>
        <w:tc>
          <w:tcPr>
            <w:tcW w:w="2475"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jc w:val="center"/>
              <w:outlineLvl w:val="0"/>
              <w:rPr>
                <w:rFonts w:hint="eastAsia" w:hAnsi="宋体" w:cs="宋体"/>
                <w:color w:val="auto"/>
                <w:sz w:val="21"/>
                <w:szCs w:val="21"/>
                <w:highlight w:val="none"/>
              </w:rPr>
            </w:pPr>
            <w:bookmarkStart w:id="101" w:name="_Toc381081907"/>
            <w:bookmarkStart w:id="102" w:name="_Toc382928122"/>
            <w:bookmarkStart w:id="103" w:name="_Toc377653980"/>
            <w:bookmarkStart w:id="104" w:name="_Toc402963099"/>
            <w:bookmarkStart w:id="105" w:name="_Toc402963132"/>
            <w:bookmarkStart w:id="106" w:name="_Toc385854160"/>
            <w:bookmarkStart w:id="107" w:name="_Toc401570294"/>
            <w:bookmarkStart w:id="108" w:name="_Toc401570318"/>
            <w:bookmarkStart w:id="109" w:name="_Toc382928240"/>
            <w:bookmarkStart w:id="110" w:name="_Toc377028123"/>
            <w:bookmarkStart w:id="111" w:name="_Toc406402961"/>
            <w:bookmarkStart w:id="112" w:name="_Toc406403005"/>
            <w:bookmarkStart w:id="113" w:name="_Toc377028061"/>
            <w:bookmarkStart w:id="114" w:name="_Toc385854114"/>
            <w:r>
              <w:rPr>
                <w:rFonts w:hint="eastAsia" w:hAnsi="宋体" w:cs="宋体"/>
                <w:color w:val="auto"/>
                <w:sz w:val="21"/>
                <w:szCs w:val="21"/>
                <w:highlight w:val="none"/>
              </w:rPr>
              <w:t>要求</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jc w:val="center"/>
              <w:outlineLvl w:val="0"/>
              <w:rPr>
                <w:rFonts w:hint="eastAsia" w:hAnsi="宋体" w:cs="宋体"/>
                <w:color w:val="auto"/>
                <w:sz w:val="21"/>
                <w:szCs w:val="21"/>
                <w:highlight w:val="none"/>
              </w:rPr>
            </w:pPr>
            <w:bookmarkStart w:id="115" w:name="_Toc402963133"/>
            <w:bookmarkStart w:id="116" w:name="_Toc377028124"/>
            <w:bookmarkStart w:id="117" w:name="_Toc385854161"/>
            <w:bookmarkStart w:id="118" w:name="_Toc402963100"/>
            <w:bookmarkStart w:id="119" w:name="_Toc385854115"/>
            <w:bookmarkStart w:id="120" w:name="_Toc377653981"/>
            <w:bookmarkStart w:id="121" w:name="_Toc401570295"/>
            <w:bookmarkStart w:id="122" w:name="_Toc381081908"/>
            <w:bookmarkStart w:id="123" w:name="_Toc382928241"/>
            <w:bookmarkStart w:id="124" w:name="_Toc377028062"/>
            <w:bookmarkStart w:id="125" w:name="_Toc406402962"/>
            <w:bookmarkStart w:id="126" w:name="_Toc406403006"/>
            <w:bookmarkStart w:id="127" w:name="_Toc401570319"/>
            <w:bookmarkStart w:id="128" w:name="_Toc382928123"/>
            <w:r>
              <w:rPr>
                <w:rFonts w:hint="eastAsia" w:hAnsi="宋体" w:cs="宋体"/>
                <w:color w:val="auto"/>
                <w:sz w:val="21"/>
                <w:szCs w:val="21"/>
                <w:highlight w:val="none"/>
              </w:rPr>
              <w:t>设备名称</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jc w:val="center"/>
              <w:outlineLvl w:val="0"/>
              <w:rPr>
                <w:rFonts w:hint="eastAsia" w:hAnsi="宋体" w:cs="宋体"/>
                <w:color w:val="auto"/>
                <w:sz w:val="21"/>
                <w:szCs w:val="21"/>
                <w:highlight w:val="none"/>
              </w:rPr>
            </w:pPr>
            <w:bookmarkStart w:id="129" w:name="_Toc382928124"/>
            <w:bookmarkStart w:id="130" w:name="_Toc381081909"/>
            <w:bookmarkStart w:id="131" w:name="_Toc385854162"/>
            <w:bookmarkStart w:id="132" w:name="_Toc377028063"/>
            <w:bookmarkStart w:id="133" w:name="_Toc382928242"/>
            <w:bookmarkStart w:id="134" w:name="_Toc402963134"/>
            <w:bookmarkStart w:id="135" w:name="_Toc406402963"/>
            <w:bookmarkStart w:id="136" w:name="_Toc406403007"/>
            <w:bookmarkStart w:id="137" w:name="_Toc377028125"/>
            <w:bookmarkStart w:id="138" w:name="_Toc402963101"/>
            <w:bookmarkStart w:id="139" w:name="_Toc377653982"/>
            <w:bookmarkStart w:id="140" w:name="_Toc401570320"/>
            <w:bookmarkStart w:id="141" w:name="_Toc401570296"/>
            <w:bookmarkStart w:id="142" w:name="_Toc385854116"/>
            <w:r>
              <w:rPr>
                <w:rFonts w:hint="eastAsia" w:hAnsi="宋体" w:cs="宋体"/>
                <w:color w:val="auto"/>
                <w:sz w:val="21"/>
                <w:szCs w:val="21"/>
                <w:highlight w:val="none"/>
              </w:rPr>
              <w:t>性能及指标</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c>
        <w:tc>
          <w:tcPr>
            <w:tcW w:w="10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120" w:after="120"/>
              <w:outlineLvl w:val="0"/>
              <w:rPr>
                <w:rFonts w:hint="eastAsia" w:hAnsi="宋体" w:cs="宋体"/>
                <w:color w:val="auto"/>
                <w:sz w:val="21"/>
                <w:szCs w:val="21"/>
                <w:highlight w:val="none"/>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120" w:after="120"/>
              <w:outlineLvl w:val="0"/>
              <w:rPr>
                <w:rFonts w:hint="eastAsia" w:hAnsi="宋体" w:cs="宋体"/>
                <w:color w:val="auto"/>
                <w:sz w:val="21"/>
                <w:szCs w:val="21"/>
                <w:highlight w:val="none"/>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120" w:after="120"/>
              <w:outlineLvl w:val="0"/>
              <w:rPr>
                <w:rFonts w:hint="eastAsia" w:hAnsi="宋体" w:cs="宋体"/>
                <w:color w:val="auto"/>
                <w:sz w:val="21"/>
                <w:szCs w:val="21"/>
                <w:highlight w:val="none"/>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4"/>
              <w:snapToGrid w:val="0"/>
              <w:spacing w:before="295" w:beforeLines="0" w:after="295" w:afterLines="0" w:line="240" w:lineRule="auto"/>
              <w:outlineLvl w:val="0"/>
              <w:rPr>
                <w:rFonts w:hint="eastAsia" w:hAnsi="宋体" w:cs="宋体"/>
                <w:color w:val="auto"/>
                <w:sz w:val="21"/>
                <w:szCs w:val="21"/>
                <w:highlight w:val="none"/>
              </w:rPr>
            </w:pPr>
          </w:p>
        </w:tc>
      </w:tr>
    </w:tbl>
    <w:p>
      <w:pPr>
        <w:pStyle w:val="9"/>
        <w:rPr>
          <w:rFonts w:hint="eastAsia" w:ascii="宋体" w:eastAsia="宋体" w:cs="宋体"/>
          <w:color w:val="auto"/>
          <w:sz w:val="21"/>
          <w:szCs w:val="21"/>
          <w:highlight w:val="none"/>
        </w:rPr>
      </w:pPr>
      <w:r>
        <w:rPr>
          <w:rFonts w:hint="eastAsia" w:ascii="宋体" w:eastAsia="宋体" w:cs="宋体"/>
          <w:color w:val="auto"/>
          <w:sz w:val="21"/>
          <w:szCs w:val="21"/>
          <w:highlight w:val="none"/>
        </w:rPr>
        <w:t>注：投标人应根据投标设备的性能指标、对照招标文件要求在“偏离情况”栏注明“正偏离”、“负偏离”或“无偏离”。</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eastAsia="zh-CN"/>
        </w:rPr>
        <w:t>法定代表人或授权委托人</w:t>
      </w:r>
      <w:r>
        <w:rPr>
          <w:rFonts w:hint="eastAsia" w:ascii="宋体" w:hAnsi="宋体" w:cs="宋体"/>
          <w:color w:val="auto"/>
          <w:sz w:val="24"/>
          <w:highlight w:val="none"/>
        </w:rPr>
        <w:t xml:space="preserve">（签名）：            投标人（加盖公章）：                              </w:t>
      </w:r>
    </w:p>
    <w:p>
      <w:pPr>
        <w:spacing w:line="360" w:lineRule="auto"/>
        <w:ind w:firstLine="5160" w:firstLineChars="2150"/>
        <w:rPr>
          <w:rFonts w:hint="eastAsia" w:ascii="宋体" w:hAnsi="宋体" w:cs="宋体"/>
          <w:color w:val="auto"/>
          <w:sz w:val="24"/>
          <w:highlight w:val="none"/>
        </w:rPr>
      </w:pPr>
      <w:r>
        <w:rPr>
          <w:rFonts w:hint="eastAsia" w:ascii="宋体" w:hAnsi="宋体" w:cs="宋体"/>
          <w:color w:val="auto"/>
          <w:sz w:val="24"/>
          <w:highlight w:val="none"/>
        </w:rPr>
        <w:t xml:space="preserve"> 日期：20  年   月   日</w:t>
      </w:r>
    </w:p>
    <w:p>
      <w:pPr>
        <w:pStyle w:val="62"/>
        <w:spacing w:line="360" w:lineRule="auto"/>
        <w:ind w:right="480" w:firstLine="6000" w:firstLineChars="2500"/>
        <w:rPr>
          <w:rFonts w:hint="eastAsia" w:hAnsi="宋体" w:eastAsia="宋体" w:cs="宋体"/>
          <w:color w:val="auto"/>
          <w:sz w:val="24"/>
          <w:szCs w:val="24"/>
          <w:highlight w:val="none"/>
        </w:rPr>
      </w:pPr>
    </w:p>
    <w:p>
      <w:pPr>
        <w:snapToGrid w:val="0"/>
        <w:spacing w:before="120" w:beforeLines="50" w:after="5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投 标 函</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（采购人）：  </w:t>
      </w:r>
    </w:p>
    <w:p>
      <w:pPr>
        <w:snapToGrid w:val="0"/>
        <w:spacing w:before="120" w:beforeLines="50" w:after="50" w:line="360" w:lineRule="auto"/>
        <w:ind w:firstLine="480" w:firstLineChars="200"/>
        <w:rPr>
          <w:rFonts w:hint="eastAsia" w:ascii="宋体" w:hAnsi="宋体" w:cs="宋体"/>
          <w:bCs/>
          <w:color w:val="auto"/>
          <w:sz w:val="24"/>
          <w:szCs w:val="20"/>
          <w:highlight w:val="none"/>
        </w:rPr>
      </w:pPr>
      <w:r>
        <w:rPr>
          <w:rFonts w:hint="eastAsia" w:ascii="宋体" w:hAnsi="宋体" w:cs="宋体"/>
          <w:color w:val="auto"/>
          <w:sz w:val="24"/>
          <w:highlight w:val="none"/>
        </w:rPr>
        <w:t>根据贵方为</w:t>
      </w:r>
      <w:r>
        <w:rPr>
          <w:rFonts w:hint="eastAsia" w:ascii="宋体" w:hAnsi="宋体" w:cs="宋体"/>
          <w:bCs/>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（投标人名称）提交电子版投标文件（资格响应文件、商务技术响应文件、报价响应文件）。</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3.本投标有效期自开标日起 ______个日。</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电话：_____________</w:t>
      </w:r>
    </w:p>
    <w:p>
      <w:pPr>
        <w:snapToGrid w:val="0"/>
        <w:spacing w:line="360" w:lineRule="auto"/>
        <w:rPr>
          <w:rFonts w:hint="eastAsia" w:ascii="宋体" w:hAnsi="宋体" w:cs="宋体"/>
          <w:color w:val="auto"/>
          <w:sz w:val="24"/>
          <w:highlight w:val="none"/>
          <w:u w:val="single"/>
        </w:rPr>
      </w:pPr>
      <w:r>
        <w:rPr>
          <w:rFonts w:hint="eastAsia" w:ascii="宋体" w:hAnsi="宋体" w:cs="宋体"/>
          <w:color w:val="auto"/>
          <w:sz w:val="24"/>
          <w:highlight w:val="none"/>
        </w:rPr>
        <w:t>传真：______________投标人代表姓名：__________  职务：</w:t>
      </w:r>
      <w:r>
        <w:rPr>
          <w:rFonts w:hint="eastAsia" w:ascii="宋体" w:hAnsi="宋体" w:cs="宋体"/>
          <w:color w:val="auto"/>
          <w:sz w:val="24"/>
          <w:highlight w:val="none"/>
          <w:u w:val="single"/>
        </w:rPr>
        <w:t xml:space="preserve">               </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投标人名称(公章):___________________</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银行帐号：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法定代表人或授权委托人</w:t>
      </w:r>
      <w:r>
        <w:rPr>
          <w:rFonts w:hint="eastAsia" w:ascii="宋体" w:hAnsi="宋体" w:cs="宋体"/>
          <w:color w:val="auto"/>
          <w:sz w:val="24"/>
          <w:highlight w:val="none"/>
        </w:rPr>
        <w:t xml:space="preserve">（签名）：            投标人（加盖公章）：          </w:t>
      </w:r>
    </w:p>
    <w:p>
      <w:pPr>
        <w:snapToGrid w:val="0"/>
        <w:spacing w:line="360" w:lineRule="auto"/>
        <w:ind w:firstLine="5040" w:firstLineChars="2100"/>
        <w:rPr>
          <w:rFonts w:hint="eastAsia" w:ascii="宋体" w:hAnsi="宋体" w:cs="宋体"/>
          <w:color w:val="auto"/>
          <w:sz w:val="24"/>
          <w:highlight w:val="none"/>
        </w:rPr>
      </w:pPr>
    </w:p>
    <w:p>
      <w:pPr>
        <w:snapToGrid w:val="0"/>
        <w:spacing w:line="360" w:lineRule="auto"/>
        <w:ind w:firstLine="5040" w:firstLineChars="2100"/>
        <w:rPr>
          <w:rFonts w:hint="eastAsia"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pStyle w:val="10"/>
        <w:rPr>
          <w:rFonts w:hint="eastAsia" w:ascii="宋体" w:hAnsi="宋体" w:cs="宋体"/>
          <w:color w:val="auto"/>
          <w:highlight w:val="none"/>
        </w:rPr>
      </w:pPr>
    </w:p>
    <w:p>
      <w:pPr>
        <w:pStyle w:val="10"/>
        <w:rPr>
          <w:rFonts w:hint="eastAsia" w:ascii="宋体" w:hAnsi="宋体" w:cs="宋体"/>
          <w:color w:val="auto"/>
          <w:highlight w:val="none"/>
        </w:rPr>
      </w:pPr>
    </w:p>
    <w:bookmarkEnd w:id="44"/>
    <w:p>
      <w:pPr>
        <w:snapToGrid w:val="0"/>
        <w:spacing w:before="50" w:after="50"/>
        <w:jc w:val="center"/>
        <w:rPr>
          <w:rFonts w:hint="eastAsia" w:ascii="宋体" w:hAnsi="宋体" w:cs="宋体"/>
          <w:b/>
          <w:color w:val="auto"/>
          <w:sz w:val="24"/>
          <w:highlight w:val="none"/>
        </w:rPr>
      </w:pPr>
      <w:r>
        <w:rPr>
          <w:rFonts w:hint="eastAsia" w:ascii="宋体" w:hAnsi="宋体" w:cs="宋体"/>
          <w:b/>
          <w:color w:val="auto"/>
          <w:sz w:val="24"/>
          <w:highlight w:val="none"/>
        </w:rPr>
        <w:t>开标一览表</w:t>
      </w:r>
    </w:p>
    <w:p>
      <w:pPr>
        <w:snapToGrid w:val="0"/>
        <w:spacing w:before="50" w:after="50"/>
        <w:jc w:val="center"/>
        <w:rPr>
          <w:rFonts w:hint="eastAsia" w:ascii="宋体" w:hAnsi="宋体" w:cs="宋体"/>
          <w:b/>
          <w:color w:val="auto"/>
          <w:sz w:val="24"/>
          <w:szCs w:val="20"/>
          <w:highlight w:val="none"/>
        </w:rPr>
      </w:pPr>
    </w:p>
    <w:p>
      <w:pPr>
        <w:snapToGrid w:val="0"/>
        <w:spacing w:before="50" w:after="50"/>
        <w:ind w:right="480"/>
        <w:rPr>
          <w:rFonts w:hint="eastAsia" w:ascii="宋体" w:hAnsi="宋体" w:cs="宋体"/>
          <w:color w:val="auto"/>
          <w:sz w:val="24"/>
          <w:highlight w:val="none"/>
          <w:u w:val="single"/>
        </w:rPr>
      </w:pPr>
      <w:r>
        <w:rPr>
          <w:rFonts w:hint="eastAsia" w:ascii="宋体" w:hAnsi="宋体" w:cs="宋体"/>
          <w:color w:val="auto"/>
          <w:sz w:val="24"/>
          <w:highlight w:val="none"/>
        </w:rPr>
        <w:t>招标编号：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单位：元</w:t>
      </w:r>
    </w:p>
    <w:p>
      <w:pPr>
        <w:snapToGrid w:val="0"/>
        <w:spacing w:before="50" w:after="50"/>
        <w:ind w:right="480"/>
        <w:jc w:val="right"/>
        <w:rPr>
          <w:rFonts w:hint="eastAsia" w:ascii="宋体" w:hAnsi="宋体" w:cs="宋体"/>
          <w:color w:val="auto"/>
          <w:sz w:val="24"/>
          <w:highlight w:val="none"/>
        </w:rPr>
      </w:pPr>
      <w:r>
        <w:rPr>
          <w:rFonts w:hint="eastAsia" w:ascii="宋体" w:hAnsi="宋体" w:cs="宋体"/>
          <w:color w:val="auto"/>
          <w:sz w:val="24"/>
          <w:highlight w:val="none"/>
        </w:rPr>
        <w:t xml:space="preserve">            </w:t>
      </w:r>
    </w:p>
    <w:tbl>
      <w:tblPr>
        <w:tblStyle w:val="2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trPr>
        <w:tc>
          <w:tcPr>
            <w:tcW w:w="20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总报价（小写） </w:t>
            </w:r>
          </w:p>
        </w:tc>
        <w:tc>
          <w:tcPr>
            <w:tcW w:w="6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07" w:hRule="atLeast"/>
        </w:trPr>
        <w:tc>
          <w:tcPr>
            <w:tcW w:w="20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总报价（大写）</w:t>
            </w:r>
          </w:p>
        </w:tc>
        <w:tc>
          <w:tcPr>
            <w:tcW w:w="6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rPr>
                <w:rFonts w:hint="eastAsia" w:ascii="宋体" w:hAnsi="宋体" w:cs="宋体"/>
                <w:color w:val="auto"/>
                <w:szCs w:val="21"/>
                <w:highlight w:val="none"/>
              </w:rPr>
            </w:pPr>
            <w:r>
              <w:rPr>
                <w:rFonts w:hint="eastAsia" w:ascii="宋体" w:hAnsi="宋体" w:cs="宋体"/>
                <w:color w:val="auto"/>
                <w:szCs w:val="21"/>
                <w:highlight w:val="none"/>
              </w:rPr>
              <w:t>人民币</w:t>
            </w:r>
          </w:p>
        </w:tc>
      </w:tr>
    </w:tbl>
    <w:p>
      <w:pPr>
        <w:snapToGrid w:val="0"/>
        <w:spacing w:line="480" w:lineRule="exact"/>
        <w:jc w:val="left"/>
        <w:rPr>
          <w:rFonts w:hint="eastAsia" w:ascii="宋体" w:hAnsi="宋体" w:cs="宋体"/>
          <w:color w:val="auto"/>
          <w:szCs w:val="21"/>
          <w:highlight w:val="none"/>
        </w:rPr>
      </w:pPr>
      <w:r>
        <w:rPr>
          <w:rFonts w:hint="eastAsia" w:ascii="宋体" w:hAnsi="宋体" w:cs="宋体"/>
          <w:color w:val="auto"/>
          <w:szCs w:val="21"/>
          <w:highlight w:val="none"/>
        </w:rPr>
        <w:t>注: 1、报价一经涂改，应在涂改处加盖单位公章或者由法定代表人或被授权人签字或盖章，否则其投标作无效标处理。</w:t>
      </w:r>
    </w:p>
    <w:p>
      <w:pPr>
        <w:snapToGrid w:val="0"/>
        <w:spacing w:line="4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2、凡需用专用耗材的专用设备类采购项目，应按招标文件规定的耗材量或按耗材的常规试用量提供报价。</w:t>
      </w:r>
    </w:p>
    <w:p>
      <w:pPr>
        <w:snapToGrid w:val="0"/>
        <w:spacing w:line="4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3、以上报价应与“投标</w:t>
      </w:r>
      <w:r>
        <w:rPr>
          <w:rFonts w:hint="eastAsia" w:ascii="宋体" w:hAnsi="宋体" w:cs="宋体"/>
          <w:color w:val="auto"/>
          <w:highlight w:val="none"/>
        </w:rPr>
        <w:t>报价</w:t>
      </w:r>
      <w:r>
        <w:rPr>
          <w:rFonts w:hint="eastAsia" w:ascii="宋体" w:hAnsi="宋体" w:cs="宋体"/>
          <w:color w:val="auto"/>
          <w:szCs w:val="21"/>
          <w:highlight w:val="none"/>
        </w:rPr>
        <w:t>明细表”中的“投标总价”数相一致。</w:t>
      </w:r>
    </w:p>
    <w:p>
      <w:pPr>
        <w:snapToGrid w:val="0"/>
        <w:spacing w:line="480" w:lineRule="exact"/>
        <w:ind w:firstLine="420" w:firstLineChars="200"/>
        <w:jc w:val="left"/>
        <w:rPr>
          <w:rFonts w:hint="eastAsia" w:ascii="宋体" w:hAnsi="宋体" w:cs="宋体"/>
          <w:color w:val="auto"/>
          <w:sz w:val="24"/>
          <w:szCs w:val="20"/>
          <w:highlight w:val="none"/>
        </w:rPr>
      </w:pPr>
      <w:r>
        <w:rPr>
          <w:rFonts w:hint="eastAsia" w:ascii="宋体" w:hAnsi="宋体" w:cs="宋体"/>
          <w:color w:val="auto"/>
          <w:szCs w:val="21"/>
          <w:highlight w:val="none"/>
        </w:rPr>
        <w:t>4、项目费用包括项目实施所需的人工费、服务费、运输费、安装调试费、领取及制作标书费、税费及其他一切费用。</w:t>
      </w:r>
    </w:p>
    <w:p>
      <w:pPr>
        <w:snapToGrid w:val="0"/>
        <w:spacing w:line="480" w:lineRule="exact"/>
        <w:ind w:left="-3" w:leftChars="-72" w:right="-817" w:rightChars="-389" w:hanging="148" w:hangingChars="62"/>
        <w:rPr>
          <w:rFonts w:hint="eastAsia" w:ascii="宋体" w:hAnsi="宋体" w:cs="宋体"/>
          <w:color w:val="auto"/>
          <w:sz w:val="24"/>
          <w:highlight w:val="none"/>
          <w:lang w:eastAsia="zh-CN"/>
        </w:rPr>
      </w:pPr>
    </w:p>
    <w:p>
      <w:pPr>
        <w:snapToGrid w:val="0"/>
        <w:spacing w:line="480" w:lineRule="exact"/>
        <w:ind w:left="-3" w:leftChars="-72" w:right="-817" w:rightChars="-389" w:hanging="148" w:hangingChars="62"/>
        <w:rPr>
          <w:rFonts w:hint="eastAsia" w:ascii="宋体" w:hAnsi="宋体" w:cs="宋体"/>
          <w:color w:val="auto"/>
          <w:sz w:val="24"/>
          <w:highlight w:val="none"/>
        </w:rPr>
      </w:pPr>
      <w:r>
        <w:rPr>
          <w:rFonts w:hint="eastAsia" w:ascii="宋体" w:hAnsi="宋体" w:cs="宋体"/>
          <w:color w:val="auto"/>
          <w:sz w:val="24"/>
          <w:highlight w:val="none"/>
          <w:lang w:eastAsia="zh-CN"/>
        </w:rPr>
        <w:t>法定代表人或授权委托人</w:t>
      </w:r>
      <w:r>
        <w:rPr>
          <w:rFonts w:hint="eastAsia" w:ascii="宋体" w:hAnsi="宋体" w:cs="宋体"/>
          <w:color w:val="auto"/>
          <w:sz w:val="24"/>
          <w:highlight w:val="none"/>
        </w:rPr>
        <w:t>（签名）：            投标人（加盖公章）：</w:t>
      </w:r>
    </w:p>
    <w:p>
      <w:pPr>
        <w:snapToGrid w:val="0"/>
        <w:spacing w:before="50" w:after="50"/>
        <w:ind w:left="-2" w:leftChars="-1" w:right="-817" w:rightChars="-389" w:firstLine="4800" w:firstLineChars="2000"/>
        <w:rPr>
          <w:rFonts w:hint="eastAsia" w:ascii="宋体" w:hAnsi="宋体" w:cs="宋体"/>
          <w:color w:val="auto"/>
          <w:sz w:val="24"/>
          <w:highlight w:val="none"/>
        </w:rPr>
      </w:pPr>
    </w:p>
    <w:p>
      <w:pPr>
        <w:snapToGrid w:val="0"/>
        <w:spacing w:before="50" w:after="50"/>
        <w:ind w:left="-2" w:leftChars="-1" w:right="-817" w:rightChars="-389" w:firstLine="4800" w:firstLineChars="2000"/>
        <w:rPr>
          <w:rFonts w:hint="eastAsia" w:ascii="宋体" w:hAnsi="宋体" w:cs="宋体"/>
          <w:color w:val="auto"/>
          <w:sz w:val="24"/>
          <w:szCs w:val="20"/>
          <w:highlight w:val="none"/>
        </w:rPr>
      </w:pPr>
      <w:r>
        <w:rPr>
          <w:rFonts w:hint="eastAsia" w:ascii="宋体" w:hAnsi="宋体" w:cs="宋体"/>
          <w:color w:val="auto"/>
          <w:sz w:val="24"/>
          <w:highlight w:val="none"/>
        </w:rPr>
        <w:t>日期：    年   月   日</w:t>
      </w:r>
    </w:p>
    <w:p>
      <w:pPr>
        <w:widowControl/>
        <w:spacing w:line="360" w:lineRule="auto"/>
        <w:ind w:left="212" w:hanging="572"/>
        <w:rPr>
          <w:rFonts w:hint="eastAsia" w:ascii="宋体" w:hAnsi="宋体" w:cs="宋体"/>
          <w:b/>
          <w:color w:val="auto"/>
          <w:highlight w:val="none"/>
        </w:rPr>
        <w:sectPr>
          <w:pgSz w:w="11906" w:h="16838"/>
          <w:pgMar w:top="1440" w:right="1797" w:bottom="1440" w:left="1797" w:header="851" w:footer="851" w:gutter="0"/>
          <w:cols w:space="720" w:num="1"/>
          <w:docGrid w:linePitch="312" w:charSpace="0"/>
        </w:sectPr>
      </w:pPr>
    </w:p>
    <w:p>
      <w:pPr>
        <w:widowControl/>
        <w:spacing w:line="360" w:lineRule="auto"/>
        <w:ind w:left="212" w:hanging="572"/>
        <w:jc w:val="center"/>
        <w:rPr>
          <w:rFonts w:hint="eastAsia" w:ascii="宋体" w:hAnsi="宋体" w:cs="宋体"/>
          <w:b/>
          <w:color w:val="auto"/>
          <w:sz w:val="24"/>
          <w:highlight w:val="none"/>
        </w:rPr>
      </w:pPr>
      <w:r>
        <w:rPr>
          <w:rFonts w:hint="eastAsia" w:ascii="宋体" w:hAnsi="宋体" w:cs="宋体"/>
          <w:b/>
          <w:color w:val="auto"/>
          <w:sz w:val="24"/>
          <w:highlight w:val="none"/>
        </w:rPr>
        <w:t>投标报价明细表</w:t>
      </w:r>
    </w:p>
    <w:p>
      <w:pPr>
        <w:pStyle w:val="62"/>
        <w:spacing w:line="360" w:lineRule="auto"/>
        <w:rPr>
          <w:rFonts w:hint="eastAsia" w:hAnsi="宋体" w:eastAsia="宋体" w:cs="宋体"/>
          <w:color w:val="auto"/>
          <w:sz w:val="24"/>
          <w:szCs w:val="24"/>
          <w:highlight w:val="none"/>
          <w:u w:val="single"/>
        </w:rPr>
      </w:pPr>
      <w:r>
        <w:rPr>
          <w:rFonts w:hint="eastAsia" w:hAnsi="宋体" w:eastAsia="宋体" w:cs="宋体"/>
          <w:color w:val="auto"/>
          <w:sz w:val="24"/>
          <w:szCs w:val="24"/>
          <w:highlight w:val="none"/>
        </w:rPr>
        <w:t>招标编号：</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 xml:space="preserve">  </w:t>
      </w:r>
    </w:p>
    <w:p>
      <w:pPr>
        <w:pStyle w:val="62"/>
        <w:wordWrap w:val="0"/>
        <w:spacing w:line="360" w:lineRule="auto"/>
        <w:rPr>
          <w:rFonts w:hint="eastAsia" w:hAnsi="宋体" w:eastAsia="宋体" w:cs="宋体"/>
          <w:color w:val="auto"/>
          <w:sz w:val="24"/>
          <w:szCs w:val="24"/>
          <w:highlight w:val="none"/>
        </w:rPr>
      </w:pPr>
      <w:r>
        <w:rPr>
          <w:rFonts w:hint="eastAsia" w:hAnsi="宋体" w:eastAsia="宋体" w:cs="宋体"/>
          <w:color w:val="auto"/>
          <w:sz w:val="24"/>
          <w:szCs w:val="24"/>
          <w:highlight w:val="none"/>
        </w:rPr>
        <w:t>项目名称：</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 xml:space="preserve">                          </w:t>
      </w:r>
    </w:p>
    <w:p>
      <w:pPr>
        <w:numPr>
          <w:ilvl w:val="0"/>
          <w:numId w:val="7"/>
        </w:numPr>
        <w:snapToGrid w:val="0"/>
        <w:spacing w:before="50" w:after="50"/>
        <w:rPr>
          <w:rFonts w:hint="eastAsia" w:ascii="宋体" w:hAnsi="宋体" w:cs="宋体"/>
          <w:color w:val="auto"/>
          <w:sz w:val="24"/>
          <w:highlight w:val="none"/>
        </w:rPr>
      </w:pPr>
      <w:r>
        <w:rPr>
          <w:rFonts w:hint="eastAsia" w:ascii="宋体" w:hAnsi="宋体" w:cs="宋体"/>
          <w:color w:val="auto"/>
          <w:sz w:val="24"/>
          <w:highlight w:val="none"/>
        </w:rPr>
        <w:t>一次性投入部分</w:t>
      </w:r>
    </w:p>
    <w:tbl>
      <w:tblPr>
        <w:tblStyle w:val="26"/>
        <w:tblpPr w:leftFromText="180" w:rightFromText="180" w:vertAnchor="text" w:horzAnchor="page" w:tblpX="1412" w:tblpY="463"/>
        <w:tblOverlap w:val="never"/>
        <w:tblW w:w="9695" w:type="dxa"/>
        <w:tblInd w:w="0" w:type="dxa"/>
        <w:tblLayout w:type="fixed"/>
        <w:tblCellMar>
          <w:top w:w="0" w:type="dxa"/>
          <w:left w:w="0" w:type="dxa"/>
          <w:bottom w:w="0" w:type="dxa"/>
          <w:right w:w="0" w:type="dxa"/>
        </w:tblCellMar>
      </w:tblPr>
      <w:tblGrid>
        <w:gridCol w:w="480"/>
        <w:gridCol w:w="540"/>
        <w:gridCol w:w="1059"/>
        <w:gridCol w:w="630"/>
        <w:gridCol w:w="510"/>
        <w:gridCol w:w="5000"/>
        <w:gridCol w:w="1476"/>
      </w:tblGrid>
      <w:tr>
        <w:tblPrEx>
          <w:tblCellMar>
            <w:top w:w="0" w:type="dxa"/>
            <w:left w:w="0" w:type="dxa"/>
            <w:bottom w:w="0" w:type="dxa"/>
            <w:right w:w="0" w:type="dxa"/>
          </w:tblCellMar>
        </w:tblPrEx>
        <w:trPr>
          <w:trHeight w:val="482" w:hRule="atLeast"/>
        </w:trPr>
        <w:tc>
          <w:tcPr>
            <w:tcW w:w="4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序号</w:t>
            </w:r>
          </w:p>
        </w:tc>
        <w:tc>
          <w:tcPr>
            <w:tcW w:w="54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项目</w:t>
            </w:r>
          </w:p>
        </w:tc>
        <w:tc>
          <w:tcPr>
            <w:tcW w:w="105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子项</w:t>
            </w:r>
          </w:p>
        </w:tc>
        <w:tc>
          <w:tcPr>
            <w:tcW w:w="63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数量</w:t>
            </w:r>
          </w:p>
        </w:tc>
        <w:tc>
          <w:tcPr>
            <w:tcW w:w="51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单位</w:t>
            </w:r>
          </w:p>
        </w:tc>
        <w:tc>
          <w:tcPr>
            <w:tcW w:w="5000" w:type="dxa"/>
            <w:tcBorders>
              <w:top w:val="single" w:color="000000" w:sz="8" w:space="0"/>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备注</w:t>
            </w:r>
          </w:p>
        </w:tc>
        <w:tc>
          <w:tcPr>
            <w:tcW w:w="147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价格（元）</w:t>
            </w:r>
          </w:p>
        </w:tc>
      </w:tr>
      <w:tr>
        <w:tblPrEx>
          <w:tblCellMar>
            <w:top w:w="0" w:type="dxa"/>
            <w:left w:w="0" w:type="dxa"/>
            <w:bottom w:w="0" w:type="dxa"/>
            <w:right w:w="0" w:type="dxa"/>
          </w:tblCellMar>
        </w:tblPrEx>
        <w:trPr>
          <w:trHeight w:val="1155" w:hRule="atLeast"/>
        </w:trPr>
        <w:tc>
          <w:tcPr>
            <w:tcW w:w="48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40" w:type="dxa"/>
            <w:vMerge w:val="restart"/>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小区设施设备一次性投入费用</w:t>
            </w:r>
          </w:p>
        </w:tc>
        <w:tc>
          <w:tcPr>
            <w:tcW w:w="105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分类导引牌</w:t>
            </w:r>
          </w:p>
        </w:tc>
        <w:tc>
          <w:tcPr>
            <w:tcW w:w="63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51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00"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每个小区建设一个，按本招标文件中规定的参数建设。</w:t>
            </w:r>
          </w:p>
        </w:tc>
        <w:tc>
          <w:tcPr>
            <w:tcW w:w="1476" w:type="dxa"/>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1230" w:hRule="atLeast"/>
        </w:trPr>
        <w:tc>
          <w:tcPr>
            <w:tcW w:w="4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0"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5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宣传栏（公示栏）</w:t>
            </w:r>
          </w:p>
        </w:tc>
        <w:tc>
          <w:tcPr>
            <w:tcW w:w="63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51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00"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每个小区建设一个（至2020年1月除孔雀城区域外已交付小区已设置，待新设置小区17个）， 按本招标文件中规定的参数建设。</w:t>
            </w:r>
          </w:p>
        </w:tc>
        <w:tc>
          <w:tcPr>
            <w:tcW w:w="1476" w:type="dxa"/>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72" w:hRule="atLeast"/>
        </w:trPr>
        <w:tc>
          <w:tcPr>
            <w:tcW w:w="4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0"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59"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楼道评比表</w:t>
            </w:r>
          </w:p>
        </w:tc>
        <w:tc>
          <w:tcPr>
            <w:tcW w:w="630" w:type="dxa"/>
            <w:vMerge w:val="restart"/>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342</w:t>
            </w:r>
          </w:p>
        </w:tc>
        <w:tc>
          <w:tcPr>
            <w:tcW w:w="510" w:type="dxa"/>
            <w:vMerge w:val="restart"/>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5000" w:type="dxa"/>
            <w:vMerge w:val="restart"/>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每个楼道1张，2020年17个待制作小区涉及高层、多层342个楼道， 按本招标文件中规定的参数建设。</w:t>
            </w:r>
          </w:p>
        </w:tc>
        <w:tc>
          <w:tcPr>
            <w:tcW w:w="1476"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90" w:hRule="atLeast"/>
        </w:trPr>
        <w:tc>
          <w:tcPr>
            <w:tcW w:w="4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0"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59"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0"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00" w:type="dxa"/>
            <w:vMerge w:val="continue"/>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7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35" w:hRule="atLeast"/>
        </w:trPr>
        <w:tc>
          <w:tcPr>
            <w:tcW w:w="4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0"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59"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定时定点投放点建设、原垃圾桶点位改造</w:t>
            </w:r>
          </w:p>
        </w:tc>
        <w:tc>
          <w:tcPr>
            <w:tcW w:w="630"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510"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00"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每个小区按300户~400户建设一个（2020年需启动66个小区，建设138个投放点，其中街道自建108个包括孔雀城已交付小区15个投放点），原分类垃圾桶点位美化改造。按本招标文件中规定的参数建设。</w:t>
            </w:r>
          </w:p>
        </w:tc>
        <w:tc>
          <w:tcPr>
            <w:tcW w:w="1476" w:type="dxa"/>
            <w:tcBorders>
              <w:top w:val="single" w:color="000000" w:sz="4" w:space="0"/>
              <w:left w:val="single" w:color="000000" w:sz="8" w:space="0"/>
              <w:bottom w:val="nil"/>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1635" w:hRule="atLeast"/>
        </w:trPr>
        <w:tc>
          <w:tcPr>
            <w:tcW w:w="480" w:type="dxa"/>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4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收运车辆</w:t>
            </w:r>
          </w:p>
        </w:tc>
        <w:tc>
          <w:tcPr>
            <w:tcW w:w="105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厢式货车</w:t>
            </w:r>
          </w:p>
        </w:tc>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1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辆</w:t>
            </w:r>
          </w:p>
        </w:tc>
        <w:tc>
          <w:tcPr>
            <w:tcW w:w="5000" w:type="dxa"/>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widowControl/>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用于有害垃圾收运</w:t>
            </w:r>
            <w:r>
              <w:rPr>
                <w:rFonts w:hint="eastAsia" w:ascii="宋体" w:hAnsi="宋体" w:cs="宋体"/>
                <w:color w:val="auto"/>
                <w:kern w:val="0"/>
                <w:szCs w:val="21"/>
                <w:highlight w:val="none"/>
              </w:rPr>
              <w:t>，车辆≧1T≦2T</w:t>
            </w:r>
            <w:r>
              <w:rPr>
                <w:rFonts w:hint="eastAsia" w:ascii="宋体" w:hAnsi="宋体" w:cs="宋体"/>
                <w:color w:val="auto"/>
                <w:kern w:val="0"/>
                <w:szCs w:val="21"/>
                <w:highlight w:val="none"/>
                <w:lang w:bidi="ar"/>
              </w:rPr>
              <w:t>厢体必须密闭，车辆符合道路交通运输规定，取得合法机动车辆行驶证，配摄像头，标识正确齐全、外观整洁。(不计入报价）</w:t>
            </w:r>
          </w:p>
        </w:tc>
        <w:tc>
          <w:tcPr>
            <w:tcW w:w="147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rPr>
              <w:t>/</w:t>
            </w:r>
          </w:p>
        </w:tc>
      </w:tr>
      <w:tr>
        <w:tblPrEx>
          <w:tblCellMar>
            <w:top w:w="0" w:type="dxa"/>
            <w:left w:w="0" w:type="dxa"/>
            <w:bottom w:w="0" w:type="dxa"/>
            <w:right w:w="0" w:type="dxa"/>
          </w:tblCellMar>
        </w:tblPrEx>
        <w:trPr>
          <w:trHeight w:val="1965" w:hRule="atLeast"/>
        </w:trPr>
        <w:tc>
          <w:tcPr>
            <w:tcW w:w="480" w:type="dxa"/>
            <w:tcBorders>
              <w:top w:val="nil"/>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40"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其他不可预见费用</w:t>
            </w:r>
          </w:p>
        </w:tc>
        <w:tc>
          <w:tcPr>
            <w:tcW w:w="1059" w:type="dxa"/>
            <w:tcBorders>
              <w:top w:val="nil"/>
              <w:left w:val="nil"/>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tcBorders>
              <w:top w:val="nil"/>
              <w:left w:val="nil"/>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0" w:type="dxa"/>
            <w:tcBorders>
              <w:top w:val="nil"/>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万元</w:t>
            </w:r>
          </w:p>
        </w:tc>
        <w:tc>
          <w:tcPr>
            <w:tcW w:w="5000"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此项费用是业主为了可能发生的变更增加暂列的准备金额，费用归业主所有。投标人在报价时不得上下浮动，结算时如不发生增加项目则从结算价中扣除本项金额，如发生增加项目则按实际发生金额结算</w:t>
            </w:r>
          </w:p>
        </w:tc>
        <w:tc>
          <w:tcPr>
            <w:tcW w:w="1476" w:type="dxa"/>
            <w:tcBorders>
              <w:top w:val="nil"/>
              <w:left w:val="single" w:color="000000" w:sz="8" w:space="0"/>
              <w:bottom w:val="nil"/>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rPr>
              <w:t>2500000</w:t>
            </w:r>
          </w:p>
        </w:tc>
      </w:tr>
      <w:tr>
        <w:tblPrEx>
          <w:tblCellMar>
            <w:top w:w="0" w:type="dxa"/>
            <w:left w:w="0" w:type="dxa"/>
            <w:bottom w:w="0" w:type="dxa"/>
            <w:right w:w="0" w:type="dxa"/>
          </w:tblCellMar>
        </w:tblPrEx>
        <w:trPr>
          <w:trHeight w:val="840" w:hRule="atLeast"/>
        </w:trPr>
        <w:tc>
          <w:tcPr>
            <w:tcW w:w="8219" w:type="dxa"/>
            <w:gridSpan w:val="6"/>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合计</w:t>
            </w:r>
          </w:p>
        </w:tc>
        <w:tc>
          <w:tcPr>
            <w:tcW w:w="147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p>
        </w:tc>
      </w:tr>
    </w:tbl>
    <w:p>
      <w:pPr>
        <w:pStyle w:val="2"/>
        <w:numPr>
          <w:ilvl w:val="0"/>
          <w:numId w:val="7"/>
        </w:numPr>
        <w:jc w:val="both"/>
        <w:rPr>
          <w:rFonts w:hint="eastAsia"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每年运营费用</w:t>
      </w:r>
    </w:p>
    <w:tbl>
      <w:tblPr>
        <w:tblStyle w:val="26"/>
        <w:tblW w:w="9710" w:type="dxa"/>
        <w:tblInd w:w="-418" w:type="dxa"/>
        <w:tblLayout w:type="autofit"/>
        <w:tblCellMar>
          <w:top w:w="0" w:type="dxa"/>
          <w:left w:w="0" w:type="dxa"/>
          <w:bottom w:w="0" w:type="dxa"/>
          <w:right w:w="0" w:type="dxa"/>
        </w:tblCellMar>
      </w:tblPr>
      <w:tblGrid>
        <w:gridCol w:w="545"/>
        <w:gridCol w:w="505"/>
        <w:gridCol w:w="1812"/>
        <w:gridCol w:w="761"/>
        <w:gridCol w:w="660"/>
        <w:gridCol w:w="3968"/>
        <w:gridCol w:w="1459"/>
      </w:tblGrid>
      <w:tr>
        <w:tblPrEx>
          <w:tblCellMar>
            <w:top w:w="0" w:type="dxa"/>
            <w:left w:w="0" w:type="dxa"/>
            <w:bottom w:w="0" w:type="dxa"/>
            <w:right w:w="0" w:type="dxa"/>
          </w:tblCellMar>
        </w:tblPrEx>
        <w:trPr>
          <w:trHeight w:val="585" w:hRule="atLeast"/>
        </w:trPr>
        <w:tc>
          <w:tcPr>
            <w:tcW w:w="5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序号</w:t>
            </w:r>
          </w:p>
        </w:tc>
        <w:tc>
          <w:tcPr>
            <w:tcW w:w="50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项目</w:t>
            </w:r>
          </w:p>
        </w:tc>
        <w:tc>
          <w:tcPr>
            <w:tcW w:w="18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子项</w:t>
            </w:r>
          </w:p>
        </w:tc>
        <w:tc>
          <w:tcPr>
            <w:tcW w:w="76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数量</w:t>
            </w:r>
          </w:p>
        </w:tc>
        <w:tc>
          <w:tcPr>
            <w:tcW w:w="6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单位</w:t>
            </w:r>
          </w:p>
        </w:tc>
        <w:tc>
          <w:tcPr>
            <w:tcW w:w="3968" w:type="dxa"/>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备注</w:t>
            </w:r>
          </w:p>
        </w:tc>
        <w:tc>
          <w:tcPr>
            <w:tcW w:w="1459" w:type="dxa"/>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2"/>
                <w:szCs w:val="22"/>
                <w:highlight w:val="none"/>
                <w:lang w:bidi="ar"/>
              </w:rPr>
              <w:t>价格（元）</w:t>
            </w:r>
          </w:p>
        </w:tc>
      </w:tr>
      <w:tr>
        <w:tblPrEx>
          <w:tblCellMar>
            <w:top w:w="0" w:type="dxa"/>
            <w:left w:w="0" w:type="dxa"/>
            <w:bottom w:w="0" w:type="dxa"/>
            <w:right w:w="0" w:type="dxa"/>
          </w:tblCellMar>
        </w:tblPrEx>
        <w:trPr>
          <w:trHeight w:val="720" w:hRule="atLeast"/>
        </w:trPr>
        <w:tc>
          <w:tcPr>
            <w:tcW w:w="545" w:type="dxa"/>
            <w:vMerge w:val="restart"/>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05" w:type="dxa"/>
            <w:vMerge w:val="restart"/>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人员经费</w:t>
            </w:r>
          </w:p>
        </w:tc>
        <w:tc>
          <w:tcPr>
            <w:tcW w:w="1812"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项目经理</w:t>
            </w:r>
          </w:p>
        </w:tc>
        <w:tc>
          <w:tcPr>
            <w:tcW w:w="76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0"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w:t>
            </w:r>
          </w:p>
        </w:tc>
        <w:tc>
          <w:tcPr>
            <w:tcW w:w="39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Cs w:val="21"/>
                <w:highlight w:val="none"/>
                <w:lang w:bidi="ar"/>
              </w:rPr>
              <w:t>大专以上学历，有垃圾分类项目成熟运行经验，统筹协调、综合管理能力较强。</w:t>
            </w:r>
          </w:p>
        </w:tc>
        <w:tc>
          <w:tcPr>
            <w:tcW w:w="145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4"/>
                <w:highlight w:val="none"/>
                <w:lang w:bidi="ar"/>
              </w:rPr>
            </w:pPr>
          </w:p>
        </w:tc>
      </w:tr>
      <w:tr>
        <w:tblPrEx>
          <w:tblCellMar>
            <w:top w:w="0" w:type="dxa"/>
            <w:left w:w="0" w:type="dxa"/>
            <w:bottom w:w="0" w:type="dxa"/>
            <w:right w:w="0" w:type="dxa"/>
          </w:tblCellMar>
        </w:tblPrEx>
        <w:trPr>
          <w:trHeight w:val="420" w:hRule="atLeast"/>
        </w:trPr>
        <w:tc>
          <w:tcPr>
            <w:tcW w:w="545"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文员</w:t>
            </w:r>
          </w:p>
        </w:tc>
        <w:tc>
          <w:tcPr>
            <w:tcW w:w="76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6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w:t>
            </w:r>
          </w:p>
        </w:tc>
        <w:tc>
          <w:tcPr>
            <w:tcW w:w="39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大专以上学历，有较好文字总结、台账资料收集管理能力。</w:t>
            </w:r>
          </w:p>
        </w:tc>
        <w:tc>
          <w:tcPr>
            <w:tcW w:w="1459"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495" w:hRule="atLeast"/>
        </w:trPr>
        <w:tc>
          <w:tcPr>
            <w:tcW w:w="545"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宣传员</w:t>
            </w:r>
          </w:p>
        </w:tc>
        <w:tc>
          <w:tcPr>
            <w:tcW w:w="76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w:t>
            </w:r>
          </w:p>
        </w:tc>
        <w:tc>
          <w:tcPr>
            <w:tcW w:w="396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大专以上学历，有较好语言表达、沟通交流、宣传服务能力。</w:t>
            </w:r>
          </w:p>
        </w:tc>
        <w:tc>
          <w:tcPr>
            <w:tcW w:w="145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960" w:hRule="atLeast"/>
        </w:trPr>
        <w:tc>
          <w:tcPr>
            <w:tcW w:w="545"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劝导员(督导员）</w:t>
            </w:r>
          </w:p>
        </w:tc>
        <w:tc>
          <w:tcPr>
            <w:tcW w:w="7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160</w:t>
            </w:r>
          </w:p>
        </w:tc>
        <w:tc>
          <w:tcPr>
            <w:tcW w:w="66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w:t>
            </w:r>
          </w:p>
        </w:tc>
        <w:tc>
          <w:tcPr>
            <w:tcW w:w="396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按每200户配1名，按目前实际居住户数3.2万户计算，配160人，要求具备基本的智能手机操作能力和较好的交流沟通能力。（按实际人数配备结算）</w:t>
            </w:r>
          </w:p>
        </w:tc>
        <w:tc>
          <w:tcPr>
            <w:tcW w:w="145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990" w:hRule="atLeast"/>
        </w:trPr>
        <w:tc>
          <w:tcPr>
            <w:tcW w:w="545"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可回收物、有害垃圾收运人员</w:t>
            </w:r>
          </w:p>
        </w:tc>
        <w:tc>
          <w:tcPr>
            <w:tcW w:w="7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66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w:t>
            </w:r>
          </w:p>
        </w:tc>
        <w:tc>
          <w:tcPr>
            <w:tcW w:w="396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人员车辆自备，对公布可回收物目录中的低价值物按照相关补助标准给予补助；有害垃圾处置按照相关部门补助标准给予补助(此项投标人无需报价）</w:t>
            </w:r>
          </w:p>
        </w:tc>
        <w:tc>
          <w:tcPr>
            <w:tcW w:w="145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0" w:type="dxa"/>
            <w:bottom w:w="0" w:type="dxa"/>
            <w:right w:w="0" w:type="dxa"/>
          </w:tblCellMar>
        </w:tblPrEx>
        <w:trPr>
          <w:trHeight w:val="870" w:hRule="atLeast"/>
        </w:trPr>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日常运营经费</w:t>
            </w:r>
          </w:p>
        </w:tc>
        <w:tc>
          <w:tcPr>
            <w:tcW w:w="1812"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易腐分类垃圾袋</w:t>
            </w:r>
          </w:p>
        </w:tc>
        <w:tc>
          <w:tcPr>
            <w:tcW w:w="7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384000</w:t>
            </w:r>
          </w:p>
        </w:tc>
        <w:tc>
          <w:tcPr>
            <w:tcW w:w="66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卷·年</w:t>
            </w:r>
          </w:p>
        </w:tc>
        <w:tc>
          <w:tcPr>
            <w:tcW w:w="396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每户每月发放1卷（30只/卷）二维码垃圾袋，全年12卷，按目前实际居住户数3.2万户计算，32000户*12月=384000卷（按实际发放结算）</w:t>
            </w:r>
          </w:p>
        </w:tc>
        <w:tc>
          <w:tcPr>
            <w:tcW w:w="145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930" w:hRule="atLeast"/>
        </w:trPr>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其他垃圾标签</w:t>
            </w:r>
          </w:p>
        </w:tc>
        <w:tc>
          <w:tcPr>
            <w:tcW w:w="7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384000</w:t>
            </w:r>
          </w:p>
        </w:tc>
        <w:tc>
          <w:tcPr>
            <w:tcW w:w="66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张·年</w:t>
            </w:r>
          </w:p>
        </w:tc>
        <w:tc>
          <w:tcPr>
            <w:tcW w:w="396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每户每月发放1张（可用30天），全年12张。按目前实际居住户数3.2万户计算，32000户*12月=384000张（按实际发放结算）</w:t>
            </w:r>
          </w:p>
        </w:tc>
        <w:tc>
          <w:tcPr>
            <w:tcW w:w="145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945" w:hRule="atLeast"/>
        </w:trPr>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分类引导牌、宣传栏、评比栏等维护更新</w:t>
            </w:r>
          </w:p>
        </w:tc>
        <w:tc>
          <w:tcPr>
            <w:tcW w:w="7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66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396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已设置分类宣传设施的79个小区做好日常维护、更新</w:t>
            </w:r>
          </w:p>
        </w:tc>
        <w:tc>
          <w:tcPr>
            <w:tcW w:w="14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r>
      <w:tr>
        <w:tblPrEx>
          <w:tblCellMar>
            <w:top w:w="0" w:type="dxa"/>
            <w:left w:w="0" w:type="dxa"/>
            <w:bottom w:w="0" w:type="dxa"/>
            <w:right w:w="0" w:type="dxa"/>
          </w:tblCellMar>
        </w:tblPrEx>
        <w:trPr>
          <w:trHeight w:val="1455" w:hRule="atLeast"/>
        </w:trPr>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智能四分类箱、机械分类箱体维护</w:t>
            </w:r>
          </w:p>
        </w:tc>
        <w:tc>
          <w:tcPr>
            <w:tcW w:w="7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66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396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智能四分类箱确保能正常使用，小区内机械分类箱体内外维护到位，有破损及时维护。</w:t>
            </w:r>
          </w:p>
        </w:tc>
        <w:tc>
          <w:tcPr>
            <w:tcW w:w="14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r>
      <w:tr>
        <w:tblPrEx>
          <w:tblCellMar>
            <w:top w:w="0" w:type="dxa"/>
            <w:left w:w="0" w:type="dxa"/>
            <w:bottom w:w="0" w:type="dxa"/>
            <w:right w:w="0" w:type="dxa"/>
          </w:tblCellMar>
        </w:tblPrEx>
        <w:trPr>
          <w:trHeight w:val="1245" w:hRule="atLeast"/>
        </w:trPr>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定时投放定站点保洁、维护运行</w:t>
            </w:r>
          </w:p>
        </w:tc>
        <w:tc>
          <w:tcPr>
            <w:tcW w:w="7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156</w:t>
            </w:r>
          </w:p>
        </w:tc>
        <w:tc>
          <w:tcPr>
            <w:tcW w:w="660"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396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目前已建分类投放点19个，预计到2020年底共建成156个，投放点日常维护包括水电费（考虑使用空调）、扫码积分设备流量费、桶损耗等。（按实际投入使用点位计算）</w:t>
            </w:r>
          </w:p>
        </w:tc>
        <w:tc>
          <w:tcPr>
            <w:tcW w:w="14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p>
        </w:tc>
      </w:tr>
      <w:tr>
        <w:tblPrEx>
          <w:tblCellMar>
            <w:top w:w="0" w:type="dxa"/>
            <w:left w:w="0" w:type="dxa"/>
            <w:bottom w:w="0" w:type="dxa"/>
            <w:right w:w="0" w:type="dxa"/>
          </w:tblCellMar>
        </w:tblPrEx>
        <w:trPr>
          <w:trHeight w:val="1065" w:hRule="atLeast"/>
        </w:trPr>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居民分类行为奖励积分</w:t>
            </w:r>
          </w:p>
        </w:tc>
        <w:tc>
          <w:tcPr>
            <w:tcW w:w="761" w:type="dxa"/>
            <w:tcBorders>
              <w:top w:val="nil"/>
              <w:left w:val="single" w:color="000000" w:sz="8"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3200</w:t>
            </w:r>
          </w:p>
        </w:tc>
        <w:tc>
          <w:tcPr>
            <w:tcW w:w="660"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w:t>
            </w:r>
          </w:p>
        </w:tc>
        <w:tc>
          <w:tcPr>
            <w:tcW w:w="3968" w:type="dxa"/>
            <w:tcBorders>
              <w:top w:val="single" w:color="000000" w:sz="4" w:space="0"/>
              <w:left w:val="single" w:color="000000" w:sz="4"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具体奖励积分规则见招标需求（按实际产生直接结算）。</w:t>
            </w:r>
          </w:p>
        </w:tc>
        <w:tc>
          <w:tcPr>
            <w:tcW w:w="1459" w:type="dxa"/>
            <w:tcBorders>
              <w:top w:val="single" w:color="000000" w:sz="4" w:space="0"/>
              <w:left w:val="single" w:color="000000" w:sz="4" w:space="0"/>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810" w:hRule="atLeast"/>
        </w:trPr>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single" w:color="000000" w:sz="8" w:space="0"/>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厢式货车运营费</w:t>
            </w:r>
          </w:p>
        </w:tc>
        <w:tc>
          <w:tcPr>
            <w:tcW w:w="761" w:type="dxa"/>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60" w:type="dxa"/>
            <w:tcBorders>
              <w:top w:val="single" w:color="000000" w:sz="8"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辆</w:t>
            </w:r>
          </w:p>
        </w:tc>
        <w:tc>
          <w:tcPr>
            <w:tcW w:w="3968" w:type="dxa"/>
            <w:tcBorders>
              <w:top w:val="single" w:color="000000" w:sz="8" w:space="0"/>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车辆折旧、保险、维修等</w:t>
            </w:r>
          </w:p>
        </w:tc>
        <w:tc>
          <w:tcPr>
            <w:tcW w:w="1459" w:type="dxa"/>
            <w:tcBorders>
              <w:top w:val="single" w:color="000000" w:sz="8" w:space="0"/>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585" w:hRule="atLeast"/>
        </w:trPr>
        <w:tc>
          <w:tcPr>
            <w:tcW w:w="545"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0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宣传费用</w:t>
            </w:r>
          </w:p>
        </w:tc>
        <w:tc>
          <w:tcPr>
            <w:tcW w:w="1812" w:type="dxa"/>
            <w:tcBorders>
              <w:top w:val="single" w:color="000000" w:sz="8"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定时定点启动宣传</w:t>
            </w:r>
          </w:p>
        </w:tc>
        <w:tc>
          <w:tcPr>
            <w:tcW w:w="76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6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396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小区启动定时定点前一次大型宣传服务活动</w:t>
            </w:r>
          </w:p>
        </w:tc>
        <w:tc>
          <w:tcPr>
            <w:tcW w:w="1459"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585" w:hRule="atLeast"/>
        </w:trPr>
        <w:tc>
          <w:tcPr>
            <w:tcW w:w="545"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各小区日常宣传服务活动</w:t>
            </w:r>
          </w:p>
        </w:tc>
        <w:tc>
          <w:tcPr>
            <w:tcW w:w="76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396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每月一次进小区垃圾分类宣传活动</w:t>
            </w:r>
          </w:p>
        </w:tc>
        <w:tc>
          <w:tcPr>
            <w:tcW w:w="14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525" w:hRule="atLeast"/>
        </w:trPr>
        <w:tc>
          <w:tcPr>
            <w:tcW w:w="545"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05"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81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每户宣传资料</w:t>
            </w:r>
          </w:p>
        </w:tc>
        <w:tc>
          <w:tcPr>
            <w:tcW w:w="76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396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居民垃圾分类宣传资料</w:t>
            </w:r>
          </w:p>
        </w:tc>
        <w:tc>
          <w:tcPr>
            <w:tcW w:w="14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525" w:hRule="atLeast"/>
        </w:trPr>
        <w:tc>
          <w:tcPr>
            <w:tcW w:w="8251" w:type="dxa"/>
            <w:gridSpan w:val="6"/>
            <w:tcBorders>
              <w:top w:val="single" w:color="000000" w:sz="8" w:space="0"/>
              <w:left w:val="single" w:color="000000" w:sz="8"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合计</w:t>
            </w:r>
          </w:p>
        </w:tc>
        <w:tc>
          <w:tcPr>
            <w:tcW w:w="14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r>
    </w:tbl>
    <w:p>
      <w:pPr>
        <w:rPr>
          <w:rFonts w:hint="eastAsia"/>
          <w:color w:val="auto"/>
          <w:highlight w:val="none"/>
        </w:rPr>
      </w:pPr>
    </w:p>
    <w:p>
      <w:pPr>
        <w:numPr>
          <w:ilvl w:val="0"/>
          <w:numId w:val="7"/>
        </w:numPr>
        <w:snapToGrid w:val="0"/>
        <w:spacing w:before="50" w:after="50"/>
        <w:rPr>
          <w:rFonts w:hint="eastAsia" w:ascii="宋体" w:hAnsi="宋体" w:cs="宋体"/>
          <w:color w:val="auto"/>
          <w:sz w:val="24"/>
          <w:highlight w:val="none"/>
        </w:rPr>
      </w:pPr>
      <w:r>
        <w:rPr>
          <w:rFonts w:hint="eastAsia" w:ascii="宋体" w:hAnsi="宋体" w:cs="宋体"/>
          <w:color w:val="auto"/>
          <w:sz w:val="24"/>
          <w:highlight w:val="none"/>
        </w:rPr>
        <w:t>总报价：一次性投入部分+每年运营费用=</w:t>
      </w:r>
      <w:r>
        <w:rPr>
          <w:rFonts w:hint="eastAsia" w:ascii="宋体" w:hAnsi="宋体" w:cs="宋体"/>
          <w:color w:val="auto"/>
          <w:sz w:val="24"/>
          <w:highlight w:val="none"/>
          <w:u w:val="single"/>
        </w:rPr>
        <w:t xml:space="preserve">         元</w:t>
      </w:r>
    </w:p>
    <w:p>
      <w:pPr>
        <w:snapToGrid w:val="0"/>
        <w:spacing w:before="50" w:after="50" w:line="360" w:lineRule="auto"/>
        <w:rPr>
          <w:rFonts w:hint="eastAsia" w:ascii="宋体" w:hAnsi="宋体" w:cs="宋体"/>
          <w:color w:val="auto"/>
          <w:sz w:val="24"/>
          <w:highlight w:val="none"/>
        </w:rPr>
      </w:pPr>
    </w:p>
    <w:p>
      <w:pPr>
        <w:spacing w:line="360" w:lineRule="auto"/>
        <w:rPr>
          <w:rFonts w:hint="eastAsia"/>
          <w:b/>
          <w:bCs/>
          <w:color w:val="auto"/>
          <w:highlight w:val="none"/>
        </w:rPr>
      </w:pPr>
      <w:r>
        <w:rPr>
          <w:rFonts w:hint="eastAsia"/>
          <w:b/>
          <w:bCs/>
          <w:color w:val="auto"/>
          <w:highlight w:val="none"/>
        </w:rPr>
        <w:t>注：1.本次招标提供的数量只是暂定数量，采购人有权按实际需要对数量进行调整，调整数量大小不可预计，最终单价仍按中标单价，数量按实际需求数量进行结算，中标供应商不得以此理由向采购人提出索赔。</w:t>
      </w:r>
    </w:p>
    <w:p>
      <w:pPr>
        <w:spacing w:line="360" w:lineRule="auto"/>
        <w:rPr>
          <w:rFonts w:hint="eastAsia"/>
          <w:b/>
          <w:bCs/>
          <w:color w:val="auto"/>
          <w:highlight w:val="none"/>
        </w:rPr>
      </w:pPr>
      <w:r>
        <w:rPr>
          <w:rFonts w:hint="eastAsia"/>
          <w:b/>
          <w:bCs/>
          <w:color w:val="auto"/>
          <w:highlight w:val="none"/>
        </w:rPr>
        <w:t>2.一次性投入部分分年分批次购置投入，投标人需将此部分因素考虑进投标报价中，今后不得以此理由向采购人提出索赔。</w:t>
      </w:r>
    </w:p>
    <w:p>
      <w:pPr>
        <w:rPr>
          <w:rFonts w:hint="eastAsia" w:ascii="宋体" w:hAnsi="宋体" w:cs="宋体"/>
          <w:color w:val="auto"/>
          <w:sz w:val="24"/>
          <w:highlight w:val="none"/>
        </w:rPr>
      </w:pPr>
    </w:p>
    <w:p>
      <w:pPr>
        <w:snapToGrid w:val="0"/>
        <w:spacing w:before="50" w:after="50"/>
        <w:rPr>
          <w:rFonts w:hint="eastAsia" w:ascii="宋体" w:hAnsi="宋体" w:cs="宋体"/>
          <w:color w:val="auto"/>
          <w:spacing w:val="20"/>
          <w:sz w:val="24"/>
          <w:highlight w:val="none"/>
        </w:rPr>
      </w:pPr>
      <w:r>
        <w:rPr>
          <w:rFonts w:hint="eastAsia" w:ascii="宋体" w:hAnsi="宋体" w:cs="宋体"/>
          <w:color w:val="auto"/>
          <w:sz w:val="24"/>
          <w:highlight w:val="none"/>
          <w:lang w:eastAsia="zh-CN"/>
        </w:rPr>
        <w:t>法定代表人或授权委托人</w:t>
      </w:r>
      <w:r>
        <w:rPr>
          <w:rFonts w:hint="eastAsia" w:ascii="宋体" w:hAnsi="宋体" w:cs="宋体"/>
          <w:color w:val="auto"/>
          <w:sz w:val="24"/>
          <w:highlight w:val="none"/>
        </w:rPr>
        <w:t>（签名）：            投标人（加盖公章）：</w:t>
      </w:r>
      <w:r>
        <w:rPr>
          <w:rFonts w:hint="eastAsia" w:ascii="宋体" w:hAnsi="宋体" w:cs="宋体"/>
          <w:color w:val="auto"/>
          <w:spacing w:val="20"/>
          <w:sz w:val="24"/>
          <w:highlight w:val="none"/>
        </w:rPr>
        <w:t xml:space="preserve">              </w:t>
      </w:r>
    </w:p>
    <w:p>
      <w:pPr>
        <w:snapToGrid w:val="0"/>
        <w:spacing w:before="50" w:after="50"/>
        <w:rPr>
          <w:rFonts w:hint="eastAsia" w:ascii="宋体" w:hAnsi="宋体" w:cs="宋体"/>
          <w:color w:val="auto"/>
          <w:spacing w:val="20"/>
          <w:sz w:val="24"/>
          <w:highlight w:val="none"/>
        </w:rPr>
      </w:pPr>
    </w:p>
    <w:p>
      <w:pPr>
        <w:snapToGrid w:val="0"/>
        <w:spacing w:before="50" w:after="50"/>
        <w:jc w:val="right"/>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p>
      <w:pPr>
        <w:snapToGrid w:val="0"/>
        <w:spacing w:before="50" w:after="50" w:line="360" w:lineRule="auto"/>
        <w:rPr>
          <w:rFonts w:hint="eastAsia" w:ascii="宋体" w:hAnsi="宋体" w:cs="宋体"/>
          <w:b/>
          <w:color w:val="auto"/>
          <w:sz w:val="24"/>
          <w:highlight w:val="none"/>
        </w:rPr>
      </w:pPr>
    </w:p>
    <w:p>
      <w:pPr>
        <w:pStyle w:val="62"/>
        <w:spacing w:line="360" w:lineRule="auto"/>
        <w:rPr>
          <w:rFonts w:hint="eastAsia" w:hAnsi="宋体" w:eastAsia="宋体" w:cs="宋体"/>
          <w:color w:val="auto"/>
          <w:sz w:val="24"/>
          <w:szCs w:val="24"/>
          <w:highlight w:val="none"/>
        </w:rPr>
      </w:pPr>
    </w:p>
    <w:p>
      <w:pPr>
        <w:snapToGrid w:val="0"/>
        <w:spacing w:before="50" w:after="50" w:line="360" w:lineRule="auto"/>
        <w:rPr>
          <w:rFonts w:hint="eastAsia"/>
          <w:b/>
          <w:color w:val="auto"/>
          <w:sz w:val="24"/>
          <w:highlight w:val="none"/>
        </w:rPr>
      </w:pPr>
    </w:p>
    <w:p>
      <w:pPr>
        <w:pStyle w:val="2"/>
        <w:rPr>
          <w:rFonts w:hint="eastAsia"/>
          <w:color w:val="auto"/>
          <w:highlight w:val="none"/>
        </w:rPr>
      </w:pPr>
    </w:p>
    <w:p>
      <w:pPr>
        <w:pStyle w:val="2"/>
        <w:rPr>
          <w:rFonts w:hint="eastAsia"/>
          <w:color w:val="auto"/>
          <w:highlight w:val="none"/>
        </w:rPr>
      </w:pPr>
    </w:p>
    <w:p>
      <w:pPr>
        <w:snapToGrid w:val="0"/>
        <w:spacing w:before="50" w:after="50" w:line="360" w:lineRule="auto"/>
        <w:rPr>
          <w:rFonts w:hint="eastAsia"/>
          <w:b/>
          <w:color w:val="auto"/>
          <w:sz w:val="24"/>
          <w:highlight w:val="none"/>
        </w:rPr>
      </w:pPr>
    </w:p>
    <w:p>
      <w:pPr>
        <w:pStyle w:val="14"/>
        <w:snapToGrid w:val="0"/>
        <w:spacing w:before="24" w:beforeLines="10" w:after="24" w:afterLines="10"/>
        <w:rPr>
          <w:rFonts w:hint="eastAsia" w:hAnsi="宋体" w:cs="宋体"/>
          <w:color w:val="auto"/>
          <w:highlight w:val="none"/>
        </w:rPr>
      </w:pPr>
    </w:p>
    <w:p>
      <w:pPr>
        <w:pStyle w:val="14"/>
        <w:snapToGrid w:val="0"/>
        <w:spacing w:before="24" w:beforeLines="10" w:after="24" w:afterLines="10"/>
        <w:rPr>
          <w:rFonts w:hint="eastAsia" w:hAnsi="宋体" w:cs="宋体"/>
          <w:color w:val="auto"/>
          <w:highlight w:val="none"/>
        </w:rPr>
      </w:pPr>
    </w:p>
    <w:p>
      <w:pPr>
        <w:pStyle w:val="14"/>
        <w:snapToGrid w:val="0"/>
        <w:spacing w:before="24" w:beforeLines="10" w:after="24" w:afterLines="10"/>
        <w:rPr>
          <w:rFonts w:hint="eastAsia" w:hAnsi="宋体" w:cs="宋体"/>
          <w:color w:val="auto"/>
          <w:highlight w:val="none"/>
        </w:rPr>
      </w:pPr>
    </w:p>
    <w:p>
      <w:pPr>
        <w:pStyle w:val="14"/>
        <w:snapToGrid w:val="0"/>
        <w:spacing w:before="24" w:beforeLines="10" w:after="24" w:afterLines="10"/>
        <w:rPr>
          <w:rFonts w:hint="eastAsia" w:hAnsi="宋体" w:cs="宋体"/>
          <w:b/>
          <w:color w:val="auto"/>
          <w:highlight w:val="none"/>
        </w:rPr>
      </w:pPr>
      <w:r>
        <w:rPr>
          <w:rFonts w:hint="eastAsia" w:hAnsi="宋体" w:cs="宋体"/>
          <w:color w:val="auto"/>
          <w:highlight w:val="none"/>
        </w:rPr>
        <w:t xml:space="preserve">                              </w:t>
      </w:r>
      <w:r>
        <w:rPr>
          <w:rFonts w:hint="eastAsia" w:hAnsi="宋体" w:cs="宋体"/>
          <w:b/>
          <w:color w:val="auto"/>
          <w:highlight w:val="none"/>
        </w:rPr>
        <w:t xml:space="preserve"> 中小企业声明函</w:t>
      </w:r>
    </w:p>
    <w:p>
      <w:pPr>
        <w:pStyle w:val="14"/>
        <w:snapToGrid w:val="0"/>
        <w:spacing w:before="24" w:beforeLines="10" w:after="24" w:afterLines="10"/>
        <w:rPr>
          <w:rFonts w:hint="eastAsia" w:hAnsi="宋体" w:cs="宋体"/>
          <w:color w:val="auto"/>
          <w:szCs w:val="21"/>
          <w:highlight w:val="none"/>
        </w:rPr>
      </w:pPr>
      <w:r>
        <w:rPr>
          <w:rFonts w:hint="eastAsia" w:hAnsi="宋体" w:cs="宋体"/>
          <w:color w:val="auto"/>
          <w:szCs w:val="21"/>
          <w:highlight w:val="none"/>
        </w:rPr>
        <w:t>本公司着重声明：</w:t>
      </w:r>
    </w:p>
    <w:p>
      <w:pPr>
        <w:pStyle w:val="14"/>
        <w:snapToGrid w:val="0"/>
        <w:spacing w:before="24" w:beforeLines="10" w:after="24" w:afterLines="10"/>
        <w:ind w:firstLine="480" w:firstLineChars="200"/>
        <w:rPr>
          <w:rFonts w:hint="eastAsia" w:hAnsi="宋体" w:cs="宋体"/>
          <w:color w:val="auto"/>
          <w:szCs w:val="21"/>
          <w:highlight w:val="none"/>
        </w:rPr>
      </w:pPr>
      <w:r>
        <w:rPr>
          <w:rFonts w:hint="eastAsia" w:hAnsi="宋体" w:cs="宋体"/>
          <w:color w:val="auto"/>
          <w:szCs w:val="21"/>
          <w:highlight w:val="none"/>
        </w:rPr>
        <w:t>根据《政府采购促进中小企业发展暂行办法》(财库[2011]181号的规定，本公司为</w:t>
      </w:r>
      <w:r>
        <w:rPr>
          <w:rFonts w:hint="eastAsia" w:hAnsi="宋体" w:cs="宋体"/>
          <w:color w:val="auto"/>
          <w:szCs w:val="21"/>
          <w:highlight w:val="none"/>
          <w:u w:val="single"/>
        </w:rPr>
        <w:t xml:space="preserve">    </w:t>
      </w:r>
      <w:r>
        <w:rPr>
          <w:rFonts w:hint="eastAsia" w:hAnsi="宋体" w:cs="宋体"/>
          <w:color w:val="auto"/>
          <w:szCs w:val="21"/>
          <w:highlight w:val="none"/>
        </w:rPr>
        <w:t>型（中、小、微）企业。本公司同时满足以下条件：</w:t>
      </w:r>
    </w:p>
    <w:p>
      <w:pPr>
        <w:pStyle w:val="14"/>
        <w:snapToGrid w:val="0"/>
        <w:spacing w:before="24" w:beforeLines="10" w:after="24" w:afterLines="10"/>
        <w:ind w:firstLine="480" w:firstLineChars="200"/>
        <w:rPr>
          <w:rFonts w:hint="eastAsia" w:hAnsi="宋体" w:cs="宋体"/>
          <w:color w:val="auto"/>
          <w:szCs w:val="21"/>
          <w:highlight w:val="none"/>
        </w:rPr>
      </w:pPr>
      <w:r>
        <w:rPr>
          <w:rFonts w:hint="eastAsia" w:hAnsi="宋体" w:cs="宋体"/>
          <w:color w:val="auto"/>
          <w:szCs w:val="21"/>
          <w:highlight w:val="none"/>
        </w:rPr>
        <w:t xml:space="preserve">（一）符合中小企业划分标准； </w:t>
      </w:r>
    </w:p>
    <w:p>
      <w:pPr>
        <w:pStyle w:val="14"/>
        <w:snapToGrid w:val="0"/>
        <w:spacing w:before="24" w:beforeLines="10" w:after="24" w:afterLines="10"/>
        <w:ind w:firstLine="480" w:firstLineChars="200"/>
        <w:rPr>
          <w:rFonts w:hint="eastAsia" w:hAnsi="宋体" w:cs="宋体"/>
          <w:color w:val="auto"/>
          <w:szCs w:val="21"/>
          <w:highlight w:val="none"/>
        </w:rPr>
      </w:pPr>
      <w:r>
        <w:rPr>
          <w:rFonts w:hint="eastAsia" w:hAnsi="宋体" w:cs="宋体"/>
          <w:color w:val="auto"/>
          <w:szCs w:val="21"/>
          <w:highlight w:val="none"/>
        </w:rPr>
        <w:t xml:space="preserve">（二）提供本企业制造的货物、承担的工程或者服务，或者提供其他中小企业制造的货物。本项所称货物不包括使用大型企业注册商标的货物。  </w:t>
      </w:r>
    </w:p>
    <w:p>
      <w:pPr>
        <w:pStyle w:val="14"/>
        <w:snapToGrid w:val="0"/>
        <w:spacing w:before="24" w:beforeLines="10" w:after="24" w:afterLines="10"/>
        <w:ind w:firstLine="480" w:firstLineChars="200"/>
        <w:rPr>
          <w:rFonts w:hint="eastAsia" w:hAnsi="宋体" w:cs="宋体"/>
          <w:color w:val="auto"/>
          <w:szCs w:val="21"/>
          <w:highlight w:val="none"/>
        </w:rPr>
      </w:pPr>
      <w:r>
        <w:rPr>
          <w:rFonts w:hint="eastAsia" w:hAnsi="宋体" w:cs="宋体"/>
          <w:color w:val="auto"/>
          <w:szCs w:val="21"/>
          <w:highlight w:val="none"/>
        </w:rPr>
        <w:t>（三）本公司参加</w:t>
      </w:r>
      <w:r>
        <w:rPr>
          <w:rFonts w:hint="eastAsia" w:hAnsi="宋体" w:cs="宋体"/>
          <w:color w:val="auto"/>
          <w:highlight w:val="none"/>
          <w:u w:val="single"/>
        </w:rPr>
        <w:t xml:space="preserve">                                  </w:t>
      </w:r>
      <w:r>
        <w:rPr>
          <w:rFonts w:hint="eastAsia" w:hAnsi="宋体" w:cs="宋体"/>
          <w:color w:val="auto"/>
          <w:szCs w:val="21"/>
          <w:highlight w:val="none"/>
        </w:rPr>
        <w:t xml:space="preserve">项目采购活动，由本公司承担工程，提供服务。本公司对上述声明的真实性负责，如有虚假，将依法承担责任。  </w:t>
      </w:r>
    </w:p>
    <w:p>
      <w:pPr>
        <w:pStyle w:val="14"/>
        <w:snapToGrid w:val="0"/>
        <w:spacing w:before="24" w:beforeLines="10" w:after="24" w:afterLines="10"/>
        <w:ind w:firstLine="480" w:firstLineChars="200"/>
        <w:rPr>
          <w:rFonts w:hint="eastAsia" w:hAnsi="宋体" w:cs="宋体"/>
          <w:color w:val="auto"/>
          <w:szCs w:val="21"/>
          <w:highlight w:val="none"/>
        </w:rPr>
      </w:pPr>
      <w:r>
        <w:rPr>
          <w:rFonts w:hint="eastAsia" w:hAnsi="宋体" w:cs="宋体"/>
          <w:color w:val="auto"/>
          <w:szCs w:val="21"/>
          <w:highlight w:val="none"/>
        </w:rPr>
        <w:t xml:space="preserve">                          </w:t>
      </w:r>
    </w:p>
    <w:p>
      <w:pPr>
        <w:pStyle w:val="14"/>
        <w:snapToGrid w:val="0"/>
        <w:spacing w:before="24" w:beforeLines="10" w:after="24" w:afterLines="10"/>
        <w:ind w:firstLine="480" w:firstLineChars="200"/>
        <w:rPr>
          <w:rFonts w:hint="eastAsia" w:hAnsi="宋体" w:cs="宋体"/>
          <w:color w:val="auto"/>
          <w:szCs w:val="21"/>
          <w:highlight w:val="none"/>
        </w:rPr>
      </w:pPr>
      <w:r>
        <w:rPr>
          <w:rFonts w:hint="eastAsia" w:hAnsi="宋体" w:cs="宋体"/>
          <w:color w:val="auto"/>
          <w:szCs w:val="21"/>
          <w:highlight w:val="none"/>
        </w:rPr>
        <w:t xml:space="preserve">                    </w:t>
      </w:r>
    </w:p>
    <w:p>
      <w:pPr>
        <w:pStyle w:val="14"/>
        <w:snapToGrid w:val="0"/>
        <w:spacing w:before="24" w:beforeLines="10" w:after="24" w:afterLines="10"/>
        <w:ind w:firstLine="6000" w:firstLineChars="2500"/>
        <w:rPr>
          <w:rFonts w:hint="eastAsia" w:hAnsi="宋体" w:cs="宋体"/>
          <w:color w:val="auto"/>
          <w:szCs w:val="21"/>
          <w:highlight w:val="none"/>
        </w:rPr>
      </w:pPr>
      <w:r>
        <w:rPr>
          <w:rFonts w:hint="eastAsia" w:hAnsi="宋体" w:cs="宋体"/>
          <w:color w:val="auto"/>
          <w:szCs w:val="21"/>
          <w:highlight w:val="none"/>
        </w:rPr>
        <w:t>投标人（盖章）</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日期：  年   月   日</w:t>
      </w:r>
    </w:p>
    <w:p>
      <w:pPr>
        <w:pStyle w:val="14"/>
        <w:snapToGrid w:val="0"/>
        <w:spacing w:before="0" w:beforeLines="0" w:after="0" w:afterLines="0" w:line="480" w:lineRule="exact"/>
        <w:ind w:firstLine="482" w:firstLineChars="200"/>
        <w:jc w:val="center"/>
        <w:rPr>
          <w:rFonts w:hint="eastAsia" w:hAnsi="宋体" w:cs="宋体"/>
          <w:b/>
          <w:bCs/>
          <w:color w:val="auto"/>
          <w:szCs w:val="21"/>
          <w:highlight w:val="none"/>
        </w:rPr>
      </w:pPr>
    </w:p>
    <w:p>
      <w:pPr>
        <w:pStyle w:val="14"/>
        <w:snapToGrid w:val="0"/>
        <w:spacing w:before="0" w:beforeLines="0" w:after="0" w:afterLines="0" w:line="480" w:lineRule="exact"/>
        <w:ind w:firstLine="482" w:firstLineChars="200"/>
        <w:jc w:val="center"/>
        <w:rPr>
          <w:rFonts w:hint="eastAsia" w:hAnsi="宋体" w:cs="宋体"/>
          <w:b/>
          <w:bCs/>
          <w:color w:val="auto"/>
          <w:szCs w:val="21"/>
          <w:highlight w:val="none"/>
        </w:rPr>
      </w:pPr>
    </w:p>
    <w:p>
      <w:pPr>
        <w:pStyle w:val="14"/>
        <w:snapToGrid w:val="0"/>
        <w:spacing w:before="0" w:beforeLines="0" w:after="0" w:afterLines="0" w:line="480" w:lineRule="exact"/>
        <w:ind w:firstLine="482" w:firstLineChars="200"/>
        <w:jc w:val="center"/>
        <w:rPr>
          <w:rFonts w:hint="eastAsia" w:hAnsi="宋体" w:cs="宋体"/>
          <w:b/>
          <w:bCs/>
          <w:color w:val="auto"/>
          <w:szCs w:val="21"/>
          <w:highlight w:val="none"/>
        </w:rPr>
      </w:pPr>
    </w:p>
    <w:p>
      <w:pPr>
        <w:pStyle w:val="14"/>
        <w:snapToGrid w:val="0"/>
        <w:spacing w:before="0" w:beforeLines="0" w:after="0" w:afterLines="0" w:line="480" w:lineRule="exact"/>
        <w:ind w:firstLine="482" w:firstLineChars="200"/>
        <w:jc w:val="center"/>
        <w:rPr>
          <w:rFonts w:hint="eastAsia" w:hAnsi="宋体" w:cs="宋体"/>
          <w:color w:val="auto"/>
          <w:szCs w:val="21"/>
          <w:highlight w:val="none"/>
        </w:rPr>
      </w:pPr>
      <w:r>
        <w:rPr>
          <w:rFonts w:hint="eastAsia" w:hAnsi="宋体" w:cs="宋体"/>
          <w:b/>
          <w:bCs/>
          <w:color w:val="auto"/>
          <w:szCs w:val="21"/>
          <w:highlight w:val="none"/>
        </w:rPr>
        <w:t>残疾人福利性单位声明函</w:t>
      </w:r>
    </w:p>
    <w:p>
      <w:pPr>
        <w:pStyle w:val="14"/>
        <w:snapToGrid w:val="0"/>
        <w:spacing w:before="0" w:beforeLines="0" w:after="0" w:afterLines="0" w:line="480" w:lineRule="exact"/>
        <w:ind w:firstLine="480" w:firstLineChars="200"/>
        <w:rPr>
          <w:rFonts w:hint="eastAsia" w:hAnsi="宋体" w:cs="宋体"/>
          <w:color w:val="auto"/>
          <w:szCs w:val="21"/>
          <w:highlight w:val="none"/>
        </w:rPr>
      </w:pPr>
      <w:r>
        <w:rPr>
          <w:rFonts w:hint="eastAsia" w:hAnsi="宋体" w:cs="宋体"/>
          <w:color w:val="auto"/>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hAnsi="宋体" w:cs="宋体"/>
          <w:color w:val="auto"/>
          <w:szCs w:val="21"/>
          <w:highlight w:val="none"/>
        </w:rPr>
        <w:br w:type="textWrapping"/>
      </w:r>
      <w:r>
        <w:rPr>
          <w:rFonts w:hint="eastAsia" w:hAnsi="宋体" w:cs="宋体"/>
          <w:color w:val="auto"/>
          <w:szCs w:val="21"/>
          <w:highlight w:val="none"/>
        </w:rPr>
        <w:t>  本单位对上述声明的真实性负责。如有虚假，将依法承担相应责任。</w:t>
      </w:r>
    </w:p>
    <w:p>
      <w:pPr>
        <w:pStyle w:val="14"/>
        <w:snapToGrid w:val="0"/>
        <w:spacing w:before="24" w:beforeLines="10" w:after="24" w:afterLines="10"/>
        <w:ind w:firstLine="480" w:firstLineChars="200"/>
        <w:rPr>
          <w:rFonts w:hint="eastAsia" w:hAnsi="宋体" w:cs="宋体"/>
          <w:color w:val="auto"/>
          <w:szCs w:val="21"/>
          <w:highlight w:val="none"/>
        </w:rPr>
      </w:pPr>
    </w:p>
    <w:p>
      <w:pPr>
        <w:pStyle w:val="14"/>
        <w:snapToGrid w:val="0"/>
        <w:spacing w:before="24" w:beforeLines="10" w:after="24" w:afterLines="10"/>
        <w:ind w:firstLine="480" w:firstLineChars="200"/>
        <w:jc w:val="right"/>
        <w:rPr>
          <w:rFonts w:hint="eastAsia" w:hAnsi="宋体" w:cs="宋体"/>
          <w:color w:val="auto"/>
          <w:szCs w:val="21"/>
          <w:highlight w:val="none"/>
        </w:rPr>
      </w:pPr>
      <w:r>
        <w:rPr>
          <w:rFonts w:hint="eastAsia" w:hAnsi="宋体" w:cs="宋体"/>
          <w:color w:val="auto"/>
          <w:szCs w:val="21"/>
          <w:highlight w:val="none"/>
        </w:rPr>
        <w:t>投标人（盖章）</w:t>
      </w:r>
    </w:p>
    <w:p>
      <w:pPr>
        <w:pStyle w:val="14"/>
        <w:snapToGrid w:val="0"/>
        <w:spacing w:before="24" w:beforeLines="10" w:after="24" w:afterLines="10"/>
        <w:ind w:firstLine="480" w:firstLineChars="200"/>
        <w:rPr>
          <w:rFonts w:hint="eastAsia" w:hAnsi="宋体" w:cs="宋体"/>
          <w:color w:val="auto"/>
          <w:szCs w:val="21"/>
          <w:highlight w:val="none"/>
        </w:rPr>
      </w:pPr>
      <w:r>
        <w:rPr>
          <w:rFonts w:hint="eastAsia" w:hAnsi="宋体" w:cs="宋体"/>
          <w:color w:val="auto"/>
          <w:szCs w:val="21"/>
          <w:highlight w:val="none"/>
        </w:rPr>
        <w:t xml:space="preserve">                                              日期：  年   月   日</w:t>
      </w:r>
    </w:p>
    <w:p>
      <w:pPr>
        <w:pStyle w:val="14"/>
        <w:snapToGrid w:val="0"/>
        <w:spacing w:before="24" w:beforeLines="10" w:after="24" w:afterLines="10"/>
        <w:ind w:firstLine="480" w:firstLineChars="200"/>
        <w:rPr>
          <w:rFonts w:hint="eastAsia" w:hAnsi="宋体" w:cs="宋体"/>
          <w:color w:val="auto"/>
          <w:szCs w:val="21"/>
          <w:highlight w:val="none"/>
        </w:rPr>
      </w:pPr>
      <w:r>
        <w:rPr>
          <w:rFonts w:hint="eastAsia" w:hAnsi="宋体" w:cs="宋体"/>
          <w:color w:val="auto"/>
          <w:szCs w:val="21"/>
          <w:highlight w:val="none"/>
        </w:rPr>
        <w:t xml:space="preserve"> </w:t>
      </w:r>
    </w:p>
    <w:p>
      <w:pPr>
        <w:jc w:val="center"/>
        <w:rPr>
          <w:rFonts w:hint="eastAsia" w:ascii="仿宋" w:hAnsi="仿宋" w:eastAsia="仿宋" w:cs="仿宋"/>
          <w:b/>
          <w:bCs/>
          <w:color w:val="auto"/>
          <w:sz w:val="44"/>
          <w:szCs w:val="44"/>
          <w:highlight w:val="none"/>
        </w:rPr>
      </w:pPr>
    </w:p>
    <w:p>
      <w:pPr>
        <w:jc w:val="center"/>
        <w:rPr>
          <w:rFonts w:hint="eastAsia" w:ascii="仿宋" w:hAnsi="仿宋" w:eastAsia="仿宋" w:cs="仿宋"/>
          <w:b/>
          <w:bCs/>
          <w:color w:val="auto"/>
          <w:sz w:val="44"/>
          <w:szCs w:val="44"/>
          <w:highlight w:val="none"/>
        </w:rPr>
      </w:pPr>
    </w:p>
    <w:p>
      <w:pPr>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质疑函范本</w:t>
      </w:r>
    </w:p>
    <w:p>
      <w:pPr>
        <w:adjustRightInd w:val="0"/>
        <w:snapToGrid w:val="0"/>
        <w:spacing w:before="240" w:beforeLines="100"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一、质疑供应商基本信息</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质疑供应商：</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r>
        <w:rPr>
          <w:rFonts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授权代表：</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联系电话：</w:t>
      </w:r>
      <w:r>
        <w:rPr>
          <w:rFonts w:ascii="仿宋" w:hAnsi="仿宋" w:eastAsia="仿宋" w:cs="仿宋"/>
          <w:color w:val="auto"/>
          <w:sz w:val="32"/>
          <w:szCs w:val="32"/>
          <w:highlight w:val="none"/>
          <w:u w:val="dotted"/>
        </w:rPr>
        <w:t xml:space="preserve">                                           </w:t>
      </w:r>
      <w:r>
        <w:rPr>
          <w:rFonts w:ascii="仿宋" w:hAnsi="仿宋" w:eastAsia="仿宋" w:cs="仿宋"/>
          <w:color w:val="auto"/>
          <w:sz w:val="32"/>
          <w:szCs w:val="32"/>
          <w:highlight w:val="none"/>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ascii="仿宋" w:hAnsi="仿宋" w:eastAsia="仿宋" w:cs="仿宋"/>
          <w:color w:val="auto"/>
          <w:sz w:val="32"/>
          <w:szCs w:val="32"/>
          <w:highlight w:val="none"/>
        </w:rPr>
        <w:t xml:space="preserve"> </w:t>
      </w:r>
      <w:r>
        <w:rPr>
          <w:rFonts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二、质疑项目基本情况</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质疑项目的名称：</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质疑项目的编号：</w:t>
      </w:r>
      <w:r>
        <w:rPr>
          <w:rFonts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包号：</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采购人名称：</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采购文件获取日期：</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三、质疑事项具体内容</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w:t>
      </w:r>
      <w:r>
        <w:rPr>
          <w:rFonts w:ascii="仿宋" w:hAnsi="仿宋" w:eastAsia="仿宋" w:cs="仿宋"/>
          <w:color w:val="auto"/>
          <w:sz w:val="32"/>
          <w:szCs w:val="32"/>
          <w:highlight w:val="none"/>
        </w:rPr>
        <w:t>1</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事实依据：</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法律依据：</w:t>
      </w: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w:t>
      </w:r>
      <w:r>
        <w:rPr>
          <w:rFonts w:ascii="仿宋" w:hAnsi="仿宋" w:eastAsia="仿宋" w:cs="仿宋"/>
          <w:color w:val="auto"/>
          <w:sz w:val="32"/>
          <w:szCs w:val="32"/>
          <w:highlight w:val="none"/>
        </w:rPr>
        <w:t>2</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四、与质疑事项相关的质疑请求</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请求：</w:t>
      </w:r>
      <w:r>
        <w:rPr>
          <w:rFonts w:ascii="仿宋" w:hAnsi="仿宋" w:eastAsia="仿宋" w:cs="仿宋"/>
          <w:color w:val="auto"/>
          <w:sz w:val="32"/>
          <w:szCs w:val="32"/>
          <w:highlight w:val="none"/>
          <w:u w:val="dotted"/>
        </w:rPr>
        <w:t xml:space="preserve">                                               </w:t>
      </w:r>
    </w:p>
    <w:p>
      <w:pPr>
        <w:rPr>
          <w:rFonts w:ascii="仿宋_GB2312" w:eastAsia="仿宋_GB2312"/>
          <w:color w:val="auto"/>
          <w:sz w:val="30"/>
          <w:szCs w:val="30"/>
          <w:highlight w:val="none"/>
        </w:rPr>
      </w:pPr>
      <w:r>
        <w:rPr>
          <w:rFonts w:hint="eastAsia" w:ascii="仿宋_GB2312" w:eastAsia="仿宋_GB2312"/>
          <w:color w:val="auto"/>
          <w:sz w:val="30"/>
          <w:szCs w:val="30"/>
          <w:highlight w:val="none"/>
        </w:rPr>
        <w:t>签字</w:t>
      </w:r>
      <w:r>
        <w:rPr>
          <w:rFonts w:ascii="仿宋_GB2312" w:eastAsia="仿宋_GB2312"/>
          <w:color w:val="auto"/>
          <w:sz w:val="30"/>
          <w:szCs w:val="30"/>
          <w:highlight w:val="none"/>
        </w:rPr>
        <w:t>(</w:t>
      </w:r>
      <w:r>
        <w:rPr>
          <w:rFonts w:hint="eastAsia" w:ascii="仿宋_GB2312" w:eastAsia="仿宋_GB2312"/>
          <w:color w:val="auto"/>
          <w:sz w:val="30"/>
          <w:szCs w:val="30"/>
          <w:highlight w:val="none"/>
        </w:rPr>
        <w:t>签章</w:t>
      </w:r>
      <w:r>
        <w:rPr>
          <w:rFonts w:ascii="仿宋_GB2312" w:eastAsia="仿宋_GB2312"/>
          <w:color w:val="auto"/>
          <w:sz w:val="30"/>
          <w:szCs w:val="30"/>
          <w:highlight w:val="none"/>
        </w:rPr>
        <w:t>)</w:t>
      </w:r>
      <w:r>
        <w:rPr>
          <w:rFonts w:hint="eastAsia" w:ascii="仿宋_GB2312" w:eastAsia="仿宋_GB2312"/>
          <w:color w:val="auto"/>
          <w:sz w:val="30"/>
          <w:szCs w:val="30"/>
          <w:highlight w:val="none"/>
        </w:rPr>
        <w:t>：</w:t>
      </w:r>
      <w:r>
        <w:rPr>
          <w:rFonts w:ascii="仿宋_GB2312" w:eastAsia="仿宋_GB2312"/>
          <w:color w:val="auto"/>
          <w:sz w:val="30"/>
          <w:szCs w:val="30"/>
          <w:highlight w:val="none"/>
        </w:rPr>
        <w:t xml:space="preserve">                   </w:t>
      </w:r>
      <w:r>
        <w:rPr>
          <w:rFonts w:hint="eastAsia" w:ascii="仿宋_GB2312" w:eastAsia="仿宋_GB2312"/>
          <w:color w:val="auto"/>
          <w:sz w:val="30"/>
          <w:szCs w:val="30"/>
          <w:highlight w:val="none"/>
        </w:rPr>
        <w:t>公章：</w:t>
      </w:r>
      <w:r>
        <w:rPr>
          <w:rFonts w:ascii="仿宋_GB2312" w:eastAsia="仿宋_GB2312"/>
          <w:color w:val="auto"/>
          <w:sz w:val="30"/>
          <w:szCs w:val="30"/>
          <w:highlight w:val="none"/>
        </w:rPr>
        <w:t xml:space="preserve">                      </w:t>
      </w:r>
    </w:p>
    <w:p>
      <w:pPr>
        <w:rPr>
          <w:rFonts w:ascii="仿宋_GB2312" w:eastAsia="仿宋_GB2312"/>
          <w:color w:val="auto"/>
          <w:sz w:val="30"/>
          <w:szCs w:val="30"/>
          <w:highlight w:val="none"/>
        </w:rPr>
      </w:pPr>
      <w:r>
        <w:rPr>
          <w:rFonts w:hint="eastAsia" w:ascii="仿宋_GB2312" w:eastAsia="仿宋_GB2312"/>
          <w:color w:val="auto"/>
          <w:sz w:val="30"/>
          <w:szCs w:val="30"/>
          <w:highlight w:val="none"/>
        </w:rPr>
        <w:t>日期：</w:t>
      </w:r>
      <w:r>
        <w:rPr>
          <w:rFonts w:ascii="仿宋_GB2312" w:eastAsia="仿宋_GB2312"/>
          <w:color w:val="auto"/>
          <w:sz w:val="30"/>
          <w:szCs w:val="30"/>
          <w:highlight w:val="none"/>
        </w:rPr>
        <w:t xml:space="preserve">    </w:t>
      </w:r>
    </w:p>
    <w:p>
      <w:pPr>
        <w:adjustRightInd w:val="0"/>
        <w:snapToGrid w:val="0"/>
        <w:spacing w:line="360" w:lineRule="auto"/>
        <w:rPr>
          <w:rFonts w:ascii="仿宋" w:hAnsi="仿宋" w:eastAsia="仿宋" w:cs="仿宋"/>
          <w:color w:val="auto"/>
          <w:sz w:val="32"/>
          <w:szCs w:val="32"/>
          <w:highlight w:val="none"/>
        </w:rPr>
      </w:pPr>
    </w:p>
    <w:p>
      <w:pPr>
        <w:adjustRightInd w:val="0"/>
        <w:snapToGrid w:val="0"/>
        <w:spacing w:line="360" w:lineRule="auto"/>
        <w:rPr>
          <w:rFonts w:ascii="仿宋" w:hAnsi="仿宋" w:eastAsia="仿宋" w:cs="仿宋"/>
          <w:color w:val="auto"/>
          <w:sz w:val="32"/>
          <w:szCs w:val="32"/>
          <w:highlight w:val="none"/>
        </w:rPr>
      </w:pP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r>
        <w:rPr>
          <w:rFonts w:hint="eastAsia" w:ascii="黑体" w:hAnsi="黑体" w:eastAsia="黑体"/>
          <w:b/>
          <w:color w:val="auto"/>
          <w:sz w:val="32"/>
          <w:szCs w:val="32"/>
          <w:highlight w:val="none"/>
        </w:rPr>
        <w:t>质疑函制作说明：</w:t>
      </w:r>
    </w:p>
    <w:p>
      <w:pPr>
        <w:widowControl/>
        <w:ind w:firstLine="640" w:firstLineChars="200"/>
        <w:jc w:val="left"/>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供应商提出质疑时，应提交质疑函和必要的证明材料。</w:t>
      </w:r>
    </w:p>
    <w:p>
      <w:pPr>
        <w:widowControl/>
        <w:ind w:firstLine="640" w:firstLineChars="200"/>
        <w:jc w:val="left"/>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质疑供应商若委托代理人进行质疑的，质疑函应按要求列明“授权代表”的有关内容，并在附件中提交由质疑</w:t>
      </w:r>
      <w:r>
        <w:rPr>
          <w:rFonts w:hint="eastAsia" w:ascii="仿宋_GB2312" w:eastAsia="仿宋_GB2312" w:cs="宋体"/>
          <w:color w:val="auto"/>
          <w:kern w:val="0"/>
          <w:sz w:val="32"/>
          <w:szCs w:val="32"/>
          <w:highlight w:val="none"/>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质疑供应商若对项目的某一分包进行质疑，质疑函中应列明具体分包号。</w:t>
      </w:r>
    </w:p>
    <w:p>
      <w:pPr>
        <w:widowControl/>
        <w:ind w:firstLine="640" w:firstLineChars="200"/>
        <w:jc w:val="left"/>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质疑函的质疑事项应具体、明确，并有必要的事实依据和法律依据。</w:t>
      </w:r>
    </w:p>
    <w:p>
      <w:pPr>
        <w:widowControl/>
        <w:ind w:firstLine="640" w:firstLineChars="200"/>
        <w:jc w:val="left"/>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质疑函的质疑请求应与质疑事项相关。</w:t>
      </w:r>
    </w:p>
    <w:p>
      <w:pPr>
        <w:widowControl/>
        <w:ind w:firstLine="640" w:firstLineChars="200"/>
        <w:jc w:val="left"/>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color w:val="auto"/>
          <w:sz w:val="30"/>
          <w:szCs w:val="30"/>
          <w:highlight w:val="none"/>
        </w:rPr>
      </w:pPr>
    </w:p>
    <w:p>
      <w:pPr>
        <w:snapToGrid w:val="0"/>
        <w:spacing w:before="50" w:after="50" w:line="360" w:lineRule="auto"/>
        <w:rPr>
          <w:rFonts w:hint="eastAsia"/>
          <w:b/>
          <w:color w:val="auto"/>
          <w:sz w:val="24"/>
          <w:highlight w:val="none"/>
        </w:rPr>
      </w:pPr>
    </w:p>
    <w:p>
      <w:pPr>
        <w:snapToGrid w:val="0"/>
        <w:spacing w:before="50" w:after="50" w:line="360" w:lineRule="auto"/>
        <w:rPr>
          <w:rFonts w:hint="eastAsia"/>
          <w:b/>
          <w:color w:val="auto"/>
          <w:sz w:val="24"/>
          <w:highlight w:val="none"/>
        </w:rPr>
      </w:pPr>
    </w:p>
    <w:p>
      <w:pPr>
        <w:snapToGrid w:val="0"/>
        <w:spacing w:before="50" w:after="50" w:line="360" w:lineRule="auto"/>
        <w:rPr>
          <w:rFonts w:hint="eastAsia"/>
          <w:b/>
          <w:color w:val="auto"/>
          <w:sz w:val="24"/>
          <w:highlight w:val="none"/>
        </w:rPr>
      </w:pPr>
    </w:p>
    <w:p>
      <w:pPr>
        <w:snapToGrid w:val="0"/>
        <w:spacing w:before="50" w:after="50" w:line="360" w:lineRule="auto"/>
        <w:rPr>
          <w:rFonts w:hint="eastAsia"/>
          <w:b/>
          <w:color w:val="auto"/>
          <w:sz w:val="24"/>
          <w:highlight w:val="none"/>
        </w:rPr>
      </w:pPr>
    </w:p>
    <w:p>
      <w:pPr>
        <w:snapToGrid w:val="0"/>
        <w:spacing w:before="50" w:after="50" w:line="360" w:lineRule="auto"/>
        <w:rPr>
          <w:rFonts w:hint="eastAsia"/>
          <w:b/>
          <w:color w:val="auto"/>
          <w:sz w:val="24"/>
          <w:highlight w:val="none"/>
        </w:rPr>
      </w:pPr>
    </w:p>
    <w:p>
      <w:pPr>
        <w:jc w:val="center"/>
        <w:rPr>
          <w:rFonts w:hint="eastAsia"/>
          <w:b/>
          <w:color w:val="auto"/>
          <w:sz w:val="44"/>
          <w:szCs w:val="44"/>
          <w:highlight w:val="none"/>
        </w:rPr>
      </w:pPr>
      <w:r>
        <w:rPr>
          <w:rFonts w:hint="eastAsia"/>
          <w:b/>
          <w:color w:val="auto"/>
          <w:sz w:val="44"/>
          <w:szCs w:val="44"/>
          <w:highlight w:val="none"/>
        </w:rPr>
        <w:t>投诉书范本</w:t>
      </w:r>
    </w:p>
    <w:p>
      <w:pP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一、投诉相关主体基本情况</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rPr>
        <w:t>投诉人：</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地     址：</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邮编：</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p>
    <w:p>
      <w:pPr>
        <w:tabs>
          <w:tab w:val="left" w:pos="6510"/>
        </w:tabs>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法定代表人/主要负责人：</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 xml:space="preserve">  </w:t>
      </w:r>
    </w:p>
    <w:p>
      <w:pPr>
        <w:tabs>
          <w:tab w:val="left" w:pos="6510"/>
        </w:tabs>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rPr>
        <w:t>联系电话：</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rPr>
        <w:t>授权代表：</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联系电话</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rPr>
        <w:t>地     址：</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邮编：</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被投诉人1：</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地     址：</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邮编：</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联系人：</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联系电话：</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被投诉人2</w:t>
      </w:r>
    </w:p>
    <w:p>
      <w:pPr>
        <w:rPr>
          <w:rFonts w:ascii="仿宋_GB2312" w:eastAsia="仿宋_GB2312"/>
          <w:color w:val="auto"/>
          <w:sz w:val="32"/>
          <w:szCs w:val="32"/>
          <w:highlight w:val="none"/>
          <w:u w:val="dotted"/>
        </w:rPr>
      </w:pPr>
      <w:r>
        <w:rPr>
          <w:rFonts w:hint="eastAsia" w:ascii="仿宋_GB2312" w:eastAsia="仿宋_GB2312"/>
          <w:color w:val="auto"/>
          <w:sz w:val="32"/>
          <w:szCs w:val="32"/>
          <w:highlight w:val="none"/>
        </w:rPr>
        <w:t>……</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相关供应商：</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地     址：</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邮编：</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联系人：</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联系电话：</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p>
    <w:p>
      <w:pP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二、投诉项目基本情况</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rPr>
        <w:t>采购项目名称：</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采购项目编号：</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包号：</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采购人名称：</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u w:val="single"/>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代理机构名称：</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rPr>
        <w:t>采购文件公告:</w:t>
      </w:r>
      <w:r>
        <w:rPr>
          <w:rFonts w:hint="eastAsia" w:ascii="仿宋_GB2312" w:eastAsia="仿宋_GB2312"/>
          <w:color w:val="auto"/>
          <w:sz w:val="32"/>
          <w:szCs w:val="32"/>
          <w:highlight w:val="none"/>
          <w:u w:val="dotted"/>
        </w:rPr>
        <w:t xml:space="preserve">是/否 </w:t>
      </w:r>
      <w:r>
        <w:rPr>
          <w:rFonts w:hint="eastAsia" w:ascii="仿宋_GB2312" w:eastAsia="仿宋_GB2312"/>
          <w:color w:val="auto"/>
          <w:sz w:val="32"/>
          <w:szCs w:val="32"/>
          <w:highlight w:val="none"/>
        </w:rPr>
        <w:t>公告期限：</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采购结果公告:</w:t>
      </w:r>
      <w:r>
        <w:rPr>
          <w:rFonts w:hint="eastAsia" w:ascii="仿宋_GB2312" w:eastAsia="仿宋_GB2312"/>
          <w:color w:val="auto"/>
          <w:sz w:val="32"/>
          <w:szCs w:val="32"/>
          <w:highlight w:val="none"/>
          <w:u w:val="dotted"/>
        </w:rPr>
        <w:t xml:space="preserve">是/否 </w:t>
      </w:r>
      <w:r>
        <w:rPr>
          <w:rFonts w:hint="eastAsia" w:ascii="仿宋_GB2312" w:eastAsia="仿宋_GB2312"/>
          <w:color w:val="auto"/>
          <w:sz w:val="32"/>
          <w:szCs w:val="32"/>
          <w:highlight w:val="none"/>
        </w:rPr>
        <w:t>公告期限：</w:t>
      </w:r>
      <w:r>
        <w:rPr>
          <w:rFonts w:hint="eastAsia" w:ascii="仿宋_GB2312" w:eastAsia="仿宋_GB2312"/>
          <w:color w:val="auto"/>
          <w:sz w:val="32"/>
          <w:szCs w:val="32"/>
          <w:highlight w:val="none"/>
          <w:u w:val="dotted"/>
        </w:rPr>
        <w:t xml:space="preserve">                        </w:t>
      </w:r>
    </w:p>
    <w:p>
      <w:pP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三、质疑基本情况</w:t>
      </w:r>
    </w:p>
    <w:p>
      <w:pPr>
        <w:ind w:firstLine="640" w:firstLineChars="200"/>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rPr>
        <w:t>投诉人于</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日,向</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提出质疑，质疑事项为：</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 xml:space="preserve">  </w:t>
      </w:r>
    </w:p>
    <w:p>
      <w:pPr>
        <w:ind w:firstLine="480" w:firstLineChars="15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dotted"/>
        </w:rPr>
        <w:t>采购人/代理机构</w:t>
      </w:r>
      <w:r>
        <w:rPr>
          <w:rFonts w:hint="eastAsia" w:ascii="仿宋_GB2312" w:eastAsia="仿宋_GB2312"/>
          <w:color w:val="auto"/>
          <w:sz w:val="32"/>
          <w:szCs w:val="32"/>
          <w:highlight w:val="none"/>
        </w:rPr>
        <w:t>于</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日,就质疑事项作出了答复/没有在法定期限内作出答复。</w:t>
      </w:r>
    </w:p>
    <w:p>
      <w:pP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四、投诉事项具体内容</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投诉事项 1：</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事实依据：</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法律依据：</w:t>
      </w: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u w:val="dotted"/>
        </w:rPr>
        <w:t xml:space="preserve">                                                      </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投诉事项2</w:t>
      </w:r>
    </w:p>
    <w:p>
      <w:pPr>
        <w:rPr>
          <w:rFonts w:hint="eastAsia" w:ascii="仿宋_GB2312" w:eastAsia="仿宋_GB2312"/>
          <w:color w:val="auto"/>
          <w:sz w:val="32"/>
          <w:szCs w:val="32"/>
          <w:highlight w:val="none"/>
          <w:u w:val="dotted"/>
        </w:rPr>
      </w:pPr>
      <w:r>
        <w:rPr>
          <w:rFonts w:hint="eastAsia" w:ascii="仿宋_GB2312" w:eastAsia="仿宋_GB2312"/>
          <w:color w:val="auto"/>
          <w:sz w:val="32"/>
          <w:szCs w:val="32"/>
          <w:highlight w:val="none"/>
        </w:rPr>
        <w:t>……</w:t>
      </w:r>
    </w:p>
    <w:p>
      <w:pP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五、与投诉事项相关的投诉请求</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请求：</w:t>
      </w:r>
      <w:r>
        <w:rPr>
          <w:rFonts w:hint="eastAsia" w:ascii="仿宋_GB2312" w:eastAsia="仿宋_GB2312"/>
          <w:color w:val="auto"/>
          <w:sz w:val="32"/>
          <w:szCs w:val="32"/>
          <w:highlight w:val="none"/>
          <w:u w:val="dotted"/>
        </w:rPr>
        <w:t xml:space="preserve">                                              </w:t>
      </w:r>
      <w:r>
        <w:rPr>
          <w:rFonts w:hint="eastAsia" w:ascii="仿宋_GB2312" w:eastAsia="仿宋_GB2312"/>
          <w:color w:val="auto"/>
          <w:sz w:val="32"/>
          <w:szCs w:val="32"/>
          <w:highlight w:val="none"/>
        </w:rPr>
        <w:t xml:space="preserve"> </w:t>
      </w:r>
    </w:p>
    <w:p>
      <w:pPr>
        <w:rPr>
          <w:rFonts w:hint="eastAsia" w:ascii="仿宋_GB2312" w:eastAsia="仿宋_GB2312"/>
          <w:color w:val="auto"/>
          <w:sz w:val="32"/>
          <w:szCs w:val="32"/>
          <w:highlight w:val="none"/>
          <w:u w:val="single"/>
        </w:rPr>
      </w:pPr>
      <w:r>
        <w:rPr>
          <w:rFonts w:hint="eastAsia" w:ascii="仿宋_GB2312" w:eastAsia="仿宋_GB2312"/>
          <w:color w:val="auto"/>
          <w:sz w:val="32"/>
          <w:szCs w:val="32"/>
          <w:highlight w:val="none"/>
        </w:rPr>
        <w:t xml:space="preserve">                                                                                                    </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签字(签章)：                   公章：                      </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日期：    </w:t>
      </w:r>
    </w:p>
    <w:p>
      <w:pPr>
        <w:rPr>
          <w:rFonts w:hint="eastAsia" w:ascii="黑体" w:hAnsi="黑体" w:eastAsia="黑体"/>
          <w:b/>
          <w:color w:val="auto"/>
          <w:sz w:val="32"/>
          <w:szCs w:val="32"/>
          <w:highlight w:val="none"/>
        </w:rPr>
      </w:pPr>
    </w:p>
    <w:p>
      <w:pPr>
        <w:rPr>
          <w:rFonts w:hint="eastAsia" w:ascii="黑体" w:hAnsi="黑体" w:eastAsia="黑体"/>
          <w:b/>
          <w:color w:val="auto"/>
          <w:sz w:val="32"/>
          <w:szCs w:val="32"/>
          <w:highlight w:val="none"/>
        </w:rPr>
      </w:pPr>
    </w:p>
    <w:p>
      <w:pPr>
        <w:rPr>
          <w:rFonts w:hint="eastAsia" w:ascii="黑体" w:hAnsi="黑体" w:eastAsia="黑体"/>
          <w:b/>
          <w:color w:val="auto"/>
          <w:sz w:val="32"/>
          <w:szCs w:val="32"/>
          <w:highlight w:val="none"/>
        </w:rPr>
      </w:pPr>
    </w:p>
    <w:p>
      <w:pPr>
        <w:rPr>
          <w:rFonts w:hint="eastAsia" w:ascii="黑体" w:hAnsi="黑体" w:eastAsia="黑体"/>
          <w:b/>
          <w:color w:val="auto"/>
          <w:sz w:val="32"/>
          <w:szCs w:val="32"/>
          <w:highlight w:val="none"/>
        </w:rPr>
      </w:pPr>
    </w:p>
    <w:p>
      <w:pPr>
        <w:rPr>
          <w:rFonts w:hint="eastAsia" w:ascii="黑体" w:hAnsi="黑体" w:eastAsia="黑体"/>
          <w:b/>
          <w:color w:val="auto"/>
          <w:sz w:val="32"/>
          <w:szCs w:val="32"/>
          <w:highlight w:val="none"/>
        </w:rPr>
      </w:pPr>
    </w:p>
    <w:p>
      <w:pPr>
        <w:rPr>
          <w:rFonts w:hint="eastAsia" w:ascii="黑体" w:hAnsi="黑体" w:eastAsia="黑体"/>
          <w:b/>
          <w:color w:val="auto"/>
          <w:sz w:val="32"/>
          <w:szCs w:val="32"/>
          <w:highlight w:val="none"/>
        </w:rPr>
      </w:pPr>
      <w:r>
        <w:rPr>
          <w:rFonts w:hint="eastAsia" w:ascii="黑体" w:hAnsi="黑体" w:eastAsia="黑体"/>
          <w:b/>
          <w:color w:val="auto"/>
          <w:sz w:val="32"/>
          <w:szCs w:val="32"/>
          <w:highlight w:val="none"/>
        </w:rPr>
        <w:t>投诉书制作说明：</w:t>
      </w:r>
    </w:p>
    <w:p>
      <w:pPr>
        <w:widowControl/>
        <w:ind w:firstLine="640" w:firstLineChars="200"/>
        <w:rPr>
          <w:rFonts w:hint="eastAsia" w:ascii="仿宋_GB2312" w:eastAsia="仿宋_GB2312" w:cs="宋体"/>
          <w:color w:val="auto"/>
          <w:kern w:val="0"/>
          <w:sz w:val="32"/>
          <w:szCs w:val="32"/>
          <w:highlight w:val="none"/>
        </w:rPr>
      </w:pPr>
      <w:r>
        <w:rPr>
          <w:rFonts w:hint="eastAsia" w:ascii="仿宋_GB2312" w:eastAsia="仿宋_GB2312"/>
          <w:color w:val="auto"/>
          <w:sz w:val="32"/>
          <w:szCs w:val="32"/>
          <w:highlight w:val="none"/>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eastAsia="仿宋_GB2312" w:cs="宋体"/>
          <w:color w:val="auto"/>
          <w:kern w:val="0"/>
          <w:sz w:val="32"/>
          <w:szCs w:val="32"/>
          <w:highlight w:val="none"/>
        </w:rPr>
      </w:pPr>
      <w:r>
        <w:rPr>
          <w:rFonts w:hint="eastAsia" w:ascii="仿宋_GB2312" w:eastAsia="仿宋_GB2312"/>
          <w:color w:val="auto"/>
          <w:sz w:val="32"/>
          <w:szCs w:val="32"/>
          <w:highlight w:val="none"/>
        </w:rPr>
        <w:t>2.投诉人若委托代理人进行投诉的，投诉书应按照要求列明“授权代表”的有关内容，并在附件中提交由</w:t>
      </w:r>
      <w:r>
        <w:rPr>
          <w:rFonts w:hint="eastAsia" w:ascii="仿宋_GB2312" w:eastAsia="仿宋_GB2312" w:cs="宋体"/>
          <w:color w:val="auto"/>
          <w:kern w:val="0"/>
          <w:sz w:val="32"/>
          <w:szCs w:val="32"/>
          <w:highlight w:val="none"/>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3.投诉人若对项目的某一分包进行投诉，投诉书应列明具体分包号。</w:t>
      </w:r>
    </w:p>
    <w:p>
      <w:pPr>
        <w:widowControl/>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4.投诉书应简要列明质疑事项，质疑函、质疑答复等作为附件材料提供。</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5.投诉书的投诉事项应具体、明确，并有必要的事实依据和法律依据。</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6.投诉书的投诉请求应与投诉事项相关。</w:t>
      </w:r>
    </w:p>
    <w:p>
      <w:pPr>
        <w:widowControl/>
        <w:ind w:firstLine="640" w:firstLineChars="200"/>
        <w:jc w:val="left"/>
        <w:rPr>
          <w:rFonts w:hint="eastAsia" w:ascii="仿宋_GB2312" w:eastAsia="仿宋_GB2312" w:cs="宋体"/>
          <w:color w:val="auto"/>
          <w:kern w:val="0"/>
          <w:sz w:val="32"/>
          <w:szCs w:val="32"/>
          <w:highlight w:val="none"/>
        </w:rPr>
      </w:pPr>
      <w:r>
        <w:rPr>
          <w:rFonts w:hint="eastAsia" w:ascii="仿宋_GB2312" w:eastAsia="仿宋_GB2312"/>
          <w:color w:val="auto"/>
          <w:sz w:val="32"/>
          <w:szCs w:val="32"/>
          <w:highlight w:val="none"/>
        </w:rPr>
        <w:t>7.投诉人为自然人的，投诉书应当由本人签字；投诉人为法人或者其他组织的，投诉书应当由法定代表人、主要负责人，或者其授权代表签字或者盖章，并加盖公章。</w:t>
      </w:r>
    </w:p>
    <w:p>
      <w:pPr>
        <w:jc w:val="left"/>
        <w:rPr>
          <w:rFonts w:hint="eastAsia" w:hAnsi="宋体" w:cs="宋体"/>
          <w:color w:val="auto"/>
          <w:highlight w:val="none"/>
        </w:rPr>
      </w:pPr>
      <w:r>
        <w:rPr>
          <w:rFonts w:hint="eastAsia" w:ascii="仿宋_GB2312" w:eastAsia="仿宋_GB2312"/>
          <w:color w:val="auto"/>
          <w:sz w:val="30"/>
          <w:szCs w:val="30"/>
          <w:highlight w:val="none"/>
        </w:rPr>
        <w:t xml:space="preserve">         </w:t>
      </w:r>
      <w:r>
        <w:rPr>
          <w:rFonts w:hint="eastAsia" w:ascii="仿宋_GB2312" w:eastAsia="仿宋_GB2312"/>
          <w:b/>
          <w:color w:val="auto"/>
          <w:sz w:val="30"/>
          <w:szCs w:val="30"/>
          <w:highlight w:val="none"/>
        </w:rPr>
        <w:t xml:space="preserve"> </w:t>
      </w:r>
    </w:p>
    <w:sectPr>
      <w:headerReference r:id="rId6" w:type="default"/>
      <w:footerReference r:id="rId7" w:type="default"/>
      <w:footerReference r:id="rId8" w:type="even"/>
      <w:pgSz w:w="11906" w:h="16838"/>
      <w:pgMar w:top="1440" w:right="1797" w:bottom="1440" w:left="1797" w:header="851" w:footer="992"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70</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JNDZ/SAQAAowMAAA4AAABkcnMvZTJvRG9jLnhtbK1TS27bMBDd F8gdCO5jKQ6SCoLloIWRoEDRFkh6AJoiLQL8gUNb8gXaG3TVTfc9l8/RISU5RbrJohtqhjN8M+/N aHU3GE0OIoBytqFXi5ISYblrld019OvT/WVFCURmW6adFQ09CqB364s3q97XYuk6p1sRCIJYqHvf 0C5GXxcF8E4YBgvnhcWgdMGwiG7YFW1gPaIbXSzL8rboXWh9cFwA4O1mDNIJMbwG0EmpuNg4vjfC xhE1CM0iUoJOeaDr3K2UgsfPUoKIRDcUmcZ8YhG0t+ks1itW7wLzneJTC+w1LbzgZJiyWPQMtWGR kX1Q/0AZxYMDJ+OCO1OMRLIiyOKqfKHNY8e8yFxQavBn0eH/wfJPhy+BqLah15RYZnDgpx/fTz9/ n359I7dJnt5DjVmPHvPi8N4NuDTzPeBlYj3IYNIX+RCMo7jHs7hiiISnR9WyqkoMcYzNDuIXz899 gPggnCHJaGjA6WVR2eEjxDF1TknVrLtXWucJakt6RL2p3t7kF+cQomuLRRKLsdtkxWE7TNS2rj0i sx5XoKEWN54S/cGiwmlbZiPMxnY29j6oXZfXKbUC/t0+Yju5y1RhhJ0K4+wyz2nP0nL87ees539r /Q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8k0Nn9IBAACjAwAADgAAAAAAAAABACAAAAAi AQAAZHJzL2Uyb0RvYy54bWxQSwUGAAAAAAYABgBZAQAAZgUAAAAA ">
              <v:fill on="f" focussize="0,0"/>
              <v:stroke on="f" weight="1.25pt"/>
              <v:imagedata o:title=""/>
              <o:lock v:ext="edit" aspectratio="f"/>
              <v:textbox inset="0mm,0mm,0mm,0mm" style="mso-fit-shape-to-text:t;">
                <w:txbxContent>
                  <w:p>
                    <w:pPr>
                      <w:pStyle w:val="18"/>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70</w:t>
                    </w:r>
                    <w:r>
                      <w:rPr>
                        <w:rFonts w:hint="eastAsia"/>
                      </w:rPr>
                      <w:fldChar w:fldCharType="end"/>
                    </w:r>
                    <w:r>
                      <w:rPr>
                        <w:rFonts w:hint="eastAsia"/>
                      </w:rPr>
                      <w:t xml:space="preserve"> 页</w:t>
                    </w:r>
                  </w:p>
                </w:txbxContent>
              </v:textbox>
            </v:shape>
          </w:pict>
        </mc:Fallback>
      </mc:AlternateConten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firstLine="210" w:firstLineChars="100"/>
      <w:jc w:val="center"/>
      <w:rPr>
        <w:rFonts w:hint="eastAsia"/>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lang/>
                            </w:rPr>
                            <w:t>45</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eastAsia="宋体"/>
                              <w:lang/>
                            </w:rPr>
                            <w:t>70</w:t>
                          </w:r>
                          <w:r>
                            <w:rPr>
                              <w:rFonts w:hint="eastAsia" w:eastAsia="宋体"/>
                            </w:rPr>
                            <w:fldChar w:fldCharType="end"/>
                          </w:r>
                          <w:r>
                            <w:rPr>
                              <w:rFonts w:hint="eastAsia" w:eastAsia="宋体"/>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hZ0EHSAQAAowMAAA4AAABkcnMvZTJvRG9jLnhtbK1TS27bMBDd F8gdCO5rKQbcCoLloIWRoEDRFkhzAJoiLQL8gUNb8gXaG3TVTfc9l8/RISU5QbLJohtqhjN8M+/N aH0zGE2OIoBytqHXi5ISYblrld039OH77duKEojMtkw7Kxp6EkBvNldv1r2vxdJ1TrciEASxUPe+ oV2Mvi4K4J0wDBbOC4tB6YJhEd2wL9rAekQ3uliW5buid6H1wXEBgLfbMUgnxPAaQCel4mLr+MEI G0fUIDSLSAk65YFucrdSCh6/SgkiEt1QZBrziUXQ3qWz2KxZvQ/Md4pPLbDXtPCMk2HKYtEL1JZF Rg5BvYAyigcHTsYFd6YYiWRFkMV1+Uyb+455kbmg1OAvosP/g+Vfjt8CUW1Dl5RYZnDg518/z7// nv/8IKskT++hxqx7j3lx+OgGXJr5HvAysR5kMOmLfAjGUdzTRVwxRMLTo2pZVSWGOMZmB/GLx+c+ QLwTzpBkNDTg9LKo7PgZ4pg6p6Rq1t0qrfMEtSU9oq6q96v84hJCdG2xSGIxdpusOOyGidrOtSdk 1uMKNNTixlOiP1lUOG3LbITZ2M3GwQe17/I6pVbAfzhEbCd3mSqMsFNhnF3mOe1ZWo6nfs56/Lc2 /wB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qFnQQdIBAACjAwAADgAAAAAAAAABACAAAAAi AQAAZHJzL2Uyb0RvYy54bWxQSwUGAAAAAAYABgBZAQAAZgUAAAAA ">
              <v:fill on="f" focussize="0,0"/>
              <v:stroke on="f" weight="1.25pt"/>
              <v:imagedata o:title=""/>
              <o:lock v:ext="edit" aspectratio="f"/>
              <v:textbox inset="0mm,0mm,0mm,0mm" style="mso-fit-shape-to-text:t;">
                <w:txbxContent>
                  <w:p>
                    <w:pPr>
                      <w:pStyle w:val="18"/>
                      <w:rPr>
                        <w:rFonts w:hint="eastAsia"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lang/>
                      </w:rPr>
                      <w:t>45</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eastAsia="宋体"/>
                        <w:lang/>
                      </w:rPr>
                      <w:t>70</w:t>
                    </w:r>
                    <w:r>
                      <w:rPr>
                        <w:rFonts w:hint="eastAsia" w:eastAsia="宋体"/>
                      </w:rPr>
                      <w:fldChar w:fldCharType="end"/>
                    </w:r>
                    <w:r>
                      <w:rPr>
                        <w:rFonts w:hint="eastAsia" w:eastAsia="宋体"/>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lang/>
                            </w:rPr>
                            <w:t>70</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eastAsia="宋体"/>
                              <w:lang/>
                            </w:rPr>
                            <w:t>70</w:t>
                          </w:r>
                          <w:r>
                            <w:rPr>
                              <w:rFonts w:hint="eastAsia" w:eastAsia="宋体"/>
                            </w:rPr>
                            <w:fldChar w:fldCharType="end"/>
                          </w:r>
                          <w:r>
                            <w:rPr>
                              <w:rFonts w:hint="eastAsia" w:eastAsia="宋体"/>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O9WbmzRAQAAowMAAA4AAABkcnMvZTJvRG9jLnhtbK1TS27bMBDd F8gdCO5jKS7SCoLlIIWRIEDRFkh7AJoiLQL8gUNb8gXaG3TVTfc9l8/RISU5RbrJIhtqfnwz73G0 uhmMJgcRQDnb0KtFSYmw3LXK7hr67evdZUUJRGZbpp0VDT0KoDfrizer3tdi6TqnWxEIglioe9/Q LkZfFwXwThgGC+eFxaR0wbCIbtgVbWA9ohtdLMvyXdG70PrguADA6GZM0gkxvATQSam42Di+N8LG ETUIzSJSgk55oOs8rZSCx89SgohENxSZxnxiE7S36SzWK1bvAvOd4tMI7CUjPONkmLLY9Ay1YZGR fVD/QRnFgwMn44I7U4xEsiLI4qp8ps1jx7zIXFBq8GfR4fVg+afDl0BUi5tAiWUGH/z088fp15/T 7+/kbZKn91Bj1aPHujh8cEMqneKAwcR6kMGkL/IhmEdxj2dxxRAJT5eqZVWVmOKYmx3EKZ6u+wDx XjhDktHQgK+XRWWHjxDH0rkkdbPuTmmNcVZrS3pEva7eX+cb5xSia4tNEotx2mTFYTtMFLauPSKz HlegoRY3nhL9YFHhtC2zEWZjOxt7H9Suy+uU+oO/3UccJ0+ZOoywU2N8u8xz2rO0HP/6uerp31r/ B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DvVm5s0QEAAKMDAAAOAAAAAAAAAAEAIAAAACIB AABkcnMvZTJvRG9jLnhtbFBLBQYAAAAABgAGAFkBAABlBQAAAAA= ">
              <v:fill on="f" focussize="0,0"/>
              <v:stroke on="f" weight="1.25pt"/>
              <v:imagedata o:title=""/>
              <o:lock v:ext="edit" aspectratio="f"/>
              <v:textbox inset="0mm,0mm,0mm,0mm" style="mso-fit-shape-to-text:t;">
                <w:txbxContent>
                  <w:p>
                    <w:pPr>
                      <w:pStyle w:val="18"/>
                      <w:rPr>
                        <w:rFonts w:hint="eastAsia"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lang/>
                      </w:rPr>
                      <w:t>70</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eastAsia="宋体"/>
                        <w:lang/>
                      </w:rPr>
                      <w:t>70</w:t>
                    </w:r>
                    <w:r>
                      <w:rPr>
                        <w:rFonts w:hint="eastAsia" w:eastAsia="宋体"/>
                      </w:rPr>
                      <w:fldChar w:fldCharType="end"/>
                    </w:r>
                    <w:r>
                      <w:rPr>
                        <w:rFonts w:hint="eastAsia" w:eastAsia="宋体"/>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0"/>
      </w:rPr>
    </w:pPr>
    <w:r>
      <w:fldChar w:fldCharType="begin"/>
    </w:r>
    <w:r>
      <w:rPr>
        <w:rStyle w:val="30"/>
      </w:rPr>
      <w:instrText xml:space="preserve">PAGE  </w:instrText>
    </w:r>
    <w:r>
      <w:fldChar w:fldCharType="separate"/>
    </w:r>
    <w:r>
      <w:fldChar w:fldCharType="end"/>
    </w:r>
  </w:p>
  <w:p>
    <w:pPr>
      <w:pStyle w:val="1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56BE8"/>
    <w:multiLevelType w:val="singleLevel"/>
    <w:tmpl w:val="CC256BE8"/>
    <w:lvl w:ilvl="0" w:tentative="0">
      <w:start w:val="1"/>
      <w:numFmt w:val="decimal"/>
      <w:suff w:val="nothing"/>
      <w:lvlText w:val="%1、"/>
      <w:lvlJc w:val="left"/>
    </w:lvl>
  </w:abstractNum>
  <w:abstractNum w:abstractNumId="1">
    <w:nsid w:val="D4DE626E"/>
    <w:multiLevelType w:val="singleLevel"/>
    <w:tmpl w:val="D4DE626E"/>
    <w:lvl w:ilvl="0" w:tentative="0">
      <w:start w:val="1"/>
      <w:numFmt w:val="decimal"/>
      <w:lvlText w:val="%1."/>
      <w:lvlJc w:val="left"/>
      <w:pPr>
        <w:tabs>
          <w:tab w:val="left" w:pos="312"/>
        </w:tabs>
      </w:pPr>
    </w:lvl>
  </w:abstractNum>
  <w:abstractNum w:abstractNumId="2">
    <w:nsid w:val="00000012"/>
    <w:multiLevelType w:val="singleLevel"/>
    <w:tmpl w:val="00000012"/>
    <w:lvl w:ilvl="0" w:tentative="0">
      <w:start w:val="1"/>
      <w:numFmt w:val="decimal"/>
      <w:pStyle w:val="12"/>
      <w:lvlText w:val="%1."/>
      <w:lvlJc w:val="left"/>
      <w:pPr>
        <w:tabs>
          <w:tab w:val="left" w:pos="1200"/>
        </w:tabs>
        <w:ind w:left="1200" w:hanging="360"/>
      </w:pPr>
    </w:lvl>
  </w:abstractNum>
  <w:abstractNum w:abstractNumId="3">
    <w:nsid w:val="019F6BBF"/>
    <w:multiLevelType w:val="multilevel"/>
    <w:tmpl w:val="019F6BB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B03202"/>
    <w:multiLevelType w:val="singleLevel"/>
    <w:tmpl w:val="46B03202"/>
    <w:lvl w:ilvl="0" w:tentative="0">
      <w:start w:val="2"/>
      <w:numFmt w:val="decimal"/>
      <w:lvlText w:val="%1."/>
      <w:lvlJc w:val="left"/>
      <w:pPr>
        <w:tabs>
          <w:tab w:val="left" w:pos="312"/>
        </w:tabs>
      </w:pPr>
    </w:lvl>
  </w:abstractNum>
  <w:abstractNum w:abstractNumId="5">
    <w:nsid w:val="5863DD2B"/>
    <w:multiLevelType w:val="singleLevel"/>
    <w:tmpl w:val="5863DD2B"/>
    <w:lvl w:ilvl="0" w:tentative="0">
      <w:start w:val="1"/>
      <w:numFmt w:val="decimal"/>
      <w:lvlText w:val="%1."/>
      <w:lvlJc w:val="left"/>
      <w:pPr>
        <w:tabs>
          <w:tab w:val="left" w:pos="312"/>
        </w:tabs>
      </w:pPr>
    </w:lvl>
  </w:abstractNum>
  <w:abstractNum w:abstractNumId="6">
    <w:nsid w:val="6E230785"/>
    <w:multiLevelType w:val="multilevel"/>
    <w:tmpl w:val="6E230785"/>
    <w:lvl w:ilvl="0" w:tentative="0">
      <w:start w:val="1"/>
      <w:numFmt w:val="bullet"/>
      <w:pStyle w:val="58"/>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FFB"/>
    <w:rsid w:val="000034F3"/>
    <w:rsid w:val="00005DDD"/>
    <w:rsid w:val="00016C26"/>
    <w:rsid w:val="00017B25"/>
    <w:rsid w:val="00020410"/>
    <w:rsid w:val="000235A1"/>
    <w:rsid w:val="00024A31"/>
    <w:rsid w:val="00033659"/>
    <w:rsid w:val="00036714"/>
    <w:rsid w:val="00036F1C"/>
    <w:rsid w:val="000374B7"/>
    <w:rsid w:val="00037662"/>
    <w:rsid w:val="0004043E"/>
    <w:rsid w:val="000410E8"/>
    <w:rsid w:val="00044653"/>
    <w:rsid w:val="0006337E"/>
    <w:rsid w:val="00064DFE"/>
    <w:rsid w:val="00064EBB"/>
    <w:rsid w:val="00071494"/>
    <w:rsid w:val="00072EDB"/>
    <w:rsid w:val="00073479"/>
    <w:rsid w:val="00074A36"/>
    <w:rsid w:val="00074DDA"/>
    <w:rsid w:val="00080228"/>
    <w:rsid w:val="000812B8"/>
    <w:rsid w:val="00082200"/>
    <w:rsid w:val="00084C50"/>
    <w:rsid w:val="00093CFF"/>
    <w:rsid w:val="000965A5"/>
    <w:rsid w:val="00097018"/>
    <w:rsid w:val="00097168"/>
    <w:rsid w:val="000A1534"/>
    <w:rsid w:val="000A15FB"/>
    <w:rsid w:val="000A4FF2"/>
    <w:rsid w:val="000A6D62"/>
    <w:rsid w:val="000B20D6"/>
    <w:rsid w:val="000B3722"/>
    <w:rsid w:val="000B4AB6"/>
    <w:rsid w:val="000B4D88"/>
    <w:rsid w:val="000B5E02"/>
    <w:rsid w:val="000B67C0"/>
    <w:rsid w:val="000B7C27"/>
    <w:rsid w:val="000C46B4"/>
    <w:rsid w:val="000C710B"/>
    <w:rsid w:val="000D5087"/>
    <w:rsid w:val="000D657B"/>
    <w:rsid w:val="000D793F"/>
    <w:rsid w:val="000E378C"/>
    <w:rsid w:val="000E3C6B"/>
    <w:rsid w:val="000E7A16"/>
    <w:rsid w:val="000F265F"/>
    <w:rsid w:val="000F33EC"/>
    <w:rsid w:val="000F5439"/>
    <w:rsid w:val="00101514"/>
    <w:rsid w:val="00101CE5"/>
    <w:rsid w:val="00102A64"/>
    <w:rsid w:val="001067F3"/>
    <w:rsid w:val="00110123"/>
    <w:rsid w:val="00114A57"/>
    <w:rsid w:val="001171C5"/>
    <w:rsid w:val="00117CDA"/>
    <w:rsid w:val="0012228D"/>
    <w:rsid w:val="001257E7"/>
    <w:rsid w:val="00126B25"/>
    <w:rsid w:val="00126BA0"/>
    <w:rsid w:val="0013398F"/>
    <w:rsid w:val="00133F35"/>
    <w:rsid w:val="00134C1E"/>
    <w:rsid w:val="00135402"/>
    <w:rsid w:val="001404D6"/>
    <w:rsid w:val="00140A8F"/>
    <w:rsid w:val="00141E97"/>
    <w:rsid w:val="00143617"/>
    <w:rsid w:val="001439BF"/>
    <w:rsid w:val="00143D78"/>
    <w:rsid w:val="00147AAA"/>
    <w:rsid w:val="00152D0D"/>
    <w:rsid w:val="00153732"/>
    <w:rsid w:val="0015707B"/>
    <w:rsid w:val="00157633"/>
    <w:rsid w:val="0016120E"/>
    <w:rsid w:val="00161421"/>
    <w:rsid w:val="00162D76"/>
    <w:rsid w:val="00163CD3"/>
    <w:rsid w:val="00166A26"/>
    <w:rsid w:val="0017777D"/>
    <w:rsid w:val="001822B4"/>
    <w:rsid w:val="001858DC"/>
    <w:rsid w:val="00187B39"/>
    <w:rsid w:val="00194BA6"/>
    <w:rsid w:val="00195B76"/>
    <w:rsid w:val="00195EF6"/>
    <w:rsid w:val="0019638C"/>
    <w:rsid w:val="00197258"/>
    <w:rsid w:val="001A3C23"/>
    <w:rsid w:val="001B3112"/>
    <w:rsid w:val="001B3C74"/>
    <w:rsid w:val="001C01AC"/>
    <w:rsid w:val="001C027C"/>
    <w:rsid w:val="001C0561"/>
    <w:rsid w:val="001D067E"/>
    <w:rsid w:val="001D451A"/>
    <w:rsid w:val="001E115E"/>
    <w:rsid w:val="001E327E"/>
    <w:rsid w:val="001E6933"/>
    <w:rsid w:val="001E743C"/>
    <w:rsid w:val="001F21FE"/>
    <w:rsid w:val="001F4212"/>
    <w:rsid w:val="001F75AE"/>
    <w:rsid w:val="001F7678"/>
    <w:rsid w:val="00200685"/>
    <w:rsid w:val="00204223"/>
    <w:rsid w:val="00206839"/>
    <w:rsid w:val="0020727B"/>
    <w:rsid w:val="0021068D"/>
    <w:rsid w:val="002108AF"/>
    <w:rsid w:val="0021347A"/>
    <w:rsid w:val="00213878"/>
    <w:rsid w:val="0021478C"/>
    <w:rsid w:val="00220A00"/>
    <w:rsid w:val="0022347E"/>
    <w:rsid w:val="00225234"/>
    <w:rsid w:val="00225769"/>
    <w:rsid w:val="00226FFF"/>
    <w:rsid w:val="002357A2"/>
    <w:rsid w:val="00242502"/>
    <w:rsid w:val="00243BCD"/>
    <w:rsid w:val="00251653"/>
    <w:rsid w:val="00252B22"/>
    <w:rsid w:val="00257A16"/>
    <w:rsid w:val="0026038A"/>
    <w:rsid w:val="0026098C"/>
    <w:rsid w:val="002637FA"/>
    <w:rsid w:val="00271DF5"/>
    <w:rsid w:val="002723CB"/>
    <w:rsid w:val="00273330"/>
    <w:rsid w:val="00274716"/>
    <w:rsid w:val="00274B75"/>
    <w:rsid w:val="00275C84"/>
    <w:rsid w:val="00276FE0"/>
    <w:rsid w:val="00277114"/>
    <w:rsid w:val="0028055A"/>
    <w:rsid w:val="00280C11"/>
    <w:rsid w:val="00281B91"/>
    <w:rsid w:val="00285CBF"/>
    <w:rsid w:val="002872BE"/>
    <w:rsid w:val="002907FD"/>
    <w:rsid w:val="00292BC0"/>
    <w:rsid w:val="00297014"/>
    <w:rsid w:val="002A3897"/>
    <w:rsid w:val="002A4647"/>
    <w:rsid w:val="002A5C14"/>
    <w:rsid w:val="002A7C85"/>
    <w:rsid w:val="002B2776"/>
    <w:rsid w:val="002B2CCE"/>
    <w:rsid w:val="002C2E39"/>
    <w:rsid w:val="002C31D1"/>
    <w:rsid w:val="002C5D98"/>
    <w:rsid w:val="002C70EF"/>
    <w:rsid w:val="002D0DA6"/>
    <w:rsid w:val="002E03E7"/>
    <w:rsid w:val="002E0F75"/>
    <w:rsid w:val="002E27D3"/>
    <w:rsid w:val="002E68A9"/>
    <w:rsid w:val="002E7EF6"/>
    <w:rsid w:val="002F0128"/>
    <w:rsid w:val="002F2808"/>
    <w:rsid w:val="002F2C8F"/>
    <w:rsid w:val="002F4A55"/>
    <w:rsid w:val="002F6A68"/>
    <w:rsid w:val="002F7DF1"/>
    <w:rsid w:val="002F7EFD"/>
    <w:rsid w:val="00302841"/>
    <w:rsid w:val="00304A8F"/>
    <w:rsid w:val="0030799B"/>
    <w:rsid w:val="003105AE"/>
    <w:rsid w:val="00312DFA"/>
    <w:rsid w:val="00314BC2"/>
    <w:rsid w:val="00316CA9"/>
    <w:rsid w:val="00321F46"/>
    <w:rsid w:val="00323D6A"/>
    <w:rsid w:val="0032431D"/>
    <w:rsid w:val="0032536D"/>
    <w:rsid w:val="003273D4"/>
    <w:rsid w:val="00330583"/>
    <w:rsid w:val="00330BE7"/>
    <w:rsid w:val="0033140D"/>
    <w:rsid w:val="0033313F"/>
    <w:rsid w:val="0033382E"/>
    <w:rsid w:val="00334955"/>
    <w:rsid w:val="003354C6"/>
    <w:rsid w:val="003356A8"/>
    <w:rsid w:val="00335930"/>
    <w:rsid w:val="00335A2C"/>
    <w:rsid w:val="00336681"/>
    <w:rsid w:val="00342437"/>
    <w:rsid w:val="00345946"/>
    <w:rsid w:val="00347D1A"/>
    <w:rsid w:val="0035298F"/>
    <w:rsid w:val="00355321"/>
    <w:rsid w:val="00360034"/>
    <w:rsid w:val="003616B6"/>
    <w:rsid w:val="00362368"/>
    <w:rsid w:val="00362955"/>
    <w:rsid w:val="00365445"/>
    <w:rsid w:val="00366093"/>
    <w:rsid w:val="0037289E"/>
    <w:rsid w:val="00376D30"/>
    <w:rsid w:val="0038071C"/>
    <w:rsid w:val="00381094"/>
    <w:rsid w:val="00385F83"/>
    <w:rsid w:val="003862B5"/>
    <w:rsid w:val="00390DDD"/>
    <w:rsid w:val="0039135B"/>
    <w:rsid w:val="003927AC"/>
    <w:rsid w:val="00392C48"/>
    <w:rsid w:val="00392CE0"/>
    <w:rsid w:val="00394E2C"/>
    <w:rsid w:val="003970FD"/>
    <w:rsid w:val="00397D6E"/>
    <w:rsid w:val="003A0F0A"/>
    <w:rsid w:val="003A1C9F"/>
    <w:rsid w:val="003A1E47"/>
    <w:rsid w:val="003A37CB"/>
    <w:rsid w:val="003A46D0"/>
    <w:rsid w:val="003A5543"/>
    <w:rsid w:val="003A5A96"/>
    <w:rsid w:val="003A78EA"/>
    <w:rsid w:val="003B1004"/>
    <w:rsid w:val="003B17D1"/>
    <w:rsid w:val="003C2787"/>
    <w:rsid w:val="003C2881"/>
    <w:rsid w:val="003C5D8F"/>
    <w:rsid w:val="003C68DC"/>
    <w:rsid w:val="003D0C60"/>
    <w:rsid w:val="003D4935"/>
    <w:rsid w:val="003D4A0E"/>
    <w:rsid w:val="003D7C83"/>
    <w:rsid w:val="003E45A1"/>
    <w:rsid w:val="003E74F0"/>
    <w:rsid w:val="003F04F6"/>
    <w:rsid w:val="003F2693"/>
    <w:rsid w:val="003F353D"/>
    <w:rsid w:val="003F45C1"/>
    <w:rsid w:val="0040242B"/>
    <w:rsid w:val="00404EF6"/>
    <w:rsid w:val="00405D6F"/>
    <w:rsid w:val="0040778C"/>
    <w:rsid w:val="00411F32"/>
    <w:rsid w:val="00412199"/>
    <w:rsid w:val="004122AF"/>
    <w:rsid w:val="00412763"/>
    <w:rsid w:val="00413859"/>
    <w:rsid w:val="00416040"/>
    <w:rsid w:val="0041652D"/>
    <w:rsid w:val="00420C20"/>
    <w:rsid w:val="00425B22"/>
    <w:rsid w:val="00426486"/>
    <w:rsid w:val="00432722"/>
    <w:rsid w:val="00433A52"/>
    <w:rsid w:val="00435373"/>
    <w:rsid w:val="00445F49"/>
    <w:rsid w:val="00463DE6"/>
    <w:rsid w:val="00466628"/>
    <w:rsid w:val="00466DBB"/>
    <w:rsid w:val="00471167"/>
    <w:rsid w:val="00471D78"/>
    <w:rsid w:val="0047337C"/>
    <w:rsid w:val="00475ACD"/>
    <w:rsid w:val="0048155D"/>
    <w:rsid w:val="00484D32"/>
    <w:rsid w:val="0048518E"/>
    <w:rsid w:val="004929B1"/>
    <w:rsid w:val="004939A1"/>
    <w:rsid w:val="00493B3D"/>
    <w:rsid w:val="00495656"/>
    <w:rsid w:val="004A14B1"/>
    <w:rsid w:val="004A1DB5"/>
    <w:rsid w:val="004A290E"/>
    <w:rsid w:val="004A6E4A"/>
    <w:rsid w:val="004C0065"/>
    <w:rsid w:val="004C0DBE"/>
    <w:rsid w:val="004C30A9"/>
    <w:rsid w:val="004C30F4"/>
    <w:rsid w:val="004C4E52"/>
    <w:rsid w:val="004C5917"/>
    <w:rsid w:val="004C68E3"/>
    <w:rsid w:val="004C7272"/>
    <w:rsid w:val="004D03A0"/>
    <w:rsid w:val="004D5AAB"/>
    <w:rsid w:val="004D5B4C"/>
    <w:rsid w:val="004D6CE4"/>
    <w:rsid w:val="004E30BA"/>
    <w:rsid w:val="004F1594"/>
    <w:rsid w:val="004F75A6"/>
    <w:rsid w:val="00500567"/>
    <w:rsid w:val="00500F76"/>
    <w:rsid w:val="005021F2"/>
    <w:rsid w:val="00502CA7"/>
    <w:rsid w:val="005034F5"/>
    <w:rsid w:val="00507F0C"/>
    <w:rsid w:val="00510249"/>
    <w:rsid w:val="005126BD"/>
    <w:rsid w:val="0051386E"/>
    <w:rsid w:val="00513AFE"/>
    <w:rsid w:val="00514871"/>
    <w:rsid w:val="00515593"/>
    <w:rsid w:val="00515BE2"/>
    <w:rsid w:val="00516008"/>
    <w:rsid w:val="005213C6"/>
    <w:rsid w:val="005220C6"/>
    <w:rsid w:val="00523A2F"/>
    <w:rsid w:val="00524D2C"/>
    <w:rsid w:val="00526CAD"/>
    <w:rsid w:val="00530EBA"/>
    <w:rsid w:val="00530FFC"/>
    <w:rsid w:val="00532136"/>
    <w:rsid w:val="005323D4"/>
    <w:rsid w:val="00533FE9"/>
    <w:rsid w:val="005359E8"/>
    <w:rsid w:val="00537090"/>
    <w:rsid w:val="00537720"/>
    <w:rsid w:val="00540814"/>
    <w:rsid w:val="00541A10"/>
    <w:rsid w:val="005440A4"/>
    <w:rsid w:val="00544437"/>
    <w:rsid w:val="00546EEA"/>
    <w:rsid w:val="0054798E"/>
    <w:rsid w:val="00550419"/>
    <w:rsid w:val="005522D9"/>
    <w:rsid w:val="005550BE"/>
    <w:rsid w:val="00561332"/>
    <w:rsid w:val="00562957"/>
    <w:rsid w:val="00563120"/>
    <w:rsid w:val="00567F16"/>
    <w:rsid w:val="00571310"/>
    <w:rsid w:val="00571CC8"/>
    <w:rsid w:val="00574609"/>
    <w:rsid w:val="00574760"/>
    <w:rsid w:val="005756D3"/>
    <w:rsid w:val="00577F8E"/>
    <w:rsid w:val="00580228"/>
    <w:rsid w:val="005840C4"/>
    <w:rsid w:val="00585EFC"/>
    <w:rsid w:val="0058715C"/>
    <w:rsid w:val="005909DA"/>
    <w:rsid w:val="00591484"/>
    <w:rsid w:val="005919C7"/>
    <w:rsid w:val="00592297"/>
    <w:rsid w:val="00595D73"/>
    <w:rsid w:val="00597155"/>
    <w:rsid w:val="005A092E"/>
    <w:rsid w:val="005A09E1"/>
    <w:rsid w:val="005A12BA"/>
    <w:rsid w:val="005A162D"/>
    <w:rsid w:val="005A2290"/>
    <w:rsid w:val="005A4BB1"/>
    <w:rsid w:val="005A5229"/>
    <w:rsid w:val="005A557D"/>
    <w:rsid w:val="005A5944"/>
    <w:rsid w:val="005A7158"/>
    <w:rsid w:val="005B14B5"/>
    <w:rsid w:val="005B2535"/>
    <w:rsid w:val="005B2CEE"/>
    <w:rsid w:val="005B5ED9"/>
    <w:rsid w:val="005C512E"/>
    <w:rsid w:val="005C6D13"/>
    <w:rsid w:val="005D169A"/>
    <w:rsid w:val="005D3154"/>
    <w:rsid w:val="005E2C8E"/>
    <w:rsid w:val="005E337D"/>
    <w:rsid w:val="005E789F"/>
    <w:rsid w:val="005F2B9E"/>
    <w:rsid w:val="005F354E"/>
    <w:rsid w:val="005F3986"/>
    <w:rsid w:val="005F4903"/>
    <w:rsid w:val="005F5D31"/>
    <w:rsid w:val="005F6D77"/>
    <w:rsid w:val="00602466"/>
    <w:rsid w:val="00602B8E"/>
    <w:rsid w:val="0060445F"/>
    <w:rsid w:val="0060508E"/>
    <w:rsid w:val="0061036E"/>
    <w:rsid w:val="00611B1B"/>
    <w:rsid w:val="006145C4"/>
    <w:rsid w:val="00615F15"/>
    <w:rsid w:val="00622644"/>
    <w:rsid w:val="00624A21"/>
    <w:rsid w:val="00624CAB"/>
    <w:rsid w:val="00624D25"/>
    <w:rsid w:val="00625CB8"/>
    <w:rsid w:val="00630187"/>
    <w:rsid w:val="00634452"/>
    <w:rsid w:val="0063573D"/>
    <w:rsid w:val="0063683E"/>
    <w:rsid w:val="00641FA5"/>
    <w:rsid w:val="00643793"/>
    <w:rsid w:val="00643F10"/>
    <w:rsid w:val="006448F0"/>
    <w:rsid w:val="00644F06"/>
    <w:rsid w:val="00647EED"/>
    <w:rsid w:val="00647FB5"/>
    <w:rsid w:val="006513EC"/>
    <w:rsid w:val="00651DA6"/>
    <w:rsid w:val="00653CA4"/>
    <w:rsid w:val="00655525"/>
    <w:rsid w:val="006571F2"/>
    <w:rsid w:val="00661CB6"/>
    <w:rsid w:val="00663CF6"/>
    <w:rsid w:val="00665A48"/>
    <w:rsid w:val="00674D54"/>
    <w:rsid w:val="0067632E"/>
    <w:rsid w:val="0067779C"/>
    <w:rsid w:val="00680971"/>
    <w:rsid w:val="00684532"/>
    <w:rsid w:val="006850CC"/>
    <w:rsid w:val="00690743"/>
    <w:rsid w:val="006962A6"/>
    <w:rsid w:val="00697E42"/>
    <w:rsid w:val="006A0393"/>
    <w:rsid w:val="006A116B"/>
    <w:rsid w:val="006A27D1"/>
    <w:rsid w:val="006A2AA5"/>
    <w:rsid w:val="006A42D6"/>
    <w:rsid w:val="006A6828"/>
    <w:rsid w:val="006A6C55"/>
    <w:rsid w:val="006A7E19"/>
    <w:rsid w:val="006B0506"/>
    <w:rsid w:val="006B281A"/>
    <w:rsid w:val="006C177B"/>
    <w:rsid w:val="006C1882"/>
    <w:rsid w:val="006C22F0"/>
    <w:rsid w:val="006C267D"/>
    <w:rsid w:val="006C33DA"/>
    <w:rsid w:val="006C39B4"/>
    <w:rsid w:val="006D15C0"/>
    <w:rsid w:val="006D2100"/>
    <w:rsid w:val="006D26F5"/>
    <w:rsid w:val="006D457B"/>
    <w:rsid w:val="006D47CA"/>
    <w:rsid w:val="006D4DBA"/>
    <w:rsid w:val="006D61F7"/>
    <w:rsid w:val="006D6AEB"/>
    <w:rsid w:val="006D7B1D"/>
    <w:rsid w:val="006E3E34"/>
    <w:rsid w:val="006F34BC"/>
    <w:rsid w:val="006F3D56"/>
    <w:rsid w:val="006F5D5E"/>
    <w:rsid w:val="006F65D4"/>
    <w:rsid w:val="00706B6F"/>
    <w:rsid w:val="00707850"/>
    <w:rsid w:val="0071051A"/>
    <w:rsid w:val="00711B06"/>
    <w:rsid w:val="00712FBD"/>
    <w:rsid w:val="00720113"/>
    <w:rsid w:val="007219B0"/>
    <w:rsid w:val="0072586C"/>
    <w:rsid w:val="00727E77"/>
    <w:rsid w:val="00730C98"/>
    <w:rsid w:val="00732650"/>
    <w:rsid w:val="00733458"/>
    <w:rsid w:val="00733D9E"/>
    <w:rsid w:val="00735080"/>
    <w:rsid w:val="00736A2A"/>
    <w:rsid w:val="00742804"/>
    <w:rsid w:val="007442C8"/>
    <w:rsid w:val="007447D2"/>
    <w:rsid w:val="00751917"/>
    <w:rsid w:val="00751D31"/>
    <w:rsid w:val="00754068"/>
    <w:rsid w:val="0075479E"/>
    <w:rsid w:val="0075544A"/>
    <w:rsid w:val="007559C5"/>
    <w:rsid w:val="00756F43"/>
    <w:rsid w:val="00760CAF"/>
    <w:rsid w:val="007751F2"/>
    <w:rsid w:val="0077545B"/>
    <w:rsid w:val="00776203"/>
    <w:rsid w:val="00777A6A"/>
    <w:rsid w:val="00783EDB"/>
    <w:rsid w:val="00790FDC"/>
    <w:rsid w:val="00796844"/>
    <w:rsid w:val="00797AB2"/>
    <w:rsid w:val="007A04CA"/>
    <w:rsid w:val="007B2B95"/>
    <w:rsid w:val="007B4C6E"/>
    <w:rsid w:val="007B64E1"/>
    <w:rsid w:val="007C05E7"/>
    <w:rsid w:val="007C0D43"/>
    <w:rsid w:val="007C1B7F"/>
    <w:rsid w:val="007C39A6"/>
    <w:rsid w:val="007C730C"/>
    <w:rsid w:val="007D14C0"/>
    <w:rsid w:val="007D1B5E"/>
    <w:rsid w:val="007D68B1"/>
    <w:rsid w:val="007D718B"/>
    <w:rsid w:val="007E421A"/>
    <w:rsid w:val="007E6F98"/>
    <w:rsid w:val="007F1254"/>
    <w:rsid w:val="007F1DAD"/>
    <w:rsid w:val="007F24D3"/>
    <w:rsid w:val="007F5612"/>
    <w:rsid w:val="007F5CB9"/>
    <w:rsid w:val="007F74BB"/>
    <w:rsid w:val="00803AB2"/>
    <w:rsid w:val="00803AB7"/>
    <w:rsid w:val="00803E22"/>
    <w:rsid w:val="00804C0B"/>
    <w:rsid w:val="008105E7"/>
    <w:rsid w:val="00815153"/>
    <w:rsid w:val="0081737C"/>
    <w:rsid w:val="0082030B"/>
    <w:rsid w:val="00822D27"/>
    <w:rsid w:val="00825A40"/>
    <w:rsid w:val="008365CC"/>
    <w:rsid w:val="00836C7A"/>
    <w:rsid w:val="00843746"/>
    <w:rsid w:val="0084483E"/>
    <w:rsid w:val="00847E2F"/>
    <w:rsid w:val="0085153E"/>
    <w:rsid w:val="008562D5"/>
    <w:rsid w:val="00862566"/>
    <w:rsid w:val="008644F1"/>
    <w:rsid w:val="0086556E"/>
    <w:rsid w:val="00865D28"/>
    <w:rsid w:val="008702B8"/>
    <w:rsid w:val="008703B7"/>
    <w:rsid w:val="00870759"/>
    <w:rsid w:val="0087101F"/>
    <w:rsid w:val="0087260E"/>
    <w:rsid w:val="008752A3"/>
    <w:rsid w:val="0088046F"/>
    <w:rsid w:val="00883BBC"/>
    <w:rsid w:val="00883E54"/>
    <w:rsid w:val="00884135"/>
    <w:rsid w:val="008866E9"/>
    <w:rsid w:val="00891CE1"/>
    <w:rsid w:val="00892A33"/>
    <w:rsid w:val="00892A7C"/>
    <w:rsid w:val="008935FA"/>
    <w:rsid w:val="008A328F"/>
    <w:rsid w:val="008A43A2"/>
    <w:rsid w:val="008A4FC0"/>
    <w:rsid w:val="008A6E6F"/>
    <w:rsid w:val="008A75BD"/>
    <w:rsid w:val="008B0EB8"/>
    <w:rsid w:val="008B14FF"/>
    <w:rsid w:val="008B1F98"/>
    <w:rsid w:val="008B2403"/>
    <w:rsid w:val="008B272E"/>
    <w:rsid w:val="008B5818"/>
    <w:rsid w:val="008B5D45"/>
    <w:rsid w:val="008B730D"/>
    <w:rsid w:val="008B7725"/>
    <w:rsid w:val="008C076B"/>
    <w:rsid w:val="008C21D2"/>
    <w:rsid w:val="008D36A1"/>
    <w:rsid w:val="008D589E"/>
    <w:rsid w:val="008D738A"/>
    <w:rsid w:val="008E1688"/>
    <w:rsid w:val="008E17E1"/>
    <w:rsid w:val="008E29CC"/>
    <w:rsid w:val="008E2C70"/>
    <w:rsid w:val="008E5FC1"/>
    <w:rsid w:val="008E661C"/>
    <w:rsid w:val="008E7F3E"/>
    <w:rsid w:val="008F0DC6"/>
    <w:rsid w:val="008F397C"/>
    <w:rsid w:val="008F6534"/>
    <w:rsid w:val="00900330"/>
    <w:rsid w:val="00900E8F"/>
    <w:rsid w:val="0090277E"/>
    <w:rsid w:val="00904F18"/>
    <w:rsid w:val="00905143"/>
    <w:rsid w:val="00905277"/>
    <w:rsid w:val="00906158"/>
    <w:rsid w:val="0090700F"/>
    <w:rsid w:val="00913909"/>
    <w:rsid w:val="00921A3F"/>
    <w:rsid w:val="009307AF"/>
    <w:rsid w:val="00930A32"/>
    <w:rsid w:val="009333E0"/>
    <w:rsid w:val="00934D9A"/>
    <w:rsid w:val="00945586"/>
    <w:rsid w:val="00946645"/>
    <w:rsid w:val="00946694"/>
    <w:rsid w:val="00946BFC"/>
    <w:rsid w:val="009504D0"/>
    <w:rsid w:val="00951CCF"/>
    <w:rsid w:val="00952BF3"/>
    <w:rsid w:val="00952F54"/>
    <w:rsid w:val="00960991"/>
    <w:rsid w:val="009616B5"/>
    <w:rsid w:val="00961C32"/>
    <w:rsid w:val="00963018"/>
    <w:rsid w:val="00964364"/>
    <w:rsid w:val="009723D6"/>
    <w:rsid w:val="0097662B"/>
    <w:rsid w:val="00980D34"/>
    <w:rsid w:val="009818AD"/>
    <w:rsid w:val="00984188"/>
    <w:rsid w:val="00984C49"/>
    <w:rsid w:val="009922F8"/>
    <w:rsid w:val="0099740B"/>
    <w:rsid w:val="009A008B"/>
    <w:rsid w:val="009A014F"/>
    <w:rsid w:val="009A01FD"/>
    <w:rsid w:val="009A1F10"/>
    <w:rsid w:val="009B17A5"/>
    <w:rsid w:val="009B1D6F"/>
    <w:rsid w:val="009B20F2"/>
    <w:rsid w:val="009B3CE5"/>
    <w:rsid w:val="009B6FCC"/>
    <w:rsid w:val="009C158A"/>
    <w:rsid w:val="009C30BF"/>
    <w:rsid w:val="009C47D3"/>
    <w:rsid w:val="009C5BDA"/>
    <w:rsid w:val="009D0CAC"/>
    <w:rsid w:val="009D15F5"/>
    <w:rsid w:val="009D2144"/>
    <w:rsid w:val="009D2CAB"/>
    <w:rsid w:val="009D3195"/>
    <w:rsid w:val="009D4B8B"/>
    <w:rsid w:val="009D5AAB"/>
    <w:rsid w:val="009D62B5"/>
    <w:rsid w:val="009D6E81"/>
    <w:rsid w:val="009E02E5"/>
    <w:rsid w:val="009E1C86"/>
    <w:rsid w:val="009E2F8A"/>
    <w:rsid w:val="009E525A"/>
    <w:rsid w:val="009E6CD2"/>
    <w:rsid w:val="009E7D73"/>
    <w:rsid w:val="009F0FED"/>
    <w:rsid w:val="009F26AF"/>
    <w:rsid w:val="009F2F22"/>
    <w:rsid w:val="009F5DF1"/>
    <w:rsid w:val="009F76FE"/>
    <w:rsid w:val="00A00071"/>
    <w:rsid w:val="00A02310"/>
    <w:rsid w:val="00A03E9C"/>
    <w:rsid w:val="00A041CD"/>
    <w:rsid w:val="00A05280"/>
    <w:rsid w:val="00A078AB"/>
    <w:rsid w:val="00A109A0"/>
    <w:rsid w:val="00A114E7"/>
    <w:rsid w:val="00A17C91"/>
    <w:rsid w:val="00A20552"/>
    <w:rsid w:val="00A237C2"/>
    <w:rsid w:val="00A23C09"/>
    <w:rsid w:val="00A25415"/>
    <w:rsid w:val="00A27395"/>
    <w:rsid w:val="00A32E02"/>
    <w:rsid w:val="00A332FD"/>
    <w:rsid w:val="00A33CF0"/>
    <w:rsid w:val="00A421D9"/>
    <w:rsid w:val="00A44610"/>
    <w:rsid w:val="00A450DE"/>
    <w:rsid w:val="00A47277"/>
    <w:rsid w:val="00A538EA"/>
    <w:rsid w:val="00A539F6"/>
    <w:rsid w:val="00A609A1"/>
    <w:rsid w:val="00A60FA2"/>
    <w:rsid w:val="00A61344"/>
    <w:rsid w:val="00A61C23"/>
    <w:rsid w:val="00A62E1A"/>
    <w:rsid w:val="00A63FB7"/>
    <w:rsid w:val="00A6678F"/>
    <w:rsid w:val="00A675E5"/>
    <w:rsid w:val="00A701EF"/>
    <w:rsid w:val="00A71885"/>
    <w:rsid w:val="00A83328"/>
    <w:rsid w:val="00A834DA"/>
    <w:rsid w:val="00A83EB1"/>
    <w:rsid w:val="00A86A34"/>
    <w:rsid w:val="00A90D59"/>
    <w:rsid w:val="00A944F3"/>
    <w:rsid w:val="00A96372"/>
    <w:rsid w:val="00A966D7"/>
    <w:rsid w:val="00A9690D"/>
    <w:rsid w:val="00AA169C"/>
    <w:rsid w:val="00AA6783"/>
    <w:rsid w:val="00AB0737"/>
    <w:rsid w:val="00AB2BC4"/>
    <w:rsid w:val="00AB680E"/>
    <w:rsid w:val="00AB7712"/>
    <w:rsid w:val="00AC1449"/>
    <w:rsid w:val="00AC267D"/>
    <w:rsid w:val="00AC306E"/>
    <w:rsid w:val="00AC3C03"/>
    <w:rsid w:val="00AC408F"/>
    <w:rsid w:val="00AD0CF3"/>
    <w:rsid w:val="00AD474A"/>
    <w:rsid w:val="00AD67DB"/>
    <w:rsid w:val="00AD7498"/>
    <w:rsid w:val="00AE1058"/>
    <w:rsid w:val="00AE4BBF"/>
    <w:rsid w:val="00AF5EFC"/>
    <w:rsid w:val="00AF6C9D"/>
    <w:rsid w:val="00B00CD3"/>
    <w:rsid w:val="00B01BCE"/>
    <w:rsid w:val="00B0296C"/>
    <w:rsid w:val="00B03DE9"/>
    <w:rsid w:val="00B03F6B"/>
    <w:rsid w:val="00B13A6C"/>
    <w:rsid w:val="00B1736A"/>
    <w:rsid w:val="00B1759A"/>
    <w:rsid w:val="00B17B78"/>
    <w:rsid w:val="00B21409"/>
    <w:rsid w:val="00B224EE"/>
    <w:rsid w:val="00B24355"/>
    <w:rsid w:val="00B246AF"/>
    <w:rsid w:val="00B24DA0"/>
    <w:rsid w:val="00B254DD"/>
    <w:rsid w:val="00B30FEE"/>
    <w:rsid w:val="00B336F7"/>
    <w:rsid w:val="00B412FC"/>
    <w:rsid w:val="00B42A95"/>
    <w:rsid w:val="00B473F2"/>
    <w:rsid w:val="00B474D1"/>
    <w:rsid w:val="00B478F1"/>
    <w:rsid w:val="00B50CAA"/>
    <w:rsid w:val="00B50EDE"/>
    <w:rsid w:val="00B576FF"/>
    <w:rsid w:val="00B61675"/>
    <w:rsid w:val="00B62512"/>
    <w:rsid w:val="00B62909"/>
    <w:rsid w:val="00B65F8C"/>
    <w:rsid w:val="00B66879"/>
    <w:rsid w:val="00B66A6F"/>
    <w:rsid w:val="00B66F59"/>
    <w:rsid w:val="00B70786"/>
    <w:rsid w:val="00B71AAA"/>
    <w:rsid w:val="00B74633"/>
    <w:rsid w:val="00B74BED"/>
    <w:rsid w:val="00B7578D"/>
    <w:rsid w:val="00B80464"/>
    <w:rsid w:val="00B811CD"/>
    <w:rsid w:val="00B832FC"/>
    <w:rsid w:val="00B8745D"/>
    <w:rsid w:val="00B87B41"/>
    <w:rsid w:val="00B87DE1"/>
    <w:rsid w:val="00B9106D"/>
    <w:rsid w:val="00B9537A"/>
    <w:rsid w:val="00B96960"/>
    <w:rsid w:val="00B96FA9"/>
    <w:rsid w:val="00BA038C"/>
    <w:rsid w:val="00BA2BEE"/>
    <w:rsid w:val="00BA3276"/>
    <w:rsid w:val="00BA5A5C"/>
    <w:rsid w:val="00BB3BE1"/>
    <w:rsid w:val="00BB53DE"/>
    <w:rsid w:val="00BB7198"/>
    <w:rsid w:val="00BC0236"/>
    <w:rsid w:val="00BC5D81"/>
    <w:rsid w:val="00BC7529"/>
    <w:rsid w:val="00BC7BAD"/>
    <w:rsid w:val="00BD1B7C"/>
    <w:rsid w:val="00BD3215"/>
    <w:rsid w:val="00BD3D82"/>
    <w:rsid w:val="00BD45DA"/>
    <w:rsid w:val="00BD600F"/>
    <w:rsid w:val="00BE0F44"/>
    <w:rsid w:val="00BE1E90"/>
    <w:rsid w:val="00BE5862"/>
    <w:rsid w:val="00BE5F0C"/>
    <w:rsid w:val="00BE7D4E"/>
    <w:rsid w:val="00C00E5B"/>
    <w:rsid w:val="00C0357A"/>
    <w:rsid w:val="00C0357D"/>
    <w:rsid w:val="00C03BEE"/>
    <w:rsid w:val="00C04466"/>
    <w:rsid w:val="00C0480E"/>
    <w:rsid w:val="00C07997"/>
    <w:rsid w:val="00C140F8"/>
    <w:rsid w:val="00C16CDD"/>
    <w:rsid w:val="00C25A48"/>
    <w:rsid w:val="00C2652D"/>
    <w:rsid w:val="00C31A55"/>
    <w:rsid w:val="00C347B7"/>
    <w:rsid w:val="00C379AA"/>
    <w:rsid w:val="00C404F5"/>
    <w:rsid w:val="00C468BD"/>
    <w:rsid w:val="00C533BB"/>
    <w:rsid w:val="00C55C16"/>
    <w:rsid w:val="00C6287C"/>
    <w:rsid w:val="00C63CFA"/>
    <w:rsid w:val="00C64EE9"/>
    <w:rsid w:val="00C709C3"/>
    <w:rsid w:val="00C73EA2"/>
    <w:rsid w:val="00C76BCB"/>
    <w:rsid w:val="00C817F6"/>
    <w:rsid w:val="00C82D8B"/>
    <w:rsid w:val="00C8511D"/>
    <w:rsid w:val="00C8592B"/>
    <w:rsid w:val="00C87B41"/>
    <w:rsid w:val="00C91127"/>
    <w:rsid w:val="00C92328"/>
    <w:rsid w:val="00C934A6"/>
    <w:rsid w:val="00C95897"/>
    <w:rsid w:val="00CA2200"/>
    <w:rsid w:val="00CA3C84"/>
    <w:rsid w:val="00CA5076"/>
    <w:rsid w:val="00CA557C"/>
    <w:rsid w:val="00CA6BA9"/>
    <w:rsid w:val="00CB2192"/>
    <w:rsid w:val="00CB2DFD"/>
    <w:rsid w:val="00CB7848"/>
    <w:rsid w:val="00CC14C7"/>
    <w:rsid w:val="00CC1B5B"/>
    <w:rsid w:val="00CC34B5"/>
    <w:rsid w:val="00CC5814"/>
    <w:rsid w:val="00CC5C16"/>
    <w:rsid w:val="00CC6A22"/>
    <w:rsid w:val="00CD12DE"/>
    <w:rsid w:val="00CD35D7"/>
    <w:rsid w:val="00CD6A05"/>
    <w:rsid w:val="00CD7883"/>
    <w:rsid w:val="00CE3C2A"/>
    <w:rsid w:val="00CE48EE"/>
    <w:rsid w:val="00CF0A06"/>
    <w:rsid w:val="00CF0E34"/>
    <w:rsid w:val="00CF375D"/>
    <w:rsid w:val="00CF7D06"/>
    <w:rsid w:val="00D00C7B"/>
    <w:rsid w:val="00D01254"/>
    <w:rsid w:val="00D028D0"/>
    <w:rsid w:val="00D06EE4"/>
    <w:rsid w:val="00D078D5"/>
    <w:rsid w:val="00D07A95"/>
    <w:rsid w:val="00D12043"/>
    <w:rsid w:val="00D12DAB"/>
    <w:rsid w:val="00D1364A"/>
    <w:rsid w:val="00D14A58"/>
    <w:rsid w:val="00D16052"/>
    <w:rsid w:val="00D17C16"/>
    <w:rsid w:val="00D23EE1"/>
    <w:rsid w:val="00D33483"/>
    <w:rsid w:val="00D36888"/>
    <w:rsid w:val="00D37896"/>
    <w:rsid w:val="00D40252"/>
    <w:rsid w:val="00D41A8D"/>
    <w:rsid w:val="00D44688"/>
    <w:rsid w:val="00D45DB2"/>
    <w:rsid w:val="00D46034"/>
    <w:rsid w:val="00D469FE"/>
    <w:rsid w:val="00D52346"/>
    <w:rsid w:val="00D52433"/>
    <w:rsid w:val="00D52E5A"/>
    <w:rsid w:val="00D54745"/>
    <w:rsid w:val="00D5689E"/>
    <w:rsid w:val="00D6136A"/>
    <w:rsid w:val="00D62100"/>
    <w:rsid w:val="00D6292C"/>
    <w:rsid w:val="00D665C5"/>
    <w:rsid w:val="00D66D49"/>
    <w:rsid w:val="00D70FC4"/>
    <w:rsid w:val="00D724D5"/>
    <w:rsid w:val="00D72600"/>
    <w:rsid w:val="00D7457B"/>
    <w:rsid w:val="00D758DC"/>
    <w:rsid w:val="00D808B5"/>
    <w:rsid w:val="00D92922"/>
    <w:rsid w:val="00D92D5C"/>
    <w:rsid w:val="00D944EB"/>
    <w:rsid w:val="00D94A7E"/>
    <w:rsid w:val="00D956B1"/>
    <w:rsid w:val="00D95ED8"/>
    <w:rsid w:val="00D96D27"/>
    <w:rsid w:val="00D9723D"/>
    <w:rsid w:val="00DA2297"/>
    <w:rsid w:val="00DA2840"/>
    <w:rsid w:val="00DA44FC"/>
    <w:rsid w:val="00DA4CB4"/>
    <w:rsid w:val="00DA5A2F"/>
    <w:rsid w:val="00DB0FE5"/>
    <w:rsid w:val="00DB46E1"/>
    <w:rsid w:val="00DB61C6"/>
    <w:rsid w:val="00DB666B"/>
    <w:rsid w:val="00DB68C7"/>
    <w:rsid w:val="00DB6A18"/>
    <w:rsid w:val="00DB79B2"/>
    <w:rsid w:val="00DC152E"/>
    <w:rsid w:val="00DC3D5D"/>
    <w:rsid w:val="00DC5913"/>
    <w:rsid w:val="00DD4D9A"/>
    <w:rsid w:val="00DE39B6"/>
    <w:rsid w:val="00DE62DF"/>
    <w:rsid w:val="00DF34BC"/>
    <w:rsid w:val="00E02925"/>
    <w:rsid w:val="00E0574B"/>
    <w:rsid w:val="00E112C4"/>
    <w:rsid w:val="00E13B63"/>
    <w:rsid w:val="00E1562F"/>
    <w:rsid w:val="00E16746"/>
    <w:rsid w:val="00E16CA8"/>
    <w:rsid w:val="00E22B9F"/>
    <w:rsid w:val="00E23500"/>
    <w:rsid w:val="00E24B2F"/>
    <w:rsid w:val="00E24CED"/>
    <w:rsid w:val="00E3289B"/>
    <w:rsid w:val="00E3315B"/>
    <w:rsid w:val="00E33F90"/>
    <w:rsid w:val="00E350B6"/>
    <w:rsid w:val="00E357AC"/>
    <w:rsid w:val="00E40CDC"/>
    <w:rsid w:val="00E451E8"/>
    <w:rsid w:val="00E453C2"/>
    <w:rsid w:val="00E476C6"/>
    <w:rsid w:val="00E51E16"/>
    <w:rsid w:val="00E52C2C"/>
    <w:rsid w:val="00E54C58"/>
    <w:rsid w:val="00E57C16"/>
    <w:rsid w:val="00E61FC3"/>
    <w:rsid w:val="00E6466A"/>
    <w:rsid w:val="00E6505D"/>
    <w:rsid w:val="00E660C6"/>
    <w:rsid w:val="00E6712F"/>
    <w:rsid w:val="00E7181A"/>
    <w:rsid w:val="00E727C0"/>
    <w:rsid w:val="00E74170"/>
    <w:rsid w:val="00E7492C"/>
    <w:rsid w:val="00E76110"/>
    <w:rsid w:val="00E76919"/>
    <w:rsid w:val="00E8063E"/>
    <w:rsid w:val="00E8251D"/>
    <w:rsid w:val="00E82C08"/>
    <w:rsid w:val="00E848B1"/>
    <w:rsid w:val="00E86CB9"/>
    <w:rsid w:val="00E909FE"/>
    <w:rsid w:val="00E93E59"/>
    <w:rsid w:val="00E952EF"/>
    <w:rsid w:val="00E9667A"/>
    <w:rsid w:val="00EA6A8D"/>
    <w:rsid w:val="00EB2105"/>
    <w:rsid w:val="00EB4C49"/>
    <w:rsid w:val="00EB5018"/>
    <w:rsid w:val="00EB54FE"/>
    <w:rsid w:val="00EB6056"/>
    <w:rsid w:val="00EB79C5"/>
    <w:rsid w:val="00EC0BDA"/>
    <w:rsid w:val="00EC2418"/>
    <w:rsid w:val="00EC7A70"/>
    <w:rsid w:val="00EE3B06"/>
    <w:rsid w:val="00EE3B21"/>
    <w:rsid w:val="00EE5E0B"/>
    <w:rsid w:val="00EE7704"/>
    <w:rsid w:val="00EE775F"/>
    <w:rsid w:val="00EF4987"/>
    <w:rsid w:val="00EF6C97"/>
    <w:rsid w:val="00F004BF"/>
    <w:rsid w:val="00F03B02"/>
    <w:rsid w:val="00F0790C"/>
    <w:rsid w:val="00F07FF1"/>
    <w:rsid w:val="00F10839"/>
    <w:rsid w:val="00F115F7"/>
    <w:rsid w:val="00F11FFF"/>
    <w:rsid w:val="00F1241F"/>
    <w:rsid w:val="00F12D7B"/>
    <w:rsid w:val="00F1785C"/>
    <w:rsid w:val="00F17D55"/>
    <w:rsid w:val="00F2333B"/>
    <w:rsid w:val="00F2584C"/>
    <w:rsid w:val="00F26151"/>
    <w:rsid w:val="00F2712B"/>
    <w:rsid w:val="00F27E4E"/>
    <w:rsid w:val="00F3035F"/>
    <w:rsid w:val="00F32158"/>
    <w:rsid w:val="00F34BC9"/>
    <w:rsid w:val="00F41478"/>
    <w:rsid w:val="00F43170"/>
    <w:rsid w:val="00F43AB7"/>
    <w:rsid w:val="00F45026"/>
    <w:rsid w:val="00F45B00"/>
    <w:rsid w:val="00F45DE1"/>
    <w:rsid w:val="00F52E4F"/>
    <w:rsid w:val="00F6077B"/>
    <w:rsid w:val="00F66457"/>
    <w:rsid w:val="00F66DEA"/>
    <w:rsid w:val="00F719AA"/>
    <w:rsid w:val="00F72560"/>
    <w:rsid w:val="00F75161"/>
    <w:rsid w:val="00F80D3E"/>
    <w:rsid w:val="00F83627"/>
    <w:rsid w:val="00F84BB1"/>
    <w:rsid w:val="00F85762"/>
    <w:rsid w:val="00F87903"/>
    <w:rsid w:val="00F91563"/>
    <w:rsid w:val="00F9420B"/>
    <w:rsid w:val="00F970F6"/>
    <w:rsid w:val="00F976CC"/>
    <w:rsid w:val="00FA20B4"/>
    <w:rsid w:val="00FA47EE"/>
    <w:rsid w:val="00FA4829"/>
    <w:rsid w:val="00FB7C28"/>
    <w:rsid w:val="00FC18AE"/>
    <w:rsid w:val="00FC2E76"/>
    <w:rsid w:val="00FC4C60"/>
    <w:rsid w:val="00FD33F2"/>
    <w:rsid w:val="00FD3E2A"/>
    <w:rsid w:val="00FD599F"/>
    <w:rsid w:val="00FD687C"/>
    <w:rsid w:val="00FE3C87"/>
    <w:rsid w:val="00FE4B83"/>
    <w:rsid w:val="00FF1FE6"/>
    <w:rsid w:val="00FF3748"/>
    <w:rsid w:val="00FF751C"/>
    <w:rsid w:val="017E5A32"/>
    <w:rsid w:val="01B123B1"/>
    <w:rsid w:val="01F46001"/>
    <w:rsid w:val="031950C9"/>
    <w:rsid w:val="033315D0"/>
    <w:rsid w:val="044E1D6F"/>
    <w:rsid w:val="045036B3"/>
    <w:rsid w:val="048528B6"/>
    <w:rsid w:val="068F6A71"/>
    <w:rsid w:val="06F23208"/>
    <w:rsid w:val="06FD6FB3"/>
    <w:rsid w:val="072B4A19"/>
    <w:rsid w:val="0A3966A2"/>
    <w:rsid w:val="0A8F54AC"/>
    <w:rsid w:val="0AC81333"/>
    <w:rsid w:val="0B160F69"/>
    <w:rsid w:val="0B2D6FB3"/>
    <w:rsid w:val="0BF113D9"/>
    <w:rsid w:val="0C0C2CE8"/>
    <w:rsid w:val="0CBA2775"/>
    <w:rsid w:val="0D293F18"/>
    <w:rsid w:val="0D2F6144"/>
    <w:rsid w:val="0E542FA5"/>
    <w:rsid w:val="0EA36AA0"/>
    <w:rsid w:val="0FEF495E"/>
    <w:rsid w:val="10271E43"/>
    <w:rsid w:val="10AB3AA8"/>
    <w:rsid w:val="10AD052A"/>
    <w:rsid w:val="11E6235D"/>
    <w:rsid w:val="12834FB6"/>
    <w:rsid w:val="12F46577"/>
    <w:rsid w:val="12F94842"/>
    <w:rsid w:val="134659ED"/>
    <w:rsid w:val="13816583"/>
    <w:rsid w:val="1454504C"/>
    <w:rsid w:val="146F6D64"/>
    <w:rsid w:val="14941161"/>
    <w:rsid w:val="14A4079D"/>
    <w:rsid w:val="14B523A1"/>
    <w:rsid w:val="1524679D"/>
    <w:rsid w:val="1665303A"/>
    <w:rsid w:val="16C86C67"/>
    <w:rsid w:val="17242403"/>
    <w:rsid w:val="19B27B65"/>
    <w:rsid w:val="19C64EE3"/>
    <w:rsid w:val="19F4661B"/>
    <w:rsid w:val="19FC2DED"/>
    <w:rsid w:val="1A85125B"/>
    <w:rsid w:val="1A8F4C0E"/>
    <w:rsid w:val="1AA705C7"/>
    <w:rsid w:val="1AFA259D"/>
    <w:rsid w:val="1BBC4FF8"/>
    <w:rsid w:val="1BE02A50"/>
    <w:rsid w:val="1C6876F3"/>
    <w:rsid w:val="1C764453"/>
    <w:rsid w:val="1CDE224B"/>
    <w:rsid w:val="1D59066C"/>
    <w:rsid w:val="1DF501E0"/>
    <w:rsid w:val="1DFF091F"/>
    <w:rsid w:val="1E8106C5"/>
    <w:rsid w:val="200119A1"/>
    <w:rsid w:val="200A3CBE"/>
    <w:rsid w:val="21AF371E"/>
    <w:rsid w:val="2218093E"/>
    <w:rsid w:val="225501C7"/>
    <w:rsid w:val="22BA175B"/>
    <w:rsid w:val="23235DAF"/>
    <w:rsid w:val="24256C9F"/>
    <w:rsid w:val="24930440"/>
    <w:rsid w:val="24D73D26"/>
    <w:rsid w:val="25770E74"/>
    <w:rsid w:val="264C0FE1"/>
    <w:rsid w:val="26BA705F"/>
    <w:rsid w:val="26F34252"/>
    <w:rsid w:val="26F75A76"/>
    <w:rsid w:val="271F5DE2"/>
    <w:rsid w:val="28D93EEC"/>
    <w:rsid w:val="296C00C3"/>
    <w:rsid w:val="297A7E46"/>
    <w:rsid w:val="29A65ADB"/>
    <w:rsid w:val="2B010CC0"/>
    <w:rsid w:val="2B3C6AC9"/>
    <w:rsid w:val="2BCB49F3"/>
    <w:rsid w:val="2C07785E"/>
    <w:rsid w:val="2CD8442B"/>
    <w:rsid w:val="2D357B1C"/>
    <w:rsid w:val="2F136CCD"/>
    <w:rsid w:val="2F6405B4"/>
    <w:rsid w:val="3068703E"/>
    <w:rsid w:val="309C3C8E"/>
    <w:rsid w:val="30AA4DD4"/>
    <w:rsid w:val="314F49B9"/>
    <w:rsid w:val="31B35B2D"/>
    <w:rsid w:val="327D60B7"/>
    <w:rsid w:val="3336692C"/>
    <w:rsid w:val="34A4083B"/>
    <w:rsid w:val="35166E50"/>
    <w:rsid w:val="35EA3A14"/>
    <w:rsid w:val="364E040F"/>
    <w:rsid w:val="365161C9"/>
    <w:rsid w:val="36713ADC"/>
    <w:rsid w:val="373308FC"/>
    <w:rsid w:val="376B4D71"/>
    <w:rsid w:val="379D5622"/>
    <w:rsid w:val="37C63F2E"/>
    <w:rsid w:val="3A733F23"/>
    <w:rsid w:val="3A9B048D"/>
    <w:rsid w:val="3A9F1FBE"/>
    <w:rsid w:val="3AA2739E"/>
    <w:rsid w:val="3ADD2EB4"/>
    <w:rsid w:val="3B304175"/>
    <w:rsid w:val="3C9C3AD9"/>
    <w:rsid w:val="3D677F27"/>
    <w:rsid w:val="3F3C7927"/>
    <w:rsid w:val="41840974"/>
    <w:rsid w:val="43392429"/>
    <w:rsid w:val="43431F3C"/>
    <w:rsid w:val="434C1256"/>
    <w:rsid w:val="43671467"/>
    <w:rsid w:val="44944145"/>
    <w:rsid w:val="44BB62DD"/>
    <w:rsid w:val="45C46753"/>
    <w:rsid w:val="45EA0D71"/>
    <w:rsid w:val="46153B4C"/>
    <w:rsid w:val="468129BB"/>
    <w:rsid w:val="471076F6"/>
    <w:rsid w:val="48776320"/>
    <w:rsid w:val="49773C28"/>
    <w:rsid w:val="498A081D"/>
    <w:rsid w:val="499117AA"/>
    <w:rsid w:val="49BC4653"/>
    <w:rsid w:val="49E1570C"/>
    <w:rsid w:val="4AD2529B"/>
    <w:rsid w:val="4B5C5B9F"/>
    <w:rsid w:val="4B6D1F33"/>
    <w:rsid w:val="4C033AA4"/>
    <w:rsid w:val="4CAF2344"/>
    <w:rsid w:val="4D5D7FF4"/>
    <w:rsid w:val="4DC8650B"/>
    <w:rsid w:val="4E82537A"/>
    <w:rsid w:val="4ED4682D"/>
    <w:rsid w:val="4F660978"/>
    <w:rsid w:val="50B05E64"/>
    <w:rsid w:val="5152320E"/>
    <w:rsid w:val="516D03EC"/>
    <w:rsid w:val="51DB3C14"/>
    <w:rsid w:val="540D2471"/>
    <w:rsid w:val="54812746"/>
    <w:rsid w:val="549E23BB"/>
    <w:rsid w:val="54CC69EE"/>
    <w:rsid w:val="54F470F9"/>
    <w:rsid w:val="54FF0E0C"/>
    <w:rsid w:val="555448A1"/>
    <w:rsid w:val="556F4772"/>
    <w:rsid w:val="55834AE4"/>
    <w:rsid w:val="56073591"/>
    <w:rsid w:val="560B7B0E"/>
    <w:rsid w:val="56936146"/>
    <w:rsid w:val="578A40BD"/>
    <w:rsid w:val="579404DC"/>
    <w:rsid w:val="57A46B59"/>
    <w:rsid w:val="57A51EB7"/>
    <w:rsid w:val="58020FBD"/>
    <w:rsid w:val="585768BF"/>
    <w:rsid w:val="58BB7526"/>
    <w:rsid w:val="591064A4"/>
    <w:rsid w:val="592E3CE6"/>
    <w:rsid w:val="595B0516"/>
    <w:rsid w:val="59D13C70"/>
    <w:rsid w:val="5A707EB2"/>
    <w:rsid w:val="5B070D06"/>
    <w:rsid w:val="5B946769"/>
    <w:rsid w:val="5D0C0CE5"/>
    <w:rsid w:val="5D5D78A3"/>
    <w:rsid w:val="5D7847EF"/>
    <w:rsid w:val="5DC032B6"/>
    <w:rsid w:val="5EBB6A37"/>
    <w:rsid w:val="5FC03C4C"/>
    <w:rsid w:val="5FE74BAF"/>
    <w:rsid w:val="600B29D0"/>
    <w:rsid w:val="60EC4892"/>
    <w:rsid w:val="61C136FE"/>
    <w:rsid w:val="63093FE1"/>
    <w:rsid w:val="631B2955"/>
    <w:rsid w:val="66AF0428"/>
    <w:rsid w:val="674E15E6"/>
    <w:rsid w:val="678E31BE"/>
    <w:rsid w:val="67A9647F"/>
    <w:rsid w:val="699848AE"/>
    <w:rsid w:val="69B07A1B"/>
    <w:rsid w:val="6A0E213E"/>
    <w:rsid w:val="6A8D3FD3"/>
    <w:rsid w:val="6B4A3B12"/>
    <w:rsid w:val="6BCC27E8"/>
    <w:rsid w:val="6C5512B5"/>
    <w:rsid w:val="6DF33206"/>
    <w:rsid w:val="6E60256C"/>
    <w:rsid w:val="6EAF493F"/>
    <w:rsid w:val="6F805D62"/>
    <w:rsid w:val="703E0877"/>
    <w:rsid w:val="70DC3EAE"/>
    <w:rsid w:val="71594A68"/>
    <w:rsid w:val="726F7CF9"/>
    <w:rsid w:val="732A5A41"/>
    <w:rsid w:val="7398255F"/>
    <w:rsid w:val="73C8327F"/>
    <w:rsid w:val="73FE13D0"/>
    <w:rsid w:val="74B92D54"/>
    <w:rsid w:val="75141259"/>
    <w:rsid w:val="753D4373"/>
    <w:rsid w:val="75C14EFA"/>
    <w:rsid w:val="76541591"/>
    <w:rsid w:val="773554D4"/>
    <w:rsid w:val="77FA74EE"/>
    <w:rsid w:val="790E14A6"/>
    <w:rsid w:val="79FB7276"/>
    <w:rsid w:val="7A5D0B1E"/>
    <w:rsid w:val="7C68680D"/>
    <w:rsid w:val="7CEA0316"/>
    <w:rsid w:val="7D060DE1"/>
    <w:rsid w:val="7D1842D4"/>
    <w:rsid w:val="7D1C6979"/>
    <w:rsid w:val="7D571031"/>
    <w:rsid w:val="7DF70125"/>
    <w:rsid w:val="7F184770"/>
    <w:rsid w:val="7F7F69B4"/>
    <w:rsid w:val="7F875E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32"/>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28">
    <w:name w:val="Default Paragraph Font"/>
    <w:uiPriority w:val="0"/>
  </w:style>
  <w:style w:type="table" w:default="1" w:styleId="26">
    <w:name w:val="Normal Table"/>
    <w:semiHidden/>
    <w:uiPriority w:val="0"/>
    <w:tblPr>
      <w:tblStyle w:val="26"/>
      <w:tblCellMar>
        <w:top w:w="0" w:type="dxa"/>
        <w:left w:w="108" w:type="dxa"/>
        <w:bottom w:w="0" w:type="dxa"/>
        <w:right w:w="108" w:type="dxa"/>
      </w:tblCellMar>
    </w:tblPr>
  </w:style>
  <w:style w:type="paragraph" w:styleId="4">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5">
    <w:name w:val="Normal Indent"/>
    <w:basedOn w:val="1"/>
    <w:link w:val="41"/>
    <w:uiPriority w:val="0"/>
    <w:pPr>
      <w:ind w:firstLine="420"/>
    </w:pPr>
    <w:rPr>
      <w:szCs w:val="20"/>
    </w:rPr>
  </w:style>
  <w:style w:type="paragraph" w:styleId="6">
    <w:name w:val="caption"/>
    <w:basedOn w:val="1"/>
    <w:next w:val="1"/>
    <w:qFormat/>
    <w:uiPriority w:val="0"/>
    <w:pPr>
      <w:spacing w:before="152" w:beforeLines="0" w:after="160" w:afterLines="0"/>
    </w:pPr>
    <w:rPr>
      <w:rFonts w:ascii="Arial" w:hAnsi="Arial" w:eastAsia="黑体" w:cs="Arial"/>
      <w:sz w:val="20"/>
      <w:szCs w:val="20"/>
    </w:rPr>
  </w:style>
  <w:style w:type="paragraph" w:styleId="7">
    <w:name w:val="Document Map"/>
    <w:basedOn w:val="1"/>
    <w:uiPriority w:val="0"/>
    <w:pPr>
      <w:shd w:val="clear" w:color="auto" w:fill="000080"/>
    </w:pPr>
  </w:style>
  <w:style w:type="paragraph" w:styleId="8">
    <w:name w:val="annotation text"/>
    <w:basedOn w:val="1"/>
    <w:link w:val="39"/>
    <w:uiPriority w:val="0"/>
    <w:pPr>
      <w:jc w:val="left"/>
    </w:pPr>
  </w:style>
  <w:style w:type="paragraph" w:styleId="9">
    <w:name w:val="Body Text 3"/>
    <w:basedOn w:val="1"/>
    <w:uiPriority w:val="0"/>
    <w:pPr>
      <w:snapToGrid w:val="0"/>
      <w:spacing w:before="50" w:beforeLines="0" w:after="50" w:afterLines="0"/>
    </w:pPr>
    <w:rPr>
      <w:rFonts w:hAnsi="宋体" w:eastAsia="仿宋_GB2312"/>
      <w:b/>
      <w:bCs/>
      <w:sz w:val="24"/>
      <w:szCs w:val="20"/>
    </w:rPr>
  </w:style>
  <w:style w:type="paragraph" w:styleId="10">
    <w:name w:val="Body Text"/>
    <w:basedOn w:val="1"/>
    <w:uiPriority w:val="0"/>
    <w:pPr>
      <w:spacing w:after="120" w:afterLines="0"/>
    </w:pPr>
    <w:rPr>
      <w:sz w:val="28"/>
    </w:rPr>
  </w:style>
  <w:style w:type="paragraph" w:styleId="11">
    <w:name w:val="Body Text Indent"/>
    <w:basedOn w:val="1"/>
    <w:uiPriority w:val="0"/>
    <w:pPr>
      <w:spacing w:line="200" w:lineRule="exact"/>
      <w:ind w:firstLine="301"/>
    </w:pPr>
    <w:rPr>
      <w:rFonts w:ascii="宋体" w:hAnsi="Courier New"/>
      <w:spacing w:val="-4"/>
      <w:sz w:val="18"/>
      <w:szCs w:val="20"/>
    </w:rPr>
  </w:style>
  <w:style w:type="paragraph" w:styleId="12">
    <w:name w:val="List Number 3"/>
    <w:basedOn w:val="1"/>
    <w:uiPriority w:val="0"/>
    <w:pPr>
      <w:numPr>
        <w:ilvl w:val="0"/>
        <w:numId w:val="1"/>
      </w:numPr>
    </w:pPr>
  </w:style>
  <w:style w:type="paragraph" w:styleId="13">
    <w:name w:val="List 2"/>
    <w:basedOn w:val="1"/>
    <w:uiPriority w:val="0"/>
    <w:pPr>
      <w:ind w:left="100" w:leftChars="200" w:hanging="200" w:hangingChars="200"/>
    </w:pPr>
    <w:rPr>
      <w:sz w:val="28"/>
    </w:rPr>
  </w:style>
  <w:style w:type="paragraph" w:styleId="14">
    <w:name w:val="Plain Text"/>
    <w:basedOn w:val="1"/>
    <w:link w:val="40"/>
    <w:qFormat/>
    <w:uiPriority w:val="0"/>
    <w:pPr>
      <w:spacing w:before="156" w:beforeLines="50" w:after="156" w:afterLines="50" w:line="400" w:lineRule="exact"/>
    </w:pPr>
    <w:rPr>
      <w:rFonts w:ascii="宋体" w:hAnsi="Courier New"/>
      <w:sz w:val="24"/>
    </w:rPr>
  </w:style>
  <w:style w:type="paragraph" w:styleId="15">
    <w:name w:val="Date"/>
    <w:basedOn w:val="1"/>
    <w:next w:val="1"/>
    <w:uiPriority w:val="0"/>
    <w:pPr>
      <w:ind w:leftChars="2500"/>
    </w:pPr>
    <w:rPr>
      <w:rFonts w:eastAsia="楷体_GB2312"/>
      <w:sz w:val="32"/>
      <w:szCs w:val="20"/>
    </w:rPr>
  </w:style>
  <w:style w:type="paragraph" w:styleId="16">
    <w:name w:val="Body Text Indent 2"/>
    <w:basedOn w:val="1"/>
    <w:uiPriority w:val="0"/>
    <w:pPr>
      <w:snapToGrid w:val="0"/>
      <w:ind w:firstLine="542" w:firstLineChars="225"/>
    </w:pPr>
    <w:rPr>
      <w:rFonts w:ascii="仿宋_GB2312" w:hAnsi="宋体" w:cs="Arial"/>
      <w:b/>
      <w:bCs/>
      <w:color w:val="000000"/>
      <w:sz w:val="24"/>
    </w:rPr>
  </w:style>
  <w:style w:type="paragraph" w:styleId="17">
    <w:name w:val="Balloon Text"/>
    <w:basedOn w:val="1"/>
    <w:link w:val="37"/>
    <w:uiPriority w:val="0"/>
    <w:rPr>
      <w:sz w:val="18"/>
      <w:szCs w:val="18"/>
    </w:rPr>
  </w:style>
  <w:style w:type="paragraph" w:styleId="18">
    <w:name w:val="footer"/>
    <w:basedOn w:val="1"/>
    <w:link w:val="46"/>
    <w:uiPriority w:val="0"/>
    <w:pPr>
      <w:tabs>
        <w:tab w:val="center" w:pos="4153"/>
        <w:tab w:val="right" w:pos="8306"/>
      </w:tabs>
      <w:snapToGrid w:val="0"/>
      <w:jc w:val="left"/>
    </w:pPr>
    <w:rPr>
      <w:rFonts w:eastAsia="黑体"/>
      <w:snapToGrid w:val="0"/>
      <w:kern w:val="0"/>
      <w:sz w:val="18"/>
      <w:szCs w:val="18"/>
    </w:rPr>
  </w:style>
  <w:style w:type="paragraph" w:styleId="19">
    <w:name w:val="header"/>
    <w:basedOn w:val="1"/>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0">
    <w:name w:val="toc 1"/>
    <w:basedOn w:val="1"/>
    <w:next w:val="1"/>
    <w:uiPriority w:val="0"/>
  </w:style>
  <w:style w:type="paragraph" w:styleId="21">
    <w:name w:val="List"/>
    <w:basedOn w:val="1"/>
    <w:uiPriority w:val="0"/>
    <w:pPr>
      <w:ind w:left="200" w:hanging="200" w:hangingChars="200"/>
    </w:pPr>
    <w:rPr>
      <w:sz w:val="28"/>
    </w:rPr>
  </w:style>
  <w:style w:type="paragraph" w:styleId="22">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23">
    <w:name w:val="Body Text 2"/>
    <w:basedOn w:val="1"/>
    <w:uiPriority w:val="0"/>
    <w:pPr>
      <w:widowControl/>
      <w:snapToGrid w:val="0"/>
      <w:spacing w:before="50" w:beforeLines="0" w:after="156" w:afterLines="50" w:line="400" w:lineRule="exact"/>
      <w:jc w:val="left"/>
    </w:pPr>
    <w:rPr>
      <w:rFonts w:ascii="宋体" w:hAnsi="宋体"/>
      <w:color w:val="000000"/>
      <w:sz w:val="24"/>
    </w:rPr>
  </w:style>
  <w:style w:type="paragraph" w:styleId="24">
    <w:name w:val="Normal (Web)"/>
    <w:basedOn w:val="1"/>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8"/>
    <w:next w:val="8"/>
    <w:link w:val="38"/>
    <w:uiPriority w:val="0"/>
    <w:rPr>
      <w:b/>
      <w:bCs/>
    </w:rPr>
  </w:style>
  <w:style w:type="table" w:styleId="27">
    <w:name w:val="Table Grid"/>
    <w:basedOn w:val="26"/>
    <w:uiPriority w:val="0"/>
    <w:pPr>
      <w:widowControl w:val="0"/>
      <w:jc w:val="both"/>
    </w:pPr>
    <w:tblPr>
      <w:tblStyle w:val="2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uiPriority w:val="0"/>
  </w:style>
  <w:style w:type="character" w:styleId="31">
    <w:name w:val="FollowedHyperlink"/>
    <w:uiPriority w:val="0"/>
    <w:rPr>
      <w:color w:val="800080"/>
      <w:u w:val="single"/>
    </w:rPr>
  </w:style>
  <w:style w:type="character" w:styleId="32">
    <w:name w:val="Hyperlink"/>
    <w:basedOn w:val="28"/>
    <w:uiPriority w:val="0"/>
    <w:rPr>
      <w:color w:val="0000FF"/>
      <w:u w:val="single"/>
    </w:rPr>
  </w:style>
  <w:style w:type="character" w:styleId="33">
    <w:name w:val="annotation reference"/>
    <w:uiPriority w:val="0"/>
    <w:rPr>
      <w:sz w:val="21"/>
      <w:szCs w:val="21"/>
    </w:rPr>
  </w:style>
  <w:style w:type="character" w:customStyle="1" w:styleId="34">
    <w:name w:val="font21"/>
    <w:qFormat/>
    <w:uiPriority w:val="0"/>
    <w:rPr>
      <w:rFonts w:hint="eastAsia" w:ascii="微软雅黑" w:hAnsi="微软雅黑" w:eastAsia="微软雅黑" w:cs="微软雅黑"/>
      <w:color w:val="000000"/>
      <w:sz w:val="24"/>
      <w:szCs w:val="24"/>
      <w:u w:val="none"/>
    </w:rPr>
  </w:style>
  <w:style w:type="character" w:customStyle="1" w:styleId="35">
    <w:name w:val="普通文字 Char Char1"/>
    <w:aliases w:val="纯文本 Char Char Char,纯文本 Char Char1,普通文字 Char Char Char1,普通文字 Char Char Char Char,普通文字 Char1,小 Char,Texte Char Char,纯文本 Char Char Char Char Char Char Char Char Char Char Char Char Char Char,普通文字1 Char,普通文字2 Char,普通文字3 Char,普通文字4 Char"/>
    <w:uiPriority w:val="0"/>
    <w:rPr>
      <w:rFonts w:ascii="宋体" w:hAnsi="Courier New" w:eastAsia="宋体"/>
      <w:kern w:val="2"/>
      <w:sz w:val="24"/>
      <w:szCs w:val="24"/>
      <w:lang w:val="en-US" w:eastAsia="zh-CN" w:bidi="ar-SA"/>
    </w:rPr>
  </w:style>
  <w:style w:type="character" w:customStyle="1" w:styleId="36">
    <w:name w:val="标题 1 Char Char"/>
    <w:uiPriority w:val="0"/>
    <w:rPr>
      <w:rFonts w:eastAsia="宋体"/>
      <w:b/>
      <w:spacing w:val="-2"/>
      <w:sz w:val="24"/>
      <w:lang w:val="en-US" w:eastAsia="zh-CN" w:bidi="ar-SA"/>
    </w:rPr>
  </w:style>
  <w:style w:type="character" w:customStyle="1" w:styleId="37">
    <w:name w:val="批注框文本 Char"/>
    <w:link w:val="17"/>
    <w:locked/>
    <w:uiPriority w:val="0"/>
    <w:rPr>
      <w:kern w:val="2"/>
      <w:sz w:val="18"/>
      <w:szCs w:val="18"/>
    </w:rPr>
  </w:style>
  <w:style w:type="character" w:customStyle="1" w:styleId="38">
    <w:name w:val="批注主题 Char"/>
    <w:link w:val="25"/>
    <w:uiPriority w:val="0"/>
    <w:rPr>
      <w:b/>
      <w:bCs/>
      <w:kern w:val="2"/>
      <w:sz w:val="21"/>
      <w:szCs w:val="24"/>
    </w:rPr>
  </w:style>
  <w:style w:type="character" w:customStyle="1" w:styleId="39">
    <w:name w:val="批注文字 Char"/>
    <w:link w:val="8"/>
    <w:uiPriority w:val="0"/>
    <w:rPr>
      <w:kern w:val="2"/>
      <w:sz w:val="21"/>
      <w:szCs w:val="24"/>
    </w:rPr>
  </w:style>
  <w:style w:type="character" w:customStyle="1" w:styleId="40">
    <w:name w:val="纯文本 Char"/>
    <w:link w:val="14"/>
    <w:uiPriority w:val="0"/>
    <w:rPr>
      <w:rFonts w:ascii="宋体" w:hAnsi="Courier New" w:eastAsia="宋体"/>
      <w:kern w:val="2"/>
      <w:sz w:val="24"/>
      <w:szCs w:val="24"/>
      <w:lang w:val="en-US" w:eastAsia="zh-CN" w:bidi="ar-SA"/>
    </w:rPr>
  </w:style>
  <w:style w:type="character" w:customStyle="1" w:styleId="41">
    <w:name w:val="正文缩进 Char"/>
    <w:link w:val="5"/>
    <w:uiPriority w:val="0"/>
    <w:rPr>
      <w:rFonts w:eastAsia="宋体"/>
      <w:kern w:val="2"/>
      <w:sz w:val="21"/>
      <w:lang w:val="en-US" w:eastAsia="zh-CN" w:bidi="ar-SA"/>
    </w:rPr>
  </w:style>
  <w:style w:type="character" w:customStyle="1" w:styleId="42">
    <w:name w:val="标准正文格式 Char Char"/>
    <w:link w:val="43"/>
    <w:uiPriority w:val="0"/>
    <w:rPr>
      <w:rFonts w:ascii="宋体" w:eastAsia="仿宋_GB2312" w:cs="宋体"/>
      <w:color w:val="000000"/>
      <w:sz w:val="24"/>
      <w:lang w:val="en-US" w:eastAsia="zh-CN" w:bidi="ar-SA"/>
    </w:rPr>
  </w:style>
  <w:style w:type="paragraph" w:customStyle="1" w:styleId="43">
    <w:name w:val="标准正文格式"/>
    <w:basedOn w:val="1"/>
    <w:link w:val="42"/>
    <w:uiPriority w:val="0"/>
    <w:pPr>
      <w:widowControl/>
      <w:adjustRightInd w:val="0"/>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character" w:customStyle="1" w:styleId="44">
    <w:name w:val=" Char Char"/>
    <w:uiPriority w:val="0"/>
    <w:rPr>
      <w:rFonts w:ascii="宋体" w:hAnsi="Courier New" w:eastAsia="楷体_GB2312"/>
      <w:kern w:val="2"/>
      <w:sz w:val="26"/>
      <w:lang w:val="en-US" w:eastAsia="zh-CN" w:bidi="ar-SA"/>
    </w:rPr>
  </w:style>
  <w:style w:type="character" w:customStyle="1" w:styleId="45">
    <w:name w:val="unnamed1"/>
    <w:basedOn w:val="28"/>
    <w:uiPriority w:val="0"/>
  </w:style>
  <w:style w:type="character" w:customStyle="1" w:styleId="46">
    <w:name w:val="页脚 Char"/>
    <w:link w:val="18"/>
    <w:locked/>
    <w:uiPriority w:val="0"/>
    <w:rPr>
      <w:rFonts w:eastAsia="黑体"/>
      <w:snapToGrid w:val="0"/>
      <w:sz w:val="18"/>
      <w:szCs w:val="18"/>
    </w:rPr>
  </w:style>
  <w:style w:type="paragraph" w:customStyle="1" w:styleId="47">
    <w:name w:val="默认段落字体 Para Char Char Char Char Char Char Char Char Char1 Char Char Char Char"/>
    <w:basedOn w:val="1"/>
    <w:uiPriority w:val="0"/>
    <w:rPr>
      <w:rFonts w:ascii="Tahoma" w:hAnsi="Tahoma"/>
      <w:sz w:val="24"/>
      <w:szCs w:val="20"/>
    </w:rPr>
  </w:style>
  <w:style w:type="paragraph" w:styleId="48">
    <w:name w:val="List Paragraph"/>
    <w:basedOn w:val="1"/>
    <w:qFormat/>
    <w:uiPriority w:val="0"/>
    <w:pPr>
      <w:spacing w:line="360" w:lineRule="auto"/>
      <w:ind w:firstLine="420" w:firstLineChars="200"/>
    </w:pPr>
    <w:rPr>
      <w:rFonts w:ascii="Calibri" w:hAnsi="Calibri"/>
      <w:sz w:val="24"/>
      <w:szCs w:val="22"/>
    </w:rPr>
  </w:style>
  <w:style w:type="paragraph" w:customStyle="1" w:styleId="49">
    <w:name w:val="正文 New"/>
    <w:uiPriority w:val="0"/>
    <w:pPr>
      <w:widowControl w:val="0"/>
      <w:jc w:val="both"/>
    </w:pPr>
    <w:rPr>
      <w:kern w:val="2"/>
      <w:sz w:val="21"/>
      <w:szCs w:val="24"/>
      <w:lang w:val="en-US" w:eastAsia="zh-CN" w:bidi="ar-SA"/>
    </w:rPr>
  </w:style>
  <w:style w:type="paragraph" w:customStyle="1" w:styleId="50">
    <w:name w:val="标准正文"/>
    <w:basedOn w:val="1"/>
    <w:qFormat/>
    <w:uiPriority w:val="0"/>
    <w:pPr>
      <w:spacing w:line="360" w:lineRule="auto"/>
      <w:ind w:firstLine="200" w:firstLineChars="200"/>
    </w:pPr>
    <w:rPr>
      <w:sz w:val="24"/>
      <w:szCs w:val="20"/>
    </w:rPr>
  </w:style>
  <w:style w:type="paragraph" w:customStyle="1" w:styleId="51">
    <w:name w:val="默认段落字体 Para Char Char Char Char"/>
    <w:basedOn w:val="1"/>
    <w:uiPriority w:val="0"/>
  </w:style>
  <w:style w:type="paragraph" w:customStyle="1" w:styleId="52">
    <w:name w:val="Defaul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53">
    <w:name w:val="Char"/>
    <w:basedOn w:val="1"/>
    <w:uiPriority w:val="0"/>
    <w:pPr>
      <w:tabs>
        <w:tab w:val="left" w:pos="360"/>
      </w:tabs>
    </w:pPr>
  </w:style>
  <w:style w:type="paragraph" w:customStyle="1" w:styleId="54">
    <w:name w:val="正文2"/>
    <w:basedOn w:val="1"/>
    <w:qFormat/>
    <w:uiPriority w:val="0"/>
    <w:pPr>
      <w:spacing w:before="156" w:line="360" w:lineRule="auto"/>
      <w:ind w:firstLine="510" w:firstLineChars="200"/>
    </w:pPr>
    <w:rPr>
      <w:sz w:val="24"/>
      <w:szCs w:val="20"/>
    </w:rPr>
  </w:style>
  <w:style w:type="paragraph" w:customStyle="1" w:styleId="55">
    <w:name w:val=" Char Char Char Char Char Char Char"/>
    <w:basedOn w:val="1"/>
    <w:uiPriority w:val="0"/>
    <w:rPr>
      <w:szCs w:val="21"/>
    </w:rPr>
  </w:style>
  <w:style w:type="paragraph" w:customStyle="1" w:styleId="56">
    <w:name w:val="Normal"/>
    <w:uiPriority w:val="0"/>
    <w:pPr>
      <w:widowControl w:val="0"/>
      <w:jc w:val="both"/>
    </w:pPr>
    <w:rPr>
      <w:rFonts w:hint="eastAsia"/>
      <w:kern w:val="2"/>
      <w:sz w:val="21"/>
      <w:lang w:val="en-US" w:eastAsia="zh-CN" w:bidi="ar-SA"/>
    </w:rPr>
  </w:style>
  <w:style w:type="paragraph" w:customStyle="1" w:styleId="57">
    <w:name w:val="Table Text"/>
    <w:qFormat/>
    <w:uiPriority w:val="0"/>
    <w:pPr>
      <w:tabs>
        <w:tab w:val="decimal" w:pos="0"/>
      </w:tabs>
    </w:pPr>
    <w:rPr>
      <w:rFonts w:ascii="Arial" w:hAnsi="Arial"/>
      <w:sz w:val="21"/>
      <w:szCs w:val="21"/>
      <w:lang w:val="en-US" w:eastAsia="zh-CN" w:bidi="ar-SA"/>
    </w:rPr>
  </w:style>
  <w:style w:type="paragraph" w:customStyle="1" w:styleId="58">
    <w:name w:val="Item List in Table"/>
    <w:basedOn w:val="1"/>
    <w:qFormat/>
    <w:uiPriority w:val="0"/>
    <w:pPr>
      <w:widowControl/>
      <w:numPr>
        <w:ilvl w:val="0"/>
        <w:numId w:val="2"/>
      </w:numPr>
      <w:topLinePunct/>
      <w:adjustRightInd w:val="0"/>
      <w:snapToGrid w:val="0"/>
      <w:spacing w:before="80" w:after="80" w:line="240" w:lineRule="atLeast"/>
      <w:jc w:val="left"/>
    </w:pPr>
    <w:rPr>
      <w:rFonts w:hint="eastAsia" w:ascii="Times New Roman" w:hAnsi="Times New Roman" w:eastAsia="宋体" w:cs="Arial"/>
      <w:kern w:val="0"/>
      <w:szCs w:val="21"/>
    </w:rPr>
  </w:style>
  <w:style w:type="paragraph" w:customStyle="1" w:styleId="59">
    <w:name w:val="正文1"/>
    <w:basedOn w:val="1"/>
    <w:next w:val="1"/>
    <w:qFormat/>
    <w:uiPriority w:val="0"/>
    <w:pPr>
      <w:tabs>
        <w:tab w:val="left" w:pos="0"/>
      </w:tabs>
    </w:pPr>
    <w:rPr>
      <w:rFonts w:ascii="Arial" w:hAnsi="Arial" w:eastAsia="仿宋_GB2312" w:cs="Arial"/>
      <w:b/>
      <w:sz w:val="24"/>
      <w:szCs w:val="24"/>
    </w:rPr>
  </w:style>
  <w:style w:type="paragraph" w:customStyle="1" w:styleId="60">
    <w:name w:val="正文段"/>
    <w:basedOn w:val="1"/>
    <w:uiPriority w:val="0"/>
    <w:pPr>
      <w:widowControl/>
      <w:snapToGrid w:val="0"/>
      <w:spacing w:after="156" w:afterLines="50"/>
      <w:ind w:firstLine="200" w:firstLineChars="200"/>
    </w:pPr>
    <w:rPr>
      <w:kern w:val="0"/>
      <w:sz w:val="24"/>
      <w:szCs w:val="20"/>
    </w:rPr>
  </w:style>
  <w:style w:type="paragraph" w:customStyle="1" w:styleId="61">
    <w:name w:val=" Char Char Char Char Char Char"/>
    <w:basedOn w:val="1"/>
    <w:uiPriority w:val="0"/>
    <w:pPr>
      <w:widowControl/>
      <w:spacing w:after="160" w:line="240" w:lineRule="exact"/>
      <w:jc w:val="left"/>
    </w:pPr>
    <w:rPr>
      <w:kern w:val="0"/>
      <w:szCs w:val="20"/>
    </w:rPr>
  </w:style>
  <w:style w:type="paragraph" w:customStyle="1" w:styleId="62">
    <w:name w:val="Plain Text"/>
    <w:basedOn w:val="1"/>
    <w:uiPriority w:val="0"/>
    <w:pPr>
      <w:adjustRightInd w:val="0"/>
      <w:textAlignment w:val="baseline"/>
    </w:pPr>
    <w:rPr>
      <w:rFonts w:ascii="宋体" w:hAnsi="Courier New" w:eastAsia="楷体_GB2312"/>
      <w:sz w:val="26"/>
      <w:szCs w:val="20"/>
    </w:rPr>
  </w:style>
  <w:style w:type="paragraph" w:customStyle="1" w:styleId="63">
    <w:name w:val="1 Char Char Char Char"/>
    <w:basedOn w:val="1"/>
    <w:uiPriority w:val="0"/>
    <w:rPr>
      <w:rFonts w:ascii="Tahoma" w:hAnsi="Tahoma"/>
      <w:sz w:val="24"/>
      <w:szCs w:val="20"/>
    </w:rPr>
  </w:style>
  <w:style w:type="paragraph" w:customStyle="1" w:styleId="64">
    <w:name w:val="正文内容"/>
    <w:basedOn w:val="1"/>
    <w:qFormat/>
    <w:uiPriority w:val="0"/>
    <w:pPr>
      <w:ind w:firstLine="420" w:firstLineChars="200"/>
      <w:jc w:val="left"/>
    </w:pPr>
    <w:rPr>
      <w:rFonts w:ascii="宋体" w:hAnsi="Calibri" w:eastAsia="宋体" w:cs="Times New Roman"/>
      <w:szCs w:val="21"/>
    </w:rPr>
  </w:style>
  <w:style w:type="paragraph" w:customStyle="1" w:styleId="65">
    <w:name w:val=" Char Char12"/>
    <w:basedOn w:val="1"/>
    <w:uiPriority w:val="0"/>
    <w:rPr>
      <w:szCs w:val="21"/>
    </w:rPr>
  </w:style>
  <w:style w:type="paragraph" w:customStyle="1" w:styleId="66">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67">
    <w:name w:val="列出段落1"/>
    <w:basedOn w:val="1"/>
    <w:qFormat/>
    <w:uiPriority w:val="0"/>
    <w:pPr>
      <w:spacing w:line="360" w:lineRule="auto"/>
      <w:ind w:firstLine="420" w:firstLineChars="200"/>
    </w:pPr>
    <w:rPr>
      <w:rFonts w:ascii="Calibri" w:hAnsi="Calibri"/>
      <w:sz w:val="24"/>
      <w:szCs w:val="22"/>
    </w:rPr>
  </w:style>
  <w:style w:type="paragraph" w:customStyle="1" w:styleId="68">
    <w:name w:val="Char Char Char Char Char Char"/>
    <w:basedOn w:val="1"/>
    <w:uiPriority w:val="0"/>
    <w:pPr>
      <w:ind w:firstLine="200" w:firstLineChars="200"/>
    </w:pPr>
  </w:style>
  <w:style w:type="paragraph" w:customStyle="1" w:styleId="69">
    <w:name w:val=" Char"/>
    <w:basedOn w:val="2"/>
    <w:uiPriority w:val="0"/>
    <w:pPr>
      <w:adjustRightInd w:val="0"/>
      <w:snapToGrid w:val="0"/>
      <w:spacing w:before="240" w:beforeLines="0" w:after="240" w:afterLines="0" w:line="348" w:lineRule="auto"/>
    </w:pPr>
  </w:style>
  <w:style w:type="paragraph" w:customStyle="1" w:styleId="70">
    <w:name w:val="封面第一行"/>
    <w:basedOn w:val="1"/>
    <w:uiPriority w:val="0"/>
    <w:pPr>
      <w:spacing w:line="360" w:lineRule="auto"/>
      <w:jc w:val="center"/>
    </w:pPr>
    <w:rPr>
      <w:rFonts w:ascii="黑体" w:hAnsi="宋体" w:eastAsia="黑体" w:cs="宋体"/>
      <w:sz w:val="56"/>
      <w:szCs w:val="20"/>
    </w:rPr>
  </w:style>
  <w:style w:type="paragraph" w:customStyle="1" w:styleId="71">
    <w:name w:val="正文 New New New New New New"/>
    <w:uiPriority w:val="0"/>
    <w:pPr>
      <w:widowControl w:val="0"/>
      <w:jc w:val="both"/>
    </w:pPr>
    <w:rPr>
      <w:kern w:val="2"/>
      <w:sz w:val="21"/>
      <w:lang w:val="en-US" w:eastAsia="zh-CN" w:bidi="ar-SA"/>
    </w:rPr>
  </w:style>
  <w:style w:type="paragraph" w:customStyle="1" w:styleId="72">
    <w:name w:val="_Style 2"/>
    <w:basedOn w:val="1"/>
    <w:qFormat/>
    <w:uiPriority w:val="0"/>
    <w:pPr>
      <w:ind w:firstLine="420" w:firstLineChars="200"/>
    </w:pPr>
    <w:rPr>
      <w:rFonts w:ascii="Calibri" w:hAnsi="Calibri"/>
      <w:szCs w:val="22"/>
    </w:rPr>
  </w:style>
  <w:style w:type="paragraph" w:customStyle="1" w:styleId="73">
    <w:name w:val="表内文字"/>
    <w:basedOn w:val="1"/>
    <w:uiPriority w:val="0"/>
    <w:pPr>
      <w:tabs>
        <w:tab w:val="left" w:pos="1418"/>
      </w:tabs>
      <w:spacing w:line="360" w:lineRule="auto"/>
      <w:jc w:val="center"/>
    </w:pPr>
    <w:rPr>
      <w:rFonts w:ascii="仿宋_GB2312" w:eastAsia="仿宋_GB2312"/>
      <w:spacing w:val="-20"/>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70</Pages>
  <Words>7971</Words>
  <Characters>45439</Characters>
  <Lines>378</Lines>
  <Paragraphs>106</Paragraphs>
  <TotalTime>0</TotalTime>
  <ScaleCrop>false</ScaleCrop>
  <LinksUpToDate>false</LinksUpToDate>
  <CharactersWithSpaces>53304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2020-03-19T13:04:00Z</dcterms:created>
  <dc:creator>黄旭明</dc:creator>
  <cp:lastModifiedBy>WPS_1701756769</cp:lastModifiedBy>
  <cp:lastPrinted>2020-06-23T00:24:00Z</cp:lastPrinted>
  <dcterms:modified xsi:type="dcterms:W3CDTF">2024-02-23T05:41:46Z</dcterms:modified>
  <cp:revision>2</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83FB32104A7049C4B5DD7CBB3EEA4CC6_13</vt:lpwstr>
  </property>
</Properties>
</file>