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89532">
      <w:pPr>
        <w:ind w:left="599" w:leftChars="-202" w:right="-521" w:rightChars="-248" w:hanging="1023" w:hangingChars="142"/>
        <w:jc w:val="center"/>
        <w:outlineLvl w:val="0"/>
        <w:rPr>
          <w:rFonts w:hint="eastAsia" w:ascii="微软雅黑" w:hAnsi="微软雅黑" w:cs="微软雅黑"/>
          <w:b/>
          <w:bCs/>
          <w:color w:val="auto"/>
          <w:sz w:val="72"/>
          <w:szCs w:val="72"/>
          <w:highlight w:val="none"/>
        </w:rPr>
      </w:pPr>
      <w:bookmarkStart w:id="0" w:name="_Toc24825"/>
      <w:bookmarkStart w:id="1" w:name="_Toc15366"/>
      <w:bookmarkStart w:id="2" w:name="_Toc12262"/>
      <w:bookmarkStart w:id="3" w:name="_Toc11060"/>
      <w:r>
        <w:rPr>
          <w:rFonts w:hint="eastAsia" w:ascii="微软雅黑" w:hAnsi="微软雅黑" w:cs="微软雅黑"/>
          <w:b/>
          <w:bCs/>
          <w:color w:val="auto"/>
          <w:sz w:val="72"/>
          <w:szCs w:val="72"/>
          <w:highlight w:val="none"/>
        </w:rPr>
        <w:t>政府采购电子交易项目</w:t>
      </w:r>
      <w:bookmarkEnd w:id="0"/>
      <w:bookmarkEnd w:id="1"/>
      <w:bookmarkEnd w:id="2"/>
      <w:bookmarkEnd w:id="3"/>
    </w:p>
    <w:p w14:paraId="5E009493">
      <w:pPr>
        <w:pStyle w:val="277"/>
        <w:jc w:val="center"/>
        <w:rPr>
          <w:rFonts w:hint="eastAsia" w:ascii="方正粗黑宋简体" w:hAnsi="方正粗黑宋简体" w:eastAsia="方正粗黑宋简体"/>
          <w:color w:val="auto"/>
          <w:sz w:val="72"/>
          <w:szCs w:val="72"/>
          <w:highlight w:val="none"/>
        </w:rPr>
      </w:pPr>
      <w:r>
        <w:rPr>
          <w:rFonts w:hint="eastAsia" w:ascii="方正粗黑宋简体" w:hAnsi="方正粗黑宋简体" w:eastAsia="方正粗黑宋简体"/>
          <w:color w:val="auto"/>
          <w:sz w:val="72"/>
          <w:szCs w:val="72"/>
          <w:highlight w:val="none"/>
        </w:rPr>
        <w:t>公开招标采购文件</w:t>
      </w:r>
    </w:p>
    <w:p w14:paraId="5750BD71">
      <w:pPr>
        <w:pStyle w:val="277"/>
        <w:jc w:val="center"/>
        <w:rPr>
          <w:rFonts w:hint="eastAsia" w:ascii="方正粗黑宋简体" w:hAnsi="方正粗黑宋简体" w:eastAsia="方正粗黑宋简体"/>
          <w:color w:val="auto"/>
          <w:sz w:val="52"/>
          <w:szCs w:val="52"/>
          <w:highlight w:val="none"/>
        </w:rPr>
      </w:pPr>
    </w:p>
    <w:p w14:paraId="4F80836C">
      <w:pPr>
        <w:ind w:left="120" w:leftChars="-337" w:right="-804" w:rightChars="-383" w:hanging="828" w:hangingChars="230"/>
        <w:jc w:val="center"/>
        <w:rPr>
          <w:rFonts w:hint="eastAsia" w:ascii="微软雅黑" w:hAnsi="微软雅黑"/>
          <w:b/>
          <w:bCs/>
          <w:color w:val="auto"/>
          <w:sz w:val="36"/>
          <w:szCs w:val="36"/>
          <w:highlight w:val="none"/>
        </w:rPr>
      </w:pPr>
      <w:r>
        <w:rPr>
          <w:rFonts w:ascii="微软雅黑" w:hAnsi="微软雅黑"/>
          <w:b/>
          <w:bCs/>
          <w:color w:val="auto"/>
          <w:sz w:val="36"/>
          <w:szCs w:val="36"/>
          <w:highlight w:val="none"/>
        </w:rPr>
        <w:drawing>
          <wp:inline distT="0" distB="0" distL="0" distR="0">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28"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103EAB3E">
      <w:pPr>
        <w:pStyle w:val="30"/>
        <w:pBdr>
          <w:bottom w:val="thinThickThinMediumGap" w:color="auto" w:sz="18" w:space="1"/>
        </w:pBdr>
        <w:ind w:firstLine="532"/>
        <w:jc w:val="distribute"/>
        <w:rPr>
          <w:rFonts w:hint="eastAsia" w:ascii="微软雅黑" w:hAnsi="微软雅黑"/>
          <w:b/>
          <w:bCs/>
          <w:color w:val="auto"/>
          <w:w w:val="95"/>
          <w:sz w:val="28"/>
          <w:szCs w:val="28"/>
          <w:highlight w:val="none"/>
        </w:rPr>
      </w:pPr>
    </w:p>
    <w:p w14:paraId="4F3C174E">
      <w:pPr>
        <w:pStyle w:val="30"/>
        <w:pBdr>
          <w:bottom w:val="thinThickThinMediumGap" w:color="auto" w:sz="18" w:space="1"/>
        </w:pBdr>
        <w:ind w:firstLine="0" w:firstLineChars="0"/>
        <w:jc w:val="distribute"/>
        <w:outlineLvl w:val="0"/>
        <w:rPr>
          <w:rFonts w:hint="eastAsia" w:ascii="微软雅黑" w:hAnsi="微软雅黑"/>
          <w:b/>
          <w:bCs/>
          <w:color w:val="auto"/>
          <w:w w:val="95"/>
          <w:sz w:val="28"/>
          <w:szCs w:val="28"/>
          <w:highlight w:val="none"/>
        </w:rPr>
      </w:pPr>
      <w:bookmarkStart w:id="4" w:name="_Toc31634"/>
      <w:bookmarkStart w:id="5" w:name="_Toc26463"/>
      <w:bookmarkStart w:id="6" w:name="_Toc32224"/>
      <w:bookmarkStart w:id="7" w:name="_Toc18138"/>
      <w:r>
        <w:rPr>
          <w:rFonts w:hint="eastAsia" w:ascii="微软雅黑" w:hAnsi="微软雅黑"/>
          <w:b/>
          <w:bCs/>
          <w:color w:val="auto"/>
          <w:w w:val="95"/>
          <w:sz w:val="28"/>
          <w:szCs w:val="28"/>
          <w:highlight w:val="none"/>
        </w:rPr>
        <w:t>嘉兴市千秋工程咨询有限公司</w:t>
      </w:r>
      <w:bookmarkEnd w:id="4"/>
      <w:bookmarkEnd w:id="5"/>
      <w:bookmarkEnd w:id="6"/>
      <w:bookmarkEnd w:id="7"/>
    </w:p>
    <w:p w14:paraId="4F56E480">
      <w:pPr>
        <w:pStyle w:val="30"/>
        <w:pBdr>
          <w:bottom w:val="thinThickThinMediumGap" w:color="auto" w:sz="18" w:space="1"/>
        </w:pBdr>
        <w:ind w:firstLine="0" w:firstLineChars="0"/>
        <w:jc w:val="distribute"/>
        <w:rPr>
          <w:rFonts w:hint="eastAsia" w:ascii="微软雅黑" w:hAnsi="微软雅黑"/>
          <w:b/>
          <w:bCs/>
          <w:color w:val="auto"/>
          <w:w w:val="95"/>
          <w:sz w:val="28"/>
          <w:szCs w:val="28"/>
          <w:highlight w:val="none"/>
        </w:rPr>
      </w:pPr>
      <w:r>
        <w:rPr>
          <w:rFonts w:hint="eastAsia" w:ascii="微软雅黑" w:hAnsi="微软雅黑"/>
          <w:b/>
          <w:bCs/>
          <w:color w:val="auto"/>
          <w:w w:val="95"/>
          <w:sz w:val="28"/>
          <w:szCs w:val="28"/>
          <w:highlight w:val="none"/>
        </w:rPr>
        <w:t>Jiaxing Qianqiu Engineering Consulting Co., Ltd</w:t>
      </w:r>
    </w:p>
    <w:p w14:paraId="5388E22F">
      <w:pPr>
        <w:pStyle w:val="30"/>
        <w:ind w:right="-269" w:rightChars="-128" w:firstLine="0" w:firstLineChars="0"/>
        <w:rPr>
          <w:rFonts w:hint="eastAsia" w:ascii="微软雅黑" w:hAnsi="微软雅黑"/>
          <w:bCs/>
          <w:color w:val="auto"/>
          <w:w w:val="95"/>
          <w:sz w:val="28"/>
          <w:szCs w:val="28"/>
          <w:highlight w:val="none"/>
        </w:rPr>
      </w:pPr>
      <w:r>
        <w:rPr>
          <w:rFonts w:hint="eastAsia" w:ascii="微软雅黑" w:hAnsi="微软雅黑"/>
          <w:bCs/>
          <w:color w:val="auto"/>
          <w:w w:val="95"/>
          <w:sz w:val="28"/>
          <w:szCs w:val="28"/>
          <w:highlight w:val="none"/>
        </w:rPr>
        <w:t>项目名称：王江泾镇乍嘉苏航道长虹桥绕行周边地块规划设计编制服务项目</w:t>
      </w:r>
    </w:p>
    <w:p w14:paraId="4559FD31">
      <w:pPr>
        <w:pStyle w:val="30"/>
        <w:ind w:firstLine="0" w:firstLineChars="0"/>
        <w:rPr>
          <w:rFonts w:hint="eastAsia" w:ascii="微软雅黑" w:hAnsi="微软雅黑"/>
          <w:bCs/>
          <w:color w:val="auto"/>
          <w:w w:val="95"/>
          <w:sz w:val="28"/>
          <w:szCs w:val="28"/>
          <w:highlight w:val="none"/>
        </w:rPr>
      </w:pPr>
      <w:r>
        <w:rPr>
          <w:rFonts w:hint="eastAsia" w:ascii="微软雅黑" w:hAnsi="微软雅黑"/>
          <w:bCs/>
          <w:color w:val="auto"/>
          <w:w w:val="95"/>
          <w:sz w:val="28"/>
          <w:szCs w:val="28"/>
          <w:highlight w:val="none"/>
        </w:rPr>
        <w:t>招标编号：千秋-JXQQGK（2025）第27号</w:t>
      </w:r>
    </w:p>
    <w:p w14:paraId="28530BA8">
      <w:pPr>
        <w:pStyle w:val="30"/>
        <w:ind w:firstLine="0" w:firstLineChars="0"/>
        <w:rPr>
          <w:rFonts w:hint="eastAsia" w:ascii="微软雅黑" w:hAnsi="微软雅黑"/>
          <w:bCs/>
          <w:color w:val="auto"/>
          <w:w w:val="95"/>
          <w:sz w:val="28"/>
          <w:szCs w:val="28"/>
          <w:highlight w:val="none"/>
        </w:rPr>
      </w:pPr>
      <w:r>
        <w:rPr>
          <w:rFonts w:hint="eastAsia" w:ascii="微软雅黑" w:hAnsi="微软雅黑"/>
          <w:bCs/>
          <w:color w:val="auto"/>
          <w:w w:val="95"/>
          <w:sz w:val="28"/>
          <w:szCs w:val="28"/>
          <w:highlight w:val="none"/>
        </w:rPr>
        <w:t>采 购 人：嘉兴市秀洲区王江镇人民政府</w:t>
      </w:r>
    </w:p>
    <w:p w14:paraId="14F2F11E">
      <w:pPr>
        <w:pStyle w:val="30"/>
        <w:ind w:firstLine="0" w:firstLineChars="0"/>
        <w:rPr>
          <w:rFonts w:hint="eastAsia" w:ascii="微软雅黑" w:hAnsi="微软雅黑"/>
          <w:bCs/>
          <w:color w:val="auto"/>
          <w:w w:val="95"/>
          <w:sz w:val="28"/>
          <w:szCs w:val="28"/>
          <w:highlight w:val="none"/>
        </w:rPr>
      </w:pPr>
      <w:r>
        <w:rPr>
          <w:rFonts w:hint="eastAsia" w:ascii="微软雅黑" w:hAnsi="微软雅黑"/>
          <w:bCs/>
          <w:color w:val="auto"/>
          <w:w w:val="95"/>
          <w:sz w:val="28"/>
          <w:szCs w:val="28"/>
          <w:highlight w:val="none"/>
        </w:rPr>
        <w:t>代理机构：嘉兴市千秋工程咨询有限公司</w:t>
      </w:r>
    </w:p>
    <w:p w14:paraId="4718D182">
      <w:pPr>
        <w:pStyle w:val="30"/>
        <w:ind w:firstLine="0" w:firstLineChars="0"/>
        <w:rPr>
          <w:rFonts w:hint="eastAsia" w:ascii="微软雅黑" w:hAnsi="微软雅黑"/>
          <w:b/>
          <w:color w:val="auto"/>
          <w:sz w:val="28"/>
          <w:szCs w:val="28"/>
          <w:highlight w:val="none"/>
        </w:rPr>
      </w:pPr>
      <w:bookmarkStart w:id="8" w:name="_Toc50012812"/>
      <w:r>
        <w:rPr>
          <w:rFonts w:hint="eastAsia" w:ascii="微软雅黑" w:hAnsi="微软雅黑"/>
          <w:bCs/>
          <w:color w:val="auto"/>
          <w:w w:val="95"/>
          <w:sz w:val="28"/>
          <w:szCs w:val="28"/>
          <w:highlight w:val="none"/>
        </w:rPr>
        <w:t>日    期：2025年</w:t>
      </w:r>
      <w:r>
        <w:rPr>
          <w:rFonts w:hint="eastAsia" w:ascii="微软雅黑" w:hAnsi="微软雅黑"/>
          <w:bCs/>
          <w:color w:val="auto"/>
          <w:w w:val="95"/>
          <w:sz w:val="28"/>
          <w:szCs w:val="28"/>
          <w:highlight w:val="none"/>
          <w:lang w:val="en-US" w:eastAsia="zh-CN"/>
        </w:rPr>
        <w:t>7</w:t>
      </w:r>
      <w:r>
        <w:rPr>
          <w:rFonts w:hint="eastAsia" w:ascii="微软雅黑" w:hAnsi="微软雅黑"/>
          <w:bCs/>
          <w:color w:val="auto"/>
          <w:w w:val="95"/>
          <w:sz w:val="28"/>
          <w:szCs w:val="28"/>
          <w:highlight w:val="none"/>
        </w:rPr>
        <w:t>月</w:t>
      </w:r>
      <w:r>
        <w:rPr>
          <w:rFonts w:hint="eastAsia" w:ascii="微软雅黑" w:hAnsi="微软雅黑"/>
          <w:bCs/>
          <w:color w:val="auto"/>
          <w:w w:val="95"/>
          <w:sz w:val="28"/>
          <w:szCs w:val="28"/>
          <w:highlight w:val="none"/>
          <w:lang w:val="en-US" w:eastAsia="zh-CN"/>
        </w:rPr>
        <w:t>04</w:t>
      </w:r>
      <w:r>
        <w:rPr>
          <w:rFonts w:hint="eastAsia" w:ascii="微软雅黑" w:hAnsi="微软雅黑"/>
          <w:bCs/>
          <w:color w:val="auto"/>
          <w:w w:val="95"/>
          <w:sz w:val="28"/>
          <w:szCs w:val="28"/>
          <w:highlight w:val="none"/>
        </w:rPr>
        <w:t>日</w:t>
      </w:r>
      <w:bookmarkEnd w:id="8"/>
    </w:p>
    <w:p w14:paraId="4E5F8622">
      <w:pPr>
        <w:pStyle w:val="128"/>
        <w:spacing w:before="0" w:line="360" w:lineRule="auto"/>
        <w:rPr>
          <w:rFonts w:hint="eastAsia" w:ascii="微软雅黑" w:hAnsi="微软雅黑"/>
          <w:color w:val="auto"/>
          <w:highlight w:val="none"/>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74" w:right="1558" w:bottom="1247" w:left="1797" w:header="851" w:footer="851" w:gutter="0"/>
          <w:cols w:space="720" w:num="1"/>
          <w:docGrid w:linePitch="312" w:charSpace="0"/>
        </w:sectPr>
      </w:pPr>
    </w:p>
    <w:p w14:paraId="54BCC8CA">
      <w:pPr>
        <w:pStyle w:val="299"/>
        <w:rPr>
          <w:rFonts w:hint="eastAsia"/>
          <w:color w:val="auto"/>
          <w:sz w:val="40"/>
          <w:szCs w:val="40"/>
          <w:highlight w:val="none"/>
        </w:rPr>
      </w:pPr>
    </w:p>
    <w:sdt>
      <w:sdtPr>
        <w:rPr>
          <w:rFonts w:ascii="宋体" w:hAnsi="宋体" w:eastAsia="宋体"/>
          <w:color w:val="auto"/>
          <w:sz w:val="40"/>
          <w:szCs w:val="40"/>
          <w:highlight w:val="none"/>
        </w:rPr>
        <w:id w:val="147478461"/>
        <w15:color w:val="DBDBDB"/>
        <w:docPartObj>
          <w:docPartGallery w:val="Table of Contents"/>
          <w:docPartUnique/>
        </w:docPartObj>
      </w:sdtPr>
      <w:sdtEndPr>
        <w:rPr>
          <w:rFonts w:ascii="宋体" w:hAnsi="宋体" w:eastAsia="宋体"/>
          <w:b/>
          <w:color w:val="auto"/>
          <w:sz w:val="40"/>
          <w:szCs w:val="40"/>
          <w:highlight w:val="none"/>
        </w:rPr>
      </w:sdtEndPr>
      <w:sdtContent>
        <w:p w14:paraId="696FC98B">
          <w:pPr>
            <w:spacing w:line="240" w:lineRule="auto"/>
            <w:ind w:firstLine="0" w:firstLineChars="0"/>
            <w:jc w:val="center"/>
            <w:rPr>
              <w:color w:val="auto"/>
              <w:sz w:val="40"/>
              <w:szCs w:val="40"/>
              <w:highlight w:val="none"/>
            </w:rPr>
          </w:pPr>
          <w:r>
            <w:rPr>
              <w:rFonts w:ascii="宋体" w:hAnsi="宋体" w:eastAsia="宋体"/>
              <w:color w:val="auto"/>
              <w:sz w:val="40"/>
              <w:szCs w:val="40"/>
              <w:highlight w:val="none"/>
            </w:rPr>
            <w:t>目录</w:t>
          </w:r>
        </w:p>
        <w:p w14:paraId="46B36374">
          <w:pPr>
            <w:pStyle w:val="38"/>
            <w:tabs>
              <w:tab w:val="right" w:leader="dot" w:pos="8312"/>
              <w:tab w:val="clear" w:pos="9060"/>
            </w:tabs>
            <w:spacing w:line="240" w:lineRule="auto"/>
            <w:ind w:firstLine="720"/>
            <w:rPr>
              <w:rFonts w:hint="eastAsia" w:ascii="宋体" w:hAnsi="宋体" w:eastAsia="宋体" w:cs="宋体"/>
              <w:color w:val="auto"/>
              <w:sz w:val="24"/>
              <w:szCs w:val="24"/>
              <w:highlight w:val="none"/>
            </w:rPr>
          </w:pPr>
          <w:r>
            <w:rPr>
              <w:color w:val="auto"/>
              <w:highlight w:val="none"/>
            </w:rPr>
            <w:fldChar w:fldCharType="begin"/>
          </w:r>
          <w:r>
            <w:rPr>
              <w:color w:val="auto"/>
              <w:highlight w:val="none"/>
            </w:rPr>
            <w:instrText xml:space="preserve">TOC \o "1-2" \h \u </w:instrText>
          </w:r>
          <w:r>
            <w:rPr>
              <w:color w:val="auto"/>
              <w:highlight w:val="none"/>
            </w:rPr>
            <w:fldChar w:fldCharType="separate"/>
          </w:r>
        </w:p>
        <w:p w14:paraId="7DF3CB5F">
          <w:pPr>
            <w:pStyle w:val="38"/>
            <w:tabs>
              <w:tab w:val="right" w:leader="dot" w:pos="8312"/>
              <w:tab w:val="clear" w:pos="9060"/>
            </w:tabs>
            <w:spacing w:line="240" w:lineRule="auto"/>
            <w:ind w:firstLine="0" w:firstLineChars="0"/>
            <w:rPr>
              <w:rFonts w:hint="eastAsia" w:ascii="微软雅黑" w:hAnsi="微软雅黑" w:eastAsia="微软雅黑" w:cs="微软雅黑"/>
              <w:color w:val="auto"/>
              <w:sz w:val="24"/>
              <w:szCs w:val="24"/>
              <w:highlight w:val="none"/>
            </w:rPr>
          </w:pPr>
          <w:r>
            <w:rPr>
              <w:color w:val="auto"/>
              <w:highlight w:val="none"/>
            </w:rPr>
            <w:fldChar w:fldCharType="begin"/>
          </w:r>
          <w:r>
            <w:rPr>
              <w:color w:val="auto"/>
              <w:highlight w:val="none"/>
            </w:rPr>
            <w:instrText xml:space="preserve"> HYPERLINK \l "_Toc23056" </w:instrText>
          </w:r>
          <w:r>
            <w:rPr>
              <w:color w:val="auto"/>
              <w:highlight w:val="none"/>
            </w:rPr>
            <w:fldChar w:fldCharType="separate"/>
          </w:r>
          <w:r>
            <w:rPr>
              <w:rFonts w:hint="eastAsia" w:ascii="微软雅黑" w:hAnsi="微软雅黑" w:eastAsia="微软雅黑" w:cs="微软雅黑"/>
              <w:color w:val="auto"/>
              <w:sz w:val="24"/>
              <w:szCs w:val="24"/>
              <w:highlight w:val="none"/>
            </w:rPr>
            <w:t>第一章 公开招标采购公告</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 PAGEREF _Toc23056 \h </w:instrText>
          </w:r>
          <w:r>
            <w:rPr>
              <w:rFonts w:hint="eastAsia" w:ascii="微软雅黑" w:hAnsi="微软雅黑" w:eastAsia="微软雅黑" w:cs="微软雅黑"/>
              <w:color w:val="auto"/>
              <w:sz w:val="24"/>
              <w:szCs w:val="24"/>
              <w:highlight w:val="none"/>
            </w:rPr>
            <w:fldChar w:fldCharType="separate"/>
          </w:r>
          <w:r>
            <w:rPr>
              <w:rFonts w:hint="eastAsia" w:ascii="微软雅黑" w:hAnsi="微软雅黑" w:eastAsia="微软雅黑" w:cs="微软雅黑"/>
              <w:color w:val="auto"/>
              <w:sz w:val="24"/>
              <w:szCs w:val="24"/>
              <w:highlight w:val="none"/>
            </w:rPr>
            <w:t>3</w:t>
          </w:r>
          <w:r>
            <w:rPr>
              <w:rFonts w:hint="eastAsia" w:ascii="微软雅黑" w:hAnsi="微软雅黑" w:eastAsia="微软雅黑" w:cs="微软雅黑"/>
              <w:color w:val="auto"/>
              <w:sz w:val="24"/>
              <w:szCs w:val="24"/>
              <w:highlight w:val="none"/>
            </w:rPr>
            <w:fldChar w:fldCharType="end"/>
          </w:r>
          <w:r>
            <w:rPr>
              <w:rFonts w:hint="eastAsia" w:ascii="微软雅黑" w:hAnsi="微软雅黑" w:eastAsia="微软雅黑" w:cs="微软雅黑"/>
              <w:color w:val="auto"/>
              <w:sz w:val="24"/>
              <w:szCs w:val="24"/>
              <w:highlight w:val="none"/>
            </w:rPr>
            <w:fldChar w:fldCharType="end"/>
          </w:r>
        </w:p>
        <w:p w14:paraId="7C5AE8BC">
          <w:pPr>
            <w:pStyle w:val="38"/>
            <w:tabs>
              <w:tab w:val="right" w:leader="dot" w:pos="8312"/>
              <w:tab w:val="clear" w:pos="9060"/>
            </w:tabs>
            <w:spacing w:line="240" w:lineRule="auto"/>
            <w:ind w:firstLine="0" w:firstLineChars="0"/>
            <w:rPr>
              <w:rFonts w:hint="eastAsia" w:ascii="微软雅黑" w:hAnsi="微软雅黑" w:eastAsia="微软雅黑" w:cs="微软雅黑"/>
              <w:color w:val="auto"/>
              <w:sz w:val="24"/>
              <w:szCs w:val="24"/>
              <w:highlight w:val="none"/>
            </w:rPr>
          </w:pPr>
          <w:r>
            <w:rPr>
              <w:color w:val="auto"/>
              <w:highlight w:val="none"/>
            </w:rPr>
            <w:fldChar w:fldCharType="begin"/>
          </w:r>
          <w:r>
            <w:rPr>
              <w:color w:val="auto"/>
              <w:highlight w:val="none"/>
            </w:rPr>
            <w:instrText xml:space="preserve"> HYPERLINK \l "_Toc22" </w:instrText>
          </w:r>
          <w:r>
            <w:rPr>
              <w:color w:val="auto"/>
              <w:highlight w:val="none"/>
            </w:rPr>
            <w:fldChar w:fldCharType="separate"/>
          </w:r>
          <w:r>
            <w:rPr>
              <w:rFonts w:hint="eastAsia" w:ascii="微软雅黑" w:hAnsi="微软雅黑" w:eastAsia="微软雅黑" w:cs="微软雅黑"/>
              <w:color w:val="auto"/>
              <w:sz w:val="24"/>
              <w:szCs w:val="24"/>
              <w:highlight w:val="none"/>
            </w:rPr>
            <w:t>第二章 招标项目要求</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 PAGEREF _Toc22 \h </w:instrText>
          </w:r>
          <w:r>
            <w:rPr>
              <w:rFonts w:hint="eastAsia" w:ascii="微软雅黑" w:hAnsi="微软雅黑" w:eastAsia="微软雅黑" w:cs="微软雅黑"/>
              <w:color w:val="auto"/>
              <w:sz w:val="24"/>
              <w:szCs w:val="24"/>
              <w:highlight w:val="none"/>
            </w:rPr>
            <w:fldChar w:fldCharType="separate"/>
          </w:r>
          <w:r>
            <w:rPr>
              <w:rFonts w:hint="eastAsia" w:ascii="微软雅黑" w:hAnsi="微软雅黑" w:eastAsia="微软雅黑" w:cs="微软雅黑"/>
              <w:color w:val="auto"/>
              <w:sz w:val="24"/>
              <w:szCs w:val="24"/>
              <w:highlight w:val="none"/>
            </w:rPr>
            <w:t>9</w:t>
          </w:r>
          <w:r>
            <w:rPr>
              <w:rFonts w:hint="eastAsia" w:ascii="微软雅黑" w:hAnsi="微软雅黑" w:eastAsia="微软雅黑" w:cs="微软雅黑"/>
              <w:color w:val="auto"/>
              <w:sz w:val="24"/>
              <w:szCs w:val="24"/>
              <w:highlight w:val="none"/>
            </w:rPr>
            <w:fldChar w:fldCharType="end"/>
          </w:r>
          <w:r>
            <w:rPr>
              <w:rFonts w:hint="eastAsia" w:ascii="微软雅黑" w:hAnsi="微软雅黑" w:eastAsia="微软雅黑" w:cs="微软雅黑"/>
              <w:color w:val="auto"/>
              <w:sz w:val="24"/>
              <w:szCs w:val="24"/>
              <w:highlight w:val="none"/>
            </w:rPr>
            <w:fldChar w:fldCharType="end"/>
          </w:r>
        </w:p>
        <w:p w14:paraId="61A304A7">
          <w:pPr>
            <w:pStyle w:val="38"/>
            <w:tabs>
              <w:tab w:val="right" w:leader="dot" w:pos="8312"/>
              <w:tab w:val="clear" w:pos="9060"/>
            </w:tabs>
            <w:spacing w:line="240" w:lineRule="auto"/>
            <w:ind w:firstLine="0" w:firstLineChars="0"/>
            <w:rPr>
              <w:rFonts w:hint="eastAsia" w:ascii="微软雅黑" w:hAnsi="微软雅黑" w:eastAsia="微软雅黑" w:cs="微软雅黑"/>
              <w:color w:val="auto"/>
              <w:sz w:val="24"/>
              <w:szCs w:val="24"/>
              <w:highlight w:val="none"/>
            </w:rPr>
          </w:pPr>
          <w:r>
            <w:rPr>
              <w:color w:val="auto"/>
              <w:highlight w:val="none"/>
            </w:rPr>
            <w:fldChar w:fldCharType="begin"/>
          </w:r>
          <w:r>
            <w:rPr>
              <w:color w:val="auto"/>
              <w:highlight w:val="none"/>
            </w:rPr>
            <w:instrText xml:space="preserve"> HYPERLINK \l "_Toc30577" </w:instrText>
          </w:r>
          <w:r>
            <w:rPr>
              <w:color w:val="auto"/>
              <w:highlight w:val="none"/>
            </w:rPr>
            <w:fldChar w:fldCharType="separate"/>
          </w:r>
          <w:r>
            <w:rPr>
              <w:rFonts w:hint="eastAsia" w:ascii="微软雅黑" w:hAnsi="微软雅黑" w:eastAsia="微软雅黑" w:cs="微软雅黑"/>
              <w:color w:val="auto"/>
              <w:sz w:val="24"/>
              <w:szCs w:val="24"/>
              <w:highlight w:val="none"/>
            </w:rPr>
            <w:t>第三章 投标人须知</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 PAGEREF _Toc30577 \h </w:instrText>
          </w:r>
          <w:r>
            <w:rPr>
              <w:rFonts w:hint="eastAsia" w:ascii="微软雅黑" w:hAnsi="微软雅黑" w:eastAsia="微软雅黑" w:cs="微软雅黑"/>
              <w:color w:val="auto"/>
              <w:sz w:val="24"/>
              <w:szCs w:val="24"/>
              <w:highlight w:val="none"/>
            </w:rPr>
            <w:fldChar w:fldCharType="separate"/>
          </w:r>
          <w:r>
            <w:rPr>
              <w:rFonts w:hint="eastAsia" w:ascii="微软雅黑" w:hAnsi="微软雅黑" w:eastAsia="微软雅黑" w:cs="微软雅黑"/>
              <w:color w:val="auto"/>
              <w:sz w:val="24"/>
              <w:szCs w:val="24"/>
              <w:highlight w:val="none"/>
            </w:rPr>
            <w:t>12</w:t>
          </w:r>
          <w:r>
            <w:rPr>
              <w:rFonts w:hint="eastAsia" w:ascii="微软雅黑" w:hAnsi="微软雅黑" w:eastAsia="微软雅黑" w:cs="微软雅黑"/>
              <w:color w:val="auto"/>
              <w:sz w:val="24"/>
              <w:szCs w:val="24"/>
              <w:highlight w:val="none"/>
            </w:rPr>
            <w:fldChar w:fldCharType="end"/>
          </w:r>
          <w:r>
            <w:rPr>
              <w:rFonts w:hint="eastAsia" w:ascii="微软雅黑" w:hAnsi="微软雅黑" w:eastAsia="微软雅黑" w:cs="微软雅黑"/>
              <w:color w:val="auto"/>
              <w:sz w:val="24"/>
              <w:szCs w:val="24"/>
              <w:highlight w:val="none"/>
            </w:rPr>
            <w:fldChar w:fldCharType="end"/>
          </w:r>
        </w:p>
        <w:p w14:paraId="7CC913B7">
          <w:pPr>
            <w:pStyle w:val="46"/>
            <w:tabs>
              <w:tab w:val="right" w:leader="dot" w:pos="8312"/>
              <w:tab w:val="clear" w:pos="8296"/>
            </w:tabs>
            <w:spacing w:line="240" w:lineRule="auto"/>
            <w:ind w:left="0" w:firstLine="0" w:firstLineChars="0"/>
            <w:rPr>
              <w:rFonts w:hint="eastAsia" w:ascii="微软雅黑" w:hAnsi="微软雅黑" w:cs="微软雅黑"/>
              <w:b w:val="0"/>
              <w:bCs/>
              <w:color w:val="auto"/>
              <w:sz w:val="24"/>
              <w:highlight w:val="none"/>
            </w:rPr>
          </w:pPr>
          <w:r>
            <w:rPr>
              <w:color w:val="auto"/>
              <w:highlight w:val="none"/>
            </w:rPr>
            <w:fldChar w:fldCharType="begin"/>
          </w:r>
          <w:r>
            <w:rPr>
              <w:color w:val="auto"/>
              <w:highlight w:val="none"/>
            </w:rPr>
            <w:instrText xml:space="preserve"> HYPERLINK \l "_Toc15851" </w:instrText>
          </w:r>
          <w:r>
            <w:rPr>
              <w:color w:val="auto"/>
              <w:highlight w:val="none"/>
            </w:rPr>
            <w:fldChar w:fldCharType="separate"/>
          </w:r>
          <w:r>
            <w:rPr>
              <w:rFonts w:hint="eastAsia" w:ascii="微软雅黑" w:hAnsi="微软雅黑" w:cs="微软雅黑"/>
              <w:b w:val="0"/>
              <w:bCs/>
              <w:color w:val="auto"/>
              <w:sz w:val="24"/>
              <w:highlight w:val="none"/>
            </w:rPr>
            <w:t>电子交易注意事项</w:t>
          </w:r>
          <w:r>
            <w:rPr>
              <w:rFonts w:hint="eastAsia" w:ascii="微软雅黑" w:hAnsi="微软雅黑" w:cs="微软雅黑"/>
              <w:b w:val="0"/>
              <w:bCs/>
              <w:color w:val="auto"/>
              <w:sz w:val="24"/>
              <w:highlight w:val="none"/>
            </w:rPr>
            <w:tab/>
          </w:r>
          <w:r>
            <w:rPr>
              <w:rFonts w:hint="eastAsia" w:ascii="微软雅黑" w:hAnsi="微软雅黑" w:cs="微软雅黑"/>
              <w:b w:val="0"/>
              <w:bCs/>
              <w:color w:val="auto"/>
              <w:sz w:val="24"/>
              <w:highlight w:val="none"/>
            </w:rPr>
            <w:fldChar w:fldCharType="begin"/>
          </w:r>
          <w:r>
            <w:rPr>
              <w:rFonts w:hint="eastAsia" w:ascii="微软雅黑" w:hAnsi="微软雅黑" w:cs="微软雅黑"/>
              <w:b w:val="0"/>
              <w:bCs/>
              <w:color w:val="auto"/>
              <w:sz w:val="24"/>
              <w:highlight w:val="none"/>
            </w:rPr>
            <w:instrText xml:space="preserve"> PAGEREF _Toc15851 \h </w:instrText>
          </w:r>
          <w:r>
            <w:rPr>
              <w:rFonts w:hint="eastAsia" w:ascii="微软雅黑" w:hAnsi="微软雅黑" w:cs="微软雅黑"/>
              <w:b w:val="0"/>
              <w:bCs/>
              <w:color w:val="auto"/>
              <w:sz w:val="24"/>
              <w:highlight w:val="none"/>
            </w:rPr>
            <w:fldChar w:fldCharType="separate"/>
          </w:r>
          <w:r>
            <w:rPr>
              <w:rFonts w:hint="eastAsia" w:ascii="微软雅黑" w:hAnsi="微软雅黑" w:cs="微软雅黑"/>
              <w:b w:val="0"/>
              <w:bCs/>
              <w:color w:val="auto"/>
              <w:sz w:val="24"/>
              <w:highlight w:val="none"/>
            </w:rPr>
            <w:t>12</w:t>
          </w:r>
          <w:r>
            <w:rPr>
              <w:rFonts w:hint="eastAsia" w:ascii="微软雅黑" w:hAnsi="微软雅黑" w:cs="微软雅黑"/>
              <w:b w:val="0"/>
              <w:bCs/>
              <w:color w:val="auto"/>
              <w:sz w:val="24"/>
              <w:highlight w:val="none"/>
            </w:rPr>
            <w:fldChar w:fldCharType="end"/>
          </w:r>
          <w:r>
            <w:rPr>
              <w:rFonts w:hint="eastAsia" w:ascii="微软雅黑" w:hAnsi="微软雅黑" w:cs="微软雅黑"/>
              <w:b w:val="0"/>
              <w:bCs/>
              <w:color w:val="auto"/>
              <w:sz w:val="24"/>
              <w:highlight w:val="none"/>
            </w:rPr>
            <w:fldChar w:fldCharType="end"/>
          </w:r>
        </w:p>
        <w:p w14:paraId="51EFCADC">
          <w:pPr>
            <w:pStyle w:val="46"/>
            <w:tabs>
              <w:tab w:val="right" w:leader="dot" w:pos="8312"/>
              <w:tab w:val="clear" w:pos="8296"/>
            </w:tabs>
            <w:spacing w:line="240" w:lineRule="auto"/>
            <w:ind w:left="0" w:firstLine="0" w:firstLineChars="0"/>
            <w:rPr>
              <w:rFonts w:hint="eastAsia" w:ascii="微软雅黑" w:hAnsi="微软雅黑" w:cs="微软雅黑"/>
              <w:b w:val="0"/>
              <w:bCs/>
              <w:color w:val="auto"/>
              <w:sz w:val="24"/>
              <w:highlight w:val="none"/>
            </w:rPr>
          </w:pPr>
          <w:r>
            <w:rPr>
              <w:color w:val="auto"/>
              <w:highlight w:val="none"/>
            </w:rPr>
            <w:fldChar w:fldCharType="begin"/>
          </w:r>
          <w:r>
            <w:rPr>
              <w:color w:val="auto"/>
              <w:highlight w:val="none"/>
            </w:rPr>
            <w:instrText xml:space="preserve"> HYPERLINK \l "_Toc24015" </w:instrText>
          </w:r>
          <w:r>
            <w:rPr>
              <w:color w:val="auto"/>
              <w:highlight w:val="none"/>
            </w:rPr>
            <w:fldChar w:fldCharType="separate"/>
          </w:r>
          <w:r>
            <w:rPr>
              <w:rFonts w:hint="eastAsia" w:ascii="微软雅黑" w:hAnsi="微软雅黑" w:cs="微软雅黑"/>
              <w:b w:val="0"/>
              <w:bCs/>
              <w:color w:val="auto"/>
              <w:sz w:val="24"/>
              <w:highlight w:val="none"/>
            </w:rPr>
            <w:t>前附表</w:t>
          </w:r>
          <w:r>
            <w:rPr>
              <w:rFonts w:hint="eastAsia" w:ascii="微软雅黑" w:hAnsi="微软雅黑" w:cs="微软雅黑"/>
              <w:b w:val="0"/>
              <w:bCs/>
              <w:color w:val="auto"/>
              <w:sz w:val="24"/>
              <w:highlight w:val="none"/>
            </w:rPr>
            <w:tab/>
          </w:r>
          <w:r>
            <w:rPr>
              <w:rFonts w:hint="eastAsia" w:ascii="微软雅黑" w:hAnsi="微软雅黑" w:cs="微软雅黑"/>
              <w:b w:val="0"/>
              <w:bCs/>
              <w:color w:val="auto"/>
              <w:sz w:val="24"/>
              <w:highlight w:val="none"/>
            </w:rPr>
            <w:fldChar w:fldCharType="begin"/>
          </w:r>
          <w:r>
            <w:rPr>
              <w:rFonts w:hint="eastAsia" w:ascii="微软雅黑" w:hAnsi="微软雅黑" w:cs="微软雅黑"/>
              <w:b w:val="0"/>
              <w:bCs/>
              <w:color w:val="auto"/>
              <w:sz w:val="24"/>
              <w:highlight w:val="none"/>
            </w:rPr>
            <w:instrText xml:space="preserve"> PAGEREF _Toc24015 \h </w:instrText>
          </w:r>
          <w:r>
            <w:rPr>
              <w:rFonts w:hint="eastAsia" w:ascii="微软雅黑" w:hAnsi="微软雅黑" w:cs="微软雅黑"/>
              <w:b w:val="0"/>
              <w:bCs/>
              <w:color w:val="auto"/>
              <w:sz w:val="24"/>
              <w:highlight w:val="none"/>
            </w:rPr>
            <w:fldChar w:fldCharType="separate"/>
          </w:r>
          <w:r>
            <w:rPr>
              <w:rFonts w:hint="eastAsia" w:ascii="微软雅黑" w:hAnsi="微软雅黑" w:cs="微软雅黑"/>
              <w:b w:val="0"/>
              <w:bCs/>
              <w:color w:val="auto"/>
              <w:sz w:val="24"/>
              <w:highlight w:val="none"/>
            </w:rPr>
            <w:t>13</w:t>
          </w:r>
          <w:r>
            <w:rPr>
              <w:rFonts w:hint="eastAsia" w:ascii="微软雅黑" w:hAnsi="微软雅黑" w:cs="微软雅黑"/>
              <w:b w:val="0"/>
              <w:bCs/>
              <w:color w:val="auto"/>
              <w:sz w:val="24"/>
              <w:highlight w:val="none"/>
            </w:rPr>
            <w:fldChar w:fldCharType="end"/>
          </w:r>
          <w:r>
            <w:rPr>
              <w:rFonts w:hint="eastAsia" w:ascii="微软雅黑" w:hAnsi="微软雅黑" w:cs="微软雅黑"/>
              <w:b w:val="0"/>
              <w:bCs/>
              <w:color w:val="auto"/>
              <w:sz w:val="24"/>
              <w:highlight w:val="none"/>
            </w:rPr>
            <w:fldChar w:fldCharType="end"/>
          </w:r>
        </w:p>
        <w:p w14:paraId="12A36FF8">
          <w:pPr>
            <w:pStyle w:val="46"/>
            <w:tabs>
              <w:tab w:val="right" w:leader="dot" w:pos="8312"/>
              <w:tab w:val="clear" w:pos="8296"/>
            </w:tabs>
            <w:spacing w:line="240" w:lineRule="auto"/>
            <w:ind w:left="0" w:firstLine="0" w:firstLineChars="0"/>
            <w:rPr>
              <w:rFonts w:hint="eastAsia" w:ascii="微软雅黑" w:hAnsi="微软雅黑" w:cs="微软雅黑"/>
              <w:b w:val="0"/>
              <w:bCs/>
              <w:color w:val="auto"/>
              <w:sz w:val="24"/>
              <w:highlight w:val="none"/>
            </w:rPr>
          </w:pPr>
          <w:r>
            <w:rPr>
              <w:color w:val="auto"/>
              <w:highlight w:val="none"/>
            </w:rPr>
            <w:fldChar w:fldCharType="begin"/>
          </w:r>
          <w:r>
            <w:rPr>
              <w:color w:val="auto"/>
              <w:highlight w:val="none"/>
            </w:rPr>
            <w:instrText xml:space="preserve"> HYPERLINK \l "_Toc31066" </w:instrText>
          </w:r>
          <w:r>
            <w:rPr>
              <w:color w:val="auto"/>
              <w:highlight w:val="none"/>
            </w:rPr>
            <w:fldChar w:fldCharType="separate"/>
          </w:r>
          <w:r>
            <w:rPr>
              <w:rFonts w:hint="eastAsia" w:ascii="微软雅黑" w:hAnsi="微软雅黑" w:cs="微软雅黑"/>
              <w:b w:val="0"/>
              <w:bCs/>
              <w:color w:val="auto"/>
              <w:sz w:val="24"/>
              <w:highlight w:val="none"/>
            </w:rPr>
            <w:t>一、总  则</w:t>
          </w:r>
          <w:r>
            <w:rPr>
              <w:rFonts w:hint="eastAsia" w:ascii="微软雅黑" w:hAnsi="微软雅黑" w:cs="微软雅黑"/>
              <w:b w:val="0"/>
              <w:bCs/>
              <w:color w:val="auto"/>
              <w:sz w:val="24"/>
              <w:highlight w:val="none"/>
            </w:rPr>
            <w:tab/>
          </w:r>
          <w:r>
            <w:rPr>
              <w:rFonts w:hint="eastAsia" w:ascii="微软雅黑" w:hAnsi="微软雅黑" w:cs="微软雅黑"/>
              <w:b w:val="0"/>
              <w:bCs/>
              <w:color w:val="auto"/>
              <w:sz w:val="24"/>
              <w:highlight w:val="none"/>
            </w:rPr>
            <w:fldChar w:fldCharType="begin"/>
          </w:r>
          <w:r>
            <w:rPr>
              <w:rFonts w:hint="eastAsia" w:ascii="微软雅黑" w:hAnsi="微软雅黑" w:cs="微软雅黑"/>
              <w:b w:val="0"/>
              <w:bCs/>
              <w:color w:val="auto"/>
              <w:sz w:val="24"/>
              <w:highlight w:val="none"/>
            </w:rPr>
            <w:instrText xml:space="preserve"> PAGEREF _Toc31066 \h </w:instrText>
          </w:r>
          <w:r>
            <w:rPr>
              <w:rFonts w:hint="eastAsia" w:ascii="微软雅黑" w:hAnsi="微软雅黑" w:cs="微软雅黑"/>
              <w:b w:val="0"/>
              <w:bCs/>
              <w:color w:val="auto"/>
              <w:sz w:val="24"/>
              <w:highlight w:val="none"/>
            </w:rPr>
            <w:fldChar w:fldCharType="separate"/>
          </w:r>
          <w:r>
            <w:rPr>
              <w:rFonts w:hint="eastAsia" w:ascii="微软雅黑" w:hAnsi="微软雅黑" w:cs="微软雅黑"/>
              <w:b w:val="0"/>
              <w:bCs/>
              <w:color w:val="auto"/>
              <w:sz w:val="24"/>
              <w:highlight w:val="none"/>
            </w:rPr>
            <w:t>15</w:t>
          </w:r>
          <w:r>
            <w:rPr>
              <w:rFonts w:hint="eastAsia" w:ascii="微软雅黑" w:hAnsi="微软雅黑" w:cs="微软雅黑"/>
              <w:b w:val="0"/>
              <w:bCs/>
              <w:color w:val="auto"/>
              <w:sz w:val="24"/>
              <w:highlight w:val="none"/>
            </w:rPr>
            <w:fldChar w:fldCharType="end"/>
          </w:r>
          <w:r>
            <w:rPr>
              <w:rFonts w:hint="eastAsia" w:ascii="微软雅黑" w:hAnsi="微软雅黑" w:cs="微软雅黑"/>
              <w:b w:val="0"/>
              <w:bCs/>
              <w:color w:val="auto"/>
              <w:sz w:val="24"/>
              <w:highlight w:val="none"/>
            </w:rPr>
            <w:fldChar w:fldCharType="end"/>
          </w:r>
        </w:p>
        <w:p w14:paraId="15135EAE">
          <w:pPr>
            <w:pStyle w:val="46"/>
            <w:tabs>
              <w:tab w:val="right" w:leader="dot" w:pos="8312"/>
              <w:tab w:val="clear" w:pos="8296"/>
            </w:tabs>
            <w:spacing w:line="240" w:lineRule="auto"/>
            <w:ind w:left="0" w:firstLine="0" w:firstLineChars="0"/>
            <w:rPr>
              <w:rFonts w:hint="eastAsia" w:ascii="微软雅黑" w:hAnsi="微软雅黑" w:cs="微软雅黑"/>
              <w:b w:val="0"/>
              <w:bCs/>
              <w:color w:val="auto"/>
              <w:sz w:val="24"/>
              <w:highlight w:val="none"/>
            </w:rPr>
          </w:pPr>
          <w:r>
            <w:rPr>
              <w:color w:val="auto"/>
              <w:highlight w:val="none"/>
            </w:rPr>
            <w:fldChar w:fldCharType="begin"/>
          </w:r>
          <w:r>
            <w:rPr>
              <w:color w:val="auto"/>
              <w:highlight w:val="none"/>
            </w:rPr>
            <w:instrText xml:space="preserve"> HYPERLINK \l "_Toc30087" </w:instrText>
          </w:r>
          <w:r>
            <w:rPr>
              <w:color w:val="auto"/>
              <w:highlight w:val="none"/>
            </w:rPr>
            <w:fldChar w:fldCharType="separate"/>
          </w:r>
          <w:r>
            <w:rPr>
              <w:rFonts w:hint="eastAsia" w:ascii="微软雅黑" w:hAnsi="微软雅黑" w:cs="微软雅黑"/>
              <w:b w:val="0"/>
              <w:bCs/>
              <w:color w:val="auto"/>
              <w:sz w:val="24"/>
              <w:highlight w:val="none"/>
            </w:rPr>
            <w:t>二 、招标文件</w:t>
          </w:r>
          <w:r>
            <w:rPr>
              <w:rFonts w:hint="eastAsia" w:ascii="微软雅黑" w:hAnsi="微软雅黑" w:cs="微软雅黑"/>
              <w:b w:val="0"/>
              <w:bCs/>
              <w:color w:val="auto"/>
              <w:sz w:val="24"/>
              <w:highlight w:val="none"/>
            </w:rPr>
            <w:tab/>
          </w:r>
          <w:r>
            <w:rPr>
              <w:rFonts w:hint="eastAsia" w:ascii="微软雅黑" w:hAnsi="微软雅黑" w:cs="微软雅黑"/>
              <w:b w:val="0"/>
              <w:bCs/>
              <w:color w:val="auto"/>
              <w:sz w:val="24"/>
              <w:highlight w:val="none"/>
            </w:rPr>
            <w:fldChar w:fldCharType="begin"/>
          </w:r>
          <w:r>
            <w:rPr>
              <w:rFonts w:hint="eastAsia" w:ascii="微软雅黑" w:hAnsi="微软雅黑" w:cs="微软雅黑"/>
              <w:b w:val="0"/>
              <w:bCs/>
              <w:color w:val="auto"/>
              <w:sz w:val="24"/>
              <w:highlight w:val="none"/>
            </w:rPr>
            <w:instrText xml:space="preserve"> PAGEREF _Toc30087 \h </w:instrText>
          </w:r>
          <w:r>
            <w:rPr>
              <w:rFonts w:hint="eastAsia" w:ascii="微软雅黑" w:hAnsi="微软雅黑" w:cs="微软雅黑"/>
              <w:b w:val="0"/>
              <w:bCs/>
              <w:color w:val="auto"/>
              <w:sz w:val="24"/>
              <w:highlight w:val="none"/>
            </w:rPr>
            <w:fldChar w:fldCharType="separate"/>
          </w:r>
          <w:r>
            <w:rPr>
              <w:rFonts w:hint="eastAsia" w:ascii="微软雅黑" w:hAnsi="微软雅黑" w:cs="微软雅黑"/>
              <w:b w:val="0"/>
              <w:bCs/>
              <w:color w:val="auto"/>
              <w:sz w:val="24"/>
              <w:highlight w:val="none"/>
            </w:rPr>
            <w:t>19</w:t>
          </w:r>
          <w:r>
            <w:rPr>
              <w:rFonts w:hint="eastAsia" w:ascii="微软雅黑" w:hAnsi="微软雅黑" w:cs="微软雅黑"/>
              <w:b w:val="0"/>
              <w:bCs/>
              <w:color w:val="auto"/>
              <w:sz w:val="24"/>
              <w:highlight w:val="none"/>
            </w:rPr>
            <w:fldChar w:fldCharType="end"/>
          </w:r>
          <w:r>
            <w:rPr>
              <w:rFonts w:hint="eastAsia" w:ascii="微软雅黑" w:hAnsi="微软雅黑" w:cs="微软雅黑"/>
              <w:b w:val="0"/>
              <w:bCs/>
              <w:color w:val="auto"/>
              <w:sz w:val="24"/>
              <w:highlight w:val="none"/>
            </w:rPr>
            <w:fldChar w:fldCharType="end"/>
          </w:r>
        </w:p>
        <w:p w14:paraId="12489216">
          <w:pPr>
            <w:pStyle w:val="46"/>
            <w:tabs>
              <w:tab w:val="right" w:leader="dot" w:pos="8312"/>
              <w:tab w:val="clear" w:pos="8296"/>
            </w:tabs>
            <w:spacing w:line="240" w:lineRule="auto"/>
            <w:ind w:left="0" w:firstLine="0" w:firstLineChars="0"/>
            <w:rPr>
              <w:rFonts w:hint="eastAsia" w:ascii="微软雅黑" w:hAnsi="微软雅黑" w:cs="微软雅黑"/>
              <w:b w:val="0"/>
              <w:bCs/>
              <w:color w:val="auto"/>
              <w:sz w:val="24"/>
              <w:highlight w:val="none"/>
            </w:rPr>
          </w:pPr>
          <w:r>
            <w:rPr>
              <w:color w:val="auto"/>
              <w:highlight w:val="none"/>
            </w:rPr>
            <w:fldChar w:fldCharType="begin"/>
          </w:r>
          <w:r>
            <w:rPr>
              <w:color w:val="auto"/>
              <w:highlight w:val="none"/>
            </w:rPr>
            <w:instrText xml:space="preserve"> HYPERLINK \l "_Toc4929" </w:instrText>
          </w:r>
          <w:r>
            <w:rPr>
              <w:color w:val="auto"/>
              <w:highlight w:val="none"/>
            </w:rPr>
            <w:fldChar w:fldCharType="separate"/>
          </w:r>
          <w:r>
            <w:rPr>
              <w:rFonts w:hint="eastAsia" w:ascii="微软雅黑" w:hAnsi="微软雅黑" w:cs="微软雅黑"/>
              <w:b w:val="0"/>
              <w:bCs/>
              <w:color w:val="auto"/>
              <w:sz w:val="24"/>
              <w:highlight w:val="none"/>
            </w:rPr>
            <w:t>三、 投标文件的编制</w:t>
          </w:r>
          <w:r>
            <w:rPr>
              <w:rFonts w:hint="eastAsia" w:ascii="微软雅黑" w:hAnsi="微软雅黑" w:cs="微软雅黑"/>
              <w:b w:val="0"/>
              <w:bCs/>
              <w:color w:val="auto"/>
              <w:sz w:val="24"/>
              <w:highlight w:val="none"/>
            </w:rPr>
            <w:tab/>
          </w:r>
          <w:r>
            <w:rPr>
              <w:rFonts w:hint="eastAsia" w:ascii="微软雅黑" w:hAnsi="微软雅黑" w:cs="微软雅黑"/>
              <w:b w:val="0"/>
              <w:bCs/>
              <w:color w:val="auto"/>
              <w:sz w:val="24"/>
              <w:highlight w:val="none"/>
            </w:rPr>
            <w:fldChar w:fldCharType="begin"/>
          </w:r>
          <w:r>
            <w:rPr>
              <w:rFonts w:hint="eastAsia" w:ascii="微软雅黑" w:hAnsi="微软雅黑" w:cs="微软雅黑"/>
              <w:b w:val="0"/>
              <w:bCs/>
              <w:color w:val="auto"/>
              <w:sz w:val="24"/>
              <w:highlight w:val="none"/>
            </w:rPr>
            <w:instrText xml:space="preserve"> PAGEREF _Toc4929 \h </w:instrText>
          </w:r>
          <w:r>
            <w:rPr>
              <w:rFonts w:hint="eastAsia" w:ascii="微软雅黑" w:hAnsi="微软雅黑" w:cs="微软雅黑"/>
              <w:b w:val="0"/>
              <w:bCs/>
              <w:color w:val="auto"/>
              <w:sz w:val="24"/>
              <w:highlight w:val="none"/>
            </w:rPr>
            <w:fldChar w:fldCharType="separate"/>
          </w:r>
          <w:r>
            <w:rPr>
              <w:rFonts w:hint="eastAsia" w:ascii="微软雅黑" w:hAnsi="微软雅黑" w:cs="微软雅黑"/>
              <w:b w:val="0"/>
              <w:bCs/>
              <w:color w:val="auto"/>
              <w:sz w:val="24"/>
              <w:highlight w:val="none"/>
            </w:rPr>
            <w:t>20</w:t>
          </w:r>
          <w:r>
            <w:rPr>
              <w:rFonts w:hint="eastAsia" w:ascii="微软雅黑" w:hAnsi="微软雅黑" w:cs="微软雅黑"/>
              <w:b w:val="0"/>
              <w:bCs/>
              <w:color w:val="auto"/>
              <w:sz w:val="24"/>
              <w:highlight w:val="none"/>
            </w:rPr>
            <w:fldChar w:fldCharType="end"/>
          </w:r>
          <w:r>
            <w:rPr>
              <w:rFonts w:hint="eastAsia" w:ascii="微软雅黑" w:hAnsi="微软雅黑" w:cs="微软雅黑"/>
              <w:b w:val="0"/>
              <w:bCs/>
              <w:color w:val="auto"/>
              <w:sz w:val="24"/>
              <w:highlight w:val="none"/>
            </w:rPr>
            <w:fldChar w:fldCharType="end"/>
          </w:r>
        </w:p>
        <w:p w14:paraId="22B07185">
          <w:pPr>
            <w:pStyle w:val="46"/>
            <w:tabs>
              <w:tab w:val="right" w:leader="dot" w:pos="8312"/>
              <w:tab w:val="clear" w:pos="8296"/>
            </w:tabs>
            <w:spacing w:line="240" w:lineRule="auto"/>
            <w:ind w:left="0" w:firstLine="0" w:firstLineChars="0"/>
            <w:rPr>
              <w:rFonts w:hint="eastAsia" w:ascii="微软雅黑" w:hAnsi="微软雅黑" w:cs="微软雅黑"/>
              <w:b w:val="0"/>
              <w:bCs/>
              <w:color w:val="auto"/>
              <w:sz w:val="24"/>
              <w:highlight w:val="none"/>
            </w:rPr>
          </w:pPr>
          <w:r>
            <w:rPr>
              <w:color w:val="auto"/>
              <w:highlight w:val="none"/>
            </w:rPr>
            <w:fldChar w:fldCharType="begin"/>
          </w:r>
          <w:r>
            <w:rPr>
              <w:color w:val="auto"/>
              <w:highlight w:val="none"/>
            </w:rPr>
            <w:instrText xml:space="preserve"> HYPERLINK \l "_Toc18242" </w:instrText>
          </w:r>
          <w:r>
            <w:rPr>
              <w:color w:val="auto"/>
              <w:highlight w:val="none"/>
            </w:rPr>
            <w:fldChar w:fldCharType="separate"/>
          </w:r>
          <w:r>
            <w:rPr>
              <w:rFonts w:hint="eastAsia" w:ascii="微软雅黑" w:hAnsi="微软雅黑" w:cs="微软雅黑"/>
              <w:b w:val="0"/>
              <w:bCs/>
              <w:color w:val="auto"/>
              <w:sz w:val="24"/>
              <w:highlight w:val="none"/>
            </w:rPr>
            <w:t>四、开标</w:t>
          </w:r>
          <w:r>
            <w:rPr>
              <w:rFonts w:hint="eastAsia" w:ascii="微软雅黑" w:hAnsi="微软雅黑" w:cs="微软雅黑"/>
              <w:b w:val="0"/>
              <w:bCs/>
              <w:color w:val="auto"/>
              <w:sz w:val="24"/>
              <w:highlight w:val="none"/>
            </w:rPr>
            <w:tab/>
          </w:r>
          <w:r>
            <w:rPr>
              <w:rFonts w:hint="eastAsia" w:ascii="微软雅黑" w:hAnsi="微软雅黑" w:cs="微软雅黑"/>
              <w:b w:val="0"/>
              <w:bCs/>
              <w:color w:val="auto"/>
              <w:sz w:val="24"/>
              <w:highlight w:val="none"/>
            </w:rPr>
            <w:fldChar w:fldCharType="begin"/>
          </w:r>
          <w:r>
            <w:rPr>
              <w:rFonts w:hint="eastAsia" w:ascii="微软雅黑" w:hAnsi="微软雅黑" w:cs="微软雅黑"/>
              <w:b w:val="0"/>
              <w:bCs/>
              <w:color w:val="auto"/>
              <w:sz w:val="24"/>
              <w:highlight w:val="none"/>
            </w:rPr>
            <w:instrText xml:space="preserve"> PAGEREF _Toc18242 \h </w:instrText>
          </w:r>
          <w:r>
            <w:rPr>
              <w:rFonts w:hint="eastAsia" w:ascii="微软雅黑" w:hAnsi="微软雅黑" w:cs="微软雅黑"/>
              <w:b w:val="0"/>
              <w:bCs/>
              <w:color w:val="auto"/>
              <w:sz w:val="24"/>
              <w:highlight w:val="none"/>
            </w:rPr>
            <w:fldChar w:fldCharType="separate"/>
          </w:r>
          <w:r>
            <w:rPr>
              <w:rFonts w:hint="eastAsia" w:ascii="微软雅黑" w:hAnsi="微软雅黑" w:cs="微软雅黑"/>
              <w:b w:val="0"/>
              <w:bCs/>
              <w:color w:val="auto"/>
              <w:sz w:val="24"/>
              <w:highlight w:val="none"/>
            </w:rPr>
            <w:t>24</w:t>
          </w:r>
          <w:r>
            <w:rPr>
              <w:rFonts w:hint="eastAsia" w:ascii="微软雅黑" w:hAnsi="微软雅黑" w:cs="微软雅黑"/>
              <w:b w:val="0"/>
              <w:bCs/>
              <w:color w:val="auto"/>
              <w:sz w:val="24"/>
              <w:highlight w:val="none"/>
            </w:rPr>
            <w:fldChar w:fldCharType="end"/>
          </w:r>
          <w:r>
            <w:rPr>
              <w:rFonts w:hint="eastAsia" w:ascii="微软雅黑" w:hAnsi="微软雅黑" w:cs="微软雅黑"/>
              <w:b w:val="0"/>
              <w:bCs/>
              <w:color w:val="auto"/>
              <w:sz w:val="24"/>
              <w:highlight w:val="none"/>
            </w:rPr>
            <w:fldChar w:fldCharType="end"/>
          </w:r>
        </w:p>
        <w:p w14:paraId="6AA0966D">
          <w:pPr>
            <w:pStyle w:val="46"/>
            <w:tabs>
              <w:tab w:val="right" w:leader="dot" w:pos="8312"/>
              <w:tab w:val="clear" w:pos="8296"/>
            </w:tabs>
            <w:spacing w:line="240" w:lineRule="auto"/>
            <w:ind w:left="0" w:firstLine="0" w:firstLineChars="0"/>
            <w:rPr>
              <w:rFonts w:hint="eastAsia" w:ascii="微软雅黑" w:hAnsi="微软雅黑" w:cs="微软雅黑"/>
              <w:b w:val="0"/>
              <w:bCs/>
              <w:color w:val="auto"/>
              <w:sz w:val="24"/>
              <w:highlight w:val="none"/>
            </w:rPr>
          </w:pPr>
          <w:r>
            <w:rPr>
              <w:color w:val="auto"/>
              <w:highlight w:val="none"/>
            </w:rPr>
            <w:fldChar w:fldCharType="begin"/>
          </w:r>
          <w:r>
            <w:rPr>
              <w:color w:val="auto"/>
              <w:highlight w:val="none"/>
            </w:rPr>
            <w:instrText xml:space="preserve"> HYPERLINK \l "_Toc30689" </w:instrText>
          </w:r>
          <w:r>
            <w:rPr>
              <w:color w:val="auto"/>
              <w:highlight w:val="none"/>
            </w:rPr>
            <w:fldChar w:fldCharType="separate"/>
          </w:r>
          <w:r>
            <w:rPr>
              <w:rFonts w:hint="eastAsia" w:ascii="微软雅黑" w:hAnsi="微软雅黑" w:cs="微软雅黑"/>
              <w:b w:val="0"/>
              <w:bCs/>
              <w:color w:val="auto"/>
              <w:sz w:val="24"/>
              <w:highlight w:val="none"/>
            </w:rPr>
            <w:t>五、评标</w:t>
          </w:r>
          <w:r>
            <w:rPr>
              <w:rFonts w:hint="eastAsia" w:ascii="微软雅黑" w:hAnsi="微软雅黑" w:cs="微软雅黑"/>
              <w:b w:val="0"/>
              <w:bCs/>
              <w:color w:val="auto"/>
              <w:sz w:val="24"/>
              <w:highlight w:val="none"/>
            </w:rPr>
            <w:tab/>
          </w:r>
          <w:r>
            <w:rPr>
              <w:rFonts w:hint="eastAsia" w:ascii="微软雅黑" w:hAnsi="微软雅黑" w:cs="微软雅黑"/>
              <w:b w:val="0"/>
              <w:bCs/>
              <w:color w:val="auto"/>
              <w:sz w:val="24"/>
              <w:highlight w:val="none"/>
            </w:rPr>
            <w:fldChar w:fldCharType="begin"/>
          </w:r>
          <w:r>
            <w:rPr>
              <w:rFonts w:hint="eastAsia" w:ascii="微软雅黑" w:hAnsi="微软雅黑" w:cs="微软雅黑"/>
              <w:b w:val="0"/>
              <w:bCs/>
              <w:color w:val="auto"/>
              <w:sz w:val="24"/>
              <w:highlight w:val="none"/>
            </w:rPr>
            <w:instrText xml:space="preserve"> PAGEREF _Toc30689 \h </w:instrText>
          </w:r>
          <w:r>
            <w:rPr>
              <w:rFonts w:hint="eastAsia" w:ascii="微软雅黑" w:hAnsi="微软雅黑" w:cs="微软雅黑"/>
              <w:b w:val="0"/>
              <w:bCs/>
              <w:color w:val="auto"/>
              <w:sz w:val="24"/>
              <w:highlight w:val="none"/>
            </w:rPr>
            <w:fldChar w:fldCharType="separate"/>
          </w:r>
          <w:r>
            <w:rPr>
              <w:rFonts w:hint="eastAsia" w:ascii="微软雅黑" w:hAnsi="微软雅黑" w:cs="微软雅黑"/>
              <w:b w:val="0"/>
              <w:bCs/>
              <w:color w:val="auto"/>
              <w:sz w:val="24"/>
              <w:highlight w:val="none"/>
            </w:rPr>
            <w:t>25</w:t>
          </w:r>
          <w:r>
            <w:rPr>
              <w:rFonts w:hint="eastAsia" w:ascii="微软雅黑" w:hAnsi="微软雅黑" w:cs="微软雅黑"/>
              <w:b w:val="0"/>
              <w:bCs/>
              <w:color w:val="auto"/>
              <w:sz w:val="24"/>
              <w:highlight w:val="none"/>
            </w:rPr>
            <w:fldChar w:fldCharType="end"/>
          </w:r>
          <w:r>
            <w:rPr>
              <w:rFonts w:hint="eastAsia" w:ascii="微软雅黑" w:hAnsi="微软雅黑" w:cs="微软雅黑"/>
              <w:b w:val="0"/>
              <w:bCs/>
              <w:color w:val="auto"/>
              <w:sz w:val="24"/>
              <w:highlight w:val="none"/>
            </w:rPr>
            <w:fldChar w:fldCharType="end"/>
          </w:r>
        </w:p>
        <w:p w14:paraId="5EE8EC52">
          <w:pPr>
            <w:pStyle w:val="46"/>
            <w:tabs>
              <w:tab w:val="right" w:leader="dot" w:pos="8312"/>
              <w:tab w:val="clear" w:pos="8296"/>
            </w:tabs>
            <w:spacing w:line="240" w:lineRule="auto"/>
            <w:ind w:left="0" w:firstLine="0" w:firstLineChars="0"/>
            <w:rPr>
              <w:rFonts w:hint="eastAsia" w:ascii="微软雅黑" w:hAnsi="微软雅黑" w:cs="微软雅黑"/>
              <w:b w:val="0"/>
              <w:bCs/>
              <w:color w:val="auto"/>
              <w:sz w:val="24"/>
              <w:highlight w:val="none"/>
            </w:rPr>
          </w:pPr>
          <w:r>
            <w:rPr>
              <w:color w:val="auto"/>
              <w:highlight w:val="none"/>
            </w:rPr>
            <w:fldChar w:fldCharType="begin"/>
          </w:r>
          <w:r>
            <w:rPr>
              <w:color w:val="auto"/>
              <w:highlight w:val="none"/>
            </w:rPr>
            <w:instrText xml:space="preserve"> HYPERLINK \l "_Toc22126" </w:instrText>
          </w:r>
          <w:r>
            <w:rPr>
              <w:color w:val="auto"/>
              <w:highlight w:val="none"/>
            </w:rPr>
            <w:fldChar w:fldCharType="separate"/>
          </w:r>
          <w:r>
            <w:rPr>
              <w:rFonts w:hint="eastAsia" w:ascii="微软雅黑" w:hAnsi="微软雅黑" w:cs="微软雅黑"/>
              <w:b w:val="0"/>
              <w:bCs/>
              <w:color w:val="auto"/>
              <w:sz w:val="24"/>
              <w:highlight w:val="none"/>
            </w:rPr>
            <w:t>六、定标</w:t>
          </w:r>
          <w:r>
            <w:rPr>
              <w:rFonts w:hint="eastAsia" w:ascii="微软雅黑" w:hAnsi="微软雅黑" w:cs="微软雅黑"/>
              <w:b w:val="0"/>
              <w:bCs/>
              <w:color w:val="auto"/>
              <w:sz w:val="24"/>
              <w:highlight w:val="none"/>
            </w:rPr>
            <w:tab/>
          </w:r>
          <w:r>
            <w:rPr>
              <w:rFonts w:hint="eastAsia" w:ascii="微软雅黑" w:hAnsi="微软雅黑" w:cs="微软雅黑"/>
              <w:b w:val="0"/>
              <w:bCs/>
              <w:color w:val="auto"/>
              <w:sz w:val="24"/>
              <w:highlight w:val="none"/>
            </w:rPr>
            <w:fldChar w:fldCharType="begin"/>
          </w:r>
          <w:r>
            <w:rPr>
              <w:rFonts w:hint="eastAsia" w:ascii="微软雅黑" w:hAnsi="微软雅黑" w:cs="微软雅黑"/>
              <w:b w:val="0"/>
              <w:bCs/>
              <w:color w:val="auto"/>
              <w:sz w:val="24"/>
              <w:highlight w:val="none"/>
            </w:rPr>
            <w:instrText xml:space="preserve"> PAGEREF _Toc22126 \h </w:instrText>
          </w:r>
          <w:r>
            <w:rPr>
              <w:rFonts w:hint="eastAsia" w:ascii="微软雅黑" w:hAnsi="微软雅黑" w:cs="微软雅黑"/>
              <w:b w:val="0"/>
              <w:bCs/>
              <w:color w:val="auto"/>
              <w:sz w:val="24"/>
              <w:highlight w:val="none"/>
            </w:rPr>
            <w:fldChar w:fldCharType="separate"/>
          </w:r>
          <w:r>
            <w:rPr>
              <w:rFonts w:hint="eastAsia" w:ascii="微软雅黑" w:hAnsi="微软雅黑" w:cs="微软雅黑"/>
              <w:b w:val="0"/>
              <w:bCs/>
              <w:color w:val="auto"/>
              <w:sz w:val="24"/>
              <w:highlight w:val="none"/>
            </w:rPr>
            <w:t>27</w:t>
          </w:r>
          <w:r>
            <w:rPr>
              <w:rFonts w:hint="eastAsia" w:ascii="微软雅黑" w:hAnsi="微软雅黑" w:cs="微软雅黑"/>
              <w:b w:val="0"/>
              <w:bCs/>
              <w:color w:val="auto"/>
              <w:sz w:val="24"/>
              <w:highlight w:val="none"/>
            </w:rPr>
            <w:fldChar w:fldCharType="end"/>
          </w:r>
          <w:r>
            <w:rPr>
              <w:rFonts w:hint="eastAsia" w:ascii="微软雅黑" w:hAnsi="微软雅黑" w:cs="微软雅黑"/>
              <w:b w:val="0"/>
              <w:bCs/>
              <w:color w:val="auto"/>
              <w:sz w:val="24"/>
              <w:highlight w:val="none"/>
            </w:rPr>
            <w:fldChar w:fldCharType="end"/>
          </w:r>
        </w:p>
        <w:p w14:paraId="61ADE21F">
          <w:pPr>
            <w:pStyle w:val="46"/>
            <w:tabs>
              <w:tab w:val="right" w:leader="dot" w:pos="8312"/>
              <w:tab w:val="clear" w:pos="8296"/>
            </w:tabs>
            <w:spacing w:line="240" w:lineRule="auto"/>
            <w:ind w:left="0" w:firstLine="0" w:firstLineChars="0"/>
            <w:rPr>
              <w:rFonts w:hint="eastAsia" w:ascii="微软雅黑" w:hAnsi="微软雅黑" w:cs="微软雅黑"/>
              <w:b w:val="0"/>
              <w:bCs/>
              <w:color w:val="auto"/>
              <w:sz w:val="24"/>
              <w:highlight w:val="none"/>
            </w:rPr>
          </w:pPr>
          <w:r>
            <w:rPr>
              <w:color w:val="auto"/>
              <w:highlight w:val="none"/>
            </w:rPr>
            <w:fldChar w:fldCharType="begin"/>
          </w:r>
          <w:r>
            <w:rPr>
              <w:color w:val="auto"/>
              <w:highlight w:val="none"/>
            </w:rPr>
            <w:instrText xml:space="preserve"> HYPERLINK \l "_Toc27403" </w:instrText>
          </w:r>
          <w:r>
            <w:rPr>
              <w:color w:val="auto"/>
              <w:highlight w:val="none"/>
            </w:rPr>
            <w:fldChar w:fldCharType="separate"/>
          </w:r>
          <w:r>
            <w:rPr>
              <w:rFonts w:hint="eastAsia" w:ascii="微软雅黑" w:hAnsi="微软雅黑" w:cs="微软雅黑"/>
              <w:b w:val="0"/>
              <w:bCs/>
              <w:color w:val="auto"/>
              <w:sz w:val="24"/>
              <w:highlight w:val="none"/>
            </w:rPr>
            <w:t>七、合同授予</w:t>
          </w:r>
          <w:r>
            <w:rPr>
              <w:rFonts w:hint="eastAsia" w:ascii="微软雅黑" w:hAnsi="微软雅黑" w:cs="微软雅黑"/>
              <w:b w:val="0"/>
              <w:bCs/>
              <w:color w:val="auto"/>
              <w:sz w:val="24"/>
              <w:highlight w:val="none"/>
            </w:rPr>
            <w:tab/>
          </w:r>
          <w:r>
            <w:rPr>
              <w:rFonts w:hint="eastAsia" w:ascii="微软雅黑" w:hAnsi="微软雅黑" w:cs="微软雅黑"/>
              <w:b w:val="0"/>
              <w:bCs/>
              <w:color w:val="auto"/>
              <w:sz w:val="24"/>
              <w:highlight w:val="none"/>
            </w:rPr>
            <w:fldChar w:fldCharType="begin"/>
          </w:r>
          <w:r>
            <w:rPr>
              <w:rFonts w:hint="eastAsia" w:ascii="微软雅黑" w:hAnsi="微软雅黑" w:cs="微软雅黑"/>
              <w:b w:val="0"/>
              <w:bCs/>
              <w:color w:val="auto"/>
              <w:sz w:val="24"/>
              <w:highlight w:val="none"/>
            </w:rPr>
            <w:instrText xml:space="preserve"> PAGEREF _Toc27403 \h </w:instrText>
          </w:r>
          <w:r>
            <w:rPr>
              <w:rFonts w:hint="eastAsia" w:ascii="微软雅黑" w:hAnsi="微软雅黑" w:cs="微软雅黑"/>
              <w:b w:val="0"/>
              <w:bCs/>
              <w:color w:val="auto"/>
              <w:sz w:val="24"/>
              <w:highlight w:val="none"/>
            </w:rPr>
            <w:fldChar w:fldCharType="separate"/>
          </w:r>
          <w:r>
            <w:rPr>
              <w:rFonts w:hint="eastAsia" w:ascii="微软雅黑" w:hAnsi="微软雅黑" w:cs="微软雅黑"/>
              <w:b w:val="0"/>
              <w:bCs/>
              <w:color w:val="auto"/>
              <w:sz w:val="24"/>
              <w:highlight w:val="none"/>
            </w:rPr>
            <w:t>28</w:t>
          </w:r>
          <w:r>
            <w:rPr>
              <w:rFonts w:hint="eastAsia" w:ascii="微软雅黑" w:hAnsi="微软雅黑" w:cs="微软雅黑"/>
              <w:b w:val="0"/>
              <w:bCs/>
              <w:color w:val="auto"/>
              <w:sz w:val="24"/>
              <w:highlight w:val="none"/>
            </w:rPr>
            <w:fldChar w:fldCharType="end"/>
          </w:r>
          <w:r>
            <w:rPr>
              <w:rFonts w:hint="eastAsia" w:ascii="微软雅黑" w:hAnsi="微软雅黑" w:cs="微软雅黑"/>
              <w:b w:val="0"/>
              <w:bCs/>
              <w:color w:val="auto"/>
              <w:sz w:val="24"/>
              <w:highlight w:val="none"/>
            </w:rPr>
            <w:fldChar w:fldCharType="end"/>
          </w:r>
        </w:p>
        <w:p w14:paraId="6B954C2B">
          <w:pPr>
            <w:pStyle w:val="46"/>
            <w:tabs>
              <w:tab w:val="right" w:leader="dot" w:pos="8312"/>
              <w:tab w:val="clear" w:pos="8296"/>
            </w:tabs>
            <w:spacing w:line="240" w:lineRule="auto"/>
            <w:ind w:left="0" w:firstLine="0" w:firstLineChars="0"/>
            <w:rPr>
              <w:rFonts w:hint="eastAsia" w:ascii="微软雅黑" w:hAnsi="微软雅黑" w:cs="微软雅黑"/>
              <w:b w:val="0"/>
              <w:bCs/>
              <w:color w:val="auto"/>
              <w:sz w:val="24"/>
              <w:highlight w:val="none"/>
            </w:rPr>
          </w:pPr>
          <w:r>
            <w:rPr>
              <w:color w:val="auto"/>
              <w:highlight w:val="none"/>
            </w:rPr>
            <w:fldChar w:fldCharType="begin"/>
          </w:r>
          <w:r>
            <w:rPr>
              <w:color w:val="auto"/>
              <w:highlight w:val="none"/>
            </w:rPr>
            <w:instrText xml:space="preserve"> HYPERLINK \l "_Toc21239" </w:instrText>
          </w:r>
          <w:r>
            <w:rPr>
              <w:color w:val="auto"/>
              <w:highlight w:val="none"/>
            </w:rPr>
            <w:fldChar w:fldCharType="separate"/>
          </w:r>
          <w:r>
            <w:rPr>
              <w:rFonts w:hint="eastAsia" w:ascii="微软雅黑" w:hAnsi="微软雅黑" w:cs="微软雅黑"/>
              <w:b w:val="0"/>
              <w:bCs/>
              <w:color w:val="auto"/>
              <w:sz w:val="24"/>
              <w:highlight w:val="none"/>
            </w:rPr>
            <w:t>八、验收</w:t>
          </w:r>
          <w:r>
            <w:rPr>
              <w:rFonts w:hint="eastAsia" w:ascii="微软雅黑" w:hAnsi="微软雅黑" w:cs="微软雅黑"/>
              <w:b w:val="0"/>
              <w:bCs/>
              <w:color w:val="auto"/>
              <w:sz w:val="24"/>
              <w:highlight w:val="none"/>
            </w:rPr>
            <w:tab/>
          </w:r>
          <w:r>
            <w:rPr>
              <w:rFonts w:hint="eastAsia" w:ascii="微软雅黑" w:hAnsi="微软雅黑" w:cs="微软雅黑"/>
              <w:b w:val="0"/>
              <w:bCs/>
              <w:color w:val="auto"/>
              <w:sz w:val="24"/>
              <w:highlight w:val="none"/>
            </w:rPr>
            <w:fldChar w:fldCharType="begin"/>
          </w:r>
          <w:r>
            <w:rPr>
              <w:rFonts w:hint="eastAsia" w:ascii="微软雅黑" w:hAnsi="微软雅黑" w:cs="微软雅黑"/>
              <w:b w:val="0"/>
              <w:bCs/>
              <w:color w:val="auto"/>
              <w:sz w:val="24"/>
              <w:highlight w:val="none"/>
            </w:rPr>
            <w:instrText xml:space="preserve"> PAGEREF _Toc21239 \h </w:instrText>
          </w:r>
          <w:r>
            <w:rPr>
              <w:rFonts w:hint="eastAsia" w:ascii="微软雅黑" w:hAnsi="微软雅黑" w:cs="微软雅黑"/>
              <w:b w:val="0"/>
              <w:bCs/>
              <w:color w:val="auto"/>
              <w:sz w:val="24"/>
              <w:highlight w:val="none"/>
            </w:rPr>
            <w:fldChar w:fldCharType="separate"/>
          </w:r>
          <w:r>
            <w:rPr>
              <w:rFonts w:hint="eastAsia" w:ascii="微软雅黑" w:hAnsi="微软雅黑" w:cs="微软雅黑"/>
              <w:b w:val="0"/>
              <w:bCs/>
              <w:color w:val="auto"/>
              <w:sz w:val="24"/>
              <w:highlight w:val="none"/>
            </w:rPr>
            <w:t>28</w:t>
          </w:r>
          <w:r>
            <w:rPr>
              <w:rFonts w:hint="eastAsia" w:ascii="微软雅黑" w:hAnsi="微软雅黑" w:cs="微软雅黑"/>
              <w:b w:val="0"/>
              <w:bCs/>
              <w:color w:val="auto"/>
              <w:sz w:val="24"/>
              <w:highlight w:val="none"/>
            </w:rPr>
            <w:fldChar w:fldCharType="end"/>
          </w:r>
          <w:r>
            <w:rPr>
              <w:rFonts w:hint="eastAsia" w:ascii="微软雅黑" w:hAnsi="微软雅黑" w:cs="微软雅黑"/>
              <w:b w:val="0"/>
              <w:bCs/>
              <w:color w:val="auto"/>
              <w:sz w:val="24"/>
              <w:highlight w:val="none"/>
            </w:rPr>
            <w:fldChar w:fldCharType="end"/>
          </w:r>
        </w:p>
        <w:p w14:paraId="5EFD218B">
          <w:pPr>
            <w:pStyle w:val="46"/>
            <w:tabs>
              <w:tab w:val="right" w:leader="dot" w:pos="8312"/>
              <w:tab w:val="clear" w:pos="8296"/>
            </w:tabs>
            <w:spacing w:line="240" w:lineRule="auto"/>
            <w:ind w:left="0" w:firstLine="0" w:firstLineChars="0"/>
            <w:rPr>
              <w:rFonts w:hint="eastAsia" w:ascii="微软雅黑" w:hAnsi="微软雅黑" w:cs="微软雅黑"/>
              <w:b w:val="0"/>
              <w:bCs/>
              <w:color w:val="auto"/>
              <w:sz w:val="24"/>
              <w:highlight w:val="none"/>
            </w:rPr>
          </w:pPr>
          <w:r>
            <w:rPr>
              <w:color w:val="auto"/>
              <w:highlight w:val="none"/>
            </w:rPr>
            <w:fldChar w:fldCharType="begin"/>
          </w:r>
          <w:r>
            <w:rPr>
              <w:color w:val="auto"/>
              <w:highlight w:val="none"/>
            </w:rPr>
            <w:instrText xml:space="preserve"> HYPERLINK \l "_Toc21470" </w:instrText>
          </w:r>
          <w:r>
            <w:rPr>
              <w:color w:val="auto"/>
              <w:highlight w:val="none"/>
            </w:rPr>
            <w:fldChar w:fldCharType="separate"/>
          </w:r>
          <w:r>
            <w:rPr>
              <w:rFonts w:hint="eastAsia" w:ascii="微软雅黑" w:hAnsi="微软雅黑" w:cs="微软雅黑"/>
              <w:b w:val="0"/>
              <w:bCs/>
              <w:color w:val="auto"/>
              <w:sz w:val="24"/>
              <w:highlight w:val="none"/>
            </w:rPr>
            <w:t>九、招标代理费</w:t>
          </w:r>
          <w:r>
            <w:rPr>
              <w:rFonts w:hint="eastAsia" w:ascii="微软雅黑" w:hAnsi="微软雅黑" w:cs="微软雅黑"/>
              <w:b w:val="0"/>
              <w:bCs/>
              <w:color w:val="auto"/>
              <w:sz w:val="24"/>
              <w:highlight w:val="none"/>
            </w:rPr>
            <w:tab/>
          </w:r>
          <w:r>
            <w:rPr>
              <w:rFonts w:hint="eastAsia" w:ascii="微软雅黑" w:hAnsi="微软雅黑" w:cs="微软雅黑"/>
              <w:b w:val="0"/>
              <w:bCs/>
              <w:color w:val="auto"/>
              <w:sz w:val="24"/>
              <w:highlight w:val="none"/>
            </w:rPr>
            <w:fldChar w:fldCharType="begin"/>
          </w:r>
          <w:r>
            <w:rPr>
              <w:rFonts w:hint="eastAsia" w:ascii="微软雅黑" w:hAnsi="微软雅黑" w:cs="微软雅黑"/>
              <w:b w:val="0"/>
              <w:bCs/>
              <w:color w:val="auto"/>
              <w:sz w:val="24"/>
              <w:highlight w:val="none"/>
            </w:rPr>
            <w:instrText xml:space="preserve"> PAGEREF _Toc21470 \h </w:instrText>
          </w:r>
          <w:r>
            <w:rPr>
              <w:rFonts w:hint="eastAsia" w:ascii="微软雅黑" w:hAnsi="微软雅黑" w:cs="微软雅黑"/>
              <w:b w:val="0"/>
              <w:bCs/>
              <w:color w:val="auto"/>
              <w:sz w:val="24"/>
              <w:highlight w:val="none"/>
            </w:rPr>
            <w:fldChar w:fldCharType="separate"/>
          </w:r>
          <w:r>
            <w:rPr>
              <w:rFonts w:hint="eastAsia" w:ascii="微软雅黑" w:hAnsi="微软雅黑" w:cs="微软雅黑"/>
              <w:b w:val="0"/>
              <w:bCs/>
              <w:color w:val="auto"/>
              <w:sz w:val="24"/>
              <w:highlight w:val="none"/>
            </w:rPr>
            <w:t>28</w:t>
          </w:r>
          <w:r>
            <w:rPr>
              <w:rFonts w:hint="eastAsia" w:ascii="微软雅黑" w:hAnsi="微软雅黑" w:cs="微软雅黑"/>
              <w:b w:val="0"/>
              <w:bCs/>
              <w:color w:val="auto"/>
              <w:sz w:val="24"/>
              <w:highlight w:val="none"/>
            </w:rPr>
            <w:fldChar w:fldCharType="end"/>
          </w:r>
          <w:r>
            <w:rPr>
              <w:rFonts w:hint="eastAsia" w:ascii="微软雅黑" w:hAnsi="微软雅黑" w:cs="微软雅黑"/>
              <w:b w:val="0"/>
              <w:bCs/>
              <w:color w:val="auto"/>
              <w:sz w:val="24"/>
              <w:highlight w:val="none"/>
            </w:rPr>
            <w:fldChar w:fldCharType="end"/>
          </w:r>
        </w:p>
        <w:p w14:paraId="68B17CDE">
          <w:pPr>
            <w:pStyle w:val="38"/>
            <w:tabs>
              <w:tab w:val="right" w:leader="dot" w:pos="8312"/>
              <w:tab w:val="clear" w:pos="9060"/>
            </w:tabs>
            <w:spacing w:line="240" w:lineRule="auto"/>
            <w:ind w:firstLine="0" w:firstLineChars="0"/>
            <w:rPr>
              <w:rFonts w:hint="eastAsia" w:ascii="微软雅黑" w:hAnsi="微软雅黑" w:eastAsia="微软雅黑" w:cs="微软雅黑"/>
              <w:color w:val="auto"/>
              <w:sz w:val="24"/>
              <w:szCs w:val="24"/>
              <w:highlight w:val="none"/>
            </w:rPr>
          </w:pPr>
          <w:r>
            <w:rPr>
              <w:color w:val="auto"/>
              <w:highlight w:val="none"/>
            </w:rPr>
            <w:fldChar w:fldCharType="begin"/>
          </w:r>
          <w:r>
            <w:rPr>
              <w:color w:val="auto"/>
              <w:highlight w:val="none"/>
            </w:rPr>
            <w:instrText xml:space="preserve"> HYPERLINK \l "_Toc26967" </w:instrText>
          </w:r>
          <w:r>
            <w:rPr>
              <w:color w:val="auto"/>
              <w:highlight w:val="none"/>
            </w:rPr>
            <w:fldChar w:fldCharType="separate"/>
          </w:r>
          <w:r>
            <w:rPr>
              <w:rFonts w:hint="eastAsia" w:ascii="微软雅黑" w:hAnsi="微软雅黑" w:eastAsia="微软雅黑" w:cs="微软雅黑"/>
              <w:color w:val="auto"/>
              <w:sz w:val="24"/>
              <w:szCs w:val="24"/>
              <w:highlight w:val="none"/>
            </w:rPr>
            <w:t>第四章 评标办法及评分标准</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 PAGEREF _Toc26967 \h </w:instrText>
          </w:r>
          <w:r>
            <w:rPr>
              <w:rFonts w:hint="eastAsia" w:ascii="微软雅黑" w:hAnsi="微软雅黑" w:eastAsia="微软雅黑" w:cs="微软雅黑"/>
              <w:color w:val="auto"/>
              <w:sz w:val="24"/>
              <w:szCs w:val="24"/>
              <w:highlight w:val="none"/>
            </w:rPr>
            <w:fldChar w:fldCharType="separate"/>
          </w:r>
          <w:r>
            <w:rPr>
              <w:rFonts w:hint="eastAsia" w:ascii="微软雅黑" w:hAnsi="微软雅黑" w:eastAsia="微软雅黑" w:cs="微软雅黑"/>
              <w:color w:val="auto"/>
              <w:sz w:val="24"/>
              <w:szCs w:val="24"/>
              <w:highlight w:val="none"/>
            </w:rPr>
            <w:t>30</w:t>
          </w:r>
          <w:r>
            <w:rPr>
              <w:rFonts w:hint="eastAsia" w:ascii="微软雅黑" w:hAnsi="微软雅黑" w:eastAsia="微软雅黑" w:cs="微软雅黑"/>
              <w:color w:val="auto"/>
              <w:sz w:val="24"/>
              <w:szCs w:val="24"/>
              <w:highlight w:val="none"/>
            </w:rPr>
            <w:fldChar w:fldCharType="end"/>
          </w:r>
          <w:r>
            <w:rPr>
              <w:rFonts w:hint="eastAsia" w:ascii="微软雅黑" w:hAnsi="微软雅黑" w:eastAsia="微软雅黑" w:cs="微软雅黑"/>
              <w:color w:val="auto"/>
              <w:sz w:val="24"/>
              <w:szCs w:val="24"/>
              <w:highlight w:val="none"/>
            </w:rPr>
            <w:fldChar w:fldCharType="end"/>
          </w:r>
        </w:p>
        <w:p w14:paraId="1EAF292C">
          <w:pPr>
            <w:pStyle w:val="46"/>
            <w:tabs>
              <w:tab w:val="right" w:leader="dot" w:pos="8312"/>
              <w:tab w:val="clear" w:pos="8296"/>
            </w:tabs>
            <w:spacing w:line="240" w:lineRule="auto"/>
            <w:ind w:left="0" w:firstLine="0" w:firstLineChars="0"/>
            <w:rPr>
              <w:rFonts w:hint="eastAsia" w:ascii="微软雅黑" w:hAnsi="微软雅黑" w:cs="微软雅黑"/>
              <w:b w:val="0"/>
              <w:bCs/>
              <w:color w:val="auto"/>
              <w:sz w:val="24"/>
              <w:highlight w:val="none"/>
            </w:rPr>
          </w:pPr>
          <w:r>
            <w:rPr>
              <w:color w:val="auto"/>
              <w:highlight w:val="none"/>
            </w:rPr>
            <w:fldChar w:fldCharType="begin"/>
          </w:r>
          <w:r>
            <w:rPr>
              <w:color w:val="auto"/>
              <w:highlight w:val="none"/>
            </w:rPr>
            <w:instrText xml:space="preserve"> HYPERLINK \l "_Toc22990" </w:instrText>
          </w:r>
          <w:r>
            <w:rPr>
              <w:color w:val="auto"/>
              <w:highlight w:val="none"/>
            </w:rPr>
            <w:fldChar w:fldCharType="separate"/>
          </w:r>
          <w:r>
            <w:rPr>
              <w:rFonts w:hint="eastAsia" w:ascii="微软雅黑" w:hAnsi="微软雅黑" w:cs="微软雅黑"/>
              <w:b w:val="0"/>
              <w:bCs/>
              <w:color w:val="auto"/>
              <w:sz w:val="24"/>
              <w:highlight w:val="none"/>
            </w:rPr>
            <w:t>一、总则</w:t>
          </w:r>
          <w:r>
            <w:rPr>
              <w:rFonts w:hint="eastAsia" w:ascii="微软雅黑" w:hAnsi="微软雅黑" w:cs="微软雅黑"/>
              <w:b w:val="0"/>
              <w:bCs/>
              <w:color w:val="auto"/>
              <w:sz w:val="24"/>
              <w:highlight w:val="none"/>
            </w:rPr>
            <w:tab/>
          </w:r>
          <w:r>
            <w:rPr>
              <w:rFonts w:hint="eastAsia" w:ascii="微软雅黑" w:hAnsi="微软雅黑" w:cs="微软雅黑"/>
              <w:b w:val="0"/>
              <w:bCs/>
              <w:color w:val="auto"/>
              <w:sz w:val="24"/>
              <w:highlight w:val="none"/>
            </w:rPr>
            <w:fldChar w:fldCharType="begin"/>
          </w:r>
          <w:r>
            <w:rPr>
              <w:rFonts w:hint="eastAsia" w:ascii="微软雅黑" w:hAnsi="微软雅黑" w:cs="微软雅黑"/>
              <w:b w:val="0"/>
              <w:bCs/>
              <w:color w:val="auto"/>
              <w:sz w:val="24"/>
              <w:highlight w:val="none"/>
            </w:rPr>
            <w:instrText xml:space="preserve"> PAGEREF _Toc22990 \h </w:instrText>
          </w:r>
          <w:r>
            <w:rPr>
              <w:rFonts w:hint="eastAsia" w:ascii="微软雅黑" w:hAnsi="微软雅黑" w:cs="微软雅黑"/>
              <w:b w:val="0"/>
              <w:bCs/>
              <w:color w:val="auto"/>
              <w:sz w:val="24"/>
              <w:highlight w:val="none"/>
            </w:rPr>
            <w:fldChar w:fldCharType="separate"/>
          </w:r>
          <w:r>
            <w:rPr>
              <w:rFonts w:hint="eastAsia" w:ascii="微软雅黑" w:hAnsi="微软雅黑" w:cs="微软雅黑"/>
              <w:b w:val="0"/>
              <w:bCs/>
              <w:color w:val="auto"/>
              <w:sz w:val="24"/>
              <w:highlight w:val="none"/>
            </w:rPr>
            <w:t>30</w:t>
          </w:r>
          <w:r>
            <w:rPr>
              <w:rFonts w:hint="eastAsia" w:ascii="微软雅黑" w:hAnsi="微软雅黑" w:cs="微软雅黑"/>
              <w:b w:val="0"/>
              <w:bCs/>
              <w:color w:val="auto"/>
              <w:sz w:val="24"/>
              <w:highlight w:val="none"/>
            </w:rPr>
            <w:fldChar w:fldCharType="end"/>
          </w:r>
          <w:r>
            <w:rPr>
              <w:rFonts w:hint="eastAsia" w:ascii="微软雅黑" w:hAnsi="微软雅黑" w:cs="微软雅黑"/>
              <w:b w:val="0"/>
              <w:bCs/>
              <w:color w:val="auto"/>
              <w:sz w:val="24"/>
              <w:highlight w:val="none"/>
            </w:rPr>
            <w:fldChar w:fldCharType="end"/>
          </w:r>
        </w:p>
        <w:p w14:paraId="28D7D509">
          <w:pPr>
            <w:pStyle w:val="46"/>
            <w:tabs>
              <w:tab w:val="right" w:leader="dot" w:pos="8312"/>
              <w:tab w:val="clear" w:pos="8296"/>
            </w:tabs>
            <w:spacing w:line="240" w:lineRule="auto"/>
            <w:ind w:left="0" w:firstLine="0" w:firstLineChars="0"/>
            <w:rPr>
              <w:rFonts w:hint="eastAsia" w:ascii="微软雅黑" w:hAnsi="微软雅黑" w:cs="微软雅黑"/>
              <w:b w:val="0"/>
              <w:bCs/>
              <w:color w:val="auto"/>
              <w:sz w:val="24"/>
              <w:highlight w:val="none"/>
            </w:rPr>
          </w:pPr>
          <w:r>
            <w:rPr>
              <w:color w:val="auto"/>
              <w:highlight w:val="none"/>
            </w:rPr>
            <w:fldChar w:fldCharType="begin"/>
          </w:r>
          <w:r>
            <w:rPr>
              <w:color w:val="auto"/>
              <w:highlight w:val="none"/>
            </w:rPr>
            <w:instrText xml:space="preserve"> HYPERLINK \l "_Toc18804" </w:instrText>
          </w:r>
          <w:r>
            <w:rPr>
              <w:color w:val="auto"/>
              <w:highlight w:val="none"/>
            </w:rPr>
            <w:fldChar w:fldCharType="separate"/>
          </w:r>
          <w:r>
            <w:rPr>
              <w:rFonts w:hint="eastAsia" w:ascii="微软雅黑" w:hAnsi="微软雅黑" w:cs="微软雅黑"/>
              <w:b w:val="0"/>
              <w:bCs/>
              <w:color w:val="auto"/>
              <w:sz w:val="24"/>
              <w:highlight w:val="none"/>
            </w:rPr>
            <w:t>二、评标内容及标准</w:t>
          </w:r>
          <w:r>
            <w:rPr>
              <w:rFonts w:hint="eastAsia" w:ascii="微软雅黑" w:hAnsi="微软雅黑" w:cs="微软雅黑"/>
              <w:b w:val="0"/>
              <w:bCs/>
              <w:color w:val="auto"/>
              <w:sz w:val="24"/>
              <w:highlight w:val="none"/>
            </w:rPr>
            <w:tab/>
          </w:r>
          <w:r>
            <w:rPr>
              <w:rFonts w:hint="eastAsia" w:ascii="微软雅黑" w:hAnsi="微软雅黑" w:cs="微软雅黑"/>
              <w:b w:val="0"/>
              <w:bCs/>
              <w:color w:val="auto"/>
              <w:sz w:val="24"/>
              <w:highlight w:val="none"/>
            </w:rPr>
            <w:fldChar w:fldCharType="begin"/>
          </w:r>
          <w:r>
            <w:rPr>
              <w:rFonts w:hint="eastAsia" w:ascii="微软雅黑" w:hAnsi="微软雅黑" w:cs="微软雅黑"/>
              <w:b w:val="0"/>
              <w:bCs/>
              <w:color w:val="auto"/>
              <w:sz w:val="24"/>
              <w:highlight w:val="none"/>
            </w:rPr>
            <w:instrText xml:space="preserve"> PAGEREF _Toc18804 \h </w:instrText>
          </w:r>
          <w:r>
            <w:rPr>
              <w:rFonts w:hint="eastAsia" w:ascii="微软雅黑" w:hAnsi="微软雅黑" w:cs="微软雅黑"/>
              <w:b w:val="0"/>
              <w:bCs/>
              <w:color w:val="auto"/>
              <w:sz w:val="24"/>
              <w:highlight w:val="none"/>
            </w:rPr>
            <w:fldChar w:fldCharType="separate"/>
          </w:r>
          <w:r>
            <w:rPr>
              <w:rFonts w:hint="eastAsia" w:ascii="微软雅黑" w:hAnsi="微软雅黑" w:cs="微软雅黑"/>
              <w:b w:val="0"/>
              <w:bCs/>
              <w:color w:val="auto"/>
              <w:sz w:val="24"/>
              <w:highlight w:val="none"/>
            </w:rPr>
            <w:t>30</w:t>
          </w:r>
          <w:r>
            <w:rPr>
              <w:rFonts w:hint="eastAsia" w:ascii="微软雅黑" w:hAnsi="微软雅黑" w:cs="微软雅黑"/>
              <w:b w:val="0"/>
              <w:bCs/>
              <w:color w:val="auto"/>
              <w:sz w:val="24"/>
              <w:highlight w:val="none"/>
            </w:rPr>
            <w:fldChar w:fldCharType="end"/>
          </w:r>
          <w:r>
            <w:rPr>
              <w:rFonts w:hint="eastAsia" w:ascii="微软雅黑" w:hAnsi="微软雅黑" w:cs="微软雅黑"/>
              <w:b w:val="0"/>
              <w:bCs/>
              <w:color w:val="auto"/>
              <w:sz w:val="24"/>
              <w:highlight w:val="none"/>
            </w:rPr>
            <w:fldChar w:fldCharType="end"/>
          </w:r>
        </w:p>
        <w:p w14:paraId="15260DC3">
          <w:pPr>
            <w:pStyle w:val="38"/>
            <w:tabs>
              <w:tab w:val="right" w:leader="dot" w:pos="8312"/>
              <w:tab w:val="clear" w:pos="9060"/>
            </w:tabs>
            <w:spacing w:line="240" w:lineRule="auto"/>
            <w:ind w:firstLine="0" w:firstLineChars="0"/>
            <w:rPr>
              <w:rFonts w:hint="eastAsia" w:ascii="微软雅黑" w:hAnsi="微软雅黑" w:eastAsia="微软雅黑" w:cs="微软雅黑"/>
              <w:color w:val="auto"/>
              <w:sz w:val="24"/>
              <w:szCs w:val="24"/>
              <w:highlight w:val="none"/>
            </w:rPr>
          </w:pPr>
          <w:r>
            <w:rPr>
              <w:color w:val="auto"/>
              <w:highlight w:val="none"/>
            </w:rPr>
            <w:fldChar w:fldCharType="begin"/>
          </w:r>
          <w:r>
            <w:rPr>
              <w:color w:val="auto"/>
              <w:highlight w:val="none"/>
            </w:rPr>
            <w:instrText xml:space="preserve"> HYPERLINK \l "_Toc20371" </w:instrText>
          </w:r>
          <w:r>
            <w:rPr>
              <w:color w:val="auto"/>
              <w:highlight w:val="none"/>
            </w:rPr>
            <w:fldChar w:fldCharType="separate"/>
          </w:r>
          <w:r>
            <w:rPr>
              <w:rFonts w:hint="eastAsia" w:ascii="微软雅黑" w:hAnsi="微软雅黑" w:eastAsia="微软雅黑" w:cs="微软雅黑"/>
              <w:color w:val="auto"/>
              <w:sz w:val="24"/>
              <w:szCs w:val="24"/>
              <w:highlight w:val="none"/>
            </w:rPr>
            <w:t>第五章 采购合同（指引）</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 PAGEREF _Toc20371 \h </w:instrText>
          </w:r>
          <w:r>
            <w:rPr>
              <w:rFonts w:hint="eastAsia" w:ascii="微软雅黑" w:hAnsi="微软雅黑" w:eastAsia="微软雅黑" w:cs="微软雅黑"/>
              <w:color w:val="auto"/>
              <w:sz w:val="24"/>
              <w:szCs w:val="24"/>
              <w:highlight w:val="none"/>
            </w:rPr>
            <w:fldChar w:fldCharType="separate"/>
          </w:r>
          <w:r>
            <w:rPr>
              <w:rFonts w:hint="eastAsia" w:ascii="微软雅黑" w:hAnsi="微软雅黑" w:eastAsia="微软雅黑" w:cs="微软雅黑"/>
              <w:color w:val="auto"/>
              <w:sz w:val="24"/>
              <w:szCs w:val="24"/>
              <w:highlight w:val="none"/>
            </w:rPr>
            <w:t>33</w:t>
          </w:r>
          <w:r>
            <w:rPr>
              <w:rFonts w:hint="eastAsia" w:ascii="微软雅黑" w:hAnsi="微软雅黑" w:eastAsia="微软雅黑" w:cs="微软雅黑"/>
              <w:color w:val="auto"/>
              <w:sz w:val="24"/>
              <w:szCs w:val="24"/>
              <w:highlight w:val="none"/>
            </w:rPr>
            <w:fldChar w:fldCharType="end"/>
          </w:r>
          <w:r>
            <w:rPr>
              <w:rFonts w:hint="eastAsia" w:ascii="微软雅黑" w:hAnsi="微软雅黑" w:eastAsia="微软雅黑" w:cs="微软雅黑"/>
              <w:color w:val="auto"/>
              <w:sz w:val="24"/>
              <w:szCs w:val="24"/>
              <w:highlight w:val="none"/>
            </w:rPr>
            <w:fldChar w:fldCharType="end"/>
          </w:r>
        </w:p>
        <w:p w14:paraId="3236ECB1">
          <w:pPr>
            <w:pStyle w:val="38"/>
            <w:tabs>
              <w:tab w:val="right" w:leader="dot" w:pos="8312"/>
              <w:tab w:val="clear" w:pos="9060"/>
            </w:tabs>
            <w:spacing w:line="240" w:lineRule="auto"/>
            <w:ind w:firstLine="0" w:firstLineChars="0"/>
            <w:rPr>
              <w:rFonts w:hint="eastAsia" w:ascii="微软雅黑" w:hAnsi="微软雅黑" w:eastAsia="微软雅黑" w:cs="微软雅黑"/>
              <w:color w:val="auto"/>
              <w:highlight w:val="none"/>
            </w:rPr>
          </w:pPr>
          <w:r>
            <w:rPr>
              <w:color w:val="auto"/>
              <w:highlight w:val="none"/>
            </w:rPr>
            <w:fldChar w:fldCharType="begin"/>
          </w:r>
          <w:r>
            <w:rPr>
              <w:color w:val="auto"/>
              <w:highlight w:val="none"/>
            </w:rPr>
            <w:instrText xml:space="preserve"> HYPERLINK \l "_Toc13569" </w:instrText>
          </w:r>
          <w:r>
            <w:rPr>
              <w:color w:val="auto"/>
              <w:highlight w:val="none"/>
            </w:rPr>
            <w:fldChar w:fldCharType="separate"/>
          </w:r>
          <w:r>
            <w:rPr>
              <w:rFonts w:hint="eastAsia" w:ascii="微软雅黑" w:hAnsi="微软雅黑" w:eastAsia="微软雅黑" w:cs="微软雅黑"/>
              <w:color w:val="auto"/>
              <w:sz w:val="24"/>
              <w:szCs w:val="24"/>
              <w:highlight w:val="none"/>
            </w:rPr>
            <w:t>第六章 投标文件相关格式</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 PAGEREF _Toc13569 \h </w:instrText>
          </w:r>
          <w:r>
            <w:rPr>
              <w:rFonts w:hint="eastAsia" w:ascii="微软雅黑" w:hAnsi="微软雅黑" w:eastAsia="微软雅黑" w:cs="微软雅黑"/>
              <w:color w:val="auto"/>
              <w:sz w:val="24"/>
              <w:szCs w:val="24"/>
              <w:highlight w:val="none"/>
            </w:rPr>
            <w:fldChar w:fldCharType="separate"/>
          </w:r>
          <w:r>
            <w:rPr>
              <w:rFonts w:hint="eastAsia" w:ascii="微软雅黑" w:hAnsi="微软雅黑" w:eastAsia="微软雅黑" w:cs="微软雅黑"/>
              <w:color w:val="auto"/>
              <w:sz w:val="24"/>
              <w:szCs w:val="24"/>
              <w:highlight w:val="none"/>
            </w:rPr>
            <w:t>39</w:t>
          </w:r>
          <w:r>
            <w:rPr>
              <w:rFonts w:hint="eastAsia" w:ascii="微软雅黑" w:hAnsi="微软雅黑" w:eastAsia="微软雅黑" w:cs="微软雅黑"/>
              <w:color w:val="auto"/>
              <w:sz w:val="24"/>
              <w:szCs w:val="24"/>
              <w:highlight w:val="none"/>
            </w:rPr>
            <w:fldChar w:fldCharType="end"/>
          </w:r>
          <w:r>
            <w:rPr>
              <w:rFonts w:hint="eastAsia" w:ascii="微软雅黑" w:hAnsi="微软雅黑" w:eastAsia="微软雅黑" w:cs="微软雅黑"/>
              <w:color w:val="auto"/>
              <w:sz w:val="24"/>
              <w:szCs w:val="24"/>
              <w:highlight w:val="none"/>
            </w:rPr>
            <w:fldChar w:fldCharType="end"/>
          </w:r>
        </w:p>
        <w:p w14:paraId="3A56E81A">
          <w:pPr>
            <w:pStyle w:val="38"/>
            <w:tabs>
              <w:tab w:val="right" w:leader="dot" w:pos="8312"/>
              <w:tab w:val="clear" w:pos="9060"/>
            </w:tabs>
            <w:ind w:firstLine="720"/>
            <w:rPr>
              <w:color w:val="auto"/>
              <w:highlight w:val="none"/>
            </w:rPr>
          </w:pPr>
        </w:p>
        <w:p w14:paraId="5176C301">
          <w:pPr>
            <w:ind w:firstLine="420"/>
            <w:rPr>
              <w:color w:val="auto"/>
              <w:highlight w:val="none"/>
            </w:rPr>
          </w:pPr>
          <w:r>
            <w:rPr>
              <w:color w:val="auto"/>
              <w:highlight w:val="none"/>
            </w:rPr>
            <w:fldChar w:fldCharType="end"/>
          </w:r>
        </w:p>
      </w:sdtContent>
    </w:sdt>
    <w:p w14:paraId="290D70B3">
      <w:pPr>
        <w:pStyle w:val="2"/>
        <w:numPr>
          <w:ilvl w:val="0"/>
          <w:numId w:val="3"/>
        </w:numPr>
        <w:rPr>
          <w:rStyle w:val="66"/>
          <w:b/>
          <w:bCs/>
          <w:color w:val="auto"/>
          <w:highlight w:val="none"/>
        </w:rPr>
        <w:sectPr>
          <w:headerReference r:id="rId13" w:type="first"/>
          <w:headerReference r:id="rId11" w:type="default"/>
          <w:footerReference r:id="rId14" w:type="default"/>
          <w:headerReference r:id="rId12" w:type="even"/>
          <w:pgSz w:w="11906" w:h="16838"/>
          <w:pgMar w:top="1474" w:right="1797" w:bottom="1247" w:left="1797" w:header="851" w:footer="851" w:gutter="0"/>
          <w:cols w:space="720" w:num="1"/>
          <w:docGrid w:linePitch="312" w:charSpace="0"/>
        </w:sectPr>
      </w:pPr>
    </w:p>
    <w:p w14:paraId="01BE0CA1">
      <w:pPr>
        <w:pStyle w:val="2"/>
        <w:numPr>
          <w:ilvl w:val="0"/>
          <w:numId w:val="3"/>
        </w:numPr>
        <w:rPr>
          <w:rStyle w:val="66"/>
          <w:b/>
          <w:bCs/>
          <w:color w:val="auto"/>
          <w:highlight w:val="none"/>
        </w:rPr>
      </w:pPr>
      <w:bookmarkStart w:id="9" w:name="_Toc23056"/>
      <w:r>
        <w:rPr>
          <w:rStyle w:val="66"/>
          <w:rFonts w:hint="eastAsia"/>
          <w:b/>
          <w:bCs/>
          <w:color w:val="auto"/>
          <w:highlight w:val="none"/>
        </w:rPr>
        <w:t>公开招标采购公告</w:t>
      </w:r>
      <w:bookmarkEnd w:id="9"/>
    </w:p>
    <w:tbl>
      <w:tblPr>
        <w:tblStyle w:val="5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364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14:paraId="72F73C66">
            <w:pPr>
              <w:pStyle w:val="49"/>
              <w:spacing w:before="75" w:beforeAutospacing="0" w:after="75" w:afterAutospacing="0" w:line="276" w:lineRule="auto"/>
              <w:ind w:firstLine="0" w:firstLineChars="0"/>
              <w:jc w:val="both"/>
              <w:rPr>
                <w:rFonts w:hint="eastAsia" w:ascii="微软雅黑" w:hAnsi="微软雅黑" w:cs="Arial"/>
                <w:color w:val="auto"/>
                <w:sz w:val="21"/>
                <w:szCs w:val="21"/>
                <w:highlight w:val="none"/>
              </w:rPr>
            </w:pPr>
            <w:bookmarkStart w:id="10" w:name="_Toc493511541"/>
            <w:bookmarkStart w:id="11" w:name="_Toc177870534"/>
            <w:r>
              <w:rPr>
                <w:rFonts w:hint="eastAsia" w:ascii="微软雅黑" w:hAnsi="微软雅黑" w:cs="Arial"/>
                <w:color w:val="auto"/>
                <w:sz w:val="21"/>
                <w:szCs w:val="21"/>
                <w:highlight w:val="none"/>
              </w:rPr>
              <w:t>项目概况</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p>
          <w:p w14:paraId="11D512F1">
            <w:pPr>
              <w:pStyle w:val="49"/>
              <w:spacing w:before="75" w:beforeAutospacing="0" w:after="75" w:afterAutospacing="0" w:line="276" w:lineRule="auto"/>
              <w:ind w:firstLine="420"/>
              <w:rPr>
                <w:rFonts w:hint="eastAsia" w:ascii="微软雅黑" w:hAnsi="微软雅黑" w:cs="Arial"/>
                <w:color w:val="auto"/>
                <w:sz w:val="21"/>
                <w:szCs w:val="21"/>
                <w:highlight w:val="none"/>
              </w:rPr>
            </w:pPr>
            <w:r>
              <w:rPr>
                <w:rFonts w:hint="eastAsia" w:ascii="微软雅黑" w:hAnsi="微软雅黑" w:cs="Arial"/>
                <w:color w:val="auto"/>
                <w:sz w:val="21"/>
                <w:szCs w:val="21"/>
                <w:highlight w:val="none"/>
              </w:rPr>
              <w:t>王江泾镇乍嘉苏航道长虹桥绕行周边地块规划设计编制服务项目的潜在投标人应在https://www.zcygov.cn获取（下载）招标文件，并于</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2025年</w:t>
            </w:r>
            <w:r>
              <w:rPr>
                <w:rFonts w:hint="eastAsia" w:ascii="微软雅黑" w:hAnsi="微软雅黑" w:cs="Arial"/>
                <w:color w:val="auto"/>
                <w:sz w:val="21"/>
                <w:szCs w:val="21"/>
                <w:highlight w:val="none"/>
                <w:lang w:val="en-US" w:eastAsia="zh-CN"/>
              </w:rPr>
              <w:t>7</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24</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9</w:t>
            </w:r>
            <w:r>
              <w:rPr>
                <w:rFonts w:hint="eastAsia" w:ascii="微软雅黑" w:hAnsi="微软雅黑" w:cs="Arial"/>
                <w:color w:val="auto"/>
                <w:sz w:val="21"/>
                <w:szCs w:val="21"/>
                <w:highlight w:val="none"/>
              </w:rPr>
              <w:t>：</w:t>
            </w:r>
            <w:r>
              <w:rPr>
                <w:rFonts w:hint="eastAsia" w:ascii="微软雅黑" w:hAnsi="微软雅黑" w:cs="Arial"/>
                <w:color w:val="auto"/>
                <w:sz w:val="21"/>
                <w:szCs w:val="21"/>
                <w:highlight w:val="none"/>
                <w:lang w:val="en-US" w:eastAsia="zh-CN"/>
              </w:rPr>
              <w:t>30</w:t>
            </w:r>
            <w:r>
              <w:rPr>
                <w:rFonts w:hint="eastAsia" w:ascii="微软雅黑" w:hAnsi="微软雅黑" w:cs="Arial"/>
                <w:color w:val="auto"/>
                <w:sz w:val="21"/>
                <w:szCs w:val="21"/>
                <w:highlight w:val="none"/>
              </w:rPr>
              <w:t>（北京时间）前递交（上传）投标文件。</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p>
        </w:tc>
      </w:tr>
    </w:tbl>
    <w:p w14:paraId="76007D40">
      <w:pPr>
        <w:widowControl/>
        <w:spacing w:line="460" w:lineRule="exact"/>
        <w:ind w:firstLine="0" w:firstLineChars="0"/>
        <w:jc w:val="both"/>
        <w:rPr>
          <w:rFonts w:hint="eastAsia" w:ascii="微软雅黑" w:hAnsi="微软雅黑" w:cs="微软雅黑"/>
          <w:color w:val="auto"/>
          <w:kern w:val="0"/>
          <w:szCs w:val="21"/>
          <w:highlight w:val="none"/>
        </w:rPr>
      </w:pPr>
      <w:r>
        <w:rPr>
          <w:rFonts w:hint="eastAsia" w:ascii="微软雅黑" w:hAnsi="微软雅黑" w:cs="微软雅黑"/>
          <w:b/>
          <w:bCs/>
          <w:color w:val="auto"/>
          <w:kern w:val="0"/>
          <w:szCs w:val="21"/>
          <w:highlight w:val="none"/>
        </w:rPr>
        <w:t>一、项目基本情况</w:t>
      </w:r>
      <w:r>
        <w:rPr>
          <w:rFonts w:hint="eastAsia" w:ascii="微软雅黑" w:hAnsi="微软雅黑" w:cs="微软雅黑"/>
          <w:color w:val="auto"/>
          <w:kern w:val="0"/>
          <w:szCs w:val="21"/>
          <w:highlight w:val="none"/>
        </w:rPr>
        <w:t>                                            </w:t>
      </w:r>
    </w:p>
    <w:p w14:paraId="0BD1E5EE">
      <w:pPr>
        <w:widowControl/>
        <w:spacing w:before="75" w:after="75" w:line="460" w:lineRule="exact"/>
        <w:ind w:firstLine="424" w:firstLineChars="202"/>
        <w:rPr>
          <w:rFonts w:hint="eastAsia" w:ascii="微软雅黑" w:hAnsi="微软雅黑" w:eastAsia="微软雅黑" w:cs="微软雅黑"/>
          <w:b/>
          <w:bCs/>
          <w:color w:val="auto"/>
          <w:kern w:val="0"/>
          <w:szCs w:val="21"/>
          <w:highlight w:val="none"/>
          <w:lang w:eastAsia="zh-CN"/>
        </w:rPr>
      </w:pPr>
      <w:r>
        <w:rPr>
          <w:rFonts w:hint="eastAsia" w:ascii="微软雅黑" w:hAnsi="微软雅黑" w:cs="微软雅黑"/>
          <w:color w:val="auto"/>
          <w:kern w:val="0"/>
          <w:szCs w:val="21"/>
          <w:highlight w:val="none"/>
        </w:rPr>
        <w:t>采购计划编号：</w:t>
      </w:r>
      <w:r>
        <w:rPr>
          <w:color w:val="auto"/>
          <w:highlight w:val="none"/>
        </w:rPr>
        <w:fldChar w:fldCharType="begin"/>
      </w:r>
      <w:r>
        <w:rPr>
          <w:color w:val="auto"/>
          <w:highlight w:val="none"/>
        </w:rPr>
        <w:instrText xml:space="preserve"> HYPERLINK "https://pay.zcygov.cn/purchaseplan_front/" \l "/plan/list/view?id=1000000000015361513&amp;_app_=zcy.procurement" \t "https://www.zcygov.cn/project-center/_procurement_/purchasePlans/_blank" </w:instrText>
      </w:r>
      <w:r>
        <w:rPr>
          <w:color w:val="auto"/>
          <w:highlight w:val="none"/>
        </w:rPr>
        <w:fldChar w:fldCharType="separate"/>
      </w:r>
      <w:r>
        <w:rPr>
          <w:color w:val="auto"/>
          <w:highlight w:val="none"/>
        </w:rPr>
        <w:fldChar w:fldCharType="end"/>
      </w:r>
      <w:r>
        <w:rPr>
          <w:rFonts w:hint="eastAsia" w:ascii="微软雅黑" w:hAnsi="微软雅黑" w:cs="微软雅黑"/>
          <w:b/>
          <w:bCs/>
          <w:color w:val="auto"/>
          <w:kern w:val="0"/>
          <w:szCs w:val="21"/>
          <w:highlight w:val="none"/>
        </w:rPr>
        <w:t xml:space="preserve"> </w:t>
      </w:r>
      <w:r>
        <w:rPr>
          <w:rFonts w:ascii="微软雅黑" w:hAnsi="微软雅黑" w:eastAsia="微软雅黑" w:cs="微软雅黑"/>
          <w:i w:val="0"/>
          <w:iCs w:val="0"/>
          <w:caps w:val="0"/>
          <w:color w:val="auto"/>
          <w:spacing w:val="0"/>
          <w:sz w:val="21"/>
          <w:szCs w:val="21"/>
          <w:highlight w:val="none"/>
        </w:rPr>
        <w:t>[2025]1099号</w:t>
      </w:r>
      <w:r>
        <w:rPr>
          <w:rFonts w:hint="eastAsia" w:ascii="微软雅黑" w:hAnsi="微软雅黑" w:cs="微软雅黑"/>
          <w:i w:val="0"/>
          <w:iCs w:val="0"/>
          <w:caps w:val="0"/>
          <w:color w:val="auto"/>
          <w:spacing w:val="0"/>
          <w:sz w:val="21"/>
          <w:szCs w:val="21"/>
          <w:highlight w:val="none"/>
          <w:u w:val="none"/>
          <w:lang w:eastAsia="zh-CN"/>
        </w:rPr>
        <w:t>（</w:t>
      </w:r>
      <w:r>
        <w:rPr>
          <w:rFonts w:ascii="微软雅黑" w:hAnsi="微软雅黑" w:eastAsia="微软雅黑" w:cs="微软雅黑"/>
          <w:i w:val="0"/>
          <w:iCs w:val="0"/>
          <w:caps w:val="0"/>
          <w:color w:val="auto"/>
          <w:spacing w:val="0"/>
          <w:sz w:val="21"/>
          <w:szCs w:val="21"/>
          <w:highlight w:val="none"/>
          <w:u w:val="none"/>
        </w:rPr>
        <w:fldChar w:fldCharType="begin"/>
      </w:r>
      <w:r>
        <w:rPr>
          <w:rFonts w:ascii="微软雅黑" w:hAnsi="微软雅黑" w:eastAsia="微软雅黑" w:cs="微软雅黑"/>
          <w:i w:val="0"/>
          <w:iCs w:val="0"/>
          <w:caps w:val="0"/>
          <w:color w:val="auto"/>
          <w:spacing w:val="0"/>
          <w:sz w:val="21"/>
          <w:szCs w:val="21"/>
          <w:highlight w:val="none"/>
          <w:u w:val="none"/>
        </w:rPr>
        <w:instrText xml:space="preserve"> HYPERLINK "https://pay.zcygov.cn/purchaseplan_front/" \l "/procurement-plan/plan/detail?id=1101000000256828&amp;_app_=zcy.purchase-plan" \t "https://www.zcygov.cn/project-center/_procurement_/purchasePlans/_blank" </w:instrText>
      </w:r>
      <w:r>
        <w:rPr>
          <w:rFonts w:ascii="微软雅黑" w:hAnsi="微软雅黑" w:eastAsia="微软雅黑" w:cs="微软雅黑"/>
          <w:i w:val="0"/>
          <w:iCs w:val="0"/>
          <w:caps w:val="0"/>
          <w:color w:val="auto"/>
          <w:spacing w:val="0"/>
          <w:sz w:val="21"/>
          <w:szCs w:val="21"/>
          <w:highlight w:val="none"/>
          <w:u w:val="none"/>
        </w:rPr>
        <w:fldChar w:fldCharType="separate"/>
      </w:r>
      <w:r>
        <w:rPr>
          <w:rStyle w:val="62"/>
          <w:rFonts w:hint="eastAsia" w:ascii="微软雅黑" w:hAnsi="微软雅黑" w:eastAsia="微软雅黑" w:cs="微软雅黑"/>
          <w:i w:val="0"/>
          <w:iCs w:val="0"/>
          <w:caps w:val="0"/>
          <w:color w:val="auto"/>
          <w:spacing w:val="0"/>
          <w:sz w:val="21"/>
          <w:szCs w:val="21"/>
          <w:highlight w:val="none"/>
          <w:u w:val="none"/>
        </w:rPr>
        <w:t>330411259100010000016</w:t>
      </w:r>
      <w:r>
        <w:rPr>
          <w:rFonts w:hint="eastAsia" w:ascii="微软雅黑" w:hAnsi="微软雅黑" w:eastAsia="微软雅黑" w:cs="微软雅黑"/>
          <w:i w:val="0"/>
          <w:iCs w:val="0"/>
          <w:caps w:val="0"/>
          <w:color w:val="auto"/>
          <w:spacing w:val="0"/>
          <w:sz w:val="21"/>
          <w:szCs w:val="21"/>
          <w:highlight w:val="none"/>
          <w:u w:val="none"/>
        </w:rPr>
        <w:fldChar w:fldCharType="end"/>
      </w:r>
      <w:r>
        <w:rPr>
          <w:rFonts w:hint="eastAsia" w:ascii="微软雅黑" w:hAnsi="微软雅黑" w:cs="微软雅黑"/>
          <w:i w:val="0"/>
          <w:iCs w:val="0"/>
          <w:caps w:val="0"/>
          <w:color w:val="auto"/>
          <w:spacing w:val="0"/>
          <w:sz w:val="21"/>
          <w:szCs w:val="21"/>
          <w:highlight w:val="none"/>
          <w:u w:val="none"/>
          <w:lang w:eastAsia="zh-CN"/>
        </w:rPr>
        <w:t>）</w:t>
      </w:r>
    </w:p>
    <w:p w14:paraId="0E6EA1AC">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项目编号： 千秋-JXQQGK（2025）第27号</w:t>
      </w:r>
    </w:p>
    <w:p w14:paraId="453CFE87">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项目名称：</w:t>
      </w:r>
      <w:r>
        <w:rPr>
          <w:rFonts w:hint="eastAsia" w:ascii="微软雅黑" w:hAnsi="微软雅黑" w:cs="微软雅黑"/>
          <w:color w:val="auto"/>
          <w:szCs w:val="21"/>
          <w:highlight w:val="none"/>
        </w:rPr>
        <w:t>王江泾镇乍嘉苏航道长虹桥绕行周边地块规划设计编制服务项目</w:t>
      </w:r>
    </w:p>
    <w:p w14:paraId="4FFD5FFA">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采购方式 ：公开招标</w:t>
      </w:r>
    </w:p>
    <w:p w14:paraId="4657D8FB">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预算金额（元）：784000.00</w:t>
      </w:r>
    </w:p>
    <w:p w14:paraId="332BE2E3">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最高限价（元）：784000.00</w:t>
      </w:r>
    </w:p>
    <w:p w14:paraId="35ABDFCE">
      <w:pPr>
        <w:widowControl/>
        <w:spacing w:before="75" w:after="75" w:line="460" w:lineRule="exact"/>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采购需求：王江泾镇乍嘉苏航道长虹桥绕行周边地块规划设计编制。 </w:t>
      </w:r>
    </w:p>
    <w:p w14:paraId="1DB5A44D">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合同履约期限：详见招标项目要求。</w:t>
      </w:r>
    </w:p>
    <w:p w14:paraId="5C6CD5DE">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本项目接受联合体投标：</w:t>
      </w: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t>是，</w:t>
      </w:r>
      <w:r>
        <w:rPr>
          <w:rFonts w:hint="eastAsia" w:ascii="微软雅黑" w:hAnsi="微软雅黑" w:cs="微软雅黑"/>
          <w:color w:val="auto"/>
          <w:kern w:val="0"/>
          <w:szCs w:val="21"/>
          <w:highlight w:val="none"/>
        </w:rPr>
        <w:sym w:font="Wingdings" w:char="00FE"/>
      </w:r>
      <w:r>
        <w:rPr>
          <w:rFonts w:hint="eastAsia" w:ascii="微软雅黑" w:hAnsi="微软雅黑" w:cs="微软雅黑"/>
          <w:color w:val="auto"/>
          <w:kern w:val="0"/>
          <w:szCs w:val="21"/>
          <w:highlight w:val="none"/>
        </w:rPr>
        <w:t>否。</w:t>
      </w:r>
    </w:p>
    <w:p w14:paraId="565592D1">
      <w:pPr>
        <w:widowControl/>
        <w:spacing w:before="75" w:after="75" w:line="460" w:lineRule="exact"/>
        <w:ind w:firstLine="0" w:firstLineChars="0"/>
        <w:outlineLvl w:val="1"/>
        <w:rPr>
          <w:rFonts w:hint="eastAsia" w:ascii="微软雅黑" w:hAnsi="微软雅黑" w:cs="微软雅黑"/>
          <w:color w:val="auto"/>
          <w:kern w:val="0"/>
          <w:szCs w:val="21"/>
          <w:highlight w:val="none"/>
        </w:rPr>
      </w:pPr>
      <w:bookmarkStart w:id="12" w:name="_Toc8890"/>
      <w:bookmarkStart w:id="13" w:name="_Toc32337"/>
      <w:r>
        <w:rPr>
          <w:rFonts w:hint="eastAsia" w:ascii="微软雅黑" w:hAnsi="微软雅黑" w:cs="微软雅黑"/>
          <w:b/>
          <w:bCs/>
          <w:color w:val="auto"/>
          <w:kern w:val="0"/>
          <w:szCs w:val="21"/>
          <w:highlight w:val="none"/>
        </w:rPr>
        <w:t>二、申请人的资格要求：</w:t>
      </w:r>
      <w:bookmarkEnd w:id="12"/>
      <w:bookmarkEnd w:id="13"/>
    </w:p>
    <w:p w14:paraId="2BEE4EB8">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04EA6CF">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2.落实政府采购支持中小企业政策需满足的资格要求：</w:t>
      </w:r>
    </w:p>
    <w:p w14:paraId="1462355C">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xml:space="preserve">2.1 </w:t>
      </w:r>
      <w:r>
        <w:rPr>
          <w:rFonts w:hint="eastAsia" w:ascii="微软雅黑" w:hAnsi="微软雅黑" w:cs="微软雅黑"/>
          <w:color w:val="auto"/>
          <w:kern w:val="0"/>
          <w:szCs w:val="21"/>
          <w:highlight w:val="none"/>
        </w:rPr>
        <w:sym w:font="Wingdings" w:char="00FE"/>
      </w:r>
      <w:r>
        <w:rPr>
          <w:rFonts w:hint="eastAsia" w:ascii="微软雅黑" w:hAnsi="微软雅黑" w:cs="微软雅黑"/>
          <w:color w:val="auto"/>
          <w:kern w:val="0"/>
          <w:szCs w:val="21"/>
          <w:highlight w:val="none"/>
        </w:rPr>
        <w:t>无需落实；</w:t>
      </w:r>
    </w:p>
    <w:p w14:paraId="16A5BC1A">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2.2</w:t>
      </w: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t xml:space="preserve"> 需要落实：</w:t>
      </w:r>
    </w:p>
    <w:p w14:paraId="6F2DF554">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2.2.1专门面向中小企业</w:t>
      </w:r>
    </w:p>
    <w:p w14:paraId="51298715">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t xml:space="preserve"> 货物全部由符合政策要求的中小企业制造，提供中小企业声明函；</w:t>
      </w:r>
    </w:p>
    <w:p w14:paraId="41301C4D">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t xml:space="preserve"> 货物全部由符合政策要求的小微企业制造，提供中小企业声明函；</w:t>
      </w:r>
    </w:p>
    <w:p w14:paraId="6DBA907C">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t xml:space="preserve"> 服务全部由符合政策要求的中小企业承接，提供中小企业声明函；</w:t>
      </w:r>
    </w:p>
    <w:p w14:paraId="2945CF12">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t xml:space="preserve"> 服务全部由符合政策要求的小微企业承接，提供中小企业声明函；</w:t>
      </w:r>
    </w:p>
    <w:p w14:paraId="7625C046">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2.2.2</w:t>
      </w: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t xml:space="preserve"> 要求以联合体形式参加，提供联合协议和中小企业声明函，联合协议中中小企业合同金额应当达到</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 xml:space="preserve"> %（不得低于40%），其中小微企业合同金额应当达到</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%（不得低于70%）;如果供应商本身提供所有标的均由中小企业制造、承建或承接，视同符合了资格条件，无需再与其他中小企业组成联合体参加政府采购活动，无需提供联合协议；</w:t>
      </w:r>
    </w:p>
    <w:p w14:paraId="214E3C5C">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2.2.3</w:t>
      </w: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t>要求合同分包，提供分包意向协议和中小企业声明函，分包意向协议中中小企业合同金额应当达到</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 （不得低于40%），其中小微企业合同金额应当达到</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 （不得低于70%）;如果供应商本身提供所有标的均由中小企业制造、承建或承接，视同符合了资格条件，无需再向中小企业分包，无需提供分包意向协议；</w:t>
      </w:r>
    </w:p>
    <w:p w14:paraId="516E63DF">
      <w:pPr>
        <w:widowControl/>
        <w:spacing w:before="75" w:after="75" w:line="460" w:lineRule="exact"/>
        <w:ind w:firstLine="424" w:firstLineChars="202"/>
        <w:rPr>
          <w:rFonts w:hint="eastAsia" w:ascii="微软雅黑" w:hAnsi="微软雅黑" w:eastAsia="微软雅黑" w:cs="微软雅黑"/>
          <w:color w:val="auto"/>
          <w:kern w:val="0"/>
          <w:szCs w:val="21"/>
          <w:highlight w:val="none"/>
          <w:lang w:eastAsia="zh-CN"/>
        </w:rPr>
      </w:pPr>
      <w:r>
        <w:rPr>
          <w:rFonts w:hint="eastAsia" w:ascii="微软雅黑" w:hAnsi="微软雅黑" w:cs="微软雅黑"/>
          <w:color w:val="auto"/>
          <w:kern w:val="0"/>
          <w:szCs w:val="21"/>
          <w:highlight w:val="none"/>
        </w:rPr>
        <w:t>3.本项目的特定资格要求： 规划编制单位要求具备城乡规划编制乙级及以上资质</w:t>
      </w:r>
      <w:r>
        <w:rPr>
          <w:rFonts w:hint="eastAsia" w:ascii="微软雅黑" w:hAnsi="微软雅黑" w:cs="微软雅黑"/>
          <w:color w:val="auto"/>
          <w:kern w:val="0"/>
          <w:szCs w:val="21"/>
          <w:highlight w:val="none"/>
          <w:lang w:eastAsia="zh-CN"/>
        </w:rPr>
        <w:t>。</w:t>
      </w:r>
    </w:p>
    <w:p w14:paraId="12FA42AC">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5DC801A">
      <w:pPr>
        <w:widowControl/>
        <w:spacing w:before="255" w:after="255" w:line="460" w:lineRule="exact"/>
        <w:ind w:firstLine="0" w:firstLineChars="0"/>
        <w:jc w:val="both"/>
        <w:rPr>
          <w:rFonts w:hint="eastAsia" w:ascii="微软雅黑" w:hAnsi="微软雅黑" w:cs="微软雅黑"/>
          <w:b/>
          <w:bCs/>
          <w:color w:val="auto"/>
          <w:kern w:val="0"/>
          <w:szCs w:val="21"/>
          <w:highlight w:val="none"/>
        </w:rPr>
      </w:pPr>
      <w:bookmarkStart w:id="14" w:name="_Toc14749"/>
      <w:r>
        <w:rPr>
          <w:rFonts w:hint="eastAsia" w:ascii="微软雅黑" w:hAnsi="微软雅黑" w:cs="微软雅黑"/>
          <w:b/>
          <w:bCs/>
          <w:color w:val="auto"/>
          <w:kern w:val="0"/>
          <w:szCs w:val="21"/>
          <w:highlight w:val="none"/>
        </w:rPr>
        <w:t>三、获取招标文件 </w:t>
      </w:r>
      <w:bookmarkEnd w:id="14"/>
    </w:p>
    <w:p w14:paraId="172B2117">
      <w:pPr>
        <w:widowControl/>
        <w:spacing w:before="75" w:after="75" w:line="460" w:lineRule="exact"/>
        <w:ind w:firstLine="424" w:firstLineChars="202"/>
        <w:rPr>
          <w:rFonts w:hint="eastAsia" w:ascii="微软雅黑" w:hAnsi="微软雅黑" w:cs="Arial"/>
          <w:color w:val="auto"/>
          <w:szCs w:val="21"/>
          <w:highlight w:val="none"/>
        </w:rPr>
      </w:pPr>
      <w:r>
        <w:rPr>
          <w:rFonts w:hint="eastAsia" w:ascii="微软雅黑" w:hAnsi="微软雅黑" w:cs="微软雅黑"/>
          <w:color w:val="auto"/>
          <w:kern w:val="0"/>
          <w:szCs w:val="21"/>
          <w:highlight w:val="none"/>
        </w:rPr>
        <w:t>时间：2025年</w:t>
      </w:r>
      <w:r>
        <w:rPr>
          <w:rFonts w:hint="eastAsia" w:ascii="微软雅黑" w:hAnsi="微软雅黑" w:cs="微软雅黑"/>
          <w:color w:val="auto"/>
          <w:kern w:val="0"/>
          <w:szCs w:val="21"/>
          <w:highlight w:val="none"/>
          <w:lang w:val="en-US" w:eastAsia="zh-CN"/>
        </w:rPr>
        <w:t>7</w:t>
      </w:r>
      <w:r>
        <w:rPr>
          <w:rFonts w:hint="eastAsia" w:ascii="微软雅黑" w:hAnsi="微软雅黑" w:cs="微软雅黑"/>
          <w:color w:val="auto"/>
          <w:kern w:val="0"/>
          <w:szCs w:val="21"/>
          <w:highlight w:val="none"/>
        </w:rPr>
        <w:t>月</w:t>
      </w:r>
      <w:r>
        <w:rPr>
          <w:rFonts w:hint="eastAsia" w:ascii="微软雅黑" w:hAnsi="微软雅黑" w:cs="微软雅黑"/>
          <w:color w:val="auto"/>
          <w:kern w:val="0"/>
          <w:szCs w:val="21"/>
          <w:highlight w:val="none"/>
          <w:lang w:val="en-US" w:eastAsia="zh-CN"/>
        </w:rPr>
        <w:t>04</w:t>
      </w:r>
      <w:r>
        <w:rPr>
          <w:rFonts w:hint="eastAsia" w:ascii="微软雅黑" w:hAnsi="微软雅黑" w:cs="微软雅黑"/>
          <w:color w:val="auto"/>
          <w:kern w:val="0"/>
          <w:szCs w:val="21"/>
          <w:highlight w:val="none"/>
        </w:rPr>
        <w:t>日至</w:t>
      </w:r>
      <w:r>
        <w:rPr>
          <w:rFonts w:hint="eastAsia" w:ascii="微软雅黑" w:hAnsi="微软雅黑" w:cs="Arial"/>
          <w:color w:val="auto"/>
          <w:szCs w:val="21"/>
          <w:highlight w:val="none"/>
        </w:rPr>
        <w:t>2025年</w:t>
      </w:r>
      <w:r>
        <w:rPr>
          <w:rFonts w:hint="eastAsia" w:ascii="微软雅黑" w:hAnsi="微软雅黑" w:cs="Arial"/>
          <w:color w:val="auto"/>
          <w:szCs w:val="21"/>
          <w:highlight w:val="none"/>
          <w:lang w:val="en-US" w:eastAsia="zh-CN"/>
        </w:rPr>
        <w:t>7</w:t>
      </w:r>
      <w:r>
        <w:rPr>
          <w:rFonts w:hint="eastAsia" w:ascii="微软雅黑" w:hAnsi="微软雅黑" w:cs="Arial"/>
          <w:color w:val="auto"/>
          <w:szCs w:val="21"/>
          <w:highlight w:val="none"/>
        </w:rPr>
        <w:t>月</w:t>
      </w:r>
      <w:r>
        <w:rPr>
          <w:rFonts w:hint="eastAsia" w:ascii="微软雅黑" w:hAnsi="微软雅黑" w:cs="Arial"/>
          <w:color w:val="auto"/>
          <w:szCs w:val="21"/>
          <w:highlight w:val="none"/>
          <w:lang w:val="en-US" w:eastAsia="zh-CN"/>
        </w:rPr>
        <w:t>24</w:t>
      </w:r>
      <w:r>
        <w:rPr>
          <w:rFonts w:hint="eastAsia" w:ascii="微软雅黑" w:hAnsi="微软雅黑" w:cs="Arial"/>
          <w:color w:val="auto"/>
          <w:szCs w:val="21"/>
          <w:highlight w:val="none"/>
        </w:rPr>
        <w:t>日</w:t>
      </w:r>
      <w:r>
        <w:rPr>
          <w:rFonts w:hint="eastAsia" w:ascii="微软雅黑" w:hAnsi="微软雅黑" w:cs="Arial"/>
          <w:color w:val="auto"/>
          <w:szCs w:val="21"/>
          <w:highlight w:val="none"/>
          <w:lang w:val="en-US" w:eastAsia="zh-CN"/>
        </w:rPr>
        <w:t>9</w:t>
      </w:r>
      <w:r>
        <w:rPr>
          <w:rFonts w:hint="eastAsia" w:ascii="微软雅黑" w:hAnsi="微软雅黑" w:cs="Arial"/>
          <w:color w:val="auto"/>
          <w:szCs w:val="21"/>
          <w:highlight w:val="none"/>
        </w:rPr>
        <w:t>：</w:t>
      </w:r>
      <w:r>
        <w:rPr>
          <w:rFonts w:hint="eastAsia" w:ascii="微软雅黑" w:hAnsi="微软雅黑" w:cs="Arial"/>
          <w:color w:val="auto"/>
          <w:szCs w:val="21"/>
          <w:highlight w:val="none"/>
          <w:lang w:val="en-US" w:eastAsia="zh-CN"/>
        </w:rPr>
        <w:t>30（北京时间）</w:t>
      </w:r>
      <w:r>
        <w:rPr>
          <w:rFonts w:hint="eastAsia" w:ascii="微软雅黑" w:hAnsi="微软雅黑" w:cs="Arial"/>
          <w:color w:val="auto"/>
          <w:szCs w:val="21"/>
          <w:highlight w:val="none"/>
        </w:rPr>
        <w:t xml:space="preserve">    </w:t>
      </w:r>
    </w:p>
    <w:p w14:paraId="6CA1394F">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xml:space="preserve">地点（网址）：政采云平台（https://www.zcygov.cn/） </w:t>
      </w:r>
    </w:p>
    <w:p w14:paraId="00207042">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方式：供应商登录政采云平台https://www.zcygov.cn/在线申请获取招标文件（进入“项目采购”应用，在获取招标文件菜单中选择项目，申请获取招标文件）。</w:t>
      </w:r>
    </w:p>
    <w:p w14:paraId="777F3E75">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售价：免费。</w:t>
      </w:r>
    </w:p>
    <w:p w14:paraId="678C0E55">
      <w:pPr>
        <w:widowControl/>
        <w:spacing w:before="75" w:after="75" w:line="460" w:lineRule="exact"/>
        <w:ind w:firstLine="0" w:firstLineChars="0"/>
        <w:outlineLvl w:val="1"/>
        <w:rPr>
          <w:rFonts w:hint="eastAsia" w:ascii="微软雅黑" w:hAnsi="微软雅黑" w:cs="微软雅黑"/>
          <w:color w:val="auto"/>
          <w:kern w:val="0"/>
          <w:szCs w:val="21"/>
          <w:highlight w:val="none"/>
        </w:rPr>
      </w:pPr>
      <w:bookmarkStart w:id="15" w:name="_Toc15373"/>
      <w:bookmarkStart w:id="16" w:name="_Toc22530"/>
      <w:r>
        <w:rPr>
          <w:rFonts w:hint="eastAsia" w:ascii="微软雅黑" w:hAnsi="微软雅黑" w:cs="微软雅黑"/>
          <w:b/>
          <w:bCs/>
          <w:color w:val="auto"/>
          <w:kern w:val="0"/>
          <w:szCs w:val="21"/>
          <w:highlight w:val="none"/>
        </w:rPr>
        <w:t>四、提交投标文件截止时间、开标时间和地点</w:t>
      </w:r>
      <w:bookmarkEnd w:id="15"/>
      <w:bookmarkEnd w:id="16"/>
    </w:p>
    <w:p w14:paraId="259E5EE5">
      <w:pPr>
        <w:widowControl/>
        <w:spacing w:before="75" w:after="75" w:line="460" w:lineRule="exact"/>
        <w:ind w:firstLine="424" w:firstLineChars="202"/>
        <w:rPr>
          <w:rFonts w:hint="eastAsia" w:ascii="微软雅黑" w:hAnsi="微软雅黑" w:cs="Arial"/>
          <w:color w:val="auto"/>
          <w:szCs w:val="21"/>
          <w:highlight w:val="none"/>
          <w:lang w:val="en-US" w:eastAsia="zh-CN"/>
        </w:rPr>
      </w:pPr>
      <w:r>
        <w:rPr>
          <w:rFonts w:hint="eastAsia" w:ascii="微软雅黑" w:hAnsi="微软雅黑" w:cs="Arial"/>
          <w:color w:val="auto"/>
          <w:szCs w:val="21"/>
          <w:highlight w:val="none"/>
        </w:rPr>
        <w:t>2025年</w:t>
      </w:r>
      <w:r>
        <w:rPr>
          <w:rFonts w:hint="eastAsia" w:ascii="微软雅黑" w:hAnsi="微软雅黑" w:cs="Arial"/>
          <w:color w:val="auto"/>
          <w:szCs w:val="21"/>
          <w:highlight w:val="none"/>
          <w:lang w:val="en-US" w:eastAsia="zh-CN"/>
        </w:rPr>
        <w:t>7</w:t>
      </w:r>
      <w:r>
        <w:rPr>
          <w:rFonts w:hint="eastAsia" w:ascii="微软雅黑" w:hAnsi="微软雅黑" w:cs="Arial"/>
          <w:color w:val="auto"/>
          <w:szCs w:val="21"/>
          <w:highlight w:val="none"/>
        </w:rPr>
        <w:t>月</w:t>
      </w:r>
      <w:r>
        <w:rPr>
          <w:rFonts w:hint="eastAsia" w:ascii="微软雅黑" w:hAnsi="微软雅黑" w:cs="Arial"/>
          <w:color w:val="auto"/>
          <w:szCs w:val="21"/>
          <w:highlight w:val="none"/>
          <w:lang w:val="en-US" w:eastAsia="zh-CN"/>
        </w:rPr>
        <w:t>24</w:t>
      </w:r>
      <w:r>
        <w:rPr>
          <w:rFonts w:hint="eastAsia" w:ascii="微软雅黑" w:hAnsi="微软雅黑" w:cs="Arial"/>
          <w:color w:val="auto"/>
          <w:szCs w:val="21"/>
          <w:highlight w:val="none"/>
        </w:rPr>
        <w:t>日</w:t>
      </w:r>
      <w:r>
        <w:rPr>
          <w:rFonts w:hint="eastAsia" w:ascii="微软雅黑" w:hAnsi="微软雅黑" w:cs="Arial"/>
          <w:color w:val="auto"/>
          <w:szCs w:val="21"/>
          <w:highlight w:val="none"/>
          <w:lang w:val="en-US" w:eastAsia="zh-CN"/>
        </w:rPr>
        <w:t>9</w:t>
      </w:r>
      <w:r>
        <w:rPr>
          <w:rFonts w:hint="eastAsia" w:ascii="微软雅黑" w:hAnsi="微软雅黑" w:cs="Arial"/>
          <w:color w:val="auto"/>
          <w:szCs w:val="21"/>
          <w:highlight w:val="none"/>
        </w:rPr>
        <w:t>：</w:t>
      </w:r>
      <w:r>
        <w:rPr>
          <w:rFonts w:hint="eastAsia" w:ascii="微软雅黑" w:hAnsi="微软雅黑" w:cs="Arial"/>
          <w:color w:val="auto"/>
          <w:szCs w:val="21"/>
          <w:highlight w:val="none"/>
          <w:lang w:val="en-US" w:eastAsia="zh-CN"/>
        </w:rPr>
        <w:t>30（北京时间）</w:t>
      </w:r>
    </w:p>
    <w:p w14:paraId="667A8FB4">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地点（网址）：政采云平台（https://www.zcygov.cn/）  </w:t>
      </w:r>
    </w:p>
    <w:p w14:paraId="06E7C723">
      <w:pPr>
        <w:widowControl/>
        <w:spacing w:before="255" w:after="255" w:line="460" w:lineRule="exact"/>
        <w:ind w:firstLine="0" w:firstLineChars="0"/>
        <w:jc w:val="both"/>
        <w:outlineLvl w:val="1"/>
        <w:rPr>
          <w:rFonts w:hint="eastAsia" w:ascii="微软雅黑" w:hAnsi="微软雅黑" w:cs="微软雅黑"/>
          <w:color w:val="auto"/>
          <w:kern w:val="0"/>
          <w:szCs w:val="21"/>
          <w:highlight w:val="none"/>
        </w:rPr>
      </w:pPr>
      <w:bookmarkStart w:id="17" w:name="_Toc26663"/>
      <w:bookmarkStart w:id="18" w:name="_Toc24723"/>
      <w:r>
        <w:rPr>
          <w:rFonts w:hint="eastAsia" w:ascii="微软雅黑" w:hAnsi="微软雅黑" w:cs="微软雅黑"/>
          <w:b/>
          <w:bCs/>
          <w:color w:val="auto"/>
          <w:kern w:val="0"/>
          <w:szCs w:val="21"/>
          <w:highlight w:val="none"/>
        </w:rPr>
        <w:t>五、公告期限</w:t>
      </w:r>
      <w:r>
        <w:rPr>
          <w:rFonts w:hint="eastAsia" w:ascii="微软雅黑" w:hAnsi="微软雅黑" w:cs="微软雅黑"/>
          <w:color w:val="auto"/>
          <w:kern w:val="0"/>
          <w:szCs w:val="21"/>
          <w:highlight w:val="none"/>
        </w:rPr>
        <w:t> </w:t>
      </w:r>
      <w:bookmarkEnd w:id="17"/>
      <w:bookmarkEnd w:id="18"/>
    </w:p>
    <w:p w14:paraId="04CF2C8F">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自本公告发布之日起5个工作日。</w:t>
      </w:r>
    </w:p>
    <w:p w14:paraId="1AED2F30">
      <w:pPr>
        <w:widowControl/>
        <w:spacing w:before="255" w:after="255" w:line="460" w:lineRule="exact"/>
        <w:ind w:firstLine="0" w:firstLineChars="0"/>
        <w:jc w:val="both"/>
        <w:outlineLvl w:val="1"/>
        <w:rPr>
          <w:rFonts w:hint="eastAsia" w:ascii="微软雅黑" w:hAnsi="微软雅黑" w:cs="微软雅黑"/>
          <w:b/>
          <w:bCs/>
          <w:color w:val="auto"/>
          <w:kern w:val="0"/>
          <w:szCs w:val="21"/>
          <w:highlight w:val="none"/>
        </w:rPr>
      </w:pPr>
      <w:bookmarkStart w:id="19" w:name="_Toc559"/>
      <w:bookmarkStart w:id="20" w:name="_Toc8493"/>
      <w:r>
        <w:rPr>
          <w:rFonts w:hint="eastAsia" w:ascii="微软雅黑" w:hAnsi="微软雅黑" w:cs="微软雅黑"/>
          <w:b/>
          <w:bCs/>
          <w:color w:val="auto"/>
          <w:kern w:val="0"/>
          <w:szCs w:val="21"/>
          <w:highlight w:val="none"/>
        </w:rPr>
        <w:t>六、其他补充事宜</w:t>
      </w:r>
      <w:bookmarkEnd w:id="19"/>
      <w:bookmarkEnd w:id="20"/>
    </w:p>
    <w:p w14:paraId="1837F19F">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供应商认为招标文件、采购过程、中标或者成交结果使自己的权益受到损害的，可以在知道或者应知其权益受到损害之日起7个工作日内，以书面形式在政采云平台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53D288B">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2.其他事项：</w:t>
      </w:r>
    </w:p>
    <w:p w14:paraId="064936CA">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（1）需要落实的政府采购政策：包括节约资源、保护环境、支持创新、促进中小企业发展等。</w:t>
      </w:r>
    </w:p>
    <w:p w14:paraId="41C79223">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（2）电子招投标的说明：</w:t>
      </w:r>
    </w:p>
    <w:p w14:paraId="203E2FBE">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①电子招投标：本项目以数据电文形式，依托“政府采购云平台（www.zcygov.cn）”进行招投标活动，不接受纸质投标文件；</w:t>
      </w:r>
    </w:p>
    <w:p w14:paraId="0CBA5C80">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中标供应商在签订合同前，如不完成注册，视为放弃；</w:t>
      </w:r>
    </w:p>
    <w:p w14:paraId="647B511F">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CA驱动和申领流程</w:t>
      </w:r>
    </w:p>
    <w:p w14:paraId="69E3FC0F">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xml:space="preserve">https://zfcg.czt.zj.gov.cn/bidClientTemplate/2019-05-27/12945.html    </w:t>
      </w:r>
    </w:p>
    <w:p w14:paraId="6A49B792">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注：ＣＡ证书遗失补办、延期、解锁、质保等业务可以在联连客户端上进行操作；使用政采云投标客户端时，建议使用windows7以上且64位的操作系统。</w:t>
      </w:r>
    </w:p>
    <w:p w14:paraId="29143A00">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CA证书办理操作视频</w:t>
      </w:r>
    </w:p>
    <w:p w14:paraId="0801E34D">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https://service.zcygov.cn/#/knowledges/UgcbC3EBiyELHE-opz1b/EWqqyXEByNnJ3A2CPyDI</w:t>
      </w:r>
    </w:p>
    <w:p w14:paraId="4B79B785">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CA绑定登录操作视频</w:t>
      </w:r>
    </w:p>
    <w:p w14:paraId="17824C26">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https://service.zcygov.cn/#/knowledges/UgcbC3EBiyELHE-opz1b/nAkmyXEBiyELHE-o-983</w:t>
      </w:r>
    </w:p>
    <w:p w14:paraId="7CB017AE">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③招标文件的获取：使用账号登录或者使用CA登录政采云平台；进入“项目采购”应用，在获取招标文件菜单中选择项目，获取招标文件；</w:t>
      </w:r>
    </w:p>
    <w:p w14:paraId="0A89722A">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④投标文件的制作：在“政采云电子交易客户端”中完成“填写基本信息”、“导入投标文件”、“标书关联”、“标书检查”、“电子签名”、“生成电子标书”等操作；</w:t>
      </w:r>
    </w:p>
    <w:p w14:paraId="55ED63CA">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xml:space="preserve">⑤采购人、采购机构将依托政采云平台完成本项目的电子交易活动，平台不接受未按上述方式获取招标文件的供应商进行投标活动； </w:t>
      </w:r>
    </w:p>
    <w:p w14:paraId="0F1A0E82">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⑥对未按上述方式获取招标文件的供应商对该文件提出的质疑，采购人或采购代理机构将不予处理；</w:t>
      </w:r>
    </w:p>
    <w:p w14:paraId="75AB47B2">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⑦不提供招标文件纸质版；</w:t>
      </w:r>
    </w:p>
    <w:p w14:paraId="46EA79E4">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⑧投标文件的传输递交：投标供应商在投标截止时间前将加密的投标文件上传至政府采购云平台，同时可在投标截止时间前将政采云平台上最后生成的具备电子签章的备份电子标文件</w:t>
      </w:r>
      <w:r>
        <w:rPr>
          <w:rFonts w:hint="eastAsia" w:ascii="微软雅黑" w:hAnsi="微软雅黑" w:cs="微软雅黑"/>
          <w:b/>
          <w:bCs/>
          <w:color w:val="auto"/>
          <w:kern w:val="0"/>
          <w:szCs w:val="21"/>
          <w:highlight w:val="none"/>
          <w:shd w:val="clear" w:color="FFFFFF" w:fill="D9D9D9"/>
        </w:rPr>
        <w:t>（非强制要求）</w:t>
      </w:r>
      <w:r>
        <w:rPr>
          <w:rFonts w:hint="eastAsia" w:ascii="微软雅黑" w:hAnsi="微软雅黑" w:cs="微软雅黑"/>
          <w:color w:val="auto"/>
          <w:kern w:val="0"/>
          <w:szCs w:val="21"/>
          <w:highlight w:val="none"/>
        </w:rPr>
        <w:t>1份下载至U盘，直接提交或者以快递方式递交【地址：嘉兴市秀洲区新平路299号中禾广场23楼政府采购办公室；收件人：章莉莉；电话：13605735186；快递寄出同时，项目被授权代表须以邮件方式将快递单号、项目名称、公司名称、被授权代表姓名及联系方式等内容（邮件格式为：</w:t>
      </w:r>
      <w:r>
        <w:rPr>
          <w:color w:val="auto"/>
          <w:highlight w:val="none"/>
        </w:rPr>
        <w:fldChar w:fldCharType="begin"/>
      </w:r>
      <w:r>
        <w:rPr>
          <w:color w:val="auto"/>
          <w:highlight w:val="none"/>
        </w:rPr>
        <w:instrText xml:space="preserve"> HYPERLINK "mailto:项目编号+快递单号+公司名称+被授权代表姓名及联系方式）发代理机构联系人邮箱1450912653@qq.com)】" </w:instrText>
      </w:r>
      <w:r>
        <w:rPr>
          <w:color w:val="auto"/>
          <w:highlight w:val="none"/>
        </w:rPr>
        <w:fldChar w:fldCharType="separate"/>
      </w:r>
      <w:r>
        <w:rPr>
          <w:rFonts w:hint="eastAsia" w:ascii="微软雅黑" w:hAnsi="微软雅黑" w:cs="微软雅黑"/>
          <w:color w:val="auto"/>
          <w:kern w:val="0"/>
          <w:szCs w:val="21"/>
          <w:highlight w:val="none"/>
        </w:rPr>
        <w:t>项目编号+快递单号+公司名称+被授权代表姓名及联系方式）发代理机构联系人邮箱1450912653@qq.com)】</w:t>
      </w:r>
      <w:r>
        <w:rPr>
          <w:rFonts w:hint="eastAsia" w:ascii="微软雅黑" w:hAnsi="微软雅黑" w:cs="微软雅黑"/>
          <w:color w:val="auto"/>
          <w:kern w:val="0"/>
          <w:szCs w:val="21"/>
          <w:highlight w:val="none"/>
        </w:rPr>
        <w:fldChar w:fldCharType="end"/>
      </w:r>
      <w:r>
        <w:rPr>
          <w:rFonts w:hint="eastAsia" w:ascii="微软雅黑" w:hAnsi="微软雅黑" w:cs="微软雅黑"/>
          <w:color w:val="auto"/>
          <w:kern w:val="0"/>
          <w:szCs w:val="21"/>
          <w:highlight w:val="none"/>
        </w:rPr>
        <w:t>；</w:t>
      </w:r>
    </w:p>
    <w:p w14:paraId="2C52EDFB">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备份投标文件递交须满足：外包装封面上应注明投标供应商名称、投标供应商联系方式（授权代表手机）、投标文件名称（备份投标文件）、投标项目名称、项目编号、标项及“开标时启封”字样，并加盖投标供应商公章。</w:t>
      </w:r>
    </w:p>
    <w:p w14:paraId="04807AF9">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投标供应商递交的备份投标文件，出现下列情况之一的，将被拒收：</w:t>
      </w:r>
    </w:p>
    <w:p w14:paraId="4FFA4C31">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·未按规定密封或标记的；</w:t>
      </w:r>
    </w:p>
    <w:p w14:paraId="5049D44F">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·由于包装不妥，在送交途中严重破损或失散的；</w:t>
      </w:r>
    </w:p>
    <w:p w14:paraId="3B62B2BE">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·超过投标截止时间送达的；</w:t>
      </w:r>
    </w:p>
    <w:p w14:paraId="546FE6E8">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·快递方式：快递费到付。</w:t>
      </w:r>
    </w:p>
    <w:p w14:paraId="63FA41D9">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⑨投标文件的解密：投标供应商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供应商仅提交备份投标文件，没有在电子交易平台传输递交投标文件的，投标无效；</w:t>
      </w:r>
    </w:p>
    <w:p w14:paraId="12BD0D6F">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⑩具体操作指南：详见政采云平台“服务中心-帮助文档-项目采购-操作流程-电子招投标-政府采购项目电子交易管理操作指南-供应商”（浙江省“项目采购电子交易系统/不见面开评标”学习专题：</w:t>
      </w:r>
      <w:r>
        <w:rPr>
          <w:color w:val="auto"/>
          <w:highlight w:val="none"/>
        </w:rPr>
        <w:fldChar w:fldCharType="begin"/>
      </w:r>
      <w:r>
        <w:rPr>
          <w:color w:val="auto"/>
          <w:highlight w:val="none"/>
        </w:rPr>
        <w:instrText xml:space="preserve"> HYPERLINK "https://edu.zcygov.cn/luban/e-biding" </w:instrText>
      </w:r>
      <w:r>
        <w:rPr>
          <w:color w:val="auto"/>
          <w:highlight w:val="none"/>
        </w:rPr>
        <w:fldChar w:fldCharType="separate"/>
      </w:r>
      <w:r>
        <w:rPr>
          <w:rFonts w:hint="eastAsia" w:ascii="微软雅黑" w:hAnsi="微软雅黑" w:cs="微软雅黑"/>
          <w:color w:val="auto"/>
          <w:kern w:val="0"/>
          <w:szCs w:val="21"/>
          <w:highlight w:val="none"/>
        </w:rPr>
        <w:t>https://edu.zcygov.cn/luban/e-biding</w:t>
      </w:r>
      <w:r>
        <w:rPr>
          <w:rFonts w:hint="eastAsia" w:ascii="微软雅黑" w:hAnsi="微软雅黑" w:cs="微软雅黑"/>
          <w:color w:val="auto"/>
          <w:kern w:val="0"/>
          <w:szCs w:val="21"/>
          <w:highlight w:val="none"/>
        </w:rPr>
        <w:fldChar w:fldCharType="end"/>
      </w:r>
      <w:r>
        <w:rPr>
          <w:rFonts w:hint="eastAsia" w:ascii="微软雅黑" w:hAnsi="微软雅黑" w:cs="微软雅黑"/>
          <w:color w:val="auto"/>
          <w:kern w:val="0"/>
          <w:szCs w:val="21"/>
          <w:highlight w:val="none"/>
        </w:rPr>
        <w:t>）。</w:t>
      </w:r>
    </w:p>
    <w:p w14:paraId="79B90881">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3.惠企政策</w:t>
      </w:r>
    </w:p>
    <w:p w14:paraId="4A882B02">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3.1本采购项目，中标供应商与采购人签订的政府采购合同适用于嘉兴市政府采购贷款政策（简称“政采贷”），具体内容可参阅政府采购贷款流程：</w:t>
      </w:r>
    </w:p>
    <w:p w14:paraId="64E6C62A">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http://jxszwsjb.jiaxing.gov.cn/zxfw/005001/005001004/20190315/76d484f7-8fac-497f-9359-4df81cc086da.html</w:t>
      </w:r>
    </w:p>
    <w:p w14:paraId="044D1C51">
      <w:pPr>
        <w:widowControl/>
        <w:spacing w:before="75" w:after="75" w:line="460" w:lineRule="exact"/>
        <w:ind w:firstLine="424" w:firstLineChars="202"/>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3.2根据浙江省财政厅2022年3号文、8号文具体工作要求，鼓励政府采购供应商使用政采贷获得普惠融资，使用履约保险/保函、预付款保险/保函释放保证金或者提高增信。具体内容可登录政采云平台（https://www.zcygov.cn/），点击右侧咨询小采。</w:t>
      </w:r>
    </w:p>
    <w:p w14:paraId="1D4407D9">
      <w:pPr>
        <w:widowControl/>
        <w:spacing w:before="255" w:after="255" w:line="460" w:lineRule="exact"/>
        <w:ind w:firstLine="0" w:firstLineChars="0"/>
        <w:jc w:val="both"/>
        <w:outlineLvl w:val="1"/>
        <w:rPr>
          <w:rFonts w:hint="eastAsia" w:ascii="微软雅黑" w:hAnsi="微软雅黑" w:cs="微软雅黑"/>
          <w:color w:val="auto"/>
          <w:kern w:val="0"/>
          <w:szCs w:val="21"/>
          <w:highlight w:val="none"/>
        </w:rPr>
      </w:pPr>
      <w:bookmarkStart w:id="21" w:name="_Toc3518"/>
      <w:bookmarkStart w:id="22" w:name="_Toc30576"/>
      <w:r>
        <w:rPr>
          <w:rFonts w:hint="eastAsia" w:ascii="微软雅黑" w:hAnsi="微软雅黑" w:cs="微软雅黑"/>
          <w:b/>
          <w:bCs/>
          <w:color w:val="auto"/>
          <w:kern w:val="0"/>
          <w:szCs w:val="21"/>
          <w:highlight w:val="none"/>
        </w:rPr>
        <w:t>七、对本次采购提出询问、质疑、投诉，请按以下方式联系</w:t>
      </w:r>
      <w:bookmarkEnd w:id="21"/>
      <w:bookmarkEnd w:id="22"/>
    </w:p>
    <w:p w14:paraId="55EDE10E">
      <w:pPr>
        <w:widowControl/>
        <w:spacing w:before="75" w:after="75"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1.采购人信息</w:t>
      </w:r>
    </w:p>
    <w:p w14:paraId="0C0CDED1">
      <w:pPr>
        <w:widowControl/>
        <w:spacing w:before="75" w:after="75" w:line="300" w:lineRule="atLeast"/>
        <w:ind w:firstLine="426" w:firstLineChars="0"/>
        <w:rPr>
          <w:rFonts w:hint="eastAsia" w:ascii="微软雅黑" w:hAnsi="微软雅黑" w:cs="Arial"/>
          <w:color w:val="auto"/>
          <w:kern w:val="0"/>
          <w:szCs w:val="21"/>
          <w:highlight w:val="none"/>
        </w:rPr>
      </w:pPr>
      <w:r>
        <w:rPr>
          <w:rFonts w:hint="eastAsia" w:ascii="微软雅黑" w:hAnsi="微软雅黑" w:cs="Arial"/>
          <w:color w:val="auto"/>
          <w:kern w:val="0"/>
          <w:szCs w:val="21"/>
          <w:highlight w:val="none"/>
        </w:rPr>
        <w:t>名</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称：嘉兴市秀洲区王江泾镇人民政府</w:t>
      </w:r>
    </w:p>
    <w:p w14:paraId="7FFE32AD">
      <w:pPr>
        <w:widowControl/>
        <w:spacing w:before="75" w:after="75" w:line="300" w:lineRule="atLeast"/>
        <w:ind w:firstLine="426" w:firstLineChars="0"/>
        <w:rPr>
          <w:rFonts w:hint="eastAsia" w:ascii="微软雅黑" w:hAnsi="微软雅黑" w:cs="宋体"/>
          <w:color w:val="auto"/>
          <w:kern w:val="0"/>
          <w:szCs w:val="21"/>
          <w:highlight w:val="none"/>
        </w:rPr>
      </w:pPr>
      <w:r>
        <w:rPr>
          <w:rFonts w:hint="eastAsia" w:ascii="微软雅黑" w:hAnsi="微软雅黑" w:cs="微软雅黑"/>
          <w:color w:val="auto"/>
          <w:kern w:val="0"/>
          <w:szCs w:val="21"/>
          <w:highlight w:val="none"/>
        </w:rPr>
        <w:t>地    址：</w:t>
      </w:r>
      <w:r>
        <w:rPr>
          <w:rFonts w:ascii="微软雅黑" w:hAnsi="微软雅黑" w:cs="微软雅黑"/>
          <w:color w:val="auto"/>
          <w:szCs w:val="21"/>
          <w:highlight w:val="none"/>
          <w:shd w:val="clear" w:color="auto" w:fill="FFFFFF"/>
        </w:rPr>
        <w:t>嘉兴市秀洲区王江泾镇北虹东路188号</w:t>
      </w:r>
      <w:r>
        <w:rPr>
          <w:rFonts w:hint="eastAsia" w:ascii="微软雅黑" w:hAnsi="微软雅黑" w:cs="微软雅黑"/>
          <w:color w:val="auto"/>
          <w:kern w:val="0"/>
          <w:szCs w:val="21"/>
          <w:highlight w:val="none"/>
        </w:rPr>
        <w:t xml:space="preserve">  </w:t>
      </w:r>
    </w:p>
    <w:p w14:paraId="74E7741C">
      <w:pPr>
        <w:widowControl/>
        <w:spacing w:before="75" w:after="75" w:line="300" w:lineRule="atLeast"/>
        <w:ind w:firstLine="426"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传    真：/</w:t>
      </w:r>
    </w:p>
    <w:p w14:paraId="17FB09CF">
      <w:pPr>
        <w:widowControl/>
        <w:spacing w:before="75" w:after="75" w:line="300" w:lineRule="atLeast"/>
        <w:ind w:firstLine="426"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项目联系人（询问）：干炜楠    </w:t>
      </w:r>
    </w:p>
    <w:p w14:paraId="5736150F">
      <w:pPr>
        <w:widowControl/>
        <w:spacing w:before="75" w:after="75" w:line="300" w:lineRule="atLeast"/>
        <w:ind w:firstLine="426"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项目联系方式（询问）：0573-83385630     </w:t>
      </w:r>
    </w:p>
    <w:p w14:paraId="3E139718">
      <w:pPr>
        <w:widowControl/>
        <w:spacing w:before="75" w:after="75" w:line="300" w:lineRule="atLeast"/>
        <w:ind w:firstLine="426"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xml:space="preserve">质疑联系人：滕芸 </w:t>
      </w:r>
    </w:p>
    <w:p w14:paraId="59635A84">
      <w:pPr>
        <w:widowControl/>
        <w:spacing w:before="75" w:after="75" w:line="300" w:lineRule="atLeast"/>
        <w:ind w:firstLine="426"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质疑联系方式：0573-83682881</w:t>
      </w:r>
    </w:p>
    <w:p w14:paraId="54E49ED8">
      <w:pPr>
        <w:widowControl/>
        <w:spacing w:before="75" w:after="75"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xml:space="preserve">  </w:t>
      </w:r>
    </w:p>
    <w:p w14:paraId="61AEB2FC">
      <w:pPr>
        <w:widowControl/>
        <w:spacing w:before="75" w:after="75"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2.采购代理机构信息            </w:t>
      </w:r>
    </w:p>
    <w:p w14:paraId="06156AAE">
      <w:pPr>
        <w:widowControl/>
        <w:spacing w:before="75" w:after="75"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名    称：嘉兴市千秋工程咨询有限公司             </w:t>
      </w:r>
    </w:p>
    <w:p w14:paraId="7EAA55B8">
      <w:pPr>
        <w:widowControl/>
        <w:spacing w:before="75" w:after="75"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地    址：嘉兴市秀洲区新平路299号中禾广场23楼             </w:t>
      </w:r>
    </w:p>
    <w:p w14:paraId="67A7831B">
      <w:pPr>
        <w:widowControl/>
        <w:spacing w:before="75" w:after="75"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传    真：/             </w:t>
      </w:r>
    </w:p>
    <w:p w14:paraId="205D880A">
      <w:pPr>
        <w:widowControl/>
        <w:spacing w:before="75" w:after="75"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项目联系人（询问）：章莉莉  李建良              </w:t>
      </w:r>
    </w:p>
    <w:p w14:paraId="3F38AA52">
      <w:pPr>
        <w:widowControl/>
        <w:spacing w:before="75" w:after="75"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项目联系方式（询问）：0573-83705015 13605735186 </w:t>
      </w:r>
    </w:p>
    <w:p w14:paraId="7BEAD896">
      <w:pPr>
        <w:widowControl/>
        <w:spacing w:before="75" w:after="75"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质疑联系人：项兴戟、 林晨             </w:t>
      </w:r>
    </w:p>
    <w:p w14:paraId="7B83F9A9">
      <w:pPr>
        <w:widowControl/>
        <w:spacing w:before="75" w:after="75"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质疑联系方式：0573-83705015 13605738567 　　　　　　     </w:t>
      </w:r>
    </w:p>
    <w:p w14:paraId="110DBC50">
      <w:pPr>
        <w:widowControl/>
        <w:spacing w:before="75" w:after="75"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w:t>
      </w:r>
    </w:p>
    <w:p w14:paraId="56FDFC8A">
      <w:pPr>
        <w:widowControl/>
        <w:spacing w:before="75" w:after="75"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    3.同级政府采购监督管理部门            </w:t>
      </w:r>
    </w:p>
    <w:p w14:paraId="68CE0BCD">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政府采购行政监管及投诉受理部门：嘉兴市秀洲区财政局</w:t>
      </w:r>
    </w:p>
    <w:p w14:paraId="43A7B73A">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地    址：/</w:t>
      </w:r>
    </w:p>
    <w:p w14:paraId="142CFA4C">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传    真：/</w:t>
      </w:r>
    </w:p>
    <w:p w14:paraId="1C8B015D">
      <w:pPr>
        <w:spacing w:line="46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联系人 ：方先生</w:t>
      </w:r>
    </w:p>
    <w:p w14:paraId="1BC018C4">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t>监督投诉电话：0573-82720085</w:t>
      </w:r>
    </w:p>
    <w:p w14:paraId="3382D1B9">
      <w:pPr>
        <w:spacing w:line="460" w:lineRule="exact"/>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若对项目采购电子交易系统操作有疑问，可登录政采云（https://www.zcygov.cn/），点击右侧咨询小采，获取采小蜜智能服务管家帮助，或拨打政采云服务热线95763获取热线服务帮助。</w:t>
      </w:r>
    </w:p>
    <w:p w14:paraId="3CB47ABA">
      <w:pPr>
        <w:spacing w:line="460" w:lineRule="exact"/>
        <w:ind w:firstLine="420"/>
        <w:rPr>
          <w:rFonts w:hint="eastAsia" w:ascii="微软雅黑" w:hAnsi="微软雅黑" w:cs="Arial"/>
          <w:color w:val="auto"/>
          <w:kern w:val="0"/>
          <w:szCs w:val="21"/>
          <w:highlight w:val="none"/>
        </w:rPr>
      </w:pPr>
      <w:r>
        <w:rPr>
          <w:rFonts w:hint="eastAsia" w:ascii="微软雅黑" w:hAnsi="微软雅黑" w:cs="微软雅黑"/>
          <w:color w:val="auto"/>
          <w:szCs w:val="21"/>
          <w:highlight w:val="none"/>
        </w:rPr>
        <w:t>CA问题联系电话（人工）：汇信CA 400-888-4636；天谷CA 400-087-8198。</w:t>
      </w:r>
      <w:r>
        <w:rPr>
          <w:rFonts w:hint="eastAsia" w:ascii="微软雅黑" w:hAnsi="微软雅黑" w:cs="微软雅黑"/>
          <w:color w:val="auto"/>
          <w:kern w:val="0"/>
          <w:szCs w:val="21"/>
          <w:highlight w:val="none"/>
        </w:rPr>
        <w:t xml:space="preserve">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4870537C">
      <w:pPr>
        <w:pStyle w:val="2"/>
        <w:rPr>
          <w:rStyle w:val="66"/>
          <w:b/>
          <w:bCs/>
          <w:color w:val="auto"/>
          <w:highlight w:val="none"/>
        </w:rPr>
        <w:sectPr>
          <w:pgSz w:w="11906" w:h="16838"/>
          <w:pgMar w:top="1474" w:right="1797" w:bottom="1247" w:left="1797" w:header="851" w:footer="851" w:gutter="0"/>
          <w:cols w:space="720" w:num="1"/>
          <w:docGrid w:linePitch="312" w:charSpace="0"/>
        </w:sectPr>
      </w:pPr>
      <w:bookmarkStart w:id="23" w:name="_Toc5875"/>
    </w:p>
    <w:p w14:paraId="7182940E">
      <w:pPr>
        <w:pStyle w:val="2"/>
        <w:numPr>
          <w:ilvl w:val="0"/>
          <w:numId w:val="3"/>
        </w:numPr>
        <w:spacing w:line="500" w:lineRule="exact"/>
        <w:ind w:left="0"/>
        <w:rPr>
          <w:rStyle w:val="66"/>
          <w:b/>
          <w:bCs/>
          <w:color w:val="auto"/>
          <w:sz w:val="21"/>
          <w:szCs w:val="21"/>
          <w:highlight w:val="none"/>
        </w:rPr>
      </w:pPr>
      <w:r>
        <w:rPr>
          <w:rStyle w:val="66"/>
          <w:rFonts w:hint="eastAsia"/>
          <w:b/>
          <w:bCs/>
          <w:color w:val="auto"/>
          <w:sz w:val="21"/>
          <w:szCs w:val="21"/>
          <w:highlight w:val="none"/>
        </w:rPr>
        <w:t xml:space="preserve">  </w:t>
      </w:r>
      <w:bookmarkStart w:id="24" w:name="_Toc22"/>
      <w:r>
        <w:rPr>
          <w:rStyle w:val="66"/>
          <w:rFonts w:hint="eastAsia"/>
          <w:b/>
          <w:bCs/>
          <w:color w:val="auto"/>
          <w:sz w:val="21"/>
          <w:szCs w:val="21"/>
          <w:highlight w:val="none"/>
        </w:rPr>
        <w:t>招标项目要求</w:t>
      </w:r>
      <w:bookmarkEnd w:id="10"/>
      <w:bookmarkEnd w:id="23"/>
      <w:bookmarkEnd w:id="24"/>
    </w:p>
    <w:p w14:paraId="516E417C">
      <w:pPr>
        <w:pStyle w:val="103"/>
        <w:numPr>
          <w:ilvl w:val="0"/>
          <w:numId w:val="4"/>
        </w:numPr>
        <w:spacing w:line="500" w:lineRule="exact"/>
        <w:ind w:left="0" w:firstLine="275" w:firstLineChars="131"/>
        <w:jc w:val="both"/>
        <w:rPr>
          <w:rFonts w:hint="eastAsia" w:ascii="微软雅黑" w:hAnsi="微软雅黑"/>
          <w:b/>
          <w:bCs/>
          <w:color w:val="auto"/>
          <w:szCs w:val="21"/>
          <w:highlight w:val="none"/>
        </w:rPr>
      </w:pPr>
      <w:bookmarkStart w:id="25" w:name="_Toc455449041"/>
      <w:bookmarkStart w:id="26" w:name="_Toc47702107"/>
      <w:bookmarkStart w:id="27" w:name="_Toc405469034"/>
      <w:bookmarkStart w:id="28" w:name="_Toc5823850"/>
      <w:bookmarkStart w:id="29" w:name="_Toc440162784"/>
      <w:bookmarkStart w:id="30" w:name="_Toc90059535"/>
      <w:bookmarkStart w:id="31" w:name="_Toc35391887"/>
      <w:bookmarkStart w:id="32" w:name="_Toc512598323"/>
      <w:bookmarkStart w:id="33" w:name="_Toc493511542"/>
      <w:bookmarkStart w:id="34" w:name="_Toc19683"/>
      <w:r>
        <w:rPr>
          <w:rFonts w:hint="eastAsia" w:ascii="微软雅黑" w:hAnsi="微软雅黑"/>
          <w:b/>
          <w:bCs/>
          <w:color w:val="auto"/>
          <w:szCs w:val="21"/>
          <w:highlight w:val="none"/>
        </w:rPr>
        <w:t>项目背景简介</w:t>
      </w:r>
    </w:p>
    <w:p w14:paraId="0DD314CE">
      <w:pPr>
        <w:spacing w:line="500" w:lineRule="exact"/>
        <w:ind w:firstLine="367" w:firstLineChars="175"/>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王江泾镇长虹桥位于乍嘉苏线航道，2006年被公布为全国重点文物保护单位。2014年，中国大运河成功列入《世界遗产名录》，长虹桥也成为58处遗产点之一。近年来，通航船舶对长虹桥已有多次碰撞，是影响长虹桥安全的最大威胁。为有效保护长虹桥，采用航道小绕方案，新航道线位处于原长虹公园、镇政府部分用地上，新老航道围合形成长虹洲。</w:t>
      </w:r>
    </w:p>
    <w:p w14:paraId="75D1E5BE">
      <w:pPr>
        <w:pStyle w:val="103"/>
        <w:numPr>
          <w:ilvl w:val="0"/>
          <w:numId w:val="4"/>
        </w:numPr>
        <w:spacing w:line="500" w:lineRule="exact"/>
        <w:ind w:left="0" w:firstLine="275" w:firstLineChars="131"/>
        <w:jc w:val="both"/>
        <w:rPr>
          <w:rFonts w:hint="eastAsia" w:ascii="微软雅黑" w:hAnsi="微软雅黑"/>
          <w:b/>
          <w:bCs/>
          <w:color w:val="auto"/>
          <w:szCs w:val="21"/>
          <w:highlight w:val="none"/>
        </w:rPr>
      </w:pPr>
      <w:r>
        <w:rPr>
          <w:rFonts w:hint="eastAsia" w:ascii="微软雅黑" w:hAnsi="微软雅黑"/>
          <w:b/>
          <w:bCs/>
          <w:color w:val="auto"/>
          <w:szCs w:val="21"/>
          <w:highlight w:val="none"/>
        </w:rPr>
        <w:t>项目概况</w:t>
      </w:r>
    </w:p>
    <w:p w14:paraId="45F3E60C">
      <w:pPr>
        <w:numPr>
          <w:ilvl w:val="0"/>
          <w:numId w:val="5"/>
        </w:numPr>
        <w:ind w:left="5" w:firstLine="415"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项目地点：嘉兴市王江泾镇</w:t>
      </w:r>
    </w:p>
    <w:p w14:paraId="345DEE6E">
      <w:pPr>
        <w:numPr>
          <w:ilvl w:val="0"/>
          <w:numId w:val="5"/>
        </w:numPr>
        <w:ind w:left="5" w:firstLine="415"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规划范围：项目以航道改线后，新老航道间的岛屿为重点规划设计范围约11.45公顷（东至新改航道，西至京杭大运河（苏嘉段），南至运河公园停车场，北至新改航道），新航道东侧为规划研究范围约11.73公顷（东至运河东路，西至新改航道，南至王江泾大桥，北至北虹东路）。</w:t>
      </w:r>
    </w:p>
    <w:p w14:paraId="5F937AC6">
      <w:pPr>
        <w:numPr>
          <w:ilvl w:val="0"/>
          <w:numId w:val="5"/>
        </w:numPr>
        <w:ind w:left="5" w:firstLine="415"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现状概况：项目场地位于嘉兴市秀洲区王江泾镇中心位置，京杭大运河（苏嘉段）东岸；西与长虹古寺隔水相望，东临王江泾镇政府； 场地涵盖长虹桥（全国重点文物保护单位）与北虹桥两座桥梁， 以及铁店港与大运河汇聚处的部分水域空间。项目范围内有长虹公园、运河文化公园等现状公园，以及王江泾港航管理检查站、王江泾镇政府用地、国家总站太湖流域地表水质自动监测站等功能建筑，和王江泾大捷陈列馆、公共厕所等公共建筑。项目周边西侧有千里集、一里街等传统街区和长虹古寺寺庙，北侧为莫家村现状村庄、王江泾镇苏嘉铁路遗址公园；东侧紧挨王江泾镇政府；南侧为中南闻荷府等小区。</w:t>
      </w:r>
    </w:p>
    <w:p w14:paraId="594FBEA5">
      <w:pPr>
        <w:pStyle w:val="103"/>
        <w:numPr>
          <w:ilvl w:val="0"/>
          <w:numId w:val="4"/>
        </w:numPr>
        <w:spacing w:line="500" w:lineRule="exact"/>
        <w:ind w:left="0" w:firstLine="275" w:firstLineChars="131"/>
        <w:jc w:val="both"/>
        <w:rPr>
          <w:rFonts w:hint="eastAsia" w:ascii="微软雅黑" w:hAnsi="微软雅黑"/>
          <w:b/>
          <w:bCs/>
          <w:color w:val="auto"/>
          <w:szCs w:val="21"/>
          <w:highlight w:val="none"/>
        </w:rPr>
      </w:pPr>
      <w:r>
        <w:rPr>
          <w:rFonts w:hint="eastAsia" w:ascii="微软雅黑" w:hAnsi="微软雅黑"/>
          <w:b/>
          <w:bCs/>
          <w:color w:val="auto"/>
          <w:szCs w:val="21"/>
          <w:highlight w:val="none"/>
        </w:rPr>
        <w:t>采购内容及要求</w:t>
      </w:r>
    </w:p>
    <w:p w14:paraId="464F71E5">
      <w:pPr>
        <w:numPr>
          <w:ilvl w:val="0"/>
          <w:numId w:val="6"/>
        </w:numPr>
        <w:ind w:left="5" w:firstLine="415"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规划目标</w:t>
      </w:r>
    </w:p>
    <w:p w14:paraId="05FFC97B">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航道改线后，原长虹公园处于航道线位上，形成新老航道中的岛屿，原有风貌和园林建筑遭到破坏，需在符合大运河整体风貌前提下，对长虹洲进行规划设计，提升嘉兴运河文化省级旅游度假区形象和品牌。</w:t>
      </w:r>
    </w:p>
    <w:p w14:paraId="27167A21">
      <w:pPr>
        <w:numPr>
          <w:ilvl w:val="0"/>
          <w:numId w:val="6"/>
        </w:numPr>
        <w:ind w:left="5" w:firstLine="415"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规划内容</w:t>
      </w:r>
    </w:p>
    <w:p w14:paraId="12E2030A">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新老航道间的岛屿为重点规划设计范围约11.45公顷，新航道东侧为规划研究范围约11.73公顷。规划设计内容包括重点区域内总图布局、风貌要求、交通分析、建筑概念设计、景观节点设计、实施效果图若干，研究范围的规划调整措施和远期实施布局，以及协调对接航道、市政桥梁、文评等，后续配合省文物局和国家文物局的申报工作。</w:t>
      </w:r>
    </w:p>
    <w:p w14:paraId="429FBC45">
      <w:pPr>
        <w:numPr>
          <w:ilvl w:val="0"/>
          <w:numId w:val="6"/>
        </w:numPr>
        <w:ind w:left="5" w:firstLine="415"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规划成果要求（包括但不仅限于）</w:t>
      </w:r>
    </w:p>
    <w:p w14:paraId="08F367AA">
      <w:pPr>
        <w:numPr>
          <w:ilvl w:val="0"/>
          <w:numId w:val="7"/>
        </w:numPr>
        <w:spacing w:line="276" w:lineRule="auto"/>
        <w:ind w:left="0" w:firstLine="42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项目概况</w:t>
      </w:r>
    </w:p>
    <w:p w14:paraId="77A9959E">
      <w:pPr>
        <w:numPr>
          <w:ilvl w:val="0"/>
          <w:numId w:val="8"/>
        </w:numPr>
        <w:spacing w:line="276" w:lineRule="auto"/>
        <w:ind w:firstLine="42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区位概况</w:t>
      </w:r>
    </w:p>
    <w:p w14:paraId="07E275B8">
      <w:pPr>
        <w:numPr>
          <w:ilvl w:val="0"/>
          <w:numId w:val="8"/>
        </w:numPr>
        <w:spacing w:line="276" w:lineRule="auto"/>
        <w:ind w:firstLine="42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周边资源</w:t>
      </w:r>
    </w:p>
    <w:p w14:paraId="06324212">
      <w:pPr>
        <w:numPr>
          <w:ilvl w:val="0"/>
          <w:numId w:val="8"/>
        </w:numPr>
        <w:spacing w:line="276" w:lineRule="auto"/>
        <w:ind w:firstLine="42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规划范围与设计任务</w:t>
      </w:r>
    </w:p>
    <w:p w14:paraId="6567A0AE">
      <w:pPr>
        <w:numPr>
          <w:ilvl w:val="0"/>
          <w:numId w:val="8"/>
        </w:numPr>
        <w:spacing w:line="276" w:lineRule="auto"/>
        <w:ind w:firstLine="42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上位规划对接</w:t>
      </w:r>
    </w:p>
    <w:p w14:paraId="5643814C">
      <w:pPr>
        <w:numPr>
          <w:ilvl w:val="0"/>
          <w:numId w:val="8"/>
        </w:numPr>
        <w:spacing w:line="276" w:lineRule="auto"/>
        <w:ind w:firstLine="42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总体定位</w:t>
      </w:r>
    </w:p>
    <w:p w14:paraId="01CAB1C7">
      <w:pPr>
        <w:numPr>
          <w:ilvl w:val="0"/>
          <w:numId w:val="7"/>
        </w:numPr>
        <w:spacing w:line="276" w:lineRule="auto"/>
        <w:ind w:left="0" w:firstLine="42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总体规划</w:t>
      </w:r>
    </w:p>
    <w:p w14:paraId="0090E9B1">
      <w:pPr>
        <w:numPr>
          <w:ilvl w:val="0"/>
          <w:numId w:val="9"/>
        </w:numPr>
        <w:spacing w:line="276" w:lineRule="auto"/>
        <w:ind w:firstLine="42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效果图</w:t>
      </w:r>
    </w:p>
    <w:p w14:paraId="19F2371C">
      <w:pPr>
        <w:numPr>
          <w:ilvl w:val="0"/>
          <w:numId w:val="9"/>
        </w:numPr>
        <w:spacing w:line="276" w:lineRule="auto"/>
        <w:ind w:firstLine="42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总体布局图</w:t>
      </w:r>
    </w:p>
    <w:p w14:paraId="5DAE745F">
      <w:pPr>
        <w:numPr>
          <w:ilvl w:val="0"/>
          <w:numId w:val="9"/>
        </w:numPr>
        <w:spacing w:line="276" w:lineRule="auto"/>
        <w:ind w:firstLine="42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建筑分析</w:t>
      </w:r>
    </w:p>
    <w:p w14:paraId="2F8D86E3">
      <w:pPr>
        <w:numPr>
          <w:ilvl w:val="0"/>
          <w:numId w:val="9"/>
        </w:numPr>
        <w:spacing w:line="276" w:lineRule="auto"/>
        <w:ind w:firstLine="42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交通分析</w:t>
      </w:r>
    </w:p>
    <w:p w14:paraId="177FFF69">
      <w:pPr>
        <w:numPr>
          <w:ilvl w:val="0"/>
          <w:numId w:val="9"/>
        </w:numPr>
        <w:spacing w:line="276" w:lineRule="auto"/>
        <w:ind w:firstLine="42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游线分析</w:t>
      </w:r>
    </w:p>
    <w:p w14:paraId="23F2A153">
      <w:pPr>
        <w:numPr>
          <w:ilvl w:val="0"/>
          <w:numId w:val="9"/>
        </w:numPr>
        <w:spacing w:line="276" w:lineRule="auto"/>
        <w:ind w:firstLine="42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重点设计</w:t>
      </w:r>
    </w:p>
    <w:p w14:paraId="68A92C1B">
      <w:pPr>
        <w:numPr>
          <w:ilvl w:val="0"/>
          <w:numId w:val="7"/>
        </w:numPr>
        <w:spacing w:line="276" w:lineRule="auto"/>
        <w:ind w:left="0" w:firstLine="42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专项规划</w:t>
      </w:r>
    </w:p>
    <w:p w14:paraId="4C05EACD">
      <w:pPr>
        <w:numPr>
          <w:ilvl w:val="0"/>
          <w:numId w:val="7"/>
        </w:numPr>
        <w:spacing w:line="276" w:lineRule="auto"/>
        <w:ind w:left="0" w:firstLine="42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投资估算</w:t>
      </w:r>
    </w:p>
    <w:p w14:paraId="4BC1E81F">
      <w:pPr>
        <w:pStyle w:val="103"/>
        <w:numPr>
          <w:ilvl w:val="0"/>
          <w:numId w:val="4"/>
        </w:numPr>
        <w:spacing w:line="500" w:lineRule="exact"/>
        <w:ind w:left="0" w:firstLine="275" w:firstLineChars="131"/>
        <w:jc w:val="both"/>
        <w:rPr>
          <w:rFonts w:hint="eastAsia" w:ascii="微软雅黑" w:hAnsi="微软雅黑"/>
          <w:b/>
          <w:bCs/>
          <w:color w:val="auto"/>
          <w:szCs w:val="21"/>
          <w:highlight w:val="none"/>
        </w:rPr>
      </w:pPr>
      <w:r>
        <w:rPr>
          <w:rFonts w:hint="eastAsia" w:ascii="微软雅黑" w:hAnsi="微软雅黑"/>
          <w:b/>
          <w:bCs/>
          <w:color w:val="auto"/>
          <w:szCs w:val="21"/>
          <w:highlight w:val="none"/>
        </w:rPr>
        <w:t>服务期限</w:t>
      </w:r>
    </w:p>
    <w:p w14:paraId="68F2D256">
      <w:pPr>
        <w:spacing w:line="500" w:lineRule="exact"/>
        <w:ind w:firstLine="275" w:firstLineChars="131"/>
        <w:rPr>
          <w:rFonts w:hint="eastAsia" w:ascii="微软雅黑" w:hAnsi="微软雅黑" w:eastAsia="微软雅黑" w:cstheme="minorBidi"/>
          <w:color w:val="auto"/>
          <w:szCs w:val="21"/>
          <w:highlight w:val="none"/>
          <w:lang w:eastAsia="zh-CN"/>
        </w:rPr>
      </w:pPr>
      <w:r>
        <w:rPr>
          <w:rFonts w:hint="eastAsia" w:ascii="微软雅黑" w:hAnsi="微软雅黑" w:cstheme="minorBidi"/>
          <w:color w:val="auto"/>
          <w:szCs w:val="21"/>
          <w:highlight w:val="none"/>
        </w:rPr>
        <w:t>自签订服务协议之日起</w:t>
      </w:r>
      <w:r>
        <w:rPr>
          <w:rFonts w:hint="eastAsia" w:ascii="微软雅黑" w:hAnsi="微软雅黑" w:cstheme="minorBidi"/>
          <w:color w:val="auto"/>
          <w:szCs w:val="21"/>
          <w:highlight w:val="none"/>
          <w:lang w:eastAsia="zh-CN"/>
        </w:rPr>
        <w:t>一年。</w:t>
      </w:r>
    </w:p>
    <w:p w14:paraId="66934ED8">
      <w:pPr>
        <w:pStyle w:val="103"/>
        <w:numPr>
          <w:ilvl w:val="0"/>
          <w:numId w:val="4"/>
        </w:numPr>
        <w:spacing w:line="500" w:lineRule="exact"/>
        <w:ind w:left="0" w:firstLine="275" w:firstLineChars="131"/>
        <w:jc w:val="both"/>
        <w:rPr>
          <w:rFonts w:hint="eastAsia" w:ascii="微软雅黑" w:hAnsi="微软雅黑"/>
          <w:b/>
          <w:bCs/>
          <w:color w:val="auto"/>
          <w:szCs w:val="21"/>
          <w:highlight w:val="none"/>
        </w:rPr>
      </w:pPr>
      <w:r>
        <w:rPr>
          <w:rFonts w:hint="eastAsia" w:ascii="微软雅黑" w:hAnsi="微软雅黑"/>
          <w:b/>
          <w:bCs/>
          <w:color w:val="auto"/>
          <w:szCs w:val="21"/>
          <w:highlight w:val="none"/>
        </w:rPr>
        <w:t>合同价款支付</w:t>
      </w:r>
    </w:p>
    <w:p w14:paraId="3C4490A2">
      <w:pPr>
        <w:pStyle w:val="5"/>
        <w:keepNext w:val="0"/>
        <w:keepLines w:val="0"/>
        <w:numPr>
          <w:ilvl w:val="0"/>
          <w:numId w:val="10"/>
        </w:numPr>
        <w:snapToGrid w:val="0"/>
        <w:spacing w:line="500" w:lineRule="exact"/>
        <w:ind w:firstLine="367" w:firstLineChars="175"/>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付款条件</w:t>
      </w:r>
    </w:p>
    <w:p w14:paraId="2D6D5A5D">
      <w:pPr>
        <w:spacing w:line="500" w:lineRule="exact"/>
        <w:ind w:firstLine="367" w:firstLineChars="175"/>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根据《浙江省财政厅关于进一步发挥政府采购政策功能全力推动经济稳进提质的通知》[浙财采监〔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供应商为大型企业的项目或者以人工投入为主且实行按月定期结算支付款项的项目，预付款比例可低于上述比例或者不约定预付款。在签订合同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57306E83">
      <w:pPr>
        <w:pStyle w:val="5"/>
        <w:keepNext w:val="0"/>
        <w:keepLines w:val="0"/>
        <w:numPr>
          <w:ilvl w:val="0"/>
          <w:numId w:val="10"/>
        </w:numPr>
        <w:snapToGrid w:val="0"/>
        <w:spacing w:line="500" w:lineRule="exact"/>
        <w:ind w:firstLine="367" w:firstLineChars="175"/>
        <w:rPr>
          <w:rFonts w:hint="eastAsia" w:ascii="微软雅黑" w:hAnsi="微软雅黑" w:cs="微软雅黑"/>
          <w:bCs w:val="0"/>
          <w:color w:val="auto"/>
          <w:szCs w:val="21"/>
          <w:highlight w:val="none"/>
        </w:rPr>
      </w:pPr>
      <w:r>
        <w:rPr>
          <w:rFonts w:hint="eastAsia" w:ascii="微软雅黑" w:hAnsi="微软雅黑" w:cs="微软雅黑"/>
          <w:bCs w:val="0"/>
          <w:color w:val="auto"/>
          <w:szCs w:val="21"/>
          <w:highlight w:val="none"/>
        </w:rPr>
        <w:t>项目进度款</w:t>
      </w:r>
    </w:p>
    <w:bookmarkEnd w:id="25"/>
    <w:bookmarkEnd w:id="26"/>
    <w:bookmarkEnd w:id="27"/>
    <w:bookmarkEnd w:id="28"/>
    <w:bookmarkEnd w:id="29"/>
    <w:bookmarkEnd w:id="30"/>
    <w:bookmarkEnd w:id="31"/>
    <w:bookmarkEnd w:id="32"/>
    <w:p w14:paraId="5DE3E6AD">
      <w:pPr>
        <w:spacing w:line="500" w:lineRule="exact"/>
        <w:ind w:left="415" w:firstLine="0" w:firstLineChars="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①合同签订后，采购人向供应商支付合同款的20%；</w:t>
      </w:r>
    </w:p>
    <w:p w14:paraId="0B156AB8">
      <w:pPr>
        <w:spacing w:line="500" w:lineRule="exact"/>
        <w:ind w:left="415" w:firstLine="0" w:firstLineChars="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②方案通过采购人审查，采购人向供应商支付合同款的60%；</w:t>
      </w:r>
    </w:p>
    <w:p w14:paraId="4415F710">
      <w:pPr>
        <w:numPr>
          <w:ilvl w:val="0"/>
          <w:numId w:val="0"/>
        </w:numPr>
        <w:spacing w:line="500" w:lineRule="exact"/>
        <w:ind w:left="415" w:firstLine="0" w:firstLineChars="0"/>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t>③审查通过满一年后，采购人向供应商支付合同款的20%。</w:t>
      </w:r>
    </w:p>
    <w:p w14:paraId="278D2199">
      <w:pPr>
        <w:numPr>
          <w:ilvl w:val="0"/>
          <w:numId w:val="11"/>
        </w:numPr>
        <w:spacing w:line="500" w:lineRule="exact"/>
        <w:ind w:firstLine="415" w:firstLineChars="0"/>
        <w:rPr>
          <w:rFonts w:hint="eastAsia" w:ascii="微软雅黑" w:hAnsi="微软雅黑" w:cs="微软雅黑"/>
          <w:b/>
          <w:bCs/>
          <w:color w:val="auto"/>
          <w:szCs w:val="21"/>
          <w:highlight w:val="none"/>
        </w:rPr>
        <w:sectPr>
          <w:headerReference r:id="rId15" w:type="default"/>
          <w:footerReference r:id="rId16" w:type="default"/>
          <w:pgSz w:w="11906" w:h="16838"/>
          <w:pgMar w:top="1474" w:right="1797" w:bottom="1247" w:left="1797" w:header="851" w:footer="851" w:gutter="0"/>
          <w:cols w:space="720" w:num="1"/>
          <w:docGrid w:linePitch="312" w:charSpace="0"/>
        </w:sectPr>
      </w:pPr>
    </w:p>
    <w:p w14:paraId="0E69D265">
      <w:pPr>
        <w:pStyle w:val="2"/>
        <w:numPr>
          <w:ilvl w:val="0"/>
          <w:numId w:val="3"/>
        </w:numPr>
        <w:rPr>
          <w:rStyle w:val="66"/>
          <w:b/>
          <w:bCs/>
          <w:color w:val="auto"/>
          <w:highlight w:val="none"/>
        </w:rPr>
      </w:pPr>
      <w:r>
        <w:rPr>
          <w:rStyle w:val="66"/>
          <w:rFonts w:hint="eastAsia"/>
          <w:b/>
          <w:bCs/>
          <w:color w:val="auto"/>
          <w:highlight w:val="none"/>
        </w:rPr>
        <w:t xml:space="preserve">  </w:t>
      </w:r>
      <w:bookmarkStart w:id="35" w:name="_Toc30577"/>
      <w:r>
        <w:rPr>
          <w:rStyle w:val="66"/>
          <w:rFonts w:hint="eastAsia"/>
          <w:b/>
          <w:bCs/>
          <w:color w:val="auto"/>
          <w:highlight w:val="none"/>
        </w:rPr>
        <w:t>投标人须知</w:t>
      </w:r>
      <w:bookmarkEnd w:id="11"/>
      <w:bookmarkEnd w:id="33"/>
      <w:bookmarkEnd w:id="34"/>
      <w:bookmarkEnd w:id="35"/>
    </w:p>
    <w:p w14:paraId="0CB9227E">
      <w:pPr>
        <w:pStyle w:val="4"/>
        <w:ind w:firstLine="420"/>
        <w:jc w:val="center"/>
        <w:rPr>
          <w:rFonts w:hint="eastAsia"/>
          <w:color w:val="auto"/>
          <w:highlight w:val="none"/>
        </w:rPr>
      </w:pPr>
      <w:bookmarkStart w:id="36" w:name="_Toc15851"/>
      <w:bookmarkStart w:id="37" w:name="_Toc177870535"/>
      <w:bookmarkStart w:id="38" w:name="_Toc493511543"/>
      <w:r>
        <w:rPr>
          <w:rFonts w:hint="eastAsia"/>
          <w:color w:val="auto"/>
          <w:highlight w:val="none"/>
        </w:rPr>
        <w:t>电子交易注意事项</w:t>
      </w:r>
      <w:bookmarkEnd w:id="36"/>
    </w:p>
    <w:p w14:paraId="356CFF49">
      <w:pPr>
        <w:ind w:firstLine="210" w:firstLineChars="100"/>
        <w:rPr>
          <w:rFonts w:hint="eastAsia"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政府采购项目电子交易活动适用《浙江省政府采购项目电子交易管理暂行办法》，现将相关注意事项告知如下：</w:t>
      </w:r>
    </w:p>
    <w:p w14:paraId="318A603F">
      <w:pPr>
        <w:ind w:firstLine="210" w:firstLineChars="100"/>
        <w:rPr>
          <w:rFonts w:hint="eastAsia" w:ascii="微软雅黑" w:hAnsi="微软雅黑"/>
          <w:color w:val="auto"/>
          <w:szCs w:val="21"/>
          <w:highlight w:val="none"/>
        </w:rPr>
      </w:pPr>
      <w:r>
        <w:rPr>
          <w:rFonts w:hint="eastAsia" w:ascii="微软雅黑" w:hAnsi="微软雅黑"/>
          <w:color w:val="auto"/>
          <w:szCs w:val="21"/>
          <w:highlight w:val="none"/>
        </w:rPr>
        <w:t>　1.代理机构按照招标文件规定的时间通过电子交易平台组织开标、开启投标文件，所有供应商均应当准时在线参加，直至评审结束。</w:t>
      </w:r>
    </w:p>
    <w:p w14:paraId="249B2ABA">
      <w:pPr>
        <w:pStyle w:val="49"/>
        <w:spacing w:beforeAutospacing="0" w:after="120" w:afterAutospacing="0"/>
        <w:ind w:firstLine="210" w:firstLineChars="10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　2. 投标文件未按时解密，供应商如提供备份投标文件的，以符合要求的备份投标文件作为依据，否则视为投标文件撤回。投标文件已按时解密的，备份投标文件自动失效。</w:t>
      </w:r>
    </w:p>
    <w:p w14:paraId="6FC2F33D">
      <w:pPr>
        <w:pStyle w:val="49"/>
        <w:spacing w:beforeAutospacing="0" w:after="120" w:afterAutospacing="0"/>
        <w:ind w:firstLine="210" w:firstLineChars="10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　3. 采购过程中出现以下情形，导致电子交易平台无法正常运行，或者无法保证电子交易的公平、公正和安全时，代理机构可中止电子交易活动：</w:t>
      </w:r>
    </w:p>
    <w:p w14:paraId="24FA6AEA">
      <w:pPr>
        <w:pStyle w:val="49"/>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（一）电子交易平台发生故障而无法登录访问的。</w:t>
      </w:r>
    </w:p>
    <w:p w14:paraId="35E4614F">
      <w:pPr>
        <w:pStyle w:val="49"/>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（二）电子交易平台应用或数据库出现错误，不能进行正常操作的。</w:t>
      </w:r>
    </w:p>
    <w:p w14:paraId="1575E66C">
      <w:pPr>
        <w:pStyle w:val="49"/>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（三）电子交易平台发现严重安全漏洞，有潜在泄密危险的。</w:t>
      </w:r>
    </w:p>
    <w:p w14:paraId="67158517">
      <w:pPr>
        <w:pStyle w:val="49"/>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（四）病毒发作导致不能进行正常操作的。 </w:t>
      </w:r>
    </w:p>
    <w:p w14:paraId="3F9FA49D">
      <w:pPr>
        <w:pStyle w:val="49"/>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（五）其他无法保证电子交易的公平、公正和安全的情况。</w:t>
      </w:r>
    </w:p>
    <w:p w14:paraId="6A7AEC08">
      <w:pPr>
        <w:pStyle w:val="49"/>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出现前款规定情形，不影响采购公平、公正性的，代理机构可以待上述情形消除后继续组织电子交易活动，也可以决定某些环节以纸质形式进行；影响或可能影响采购公平、公正性的，应当重新采购。</w:t>
      </w:r>
    </w:p>
    <w:p w14:paraId="08BDD650">
      <w:pPr>
        <w:pStyle w:val="49"/>
        <w:numPr>
          <w:ilvl w:val="0"/>
          <w:numId w:val="12"/>
        </w:numPr>
        <w:spacing w:beforeAutospacing="0" w:after="120" w:afterAutospacing="0" w:line="560" w:lineRule="exact"/>
        <w:ind w:firstLineChars="0"/>
        <w:rPr>
          <w:rFonts w:hint="eastAsia" w:ascii="微软雅黑" w:hAnsi="微软雅黑"/>
          <w:color w:val="auto"/>
          <w:sz w:val="21"/>
          <w:szCs w:val="21"/>
          <w:highlight w:val="none"/>
        </w:rPr>
      </w:pPr>
      <w:r>
        <w:rPr>
          <w:rFonts w:hint="eastAsia" w:ascii="微软雅黑" w:hAnsi="微软雅黑"/>
          <w:color w:val="auto"/>
          <w:sz w:val="21"/>
          <w:szCs w:val="21"/>
          <w:highlight w:val="none"/>
          <w:shd w:val="clear" w:color="auto" w:fill="FFFFFF"/>
        </w:rPr>
        <w:t>评审中需要供应商对投标文件作出澄清、说明或者补正的，评审小组和供应商应当通过电子交易平台交换数据电文。供应商需在半小时内提交澄清说明或补正，供应商已经明确表示澄清说明或补正完毕的除外。</w:t>
      </w:r>
    </w:p>
    <w:p w14:paraId="11C6CF60">
      <w:pPr>
        <w:ind w:left="238" w:firstLine="420"/>
        <w:jc w:val="center"/>
        <w:rPr>
          <w:rFonts w:hint="eastAsia" w:ascii="微软雅黑" w:hAnsi="微软雅黑"/>
          <w:b/>
          <w:color w:val="auto"/>
          <w:szCs w:val="21"/>
          <w:highlight w:val="none"/>
        </w:rPr>
        <w:sectPr>
          <w:pgSz w:w="11906" w:h="16838"/>
          <w:pgMar w:top="1474" w:right="1797" w:bottom="1247" w:left="1797" w:header="851" w:footer="851" w:gutter="0"/>
          <w:cols w:space="720" w:num="1"/>
          <w:docGrid w:linePitch="312" w:charSpace="0"/>
        </w:sectPr>
      </w:pPr>
    </w:p>
    <w:p w14:paraId="49560C0C">
      <w:pPr>
        <w:ind w:left="238" w:firstLine="420"/>
        <w:jc w:val="center"/>
        <w:outlineLvl w:val="1"/>
        <w:rPr>
          <w:rFonts w:hint="eastAsia" w:ascii="微软雅黑" w:hAnsi="微软雅黑"/>
          <w:b/>
          <w:color w:val="auto"/>
          <w:szCs w:val="21"/>
          <w:highlight w:val="none"/>
        </w:rPr>
      </w:pPr>
      <w:bookmarkStart w:id="39" w:name="_Toc24015"/>
      <w:r>
        <w:rPr>
          <w:rFonts w:hint="eastAsia" w:ascii="微软雅黑" w:hAnsi="微软雅黑"/>
          <w:b/>
          <w:color w:val="auto"/>
          <w:szCs w:val="21"/>
          <w:highlight w:val="none"/>
        </w:rPr>
        <w:t>前附表</w:t>
      </w:r>
      <w:bookmarkEnd w:id="37"/>
      <w:bookmarkEnd w:id="38"/>
      <w:bookmarkEnd w:id="39"/>
    </w:p>
    <w:tbl>
      <w:tblPr>
        <w:tblStyle w:val="54"/>
        <w:tblW w:w="91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628"/>
      </w:tblGrid>
      <w:tr w14:paraId="44F64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0519142F">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2E28112A">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事项</w:t>
            </w:r>
          </w:p>
        </w:tc>
        <w:tc>
          <w:tcPr>
            <w:tcW w:w="6628" w:type="dxa"/>
            <w:tcBorders>
              <w:top w:val="single" w:color="000000" w:sz="8" w:space="0"/>
              <w:left w:val="single" w:color="000000" w:sz="2" w:space="0"/>
              <w:bottom w:val="single" w:color="000000" w:sz="8" w:space="0"/>
              <w:right w:val="single" w:color="000000" w:sz="8" w:space="0"/>
            </w:tcBorders>
            <w:vAlign w:val="center"/>
          </w:tcPr>
          <w:p w14:paraId="522733AD">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本项目的特别规定</w:t>
            </w:r>
          </w:p>
        </w:tc>
      </w:tr>
      <w:tr w14:paraId="1FDD36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384B87E5">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4A92BC4">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项目名称</w:t>
            </w:r>
          </w:p>
        </w:tc>
        <w:tc>
          <w:tcPr>
            <w:tcW w:w="6628" w:type="dxa"/>
            <w:tcBorders>
              <w:top w:val="single" w:color="000000" w:sz="8" w:space="0"/>
              <w:left w:val="single" w:color="000000" w:sz="2" w:space="0"/>
              <w:bottom w:val="single" w:color="000000" w:sz="8" w:space="0"/>
              <w:right w:val="single" w:color="000000" w:sz="8" w:space="0"/>
            </w:tcBorders>
            <w:vAlign w:val="center"/>
          </w:tcPr>
          <w:p w14:paraId="2900D44C">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color w:val="auto"/>
                <w:szCs w:val="21"/>
                <w:highlight w:val="none"/>
              </w:rPr>
              <w:t>王江泾镇乍嘉苏航道长虹桥绕行周边地块规划设计编制服务项目</w:t>
            </w:r>
          </w:p>
        </w:tc>
      </w:tr>
      <w:tr w14:paraId="704CF9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04729DFB">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3C2361AD">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采购内容</w:t>
            </w:r>
          </w:p>
        </w:tc>
        <w:tc>
          <w:tcPr>
            <w:tcW w:w="6628" w:type="dxa"/>
            <w:tcBorders>
              <w:top w:val="single" w:color="000000" w:sz="8" w:space="0"/>
              <w:left w:val="single" w:color="000000" w:sz="2" w:space="0"/>
              <w:bottom w:val="single" w:color="000000" w:sz="8" w:space="0"/>
              <w:right w:val="single" w:color="000000" w:sz="8" w:space="0"/>
            </w:tcBorders>
            <w:vAlign w:val="center"/>
          </w:tcPr>
          <w:p w14:paraId="34670C3B">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详见第二章</w:t>
            </w:r>
          </w:p>
        </w:tc>
      </w:tr>
      <w:tr w14:paraId="79DB46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1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541A8999">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91D853B">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报价要求</w:t>
            </w:r>
          </w:p>
        </w:tc>
        <w:tc>
          <w:tcPr>
            <w:tcW w:w="6628" w:type="dxa"/>
            <w:tcBorders>
              <w:top w:val="single" w:color="000000" w:sz="8" w:space="0"/>
              <w:left w:val="single" w:color="000000" w:sz="2" w:space="0"/>
              <w:bottom w:val="single" w:color="000000" w:sz="8" w:space="0"/>
              <w:right w:val="single" w:color="000000" w:sz="8" w:space="0"/>
            </w:tcBorders>
            <w:vAlign w:val="center"/>
          </w:tcPr>
          <w:p w14:paraId="1C8CE953">
            <w:pPr>
              <w:spacing w:line="460" w:lineRule="exact"/>
              <w:ind w:firstLine="0" w:firstLineChars="0"/>
              <w:rPr>
                <w:rFonts w:hint="eastAsia" w:ascii="微软雅黑" w:hAnsi="微软雅黑" w:cs="微软雅黑"/>
                <w:color w:val="auto"/>
                <w:szCs w:val="21"/>
                <w:highlight w:val="none"/>
                <w:lang w:val="zh-CN"/>
              </w:rPr>
            </w:pPr>
            <w:r>
              <w:rPr>
                <w:rFonts w:hint="eastAsia" w:ascii="微软雅黑" w:hAnsi="微软雅黑" w:cs="微软雅黑"/>
                <w:color w:val="auto"/>
                <w:szCs w:val="21"/>
                <w:highlight w:val="none"/>
                <w:lang w:val="zh-CN"/>
              </w:rPr>
              <w:t>有关本项目实施所需的所有费用（含税费）均计入报价。开标一览表（报价表）是报价的唯一载体。投标文件中价格全部采用人民币报价。招标文件未列明，而投标供应商认为必需的费用也需列入报价。</w:t>
            </w:r>
          </w:p>
          <w:p w14:paraId="64DFD42A">
            <w:pPr>
              <w:spacing w:line="460" w:lineRule="exact"/>
              <w:ind w:firstLine="0" w:firstLineChars="0"/>
              <w:rPr>
                <w:rFonts w:hint="eastAsia" w:ascii="微软雅黑" w:hAnsi="微软雅黑" w:cs="微软雅黑"/>
                <w:color w:val="auto"/>
                <w:szCs w:val="21"/>
                <w:highlight w:val="none"/>
              </w:rPr>
            </w:pPr>
            <w:r>
              <w:rPr>
                <w:rFonts w:hint="eastAsia" w:ascii="微软雅黑" w:hAnsi="微软雅黑" w:cs="微软雅黑"/>
                <w:b/>
                <w:color w:val="auto"/>
                <w:kern w:val="0"/>
                <w:szCs w:val="21"/>
                <w:highlight w:val="none"/>
                <w:lang w:val="zh-CN"/>
              </w:rPr>
              <w:t>提醒：验收时检测费、</w:t>
            </w:r>
            <w:r>
              <w:rPr>
                <w:rFonts w:hint="eastAsia" w:ascii="微软雅黑" w:hAnsi="微软雅黑" w:cs="微软雅黑"/>
                <w:b/>
                <w:color w:val="auto"/>
                <w:kern w:val="0"/>
                <w:szCs w:val="21"/>
                <w:highlight w:val="none"/>
              </w:rPr>
              <w:t>专家费等验收所产生的合理费</w:t>
            </w:r>
            <w:r>
              <w:rPr>
                <w:rFonts w:hint="eastAsia" w:ascii="微软雅黑" w:hAnsi="微软雅黑" w:cs="微软雅黑"/>
                <w:b/>
                <w:color w:val="auto"/>
                <w:kern w:val="0"/>
                <w:szCs w:val="21"/>
                <w:highlight w:val="none"/>
                <w:lang w:val="zh-CN"/>
              </w:rPr>
              <w:t>用由采购人承担，不包含在投标总价中，</w:t>
            </w:r>
            <w:r>
              <w:rPr>
                <w:rFonts w:hint="eastAsia" w:ascii="微软雅黑" w:hAnsi="微软雅黑" w:cs="微软雅黑"/>
                <w:b/>
                <w:color w:val="auto"/>
                <w:kern w:val="0"/>
                <w:szCs w:val="21"/>
                <w:highlight w:val="none"/>
              </w:rPr>
              <w:t>若由中标方原因造成的验收不合格所产生的费用，由中标方承担</w:t>
            </w:r>
            <w:r>
              <w:rPr>
                <w:rFonts w:hint="eastAsia" w:ascii="微软雅黑" w:hAnsi="微软雅黑" w:cs="微软雅黑"/>
                <w:b/>
                <w:color w:val="auto"/>
                <w:kern w:val="0"/>
                <w:szCs w:val="21"/>
                <w:highlight w:val="none"/>
                <w:lang w:val="zh-CN"/>
              </w:rPr>
              <w:t>。</w:t>
            </w:r>
          </w:p>
        </w:tc>
      </w:tr>
      <w:tr w14:paraId="521A77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1"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6C22A372">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7E52E0D">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分包</w:t>
            </w:r>
          </w:p>
        </w:tc>
        <w:tc>
          <w:tcPr>
            <w:tcW w:w="6628" w:type="dxa"/>
            <w:tcBorders>
              <w:top w:val="single" w:color="000000" w:sz="8" w:space="0"/>
              <w:left w:val="single" w:color="000000" w:sz="2" w:space="0"/>
              <w:bottom w:val="single" w:color="000000" w:sz="8" w:space="0"/>
              <w:right w:val="single" w:color="000000" w:sz="8" w:space="0"/>
            </w:tcBorders>
            <w:vAlign w:val="center"/>
          </w:tcPr>
          <w:p w14:paraId="7E244FE8">
            <w:pPr>
              <w:spacing w:line="460" w:lineRule="exact"/>
              <w:ind w:firstLine="0" w:firstLineChars="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kern w:val="0"/>
                <w:szCs w:val="21"/>
                <w:highlight w:val="none"/>
              </w:rPr>
              <w:t xml:space="preserve"> </w:t>
            </w:r>
            <w:r>
              <w:rPr>
                <w:rFonts w:hint="eastAsia" w:ascii="微软雅黑" w:hAnsi="微软雅黑" w:cs="微软雅黑"/>
                <w:color w:val="auto"/>
                <w:szCs w:val="21"/>
                <w:highlight w:val="none"/>
                <w:lang w:val="zh-CN"/>
              </w:rPr>
              <w:t>A同意将非主体、非关键性的</w:t>
            </w:r>
            <w:r>
              <w:rPr>
                <w:rFonts w:hint="eastAsia" w:ascii="微软雅黑" w:hAnsi="微软雅黑" w:cs="微软雅黑"/>
                <w:color w:val="auto"/>
                <w:szCs w:val="21"/>
                <w:highlight w:val="none"/>
                <w:u w:val="single"/>
                <w:lang w:val="zh-CN"/>
              </w:rPr>
              <w:t xml:space="preserve">             </w:t>
            </w:r>
            <w:r>
              <w:rPr>
                <w:rFonts w:hint="eastAsia" w:ascii="微软雅黑" w:hAnsi="微软雅黑" w:cs="微软雅黑"/>
                <w:color w:val="auto"/>
                <w:szCs w:val="21"/>
                <w:highlight w:val="none"/>
                <w:lang w:val="zh-CN"/>
              </w:rPr>
              <w:t>工作分包。</w:t>
            </w:r>
            <w:r>
              <w:rPr>
                <w:rFonts w:hint="eastAsia" w:ascii="微软雅黑" w:hAnsi="微软雅黑" w:cs="微软雅黑"/>
                <w:color w:val="auto"/>
                <w:kern w:val="0"/>
                <w:szCs w:val="21"/>
                <w:highlight w:val="none"/>
              </w:rPr>
              <w:sym w:font="Wingdings" w:char="00FE"/>
            </w:r>
            <w:r>
              <w:rPr>
                <w:rFonts w:hint="eastAsia" w:ascii="微软雅黑" w:hAnsi="微软雅黑" w:cs="微软雅黑"/>
                <w:color w:val="auto"/>
                <w:kern w:val="0"/>
                <w:szCs w:val="21"/>
                <w:highlight w:val="none"/>
              </w:rPr>
              <w:t xml:space="preserve"> </w:t>
            </w:r>
            <w:r>
              <w:rPr>
                <w:rFonts w:hint="eastAsia" w:ascii="微软雅黑" w:hAnsi="微软雅黑" w:cs="微软雅黑"/>
                <w:color w:val="auto"/>
                <w:szCs w:val="21"/>
                <w:highlight w:val="none"/>
                <w:lang w:val="zh-CN"/>
              </w:rPr>
              <w:t>B不同意分包。</w:t>
            </w:r>
          </w:p>
        </w:tc>
      </w:tr>
      <w:tr w14:paraId="18E7A2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5C63C1FF">
            <w:pPr>
              <w:snapToGrid w:val="0"/>
              <w:spacing w:line="460" w:lineRule="exact"/>
              <w:ind w:firstLine="0" w:firstLineChars="0"/>
              <w:jc w:val="center"/>
              <w:rPr>
                <w:rFonts w:hint="eastAsia" w:ascii="微软雅黑" w:hAnsi="微软雅黑" w:cs="微软雅黑"/>
                <w:color w:val="auto"/>
                <w:szCs w:val="21"/>
                <w:highlight w:val="none"/>
              </w:rPr>
            </w:pPr>
          </w:p>
          <w:p w14:paraId="7A163F15">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27EF49A">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开标前答疑会或现场踏勘</w:t>
            </w:r>
          </w:p>
        </w:tc>
        <w:tc>
          <w:tcPr>
            <w:tcW w:w="6628" w:type="dxa"/>
            <w:tcBorders>
              <w:top w:val="single" w:color="000000" w:sz="8" w:space="0"/>
              <w:left w:val="single" w:color="000000" w:sz="2" w:space="0"/>
              <w:bottom w:val="single" w:color="000000" w:sz="8" w:space="0"/>
              <w:right w:val="single" w:color="000000" w:sz="8" w:space="0"/>
            </w:tcBorders>
            <w:vAlign w:val="center"/>
          </w:tcPr>
          <w:p w14:paraId="1B7A880C">
            <w:pPr>
              <w:suppressLineNumbers/>
              <w:suppressAutoHyphens/>
              <w:spacing w:line="460" w:lineRule="exact"/>
              <w:ind w:firstLine="0" w:firstLineChars="0"/>
              <w:rPr>
                <w:rFonts w:hint="eastAsia" w:ascii="微软雅黑" w:hAnsi="微软雅黑" w:cs="微软雅黑"/>
                <w:color w:val="auto"/>
                <w:szCs w:val="21"/>
                <w:highlight w:val="none"/>
                <w:shd w:val="pct10" w:color="auto" w:fill="FFFFFF"/>
              </w:rPr>
            </w:pPr>
            <w:r>
              <w:rPr>
                <w:rFonts w:hint="eastAsia" w:ascii="微软雅黑" w:hAnsi="微软雅黑" w:cs="微软雅黑"/>
                <w:color w:val="auto"/>
                <w:kern w:val="0"/>
                <w:szCs w:val="21"/>
                <w:highlight w:val="none"/>
              </w:rPr>
              <w:sym w:font="Wingdings" w:char="00FE"/>
            </w:r>
            <w:r>
              <w:rPr>
                <w:rFonts w:hint="eastAsia" w:ascii="微软雅黑" w:hAnsi="微软雅黑" w:cs="微软雅黑"/>
                <w:color w:val="auto"/>
                <w:szCs w:val="21"/>
                <w:highlight w:val="none"/>
                <w:lang w:val="zh-CN"/>
              </w:rPr>
              <w:t>A不组织。本项目由供应商自行进行踏勘（招标文件中不能详细表述的不可预见费用、招标需求等，投标供应商需通过现场踏勘后考虑在最终报价内，否则后果由中标供应商自负）；</w:t>
            </w:r>
            <w:r>
              <w:rPr>
                <w:rFonts w:hint="eastAsia" w:ascii="微软雅黑" w:hAnsi="微软雅黑" w:cs="微软雅黑"/>
                <w:color w:val="auto"/>
                <w:szCs w:val="21"/>
                <w:highlight w:val="none"/>
                <w:shd w:val="pct10" w:color="auto" w:fill="FFFFFF"/>
                <w:lang w:val="zh-CN"/>
              </w:rPr>
              <w:t>踏勘联系人为采购方联系人</w:t>
            </w:r>
            <w:r>
              <w:rPr>
                <w:rFonts w:hint="eastAsia" w:ascii="微软雅黑" w:hAnsi="微软雅黑" w:cs="微软雅黑"/>
                <w:color w:val="auto"/>
                <w:szCs w:val="21"/>
                <w:highlight w:val="none"/>
                <w:shd w:val="pct10" w:color="auto" w:fill="FFFFFF"/>
              </w:rPr>
              <w:t>。</w:t>
            </w:r>
          </w:p>
          <w:p w14:paraId="46C1EE81">
            <w:pPr>
              <w:spacing w:line="460" w:lineRule="exact"/>
              <w:ind w:firstLine="0" w:firstLineChars="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szCs w:val="21"/>
                <w:highlight w:val="none"/>
                <w:lang w:val="zh-CN"/>
              </w:rPr>
              <w:t>B组织，时间：</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szCs w:val="21"/>
                <w:highlight w:val="none"/>
              </w:rPr>
              <w:t>,</w:t>
            </w:r>
            <w:r>
              <w:rPr>
                <w:rFonts w:hint="eastAsia" w:ascii="微软雅黑" w:hAnsi="微软雅黑" w:cs="微软雅黑"/>
                <w:color w:val="auto"/>
                <w:szCs w:val="21"/>
                <w:highlight w:val="none"/>
                <w:lang w:val="zh-CN"/>
              </w:rPr>
              <w:t>地点：</w:t>
            </w:r>
            <w:r>
              <w:rPr>
                <w:rFonts w:hint="eastAsia" w:ascii="微软雅黑" w:hAnsi="微软雅黑" w:cs="微软雅黑"/>
                <w:color w:val="auto"/>
                <w:szCs w:val="21"/>
                <w:highlight w:val="none"/>
                <w:u w:val="single"/>
              </w:rPr>
              <w:t>嘉兴市**区**路**号**室</w:t>
            </w:r>
            <w:r>
              <w:rPr>
                <w:rFonts w:hint="eastAsia" w:ascii="微软雅黑" w:hAnsi="微软雅黑" w:cs="微软雅黑"/>
                <w:color w:val="auto"/>
                <w:szCs w:val="21"/>
                <w:highlight w:val="none"/>
                <w:lang w:val="zh-CN"/>
              </w:rPr>
              <w:t>，联系人：</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szCs w:val="21"/>
                <w:highlight w:val="none"/>
              </w:rPr>
              <w:t>，</w:t>
            </w:r>
            <w:r>
              <w:rPr>
                <w:rFonts w:hint="eastAsia" w:ascii="微软雅黑" w:hAnsi="微软雅黑" w:cs="微软雅黑"/>
                <w:color w:val="auto"/>
                <w:szCs w:val="21"/>
                <w:highlight w:val="none"/>
                <w:lang w:val="zh-CN"/>
              </w:rPr>
              <w:t>联系方式：</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szCs w:val="21"/>
                <w:highlight w:val="none"/>
              </w:rPr>
              <w:t>。</w:t>
            </w:r>
          </w:p>
        </w:tc>
      </w:tr>
      <w:tr w14:paraId="5A2200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0961622C">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7FFD4D3">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投标</w:t>
            </w:r>
            <w:r>
              <w:rPr>
                <w:rFonts w:hint="eastAsia" w:ascii="微软雅黑" w:hAnsi="微软雅黑" w:cs="微软雅黑"/>
                <w:b/>
                <w:color w:val="auto"/>
                <w:szCs w:val="21"/>
                <w:highlight w:val="none"/>
                <w:lang w:val="zh-CN"/>
              </w:rPr>
              <w:t>文件组成</w:t>
            </w:r>
          </w:p>
        </w:tc>
        <w:tc>
          <w:tcPr>
            <w:tcW w:w="6628" w:type="dxa"/>
            <w:tcBorders>
              <w:top w:val="single" w:color="000000" w:sz="8" w:space="0"/>
              <w:left w:val="single" w:color="000000" w:sz="2" w:space="0"/>
              <w:bottom w:val="single" w:color="000000" w:sz="8" w:space="0"/>
              <w:right w:val="single" w:color="000000" w:sz="8" w:space="0"/>
            </w:tcBorders>
            <w:vAlign w:val="center"/>
          </w:tcPr>
          <w:p w14:paraId="2C948E40">
            <w:pPr>
              <w:snapToGrid w:val="0"/>
              <w:spacing w:line="460" w:lineRule="exact"/>
              <w:ind w:firstLine="0" w:firstLineChars="0"/>
              <w:rPr>
                <w:rFonts w:hint="eastAsia" w:ascii="微软雅黑" w:hAnsi="微软雅黑" w:cs="微软雅黑"/>
                <w:color w:val="auto"/>
                <w:szCs w:val="21"/>
                <w:highlight w:val="none"/>
                <w:lang w:val="zh-CN"/>
              </w:rPr>
            </w:pPr>
            <w:r>
              <w:rPr>
                <w:rFonts w:hint="eastAsia" w:ascii="微软雅黑" w:hAnsi="微软雅黑" w:cs="微软雅黑"/>
                <w:color w:val="auto"/>
                <w:szCs w:val="21"/>
                <w:highlight w:val="none"/>
                <w:lang w:val="zh-CN"/>
              </w:rPr>
              <w:t>电子</w:t>
            </w:r>
            <w:r>
              <w:rPr>
                <w:rFonts w:hint="eastAsia" w:ascii="微软雅黑" w:hAnsi="微软雅黑" w:cs="微软雅黑"/>
                <w:color w:val="auto"/>
                <w:szCs w:val="21"/>
                <w:highlight w:val="none"/>
              </w:rPr>
              <w:t>投标</w:t>
            </w:r>
            <w:r>
              <w:rPr>
                <w:rFonts w:hint="eastAsia" w:ascii="微软雅黑" w:hAnsi="微软雅黑" w:cs="微软雅黑"/>
                <w:color w:val="auto"/>
                <w:szCs w:val="21"/>
                <w:highlight w:val="none"/>
                <w:lang w:val="zh-CN"/>
              </w:rPr>
              <w:t>文件和备份</w:t>
            </w:r>
            <w:r>
              <w:rPr>
                <w:rFonts w:hint="eastAsia" w:ascii="微软雅黑" w:hAnsi="微软雅黑" w:cs="微软雅黑"/>
                <w:color w:val="auto"/>
                <w:szCs w:val="21"/>
                <w:highlight w:val="none"/>
              </w:rPr>
              <w:t>投标</w:t>
            </w:r>
            <w:r>
              <w:rPr>
                <w:rFonts w:hint="eastAsia" w:ascii="微软雅黑" w:hAnsi="微软雅黑" w:cs="微软雅黑"/>
                <w:color w:val="auto"/>
                <w:szCs w:val="21"/>
                <w:highlight w:val="none"/>
                <w:lang w:val="zh-CN"/>
              </w:rPr>
              <w:t>文件均由</w:t>
            </w:r>
            <w:r>
              <w:rPr>
                <w:rFonts w:hint="eastAsia" w:ascii="微软雅黑" w:hAnsi="微软雅黑" w:cs="微软雅黑"/>
                <w:color w:val="auto"/>
                <w:szCs w:val="21"/>
                <w:highlight w:val="none"/>
              </w:rPr>
              <w:t>资格</w:t>
            </w:r>
            <w:r>
              <w:rPr>
                <w:rFonts w:hint="eastAsia" w:ascii="微软雅黑" w:hAnsi="微软雅黑" w:cs="微软雅黑"/>
                <w:color w:val="auto"/>
                <w:szCs w:val="21"/>
                <w:highlight w:val="none"/>
                <w:lang w:val="zh-CN"/>
              </w:rPr>
              <w:t>文件、</w:t>
            </w:r>
            <w:r>
              <w:rPr>
                <w:rFonts w:hint="eastAsia" w:ascii="微软雅黑" w:hAnsi="微软雅黑" w:cs="微软雅黑"/>
                <w:color w:val="auto"/>
                <w:szCs w:val="21"/>
                <w:highlight w:val="none"/>
              </w:rPr>
              <w:t>商务</w:t>
            </w:r>
            <w:r>
              <w:rPr>
                <w:rFonts w:hint="eastAsia" w:ascii="微软雅黑" w:hAnsi="微软雅黑" w:cs="微软雅黑"/>
                <w:color w:val="auto"/>
                <w:szCs w:val="21"/>
                <w:highlight w:val="none"/>
                <w:lang w:val="zh-CN"/>
              </w:rPr>
              <w:t>技术文件及投标报价文件</w:t>
            </w:r>
            <w:r>
              <w:rPr>
                <w:rFonts w:hint="eastAsia" w:ascii="微软雅黑" w:hAnsi="微软雅黑" w:cs="微软雅黑"/>
                <w:color w:val="auto"/>
                <w:szCs w:val="21"/>
                <w:highlight w:val="none"/>
              </w:rPr>
              <w:t>三</w:t>
            </w:r>
            <w:r>
              <w:rPr>
                <w:rFonts w:hint="eastAsia" w:ascii="微软雅黑" w:hAnsi="微软雅黑" w:cs="微软雅黑"/>
                <w:color w:val="auto"/>
                <w:szCs w:val="21"/>
                <w:highlight w:val="none"/>
                <w:lang w:val="zh-CN"/>
              </w:rPr>
              <w:t>部分组成。</w:t>
            </w:r>
          </w:p>
        </w:tc>
      </w:tr>
      <w:tr w14:paraId="3F0C5C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658559E4">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7D65A1E">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lang w:val="zh-CN"/>
              </w:rPr>
              <w:t>开标时间及地点</w:t>
            </w:r>
          </w:p>
        </w:tc>
        <w:tc>
          <w:tcPr>
            <w:tcW w:w="6628" w:type="dxa"/>
            <w:tcBorders>
              <w:top w:val="single" w:color="000000" w:sz="8" w:space="0"/>
              <w:left w:val="single" w:color="000000" w:sz="2" w:space="0"/>
              <w:bottom w:val="single" w:color="000000" w:sz="8" w:space="0"/>
              <w:right w:val="single" w:color="000000" w:sz="8" w:space="0"/>
            </w:tcBorders>
            <w:vAlign w:val="center"/>
          </w:tcPr>
          <w:p w14:paraId="054C0605">
            <w:pPr>
              <w:spacing w:line="460" w:lineRule="exact"/>
              <w:ind w:firstLine="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时间：</w:t>
            </w:r>
            <w:r>
              <w:rPr>
                <w:rFonts w:ascii="微软雅黑" w:hAnsi="微软雅黑" w:cs="Arial"/>
                <w:color w:val="auto"/>
                <w:szCs w:val="21"/>
                <w:highlight w:val="none"/>
              </w:rPr>
              <w:t> </w:t>
            </w:r>
            <w:r>
              <w:rPr>
                <w:rFonts w:hint="eastAsia" w:ascii="微软雅黑" w:hAnsi="微软雅黑" w:cs="Arial"/>
                <w:color w:val="auto"/>
                <w:szCs w:val="21"/>
                <w:highlight w:val="none"/>
              </w:rPr>
              <w:t>2025年</w:t>
            </w:r>
            <w:r>
              <w:rPr>
                <w:rFonts w:hint="eastAsia" w:ascii="微软雅黑" w:hAnsi="微软雅黑" w:cs="Arial"/>
                <w:color w:val="auto"/>
                <w:szCs w:val="21"/>
                <w:highlight w:val="none"/>
                <w:lang w:val="en-US" w:eastAsia="zh-CN"/>
              </w:rPr>
              <w:t>7</w:t>
            </w:r>
            <w:r>
              <w:rPr>
                <w:rFonts w:hint="eastAsia" w:ascii="微软雅黑" w:hAnsi="微软雅黑" w:cs="Arial"/>
                <w:color w:val="auto"/>
                <w:szCs w:val="21"/>
                <w:highlight w:val="none"/>
              </w:rPr>
              <w:t>月</w:t>
            </w:r>
            <w:r>
              <w:rPr>
                <w:rFonts w:hint="eastAsia" w:ascii="微软雅黑" w:hAnsi="微软雅黑" w:cs="Arial"/>
                <w:color w:val="auto"/>
                <w:szCs w:val="21"/>
                <w:highlight w:val="none"/>
                <w:lang w:val="en-US" w:eastAsia="zh-CN"/>
              </w:rPr>
              <w:t>24</w:t>
            </w:r>
            <w:bookmarkStart w:id="323" w:name="_GoBack"/>
            <w:bookmarkEnd w:id="323"/>
            <w:r>
              <w:rPr>
                <w:rFonts w:hint="eastAsia" w:ascii="微软雅黑" w:hAnsi="微软雅黑" w:cs="Arial"/>
                <w:color w:val="auto"/>
                <w:szCs w:val="21"/>
                <w:highlight w:val="none"/>
              </w:rPr>
              <w:t>日</w:t>
            </w:r>
            <w:r>
              <w:rPr>
                <w:rFonts w:hint="eastAsia" w:ascii="微软雅黑" w:hAnsi="微软雅黑" w:cs="Arial"/>
                <w:color w:val="auto"/>
                <w:szCs w:val="21"/>
                <w:highlight w:val="none"/>
                <w:lang w:val="en-US" w:eastAsia="zh-CN"/>
              </w:rPr>
              <w:t>9</w:t>
            </w:r>
            <w:r>
              <w:rPr>
                <w:rFonts w:hint="eastAsia" w:ascii="微软雅黑" w:hAnsi="微软雅黑" w:cs="Arial"/>
                <w:color w:val="auto"/>
                <w:szCs w:val="21"/>
                <w:highlight w:val="none"/>
              </w:rPr>
              <w:t>：</w:t>
            </w:r>
            <w:r>
              <w:rPr>
                <w:rFonts w:hint="eastAsia" w:ascii="微软雅黑" w:hAnsi="微软雅黑" w:cs="Arial"/>
                <w:color w:val="auto"/>
                <w:szCs w:val="21"/>
                <w:highlight w:val="none"/>
                <w:lang w:val="en-US" w:eastAsia="zh-CN"/>
              </w:rPr>
              <w:t>30</w:t>
            </w:r>
            <w:r>
              <w:rPr>
                <w:rFonts w:hint="eastAsia" w:ascii="微软雅黑" w:hAnsi="微软雅黑" w:cs="微软雅黑"/>
                <w:color w:val="auto"/>
                <w:szCs w:val="21"/>
                <w:highlight w:val="none"/>
              </w:rPr>
              <w:t xml:space="preserve">（北京时间）   </w:t>
            </w:r>
          </w:p>
          <w:p w14:paraId="508FAE7B">
            <w:pPr>
              <w:snapToGrid w:val="0"/>
              <w:spacing w:line="460" w:lineRule="exact"/>
              <w:ind w:firstLine="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地点：政采云平台</w:t>
            </w:r>
          </w:p>
          <w:p w14:paraId="33257528">
            <w:pPr>
              <w:snapToGrid w:val="0"/>
              <w:spacing w:line="460" w:lineRule="exact"/>
              <w:ind w:firstLine="0" w:firstLineChars="0"/>
              <w:rPr>
                <w:rFonts w:hint="eastAsia" w:ascii="微软雅黑" w:hAnsi="微软雅黑" w:cs="微软雅黑"/>
                <w:color w:val="auto"/>
                <w:szCs w:val="21"/>
                <w:highlight w:val="none"/>
                <w:lang w:val="zh-CN"/>
              </w:rPr>
            </w:pPr>
            <w:r>
              <w:rPr>
                <w:rFonts w:hint="eastAsia" w:ascii="微软雅黑" w:hAnsi="微软雅黑" w:cs="微软雅黑"/>
                <w:b/>
                <w:bCs/>
                <w:color w:val="auto"/>
                <w:szCs w:val="21"/>
                <w:highlight w:val="none"/>
                <w:u w:val="single"/>
                <w:lang w:val="zh-CN"/>
              </w:rPr>
              <w:t>供应商无需到开标现场，但须准时在线参加，直至评审结束。</w:t>
            </w:r>
          </w:p>
        </w:tc>
      </w:tr>
      <w:tr w14:paraId="306779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58461DC0">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14F03AE0">
            <w:pPr>
              <w:snapToGrid w:val="0"/>
              <w:spacing w:line="460" w:lineRule="exact"/>
              <w:ind w:firstLine="0" w:firstLineChars="0"/>
              <w:jc w:val="center"/>
              <w:rPr>
                <w:rFonts w:hint="eastAsia" w:ascii="微软雅黑" w:hAnsi="微软雅黑" w:cs="微软雅黑"/>
                <w:bCs/>
                <w:color w:val="auto"/>
                <w:szCs w:val="21"/>
                <w:highlight w:val="none"/>
              </w:rPr>
            </w:pPr>
            <w:r>
              <w:rPr>
                <w:rFonts w:hint="eastAsia" w:ascii="微软雅黑" w:hAnsi="微软雅黑" w:cs="微软雅黑"/>
                <w:b/>
                <w:color w:val="auto"/>
                <w:szCs w:val="21"/>
                <w:highlight w:val="none"/>
              </w:rPr>
              <w:t>方案讲解演示</w:t>
            </w:r>
          </w:p>
        </w:tc>
        <w:tc>
          <w:tcPr>
            <w:tcW w:w="6628" w:type="dxa"/>
            <w:tcBorders>
              <w:top w:val="single" w:color="000000" w:sz="8" w:space="0"/>
              <w:left w:val="single" w:color="000000" w:sz="2" w:space="0"/>
              <w:bottom w:val="single" w:color="000000" w:sz="8" w:space="0"/>
              <w:right w:val="single" w:color="000000" w:sz="8" w:space="0"/>
            </w:tcBorders>
            <w:vAlign w:val="center"/>
          </w:tcPr>
          <w:p w14:paraId="5F0F5AF8">
            <w:pPr>
              <w:snapToGrid w:val="0"/>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sym w:font="Wingdings" w:char="00FE"/>
            </w:r>
            <w:r>
              <w:rPr>
                <w:rFonts w:hint="eastAsia" w:ascii="微软雅黑" w:hAnsi="微软雅黑" w:cs="微软雅黑"/>
                <w:color w:val="auto"/>
                <w:szCs w:val="21"/>
                <w:highlight w:val="none"/>
                <w:lang w:val="zh-CN"/>
              </w:rPr>
              <w:t>A不组织。</w:t>
            </w:r>
          </w:p>
          <w:p w14:paraId="6B21D3C0">
            <w:pPr>
              <w:spacing w:line="460" w:lineRule="exact"/>
              <w:ind w:firstLine="0" w:firstLineChars="0"/>
              <w:rPr>
                <w:rFonts w:hint="eastAsia" w:ascii="微软雅黑" w:hAnsi="微软雅黑" w:cs="微软雅黑"/>
                <w:color w:val="auto"/>
                <w:szCs w:val="21"/>
                <w:highlight w:val="none"/>
                <w:lang w:val="zh-CN"/>
              </w:rPr>
            </w:pP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szCs w:val="21"/>
                <w:highlight w:val="none"/>
                <w:lang w:val="zh-CN"/>
              </w:rPr>
              <w:t>B组织。</w:t>
            </w:r>
          </w:p>
          <w:p w14:paraId="0BC57007">
            <w:pPr>
              <w:pStyle w:val="21"/>
              <w:spacing w:after="0" w:line="460" w:lineRule="exact"/>
              <w:ind w:firstLine="0" w:firstLineChars="0"/>
              <w:rPr>
                <w:rFonts w:hint="eastAsia" w:ascii="微软雅黑" w:hAnsi="微软雅黑" w:eastAsia="微软雅黑" w:cs="微软雅黑"/>
                <w:color w:val="auto"/>
                <w:sz w:val="21"/>
                <w:szCs w:val="21"/>
                <w:highlight w:val="none"/>
                <w:lang w:val="zh-CN"/>
              </w:rPr>
            </w:pPr>
            <w:r>
              <w:rPr>
                <w:rFonts w:hint="eastAsia" w:ascii="微软雅黑" w:hAnsi="微软雅黑" w:eastAsia="微软雅黑" w:cs="微软雅黑"/>
                <w:color w:val="auto"/>
                <w:kern w:val="0"/>
                <w:sz w:val="21"/>
                <w:szCs w:val="21"/>
                <w:highlight w:val="none"/>
              </w:rPr>
              <w:t>演示视频由各供应商自行录制讲解视频（时间控制在15分钟以内），制作成MP4、AVI等常规格式存入U盘并密封后，在投标截至前快递或直接送达至招标代理机构。</w:t>
            </w:r>
          </w:p>
        </w:tc>
      </w:tr>
      <w:tr w14:paraId="7BB7B2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0C9A31F9">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127BD4AF">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是否允许采购进口产品</w:t>
            </w:r>
          </w:p>
        </w:tc>
        <w:tc>
          <w:tcPr>
            <w:tcW w:w="6628" w:type="dxa"/>
            <w:tcBorders>
              <w:top w:val="single" w:color="000000" w:sz="8" w:space="0"/>
              <w:left w:val="single" w:color="000000" w:sz="2" w:space="0"/>
              <w:bottom w:val="single" w:color="000000" w:sz="8" w:space="0"/>
              <w:right w:val="single" w:color="000000" w:sz="8" w:space="0"/>
            </w:tcBorders>
            <w:vAlign w:val="center"/>
          </w:tcPr>
          <w:p w14:paraId="339AEC08">
            <w:pPr>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sym w:font="Wingdings" w:char="00FE"/>
            </w:r>
            <w:r>
              <w:rPr>
                <w:rFonts w:hint="eastAsia" w:ascii="微软雅黑" w:hAnsi="微软雅黑" w:cs="微软雅黑"/>
                <w:color w:val="auto"/>
                <w:szCs w:val="21"/>
                <w:highlight w:val="none"/>
                <w:lang w:val="zh-CN"/>
              </w:rPr>
              <w:t>本项目不允许采购进口产品。</w:t>
            </w:r>
          </w:p>
          <w:p w14:paraId="595DBA0F">
            <w:pPr>
              <w:spacing w:line="460" w:lineRule="exact"/>
              <w:ind w:firstLine="0" w:firstLineChars="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t>☐</w:t>
            </w:r>
            <w:r>
              <w:rPr>
                <w:rFonts w:hint="eastAsia" w:ascii="微软雅黑" w:hAnsi="微软雅黑" w:cs="微软雅黑"/>
                <w:color w:val="auto"/>
                <w:szCs w:val="21"/>
                <w:highlight w:val="none"/>
                <w:lang w:val="zh-CN"/>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FBB04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51441B45">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3CD6F7AA">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项目属性与核心产品</w:t>
            </w:r>
          </w:p>
        </w:tc>
        <w:tc>
          <w:tcPr>
            <w:tcW w:w="6628" w:type="dxa"/>
            <w:tcBorders>
              <w:top w:val="single" w:color="000000" w:sz="8" w:space="0"/>
              <w:left w:val="single" w:color="000000" w:sz="2" w:space="0"/>
              <w:bottom w:val="single" w:color="000000" w:sz="8" w:space="0"/>
              <w:right w:val="single" w:color="000000" w:sz="8" w:space="0"/>
            </w:tcBorders>
            <w:vAlign w:val="center"/>
          </w:tcPr>
          <w:p w14:paraId="1DE8072E">
            <w:pPr>
              <w:spacing w:line="460" w:lineRule="exact"/>
              <w:ind w:firstLine="0" w:firstLineChars="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sym w:font="Wingdings" w:char="00A8"/>
            </w:r>
            <w:r>
              <w:rPr>
                <w:rFonts w:hint="eastAsia" w:ascii="微软雅黑" w:hAnsi="微软雅黑" w:cs="微软雅黑"/>
                <w:color w:val="auto"/>
                <w:szCs w:val="21"/>
                <w:highlight w:val="none"/>
                <w:lang w:val="zh-CN"/>
              </w:rPr>
              <w:t>A货物类，核心产品为：</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szCs w:val="21"/>
                <w:highlight w:val="none"/>
              </w:rPr>
              <w:t>。</w:t>
            </w:r>
          </w:p>
          <w:p w14:paraId="6968420E">
            <w:pPr>
              <w:spacing w:line="460" w:lineRule="exact"/>
              <w:ind w:firstLine="0" w:firstLineChars="0"/>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sym w:font="Wingdings" w:char="00FE"/>
            </w:r>
            <w:r>
              <w:rPr>
                <w:rFonts w:hint="eastAsia" w:ascii="微软雅黑" w:hAnsi="微软雅黑" w:cs="微软雅黑"/>
                <w:color w:val="auto"/>
                <w:szCs w:val="21"/>
                <w:highlight w:val="none"/>
                <w:lang w:val="zh-CN"/>
              </w:rPr>
              <w:t>B服务类。</w:t>
            </w:r>
          </w:p>
        </w:tc>
      </w:tr>
      <w:tr w14:paraId="0BCF75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4B50884">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50147F14">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采购标的对应的中小企业划分标准所属行业</w:t>
            </w:r>
          </w:p>
        </w:tc>
        <w:tc>
          <w:tcPr>
            <w:tcW w:w="6628" w:type="dxa"/>
            <w:tcBorders>
              <w:top w:val="single" w:color="000000" w:sz="8" w:space="0"/>
              <w:left w:val="single" w:color="000000" w:sz="2" w:space="0"/>
              <w:bottom w:val="single" w:color="000000" w:sz="8" w:space="0"/>
              <w:right w:val="single" w:color="000000" w:sz="8" w:space="0"/>
            </w:tcBorders>
            <w:vAlign w:val="center"/>
          </w:tcPr>
          <w:p w14:paraId="3D5BF4E9">
            <w:pPr>
              <w:snapToGrid w:val="0"/>
              <w:spacing w:line="460" w:lineRule="exact"/>
              <w:ind w:firstLine="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lang w:val="zh-CN"/>
              </w:rPr>
              <w:t>标的：</w:t>
            </w:r>
            <w:r>
              <w:rPr>
                <w:rFonts w:hint="eastAsia"/>
                <w:color w:val="auto"/>
                <w:highlight w:val="none"/>
                <w:u w:val="single"/>
              </w:rPr>
              <w:t>规划设计编制服务</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w:t>
            </w:r>
            <w:r>
              <w:rPr>
                <w:rFonts w:hint="eastAsia" w:ascii="微软雅黑" w:hAnsi="微软雅黑" w:cs="微软雅黑"/>
                <w:color w:val="auto"/>
                <w:szCs w:val="21"/>
                <w:highlight w:val="none"/>
                <w:lang w:val="zh-CN"/>
              </w:rPr>
              <w:t>属于</w:t>
            </w:r>
            <w:r>
              <w:rPr>
                <w:rFonts w:hint="eastAsia" w:ascii="微软雅黑" w:hAnsi="微软雅黑" w:cs="微软雅黑"/>
                <w:color w:val="auto"/>
                <w:szCs w:val="21"/>
                <w:highlight w:val="none"/>
                <w:u w:val="single"/>
              </w:rPr>
              <w:t>其他未列明</w:t>
            </w:r>
            <w:r>
              <w:rPr>
                <w:rFonts w:hint="eastAsia" w:ascii="微软雅黑" w:hAnsi="微软雅黑" w:cs="微软雅黑"/>
                <w:color w:val="auto"/>
                <w:szCs w:val="21"/>
                <w:highlight w:val="none"/>
                <w:lang w:val="zh-CN"/>
              </w:rPr>
              <w:t>行业；</w:t>
            </w:r>
          </w:p>
        </w:tc>
      </w:tr>
      <w:tr w14:paraId="47A916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30EAB792">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37912CAA">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节能产品、环境标志产品</w:t>
            </w:r>
          </w:p>
        </w:tc>
        <w:tc>
          <w:tcPr>
            <w:tcW w:w="6628" w:type="dxa"/>
            <w:tcBorders>
              <w:top w:val="single" w:color="000000" w:sz="8" w:space="0"/>
              <w:left w:val="single" w:color="000000" w:sz="2" w:space="0"/>
              <w:bottom w:val="single" w:color="000000" w:sz="8" w:space="0"/>
              <w:right w:val="single" w:color="000000" w:sz="8" w:space="0"/>
            </w:tcBorders>
            <w:vAlign w:val="center"/>
          </w:tcPr>
          <w:p w14:paraId="576B3A51">
            <w:pPr>
              <w:snapToGrid w:val="0"/>
              <w:spacing w:line="460" w:lineRule="exact"/>
              <w:ind w:firstLine="0" w:firstLineChars="0"/>
              <w:rPr>
                <w:rFonts w:hint="eastAsia" w:ascii="微软雅黑" w:hAnsi="微软雅黑" w:cs="微软雅黑"/>
                <w:color w:val="auto"/>
                <w:szCs w:val="21"/>
                <w:highlight w:val="none"/>
              </w:rPr>
            </w:pPr>
            <w:r>
              <w:rPr>
                <w:rFonts w:hint="eastAsia" w:ascii="微软雅黑" w:hAnsi="微软雅黑" w:cs="微软雅黑"/>
                <w:snapToGrid w:val="0"/>
                <w:color w:val="auto"/>
                <w:kern w:val="0"/>
                <w:szCs w:val="21"/>
                <w:highlight w:val="none"/>
              </w:rPr>
              <w:t>按《节能产品政府采购品目清单》财库〔2019〕19号执行；政府采购节能产品、环境标志产品实施品目清单管理：投标产品符合财库〔2019〕9号《关于调整优化节能产品、环境标志产品政府采购执行机制的通知》条件。</w:t>
            </w:r>
          </w:p>
        </w:tc>
      </w:tr>
      <w:tr w14:paraId="2174D2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39" w:hRule="atLeast"/>
          <w:tblHeader/>
          <w:jc w:val="center"/>
        </w:trPr>
        <w:tc>
          <w:tcPr>
            <w:tcW w:w="629" w:type="dxa"/>
            <w:tcBorders>
              <w:left w:val="single" w:color="000000" w:sz="8" w:space="0"/>
              <w:right w:val="single" w:color="000000" w:sz="2" w:space="0"/>
            </w:tcBorders>
            <w:vAlign w:val="center"/>
          </w:tcPr>
          <w:p w14:paraId="3CE3880E">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13</w:t>
            </w:r>
          </w:p>
        </w:tc>
        <w:tc>
          <w:tcPr>
            <w:tcW w:w="1843" w:type="dxa"/>
            <w:tcBorders>
              <w:left w:val="single" w:color="000000" w:sz="2" w:space="0"/>
              <w:right w:val="single" w:color="000000" w:sz="8" w:space="0"/>
            </w:tcBorders>
            <w:vAlign w:val="center"/>
          </w:tcPr>
          <w:p w14:paraId="7FE75800">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b/>
                <w:color w:val="auto"/>
                <w:szCs w:val="21"/>
                <w:highlight w:val="none"/>
              </w:rPr>
              <w:t>评标结果公告及中标通知书</w:t>
            </w:r>
          </w:p>
        </w:tc>
        <w:tc>
          <w:tcPr>
            <w:tcW w:w="6628" w:type="dxa"/>
            <w:tcBorders>
              <w:top w:val="single" w:color="000000" w:sz="8" w:space="0"/>
              <w:left w:val="single" w:color="000000" w:sz="2" w:space="0"/>
              <w:bottom w:val="single" w:color="000000" w:sz="8" w:space="0"/>
              <w:right w:val="single" w:color="000000" w:sz="8" w:space="0"/>
            </w:tcBorders>
            <w:vAlign w:val="center"/>
          </w:tcPr>
          <w:p w14:paraId="6927ECD0">
            <w:pPr>
              <w:autoSpaceDE w:val="0"/>
              <w:autoSpaceDN w:val="0"/>
              <w:snapToGrid w:val="0"/>
              <w:spacing w:line="460" w:lineRule="exact"/>
              <w:ind w:firstLine="0" w:firstLineChars="0"/>
              <w:textAlignment w:val="bottom"/>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评标结束后2个工作日内，评标结果公告于浙江政府采购网(http://www.zjzfcg.gov.cn/new/)</w:t>
            </w:r>
          </w:p>
          <w:p w14:paraId="3BB4C84C">
            <w:pPr>
              <w:autoSpaceDE w:val="0"/>
              <w:autoSpaceDN w:val="0"/>
              <w:snapToGrid w:val="0"/>
              <w:spacing w:line="460" w:lineRule="exact"/>
              <w:ind w:firstLine="0" w:firstLineChars="0"/>
              <w:textAlignment w:val="bottom"/>
              <w:rPr>
                <w:rFonts w:hint="eastAsia" w:ascii="微软雅黑" w:hAnsi="微软雅黑" w:cs="微软雅黑"/>
                <w:snapToGrid w:val="0"/>
                <w:color w:val="auto"/>
                <w:kern w:val="28"/>
                <w:szCs w:val="21"/>
                <w:highlight w:val="none"/>
              </w:rPr>
            </w:pPr>
            <w:r>
              <w:rPr>
                <w:rFonts w:hint="eastAsia" w:ascii="微软雅黑" w:hAnsi="微软雅黑" w:cs="微软雅黑"/>
                <w:color w:val="auto"/>
                <w:kern w:val="0"/>
                <w:szCs w:val="21"/>
                <w:highlight w:val="none"/>
              </w:rPr>
              <w:t>中标公告期限为1个工作日</w:t>
            </w:r>
            <w:r>
              <w:rPr>
                <w:rFonts w:hint="eastAsia" w:ascii="微软雅黑" w:hAnsi="微软雅黑" w:cs="微软雅黑"/>
                <w:b/>
                <w:bCs/>
                <w:color w:val="auto"/>
                <w:szCs w:val="21"/>
                <w:highlight w:val="none"/>
              </w:rPr>
              <w:t>（中标供应商为小微企业的，其中小企业声明函将随中标结果同时公告）</w:t>
            </w:r>
            <w:r>
              <w:rPr>
                <w:rFonts w:hint="eastAsia" w:ascii="微软雅黑" w:hAnsi="微软雅黑" w:cs="微软雅黑"/>
                <w:color w:val="auto"/>
                <w:kern w:val="0"/>
                <w:szCs w:val="21"/>
                <w:highlight w:val="none"/>
              </w:rPr>
              <w:t>。在公告中标结果的同时，代理机构在政采云系统向中标供应商发出中标通知书。</w:t>
            </w:r>
          </w:p>
        </w:tc>
      </w:tr>
      <w:tr w14:paraId="017CB0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9"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9B07FB0">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14</w:t>
            </w:r>
          </w:p>
        </w:tc>
        <w:tc>
          <w:tcPr>
            <w:tcW w:w="1843" w:type="dxa"/>
            <w:tcBorders>
              <w:top w:val="single" w:color="000000" w:sz="8" w:space="0"/>
              <w:left w:val="single" w:color="000000" w:sz="2" w:space="0"/>
              <w:bottom w:val="single" w:color="000000" w:sz="8" w:space="0"/>
              <w:right w:val="single" w:color="000000" w:sz="8" w:space="0"/>
            </w:tcBorders>
            <w:vAlign w:val="center"/>
          </w:tcPr>
          <w:p w14:paraId="231F4D45">
            <w:pPr>
              <w:autoSpaceDE w:val="0"/>
              <w:autoSpaceDN w:val="0"/>
              <w:snapToGrid w:val="0"/>
              <w:spacing w:line="460" w:lineRule="exact"/>
              <w:ind w:firstLine="0" w:firstLineChars="0"/>
              <w:jc w:val="center"/>
              <w:textAlignment w:val="bottom"/>
              <w:rPr>
                <w:rFonts w:hint="eastAsia" w:ascii="微软雅黑" w:hAnsi="微软雅黑" w:cs="微软雅黑"/>
                <w:color w:val="auto"/>
                <w:kern w:val="0"/>
                <w:szCs w:val="21"/>
                <w:highlight w:val="none"/>
              </w:rPr>
            </w:pPr>
            <w:r>
              <w:rPr>
                <w:rFonts w:hint="eastAsia" w:ascii="微软雅黑" w:hAnsi="微软雅黑" w:cs="微软雅黑"/>
                <w:b/>
                <w:color w:val="auto"/>
                <w:szCs w:val="21"/>
                <w:highlight w:val="none"/>
              </w:rPr>
              <w:t>履约保证金</w:t>
            </w:r>
          </w:p>
        </w:tc>
        <w:tc>
          <w:tcPr>
            <w:tcW w:w="6628" w:type="dxa"/>
            <w:tcBorders>
              <w:top w:val="single" w:color="000000" w:sz="8" w:space="0"/>
              <w:left w:val="single" w:color="000000" w:sz="2" w:space="0"/>
              <w:bottom w:val="single" w:color="000000" w:sz="8" w:space="0"/>
              <w:right w:val="single" w:color="000000" w:sz="8" w:space="0"/>
            </w:tcBorders>
            <w:vAlign w:val="center"/>
          </w:tcPr>
          <w:p w14:paraId="02E40ABD">
            <w:pPr>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szCs w:val="21"/>
                <w:highlight w:val="none"/>
                <w:lang w:val="zh-CN"/>
              </w:rPr>
              <w:t>无</w:t>
            </w:r>
            <w:r>
              <w:rPr>
                <w:rFonts w:hint="eastAsia" w:ascii="微软雅黑" w:hAnsi="微软雅黑" w:cs="微软雅黑"/>
                <w:color w:val="auto"/>
                <w:szCs w:val="21"/>
                <w:highlight w:val="none"/>
              </w:rPr>
              <w:t>。</w:t>
            </w:r>
          </w:p>
        </w:tc>
      </w:tr>
      <w:tr w14:paraId="0CB337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09"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795A985">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15</w:t>
            </w:r>
          </w:p>
        </w:tc>
        <w:tc>
          <w:tcPr>
            <w:tcW w:w="1843" w:type="dxa"/>
            <w:tcBorders>
              <w:top w:val="single" w:color="000000" w:sz="8" w:space="0"/>
              <w:left w:val="single" w:color="000000" w:sz="2" w:space="0"/>
              <w:bottom w:val="single" w:color="000000" w:sz="8" w:space="0"/>
              <w:right w:val="single" w:color="000000" w:sz="8" w:space="0"/>
            </w:tcBorders>
            <w:vAlign w:val="center"/>
          </w:tcPr>
          <w:p w14:paraId="33950FC7">
            <w:pPr>
              <w:snapToGrid w:val="0"/>
              <w:spacing w:line="460" w:lineRule="exact"/>
              <w:ind w:firstLine="0" w:firstLineChars="0"/>
              <w:jc w:val="center"/>
              <w:rPr>
                <w:rFonts w:hint="eastAsia" w:ascii="微软雅黑" w:hAnsi="微软雅黑" w:cs="微软雅黑"/>
                <w:b/>
                <w:strike/>
                <w:color w:val="auto"/>
                <w:szCs w:val="21"/>
                <w:highlight w:val="none"/>
              </w:rPr>
            </w:pPr>
            <w:r>
              <w:rPr>
                <w:rFonts w:hint="eastAsia" w:ascii="微软雅黑" w:hAnsi="微软雅黑" w:cs="微软雅黑"/>
                <w:b/>
                <w:color w:val="auto"/>
                <w:szCs w:val="21"/>
                <w:highlight w:val="none"/>
              </w:rPr>
              <w:t>签订合同时间</w:t>
            </w:r>
          </w:p>
        </w:tc>
        <w:tc>
          <w:tcPr>
            <w:tcW w:w="6628" w:type="dxa"/>
            <w:tcBorders>
              <w:top w:val="single" w:color="000000" w:sz="8" w:space="0"/>
              <w:left w:val="single" w:color="000000" w:sz="2" w:space="0"/>
              <w:bottom w:val="single" w:color="000000" w:sz="8" w:space="0"/>
              <w:right w:val="single" w:color="000000" w:sz="8" w:space="0"/>
            </w:tcBorders>
            <w:vAlign w:val="center"/>
          </w:tcPr>
          <w:p w14:paraId="788B2263">
            <w:pPr>
              <w:autoSpaceDE w:val="0"/>
              <w:autoSpaceDN w:val="0"/>
              <w:snapToGrid w:val="0"/>
              <w:spacing w:line="460" w:lineRule="exact"/>
              <w:ind w:firstLine="0" w:firstLineChars="0"/>
              <w:textAlignment w:val="bottom"/>
              <w:rPr>
                <w:rFonts w:hint="eastAsia" w:ascii="微软雅黑" w:hAnsi="微软雅黑" w:cs="微软雅黑"/>
                <w:strike/>
                <w:color w:val="auto"/>
                <w:kern w:val="28"/>
                <w:szCs w:val="21"/>
                <w:highlight w:val="none"/>
              </w:rPr>
            </w:pPr>
            <w:r>
              <w:rPr>
                <w:rFonts w:hint="eastAsia" w:ascii="微软雅黑" w:hAnsi="微软雅黑" w:cs="微软雅黑"/>
                <w:color w:val="auto"/>
                <w:szCs w:val="21"/>
                <w:highlight w:val="none"/>
              </w:rPr>
              <w:t>中标通知书发出后30日内。</w:t>
            </w:r>
            <w:r>
              <w:rPr>
                <w:rFonts w:hint="eastAsia" w:ascii="微软雅黑" w:hAnsi="微软雅黑" w:cs="微软雅黑"/>
                <w:color w:val="auto"/>
                <w:kern w:val="0"/>
                <w:szCs w:val="21"/>
                <w:highlight w:val="none"/>
              </w:rPr>
              <w:t>建议采购人在对采购结果质疑期（自采购结果公告之日起七个工作日）后与中标供应商签订政府采购合同。</w:t>
            </w:r>
          </w:p>
        </w:tc>
      </w:tr>
      <w:tr w14:paraId="7B2746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5"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526116DA">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71B67804">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合同公告</w:t>
            </w:r>
          </w:p>
        </w:tc>
        <w:tc>
          <w:tcPr>
            <w:tcW w:w="6628" w:type="dxa"/>
            <w:tcBorders>
              <w:top w:val="single" w:color="000000" w:sz="8" w:space="0"/>
              <w:left w:val="single" w:color="000000" w:sz="2" w:space="0"/>
              <w:bottom w:val="single" w:color="000000" w:sz="8" w:space="0"/>
              <w:right w:val="single" w:color="000000" w:sz="8" w:space="0"/>
            </w:tcBorders>
            <w:vAlign w:val="center"/>
          </w:tcPr>
          <w:p w14:paraId="002734F5">
            <w:pPr>
              <w:autoSpaceDE w:val="0"/>
              <w:autoSpaceDN w:val="0"/>
              <w:snapToGrid w:val="0"/>
              <w:spacing w:line="460" w:lineRule="exact"/>
              <w:ind w:firstLine="0" w:firstLineChars="0"/>
              <w:textAlignment w:val="bottom"/>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本项目政府采购合同将于签订之日起2个工作日内发布于浙江政府采购网，但政府采购合同中涉及国家秘密、商业秘密的内容除外。</w:t>
            </w:r>
          </w:p>
        </w:tc>
      </w:tr>
      <w:tr w14:paraId="5F500F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9"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CB8A4D8">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17</w:t>
            </w:r>
          </w:p>
        </w:tc>
        <w:tc>
          <w:tcPr>
            <w:tcW w:w="1843" w:type="dxa"/>
            <w:tcBorders>
              <w:top w:val="single" w:color="000000" w:sz="8" w:space="0"/>
              <w:left w:val="single" w:color="000000" w:sz="2" w:space="0"/>
              <w:bottom w:val="single" w:color="000000" w:sz="8" w:space="0"/>
              <w:right w:val="single" w:color="000000" w:sz="8" w:space="0"/>
            </w:tcBorders>
            <w:vAlign w:val="center"/>
          </w:tcPr>
          <w:p w14:paraId="4298B515">
            <w:pPr>
              <w:snapToGrid w:val="0"/>
              <w:spacing w:line="460" w:lineRule="exact"/>
              <w:ind w:firstLine="0" w:firstLineChars="0"/>
              <w:jc w:val="center"/>
              <w:rPr>
                <w:rFonts w:hint="eastAsia" w:ascii="微软雅黑" w:hAnsi="微软雅黑" w:cs="微软雅黑"/>
                <w:b/>
                <w:strike/>
                <w:color w:val="auto"/>
                <w:szCs w:val="21"/>
                <w:highlight w:val="none"/>
              </w:rPr>
            </w:pPr>
            <w:r>
              <w:rPr>
                <w:rFonts w:hint="eastAsia" w:ascii="微软雅黑" w:hAnsi="微软雅黑" w:cs="微软雅黑"/>
                <w:b/>
                <w:color w:val="auto"/>
                <w:szCs w:val="21"/>
                <w:highlight w:val="none"/>
              </w:rPr>
              <w:t>本项目预算金额</w:t>
            </w:r>
          </w:p>
        </w:tc>
        <w:tc>
          <w:tcPr>
            <w:tcW w:w="6628" w:type="dxa"/>
            <w:tcBorders>
              <w:top w:val="single" w:color="000000" w:sz="8" w:space="0"/>
              <w:left w:val="single" w:color="000000" w:sz="2" w:space="0"/>
              <w:bottom w:val="single" w:color="000000" w:sz="8" w:space="0"/>
              <w:right w:val="single" w:color="000000" w:sz="8" w:space="0"/>
            </w:tcBorders>
            <w:vAlign w:val="center"/>
          </w:tcPr>
          <w:p w14:paraId="7767AC76">
            <w:pPr>
              <w:spacing w:line="460" w:lineRule="exact"/>
              <w:ind w:firstLine="0" w:firstLineChars="0"/>
              <w:rPr>
                <w:rFonts w:hint="eastAsia" w:ascii="微软雅黑" w:hAnsi="微软雅黑" w:cs="微软雅黑"/>
                <w:strike/>
                <w:color w:val="auto"/>
                <w:kern w:val="28"/>
                <w:szCs w:val="21"/>
                <w:highlight w:val="none"/>
              </w:rPr>
            </w:pPr>
            <w:r>
              <w:rPr>
                <w:rFonts w:hint="eastAsia" w:ascii="微软雅黑" w:hAnsi="微软雅黑" w:cs="微软雅黑"/>
                <w:color w:val="auto"/>
                <w:szCs w:val="21"/>
                <w:highlight w:val="none"/>
              </w:rPr>
              <w:t>预算金额为人民币</w:t>
            </w:r>
            <w:r>
              <w:rPr>
                <w:rFonts w:hint="eastAsia" w:ascii="微软雅黑" w:hAnsi="微软雅黑" w:cs="微软雅黑"/>
                <w:color w:val="auto"/>
                <w:kern w:val="0"/>
                <w:szCs w:val="21"/>
                <w:highlight w:val="none"/>
              </w:rPr>
              <w:t>784000.00</w:t>
            </w:r>
            <w:r>
              <w:rPr>
                <w:rFonts w:hint="eastAsia" w:ascii="微软雅黑" w:hAnsi="微软雅黑" w:cs="微软雅黑"/>
                <w:color w:val="auto"/>
                <w:szCs w:val="21"/>
                <w:highlight w:val="none"/>
              </w:rPr>
              <w:t>元。上限价为预算价</w:t>
            </w:r>
            <w:r>
              <w:rPr>
                <w:rFonts w:hint="eastAsia" w:ascii="微软雅黑" w:hAnsi="微软雅黑" w:cs="微软雅黑"/>
                <w:color w:val="auto"/>
                <w:kern w:val="0"/>
                <w:szCs w:val="21"/>
                <w:highlight w:val="none"/>
              </w:rPr>
              <w:t>；</w:t>
            </w:r>
            <w:r>
              <w:rPr>
                <w:rFonts w:hint="eastAsia" w:ascii="微软雅黑" w:hAnsi="微软雅黑" w:cs="微软雅黑"/>
                <w:color w:val="auto"/>
                <w:szCs w:val="21"/>
                <w:highlight w:val="none"/>
              </w:rPr>
              <w:t>超上限价的投标文件无效。</w:t>
            </w:r>
          </w:p>
        </w:tc>
      </w:tr>
      <w:tr w14:paraId="63F5CC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94"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D7AD25D">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18</w:t>
            </w:r>
          </w:p>
        </w:tc>
        <w:tc>
          <w:tcPr>
            <w:tcW w:w="1843" w:type="dxa"/>
            <w:tcBorders>
              <w:top w:val="single" w:color="000000" w:sz="8" w:space="0"/>
              <w:left w:val="single" w:color="000000" w:sz="2" w:space="0"/>
              <w:bottom w:val="single" w:color="000000" w:sz="8" w:space="0"/>
              <w:right w:val="single" w:color="000000" w:sz="8" w:space="0"/>
            </w:tcBorders>
            <w:vAlign w:val="center"/>
          </w:tcPr>
          <w:p w14:paraId="0BE4F7AE">
            <w:pPr>
              <w:snapToGrid w:val="0"/>
              <w:spacing w:line="460" w:lineRule="exact"/>
              <w:ind w:firstLine="0" w:firstLineChars="0"/>
              <w:jc w:val="center"/>
              <w:rPr>
                <w:rFonts w:hint="eastAsia" w:ascii="微软雅黑" w:hAnsi="微软雅黑" w:cs="微软雅黑"/>
                <w:b/>
                <w:strike/>
                <w:color w:val="auto"/>
                <w:szCs w:val="21"/>
                <w:highlight w:val="none"/>
              </w:rPr>
            </w:pPr>
            <w:r>
              <w:rPr>
                <w:rFonts w:hint="eastAsia" w:ascii="微软雅黑" w:hAnsi="微软雅黑" w:cs="微软雅黑"/>
                <w:b/>
                <w:color w:val="auto"/>
                <w:szCs w:val="21"/>
                <w:highlight w:val="none"/>
              </w:rPr>
              <w:t>投标文件有效期</w:t>
            </w:r>
          </w:p>
        </w:tc>
        <w:tc>
          <w:tcPr>
            <w:tcW w:w="6628" w:type="dxa"/>
            <w:tcBorders>
              <w:top w:val="single" w:color="000000" w:sz="8" w:space="0"/>
              <w:left w:val="single" w:color="000000" w:sz="2" w:space="0"/>
              <w:bottom w:val="single" w:color="000000" w:sz="8" w:space="0"/>
              <w:right w:val="single" w:color="000000" w:sz="8" w:space="0"/>
            </w:tcBorders>
            <w:vAlign w:val="center"/>
          </w:tcPr>
          <w:p w14:paraId="69FE8308">
            <w:pPr>
              <w:autoSpaceDE w:val="0"/>
              <w:autoSpaceDN w:val="0"/>
              <w:snapToGrid w:val="0"/>
              <w:spacing w:line="460" w:lineRule="exact"/>
              <w:ind w:firstLine="0" w:firstLineChars="0"/>
              <w:textAlignment w:val="bottom"/>
              <w:rPr>
                <w:rFonts w:hint="eastAsia" w:ascii="微软雅黑" w:hAnsi="微软雅黑" w:cs="微软雅黑"/>
                <w:strike/>
                <w:color w:val="auto"/>
                <w:kern w:val="28"/>
                <w:szCs w:val="21"/>
                <w:highlight w:val="none"/>
              </w:rPr>
            </w:pPr>
            <w:r>
              <w:rPr>
                <w:rFonts w:hint="eastAsia" w:ascii="微软雅黑" w:hAnsi="微软雅黑" w:cs="微软雅黑"/>
                <w:color w:val="auto"/>
                <w:szCs w:val="21"/>
                <w:highlight w:val="none"/>
                <w:u w:val="single"/>
              </w:rPr>
              <w:t>90</w:t>
            </w:r>
            <w:r>
              <w:rPr>
                <w:rFonts w:hint="eastAsia" w:ascii="微软雅黑" w:hAnsi="微软雅黑" w:cs="微软雅黑"/>
                <w:color w:val="auto"/>
                <w:szCs w:val="21"/>
                <w:highlight w:val="none"/>
              </w:rPr>
              <w:t>天</w:t>
            </w:r>
          </w:p>
        </w:tc>
      </w:tr>
      <w:tr w14:paraId="5207F9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1"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67AAC217">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19</w:t>
            </w:r>
          </w:p>
        </w:tc>
        <w:tc>
          <w:tcPr>
            <w:tcW w:w="1843" w:type="dxa"/>
            <w:tcBorders>
              <w:top w:val="single" w:color="000000" w:sz="8" w:space="0"/>
              <w:left w:val="single" w:color="000000" w:sz="2" w:space="0"/>
              <w:bottom w:val="single" w:color="000000" w:sz="8" w:space="0"/>
              <w:right w:val="single" w:color="000000" w:sz="8" w:space="0"/>
            </w:tcBorders>
            <w:vAlign w:val="center"/>
          </w:tcPr>
          <w:p w14:paraId="1CE4E7B1">
            <w:pPr>
              <w:snapToGrid w:val="0"/>
              <w:spacing w:line="460" w:lineRule="exact"/>
              <w:ind w:firstLine="0" w:firstLineChars="0"/>
              <w:jc w:val="center"/>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中小企业预留份额情况</w:t>
            </w:r>
          </w:p>
        </w:tc>
        <w:tc>
          <w:tcPr>
            <w:tcW w:w="6628" w:type="dxa"/>
            <w:tcBorders>
              <w:top w:val="single" w:color="000000" w:sz="8" w:space="0"/>
              <w:left w:val="single" w:color="000000" w:sz="2" w:space="0"/>
              <w:bottom w:val="single" w:color="000000" w:sz="8" w:space="0"/>
              <w:right w:val="single" w:color="000000" w:sz="8" w:space="0"/>
            </w:tcBorders>
            <w:vAlign w:val="center"/>
          </w:tcPr>
          <w:p w14:paraId="14992408">
            <w:pPr>
              <w:spacing w:line="460" w:lineRule="exact"/>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szCs w:val="21"/>
                <w:highlight w:val="none"/>
              </w:rPr>
              <w:t>根据《政府采购促进中小企业发展管理办法》财库〔2020〕46号文件的规定，本项目不属于预留份额专门面向中小企业采购的项目。</w:t>
            </w:r>
          </w:p>
        </w:tc>
      </w:tr>
      <w:tr w14:paraId="20BCD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6F23537">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20</w:t>
            </w:r>
          </w:p>
        </w:tc>
        <w:tc>
          <w:tcPr>
            <w:tcW w:w="1843" w:type="dxa"/>
            <w:tcBorders>
              <w:top w:val="single" w:color="000000" w:sz="8" w:space="0"/>
              <w:left w:val="single" w:color="000000" w:sz="2" w:space="0"/>
              <w:bottom w:val="single" w:color="000000" w:sz="8" w:space="0"/>
              <w:right w:val="single" w:color="000000" w:sz="8" w:space="0"/>
            </w:tcBorders>
            <w:vAlign w:val="center"/>
          </w:tcPr>
          <w:p w14:paraId="64F04975">
            <w:pPr>
              <w:tabs>
                <w:tab w:val="center" w:pos="954"/>
                <w:tab w:val="right" w:pos="1787"/>
              </w:tabs>
              <w:snapToGrid w:val="0"/>
              <w:spacing w:line="460" w:lineRule="exact"/>
              <w:ind w:firstLine="0" w:firstLineChars="0"/>
              <w:rPr>
                <w:rFonts w:hint="eastAsia" w:ascii="微软雅黑" w:hAnsi="微软雅黑" w:cs="微软雅黑"/>
                <w:b/>
                <w:strike/>
                <w:color w:val="auto"/>
                <w:szCs w:val="21"/>
                <w:highlight w:val="none"/>
              </w:rPr>
            </w:pPr>
            <w:r>
              <w:rPr>
                <w:rFonts w:hint="eastAsia" w:ascii="微软雅黑" w:hAnsi="微软雅黑" w:cs="微软雅黑"/>
                <w:b/>
                <w:color w:val="auto"/>
                <w:szCs w:val="21"/>
                <w:highlight w:val="none"/>
              </w:rPr>
              <w:tab/>
            </w:r>
            <w:r>
              <w:rPr>
                <w:rFonts w:hint="eastAsia" w:ascii="微软雅黑" w:hAnsi="微软雅黑" w:cs="微软雅黑"/>
                <w:b/>
                <w:color w:val="auto"/>
                <w:szCs w:val="21"/>
                <w:highlight w:val="none"/>
              </w:rPr>
              <w:t>政策优惠</w:t>
            </w:r>
            <w:r>
              <w:rPr>
                <w:rFonts w:hint="eastAsia" w:ascii="微软雅黑" w:hAnsi="微软雅黑" w:cs="微软雅黑"/>
                <w:b/>
                <w:color w:val="auto"/>
                <w:szCs w:val="21"/>
                <w:highlight w:val="none"/>
              </w:rPr>
              <w:tab/>
            </w:r>
          </w:p>
        </w:tc>
        <w:tc>
          <w:tcPr>
            <w:tcW w:w="6628" w:type="dxa"/>
            <w:tcBorders>
              <w:top w:val="single" w:color="000000" w:sz="8" w:space="0"/>
              <w:left w:val="single" w:color="000000" w:sz="2" w:space="0"/>
              <w:bottom w:val="single" w:color="000000" w:sz="8" w:space="0"/>
              <w:right w:val="single" w:color="000000" w:sz="8" w:space="0"/>
            </w:tcBorders>
            <w:vAlign w:val="center"/>
          </w:tcPr>
          <w:p w14:paraId="713EFC78">
            <w:pPr>
              <w:autoSpaceDE w:val="0"/>
              <w:autoSpaceDN w:val="0"/>
              <w:snapToGrid w:val="0"/>
              <w:spacing w:line="460" w:lineRule="exact"/>
              <w:ind w:firstLine="0" w:firstLineChars="0"/>
              <w:textAlignment w:val="bottom"/>
              <w:rPr>
                <w:rFonts w:hint="eastAsia" w:ascii="微软雅黑" w:hAnsi="微软雅黑" w:cs="微软雅黑"/>
                <w:snapToGrid w:val="0"/>
                <w:color w:val="auto"/>
                <w:kern w:val="0"/>
                <w:szCs w:val="21"/>
                <w:highlight w:val="none"/>
              </w:rPr>
            </w:pPr>
            <w:r>
              <w:rPr>
                <w:rFonts w:hint="eastAsia" w:ascii="微软雅黑" w:hAnsi="微软雅黑" w:cs="微软雅黑"/>
                <w:color w:val="auto"/>
                <w:szCs w:val="21"/>
                <w:highlight w:val="none"/>
              </w:rPr>
              <w:t>1.根据财库〔2020〕46号、财库〔2022〕19号等相关规定，在评审时对于未预留份额专门面向中小企业的政府采购货物或服务项目，以及预留份额政府采购货物或服务项目中的非预留部分标项，对小型和微型企业的</w:t>
            </w:r>
            <w:r>
              <w:rPr>
                <w:rFonts w:hint="eastAsia" w:ascii="微软雅黑" w:hAnsi="微软雅黑" w:cs="微软雅黑"/>
                <w:color w:val="auto"/>
                <w:szCs w:val="21"/>
                <w:highlight w:val="none"/>
                <w:lang w:val="en"/>
              </w:rPr>
              <w:t>投标报价给予</w:t>
            </w:r>
            <w:r>
              <w:rPr>
                <w:rFonts w:hint="eastAsia" w:ascii="微软雅黑" w:hAnsi="微软雅黑" w:cs="微软雅黑"/>
                <w:color w:val="auto"/>
                <w:szCs w:val="21"/>
                <w:highlight w:val="none"/>
              </w:rPr>
              <w:t>1</w:t>
            </w:r>
            <w:r>
              <w:rPr>
                <w:rFonts w:hint="eastAsia" w:ascii="微软雅黑" w:hAnsi="微软雅黑" w:cs="微软雅黑"/>
                <w:color w:val="auto"/>
                <w:szCs w:val="21"/>
                <w:highlight w:val="none"/>
                <w:lang w:val="en"/>
              </w:rPr>
              <w:t>0%的扣除</w:t>
            </w:r>
            <w:r>
              <w:rPr>
                <w:rFonts w:hint="eastAsia" w:ascii="微软雅黑" w:hAnsi="微软雅黑" w:cs="微软雅黑"/>
                <w:color w:val="auto"/>
                <w:szCs w:val="21"/>
                <w:highlight w:val="none"/>
              </w:rPr>
              <w:t>，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40%以上的，对联合体或者大中型企业的报价给予</w:t>
            </w:r>
            <w:r>
              <w:rPr>
                <w:rFonts w:hint="eastAsia" w:ascii="微软雅黑" w:hAnsi="微软雅黑" w:cs="微软雅黑"/>
                <w:color w:val="auto"/>
                <w:szCs w:val="21"/>
                <w:highlight w:val="none"/>
                <w:lang w:val="en"/>
              </w:rPr>
              <w:t>6</w:t>
            </w:r>
            <w:r>
              <w:rPr>
                <w:rFonts w:hint="eastAsia" w:ascii="微软雅黑" w:hAnsi="微软雅黑" w:cs="微软雅黑"/>
                <w:color w:val="auto"/>
                <w:szCs w:val="21"/>
                <w:highlight w:val="none"/>
              </w:rPr>
              <w:t>%的扣除，用扣除后的价格参加评审。组成联合体或者接受分包的小微企业与联合体内其他企业、分包企业之间存在直接控股、管理关系的，不享受价格扣除优惠政策。属于小微企业的，投标文件必须提供《中小企业声明函》（模板见第六章）。</w:t>
            </w:r>
          </w:p>
          <w:p w14:paraId="1868882C">
            <w:pPr>
              <w:tabs>
                <w:tab w:val="left" w:pos="3870"/>
                <w:tab w:val="left" w:pos="4085"/>
              </w:tabs>
              <w:snapToGrid w:val="0"/>
              <w:spacing w:line="460" w:lineRule="exact"/>
              <w:ind w:firstLine="0" w:firstLineChars="0"/>
              <w:rPr>
                <w:rFonts w:hint="eastAsia" w:ascii="微软雅黑" w:hAnsi="微软雅黑" w:cs="微软雅黑"/>
                <w:snapToGrid w:val="0"/>
                <w:color w:val="auto"/>
                <w:kern w:val="0"/>
                <w:szCs w:val="21"/>
                <w:highlight w:val="none"/>
              </w:rPr>
            </w:pPr>
            <w:r>
              <w:rPr>
                <w:rFonts w:hint="eastAsia" w:ascii="微软雅黑" w:hAnsi="微软雅黑" w:cs="微软雅黑"/>
                <w:snapToGrid w:val="0"/>
                <w:color w:val="auto"/>
                <w:kern w:val="0"/>
                <w:szCs w:val="21"/>
                <w:highlight w:val="none"/>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7D3CCE22">
            <w:pPr>
              <w:autoSpaceDE w:val="0"/>
              <w:autoSpaceDN w:val="0"/>
              <w:snapToGrid w:val="0"/>
              <w:spacing w:line="460" w:lineRule="exact"/>
              <w:ind w:firstLine="0" w:firstLineChars="0"/>
              <w:textAlignment w:val="bottom"/>
              <w:rPr>
                <w:rFonts w:hint="eastAsia" w:ascii="微软雅黑" w:hAnsi="微软雅黑" w:cs="微软雅黑"/>
                <w:strike/>
                <w:color w:val="auto"/>
                <w:kern w:val="28"/>
                <w:szCs w:val="21"/>
                <w:highlight w:val="none"/>
              </w:rPr>
            </w:pPr>
            <w:r>
              <w:rPr>
                <w:rFonts w:hint="eastAsia" w:ascii="微软雅黑" w:hAnsi="微软雅黑" w:cs="微软雅黑"/>
                <w:snapToGrid w:val="0"/>
                <w:color w:val="auto"/>
                <w:kern w:val="0"/>
                <w:szCs w:val="21"/>
                <w:highlight w:val="none"/>
              </w:rPr>
              <w:t>3.监狱企业同视为小型、微型企业，享受中小企业政策扶持。</w:t>
            </w:r>
          </w:p>
        </w:tc>
      </w:tr>
      <w:tr w14:paraId="075A6C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4"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07F0D3C0">
            <w:pPr>
              <w:snapToGrid w:val="0"/>
              <w:spacing w:line="460" w:lineRule="exact"/>
              <w:ind w:firstLine="0" w:firstLineChars="0"/>
              <w:jc w:val="center"/>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21</w:t>
            </w:r>
          </w:p>
        </w:tc>
        <w:tc>
          <w:tcPr>
            <w:tcW w:w="1843" w:type="dxa"/>
            <w:tcBorders>
              <w:top w:val="single" w:color="000000" w:sz="8" w:space="0"/>
              <w:left w:val="single" w:color="000000" w:sz="2" w:space="0"/>
              <w:bottom w:val="single" w:color="000000" w:sz="8" w:space="0"/>
              <w:right w:val="single" w:color="000000" w:sz="8" w:space="0"/>
            </w:tcBorders>
            <w:vAlign w:val="center"/>
          </w:tcPr>
          <w:p w14:paraId="3CF834D5">
            <w:pPr>
              <w:snapToGrid w:val="0"/>
              <w:spacing w:line="460" w:lineRule="exact"/>
              <w:ind w:firstLine="0" w:firstLineChars="0"/>
              <w:jc w:val="center"/>
              <w:rPr>
                <w:rFonts w:hint="eastAsia" w:ascii="微软雅黑" w:hAnsi="微软雅黑" w:cs="微软雅黑"/>
                <w:b/>
                <w:strike/>
                <w:color w:val="auto"/>
                <w:szCs w:val="21"/>
                <w:highlight w:val="none"/>
              </w:rPr>
            </w:pPr>
            <w:r>
              <w:rPr>
                <w:rFonts w:hint="eastAsia" w:ascii="微软雅黑" w:hAnsi="微软雅黑" w:cs="微软雅黑"/>
                <w:b/>
                <w:color w:val="auto"/>
                <w:szCs w:val="21"/>
                <w:highlight w:val="none"/>
              </w:rPr>
              <w:t>特别说明</w:t>
            </w:r>
          </w:p>
        </w:tc>
        <w:tc>
          <w:tcPr>
            <w:tcW w:w="6628" w:type="dxa"/>
            <w:tcBorders>
              <w:top w:val="single" w:color="000000" w:sz="8" w:space="0"/>
              <w:left w:val="single" w:color="000000" w:sz="2" w:space="0"/>
              <w:bottom w:val="single" w:color="000000" w:sz="8" w:space="0"/>
              <w:right w:val="single" w:color="000000" w:sz="8" w:space="0"/>
            </w:tcBorders>
            <w:vAlign w:val="center"/>
          </w:tcPr>
          <w:p w14:paraId="190F9F2E">
            <w:pPr>
              <w:autoSpaceDE w:val="0"/>
              <w:autoSpaceDN w:val="0"/>
              <w:snapToGrid w:val="0"/>
              <w:spacing w:line="460" w:lineRule="exact"/>
              <w:ind w:firstLine="0" w:firstLineChars="0"/>
              <w:textAlignment w:val="bottom"/>
              <w:rPr>
                <w:rFonts w:hint="eastAsia" w:ascii="微软雅黑" w:hAnsi="微软雅黑" w:cs="微软雅黑"/>
                <w:strike/>
                <w:color w:val="auto"/>
                <w:kern w:val="28"/>
                <w:szCs w:val="21"/>
                <w:highlight w:val="none"/>
              </w:rPr>
            </w:pPr>
            <w:r>
              <w:rPr>
                <w:rFonts w:hint="eastAsia" w:ascii="微软雅黑" w:hAnsi="微软雅黑" w:cs="微软雅黑"/>
                <w:snapToGrid w:val="0"/>
                <w:color w:val="auto"/>
                <w:kern w:val="0"/>
                <w:szCs w:val="21"/>
                <w:highlight w:val="none"/>
              </w:rPr>
              <w:t>本招标文件的解释权属于采购人</w:t>
            </w:r>
          </w:p>
        </w:tc>
      </w:tr>
    </w:tbl>
    <w:p w14:paraId="32FB547F">
      <w:pPr>
        <w:pStyle w:val="4"/>
        <w:keepNext w:val="0"/>
        <w:spacing w:line="500" w:lineRule="exact"/>
        <w:ind w:firstLine="420"/>
        <w:rPr>
          <w:rFonts w:hint="eastAsia" w:ascii="微软雅黑" w:hAnsi="微软雅黑"/>
          <w:color w:val="auto"/>
          <w:szCs w:val="21"/>
          <w:highlight w:val="none"/>
        </w:rPr>
      </w:pPr>
      <w:bookmarkStart w:id="40" w:name="_Toc31066"/>
      <w:bookmarkStart w:id="41" w:name="_Toc177870536"/>
      <w:bookmarkStart w:id="42" w:name="_Toc493511580"/>
      <w:r>
        <w:rPr>
          <w:rFonts w:hint="eastAsia" w:ascii="微软雅黑" w:hAnsi="微软雅黑"/>
          <w:color w:val="auto"/>
          <w:szCs w:val="21"/>
          <w:highlight w:val="none"/>
        </w:rPr>
        <w:t>一、总  则</w:t>
      </w:r>
      <w:bookmarkEnd w:id="40"/>
      <w:bookmarkEnd w:id="41"/>
      <w:bookmarkEnd w:id="42"/>
    </w:p>
    <w:p w14:paraId="6EE54E85">
      <w:pPr>
        <w:snapToGrid w:val="0"/>
        <w:spacing w:line="500" w:lineRule="exact"/>
        <w:ind w:firstLine="412" w:firstLineChars="196"/>
        <w:outlineLvl w:val="2"/>
        <w:rPr>
          <w:rFonts w:hint="eastAsia" w:ascii="微软雅黑" w:hAnsi="微软雅黑"/>
          <w:b/>
          <w:color w:val="auto"/>
          <w:szCs w:val="21"/>
          <w:highlight w:val="none"/>
        </w:rPr>
      </w:pPr>
      <w:bookmarkStart w:id="43" w:name="_Toc164943190"/>
      <w:bookmarkStart w:id="44" w:name="_Toc169015114"/>
      <w:bookmarkStart w:id="45" w:name="_Toc397670919"/>
      <w:bookmarkStart w:id="46" w:name="_Toc397670948"/>
      <w:bookmarkStart w:id="47" w:name="_Toc177870544"/>
      <w:bookmarkStart w:id="48" w:name="_Toc493511613"/>
      <w:r>
        <w:rPr>
          <w:rFonts w:hint="eastAsia" w:ascii="微软雅黑" w:hAnsi="微软雅黑"/>
          <w:b/>
          <w:color w:val="auto"/>
          <w:szCs w:val="21"/>
          <w:highlight w:val="none"/>
        </w:rPr>
        <w:t>（一）适用范围</w:t>
      </w:r>
      <w:bookmarkEnd w:id="43"/>
      <w:bookmarkEnd w:id="44"/>
    </w:p>
    <w:p w14:paraId="6E0241F8">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本招标文件适用于该项目的招标、投标、评标、定标、验收、合同履约、付款等行为（法律、法规另有规定的，从其规定）。</w:t>
      </w:r>
    </w:p>
    <w:p w14:paraId="67A9B875">
      <w:pPr>
        <w:snapToGrid w:val="0"/>
        <w:spacing w:line="500" w:lineRule="exact"/>
        <w:ind w:firstLine="309" w:firstLineChars="147"/>
        <w:outlineLvl w:val="2"/>
        <w:rPr>
          <w:rFonts w:hint="eastAsia" w:ascii="微软雅黑" w:hAnsi="微软雅黑"/>
          <w:b/>
          <w:color w:val="auto"/>
          <w:szCs w:val="21"/>
          <w:highlight w:val="none"/>
        </w:rPr>
      </w:pPr>
      <w:bookmarkStart w:id="49" w:name="_Toc169015115"/>
      <w:bookmarkStart w:id="50" w:name="_Toc164943191"/>
      <w:r>
        <w:rPr>
          <w:rFonts w:hint="eastAsia" w:ascii="微软雅黑" w:hAnsi="微软雅黑"/>
          <w:b/>
          <w:color w:val="auto"/>
          <w:szCs w:val="21"/>
          <w:highlight w:val="none"/>
        </w:rPr>
        <w:t>（二）定义</w:t>
      </w:r>
      <w:bookmarkEnd w:id="49"/>
      <w:bookmarkEnd w:id="50"/>
    </w:p>
    <w:p w14:paraId="751659F6">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1.</w:t>
      </w:r>
      <w:r>
        <w:rPr>
          <w:rFonts w:hint="eastAsia" w:ascii="微软雅黑" w:hAnsi="微软雅黑" w:cs="宋体"/>
          <w:color w:val="auto"/>
          <w:szCs w:val="21"/>
          <w:highlight w:val="none"/>
        </w:rPr>
        <w:t>“采购人”系指招标公告中载明的本项目的采购人。</w:t>
      </w:r>
    </w:p>
    <w:p w14:paraId="75861D10">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2.“采购代理机构”系指招标公告中载明的本项目的采购代理机构</w:t>
      </w:r>
    </w:p>
    <w:p w14:paraId="3515E1D4">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olor w:val="auto"/>
          <w:szCs w:val="21"/>
          <w:highlight w:val="none"/>
        </w:rPr>
        <w:t>3.“供应商”</w:t>
      </w:r>
      <w:r>
        <w:rPr>
          <w:rFonts w:hint="eastAsia" w:ascii="微软雅黑" w:hAnsi="微软雅黑" w:cs="宋体"/>
          <w:color w:val="auto"/>
          <w:szCs w:val="21"/>
          <w:highlight w:val="none"/>
        </w:rPr>
        <w:t>系指是指响应招标、参加投标竞争的法人、其他组织或者自然人。</w:t>
      </w:r>
    </w:p>
    <w:p w14:paraId="238554F7">
      <w:pPr>
        <w:snapToGrid w:val="0"/>
        <w:spacing w:line="500" w:lineRule="exact"/>
        <w:ind w:firstLine="420"/>
        <w:rPr>
          <w:rFonts w:hint="eastAsia" w:ascii="微软雅黑" w:hAnsi="微软雅黑"/>
          <w:color w:val="auto"/>
          <w:szCs w:val="21"/>
          <w:highlight w:val="none"/>
        </w:rPr>
      </w:pPr>
      <w:r>
        <w:rPr>
          <w:rFonts w:hint="eastAsia" w:ascii="微软雅黑" w:hAnsi="微软雅黑" w:cs="宋体"/>
          <w:color w:val="auto"/>
          <w:szCs w:val="21"/>
          <w:highlight w:val="none"/>
        </w:rPr>
        <w:t>4.“负责人”系指法人企业的法定负责人，或其他组织为法律、行政法规规定代表单位行使职权的主要负责人，或自然人本人。</w:t>
      </w:r>
    </w:p>
    <w:p w14:paraId="4D193E21">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5.“产品”系指供方按招标文件规定，须向采购人提供的一切设备、保险、税金、备品备件、工具、手册及其他有关技术资料和材料。</w:t>
      </w:r>
    </w:p>
    <w:p w14:paraId="5C714CE1">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6.“服务”系指招标文件规定投标供应商须承担的安装、调试、技术协助、校准、培训、技术指导以及其他类似的义务。</w:t>
      </w:r>
    </w:p>
    <w:p w14:paraId="019F4C3A">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7.“项目”系指投标供应商按招标文件规定向采购人提供的产品和服务。</w:t>
      </w:r>
    </w:p>
    <w:p w14:paraId="573C038B">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8.“书面形式”包括信函、传真、电报等。</w:t>
      </w:r>
    </w:p>
    <w:p w14:paraId="3460C75C">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9.“电子签名”系指数据电文中以电子形式所含、所附用于识别签名人身份并表明签名人认可其中内容的数据；“公章”系指单位法定名称章。</w:t>
      </w:r>
    </w:p>
    <w:p w14:paraId="7FCCEDE2">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10.“电子交易平台”是指本项目政府采购活动所依托的政府采购云平台（https://www.zcygov.cn/）。</w:t>
      </w:r>
    </w:p>
    <w:p w14:paraId="73CEF2A8">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olor w:val="auto"/>
          <w:szCs w:val="21"/>
          <w:highlight w:val="none"/>
        </w:rPr>
        <w:t>11.“▲”系指实质性要求条款，不满足实行性要求条款的投标文件无效。“★”系指产品采购项目中核心产品。“</w:t>
      </w:r>
      <w:r>
        <w:rPr>
          <w:rFonts w:ascii="微软雅黑" w:hAnsi="微软雅黑" w:cs="Arial"/>
          <w:color w:val="auto"/>
          <w:kern w:val="0"/>
          <w:szCs w:val="21"/>
          <w:highlight w:val="none"/>
        </w:rPr>
        <w:t></w:t>
      </w:r>
      <w:r>
        <w:rPr>
          <w:rFonts w:hint="eastAsia" w:ascii="微软雅黑" w:hAnsi="微软雅黑"/>
          <w:color w:val="auto"/>
          <w:szCs w:val="21"/>
          <w:highlight w:val="none"/>
        </w:rPr>
        <w:t>”</w:t>
      </w:r>
      <w:r>
        <w:rPr>
          <w:rFonts w:ascii="微软雅黑" w:hAnsi="微软雅黑"/>
          <w:color w:val="auto"/>
          <w:szCs w:val="21"/>
          <w:highlight w:val="none"/>
        </w:rPr>
        <w:t xml:space="preserve"> </w:t>
      </w:r>
      <w:r>
        <w:rPr>
          <w:rFonts w:hint="eastAsia" w:ascii="微软雅黑" w:hAnsi="微软雅黑" w:cs="宋体"/>
          <w:color w:val="auto"/>
          <w:szCs w:val="21"/>
          <w:highlight w:val="none"/>
        </w:rPr>
        <w:t>系指适用本项目的要求，“</w:t>
      </w: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 系指不适用本项目的要求。</w:t>
      </w:r>
    </w:p>
    <w:bookmarkEnd w:id="45"/>
    <w:bookmarkEnd w:id="46"/>
    <w:p w14:paraId="65400519">
      <w:pPr>
        <w:snapToGrid w:val="0"/>
        <w:spacing w:line="500" w:lineRule="exact"/>
        <w:ind w:firstLine="412" w:firstLineChars="196"/>
        <w:outlineLvl w:val="2"/>
        <w:rPr>
          <w:rFonts w:hint="eastAsia" w:ascii="微软雅黑" w:hAnsi="微软雅黑"/>
          <w:b/>
          <w:color w:val="auto"/>
          <w:szCs w:val="21"/>
          <w:highlight w:val="none"/>
        </w:rPr>
      </w:pPr>
      <w:bookmarkStart w:id="51" w:name="_Toc164943192"/>
      <w:bookmarkStart w:id="52" w:name="_Toc169015116"/>
      <w:bookmarkStart w:id="53" w:name="_Toc397670949"/>
      <w:bookmarkStart w:id="54" w:name="_Toc397670920"/>
      <w:r>
        <w:rPr>
          <w:rFonts w:hint="eastAsia" w:ascii="微软雅黑" w:hAnsi="微软雅黑"/>
          <w:b/>
          <w:color w:val="auto"/>
          <w:szCs w:val="21"/>
          <w:highlight w:val="none"/>
        </w:rPr>
        <w:t>（三）采购方式</w:t>
      </w:r>
      <w:bookmarkEnd w:id="51"/>
      <w:bookmarkEnd w:id="52"/>
    </w:p>
    <w:p w14:paraId="641089D7">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本次招标采用公开采购方式进行。</w:t>
      </w:r>
    </w:p>
    <w:bookmarkEnd w:id="53"/>
    <w:bookmarkEnd w:id="54"/>
    <w:p w14:paraId="6984DD50">
      <w:pPr>
        <w:snapToGrid w:val="0"/>
        <w:spacing w:line="500" w:lineRule="exact"/>
        <w:ind w:firstLine="412" w:firstLineChars="196"/>
        <w:outlineLvl w:val="2"/>
        <w:rPr>
          <w:rFonts w:hint="eastAsia" w:ascii="微软雅黑" w:hAnsi="微软雅黑"/>
          <w:b/>
          <w:color w:val="auto"/>
          <w:szCs w:val="21"/>
          <w:highlight w:val="none"/>
        </w:rPr>
      </w:pPr>
      <w:bookmarkStart w:id="55" w:name="_Toc164943193"/>
      <w:bookmarkStart w:id="56" w:name="_Toc169015117"/>
      <w:bookmarkStart w:id="57" w:name="_Toc397670921"/>
      <w:bookmarkStart w:id="58" w:name="_Toc397670950"/>
      <w:r>
        <w:rPr>
          <w:rFonts w:hint="eastAsia" w:ascii="微软雅黑" w:hAnsi="微软雅黑"/>
          <w:b/>
          <w:color w:val="auto"/>
          <w:szCs w:val="21"/>
          <w:highlight w:val="none"/>
        </w:rPr>
        <w:t>（四）投标费用</w:t>
      </w:r>
      <w:bookmarkEnd w:id="55"/>
      <w:bookmarkEnd w:id="56"/>
      <w:bookmarkEnd w:id="57"/>
      <w:bookmarkEnd w:id="58"/>
    </w:p>
    <w:p w14:paraId="292B2898">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不论投标结果如何，投标供应商均应自行承担所有与投标有关的全部费用（招标文件有相反规定除外）。</w:t>
      </w:r>
    </w:p>
    <w:p w14:paraId="77C12396">
      <w:pPr>
        <w:snapToGrid w:val="0"/>
        <w:spacing w:line="500" w:lineRule="exact"/>
        <w:ind w:firstLine="412" w:firstLineChars="196"/>
        <w:outlineLvl w:val="2"/>
        <w:rPr>
          <w:rFonts w:hint="eastAsia" w:ascii="微软雅黑" w:hAnsi="微软雅黑" w:cs="宋体"/>
          <w:b/>
          <w:color w:val="auto"/>
          <w:szCs w:val="21"/>
          <w:highlight w:val="none"/>
        </w:rPr>
      </w:pPr>
      <w:bookmarkStart w:id="59" w:name="_Toc164943194"/>
      <w:bookmarkStart w:id="60" w:name="_Toc169015118"/>
      <w:r>
        <w:rPr>
          <w:rFonts w:hint="eastAsia" w:ascii="微软雅黑" w:hAnsi="微软雅黑" w:cs="宋体"/>
          <w:b/>
          <w:color w:val="auto"/>
          <w:szCs w:val="21"/>
          <w:highlight w:val="none"/>
        </w:rPr>
        <w:t>（五）相关政府采购政策</w:t>
      </w:r>
      <w:bookmarkEnd w:id="59"/>
      <w:bookmarkEnd w:id="60"/>
    </w:p>
    <w:p w14:paraId="477F1F90">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2EAAAB4">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2.支持绿色发展</w:t>
      </w:r>
    </w:p>
    <w:p w14:paraId="2FA3C1F7">
      <w:pPr>
        <w:snapToGrid w:val="0"/>
        <w:spacing w:line="500" w:lineRule="exact"/>
        <w:ind w:firstLine="420"/>
        <w:rPr>
          <w:rFonts w:hint="eastAsia" w:ascii="微软雅黑" w:hAnsi="微软雅黑"/>
          <w:b/>
          <w:color w:val="auto"/>
          <w:szCs w:val="21"/>
          <w:highlight w:val="none"/>
        </w:rPr>
      </w:pPr>
      <w:r>
        <w:rPr>
          <w:rFonts w:hint="eastAsia" w:ascii="微软雅黑" w:hAnsi="微软雅黑" w:cs="宋体"/>
          <w:color w:val="auto"/>
          <w:szCs w:val="21"/>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证书。</w:t>
      </w:r>
      <w:r>
        <w:rPr>
          <w:rFonts w:ascii="微软雅黑" w:hAnsi="微软雅黑"/>
          <w:color w:val="auto"/>
          <w:szCs w:val="21"/>
          <w:highlight w:val="none"/>
        </w:rPr>
        <w:t>▲</w:t>
      </w:r>
      <w:r>
        <w:rPr>
          <w:rFonts w:hint="eastAsia" w:ascii="微软雅黑" w:hAnsi="微软雅黑"/>
          <w:b/>
          <w:color w:val="auto"/>
          <w:szCs w:val="21"/>
          <w:highlight w:val="none"/>
        </w:rPr>
        <w:t>采购人拟采购的产品属于政府强制采购的节能产品品目清单范围的，投标供应商未按招标文件要求提供国家确定的认证机构出具的、处于有效期之内的节能产品认证证书的，投标无效。</w:t>
      </w:r>
    </w:p>
    <w:p w14:paraId="3854DCE6">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 修缮、装修类项目采购建材的，采购人应将绿色建筑和绿色建材性能、指标等作为实质性条件纳入招标文件和合同。</w:t>
      </w:r>
    </w:p>
    <w:p w14:paraId="2AAB37ED">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58D46CF">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3.支持中小企业发展</w:t>
      </w:r>
    </w:p>
    <w:p w14:paraId="17E22029">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58F877C5">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符合中小企业划分标准的个体工商户，在政府采购活动中视同中小企业。</w:t>
      </w:r>
    </w:p>
    <w:p w14:paraId="4F17A738">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3.2在政府采购活动中，投标供应商提供的货物、工程或者服务符合下列情形的，享受中小企业扶持政策：</w:t>
      </w:r>
    </w:p>
    <w:p w14:paraId="5976E356">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3.2.1在货物采购项目中，货物由中小企业制造，即货物由中小企业生产且使用该中小企业商号或者注册商标；</w:t>
      </w:r>
    </w:p>
    <w:p w14:paraId="40FC4BD5">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3.2.2在工程采购项目中，工程由中小企业承建，即工程施工单位为中小企业；</w:t>
      </w:r>
    </w:p>
    <w:p w14:paraId="29F6124E">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3.2.3在服务采购项目中，服务由中小企业承接，即提供服务的人员为中小企业依照《中华人民共和国劳动合同法》订立劳动合同的从业人员。</w:t>
      </w:r>
    </w:p>
    <w:p w14:paraId="602911B3">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在货物采购项目中，投标供应商提供的货物既有中小企业制造货物，也有大型企业制造货物的，不享受中小企业扶持政策。</w:t>
      </w:r>
    </w:p>
    <w:p w14:paraId="2298F84A">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以联合体形式参加政府采购活动，联合体各方均为中小企业的，联合体视同中小企业。其中，联合体各方均为小微企业的，联合体视同小微企业。</w:t>
      </w:r>
    </w:p>
    <w:p w14:paraId="6179F6D0">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3.3符合《关于促进残疾人就业政府采购政策的通知》（财库〔2017〕141号）规定的条件并提供《残疾人福利性单位声明函》（附件1）的残疾人福利性单位视同小型、微型企业；</w:t>
      </w:r>
    </w:p>
    <w:p w14:paraId="1EFE71CA">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3.4符合《关于政府采购支持监狱企业发展有关问题的通知》（财库[2014]68号）规定的监狱企业并提供由省级以上监狱管理局、戒毒管理局（含新疆生产建设兵团）出具的属于监狱企业证明文件的，视同为小型、微型企业。</w:t>
      </w:r>
    </w:p>
    <w:p w14:paraId="22601F43">
      <w:pPr>
        <w:snapToGrid w:val="0"/>
        <w:spacing w:line="500" w:lineRule="exact"/>
        <w:ind w:firstLine="420"/>
        <w:rPr>
          <w:rFonts w:hint="eastAsia" w:ascii="微软雅黑" w:hAnsi="微软雅黑"/>
          <w:b/>
          <w:bCs/>
          <w:color w:val="auto"/>
          <w:szCs w:val="21"/>
          <w:highlight w:val="none"/>
        </w:rPr>
      </w:pPr>
      <w:r>
        <w:rPr>
          <w:rFonts w:hint="eastAsia" w:ascii="微软雅黑" w:hAnsi="微软雅黑" w:cs="宋体"/>
          <w:color w:val="auto"/>
          <w:szCs w:val="21"/>
          <w:highlight w:val="none"/>
        </w:rPr>
        <w:t>3.5可享受中小企业扶持政策的投标供应商应按照招标文件格式要求提供《中小企业声明函》，投标供应商提供的《中小企业声明函》与实际情况不符的，不享受中小企业扶持政策。</w:t>
      </w:r>
      <w:r>
        <w:rPr>
          <w:rFonts w:hint="eastAsia" w:ascii="微软雅黑" w:hAnsi="微软雅黑"/>
          <w:b/>
          <w:bCs/>
          <w:color w:val="auto"/>
          <w:szCs w:val="21"/>
          <w:highlight w:val="none"/>
        </w:rPr>
        <w:t>声明内容不实的，属于提供虚假材料谋取中标、成交的，依法承担法律责任。</w:t>
      </w:r>
    </w:p>
    <w:p w14:paraId="5C9C0EC0">
      <w:pPr>
        <w:snapToGrid w:val="0"/>
        <w:spacing w:line="500" w:lineRule="exact"/>
        <w:ind w:firstLine="420"/>
        <w:rPr>
          <w:rFonts w:hint="eastAsia" w:ascii="微软雅黑" w:hAnsi="微软雅黑"/>
          <w:b/>
          <w:strike/>
          <w:color w:val="auto"/>
          <w:szCs w:val="21"/>
          <w:highlight w:val="none"/>
        </w:rPr>
      </w:pPr>
      <w:r>
        <w:rPr>
          <w:rFonts w:hint="eastAsia" w:ascii="微软雅黑" w:hAnsi="微软雅黑" w:cs="宋体"/>
          <w:color w:val="auto"/>
          <w:szCs w:val="21"/>
          <w:highlight w:val="none"/>
        </w:rPr>
        <w:t>3.6中小企业享受扶持政策获得政府采购合同的，小微企业不得将合同分包给大中型企业，中型企业不得将合同分包给大型企业。</w:t>
      </w:r>
    </w:p>
    <w:p w14:paraId="69EECB8A">
      <w:pPr>
        <w:snapToGrid w:val="0"/>
        <w:spacing w:line="500" w:lineRule="exact"/>
        <w:ind w:firstLine="412" w:firstLineChars="196"/>
        <w:outlineLvl w:val="2"/>
        <w:rPr>
          <w:rFonts w:hint="eastAsia" w:ascii="微软雅黑" w:hAnsi="微软雅黑"/>
          <w:b/>
          <w:color w:val="auto"/>
          <w:szCs w:val="21"/>
          <w:highlight w:val="none"/>
        </w:rPr>
      </w:pPr>
      <w:bookmarkStart w:id="61" w:name="_Toc169015119"/>
      <w:bookmarkStart w:id="62" w:name="_Toc164943195"/>
      <w:r>
        <w:rPr>
          <w:rFonts w:hint="eastAsia" w:ascii="微软雅黑" w:hAnsi="微软雅黑"/>
          <w:b/>
          <w:color w:val="auto"/>
          <w:szCs w:val="21"/>
          <w:highlight w:val="none"/>
        </w:rPr>
        <w:t>（六）特别说明：</w:t>
      </w:r>
      <w:bookmarkEnd w:id="61"/>
      <w:bookmarkEnd w:id="62"/>
    </w:p>
    <w:p w14:paraId="09036DA3">
      <w:pPr>
        <w:pStyle w:val="30"/>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采用最低评标价法的采购项目，提供相同品牌产品的不同投标供应商参加同一合同项下投标的，以其中通过资格审查、符合性审查且报价最低的参加评标；报价相同的，由采购人或者采购人委托评标委员会按照招标文件规定的方式确定一个参加评标的投标供应商，招标文件未规定的采取随机抽取方式确定，其他投标无效。</w:t>
      </w:r>
    </w:p>
    <w:p w14:paraId="6391CD65">
      <w:pPr>
        <w:pStyle w:val="30"/>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使用综合评分法的采购项目，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招标文件规定的方式确定一个投标供应商获得中标供应商推荐资格，招标文件未规定的采取随机抽取方式确定，其他同品牌投标供应商不作为中标候选人。</w:t>
      </w:r>
    </w:p>
    <w:p w14:paraId="6B818AF5">
      <w:pPr>
        <w:pStyle w:val="30"/>
        <w:snapToGrid w:val="0"/>
        <w:spacing w:line="500" w:lineRule="exact"/>
        <w:ind w:firstLine="420"/>
        <w:rPr>
          <w:rFonts w:hint="eastAsia" w:ascii="微软雅黑" w:hAnsi="微软雅黑"/>
          <w:color w:val="auto"/>
          <w:szCs w:val="21"/>
          <w:highlight w:val="none"/>
        </w:rPr>
      </w:pPr>
      <w:r>
        <w:rPr>
          <w:rFonts w:hint="eastAsia" w:ascii="微软雅黑" w:hAnsi="微软雅黑" w:cs="宋体"/>
          <w:color w:val="auto"/>
          <w:szCs w:val="21"/>
          <w:highlight w:val="none"/>
        </w:rPr>
        <w:t>非单一产品采购项目，采购人应当根据采购项目技术构成、产品价格比重等合理确定核心产品，并在招标文件中载明。多家投标供应商提供的核心产品品牌相同的，按前两款规定处理。</w:t>
      </w:r>
    </w:p>
    <w:p w14:paraId="63BCCF17">
      <w:pPr>
        <w:pStyle w:val="30"/>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2.投标供应商投标所使用的资格、信誉、荣誉、业绩与企业认证必须为本法人所拥有。投标供应商投标所使用的采购项目实施人员必须为本法人员工（或必须为本法人或控股投标供应商正式员工）。</w:t>
      </w:r>
    </w:p>
    <w:p w14:paraId="5D618962">
      <w:pPr>
        <w:pStyle w:val="30"/>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3.投标供应商应仔细阅读招标文件的所有内容，按照招标文件的要求提交投标文件，并对所提供的全部资料的真实性承担法律责任。</w:t>
      </w:r>
    </w:p>
    <w:p w14:paraId="01E06140">
      <w:pPr>
        <w:pStyle w:val="30"/>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4.投标供应商在投标活动中提供任何虚假材料，其投标无效，并报监管部门查处；中标后发现的，中标供应商须依照《中华人民共和国消费者权益保护法》第49条之规定双倍赔偿采购人，且民事赔偿并不免除违法投标供应商的行政与刑事责任。</w:t>
      </w:r>
    </w:p>
    <w:p w14:paraId="17FF9644">
      <w:pPr>
        <w:spacing w:line="500" w:lineRule="exact"/>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（七）质疑和投诉</w:t>
      </w:r>
    </w:p>
    <w:p w14:paraId="43346328">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1.质疑和投诉应当满足《政府采购质疑和投诉办法》（中华人民共和国财政部令第94号）要求。</w:t>
      </w:r>
    </w:p>
    <w:p w14:paraId="4BCCC5B4">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招标文件质疑：供应商可在获取招标文件之日或者招标文件公告期限届满之日（公告期限届满后获取招标文件的，以公告期限届满之日为准）起7个工作日内发起；采购过程质疑：投标（响应）供应商可在投标（响应）截止时间后，采购结果公告发布时间起7个工作日内发起；采购结果质疑：投标（响应）供应商可在采购结果公告期限届满之日起7个工作日内发起。</w:t>
      </w:r>
    </w:p>
    <w:p w14:paraId="09C971DF">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3.供应商须在法定质疑期内一次性提出针对同一采购程序环节的质疑。</w:t>
      </w:r>
    </w:p>
    <w:p w14:paraId="10222592">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4.供应商须按上述规定，在政采云系统里提出质疑。询问路径为：政采云-项目采购-询问质疑投诉-询问列表；质疑路径为：政采云-项目采购-询问质疑投诉-质疑列表。质疑供应商对在线质疑答复不满意的，可在线提起投诉，投诉路径为：浙江政府服务网-政府采购投诉处理-在线办理。</w:t>
      </w:r>
    </w:p>
    <w:p w14:paraId="0908164D">
      <w:pPr>
        <w:pStyle w:val="4"/>
        <w:keepNext w:val="0"/>
        <w:spacing w:line="500" w:lineRule="exact"/>
        <w:ind w:firstLine="420"/>
        <w:rPr>
          <w:rFonts w:hint="eastAsia" w:ascii="微软雅黑" w:hAnsi="微软雅黑"/>
          <w:color w:val="auto"/>
          <w:szCs w:val="21"/>
          <w:highlight w:val="none"/>
        </w:rPr>
      </w:pPr>
      <w:bookmarkStart w:id="63" w:name="_Toc30087"/>
      <w:r>
        <w:rPr>
          <w:rFonts w:hint="eastAsia" w:ascii="微软雅黑" w:hAnsi="微软雅黑"/>
          <w:color w:val="auto"/>
          <w:szCs w:val="21"/>
          <w:highlight w:val="none"/>
        </w:rPr>
        <w:t>二 、招标文件</w:t>
      </w:r>
      <w:bookmarkEnd w:id="47"/>
      <w:bookmarkEnd w:id="48"/>
      <w:bookmarkEnd w:id="63"/>
    </w:p>
    <w:p w14:paraId="164C4DA9">
      <w:pPr>
        <w:snapToGrid w:val="0"/>
        <w:spacing w:line="500" w:lineRule="exact"/>
        <w:ind w:firstLine="412" w:firstLineChars="196"/>
        <w:rPr>
          <w:rFonts w:hint="eastAsia" w:ascii="微软雅黑" w:hAnsi="微软雅黑"/>
          <w:b/>
          <w:color w:val="auto"/>
          <w:szCs w:val="21"/>
          <w:highlight w:val="none"/>
        </w:rPr>
      </w:pPr>
      <w:bookmarkStart w:id="64" w:name="_Toc493511630"/>
      <w:bookmarkStart w:id="65" w:name="_Toc177870545"/>
      <w:r>
        <w:rPr>
          <w:rFonts w:hint="eastAsia" w:ascii="微软雅黑" w:hAnsi="微软雅黑"/>
          <w:b/>
          <w:color w:val="auto"/>
          <w:szCs w:val="21"/>
          <w:highlight w:val="none"/>
        </w:rPr>
        <w:t>（一）招标文件的构成。本招标文件由以下部分组成：</w:t>
      </w:r>
    </w:p>
    <w:p w14:paraId="084BFD07">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1.招标公告</w:t>
      </w:r>
    </w:p>
    <w:p w14:paraId="6636A499">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2.招标需求</w:t>
      </w:r>
    </w:p>
    <w:p w14:paraId="59555E1E">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3.投标供应商须知</w:t>
      </w:r>
    </w:p>
    <w:p w14:paraId="3B088B40">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4.评标办法及标准</w:t>
      </w:r>
    </w:p>
    <w:p w14:paraId="51D2F4BC">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5.合同主要条款</w:t>
      </w:r>
    </w:p>
    <w:p w14:paraId="2503AC03">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6.投标文件格式</w:t>
      </w:r>
    </w:p>
    <w:p w14:paraId="18EAAF28">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7.本项目招标文件的澄清、答复、修改、补充的内容</w:t>
      </w:r>
    </w:p>
    <w:p w14:paraId="7E4E509E">
      <w:pPr>
        <w:snapToGrid w:val="0"/>
        <w:spacing w:line="500" w:lineRule="exact"/>
        <w:ind w:firstLine="412" w:firstLineChars="196"/>
        <w:rPr>
          <w:rFonts w:hint="eastAsia" w:ascii="微软雅黑" w:hAnsi="微软雅黑"/>
          <w:b/>
          <w:color w:val="auto"/>
          <w:szCs w:val="21"/>
          <w:highlight w:val="none"/>
        </w:rPr>
      </w:pPr>
      <w:r>
        <w:rPr>
          <w:rFonts w:hint="eastAsia" w:ascii="微软雅黑" w:hAnsi="微软雅黑"/>
          <w:b/>
          <w:color w:val="auto"/>
          <w:szCs w:val="21"/>
          <w:highlight w:val="none"/>
        </w:rPr>
        <w:t>（二）投标供应商的风险</w:t>
      </w:r>
    </w:p>
    <w:p w14:paraId="1D77BB5B">
      <w:pPr>
        <w:pStyle w:val="44"/>
        <w:spacing w:line="500" w:lineRule="exact"/>
        <w:ind w:firstLine="424" w:firstLineChars="202"/>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投标供应商没有按照招标文件要求提供全部资料，或者投标供应商没有对招标文件在各方面做出实质性响应是投标供应商的风险，并可能导致其投标为无效标。</w:t>
      </w:r>
    </w:p>
    <w:p w14:paraId="155B5293">
      <w:pPr>
        <w:pStyle w:val="292"/>
        <w:snapToGrid w:val="0"/>
        <w:spacing w:before="0" w:line="500" w:lineRule="exact"/>
        <w:ind w:firstLine="0" w:firstLineChars="0"/>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（三）招标文件的澄清与修改</w:t>
      </w:r>
    </w:p>
    <w:p w14:paraId="6B7B93F0">
      <w:pPr>
        <w:pStyle w:val="292"/>
        <w:snapToGrid w:val="0"/>
        <w:spacing w:before="0" w:line="500" w:lineRule="exact"/>
        <w:ind w:firstLine="0" w:firstLineChars="0"/>
        <w:rPr>
          <w:rFonts w:hint="eastAsia" w:ascii="微软雅黑" w:hAnsi="微软雅黑" w:eastAsia="微软雅黑"/>
          <w:color w:val="auto"/>
          <w:sz w:val="21"/>
          <w:szCs w:val="21"/>
          <w:highlight w:val="none"/>
        </w:rPr>
      </w:pPr>
      <w:r>
        <w:rPr>
          <w:rFonts w:hint="eastAsia" w:ascii="微软雅黑" w:hAnsi="微软雅黑" w:eastAsia="微软雅黑" w:cs="Times New Roman"/>
          <w:color w:val="auto"/>
          <w:kern w:val="0"/>
          <w:sz w:val="21"/>
          <w:szCs w:val="21"/>
          <w:highlight w:val="none"/>
        </w:rPr>
        <w:t>1.</w:t>
      </w:r>
      <w:r>
        <w:rPr>
          <w:rFonts w:hint="eastAsia" w:ascii="微软雅黑" w:hAnsi="微软雅黑" w:eastAsia="微软雅黑"/>
          <w:color w:val="auto"/>
          <w:sz w:val="21"/>
          <w:szCs w:val="21"/>
          <w:highlight w:val="none"/>
        </w:rPr>
        <w:t>投标供应商应认真阅读本招标文件，发现其中有误或有不合理要求的，可</w:t>
      </w:r>
    </w:p>
    <w:p w14:paraId="7EE7436A">
      <w:pPr>
        <w:pStyle w:val="292"/>
        <w:snapToGrid w:val="0"/>
        <w:spacing w:before="0" w:line="500" w:lineRule="exact"/>
        <w:ind w:firstLine="0" w:firstLineChars="0"/>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要求招标采购人澄清。招标采购人对已发出的招标文件进行必要澄清或者修改的，应当在招标文件要求提交投标文件截止十五日前，在财政部门指定的政府采购信息发布媒体上发布更正公告，并以书面形式通知所有招标文件获取人。</w:t>
      </w:r>
    </w:p>
    <w:p w14:paraId="091222A3">
      <w:pPr>
        <w:pStyle w:val="30"/>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2.招标文件澄清或者修改的内容为招标文件的组成部分。当招标文件与澄清或者修改就同一内容的表述不一致时，以最后发出的书面文件为准。</w:t>
      </w:r>
    </w:p>
    <w:p w14:paraId="17C774B3">
      <w:pPr>
        <w:pStyle w:val="30"/>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3.对招标文件的澄清、答复、修改或补充都应该通过代理机构以法定形式发布，采购人非通过本机构，不得擅自澄清、答复、修改或补充招标文件。</w:t>
      </w:r>
    </w:p>
    <w:p w14:paraId="59D4B451">
      <w:pPr>
        <w:pStyle w:val="4"/>
        <w:keepNext w:val="0"/>
        <w:spacing w:line="500" w:lineRule="exact"/>
        <w:ind w:firstLine="420"/>
        <w:rPr>
          <w:rFonts w:hint="eastAsia" w:ascii="微软雅黑" w:hAnsi="微软雅黑"/>
          <w:color w:val="auto"/>
          <w:szCs w:val="21"/>
          <w:highlight w:val="none"/>
        </w:rPr>
      </w:pPr>
      <w:bookmarkStart w:id="66" w:name="_Toc4929"/>
      <w:r>
        <w:rPr>
          <w:rFonts w:hint="eastAsia" w:ascii="微软雅黑" w:hAnsi="微软雅黑"/>
          <w:color w:val="auto"/>
          <w:szCs w:val="21"/>
          <w:highlight w:val="none"/>
        </w:rPr>
        <w:t>三、 投标文件的编制</w:t>
      </w:r>
      <w:bookmarkEnd w:id="64"/>
      <w:bookmarkEnd w:id="65"/>
      <w:bookmarkEnd w:id="66"/>
    </w:p>
    <w:p w14:paraId="50167798">
      <w:pPr>
        <w:spacing w:line="500" w:lineRule="exact"/>
        <w:ind w:firstLine="420"/>
        <w:rPr>
          <w:rFonts w:hint="eastAsia" w:ascii="微软雅黑" w:hAnsi="微软雅黑"/>
          <w:b/>
          <w:bCs/>
          <w:color w:val="auto"/>
          <w:szCs w:val="21"/>
          <w:highlight w:val="none"/>
        </w:rPr>
      </w:pPr>
      <w:bookmarkStart w:id="67" w:name="_Toc21392"/>
      <w:bookmarkStart w:id="68" w:name="_Toc14074"/>
      <w:bookmarkStart w:id="69" w:name="_Toc406402988"/>
      <w:bookmarkStart w:id="70" w:name="_Toc406402944"/>
      <w:bookmarkStart w:id="71" w:name="_Toc532218225"/>
      <w:bookmarkStart w:id="72" w:name="_Toc33535369"/>
      <w:bookmarkStart w:id="73" w:name="_Toc493511751"/>
      <w:r>
        <w:rPr>
          <w:rFonts w:hint="eastAsia" w:ascii="微软雅黑" w:hAnsi="微软雅黑"/>
          <w:b/>
          <w:bCs/>
          <w:color w:val="auto"/>
          <w:szCs w:val="21"/>
          <w:highlight w:val="none"/>
        </w:rPr>
        <w:t>本项目所涉投标文件格式请详见第六章，未给出的格式请自拟。商务、资信及其他及技术文件中不得出现报价，否则投标文件将被视为无效。</w:t>
      </w:r>
    </w:p>
    <w:p w14:paraId="08F6D8D7">
      <w:pPr>
        <w:spacing w:line="500" w:lineRule="exact"/>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注：电子投标文件按政采云平台供应商电子招投标操作指南及本招标文件规定的格式和顺序编制电子投标文件并进行关联。建议根据招标文件合格供应商的资格要求、投标文件的编制及评分标准等内容一一关联。</w:t>
      </w:r>
    </w:p>
    <w:p w14:paraId="00E962B0">
      <w:pPr>
        <w:spacing w:line="500" w:lineRule="exact"/>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路径：浙江省“项目采购电子交易系统/不见面开评标”学习专题-操作指南-供应商</w:t>
      </w:r>
    </w:p>
    <w:p w14:paraId="147B9E5B">
      <w:pPr>
        <w:spacing w:line="500" w:lineRule="exact"/>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网址：</w:t>
      </w:r>
      <w:r>
        <w:rPr>
          <w:color w:val="auto"/>
          <w:highlight w:val="none"/>
        </w:rPr>
        <w:fldChar w:fldCharType="begin"/>
      </w:r>
      <w:r>
        <w:rPr>
          <w:color w:val="auto"/>
          <w:highlight w:val="none"/>
        </w:rPr>
        <w:instrText xml:space="preserve"> HYPERLINK "https://help.zcygov.cn/web/site_2/2018/12-28/2573.html%EF%BC%89%E5%8F%8A%E6%9C%AC%E6%8B%9B%E6%A0%87%E6%96%87%E4%BB%B6%E8%A7%84%E5%AE%9A%E7%9A%84%E6%A0%BC%E5%BC%8F%E5%92%8C%E9%A1%BA%E5%BA%8F%E7%BC%96%E5%88%B6%E7%94%B5%E5%AD%90%E6%8A%95%E6%A0%87%E6%96%87%E4%BB%B6%E5%B9%B6%E8%BF%9B%E8%A1%8C%E5%85%B3%E8%81%94%E5%AE%9A" \t "_blank" </w:instrText>
      </w:r>
      <w:r>
        <w:rPr>
          <w:color w:val="auto"/>
          <w:highlight w:val="none"/>
        </w:rPr>
        <w:fldChar w:fldCharType="separate"/>
      </w:r>
      <w:r>
        <w:rPr>
          <w:rFonts w:hint="eastAsia" w:ascii="微软雅黑" w:hAnsi="微软雅黑"/>
          <w:b/>
          <w:bCs/>
          <w:color w:val="auto"/>
          <w:szCs w:val="21"/>
          <w:highlight w:val="none"/>
        </w:rPr>
        <w:t>https://edu.zcygov.cn/luban/e-biding</w:t>
      </w:r>
      <w:r>
        <w:rPr>
          <w:rFonts w:hint="eastAsia" w:ascii="微软雅黑" w:hAnsi="微软雅黑"/>
          <w:b/>
          <w:bCs/>
          <w:color w:val="auto"/>
          <w:szCs w:val="21"/>
          <w:highlight w:val="none"/>
        </w:rPr>
        <w:fldChar w:fldCharType="end"/>
      </w:r>
    </w:p>
    <w:p w14:paraId="6576C72C">
      <w:pPr>
        <w:spacing w:line="500" w:lineRule="exact"/>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总体要求：</w:t>
      </w:r>
    </w:p>
    <w:p w14:paraId="18C3DE95">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1.供应商应仔细阅读招标文件的所有内容，按本文件的要求提供投标文件，并保证所提供的全部资料的真实性，以使其投标文件对招标文件作出实质性响应，否则，投标文件可能视为无效投标文件。 </w:t>
      </w:r>
    </w:p>
    <w:p w14:paraId="2D3EB207">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2.投标文件及供应商与采购有关的来往通知，函件和文件均应使用中文。</w:t>
      </w:r>
    </w:p>
    <w:p w14:paraId="59407D59">
      <w:pPr>
        <w:spacing w:line="500" w:lineRule="exact"/>
        <w:ind w:firstLine="420"/>
        <w:rPr>
          <w:rFonts w:hint="eastAsia" w:ascii="微软雅黑" w:hAnsi="微软雅黑"/>
          <w:b/>
          <w:color w:val="auto"/>
          <w:szCs w:val="21"/>
          <w:highlight w:val="none"/>
          <w:u w:val="single"/>
        </w:rPr>
      </w:pPr>
      <w:r>
        <w:rPr>
          <w:rFonts w:hint="eastAsia" w:ascii="微软雅黑" w:hAnsi="微软雅黑"/>
          <w:color w:val="auto"/>
          <w:szCs w:val="21"/>
          <w:highlight w:val="none"/>
        </w:rPr>
        <w:t>3.供应商应按本文件中提供的文件格式、内容和要求制作投标文件</w:t>
      </w:r>
      <w:r>
        <w:rPr>
          <w:rFonts w:hint="eastAsia" w:ascii="微软雅黑" w:hAnsi="微软雅黑"/>
          <w:b/>
          <w:color w:val="auto"/>
          <w:szCs w:val="21"/>
          <w:highlight w:val="none"/>
        </w:rPr>
        <w:t>。</w:t>
      </w:r>
    </w:p>
    <w:p w14:paraId="1A15B220">
      <w:pPr>
        <w:pStyle w:val="5"/>
        <w:keepNext w:val="0"/>
        <w:keepLines w:val="0"/>
        <w:spacing w:line="500" w:lineRule="exact"/>
        <w:ind w:firstLine="420"/>
        <w:rPr>
          <w:rFonts w:hint="eastAsia" w:ascii="微软雅黑" w:hAnsi="微软雅黑"/>
          <w:color w:val="auto"/>
          <w:szCs w:val="21"/>
          <w:highlight w:val="none"/>
        </w:rPr>
      </w:pPr>
      <w:bookmarkStart w:id="74" w:name="_Toc169015122"/>
      <w:bookmarkStart w:id="75" w:name="_Toc164943198"/>
      <w:r>
        <w:rPr>
          <w:rFonts w:hint="eastAsia" w:ascii="微软雅黑" w:hAnsi="微软雅黑"/>
          <w:color w:val="auto"/>
          <w:szCs w:val="21"/>
          <w:highlight w:val="none"/>
        </w:rPr>
        <w:t>（一）投标文件的组成</w:t>
      </w:r>
      <w:bookmarkEnd w:id="67"/>
      <w:bookmarkEnd w:id="68"/>
      <w:bookmarkEnd w:id="74"/>
      <w:bookmarkEnd w:id="75"/>
    </w:p>
    <w:p w14:paraId="4D5F3397">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电子投标文件和备份投标文件均由</w:t>
      </w:r>
      <w:r>
        <w:rPr>
          <w:rFonts w:hint="eastAsia" w:ascii="微软雅黑" w:hAnsi="微软雅黑" w:cs="宋体"/>
          <w:color w:val="auto"/>
          <w:szCs w:val="21"/>
          <w:highlight w:val="none"/>
          <w:lang w:val="zh-CN"/>
        </w:rPr>
        <w:t>资格文件、商务技术文件、报价</w:t>
      </w:r>
      <w:r>
        <w:rPr>
          <w:rFonts w:hint="eastAsia" w:ascii="微软雅黑" w:hAnsi="微软雅黑"/>
          <w:color w:val="auto"/>
          <w:szCs w:val="21"/>
          <w:highlight w:val="none"/>
        </w:rPr>
        <w:t>文件三部分组成。投标文件中所须加盖公章部分均采用CA签章。</w:t>
      </w:r>
    </w:p>
    <w:bookmarkEnd w:id="69"/>
    <w:bookmarkEnd w:id="70"/>
    <w:bookmarkEnd w:id="71"/>
    <w:p w14:paraId="584B0A03">
      <w:pPr>
        <w:snapToGrid w:val="0"/>
        <w:spacing w:line="500" w:lineRule="exact"/>
        <w:ind w:firstLine="412" w:firstLineChars="196"/>
        <w:outlineLvl w:val="2"/>
        <w:rPr>
          <w:rFonts w:hint="eastAsia" w:ascii="微软雅黑" w:hAnsi="微软雅黑"/>
          <w:b/>
          <w:color w:val="auto"/>
          <w:szCs w:val="21"/>
          <w:highlight w:val="none"/>
        </w:rPr>
      </w:pPr>
      <w:bookmarkStart w:id="76" w:name="_Toc169015123"/>
      <w:bookmarkStart w:id="77" w:name="_Toc164943199"/>
      <w:r>
        <w:rPr>
          <w:rFonts w:hint="eastAsia" w:ascii="微软雅黑" w:hAnsi="微软雅黑"/>
          <w:b/>
          <w:color w:val="auto"/>
          <w:szCs w:val="21"/>
          <w:highlight w:val="none"/>
        </w:rPr>
        <w:t>（二）</w:t>
      </w:r>
      <w:r>
        <w:rPr>
          <w:rFonts w:hint="eastAsia" w:ascii="微软雅黑" w:hAnsi="微软雅黑" w:cs="宋体"/>
          <w:b/>
          <w:bCs/>
          <w:color w:val="auto"/>
          <w:szCs w:val="21"/>
          <w:highlight w:val="none"/>
        </w:rPr>
        <w:t>投标文件的编制</w:t>
      </w:r>
      <w:bookmarkEnd w:id="76"/>
      <w:bookmarkEnd w:id="77"/>
    </w:p>
    <w:p w14:paraId="51CBECFB">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lang w:val="zh-CN"/>
        </w:rPr>
        <w:t>1</w:t>
      </w:r>
      <w:r>
        <w:rPr>
          <w:rFonts w:hint="eastAsia" w:ascii="微软雅黑" w:hAnsi="微软雅黑" w:cs="宋体"/>
          <w:color w:val="auto"/>
          <w:szCs w:val="21"/>
          <w:highlight w:val="none"/>
        </w:rPr>
        <w:t>.</w:t>
      </w:r>
      <w:r>
        <w:rPr>
          <w:rFonts w:hint="eastAsia" w:ascii="微软雅黑" w:hAnsi="微软雅黑" w:cs="宋体"/>
          <w:color w:val="auto"/>
          <w:szCs w:val="21"/>
          <w:highlight w:val="none"/>
          <w:lang w:val="zh-CN"/>
        </w:rPr>
        <w:t>投标文件分为资格文件、商务技术文件、报价文件三部分。各投标供应商在编制投标文件时请按照招标文件规定的格式进行，混乱的编排导致投标文件被误读或评标委员会查找不到有效文件是投标供应商的风险。</w:t>
      </w:r>
    </w:p>
    <w:p w14:paraId="174F3580">
      <w:pPr>
        <w:snapToGrid w:val="0"/>
        <w:spacing w:line="500" w:lineRule="exact"/>
        <w:ind w:firstLine="420"/>
        <w:rPr>
          <w:rFonts w:hint="eastAsia" w:ascii="微软雅黑" w:hAnsi="微软雅黑" w:cs="宋体"/>
          <w:color w:val="auto"/>
          <w:szCs w:val="21"/>
          <w:highlight w:val="none"/>
          <w:lang w:val="zh-CN"/>
        </w:rPr>
      </w:pPr>
      <w:r>
        <w:rPr>
          <w:rFonts w:hint="eastAsia" w:ascii="微软雅黑" w:hAnsi="微软雅黑" w:cs="宋体"/>
          <w:color w:val="auto"/>
          <w:szCs w:val="21"/>
          <w:highlight w:val="none"/>
          <w:lang w:val="zh-CN"/>
        </w:rPr>
        <w:t>2</w:t>
      </w:r>
      <w:r>
        <w:rPr>
          <w:rFonts w:hint="eastAsia" w:ascii="微软雅黑" w:hAnsi="微软雅黑" w:cs="宋体"/>
          <w:color w:val="auto"/>
          <w:szCs w:val="21"/>
          <w:highlight w:val="none"/>
        </w:rPr>
        <w:t>.</w:t>
      </w:r>
      <w:r>
        <w:rPr>
          <w:rFonts w:hint="eastAsia" w:ascii="微软雅黑" w:hAnsi="微软雅黑" w:cs="宋体"/>
          <w:color w:val="auto"/>
          <w:szCs w:val="21"/>
          <w:highlight w:val="none"/>
          <w:lang w:val="zh-CN"/>
        </w:rPr>
        <w:t>投标供应商进行电子投标应安装客户端软件—“政采云电子交易客户端”，并按照招标文件和电子交易平台的要求编制并加密投标文件。投标供应商未按规定加密的投标文件，电子交易平台将拒收并提示。</w:t>
      </w:r>
    </w:p>
    <w:p w14:paraId="54C41A95">
      <w:pPr>
        <w:snapToGrid w:val="0"/>
        <w:spacing w:line="500" w:lineRule="exact"/>
        <w:ind w:firstLine="420"/>
        <w:rPr>
          <w:rFonts w:hint="eastAsia" w:ascii="微软雅黑" w:hAnsi="微软雅黑" w:cs="宋体"/>
          <w:color w:val="auto"/>
          <w:szCs w:val="21"/>
          <w:highlight w:val="none"/>
          <w:lang w:val="zh-CN"/>
        </w:rPr>
      </w:pPr>
      <w:r>
        <w:rPr>
          <w:rFonts w:hint="eastAsia" w:ascii="微软雅黑" w:hAnsi="微软雅黑" w:cs="宋体"/>
          <w:color w:val="auto"/>
          <w:szCs w:val="21"/>
          <w:highlight w:val="none"/>
          <w:lang w:val="zh-CN"/>
        </w:rPr>
        <w:t>3</w:t>
      </w:r>
      <w:r>
        <w:rPr>
          <w:rFonts w:hint="eastAsia" w:ascii="微软雅黑" w:hAnsi="微软雅黑" w:cs="宋体"/>
          <w:color w:val="auto"/>
          <w:szCs w:val="21"/>
          <w:highlight w:val="none"/>
        </w:rPr>
        <w:t>.</w:t>
      </w:r>
      <w:r>
        <w:rPr>
          <w:rFonts w:hint="eastAsia" w:ascii="微软雅黑" w:hAnsi="微软雅黑" w:cs="宋体"/>
          <w:color w:val="auto"/>
          <w:szCs w:val="21"/>
          <w:highlight w:val="none"/>
          <w:lang w:val="zh-CN"/>
        </w:rPr>
        <w:t>使用“政采云电子交易客户端”需要提前申领CA数字证书，申领流程请自行前往“浙江政府采购网-下载专区-电子交易客户端-CA驱动和申领流程”进行查阅。</w:t>
      </w:r>
    </w:p>
    <w:p w14:paraId="023CB0FB">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4.投标文件按照招标文件要求进行签署、盖章。</w:t>
      </w:r>
    </w:p>
    <w:p w14:paraId="6D5E4168">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5.为确保网上操作合法、有效和安全，投标供应商应当在投标截止时间前完成在“政府采购云平台”的身份认证，确保在电子投标过程中能够对相关数据电文进行加密和使用电子签名。</w:t>
      </w:r>
    </w:p>
    <w:p w14:paraId="540023C6">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6.招标文件对投标文件签署、盖章的要求适用于电子签名。</w:t>
      </w:r>
    </w:p>
    <w:p w14:paraId="2469508D">
      <w:pPr>
        <w:snapToGrid w:val="0"/>
        <w:spacing w:line="500" w:lineRule="exact"/>
        <w:ind w:firstLine="412" w:firstLineChars="196"/>
        <w:outlineLvl w:val="2"/>
        <w:rPr>
          <w:rFonts w:hint="eastAsia" w:ascii="微软雅黑" w:hAnsi="微软雅黑"/>
          <w:b/>
          <w:color w:val="auto"/>
          <w:szCs w:val="21"/>
          <w:highlight w:val="none"/>
        </w:rPr>
      </w:pPr>
      <w:bookmarkStart w:id="78" w:name="_Toc164943200"/>
      <w:bookmarkStart w:id="79" w:name="_Toc406402990"/>
      <w:bookmarkStart w:id="80" w:name="_Toc406402946"/>
      <w:bookmarkStart w:id="81" w:name="_Toc402963117"/>
      <w:bookmarkStart w:id="82" w:name="_Toc532218227"/>
      <w:bookmarkStart w:id="83" w:name="_Toc385854100"/>
      <w:bookmarkStart w:id="84" w:name="_Toc169015124"/>
      <w:bookmarkStart w:id="85" w:name="_Toc402963084"/>
      <w:bookmarkStart w:id="86" w:name="_Toc385854146"/>
      <w:r>
        <w:rPr>
          <w:rFonts w:hint="eastAsia" w:ascii="微软雅黑" w:hAnsi="微软雅黑"/>
          <w:b/>
          <w:color w:val="auto"/>
          <w:szCs w:val="21"/>
          <w:highlight w:val="none"/>
        </w:rPr>
        <w:t>（三）投标文件的语言及计量</w:t>
      </w:r>
      <w:bookmarkEnd w:id="78"/>
      <w:bookmarkEnd w:id="79"/>
      <w:bookmarkEnd w:id="80"/>
      <w:bookmarkEnd w:id="81"/>
      <w:bookmarkEnd w:id="82"/>
      <w:bookmarkEnd w:id="83"/>
      <w:bookmarkEnd w:id="84"/>
      <w:bookmarkEnd w:id="85"/>
      <w:bookmarkEnd w:id="86"/>
    </w:p>
    <w:p w14:paraId="77440118">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1.投标文件以及投标方与采购人就有关投标事宜的所有来往函电，均应以中文汉语书写。除签名、盖章、专用名称等特殊情形外，以中文汉语以外的文字表述的投标文件视同未提供。</w:t>
      </w:r>
    </w:p>
    <w:p w14:paraId="06EAE7B0">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2.投标计量单位，招标文件已有明确规定的，使用招标文件规定的计量单位；招标文件没有规定的，应采用中华人民共和国法定计量单位（货币单位：人民币元），否则视同未响应。</w:t>
      </w:r>
    </w:p>
    <w:p w14:paraId="7CC7090D">
      <w:pPr>
        <w:pStyle w:val="292"/>
        <w:spacing w:before="0" w:line="500" w:lineRule="exact"/>
        <w:ind w:firstLine="420"/>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（四）投标文件的提交、补充、修改、撤回</w:t>
      </w:r>
    </w:p>
    <w:p w14:paraId="7AB327D0">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60B4C93">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2.电子交易平台收到投标文件，将妥善保存并即时向供应商发出确认回执通知。在投标截止时间前，除供应商补充、修改或者撤回投标文件外，任何单位和个人不得解密或提取投标文件。</w:t>
      </w:r>
    </w:p>
    <w:p w14:paraId="3A85808A">
      <w:pPr>
        <w:snapToGrid w:val="0"/>
        <w:spacing w:line="50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3.采购人、采购机构可以视情况延长投标文件提交的截止时间。在上述情况下，采购机构与投标供应商以前在投标截止期方面的全部权利、责任和义务，将适用于延长至新的投标截止期。</w:t>
      </w:r>
    </w:p>
    <w:p w14:paraId="2EA0FF82">
      <w:pPr>
        <w:snapToGrid w:val="0"/>
        <w:spacing w:line="500" w:lineRule="exact"/>
        <w:ind w:firstLine="412" w:firstLineChars="196"/>
        <w:outlineLvl w:val="2"/>
        <w:rPr>
          <w:rFonts w:hint="eastAsia" w:ascii="微软雅黑" w:hAnsi="微软雅黑"/>
          <w:b/>
          <w:color w:val="auto"/>
          <w:szCs w:val="21"/>
          <w:highlight w:val="none"/>
        </w:rPr>
      </w:pPr>
      <w:bookmarkStart w:id="87" w:name="_Toc406402947"/>
      <w:bookmarkStart w:id="88" w:name="_Toc402963085"/>
      <w:bookmarkStart w:id="89" w:name="_Toc532218228"/>
      <w:bookmarkStart w:id="90" w:name="_Toc402963118"/>
      <w:bookmarkStart w:id="91" w:name="_Toc169015125"/>
      <w:bookmarkStart w:id="92" w:name="_Toc164943201"/>
      <w:bookmarkStart w:id="93" w:name="_Toc406402991"/>
      <w:bookmarkStart w:id="94" w:name="_Toc385854147"/>
      <w:bookmarkStart w:id="95" w:name="_Toc385854101"/>
      <w:r>
        <w:rPr>
          <w:rFonts w:hint="eastAsia" w:ascii="微软雅黑" w:hAnsi="微软雅黑"/>
          <w:b/>
          <w:color w:val="auto"/>
          <w:szCs w:val="21"/>
          <w:highlight w:val="none"/>
        </w:rPr>
        <w:t>（五）投标报价</w:t>
      </w:r>
      <w:bookmarkEnd w:id="87"/>
      <w:bookmarkEnd w:id="88"/>
      <w:bookmarkEnd w:id="89"/>
      <w:bookmarkEnd w:id="90"/>
      <w:bookmarkEnd w:id="91"/>
      <w:bookmarkEnd w:id="92"/>
      <w:bookmarkEnd w:id="93"/>
      <w:bookmarkEnd w:id="94"/>
      <w:bookmarkEnd w:id="95"/>
    </w:p>
    <w:p w14:paraId="7176DBBD">
      <w:pPr>
        <w:tabs>
          <w:tab w:val="left" w:pos="525"/>
        </w:tabs>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1.投标报价应按招标文件中相关附表格式填写。</w:t>
      </w:r>
    </w:p>
    <w:p w14:paraId="77D8E6BB">
      <w:pPr>
        <w:tabs>
          <w:tab w:val="left" w:pos="525"/>
        </w:tabs>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2.投标报价是履行合同的最终价格，有关本项目实施所涉及的一切费用均计入报价;</w:t>
      </w:r>
    </w:p>
    <w:p w14:paraId="5718848D">
      <w:pPr>
        <w:tabs>
          <w:tab w:val="left" w:pos="525"/>
        </w:tabs>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3.投标文件只允许有一个报价，有选择的报价将不予接受。</w:t>
      </w:r>
    </w:p>
    <w:p w14:paraId="62A1EF5C">
      <w:pPr>
        <w:tabs>
          <w:tab w:val="left" w:pos="525"/>
        </w:tabs>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4.采购人将以合同形式有偿取得货物或服务,不接受投标人给予的赠品、回扣或者与采购无关的其他商品、服务。</w:t>
      </w:r>
    </w:p>
    <w:p w14:paraId="796889F7">
      <w:pPr>
        <w:tabs>
          <w:tab w:val="left" w:pos="525"/>
        </w:tabs>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5.投标文件只允许有一个报价，有选择的或有条件的报价将不予接受。</w:t>
      </w:r>
    </w:p>
    <w:p w14:paraId="3A81B800">
      <w:pPr>
        <w:snapToGrid w:val="0"/>
        <w:spacing w:line="500" w:lineRule="exact"/>
        <w:ind w:firstLine="412" w:firstLineChars="196"/>
        <w:outlineLvl w:val="2"/>
        <w:rPr>
          <w:rFonts w:hint="eastAsia" w:ascii="微软雅黑" w:hAnsi="微软雅黑"/>
          <w:b/>
          <w:color w:val="auto"/>
          <w:szCs w:val="21"/>
          <w:highlight w:val="none"/>
        </w:rPr>
      </w:pPr>
      <w:bookmarkStart w:id="96" w:name="_Toc169015126"/>
      <w:bookmarkStart w:id="97" w:name="_Toc164943202"/>
      <w:r>
        <w:rPr>
          <w:rFonts w:hint="eastAsia" w:ascii="微软雅黑" w:hAnsi="微软雅黑"/>
          <w:b/>
          <w:color w:val="auto"/>
          <w:szCs w:val="21"/>
          <w:highlight w:val="none"/>
        </w:rPr>
        <w:t>（六）投标文件的有效期</w:t>
      </w:r>
      <w:bookmarkEnd w:id="96"/>
      <w:bookmarkEnd w:id="97"/>
    </w:p>
    <w:p w14:paraId="1D7CA7CD">
      <w:pPr>
        <w:pStyle w:val="14"/>
        <w:widowControl w:val="0"/>
        <w:numPr>
          <w:ilvl w:val="0"/>
          <w:numId w:val="0"/>
        </w:numPr>
        <w:tabs>
          <w:tab w:val="left" w:pos="360"/>
        </w:tabs>
        <w:snapToGrid w:val="0"/>
        <w:spacing w:afterLines="0" w:line="500" w:lineRule="exact"/>
        <w:rPr>
          <w:rFonts w:hint="eastAsia" w:ascii="微软雅黑" w:hAnsi="微软雅黑"/>
          <w:color w:val="auto"/>
          <w:sz w:val="21"/>
          <w:szCs w:val="21"/>
          <w:highlight w:val="none"/>
        </w:rPr>
      </w:pPr>
      <w:r>
        <w:rPr>
          <w:rFonts w:hint="eastAsia" w:ascii="微软雅黑" w:hAnsi="微软雅黑"/>
          <w:color w:val="auto"/>
          <w:sz w:val="21"/>
          <w:szCs w:val="21"/>
          <w:highlight w:val="none"/>
        </w:rPr>
        <w:t>1.自投标截止日起</w:t>
      </w:r>
      <w:r>
        <w:rPr>
          <w:rFonts w:hint="eastAsia" w:ascii="微软雅黑" w:hAnsi="微软雅黑"/>
          <w:color w:val="auto"/>
          <w:sz w:val="21"/>
          <w:szCs w:val="21"/>
          <w:highlight w:val="none"/>
          <w:u w:val="single"/>
        </w:rPr>
        <w:t>90</w:t>
      </w:r>
      <w:r>
        <w:rPr>
          <w:rFonts w:hint="eastAsia" w:ascii="微软雅黑" w:hAnsi="微软雅黑"/>
          <w:color w:val="auto"/>
          <w:sz w:val="21"/>
          <w:szCs w:val="21"/>
          <w:highlight w:val="none"/>
        </w:rPr>
        <w:t>天投标文件应保持有效。有效期不足的投标文件将被拒绝。</w:t>
      </w:r>
    </w:p>
    <w:p w14:paraId="523E281B">
      <w:pPr>
        <w:pStyle w:val="14"/>
        <w:widowControl w:val="0"/>
        <w:numPr>
          <w:ilvl w:val="0"/>
          <w:numId w:val="0"/>
        </w:numPr>
        <w:tabs>
          <w:tab w:val="left" w:pos="360"/>
        </w:tabs>
        <w:snapToGrid w:val="0"/>
        <w:spacing w:afterLines="0" w:line="500" w:lineRule="exact"/>
        <w:ind w:firstLine="420" w:firstLineChars="200"/>
        <w:rPr>
          <w:rFonts w:hint="eastAsia" w:ascii="微软雅黑" w:hAnsi="微软雅黑"/>
          <w:color w:val="auto"/>
          <w:sz w:val="21"/>
          <w:szCs w:val="21"/>
          <w:highlight w:val="none"/>
        </w:rPr>
      </w:pPr>
      <w:r>
        <w:rPr>
          <w:rFonts w:hint="eastAsia" w:ascii="微软雅黑" w:hAnsi="微软雅黑"/>
          <w:color w:val="auto"/>
          <w:sz w:val="21"/>
          <w:szCs w:val="21"/>
          <w:highlight w:val="none"/>
        </w:rPr>
        <w:t>2.在特殊情况下，采购人可与投标供应商协商延长投标书的有效期，这种要求和答复均以书面形式进行。</w:t>
      </w:r>
    </w:p>
    <w:p w14:paraId="35957C56">
      <w:pPr>
        <w:pStyle w:val="14"/>
        <w:widowControl w:val="0"/>
        <w:numPr>
          <w:ilvl w:val="0"/>
          <w:numId w:val="0"/>
        </w:numPr>
        <w:tabs>
          <w:tab w:val="left" w:pos="360"/>
        </w:tabs>
        <w:snapToGrid w:val="0"/>
        <w:spacing w:afterLines="0" w:line="500" w:lineRule="exact"/>
        <w:ind w:firstLine="420" w:firstLineChars="200"/>
        <w:rPr>
          <w:rFonts w:hint="eastAsia" w:ascii="微软雅黑" w:hAnsi="微软雅黑"/>
          <w:color w:val="auto"/>
          <w:sz w:val="21"/>
          <w:szCs w:val="21"/>
          <w:highlight w:val="none"/>
        </w:rPr>
      </w:pPr>
      <w:bookmarkStart w:id="98" w:name="_Toc406402993"/>
      <w:bookmarkStart w:id="99" w:name="_Toc402963120"/>
      <w:bookmarkStart w:id="100" w:name="_Toc385854103"/>
      <w:bookmarkStart w:id="101" w:name="_Toc406402949"/>
      <w:bookmarkStart w:id="102" w:name="_Toc532218229"/>
      <w:bookmarkStart w:id="103" w:name="_Toc402963087"/>
      <w:bookmarkStart w:id="104" w:name="_Toc385854149"/>
      <w:r>
        <w:rPr>
          <w:rFonts w:hint="eastAsia" w:ascii="微软雅黑" w:hAnsi="微软雅黑"/>
          <w:color w:val="auto"/>
          <w:sz w:val="21"/>
          <w:szCs w:val="21"/>
          <w:highlight w:val="none"/>
        </w:rPr>
        <w:t>3.中标供应商的投标文件自开标之日起至合同履行完毕止均应保持有效。</w:t>
      </w:r>
      <w:bookmarkEnd w:id="98"/>
      <w:bookmarkEnd w:id="99"/>
      <w:bookmarkEnd w:id="100"/>
      <w:bookmarkEnd w:id="101"/>
      <w:bookmarkEnd w:id="102"/>
      <w:bookmarkEnd w:id="103"/>
      <w:bookmarkEnd w:id="104"/>
    </w:p>
    <w:p w14:paraId="42CFB1A1">
      <w:pPr>
        <w:pStyle w:val="292"/>
        <w:spacing w:before="0" w:line="500" w:lineRule="exact"/>
        <w:ind w:firstLine="420"/>
        <w:rPr>
          <w:rFonts w:hint="eastAsia" w:ascii="微软雅黑" w:hAnsi="微软雅黑" w:eastAsia="微软雅黑"/>
          <w:color w:val="auto"/>
          <w:sz w:val="21"/>
          <w:szCs w:val="21"/>
          <w:highlight w:val="none"/>
        </w:rPr>
      </w:pPr>
      <w:r>
        <w:rPr>
          <w:rFonts w:hint="eastAsia" w:ascii="微软雅黑" w:hAnsi="微软雅黑" w:eastAsia="微软雅黑" w:cs="Times New Roman"/>
          <w:color w:val="auto"/>
          <w:sz w:val="21"/>
          <w:szCs w:val="21"/>
          <w:highlight w:val="none"/>
        </w:rPr>
        <w:t>4.在原定投标有效期满之前，如果出现特殊情况，采购机构可以以书面形式通知投标供应商延长投标有效期。投标供应商同意延长的，不得要求或被允许修改其投标文件，投标供应商拒绝延长的，其投标无效。</w:t>
      </w:r>
    </w:p>
    <w:p w14:paraId="34DE44C8">
      <w:pPr>
        <w:snapToGrid w:val="0"/>
        <w:spacing w:line="500" w:lineRule="exact"/>
        <w:ind w:firstLine="420"/>
        <w:outlineLvl w:val="2"/>
        <w:rPr>
          <w:rFonts w:hint="eastAsia" w:ascii="微软雅黑" w:hAnsi="微软雅黑"/>
          <w:b/>
          <w:color w:val="auto"/>
          <w:szCs w:val="21"/>
          <w:highlight w:val="none"/>
        </w:rPr>
      </w:pPr>
      <w:bookmarkStart w:id="105" w:name="_Toc164943203"/>
      <w:bookmarkStart w:id="106" w:name="_Toc169015127"/>
      <w:r>
        <w:rPr>
          <w:rFonts w:hint="eastAsia" w:ascii="微软雅黑" w:hAnsi="微软雅黑"/>
          <w:b/>
          <w:color w:val="auto"/>
          <w:szCs w:val="21"/>
          <w:highlight w:val="none"/>
        </w:rPr>
        <w:t>（七）投标无效的情形</w:t>
      </w:r>
      <w:bookmarkEnd w:id="105"/>
      <w:bookmarkEnd w:id="106"/>
    </w:p>
    <w:p w14:paraId="4E017796">
      <w:pPr>
        <w:snapToGrid w:val="0"/>
        <w:spacing w:line="50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1.电子投标文件解密失败的，且未在规定时间内提交有效备份投标文件的。电子投标文件解密失败，虽然在规定时间内提交了备份投标文件，但是备份投标文件无法导入或者无法读取或者不符合本招标文件和电子交易平台要求的。</w:t>
      </w:r>
    </w:p>
    <w:p w14:paraId="2955818C">
      <w:pPr>
        <w:snapToGrid w:val="0"/>
        <w:spacing w:line="50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2.仅提交备份投标文件，没有在电子交易平台传输递交投标文件的。</w:t>
      </w:r>
    </w:p>
    <w:p w14:paraId="50579959">
      <w:pPr>
        <w:snapToGrid w:val="0"/>
        <w:spacing w:line="50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3.没有通过资格审查的，投标文件将被视为无效。</w:t>
      </w:r>
    </w:p>
    <w:p w14:paraId="4BA2BBBB">
      <w:pPr>
        <w:snapToGrid w:val="0"/>
        <w:spacing w:line="50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4.在符合性审查和商务评审时，如发现下列情形之一的，投标文件将被视为无效：</w:t>
      </w:r>
    </w:p>
    <w:p w14:paraId="3D08CAF4">
      <w:pPr>
        <w:snapToGrid w:val="0"/>
        <w:spacing w:line="500" w:lineRule="exact"/>
        <w:ind w:firstLine="411" w:firstLineChars="196"/>
        <w:rPr>
          <w:rFonts w:hint="eastAsia" w:ascii="微软雅黑" w:hAnsi="微软雅黑"/>
          <w:color w:val="auto"/>
          <w:szCs w:val="21"/>
          <w:highlight w:val="none"/>
        </w:rPr>
      </w:pPr>
      <w:r>
        <w:rPr>
          <w:rFonts w:hint="eastAsia" w:ascii="微软雅黑" w:hAnsi="微软雅黑"/>
          <w:bCs/>
          <w:color w:val="auto"/>
          <w:szCs w:val="21"/>
          <w:highlight w:val="none"/>
        </w:rPr>
        <w:t>4.1</w:t>
      </w:r>
      <w:r>
        <w:rPr>
          <w:rFonts w:hint="eastAsia" w:ascii="微软雅黑" w:hAnsi="微软雅黑"/>
          <w:color w:val="auto"/>
          <w:szCs w:val="21"/>
          <w:highlight w:val="none"/>
        </w:rPr>
        <w:t>电子投标文件未按规定要求提供电子签章的。</w:t>
      </w:r>
    </w:p>
    <w:p w14:paraId="155EBA33">
      <w:pPr>
        <w:snapToGrid w:val="0"/>
        <w:spacing w:line="500" w:lineRule="exact"/>
        <w:ind w:firstLine="420"/>
        <w:rPr>
          <w:rFonts w:hint="eastAsia" w:ascii="微软雅黑" w:hAnsi="微软雅黑"/>
          <w:bCs/>
          <w:color w:val="auto"/>
          <w:szCs w:val="21"/>
          <w:highlight w:val="none"/>
        </w:rPr>
      </w:pPr>
      <w:r>
        <w:rPr>
          <w:rFonts w:hint="eastAsia" w:ascii="微软雅黑" w:hAnsi="微软雅黑"/>
          <w:color w:val="auto"/>
          <w:szCs w:val="21"/>
          <w:highlight w:val="none"/>
        </w:rPr>
        <w:t>4.2</w:t>
      </w:r>
      <w:r>
        <w:rPr>
          <w:rFonts w:hint="eastAsia" w:ascii="微软雅黑" w:hAnsi="微软雅黑"/>
          <w:bCs/>
          <w:color w:val="auto"/>
          <w:szCs w:val="21"/>
          <w:highlight w:val="none"/>
        </w:rPr>
        <w:t>在资信商务技术文件中出现报价的。</w:t>
      </w:r>
    </w:p>
    <w:p w14:paraId="6E19FBE9">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4.3未按要求对资格文件进行承诺，或虚假承诺的。</w:t>
      </w:r>
    </w:p>
    <w:p w14:paraId="75E1FB20">
      <w:pPr>
        <w:snapToGrid w:val="0"/>
        <w:spacing w:line="500" w:lineRule="exact"/>
        <w:ind w:firstLine="411" w:firstLineChars="196"/>
        <w:rPr>
          <w:rFonts w:hint="eastAsia" w:ascii="微软雅黑" w:hAnsi="微软雅黑"/>
          <w:bCs/>
          <w:color w:val="auto"/>
          <w:kern w:val="0"/>
          <w:szCs w:val="21"/>
          <w:highlight w:val="none"/>
        </w:rPr>
      </w:pPr>
      <w:r>
        <w:rPr>
          <w:rFonts w:hint="eastAsia" w:ascii="微软雅黑" w:hAnsi="微软雅黑"/>
          <w:color w:val="auto"/>
          <w:szCs w:val="21"/>
          <w:highlight w:val="none"/>
        </w:rPr>
        <w:t>4.4未</w:t>
      </w:r>
      <w:r>
        <w:rPr>
          <w:rFonts w:hint="eastAsia" w:ascii="微软雅黑" w:hAnsi="微软雅黑"/>
          <w:bCs/>
          <w:color w:val="auto"/>
          <w:kern w:val="0"/>
          <w:szCs w:val="21"/>
          <w:highlight w:val="none"/>
        </w:rPr>
        <w:t>提供法定代表人授权委托书、投标函或者填写项目不齐全的。</w:t>
      </w:r>
    </w:p>
    <w:p w14:paraId="796BE099">
      <w:pPr>
        <w:pStyle w:val="22"/>
        <w:snapToGrid w:val="0"/>
        <w:spacing w:line="500" w:lineRule="exact"/>
        <w:ind w:firstLine="395" w:firstLineChars="196"/>
        <w:rPr>
          <w:rFonts w:hint="eastAsia" w:ascii="微软雅黑" w:hAnsi="微软雅黑"/>
          <w:snapToGrid w:val="0"/>
          <w:color w:val="auto"/>
          <w:sz w:val="21"/>
          <w:szCs w:val="21"/>
          <w:highlight w:val="none"/>
        </w:rPr>
      </w:pPr>
      <w:r>
        <w:rPr>
          <w:rFonts w:hint="eastAsia" w:ascii="微软雅黑" w:hAnsi="微软雅黑"/>
          <w:color w:val="auto"/>
          <w:sz w:val="21"/>
          <w:szCs w:val="21"/>
          <w:highlight w:val="none"/>
        </w:rPr>
        <w:t>4.5投标文件格式不规范、项目不齐全或者内容虚假的。</w:t>
      </w:r>
    </w:p>
    <w:p w14:paraId="3A945607">
      <w:pPr>
        <w:pStyle w:val="22"/>
        <w:snapToGrid w:val="0"/>
        <w:spacing w:line="500" w:lineRule="exact"/>
        <w:ind w:firstLine="395" w:firstLineChars="196"/>
        <w:rPr>
          <w:rFonts w:hint="eastAsia" w:ascii="微软雅黑" w:hAnsi="微软雅黑"/>
          <w:snapToGrid w:val="0"/>
          <w:color w:val="auto"/>
          <w:sz w:val="21"/>
          <w:szCs w:val="21"/>
          <w:highlight w:val="none"/>
        </w:rPr>
      </w:pPr>
      <w:r>
        <w:rPr>
          <w:rFonts w:hint="eastAsia" w:ascii="微软雅黑" w:hAnsi="微软雅黑"/>
          <w:color w:val="auto"/>
          <w:sz w:val="21"/>
          <w:szCs w:val="21"/>
          <w:highlight w:val="none"/>
        </w:rPr>
        <w:t>4.6投标文件的实质性内容未使用中文表述、意思表述不明确、前后矛盾或者使用计量单位不符合招标文件要求的（经评标委员会认定并允许其当场更正的笔误除外）。</w:t>
      </w:r>
    </w:p>
    <w:p w14:paraId="67B51B8A">
      <w:pPr>
        <w:pStyle w:val="22"/>
        <w:snapToGrid w:val="0"/>
        <w:spacing w:line="500" w:lineRule="exact"/>
        <w:ind w:firstLine="395" w:firstLineChars="196"/>
        <w:rPr>
          <w:rFonts w:hint="eastAsia" w:ascii="微软雅黑" w:hAnsi="微软雅黑"/>
          <w:snapToGrid w:val="0"/>
          <w:color w:val="auto"/>
          <w:sz w:val="21"/>
          <w:szCs w:val="21"/>
          <w:highlight w:val="none"/>
        </w:rPr>
      </w:pPr>
      <w:r>
        <w:rPr>
          <w:rFonts w:hint="eastAsia" w:ascii="微软雅黑" w:hAnsi="微软雅黑"/>
          <w:color w:val="auto"/>
          <w:sz w:val="21"/>
          <w:szCs w:val="21"/>
          <w:highlight w:val="none"/>
        </w:rPr>
        <w:t>4.7</w:t>
      </w:r>
      <w:r>
        <w:rPr>
          <w:rFonts w:hint="eastAsia" w:ascii="微软雅黑" w:hAnsi="微软雅黑"/>
          <w:snapToGrid w:val="0"/>
          <w:color w:val="auto"/>
          <w:sz w:val="21"/>
          <w:szCs w:val="21"/>
          <w:highlight w:val="none"/>
        </w:rPr>
        <w:t>投标有效期、服务承诺等商务条款不能满足招标文件要求的。</w:t>
      </w:r>
    </w:p>
    <w:p w14:paraId="29EE6489">
      <w:pPr>
        <w:pStyle w:val="22"/>
        <w:snapToGrid w:val="0"/>
        <w:spacing w:line="50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4.8未实质性响应招标文件要求或者投标文件有采购人不能接受的附加条件的。</w:t>
      </w:r>
    </w:p>
    <w:p w14:paraId="3993A8B9">
      <w:pPr>
        <w:pStyle w:val="22"/>
        <w:snapToGrid w:val="0"/>
        <w:spacing w:line="50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4.9不符合本招标文件中的实质性要求条款。</w:t>
      </w:r>
    </w:p>
    <w:p w14:paraId="70BC8996">
      <w:pPr>
        <w:pStyle w:val="22"/>
        <w:snapToGrid w:val="0"/>
        <w:spacing w:line="500" w:lineRule="exact"/>
        <w:ind w:firstLine="396" w:firstLineChars="196"/>
        <w:rPr>
          <w:rFonts w:hint="eastAsia" w:ascii="微软雅黑" w:hAnsi="微软雅黑"/>
          <w:b/>
          <w:bCs/>
          <w:color w:val="auto"/>
          <w:sz w:val="21"/>
          <w:szCs w:val="21"/>
          <w:highlight w:val="none"/>
        </w:rPr>
      </w:pPr>
      <w:r>
        <w:rPr>
          <w:rFonts w:hint="eastAsia" w:ascii="微软雅黑" w:hAnsi="微软雅黑"/>
          <w:b/>
          <w:bCs/>
          <w:color w:val="auto"/>
          <w:sz w:val="21"/>
          <w:szCs w:val="21"/>
          <w:highlight w:val="none"/>
        </w:rPr>
        <w:t>5.在技术评审时，如发现下列情形之一的，投标文件将被视为无效：</w:t>
      </w:r>
    </w:p>
    <w:p w14:paraId="0BF72B2B">
      <w:pPr>
        <w:pStyle w:val="22"/>
        <w:snapToGrid w:val="0"/>
        <w:spacing w:line="50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5.1未提供或未如实提供投标货物的技术参数，或者投标文件标明的响应或偏离与事实不符或虚假投标的。</w:t>
      </w:r>
    </w:p>
    <w:p w14:paraId="243FC4D9">
      <w:pPr>
        <w:pStyle w:val="22"/>
        <w:snapToGrid w:val="0"/>
        <w:spacing w:line="50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5.2</w:t>
      </w:r>
      <w:r>
        <w:rPr>
          <w:rFonts w:hint="eastAsia" w:ascii="微软雅黑" w:hAnsi="微软雅黑"/>
          <w:snapToGrid w:val="0"/>
          <w:color w:val="auto"/>
          <w:sz w:val="21"/>
          <w:szCs w:val="21"/>
          <w:highlight w:val="none"/>
        </w:rPr>
        <w:t>明显不符合招标文件要求的规格型号、质量标准，或者与</w:t>
      </w:r>
      <w:r>
        <w:rPr>
          <w:rFonts w:hint="eastAsia" w:ascii="微软雅黑" w:hAnsi="微软雅黑"/>
          <w:color w:val="auto"/>
          <w:sz w:val="21"/>
          <w:szCs w:val="21"/>
          <w:highlight w:val="none"/>
        </w:rPr>
        <w:t>招标文件中标“▲”的技术指标、主要功能项目发生实质性偏离的。</w:t>
      </w:r>
    </w:p>
    <w:p w14:paraId="3D6F8376">
      <w:pPr>
        <w:pStyle w:val="22"/>
        <w:snapToGrid w:val="0"/>
        <w:spacing w:line="500" w:lineRule="exact"/>
        <w:ind w:firstLine="395" w:firstLineChars="196"/>
        <w:rPr>
          <w:rFonts w:hint="eastAsia" w:ascii="微软雅黑" w:hAnsi="微软雅黑"/>
          <w:color w:val="auto"/>
          <w:sz w:val="21"/>
          <w:szCs w:val="21"/>
          <w:highlight w:val="none"/>
        </w:rPr>
      </w:pPr>
      <w:r>
        <w:rPr>
          <w:rFonts w:hint="eastAsia" w:ascii="微软雅黑" w:hAnsi="微软雅黑"/>
          <w:snapToGrid w:val="0"/>
          <w:color w:val="auto"/>
          <w:sz w:val="21"/>
          <w:szCs w:val="21"/>
          <w:highlight w:val="none"/>
        </w:rPr>
        <w:t>5.3</w:t>
      </w:r>
      <w:r>
        <w:rPr>
          <w:rFonts w:hint="eastAsia" w:ascii="微软雅黑" w:hAnsi="微软雅黑"/>
          <w:color w:val="auto"/>
          <w:sz w:val="21"/>
          <w:szCs w:val="21"/>
          <w:highlight w:val="none"/>
        </w:rPr>
        <w:t>投标技术方案不明确，存在一个或一个以上备选（替代）投标方案的。</w:t>
      </w:r>
    </w:p>
    <w:p w14:paraId="7A131C68">
      <w:pPr>
        <w:pStyle w:val="22"/>
        <w:snapToGrid w:val="0"/>
        <w:spacing w:line="500" w:lineRule="exact"/>
        <w:ind w:firstLine="396" w:firstLineChars="196"/>
        <w:rPr>
          <w:rFonts w:hint="eastAsia" w:ascii="微软雅黑" w:hAnsi="微软雅黑"/>
          <w:b/>
          <w:bCs/>
          <w:color w:val="auto"/>
          <w:sz w:val="21"/>
          <w:szCs w:val="21"/>
          <w:highlight w:val="none"/>
        </w:rPr>
      </w:pPr>
      <w:r>
        <w:rPr>
          <w:rFonts w:hint="eastAsia" w:ascii="微软雅黑" w:hAnsi="微软雅黑"/>
          <w:b/>
          <w:bCs/>
          <w:color w:val="auto"/>
          <w:sz w:val="21"/>
          <w:szCs w:val="21"/>
          <w:highlight w:val="none"/>
        </w:rPr>
        <w:t>6.在报价评审时，如发现下列情形之一的，投标文件将被视为无效：</w:t>
      </w:r>
    </w:p>
    <w:p w14:paraId="4A35BA1E">
      <w:pPr>
        <w:pStyle w:val="22"/>
        <w:snapToGrid w:val="0"/>
        <w:spacing w:line="50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6.1未按要求提供《开标一览表》。</w:t>
      </w:r>
    </w:p>
    <w:p w14:paraId="0A31DFF4">
      <w:pPr>
        <w:pStyle w:val="22"/>
        <w:snapToGrid w:val="0"/>
        <w:spacing w:line="50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6.2未采用人民币报价或者未按照招标文件标明的币种报价的。</w:t>
      </w:r>
    </w:p>
    <w:p w14:paraId="366938F5">
      <w:pPr>
        <w:pStyle w:val="22"/>
        <w:snapToGrid w:val="0"/>
        <w:spacing w:line="50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6.3报价超出最高限价的。</w:t>
      </w:r>
    </w:p>
    <w:p w14:paraId="7DBAD402">
      <w:pPr>
        <w:pStyle w:val="22"/>
        <w:snapToGrid w:val="0"/>
        <w:spacing w:line="50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 xml:space="preserve">6.4投标报价具有选择性，或者开标价格与投标文件承诺的优惠（折扣）价格不一致的。   </w:t>
      </w:r>
    </w:p>
    <w:p w14:paraId="03645C19">
      <w:pPr>
        <w:spacing w:line="500" w:lineRule="exact"/>
        <w:ind w:firstLine="404"/>
        <w:rPr>
          <w:rFonts w:hint="eastAsia" w:ascii="微软雅黑" w:hAnsi="微软雅黑"/>
          <w:color w:val="auto"/>
          <w:spacing w:val="-4"/>
          <w:kern w:val="0"/>
          <w:szCs w:val="21"/>
          <w:highlight w:val="none"/>
        </w:rPr>
      </w:pPr>
      <w:r>
        <w:rPr>
          <w:rFonts w:hint="eastAsia" w:ascii="微软雅黑" w:hAnsi="微软雅黑"/>
          <w:color w:val="auto"/>
          <w:spacing w:val="-4"/>
          <w:kern w:val="0"/>
          <w:szCs w:val="21"/>
          <w:highlight w:val="none"/>
        </w:rPr>
        <w:t xml:space="preserve">6.5报价明显低于其他通过符合性审查投标供应商的报价，有可能影响产品质量或者不能诚信履约的，未能按要求提供书面说明或者提交相关证明材料，不能证明其报价合理性的; </w:t>
      </w:r>
    </w:p>
    <w:p w14:paraId="3C2DD8DD">
      <w:pPr>
        <w:spacing w:line="500" w:lineRule="exact"/>
        <w:ind w:firstLine="404"/>
        <w:rPr>
          <w:rFonts w:hint="eastAsia" w:ascii="微软雅黑" w:hAnsi="微软雅黑"/>
          <w:color w:val="auto"/>
          <w:spacing w:val="-4"/>
          <w:kern w:val="0"/>
          <w:szCs w:val="21"/>
          <w:highlight w:val="none"/>
        </w:rPr>
      </w:pPr>
      <w:r>
        <w:rPr>
          <w:rFonts w:hint="eastAsia" w:ascii="微软雅黑" w:hAnsi="微软雅黑"/>
          <w:color w:val="auto"/>
          <w:spacing w:val="-4"/>
          <w:kern w:val="0"/>
          <w:szCs w:val="21"/>
          <w:highlight w:val="none"/>
        </w:rPr>
        <w:t xml:space="preserve">6.6报价一经涂改，应在涂改处加盖单位公章或者由法定代表人或被授权人签字（或盖章），否则其投标作无效标处理；   </w:t>
      </w:r>
    </w:p>
    <w:p w14:paraId="45E56F73">
      <w:pPr>
        <w:numPr>
          <w:ilvl w:val="0"/>
          <w:numId w:val="13"/>
        </w:numPr>
        <w:spacing w:line="500" w:lineRule="exact"/>
        <w:ind w:left="0" w:firstLine="420"/>
        <w:rPr>
          <w:rFonts w:hint="eastAsia" w:ascii="微软雅黑" w:hAnsi="微软雅黑" w:cs="Arial"/>
          <w:color w:val="auto"/>
          <w:kern w:val="0"/>
          <w:szCs w:val="21"/>
          <w:highlight w:val="none"/>
        </w:rPr>
      </w:pPr>
      <w:r>
        <w:rPr>
          <w:rFonts w:hint="eastAsia" w:ascii="微软雅黑" w:hAnsi="微软雅黑" w:cs="宋体"/>
          <w:b/>
          <w:bCs/>
          <w:color w:val="auto"/>
          <w:szCs w:val="21"/>
          <w:highlight w:val="none"/>
        </w:rPr>
        <w:t>投标供应商有恶意串通、妨碍其他投标供应商的竞争行为、损害采购人或者其他投标供应商的合法权益情形的，投标文</w:t>
      </w:r>
      <w:r>
        <w:rPr>
          <w:rFonts w:hint="eastAsia" w:ascii="微软雅黑" w:hAnsi="微软雅黑"/>
          <w:b/>
          <w:bCs/>
          <w:color w:val="auto"/>
          <w:szCs w:val="21"/>
          <w:highlight w:val="none"/>
        </w:rPr>
        <w:t>件将被视为无效</w:t>
      </w:r>
      <w:r>
        <w:rPr>
          <w:rFonts w:ascii="微软雅黑" w:hAnsi="微软雅黑" w:cs="Arial"/>
          <w:color w:val="auto"/>
          <w:kern w:val="0"/>
          <w:szCs w:val="21"/>
          <w:highlight w:val="none"/>
        </w:rPr>
        <w:t>；</w:t>
      </w:r>
    </w:p>
    <w:p w14:paraId="6F31E76B">
      <w:pPr>
        <w:spacing w:line="500" w:lineRule="exact"/>
        <w:ind w:firstLine="420"/>
        <w:rPr>
          <w:rFonts w:hint="eastAsia" w:ascii="微软雅黑" w:hAnsi="微软雅黑" w:cs="微软雅黑"/>
          <w:color w:val="auto"/>
          <w:kern w:val="0"/>
          <w:szCs w:val="21"/>
          <w:highlight w:val="none"/>
          <w:shd w:val="clear" w:color="FFFFFF" w:fill="D9D9D9"/>
        </w:rPr>
      </w:pPr>
      <w:r>
        <w:rPr>
          <w:rFonts w:hint="eastAsia" w:ascii="微软雅黑" w:hAnsi="微软雅黑" w:cs="微软雅黑"/>
          <w:color w:val="auto"/>
          <w:kern w:val="0"/>
          <w:szCs w:val="21"/>
          <w:highlight w:val="none"/>
          <w:shd w:val="clear" w:color="FFFFFF" w:fill="D9D9D9"/>
        </w:rPr>
        <w:t>除政府采购法律法规规章规定的属于恶意串通、视为串通投标情形外，在不影响公平竞争的前提下，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02277CFD">
      <w:pPr>
        <w:spacing w:line="500" w:lineRule="exact"/>
        <w:ind w:firstLine="420"/>
        <w:rPr>
          <w:rFonts w:hint="eastAsia" w:ascii="微软雅黑" w:hAnsi="微软雅黑"/>
          <w:color w:val="auto"/>
          <w:szCs w:val="21"/>
          <w:highlight w:val="none"/>
        </w:rPr>
      </w:pPr>
      <w:r>
        <w:rPr>
          <w:rFonts w:hint="eastAsia" w:ascii="微软雅黑" w:hAnsi="微软雅黑" w:cs="微软雅黑"/>
          <w:color w:val="auto"/>
          <w:kern w:val="0"/>
          <w:szCs w:val="21"/>
          <w:highlight w:val="none"/>
          <w:shd w:val="clear" w:color="FFFFFF" w:fill="D9D9D9"/>
        </w:rPr>
        <w:t>在资格审查过程中，发现供应商有采购文件约定的上述情形的，采购人、采购代理机构应当根据采购文件认定其投标（响应）无效；在评审过程中，发现供应商有采购文件约定的上述情形的，评审小组应当根据采购文件认定其投标（响应）无效，评审报告应详细记录相关情况。资格审查、评审结束后由采购代理机构或采购人书面报告本级财政部门。</w:t>
      </w:r>
      <w:r>
        <w:rPr>
          <w:rFonts w:hint="eastAsia" w:ascii="微软雅黑" w:hAnsi="微软雅黑"/>
          <w:color w:val="auto"/>
          <w:szCs w:val="21"/>
          <w:highlight w:val="none"/>
        </w:rPr>
        <w:t xml:space="preserve"> </w:t>
      </w:r>
    </w:p>
    <w:p w14:paraId="3FF29A67">
      <w:pPr>
        <w:pStyle w:val="22"/>
        <w:snapToGrid w:val="0"/>
        <w:spacing w:line="500" w:lineRule="exact"/>
        <w:ind w:firstLine="396" w:firstLineChars="196"/>
        <w:rPr>
          <w:rFonts w:hint="eastAsia" w:ascii="微软雅黑" w:hAnsi="微软雅黑"/>
          <w:color w:val="auto"/>
          <w:sz w:val="21"/>
          <w:szCs w:val="21"/>
          <w:highlight w:val="none"/>
        </w:rPr>
      </w:pPr>
      <w:r>
        <w:rPr>
          <w:rFonts w:hint="eastAsia" w:ascii="微软雅黑" w:hAnsi="微软雅黑"/>
          <w:b/>
          <w:bCs/>
          <w:color w:val="auto"/>
          <w:sz w:val="21"/>
          <w:szCs w:val="21"/>
          <w:highlight w:val="none"/>
        </w:rPr>
        <w:t>8.法律、法规、规章（适用本市的）及省级以上规范性文件（适用本市的）规定的其他无效情形。</w:t>
      </w:r>
      <w:r>
        <w:rPr>
          <w:rFonts w:hint="eastAsia" w:ascii="微软雅黑" w:hAnsi="微软雅黑"/>
          <w:color w:val="auto"/>
          <w:sz w:val="21"/>
          <w:szCs w:val="21"/>
          <w:highlight w:val="none"/>
        </w:rPr>
        <w:t xml:space="preserve">                                                                                    </w:t>
      </w:r>
    </w:p>
    <w:p w14:paraId="591A2681">
      <w:pPr>
        <w:pStyle w:val="22"/>
        <w:snapToGrid w:val="0"/>
        <w:spacing w:line="500" w:lineRule="exact"/>
        <w:ind w:firstLine="404"/>
        <w:rPr>
          <w:rFonts w:hint="eastAsia" w:ascii="微软雅黑" w:hAnsi="微软雅黑"/>
          <w:b/>
          <w:color w:val="auto"/>
          <w:sz w:val="21"/>
          <w:szCs w:val="21"/>
          <w:highlight w:val="none"/>
        </w:rPr>
      </w:pPr>
      <w:r>
        <w:rPr>
          <w:rFonts w:hint="eastAsia" w:ascii="微软雅黑" w:hAnsi="微软雅黑"/>
          <w:b/>
          <w:color w:val="auto"/>
          <w:sz w:val="21"/>
          <w:szCs w:val="21"/>
          <w:highlight w:val="none"/>
        </w:rPr>
        <w:t>9.被拒绝的投标文件为无效。</w:t>
      </w:r>
    </w:p>
    <w:p w14:paraId="5B43FF79">
      <w:pPr>
        <w:pStyle w:val="22"/>
        <w:snapToGrid w:val="0"/>
        <w:spacing w:line="500" w:lineRule="exact"/>
        <w:ind w:firstLine="202" w:firstLineChars="100"/>
        <w:rPr>
          <w:rFonts w:hint="eastAsia" w:ascii="微软雅黑" w:hAnsi="微软雅黑"/>
          <w:b/>
          <w:color w:val="auto"/>
          <w:sz w:val="21"/>
          <w:szCs w:val="21"/>
          <w:highlight w:val="none"/>
        </w:rPr>
      </w:pPr>
      <w:r>
        <w:rPr>
          <w:rFonts w:hint="eastAsia" w:ascii="微软雅黑" w:hAnsi="微软雅黑"/>
          <w:b/>
          <w:color w:val="auto"/>
          <w:sz w:val="21"/>
          <w:szCs w:val="21"/>
          <w:highlight w:val="none"/>
        </w:rPr>
        <w:t>（八）废标的情形</w:t>
      </w:r>
    </w:p>
    <w:p w14:paraId="5AACB247">
      <w:pPr>
        <w:pStyle w:val="22"/>
        <w:snapToGrid w:val="0"/>
        <w:spacing w:line="50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根据《中华人民共和国政府采购法》第三十六条之规定，在采购中，出现下列情形之一的，应予废标：</w:t>
      </w:r>
    </w:p>
    <w:p w14:paraId="2E402828">
      <w:pPr>
        <w:pStyle w:val="22"/>
        <w:snapToGrid w:val="0"/>
        <w:spacing w:line="50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1.符合专业条件的供应商或者对招标文件作实质响应的供应商不足3家的；</w:t>
      </w:r>
    </w:p>
    <w:p w14:paraId="6E51629E">
      <w:pPr>
        <w:pStyle w:val="22"/>
        <w:snapToGrid w:val="0"/>
        <w:spacing w:line="50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2.出现影响采购公正的违法、违规行为的；</w:t>
      </w:r>
    </w:p>
    <w:p w14:paraId="43412A4E">
      <w:pPr>
        <w:pStyle w:val="22"/>
        <w:snapToGrid w:val="0"/>
        <w:spacing w:line="50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3.投标供应商的报价均超过了采购预算，采购人不能支付的；</w:t>
      </w:r>
    </w:p>
    <w:p w14:paraId="3600C32F">
      <w:pPr>
        <w:pStyle w:val="22"/>
        <w:snapToGrid w:val="0"/>
        <w:spacing w:line="50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4.因重大变故，采购任务取消的。</w:t>
      </w:r>
    </w:p>
    <w:p w14:paraId="564CBB8A">
      <w:pPr>
        <w:pStyle w:val="22"/>
        <w:snapToGrid w:val="0"/>
        <w:spacing w:line="50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废标后，采购机构应当将废标理由通知所有投标供应商。</w:t>
      </w:r>
    </w:p>
    <w:p w14:paraId="58C37253">
      <w:pPr>
        <w:pStyle w:val="4"/>
        <w:keepNext w:val="0"/>
        <w:spacing w:line="500" w:lineRule="exact"/>
        <w:ind w:firstLine="420"/>
        <w:rPr>
          <w:rFonts w:hint="eastAsia" w:ascii="微软雅黑" w:hAnsi="微软雅黑"/>
          <w:color w:val="auto"/>
          <w:szCs w:val="21"/>
          <w:highlight w:val="none"/>
        </w:rPr>
      </w:pPr>
      <w:bookmarkStart w:id="107" w:name="_Toc18242"/>
      <w:r>
        <w:rPr>
          <w:rFonts w:hint="eastAsia" w:ascii="微软雅黑" w:hAnsi="微软雅黑"/>
          <w:color w:val="auto"/>
          <w:szCs w:val="21"/>
          <w:highlight w:val="none"/>
        </w:rPr>
        <w:t>四、开标</w:t>
      </w:r>
      <w:bookmarkEnd w:id="72"/>
      <w:bookmarkEnd w:id="107"/>
    </w:p>
    <w:p w14:paraId="5D05C825">
      <w:pPr>
        <w:pStyle w:val="22"/>
        <w:snapToGrid w:val="0"/>
        <w:spacing w:line="50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1.本项目实行电子开评标，供应商无需到开标现场，但须准时在线参加，直至评审结束。投标供应商不足3家的，不得开标。</w:t>
      </w:r>
    </w:p>
    <w:p w14:paraId="41DC2628">
      <w:pPr>
        <w:pStyle w:val="22"/>
        <w:snapToGrid w:val="0"/>
        <w:spacing w:line="50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2.投标截止时间后的半小时内，由各供应商自行对电子投标文件进行解密请各供应商务必在规定时间内完成电子投标文件的解密工作；开启报价环节，供应商须在15分钟内在系统里CA签字确认。</w:t>
      </w:r>
    </w:p>
    <w:p w14:paraId="35B0A9E5">
      <w:pPr>
        <w:pStyle w:val="22"/>
        <w:snapToGrid w:val="0"/>
        <w:spacing w:line="500" w:lineRule="exact"/>
        <w:ind w:firstLine="395" w:firstLineChars="196"/>
        <w:rPr>
          <w:rFonts w:hint="eastAsia" w:ascii="微软雅黑" w:hAnsi="微软雅黑" w:cs="宋体"/>
          <w:color w:val="auto"/>
          <w:kern w:val="0"/>
          <w:sz w:val="21"/>
          <w:szCs w:val="21"/>
          <w:highlight w:val="none"/>
          <w:shd w:val="pct10" w:color="auto" w:fill="FFFFFF"/>
        </w:rPr>
      </w:pPr>
      <w:r>
        <w:rPr>
          <w:rFonts w:hint="eastAsia" w:ascii="微软雅黑" w:hAnsi="微软雅黑"/>
          <w:color w:val="auto"/>
          <w:sz w:val="21"/>
          <w:szCs w:val="21"/>
          <w:highlight w:val="none"/>
        </w:rPr>
        <w:t>3.投标文件未按时解密，投标供应商提供了备份投标文件的，以备份投标文件作为依据，否则视为投标文件撤回。投标文件已按时解密的，备份投标文件自动失效。</w:t>
      </w:r>
    </w:p>
    <w:p w14:paraId="5572761B">
      <w:pPr>
        <w:pStyle w:val="4"/>
        <w:keepNext w:val="0"/>
        <w:spacing w:line="500" w:lineRule="exact"/>
        <w:ind w:firstLine="420"/>
        <w:rPr>
          <w:rFonts w:hint="eastAsia" w:ascii="微软雅黑" w:hAnsi="微软雅黑"/>
          <w:color w:val="auto"/>
          <w:szCs w:val="21"/>
          <w:highlight w:val="none"/>
        </w:rPr>
      </w:pPr>
      <w:bookmarkStart w:id="108" w:name="_Toc30689"/>
      <w:bookmarkStart w:id="109" w:name="_Toc33535370"/>
      <w:r>
        <w:rPr>
          <w:rFonts w:hint="eastAsia" w:ascii="微软雅黑" w:hAnsi="微软雅黑"/>
          <w:color w:val="auto"/>
          <w:szCs w:val="21"/>
          <w:highlight w:val="none"/>
        </w:rPr>
        <w:t>五、评标</w:t>
      </w:r>
      <w:bookmarkEnd w:id="108"/>
      <w:bookmarkEnd w:id="109"/>
    </w:p>
    <w:p w14:paraId="2329C154">
      <w:pPr>
        <w:pStyle w:val="30"/>
        <w:snapToGrid w:val="0"/>
        <w:spacing w:line="500" w:lineRule="exact"/>
        <w:ind w:left="210" w:leftChars="100" w:firstLine="10" w:firstLineChars="0"/>
        <w:rPr>
          <w:rFonts w:hint="eastAsia" w:ascii="微软雅黑" w:hAnsi="微软雅黑"/>
          <w:b/>
          <w:color w:val="auto"/>
          <w:szCs w:val="21"/>
          <w:highlight w:val="none"/>
        </w:rPr>
      </w:pPr>
      <w:bookmarkStart w:id="110" w:name="_Toc33535371"/>
      <w:r>
        <w:rPr>
          <w:rFonts w:hint="eastAsia" w:ascii="微软雅黑" w:hAnsi="微软雅黑"/>
          <w:b/>
          <w:color w:val="auto"/>
          <w:szCs w:val="21"/>
          <w:highlight w:val="none"/>
        </w:rPr>
        <w:t>（一）组建评标委员会</w:t>
      </w:r>
    </w:p>
    <w:p w14:paraId="13EA6CFD">
      <w:pPr>
        <w:pStyle w:val="30"/>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评标委员会由采购人代表和评审专家组成，政府采购评审专家</w:t>
      </w:r>
      <w:r>
        <w:rPr>
          <w:rFonts w:hint="eastAsia" w:ascii="微软雅黑" w:hAnsi="微软雅黑"/>
          <w:color w:val="auto"/>
          <w:szCs w:val="21"/>
          <w:highlight w:val="none"/>
          <w:u w:val="single"/>
        </w:rPr>
        <w:t xml:space="preserve"> 4 </w:t>
      </w:r>
      <w:r>
        <w:rPr>
          <w:rFonts w:hint="eastAsia" w:ascii="微软雅黑" w:hAnsi="微软雅黑"/>
          <w:color w:val="auto"/>
          <w:szCs w:val="21"/>
          <w:highlight w:val="none"/>
        </w:rPr>
        <w:t>人和采购人代表</w:t>
      </w:r>
      <w:r>
        <w:rPr>
          <w:rFonts w:hint="eastAsia" w:ascii="微软雅黑" w:hAnsi="微软雅黑"/>
          <w:color w:val="auto"/>
          <w:szCs w:val="21"/>
          <w:highlight w:val="none"/>
          <w:u w:val="single"/>
        </w:rPr>
        <w:t xml:space="preserve"> 1  </w:t>
      </w:r>
      <w:r>
        <w:rPr>
          <w:rFonts w:hint="eastAsia" w:ascii="微软雅黑" w:hAnsi="微软雅黑"/>
          <w:color w:val="auto"/>
          <w:szCs w:val="21"/>
          <w:highlight w:val="none"/>
        </w:rPr>
        <w:t>人，共</w:t>
      </w:r>
      <w:r>
        <w:rPr>
          <w:rFonts w:hint="eastAsia" w:ascii="微软雅黑" w:hAnsi="微软雅黑"/>
          <w:color w:val="auto"/>
          <w:szCs w:val="21"/>
          <w:highlight w:val="none"/>
          <w:u w:val="single"/>
        </w:rPr>
        <w:t xml:space="preserve"> 5 </w:t>
      </w:r>
      <w:r>
        <w:rPr>
          <w:rFonts w:hint="eastAsia" w:ascii="微软雅黑" w:hAnsi="微软雅黑"/>
          <w:color w:val="auto"/>
          <w:szCs w:val="21"/>
          <w:highlight w:val="none"/>
        </w:rPr>
        <w:t>人组成。</w:t>
      </w:r>
    </w:p>
    <w:p w14:paraId="2363E59A">
      <w:pPr>
        <w:shd w:val="clear" w:color="auto" w:fill="FFFFFF"/>
        <w:spacing w:line="500" w:lineRule="exact"/>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评标委员会负责具体评标事务，并独立履行下列职责：</w:t>
      </w:r>
    </w:p>
    <w:p w14:paraId="4A6C078E">
      <w:pPr>
        <w:shd w:val="clear" w:color="auto" w:fill="FFFFFF"/>
        <w:spacing w:line="500" w:lineRule="exact"/>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1.审查、评价投标文件是否符合招标文件的商务、技术等实质性要求。</w:t>
      </w:r>
    </w:p>
    <w:p w14:paraId="2D6ABEC9">
      <w:pPr>
        <w:shd w:val="clear" w:color="auto" w:fill="FFFFFF"/>
        <w:spacing w:line="500" w:lineRule="exact"/>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2.要求投标供应商对投标文件有关事项做出澄清或者说明。</w:t>
      </w:r>
    </w:p>
    <w:p w14:paraId="7325E395">
      <w:pPr>
        <w:shd w:val="clear" w:color="auto" w:fill="FFFFFF"/>
        <w:spacing w:line="500" w:lineRule="exact"/>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3.对投标文件进行比较和评价。</w:t>
      </w:r>
    </w:p>
    <w:p w14:paraId="0F98BEAC">
      <w:pPr>
        <w:shd w:val="clear" w:color="auto" w:fill="FFFFFF"/>
        <w:spacing w:line="500" w:lineRule="exact"/>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4.确定中标供应商名单，以及根据采购人委托直接确定中标供应商。</w:t>
      </w:r>
    </w:p>
    <w:p w14:paraId="71D7838E">
      <w:pPr>
        <w:shd w:val="clear" w:color="auto" w:fill="FFFFFF"/>
        <w:spacing w:line="500" w:lineRule="exact"/>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5.向采购人、代理机构或者有关部门报告评标中发现的违法行为。</w:t>
      </w:r>
    </w:p>
    <w:p w14:paraId="73DECBD4">
      <w:pPr>
        <w:shd w:val="clear" w:color="auto" w:fill="FFFFFF"/>
        <w:spacing w:line="500" w:lineRule="exact"/>
        <w:ind w:firstLine="420"/>
        <w:rPr>
          <w:rFonts w:hint="eastAsia" w:ascii="微软雅黑" w:hAnsi="微软雅黑"/>
          <w:b/>
          <w:color w:val="auto"/>
          <w:kern w:val="0"/>
          <w:szCs w:val="21"/>
          <w:highlight w:val="none"/>
        </w:rPr>
      </w:pPr>
      <w:r>
        <w:rPr>
          <w:rFonts w:hint="eastAsia" w:ascii="微软雅黑" w:hAnsi="微软雅黑"/>
          <w:b/>
          <w:color w:val="auto"/>
          <w:kern w:val="0"/>
          <w:szCs w:val="21"/>
          <w:highlight w:val="none"/>
        </w:rPr>
        <w:t>除除采购人代表及所派纪检监察人员、评标现场组织人员外，采购人的其他工作人员以及与评标工作无关的人员不得进入评标现场。</w:t>
      </w:r>
    </w:p>
    <w:p w14:paraId="453E7DED">
      <w:pPr>
        <w:pStyle w:val="30"/>
        <w:snapToGrid w:val="0"/>
        <w:spacing w:line="500" w:lineRule="exact"/>
        <w:ind w:left="210" w:leftChars="100" w:firstLine="10" w:firstLineChars="0"/>
        <w:rPr>
          <w:rFonts w:hint="eastAsia" w:ascii="微软雅黑" w:hAnsi="微软雅黑"/>
          <w:b/>
          <w:color w:val="auto"/>
          <w:szCs w:val="21"/>
          <w:highlight w:val="none"/>
        </w:rPr>
      </w:pPr>
      <w:r>
        <w:rPr>
          <w:rFonts w:hint="eastAsia" w:ascii="微软雅黑" w:hAnsi="微软雅黑"/>
          <w:b/>
          <w:color w:val="auto"/>
          <w:szCs w:val="21"/>
          <w:highlight w:val="none"/>
        </w:rPr>
        <w:t>（二）评标的方式</w:t>
      </w:r>
    </w:p>
    <w:p w14:paraId="0971B4F5">
      <w:pPr>
        <w:pStyle w:val="30"/>
        <w:snapToGrid w:val="0"/>
        <w:spacing w:line="500" w:lineRule="exact"/>
        <w:ind w:left="210" w:leftChars="100" w:firstLine="10" w:firstLineChars="0"/>
        <w:rPr>
          <w:rFonts w:hint="eastAsia" w:ascii="微软雅黑" w:hAnsi="微软雅黑"/>
          <w:color w:val="auto"/>
          <w:szCs w:val="21"/>
          <w:highlight w:val="none"/>
        </w:rPr>
      </w:pPr>
      <w:r>
        <w:rPr>
          <w:rFonts w:hint="eastAsia" w:ascii="微软雅黑" w:hAnsi="微软雅黑"/>
          <w:color w:val="auto"/>
          <w:szCs w:val="21"/>
          <w:highlight w:val="none"/>
        </w:rPr>
        <w:t>本项目采用不公开方式评标，评标的依据为招标文件和投标文件。</w:t>
      </w:r>
    </w:p>
    <w:p w14:paraId="6A37D5E5">
      <w:pPr>
        <w:pStyle w:val="30"/>
        <w:snapToGrid w:val="0"/>
        <w:spacing w:line="500" w:lineRule="exact"/>
        <w:ind w:left="210" w:leftChars="100" w:firstLine="10" w:firstLineChars="0"/>
        <w:rPr>
          <w:rFonts w:hint="eastAsia" w:ascii="微软雅黑" w:hAnsi="微软雅黑"/>
          <w:b/>
          <w:bCs/>
          <w:color w:val="auto"/>
          <w:szCs w:val="21"/>
          <w:highlight w:val="none"/>
        </w:rPr>
      </w:pPr>
      <w:r>
        <w:rPr>
          <w:rFonts w:hint="eastAsia" w:ascii="微软雅黑" w:hAnsi="微软雅黑"/>
          <w:b/>
          <w:color w:val="auto"/>
          <w:szCs w:val="21"/>
          <w:highlight w:val="none"/>
        </w:rPr>
        <w:t>（三）</w:t>
      </w:r>
      <w:r>
        <w:rPr>
          <w:rFonts w:hint="eastAsia" w:ascii="微软雅黑" w:hAnsi="微软雅黑"/>
          <w:b/>
          <w:bCs/>
          <w:color w:val="auto"/>
          <w:szCs w:val="21"/>
          <w:highlight w:val="none"/>
        </w:rPr>
        <w:t>评标程序</w:t>
      </w:r>
    </w:p>
    <w:p w14:paraId="7B15A98D">
      <w:pPr>
        <w:pStyle w:val="30"/>
        <w:snapToGrid w:val="0"/>
        <w:spacing w:line="500" w:lineRule="exact"/>
        <w:ind w:firstLine="420"/>
        <w:rPr>
          <w:rFonts w:hint="eastAsia" w:ascii="微软雅黑" w:hAnsi="微软雅黑"/>
          <w:bCs/>
          <w:color w:val="auto"/>
          <w:szCs w:val="21"/>
          <w:highlight w:val="none"/>
        </w:rPr>
      </w:pPr>
      <w:r>
        <w:rPr>
          <w:rFonts w:hint="eastAsia" w:ascii="微软雅黑" w:hAnsi="微软雅黑"/>
          <w:bCs/>
          <w:color w:val="auto"/>
          <w:szCs w:val="21"/>
          <w:highlight w:val="none"/>
        </w:rPr>
        <w:t>采购人可以在评标前说明项目背景和采购需求，说明内容不得含有歧视性、倾向性意见，不得超出招标文件所述范围。说明应当提交书面材料，并随招标文件一并存档。</w:t>
      </w:r>
    </w:p>
    <w:p w14:paraId="09166DA1">
      <w:pPr>
        <w:snapToGrid w:val="0"/>
        <w:spacing w:line="500" w:lineRule="exact"/>
        <w:ind w:firstLine="412" w:firstLineChars="196"/>
        <w:rPr>
          <w:rFonts w:hint="eastAsia" w:ascii="微软雅黑" w:hAnsi="微软雅黑"/>
          <w:b/>
          <w:bCs/>
          <w:color w:val="auto"/>
          <w:szCs w:val="21"/>
          <w:highlight w:val="none"/>
        </w:rPr>
      </w:pPr>
      <w:r>
        <w:rPr>
          <w:rFonts w:hint="eastAsia" w:ascii="微软雅黑" w:hAnsi="微软雅黑"/>
          <w:b/>
          <w:bCs/>
          <w:color w:val="auto"/>
          <w:szCs w:val="21"/>
          <w:highlight w:val="none"/>
        </w:rPr>
        <w:t>1.形式审查</w:t>
      </w:r>
    </w:p>
    <w:p w14:paraId="3C786014">
      <w:pPr>
        <w:snapToGrid w:val="0"/>
        <w:spacing w:line="500" w:lineRule="exact"/>
        <w:ind w:firstLine="420"/>
        <w:rPr>
          <w:rFonts w:hint="eastAsia" w:ascii="微软雅黑" w:hAnsi="微软雅黑" w:cs="宋体"/>
          <w:bCs/>
          <w:color w:val="auto"/>
          <w:szCs w:val="21"/>
          <w:highlight w:val="none"/>
        </w:rPr>
      </w:pPr>
      <w:r>
        <w:rPr>
          <w:rFonts w:hint="eastAsia" w:ascii="微软雅黑" w:hAnsi="微软雅黑"/>
          <w:bCs/>
          <w:color w:val="auto"/>
          <w:szCs w:val="21"/>
          <w:highlight w:val="none"/>
        </w:rPr>
        <w:t>1.1形式审查包括资格审查（除符合性审查以外的关于投标供应商资格条件等内容）和符合性审查，即对投标供应商的资格和投标文件的完整性、合法性等</w:t>
      </w:r>
      <w:r>
        <w:rPr>
          <w:rFonts w:hint="eastAsia" w:ascii="微软雅黑" w:hAnsi="微软雅黑" w:cs="宋体"/>
          <w:bCs/>
          <w:color w:val="auto"/>
          <w:szCs w:val="21"/>
          <w:highlight w:val="none"/>
        </w:rPr>
        <w:t>进行审查。投标文件形式审查未通过的投标供应商，其投标文件将不再评审。合格投标供应商不足3家的，不再评标。</w:t>
      </w:r>
    </w:p>
    <w:p w14:paraId="710AA7A5">
      <w:pPr>
        <w:snapToGrid w:val="0"/>
        <w:spacing w:line="500" w:lineRule="exact"/>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1.2信用信息查询</w:t>
      </w:r>
    </w:p>
    <w:p w14:paraId="40CE509D">
      <w:pPr>
        <w:snapToGrid w:val="0"/>
        <w:spacing w:line="500" w:lineRule="exact"/>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1.2.1信用信息查询渠道及截止时间：采购人将通过“信用中国”网站(www.creditchina.gov.cn)、中国政府采购网(www.ccgp.gov.cn)渠道查询投标供应商投标截止时间当天的信用记录。</w:t>
      </w:r>
    </w:p>
    <w:p w14:paraId="45F771A0">
      <w:pPr>
        <w:snapToGrid w:val="0"/>
        <w:spacing w:line="500" w:lineRule="exact"/>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1.2.2信用信息查询记录和证据留存的具体方式：现场查询的投标供应商的信用记录、查询结果经确认后将与招标文件一起存档。</w:t>
      </w:r>
    </w:p>
    <w:p w14:paraId="40CED1C1">
      <w:pPr>
        <w:snapToGrid w:val="0"/>
        <w:spacing w:line="500" w:lineRule="exact"/>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1.2.3信用信息的使用规则：经查询列入失信被执行人名单、重大税收违法案件当事人名单、政府采购严重违法失信行为记录名单的投标供应商将被拒绝参与政府采购活动。</w:t>
      </w:r>
    </w:p>
    <w:p w14:paraId="5951AFA7">
      <w:pPr>
        <w:snapToGrid w:val="0"/>
        <w:spacing w:line="500" w:lineRule="exact"/>
        <w:ind w:firstLine="420"/>
        <w:rPr>
          <w:rFonts w:hint="eastAsia" w:ascii="微软雅黑" w:hAnsi="微软雅黑"/>
          <w:color w:val="auto"/>
          <w:szCs w:val="21"/>
          <w:highlight w:val="none"/>
        </w:rPr>
      </w:pPr>
      <w:r>
        <w:rPr>
          <w:rFonts w:hint="eastAsia" w:ascii="微软雅黑" w:hAnsi="微软雅黑" w:cs="宋体"/>
          <w:bCs/>
          <w:color w:val="auto"/>
          <w:szCs w:val="21"/>
          <w:highlight w:val="none"/>
        </w:rPr>
        <w:t>1.2.4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DCC9201">
      <w:pPr>
        <w:snapToGrid w:val="0"/>
        <w:spacing w:line="500" w:lineRule="exact"/>
        <w:ind w:firstLine="412" w:firstLineChars="196"/>
        <w:rPr>
          <w:rFonts w:hint="eastAsia" w:ascii="微软雅黑" w:hAnsi="微软雅黑"/>
          <w:b/>
          <w:bCs/>
          <w:color w:val="auto"/>
          <w:szCs w:val="21"/>
          <w:highlight w:val="none"/>
        </w:rPr>
      </w:pPr>
      <w:r>
        <w:rPr>
          <w:rFonts w:hint="eastAsia" w:ascii="微软雅黑" w:hAnsi="微软雅黑"/>
          <w:b/>
          <w:bCs/>
          <w:color w:val="auto"/>
          <w:szCs w:val="21"/>
          <w:highlight w:val="none"/>
        </w:rPr>
        <w:t>2.实质审查</w:t>
      </w:r>
    </w:p>
    <w:p w14:paraId="1C09FF44">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2.1评标委员会审查投标文件的实质性内容是否符合招标文件的实质性要求。</w:t>
      </w:r>
    </w:p>
    <w:p w14:paraId="46929172">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2.2评标委员会将根据投标供应商的投标文件进行审查、核对，如有疑问，将对投标供应商进行询标，投标供应商要向评标委员会澄清有关问题，并最终以书面形式进行答复。</w:t>
      </w:r>
    </w:p>
    <w:p w14:paraId="7FE28FA9">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询标时，投标供应商代表未到场或者拒绝澄清或者澄清的内容改变了投标文件的实质性内容的，评标委员会有权对该投标文件做出不利于投标供应商的评判。</w:t>
      </w:r>
    </w:p>
    <w:p w14:paraId="31AE5103">
      <w:pPr>
        <w:snapToGrid w:val="0"/>
        <w:spacing w:line="500" w:lineRule="exact"/>
        <w:ind w:firstLine="420"/>
        <w:rPr>
          <w:rFonts w:hint="eastAsia" w:ascii="微软雅黑" w:hAnsi="微软雅黑"/>
          <w:strike/>
          <w:color w:val="auto"/>
          <w:szCs w:val="21"/>
          <w:highlight w:val="none"/>
        </w:rPr>
      </w:pPr>
      <w:r>
        <w:rPr>
          <w:rFonts w:hint="eastAsia" w:ascii="微软雅黑" w:hAnsi="微软雅黑" w:cs="Arial"/>
          <w:color w:val="auto"/>
          <w:kern w:val="0"/>
          <w:szCs w:val="21"/>
          <w:highlight w:val="none"/>
        </w:rPr>
        <w:t>2.3</w:t>
      </w:r>
      <w:r>
        <w:rPr>
          <w:rFonts w:hint="eastAsia" w:ascii="微软雅黑" w:hAnsi="微软雅黑"/>
          <w:color w:val="auto"/>
          <w:szCs w:val="21"/>
          <w:highlight w:val="none"/>
        </w:rPr>
        <w:t>评标委员会各成员应当独立对每个投标供应商的商务和技术文件进行评价，并汇总商务技术得分情况。</w:t>
      </w:r>
    </w:p>
    <w:p w14:paraId="0766BB6E">
      <w:pPr>
        <w:pStyle w:val="4"/>
        <w:keepNext w:val="0"/>
        <w:spacing w:line="500" w:lineRule="exact"/>
        <w:ind w:firstLine="420"/>
        <w:rPr>
          <w:rFonts w:hint="eastAsia" w:ascii="微软雅黑" w:hAnsi="微软雅黑" w:cs="宋体"/>
          <w:bCs/>
          <w:color w:val="auto"/>
          <w:kern w:val="2"/>
          <w:szCs w:val="21"/>
          <w:highlight w:val="none"/>
        </w:rPr>
      </w:pPr>
      <w:bookmarkStart w:id="111" w:name="_Toc164943206"/>
      <w:bookmarkStart w:id="112" w:name="_Toc169015130"/>
      <w:bookmarkStart w:id="113" w:name="_Toc25487"/>
      <w:bookmarkStart w:id="114" w:name="_Toc27524"/>
      <w:r>
        <w:rPr>
          <w:rFonts w:hint="eastAsia" w:ascii="微软雅黑" w:hAnsi="微软雅黑" w:cs="宋体"/>
          <w:bCs/>
          <w:color w:val="auto"/>
          <w:kern w:val="2"/>
          <w:szCs w:val="21"/>
          <w:highlight w:val="none"/>
        </w:rPr>
        <w:t>3.报价审查</w:t>
      </w:r>
      <w:bookmarkEnd w:id="111"/>
      <w:bookmarkEnd w:id="112"/>
      <w:bookmarkEnd w:id="113"/>
      <w:bookmarkEnd w:id="114"/>
    </w:p>
    <w:p w14:paraId="0B312E8D">
      <w:pPr>
        <w:pStyle w:val="30"/>
        <w:snapToGrid w:val="0"/>
        <w:spacing w:line="500" w:lineRule="exact"/>
        <w:ind w:firstLine="210" w:firstLineChars="0"/>
        <w:rPr>
          <w:rFonts w:hint="eastAsia" w:ascii="微软雅黑" w:hAnsi="微软雅黑"/>
          <w:color w:val="auto"/>
          <w:szCs w:val="21"/>
          <w:highlight w:val="none"/>
        </w:rPr>
      </w:pPr>
      <w:r>
        <w:rPr>
          <w:rFonts w:hint="eastAsia" w:ascii="微软雅黑" w:hAnsi="微软雅黑"/>
          <w:color w:val="auto"/>
          <w:szCs w:val="21"/>
          <w:highlight w:val="none"/>
        </w:rPr>
        <w:t>(1)投标文件报价如果出现计算或表达上的错误，修正错误的原则如下：</w:t>
      </w:r>
    </w:p>
    <w:p w14:paraId="78D3848D">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1.1报价</w:t>
      </w:r>
      <w:r>
        <w:rPr>
          <w:rFonts w:hint="eastAsia" w:ascii="微软雅黑" w:hAnsi="微软雅黑"/>
          <w:color w:val="auto"/>
          <w:kern w:val="0"/>
          <w:szCs w:val="21"/>
          <w:highlight w:val="none"/>
        </w:rPr>
        <w:t>以开标一览表为准。</w:t>
      </w:r>
    </w:p>
    <w:p w14:paraId="6591114D">
      <w:pPr>
        <w:pStyle w:val="30"/>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1.2投标文件的大写金额和小写金额不一致的，以大写金额为准。</w:t>
      </w:r>
    </w:p>
    <w:p w14:paraId="0951AF63">
      <w:pPr>
        <w:pStyle w:val="292"/>
        <w:spacing w:before="0" w:line="500" w:lineRule="exact"/>
        <w:ind w:firstLine="420"/>
        <w:rPr>
          <w:rFonts w:hint="eastAsia" w:ascii="微软雅黑" w:hAnsi="微软雅黑" w:eastAsia="微软雅黑"/>
          <w:color w:val="auto"/>
          <w:sz w:val="21"/>
          <w:szCs w:val="21"/>
          <w:highlight w:val="none"/>
        </w:rPr>
      </w:pPr>
      <w:r>
        <w:rPr>
          <w:rFonts w:hint="eastAsia" w:ascii="微软雅黑" w:hAnsi="微软雅黑" w:eastAsia="微软雅黑" w:cs="Times New Roman"/>
          <w:color w:val="auto"/>
          <w:kern w:val="0"/>
          <w:sz w:val="21"/>
          <w:szCs w:val="21"/>
          <w:highlight w:val="none"/>
        </w:rPr>
        <w:t>1.3总</w:t>
      </w:r>
      <w:r>
        <w:rPr>
          <w:rFonts w:hint="eastAsia" w:ascii="微软雅黑" w:hAnsi="微软雅黑" w:eastAsia="微软雅黑"/>
          <w:color w:val="auto"/>
          <w:sz w:val="21"/>
          <w:szCs w:val="21"/>
          <w:highlight w:val="none"/>
        </w:rPr>
        <w:t>价金额与按单价汇总金额不一致的，以单价金额计算结果为准。</w:t>
      </w:r>
    </w:p>
    <w:p w14:paraId="1DC21879">
      <w:pPr>
        <w:pStyle w:val="30"/>
        <w:snapToGrid w:val="0"/>
        <w:spacing w:line="500" w:lineRule="exact"/>
        <w:ind w:firstLine="420"/>
        <w:rPr>
          <w:rFonts w:hint="eastAsia" w:ascii="微软雅黑" w:hAnsi="微软雅黑"/>
          <w:color w:val="auto"/>
          <w:szCs w:val="21"/>
          <w:highlight w:val="none"/>
        </w:rPr>
      </w:pPr>
      <w:r>
        <w:rPr>
          <w:rFonts w:hint="eastAsia" w:ascii="微软雅黑" w:hAnsi="微软雅黑" w:cs="仿宋"/>
          <w:color w:val="auto"/>
          <w:kern w:val="0"/>
          <w:szCs w:val="21"/>
          <w:highlight w:val="none"/>
        </w:rPr>
        <w:t>1.4</w:t>
      </w:r>
      <w:r>
        <w:rPr>
          <w:rFonts w:hint="eastAsia" w:ascii="微软雅黑" w:hAnsi="微软雅黑"/>
          <w:color w:val="auto"/>
          <w:szCs w:val="21"/>
          <w:highlight w:val="none"/>
        </w:rPr>
        <w:t>对不同文字文本投标文件的解释发生异议的，以中文文本为准。</w:t>
      </w:r>
    </w:p>
    <w:p w14:paraId="3A319394">
      <w:pPr>
        <w:pStyle w:val="30"/>
        <w:snapToGrid w:val="0"/>
        <w:spacing w:line="500" w:lineRule="exact"/>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按上述修正错误的原则及方法调整或修正投标文件的投标报价，投标供应商同意并签字确认后，调整后的投标报价对投标供应商具有约束作用。如果投标供应商不接受修正后的报价，则其投标将作为无效投标处理。</w:t>
      </w:r>
    </w:p>
    <w:p w14:paraId="1AF76265">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(2)评标委员会根据合格供应商报价得出得分汇总。</w:t>
      </w:r>
    </w:p>
    <w:p w14:paraId="1F867710">
      <w:pPr>
        <w:pStyle w:val="4"/>
        <w:keepNext w:val="0"/>
        <w:spacing w:line="500" w:lineRule="exact"/>
        <w:ind w:firstLine="420"/>
        <w:rPr>
          <w:rFonts w:hint="eastAsia" w:ascii="微软雅黑" w:hAnsi="微软雅黑" w:cs="宋体"/>
          <w:bCs/>
          <w:color w:val="auto"/>
          <w:kern w:val="2"/>
          <w:szCs w:val="21"/>
          <w:highlight w:val="none"/>
        </w:rPr>
      </w:pPr>
      <w:bookmarkStart w:id="115" w:name="_Toc169015131"/>
      <w:bookmarkStart w:id="116" w:name="_Toc22943"/>
      <w:bookmarkStart w:id="117" w:name="_Toc15768"/>
      <w:bookmarkStart w:id="118" w:name="_Toc164943207"/>
      <w:r>
        <w:rPr>
          <w:rFonts w:hint="eastAsia" w:ascii="微软雅黑" w:hAnsi="微软雅黑" w:cs="宋体"/>
          <w:bCs/>
          <w:color w:val="auto"/>
          <w:kern w:val="2"/>
          <w:szCs w:val="21"/>
          <w:highlight w:val="none"/>
        </w:rPr>
        <w:t>4.比较和推荐</w:t>
      </w:r>
      <w:bookmarkEnd w:id="115"/>
      <w:bookmarkEnd w:id="116"/>
      <w:bookmarkEnd w:id="117"/>
      <w:bookmarkEnd w:id="118"/>
    </w:p>
    <w:p w14:paraId="04926766">
      <w:pPr>
        <w:snapToGrid w:val="0"/>
        <w:spacing w:line="500" w:lineRule="exact"/>
        <w:ind w:firstLine="420"/>
        <w:rPr>
          <w:rFonts w:hint="eastAsia" w:ascii="微软雅黑" w:hAnsi="微软雅黑" w:cs="Arial"/>
          <w:color w:val="auto"/>
          <w:kern w:val="0"/>
          <w:szCs w:val="21"/>
          <w:highlight w:val="none"/>
        </w:rPr>
      </w:pPr>
      <w:r>
        <w:rPr>
          <w:rFonts w:hint="eastAsia" w:ascii="微软雅黑" w:hAnsi="微软雅黑"/>
          <w:color w:val="auto"/>
          <w:szCs w:val="21"/>
          <w:highlight w:val="none"/>
        </w:rPr>
        <w:t>评标委员会按评标原则推荐中标供应商同时起草评标报告。</w:t>
      </w:r>
    </w:p>
    <w:p w14:paraId="7F956B93">
      <w:pPr>
        <w:snapToGrid w:val="0"/>
        <w:spacing w:line="500" w:lineRule="exact"/>
        <w:ind w:firstLine="420"/>
        <w:rPr>
          <w:rFonts w:hint="eastAsia" w:ascii="微软雅黑" w:hAnsi="微软雅黑"/>
          <w:b/>
          <w:color w:val="auto"/>
          <w:szCs w:val="21"/>
          <w:highlight w:val="none"/>
        </w:rPr>
      </w:pPr>
      <w:r>
        <w:rPr>
          <w:rFonts w:hint="eastAsia" w:ascii="微软雅黑" w:hAnsi="微软雅黑"/>
          <w:b/>
          <w:color w:val="auto"/>
          <w:szCs w:val="21"/>
          <w:highlight w:val="none"/>
        </w:rPr>
        <w:t>（四）澄清问题的形式</w:t>
      </w:r>
    </w:p>
    <w:p w14:paraId="224CD719">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对投标文件中含义不明确、同类问题表述不一致或者有明显文字和计算错误的内容，评标委员会可要求供应商作出必要的澄清、说明或者纠正。</w:t>
      </w:r>
    </w:p>
    <w:p w14:paraId="78E494BF">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1.评标委员会可以在“政采云”平台在线询标或其他有效形式要求供应商对同一份投标文件含义不明确或同类问题表述不一致的内容（招标文件其他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14:paraId="742B6C34">
      <w:pPr>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2.如果供应商代表拒绝或未按评标委员会要求在“政采云”平台作出在线回复且无其他有效回复方式的，评标委员会可以对其作出无效标处理。</w:t>
      </w:r>
    </w:p>
    <w:p w14:paraId="40E2FACE">
      <w:pPr>
        <w:pStyle w:val="30"/>
        <w:tabs>
          <w:tab w:val="left" w:pos="630"/>
        </w:tabs>
        <w:snapToGrid w:val="0"/>
        <w:spacing w:line="500" w:lineRule="exact"/>
        <w:ind w:firstLine="412" w:firstLineChars="196"/>
        <w:rPr>
          <w:rFonts w:hint="eastAsia" w:ascii="微软雅黑" w:hAnsi="微软雅黑"/>
          <w:b/>
          <w:color w:val="auto"/>
          <w:szCs w:val="21"/>
          <w:highlight w:val="none"/>
        </w:rPr>
      </w:pPr>
      <w:r>
        <w:rPr>
          <w:rFonts w:hint="eastAsia" w:ascii="微软雅黑" w:hAnsi="微软雅黑"/>
          <w:b/>
          <w:color w:val="auto"/>
          <w:szCs w:val="21"/>
          <w:highlight w:val="none"/>
        </w:rPr>
        <w:t>（五）评标原则和评标办法</w:t>
      </w:r>
    </w:p>
    <w:p w14:paraId="5EBC8AAC">
      <w:pPr>
        <w:pStyle w:val="30"/>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供应商接触。</w:t>
      </w:r>
    </w:p>
    <w:p w14:paraId="0220E086">
      <w:pPr>
        <w:pStyle w:val="30"/>
        <w:snapToGrid w:val="0"/>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2.评标办法。本项目评标办法是 综合评分法，具体评标内容及评分标准等详见《第四章：评标办法及评分标准》。</w:t>
      </w:r>
    </w:p>
    <w:p w14:paraId="425227B5">
      <w:pPr>
        <w:pStyle w:val="30"/>
        <w:snapToGrid w:val="0"/>
        <w:spacing w:line="500" w:lineRule="exact"/>
        <w:ind w:firstLine="412" w:firstLineChars="196"/>
        <w:rPr>
          <w:rFonts w:hint="eastAsia" w:ascii="微软雅黑" w:hAnsi="微软雅黑"/>
          <w:b/>
          <w:color w:val="auto"/>
          <w:szCs w:val="21"/>
          <w:highlight w:val="none"/>
        </w:rPr>
      </w:pPr>
      <w:r>
        <w:rPr>
          <w:rFonts w:hint="eastAsia" w:ascii="微软雅黑" w:hAnsi="微软雅黑"/>
          <w:b/>
          <w:color w:val="auto"/>
          <w:szCs w:val="21"/>
          <w:highlight w:val="none"/>
        </w:rPr>
        <w:t>（六）评标过程的监控</w:t>
      </w:r>
    </w:p>
    <w:p w14:paraId="64CA18FB">
      <w:pPr>
        <w:pStyle w:val="4"/>
        <w:keepNext w:val="0"/>
        <w:spacing w:line="500" w:lineRule="exact"/>
        <w:ind w:firstLine="420"/>
        <w:rPr>
          <w:rFonts w:hint="eastAsia" w:ascii="微软雅黑" w:hAnsi="微软雅黑"/>
          <w:color w:val="auto"/>
          <w:szCs w:val="21"/>
          <w:highlight w:val="none"/>
        </w:rPr>
      </w:pPr>
      <w:bookmarkStart w:id="119" w:name="_Toc31962"/>
      <w:bookmarkStart w:id="120" w:name="_Toc164943208"/>
      <w:bookmarkStart w:id="121" w:name="_Toc169015132"/>
      <w:bookmarkStart w:id="122" w:name="_Toc22323"/>
      <w:r>
        <w:rPr>
          <w:rFonts w:hint="eastAsia" w:ascii="微软雅黑" w:hAnsi="微软雅黑"/>
          <w:color w:val="auto"/>
          <w:szCs w:val="21"/>
          <w:highlight w:val="none"/>
        </w:rPr>
        <w:t>本项目评标过程实行全程录音、录像监控。投标供应商在评标过程中所进行的试图影响评标结果的不公正活动，可能导致其投标被拒绝</w:t>
      </w:r>
      <w:bookmarkEnd w:id="119"/>
      <w:bookmarkEnd w:id="120"/>
      <w:bookmarkEnd w:id="121"/>
      <w:bookmarkEnd w:id="122"/>
    </w:p>
    <w:p w14:paraId="382D37F1">
      <w:pPr>
        <w:pStyle w:val="4"/>
        <w:keepNext w:val="0"/>
        <w:spacing w:line="500" w:lineRule="exact"/>
        <w:ind w:firstLine="420"/>
        <w:rPr>
          <w:rFonts w:hint="eastAsia" w:ascii="微软雅黑" w:hAnsi="微软雅黑"/>
          <w:color w:val="auto"/>
          <w:szCs w:val="21"/>
          <w:highlight w:val="none"/>
        </w:rPr>
      </w:pPr>
      <w:bookmarkStart w:id="123" w:name="_Toc22126"/>
      <w:r>
        <w:rPr>
          <w:rFonts w:hint="eastAsia" w:ascii="微软雅黑" w:hAnsi="微软雅黑"/>
          <w:color w:val="auto"/>
          <w:szCs w:val="21"/>
          <w:highlight w:val="none"/>
        </w:rPr>
        <w:t>六、定标</w:t>
      </w:r>
      <w:bookmarkEnd w:id="110"/>
      <w:bookmarkEnd w:id="123"/>
    </w:p>
    <w:p w14:paraId="39C7DB76">
      <w:pPr>
        <w:pStyle w:val="30"/>
        <w:snapToGrid w:val="0"/>
        <w:spacing w:line="500" w:lineRule="exact"/>
        <w:ind w:firstLine="412" w:firstLineChars="196"/>
        <w:rPr>
          <w:rFonts w:hint="eastAsia" w:hAnsi="宋体"/>
          <w:b/>
          <w:bCs/>
          <w:color w:val="auto"/>
          <w:highlight w:val="none"/>
        </w:rPr>
      </w:pPr>
      <w:bookmarkStart w:id="124" w:name="_Toc33535372"/>
      <w:r>
        <w:rPr>
          <w:rFonts w:hint="eastAsia" w:hAnsi="宋体"/>
          <w:b/>
          <w:bCs/>
          <w:color w:val="auto"/>
          <w:highlight w:val="none"/>
        </w:rPr>
        <w:t>确定中标供应商：本项目由采购人确定中标供应商。</w:t>
      </w:r>
    </w:p>
    <w:p w14:paraId="433B1F93">
      <w:pPr>
        <w:snapToGrid w:val="0"/>
        <w:spacing w:line="500" w:lineRule="exact"/>
        <w:ind w:firstLine="420"/>
        <w:rPr>
          <w:rFonts w:hint="eastAsia" w:ascii="宋体" w:hAnsi="宋体"/>
          <w:color w:val="auto"/>
          <w:highlight w:val="none"/>
        </w:rPr>
      </w:pPr>
      <w:r>
        <w:rPr>
          <w:rFonts w:hint="eastAsia" w:ascii="宋体" w:hAnsi="宋体"/>
          <w:color w:val="auto"/>
          <w:highlight w:val="none"/>
        </w:rPr>
        <w:t>1.代理机构在评标结束后2个工作日内将评标报告交采购人确认，同时在发布招标公告的网站上对评标结果进行公告。</w:t>
      </w:r>
    </w:p>
    <w:p w14:paraId="4E371ED9">
      <w:pPr>
        <w:snapToGrid w:val="0"/>
        <w:spacing w:line="500" w:lineRule="exact"/>
        <w:ind w:firstLine="420"/>
        <w:rPr>
          <w:rFonts w:hint="eastAsia" w:ascii="宋体" w:hAnsi="宋体"/>
          <w:color w:val="auto"/>
          <w:highlight w:val="none"/>
        </w:rPr>
      </w:pPr>
      <w:r>
        <w:rPr>
          <w:rFonts w:hint="eastAsia" w:ascii="宋体" w:hAnsi="宋体"/>
          <w:color w:val="auto"/>
          <w:highlight w:val="none"/>
        </w:rPr>
        <w:t>2.投标供应商对评标结果无异议的，采购人应在收到评标报告后5个工作日内对评标结果进行确认。如有投标供应商对评标结果提出质疑的，采购人可在质疑处理完毕后确定中标供应商。</w:t>
      </w:r>
    </w:p>
    <w:p w14:paraId="33A73982">
      <w:pPr>
        <w:snapToGrid w:val="0"/>
        <w:spacing w:line="500" w:lineRule="exact"/>
        <w:ind w:firstLine="420"/>
        <w:rPr>
          <w:rFonts w:hint="eastAsia" w:ascii="宋体" w:hAnsi="宋体"/>
          <w:color w:val="auto"/>
          <w:highlight w:val="none"/>
        </w:rPr>
      </w:pPr>
      <w:r>
        <w:rPr>
          <w:rFonts w:hint="eastAsia" w:ascii="宋体" w:hAnsi="宋体"/>
          <w:color w:val="auto"/>
          <w:highlight w:val="none"/>
        </w:rPr>
        <w:t>3.在公告中标结果的同时，代理机构在政采云系统向中标供应商发出中标通知书。</w:t>
      </w:r>
    </w:p>
    <w:p w14:paraId="3155FF6D">
      <w:pPr>
        <w:pStyle w:val="4"/>
        <w:keepNext w:val="0"/>
        <w:spacing w:line="500" w:lineRule="exact"/>
        <w:ind w:firstLine="420"/>
        <w:rPr>
          <w:rFonts w:hint="eastAsia" w:ascii="微软雅黑" w:hAnsi="微软雅黑"/>
          <w:color w:val="auto"/>
          <w:szCs w:val="21"/>
          <w:highlight w:val="none"/>
        </w:rPr>
      </w:pPr>
      <w:bookmarkStart w:id="125" w:name="_Toc27403"/>
      <w:r>
        <w:rPr>
          <w:rFonts w:hint="eastAsia" w:ascii="微软雅黑" w:hAnsi="微软雅黑"/>
          <w:color w:val="auto"/>
          <w:szCs w:val="21"/>
          <w:highlight w:val="none"/>
        </w:rPr>
        <w:t>七、合同授予</w:t>
      </w:r>
      <w:bookmarkEnd w:id="124"/>
      <w:bookmarkEnd w:id="125"/>
    </w:p>
    <w:p w14:paraId="4B34D236">
      <w:pPr>
        <w:snapToGrid w:val="0"/>
        <w:spacing w:line="500" w:lineRule="exact"/>
        <w:ind w:firstLine="420"/>
        <w:rPr>
          <w:rFonts w:hint="eastAsia" w:ascii="微软雅黑" w:hAnsi="微软雅黑"/>
          <w:color w:val="auto"/>
          <w:highlight w:val="none"/>
        </w:rPr>
      </w:pPr>
      <w:r>
        <w:rPr>
          <w:rFonts w:hint="eastAsia" w:ascii="微软雅黑" w:hAnsi="微软雅黑"/>
          <w:color w:val="auto"/>
          <w:highlight w:val="none"/>
        </w:rPr>
        <w:t>1.采购人与中标供应商应当在《中标通知书》发出之日起30日内签订政府采购合同。</w:t>
      </w:r>
    </w:p>
    <w:p w14:paraId="447144BF">
      <w:pPr>
        <w:snapToGrid w:val="0"/>
        <w:spacing w:line="500" w:lineRule="exact"/>
        <w:ind w:firstLine="420"/>
        <w:rPr>
          <w:rFonts w:hint="eastAsia" w:ascii="微软雅黑" w:hAnsi="微软雅黑"/>
          <w:color w:val="auto"/>
          <w:highlight w:val="none"/>
        </w:rPr>
      </w:pPr>
      <w:r>
        <w:rPr>
          <w:rFonts w:hint="eastAsia" w:ascii="微软雅黑" w:hAnsi="微软雅黑"/>
          <w:color w:val="auto"/>
          <w:highlight w:val="none"/>
        </w:rPr>
        <w:t>２.中标供应商拖延、拒签合同的，将被取消中标资格，并报监督管理部门依法处理。</w:t>
      </w:r>
    </w:p>
    <w:p w14:paraId="48673924">
      <w:pPr>
        <w:pStyle w:val="4"/>
        <w:keepNext w:val="0"/>
        <w:spacing w:line="500" w:lineRule="exact"/>
        <w:ind w:firstLine="420"/>
        <w:rPr>
          <w:rFonts w:hint="eastAsia" w:ascii="微软雅黑" w:hAnsi="微软雅黑"/>
          <w:color w:val="auto"/>
          <w:szCs w:val="21"/>
          <w:highlight w:val="none"/>
        </w:rPr>
      </w:pPr>
      <w:bookmarkStart w:id="126" w:name="_Toc21239"/>
      <w:r>
        <w:rPr>
          <w:rFonts w:hint="eastAsia" w:ascii="微软雅黑" w:hAnsi="微软雅黑"/>
          <w:color w:val="auto"/>
          <w:szCs w:val="21"/>
          <w:highlight w:val="none"/>
        </w:rPr>
        <w:t>八、验收</w:t>
      </w:r>
      <w:bookmarkEnd w:id="126"/>
    </w:p>
    <w:p w14:paraId="3B07E72E">
      <w:pPr>
        <w:snapToGrid w:val="0"/>
        <w:spacing w:line="500" w:lineRule="exact"/>
        <w:ind w:firstLine="420"/>
        <w:rPr>
          <w:rFonts w:hint="eastAsia" w:ascii="微软雅黑" w:hAnsi="微软雅黑" w:cs="宋体"/>
          <w:color w:val="auto"/>
          <w:highlight w:val="none"/>
        </w:rPr>
      </w:pPr>
      <w:r>
        <w:rPr>
          <w:rFonts w:hint="eastAsia" w:ascii="微软雅黑" w:hAnsi="微软雅黑" w:cs="宋体"/>
          <w:color w:val="auto"/>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93CA607">
      <w:pPr>
        <w:snapToGrid w:val="0"/>
        <w:spacing w:line="500" w:lineRule="exact"/>
        <w:ind w:firstLine="420"/>
        <w:rPr>
          <w:rFonts w:hint="eastAsia" w:ascii="微软雅黑" w:hAnsi="微软雅黑" w:cs="宋体"/>
          <w:color w:val="auto"/>
          <w:highlight w:val="none"/>
        </w:rPr>
      </w:pPr>
      <w:r>
        <w:rPr>
          <w:rFonts w:hint="eastAsia" w:ascii="微软雅黑" w:hAnsi="微软雅黑" w:cs="宋体"/>
          <w:color w:val="auto"/>
          <w:highlight w:val="none"/>
        </w:rPr>
        <w:t>2.采购人可以邀请参加本项目的其他投标供应商或者第三方机构参与验收。参与验收的投标供应商或者第三方机构的意见作为验收书的参考资料一并存档。</w:t>
      </w:r>
    </w:p>
    <w:p w14:paraId="66BA3DF9">
      <w:pPr>
        <w:snapToGrid w:val="0"/>
        <w:spacing w:line="500" w:lineRule="exact"/>
        <w:ind w:firstLine="420"/>
        <w:rPr>
          <w:rFonts w:hint="eastAsia" w:ascii="微软雅黑" w:hAnsi="微软雅黑" w:cs="宋体"/>
          <w:color w:val="auto"/>
          <w:highlight w:val="none"/>
        </w:rPr>
      </w:pPr>
      <w:r>
        <w:rPr>
          <w:rFonts w:hint="eastAsia" w:ascii="微软雅黑" w:hAnsi="微软雅黑" w:cs="宋体"/>
          <w:color w:val="auto"/>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1E854B9">
      <w:pPr>
        <w:snapToGrid w:val="0"/>
        <w:spacing w:line="500" w:lineRule="exact"/>
        <w:ind w:firstLine="420"/>
        <w:rPr>
          <w:color w:val="auto"/>
          <w:highlight w:val="none"/>
        </w:rPr>
      </w:pPr>
      <w:r>
        <w:rPr>
          <w:rFonts w:hint="eastAsia" w:ascii="微软雅黑" w:hAnsi="微软雅黑" w:cs="宋体"/>
          <w:color w:val="auto"/>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w:t>
      </w:r>
      <w:bookmarkStart w:id="127" w:name="_Hlt74714665"/>
      <w:bookmarkEnd w:id="127"/>
      <w:bookmarkStart w:id="128" w:name="_Hlt68072990"/>
      <w:bookmarkEnd w:id="128"/>
      <w:bookmarkStart w:id="129" w:name="_Hlt75236290"/>
      <w:bookmarkEnd w:id="129"/>
      <w:bookmarkStart w:id="130" w:name="_Hlt74729768"/>
      <w:bookmarkEnd w:id="130"/>
      <w:bookmarkStart w:id="131" w:name="_Hlt68057669"/>
      <w:bookmarkEnd w:id="131"/>
      <w:bookmarkStart w:id="132" w:name="_Hlt74730295"/>
      <w:bookmarkEnd w:id="132"/>
      <w:bookmarkStart w:id="133" w:name="_Hlt68072998"/>
      <w:bookmarkEnd w:id="133"/>
      <w:bookmarkStart w:id="134" w:name="_Hlt68073093"/>
      <w:bookmarkEnd w:id="134"/>
      <w:bookmarkStart w:id="135" w:name="_Hlt74707468"/>
      <w:bookmarkEnd w:id="135"/>
      <w:bookmarkStart w:id="136" w:name="_Hlt75236101"/>
      <w:bookmarkEnd w:id="136"/>
      <w:bookmarkStart w:id="137" w:name="_Hlt68403820"/>
      <w:bookmarkEnd w:id="137"/>
      <w:bookmarkStart w:id="138" w:name="_Hlt75236011"/>
      <w:bookmarkEnd w:id="138"/>
      <w:r>
        <w:rPr>
          <w:rFonts w:hint="eastAsia" w:ascii="微软雅黑" w:hAnsi="微软雅黑" w:cs="宋体"/>
          <w:color w:val="auto"/>
          <w:highlight w:val="none"/>
        </w:rPr>
        <w:t>部门。</w:t>
      </w:r>
    </w:p>
    <w:p w14:paraId="1906F9D4">
      <w:pPr>
        <w:pStyle w:val="4"/>
        <w:keepNext w:val="0"/>
        <w:spacing w:line="500" w:lineRule="exact"/>
        <w:ind w:firstLine="420"/>
        <w:rPr>
          <w:rFonts w:hint="eastAsia" w:ascii="微软雅黑" w:hAnsi="微软雅黑"/>
          <w:color w:val="auto"/>
          <w:szCs w:val="21"/>
          <w:highlight w:val="none"/>
        </w:rPr>
      </w:pPr>
      <w:bookmarkStart w:id="139" w:name="_Toc21470"/>
      <w:r>
        <w:rPr>
          <w:rFonts w:hint="eastAsia" w:ascii="微软雅黑" w:hAnsi="微软雅黑"/>
          <w:color w:val="auto"/>
          <w:szCs w:val="21"/>
          <w:highlight w:val="none"/>
        </w:rPr>
        <w:t>九、招标代理费</w:t>
      </w:r>
      <w:bookmarkEnd w:id="73"/>
      <w:bookmarkEnd w:id="139"/>
    </w:p>
    <w:p w14:paraId="3BAAEB78">
      <w:pPr>
        <w:spacing w:line="500" w:lineRule="exact"/>
        <w:ind w:firstLine="420"/>
        <w:rPr>
          <w:rFonts w:hint="eastAsia" w:ascii="微软雅黑" w:hAnsi="微软雅黑"/>
          <w:color w:val="auto"/>
          <w:szCs w:val="21"/>
          <w:highlight w:val="none"/>
        </w:rPr>
      </w:pPr>
      <w:bookmarkStart w:id="140" w:name="_Toc493511752"/>
      <w:r>
        <w:rPr>
          <w:rFonts w:hint="eastAsia" w:ascii="微软雅黑" w:hAnsi="微软雅黑"/>
          <w:color w:val="auto"/>
          <w:szCs w:val="21"/>
          <w:highlight w:val="none"/>
        </w:rPr>
        <w:t>1、根据“国家发展和改革委员会办公厅《关于招标代理服务收费有关问题的通知》（发改办价格【2003】857号、财库【2018】2号第十五条）”规定，招标代理机构向中标人收取招标代理服务费。</w:t>
      </w:r>
    </w:p>
    <w:p w14:paraId="27182FF0">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2、中标人应在收取《中标通知书》时向采购代理机构交纳招标代理服务费，服务费的收费标准按浙价服〔2003〕77号文规定计算</w:t>
      </w:r>
      <w:bookmarkEnd w:id="140"/>
    </w:p>
    <w:tbl>
      <w:tblPr>
        <w:tblStyle w:val="54"/>
        <w:tblW w:w="64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60"/>
        <w:gridCol w:w="2160"/>
        <w:gridCol w:w="2160"/>
      </w:tblGrid>
      <w:tr w14:paraId="67DD4C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2160" w:type="dxa"/>
            <w:tcBorders>
              <w:top w:val="double" w:color="auto" w:sz="4" w:space="0"/>
              <w:left w:val="double" w:color="auto" w:sz="4" w:space="0"/>
              <w:bottom w:val="single" w:color="auto" w:sz="6" w:space="0"/>
              <w:right w:val="single" w:color="auto" w:sz="6" w:space="0"/>
            </w:tcBorders>
            <w:shd w:val="clear" w:color="auto" w:fill="D9D9D9"/>
            <w:vAlign w:val="center"/>
          </w:tcPr>
          <w:p w14:paraId="65F3DFC1">
            <w:pPr>
              <w:spacing w:line="500" w:lineRule="exact"/>
              <w:ind w:firstLine="420"/>
              <w:rPr>
                <w:rFonts w:hint="eastAsia" w:ascii="微软雅黑" w:hAnsi="微软雅黑"/>
                <w:color w:val="auto"/>
                <w:szCs w:val="21"/>
                <w:highlight w:val="none"/>
              </w:rPr>
            </w:pPr>
            <w:bookmarkStart w:id="141" w:name="_Toc493511753"/>
            <w:r>
              <w:rPr>
                <w:rFonts w:hint="eastAsia" w:ascii="微软雅黑" w:hAnsi="微软雅黑"/>
                <w:color w:val="auto"/>
                <w:szCs w:val="21"/>
                <w:highlight w:val="none"/>
              </w:rPr>
              <w:t>中标金额（万元）</w:t>
            </w:r>
            <w:bookmarkEnd w:id="141"/>
          </w:p>
        </w:tc>
        <w:tc>
          <w:tcPr>
            <w:tcW w:w="2160" w:type="dxa"/>
            <w:tcBorders>
              <w:top w:val="double" w:color="auto" w:sz="4" w:space="0"/>
              <w:left w:val="single" w:color="auto" w:sz="6" w:space="0"/>
              <w:bottom w:val="single" w:color="auto" w:sz="6" w:space="0"/>
              <w:right w:val="single" w:color="auto" w:sz="6" w:space="0"/>
            </w:tcBorders>
            <w:shd w:val="clear" w:color="auto" w:fill="D9D9D9"/>
            <w:vAlign w:val="center"/>
          </w:tcPr>
          <w:p w14:paraId="57DBD996">
            <w:pPr>
              <w:spacing w:line="500" w:lineRule="exact"/>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货物招标收费费率</w:t>
            </w:r>
          </w:p>
        </w:tc>
        <w:tc>
          <w:tcPr>
            <w:tcW w:w="2160" w:type="dxa"/>
            <w:tcBorders>
              <w:top w:val="double" w:color="auto" w:sz="4" w:space="0"/>
              <w:left w:val="single" w:color="auto" w:sz="6" w:space="0"/>
              <w:bottom w:val="single" w:color="auto" w:sz="6" w:space="0"/>
              <w:right w:val="double" w:color="auto" w:sz="4" w:space="0"/>
            </w:tcBorders>
            <w:shd w:val="clear" w:color="auto" w:fill="D9D9D9"/>
          </w:tcPr>
          <w:p w14:paraId="28372D9B">
            <w:pPr>
              <w:spacing w:line="500" w:lineRule="exact"/>
              <w:ind w:firstLine="0" w:firstLineChars="0"/>
              <w:rPr>
                <w:rFonts w:hint="eastAsia" w:ascii="微软雅黑" w:hAnsi="微软雅黑"/>
                <w:color w:val="auto"/>
                <w:szCs w:val="21"/>
                <w:highlight w:val="none"/>
              </w:rPr>
            </w:pPr>
            <w:bookmarkStart w:id="142" w:name="_Toc493511754"/>
            <w:r>
              <w:rPr>
                <w:rFonts w:hint="eastAsia" w:ascii="微软雅黑" w:hAnsi="微软雅黑"/>
                <w:color w:val="auto"/>
                <w:szCs w:val="21"/>
                <w:highlight w:val="none"/>
              </w:rPr>
              <w:t>服务类招标收费费率</w:t>
            </w:r>
            <w:bookmarkEnd w:id="142"/>
          </w:p>
        </w:tc>
      </w:tr>
      <w:tr w14:paraId="66528A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2FC05562">
            <w:pPr>
              <w:spacing w:line="500" w:lineRule="exact"/>
              <w:ind w:firstLine="420"/>
              <w:rPr>
                <w:rFonts w:hint="eastAsia" w:ascii="微软雅黑" w:hAnsi="微软雅黑"/>
                <w:color w:val="auto"/>
                <w:szCs w:val="21"/>
                <w:highlight w:val="none"/>
              </w:rPr>
            </w:pPr>
            <w:bookmarkStart w:id="143" w:name="_Toc493511755"/>
            <w:r>
              <w:rPr>
                <w:rFonts w:hint="eastAsia" w:ascii="微软雅黑" w:hAnsi="微软雅黑"/>
                <w:color w:val="auto"/>
                <w:szCs w:val="21"/>
                <w:highlight w:val="none"/>
              </w:rPr>
              <w:t>100以下</w:t>
            </w:r>
            <w:bookmarkEnd w:id="143"/>
          </w:p>
        </w:tc>
        <w:tc>
          <w:tcPr>
            <w:tcW w:w="2160" w:type="dxa"/>
            <w:tcBorders>
              <w:top w:val="single" w:color="auto" w:sz="6" w:space="0"/>
              <w:left w:val="single" w:color="auto" w:sz="6" w:space="0"/>
              <w:bottom w:val="single" w:color="auto" w:sz="6" w:space="0"/>
              <w:right w:val="single" w:color="auto" w:sz="6" w:space="0"/>
            </w:tcBorders>
          </w:tcPr>
          <w:p w14:paraId="00984DD2">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1.5%</w:t>
            </w:r>
          </w:p>
        </w:tc>
        <w:tc>
          <w:tcPr>
            <w:tcW w:w="2160" w:type="dxa"/>
            <w:tcBorders>
              <w:top w:val="single" w:color="auto" w:sz="6" w:space="0"/>
              <w:left w:val="single" w:color="auto" w:sz="6" w:space="0"/>
              <w:bottom w:val="single" w:color="auto" w:sz="6" w:space="0"/>
              <w:right w:val="double" w:color="auto" w:sz="4" w:space="0"/>
            </w:tcBorders>
            <w:vAlign w:val="center"/>
          </w:tcPr>
          <w:p w14:paraId="6DEE341F">
            <w:pPr>
              <w:spacing w:line="500" w:lineRule="exact"/>
              <w:ind w:firstLine="420"/>
              <w:rPr>
                <w:rFonts w:hint="eastAsia" w:ascii="微软雅黑" w:hAnsi="微软雅黑"/>
                <w:color w:val="auto"/>
                <w:szCs w:val="21"/>
                <w:highlight w:val="none"/>
              </w:rPr>
            </w:pPr>
            <w:bookmarkStart w:id="144" w:name="_Toc493511756"/>
            <w:r>
              <w:rPr>
                <w:rFonts w:hint="eastAsia" w:ascii="微软雅黑" w:hAnsi="微软雅黑"/>
                <w:color w:val="auto"/>
                <w:szCs w:val="21"/>
                <w:highlight w:val="none"/>
              </w:rPr>
              <w:t>1.5％</w:t>
            </w:r>
            <w:bookmarkEnd w:id="144"/>
          </w:p>
        </w:tc>
      </w:tr>
      <w:tr w14:paraId="402411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0792F5F8">
            <w:pPr>
              <w:spacing w:line="500" w:lineRule="exact"/>
              <w:ind w:firstLine="420"/>
              <w:rPr>
                <w:rFonts w:hint="eastAsia" w:ascii="微软雅黑" w:hAnsi="微软雅黑"/>
                <w:color w:val="auto"/>
                <w:szCs w:val="21"/>
                <w:highlight w:val="none"/>
              </w:rPr>
            </w:pPr>
            <w:bookmarkStart w:id="145" w:name="_Toc493511757"/>
            <w:r>
              <w:rPr>
                <w:rFonts w:hint="eastAsia" w:ascii="微软雅黑" w:hAnsi="微软雅黑"/>
                <w:color w:val="auto"/>
                <w:szCs w:val="21"/>
                <w:highlight w:val="none"/>
              </w:rPr>
              <w:t>100-500</w:t>
            </w:r>
            <w:bookmarkEnd w:id="145"/>
          </w:p>
        </w:tc>
        <w:tc>
          <w:tcPr>
            <w:tcW w:w="2160" w:type="dxa"/>
            <w:tcBorders>
              <w:top w:val="single" w:color="auto" w:sz="6" w:space="0"/>
              <w:left w:val="single" w:color="auto" w:sz="6" w:space="0"/>
              <w:bottom w:val="single" w:color="auto" w:sz="6" w:space="0"/>
              <w:right w:val="single" w:color="auto" w:sz="6" w:space="0"/>
            </w:tcBorders>
          </w:tcPr>
          <w:p w14:paraId="2BF2D8F4">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1.1%</w:t>
            </w:r>
          </w:p>
        </w:tc>
        <w:tc>
          <w:tcPr>
            <w:tcW w:w="2160" w:type="dxa"/>
            <w:tcBorders>
              <w:top w:val="single" w:color="auto" w:sz="6" w:space="0"/>
              <w:left w:val="single" w:color="auto" w:sz="6" w:space="0"/>
              <w:bottom w:val="single" w:color="auto" w:sz="6" w:space="0"/>
              <w:right w:val="double" w:color="auto" w:sz="4" w:space="0"/>
            </w:tcBorders>
            <w:vAlign w:val="center"/>
          </w:tcPr>
          <w:p w14:paraId="1E79C26A">
            <w:pPr>
              <w:spacing w:line="500" w:lineRule="exact"/>
              <w:ind w:firstLine="420"/>
              <w:rPr>
                <w:rFonts w:hint="eastAsia" w:ascii="微软雅黑" w:hAnsi="微软雅黑"/>
                <w:color w:val="auto"/>
                <w:szCs w:val="21"/>
                <w:highlight w:val="none"/>
              </w:rPr>
            </w:pPr>
            <w:bookmarkStart w:id="146" w:name="_Toc493511758"/>
            <w:r>
              <w:rPr>
                <w:rFonts w:hint="eastAsia" w:ascii="微软雅黑" w:hAnsi="微软雅黑"/>
                <w:color w:val="auto"/>
                <w:szCs w:val="21"/>
                <w:highlight w:val="none"/>
              </w:rPr>
              <w:t>0.8％</w:t>
            </w:r>
            <w:bookmarkEnd w:id="146"/>
          </w:p>
        </w:tc>
      </w:tr>
      <w:tr w14:paraId="362718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42C8253F">
            <w:pPr>
              <w:spacing w:line="500" w:lineRule="exact"/>
              <w:ind w:firstLine="420"/>
              <w:rPr>
                <w:rFonts w:hint="eastAsia" w:ascii="微软雅黑" w:hAnsi="微软雅黑"/>
                <w:color w:val="auto"/>
                <w:szCs w:val="21"/>
                <w:highlight w:val="none"/>
              </w:rPr>
            </w:pPr>
            <w:bookmarkStart w:id="147" w:name="_Toc493511759"/>
            <w:r>
              <w:rPr>
                <w:rFonts w:hint="eastAsia" w:ascii="微软雅黑" w:hAnsi="微软雅黑"/>
                <w:color w:val="auto"/>
                <w:szCs w:val="21"/>
                <w:highlight w:val="none"/>
              </w:rPr>
              <w:t>500-1000</w:t>
            </w:r>
            <w:bookmarkEnd w:id="147"/>
          </w:p>
        </w:tc>
        <w:tc>
          <w:tcPr>
            <w:tcW w:w="2160" w:type="dxa"/>
            <w:tcBorders>
              <w:top w:val="single" w:color="auto" w:sz="6" w:space="0"/>
              <w:left w:val="single" w:color="auto" w:sz="6" w:space="0"/>
              <w:bottom w:val="single" w:color="auto" w:sz="6" w:space="0"/>
              <w:right w:val="single" w:color="auto" w:sz="6" w:space="0"/>
            </w:tcBorders>
          </w:tcPr>
          <w:p w14:paraId="1349A939">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0.8%</w:t>
            </w:r>
          </w:p>
        </w:tc>
        <w:tc>
          <w:tcPr>
            <w:tcW w:w="2160" w:type="dxa"/>
            <w:tcBorders>
              <w:top w:val="single" w:color="auto" w:sz="6" w:space="0"/>
              <w:left w:val="single" w:color="auto" w:sz="6" w:space="0"/>
              <w:bottom w:val="single" w:color="auto" w:sz="6" w:space="0"/>
              <w:right w:val="double" w:color="auto" w:sz="4" w:space="0"/>
            </w:tcBorders>
            <w:vAlign w:val="center"/>
          </w:tcPr>
          <w:p w14:paraId="0BEDA030">
            <w:pPr>
              <w:spacing w:line="500" w:lineRule="exact"/>
              <w:ind w:firstLine="420"/>
              <w:rPr>
                <w:rFonts w:hint="eastAsia" w:ascii="微软雅黑" w:hAnsi="微软雅黑"/>
                <w:color w:val="auto"/>
                <w:szCs w:val="21"/>
                <w:highlight w:val="none"/>
              </w:rPr>
            </w:pPr>
            <w:bookmarkStart w:id="148" w:name="_Toc493511760"/>
            <w:r>
              <w:rPr>
                <w:rFonts w:hint="eastAsia" w:ascii="微软雅黑" w:hAnsi="微软雅黑"/>
                <w:color w:val="auto"/>
                <w:szCs w:val="21"/>
                <w:highlight w:val="none"/>
              </w:rPr>
              <w:t>0.45％</w:t>
            </w:r>
            <w:bookmarkEnd w:id="148"/>
          </w:p>
        </w:tc>
      </w:tr>
    </w:tbl>
    <w:p w14:paraId="14F3D427">
      <w:pPr>
        <w:spacing w:line="500" w:lineRule="exact"/>
        <w:ind w:firstLine="420"/>
        <w:rPr>
          <w:rFonts w:hint="eastAsia" w:ascii="微软雅黑" w:hAnsi="微软雅黑"/>
          <w:color w:val="auto"/>
          <w:szCs w:val="21"/>
          <w:highlight w:val="none"/>
        </w:rPr>
      </w:pPr>
      <w:bookmarkStart w:id="149" w:name="_Toc493511761"/>
      <w:r>
        <w:rPr>
          <w:rFonts w:hint="eastAsia" w:ascii="微软雅黑" w:hAnsi="微软雅黑"/>
          <w:color w:val="auto"/>
          <w:szCs w:val="21"/>
          <w:highlight w:val="none"/>
        </w:rPr>
        <w:t>例如：某项目服务类招标代理业务中标金额为900万元，计算中标服务费收费额如下：</w:t>
      </w:r>
      <w:bookmarkEnd w:id="149"/>
    </w:p>
    <w:p w14:paraId="691E9B68">
      <w:pPr>
        <w:spacing w:line="500" w:lineRule="exact"/>
        <w:ind w:firstLine="420"/>
        <w:rPr>
          <w:rFonts w:hint="eastAsia" w:ascii="微软雅黑" w:hAnsi="微软雅黑"/>
          <w:color w:val="auto"/>
          <w:szCs w:val="21"/>
          <w:highlight w:val="none"/>
        </w:rPr>
      </w:pPr>
      <w:bookmarkStart w:id="150" w:name="_Toc493511762"/>
      <w:r>
        <w:rPr>
          <w:rFonts w:hint="eastAsia" w:ascii="微软雅黑" w:hAnsi="微软雅黑"/>
          <w:color w:val="auto"/>
          <w:szCs w:val="21"/>
          <w:highlight w:val="none"/>
        </w:rPr>
        <w:t>100万元 × 1.5% = 1.5万元</w:t>
      </w:r>
      <w:bookmarkEnd w:id="150"/>
    </w:p>
    <w:p w14:paraId="563CCA4F">
      <w:pPr>
        <w:spacing w:line="500" w:lineRule="exact"/>
        <w:ind w:firstLine="420"/>
        <w:rPr>
          <w:rFonts w:hint="eastAsia" w:ascii="微软雅黑" w:hAnsi="微软雅黑"/>
          <w:color w:val="auto"/>
          <w:szCs w:val="21"/>
          <w:highlight w:val="none"/>
        </w:rPr>
      </w:pPr>
      <w:bookmarkStart w:id="151" w:name="_Toc493511763"/>
      <w:r>
        <w:rPr>
          <w:rFonts w:hint="eastAsia" w:ascii="微软雅黑" w:hAnsi="微软雅黑"/>
          <w:color w:val="auto"/>
          <w:szCs w:val="21"/>
          <w:highlight w:val="none"/>
        </w:rPr>
        <w:t>（500-100）万元 × 0.8% = 3.2万元</w:t>
      </w:r>
      <w:bookmarkEnd w:id="151"/>
    </w:p>
    <w:p w14:paraId="752A1741">
      <w:pPr>
        <w:spacing w:line="500" w:lineRule="exact"/>
        <w:ind w:firstLine="420"/>
        <w:rPr>
          <w:rFonts w:hint="eastAsia" w:ascii="微软雅黑" w:hAnsi="微软雅黑"/>
          <w:color w:val="auto"/>
          <w:szCs w:val="21"/>
          <w:highlight w:val="none"/>
        </w:rPr>
      </w:pPr>
      <w:bookmarkStart w:id="152" w:name="_Toc493511764"/>
      <w:r>
        <w:rPr>
          <w:rFonts w:hint="eastAsia" w:ascii="微软雅黑" w:hAnsi="微软雅黑"/>
          <w:color w:val="auto"/>
          <w:szCs w:val="21"/>
          <w:highlight w:val="none"/>
        </w:rPr>
        <w:t>（900-500）万元×0.45% = 1.8万元</w:t>
      </w:r>
      <w:bookmarkEnd w:id="152"/>
    </w:p>
    <w:p w14:paraId="6ACB21A8">
      <w:pPr>
        <w:spacing w:line="500" w:lineRule="exact"/>
        <w:ind w:firstLine="420"/>
        <w:rPr>
          <w:rFonts w:hint="eastAsia" w:ascii="微软雅黑" w:hAnsi="微软雅黑"/>
          <w:color w:val="auto"/>
          <w:szCs w:val="21"/>
          <w:highlight w:val="none"/>
        </w:rPr>
      </w:pPr>
      <w:bookmarkStart w:id="153" w:name="_Toc493511765"/>
      <w:r>
        <w:rPr>
          <w:rFonts w:hint="eastAsia" w:ascii="微软雅黑" w:hAnsi="微软雅黑"/>
          <w:color w:val="auto"/>
          <w:szCs w:val="21"/>
          <w:highlight w:val="none"/>
        </w:rPr>
        <w:t>计收费 = 1.5万元 + 3.2万元+1.8万元 = 6.5万元</w:t>
      </w:r>
      <w:bookmarkEnd w:id="153"/>
    </w:p>
    <w:p w14:paraId="0DD70C6A">
      <w:pPr>
        <w:spacing w:line="500" w:lineRule="exact"/>
        <w:ind w:firstLine="420"/>
        <w:rPr>
          <w:rFonts w:hint="eastAsia" w:ascii="微软雅黑" w:hAnsi="微软雅黑"/>
          <w:color w:val="auto"/>
          <w:szCs w:val="21"/>
          <w:highlight w:val="none"/>
        </w:rPr>
      </w:pPr>
      <w:bookmarkStart w:id="154" w:name="_Toc493511766"/>
      <w:r>
        <w:rPr>
          <w:rFonts w:hint="eastAsia" w:ascii="微软雅黑" w:hAnsi="微软雅黑"/>
          <w:color w:val="auto"/>
          <w:szCs w:val="21"/>
          <w:highlight w:val="none"/>
        </w:rPr>
        <w:t>3、</w:t>
      </w:r>
      <w:bookmarkEnd w:id="154"/>
      <w:r>
        <w:rPr>
          <w:rFonts w:hint="eastAsia" w:ascii="微软雅黑" w:hAnsi="微软雅黑" w:cs="微软雅黑"/>
          <w:color w:val="auto"/>
          <w:szCs w:val="21"/>
          <w:highlight w:val="none"/>
        </w:rPr>
        <w:t>本项目以服务类招标收费标准的62.83%收取招标代理服务费服务费，</w:t>
      </w:r>
      <w:r>
        <w:rPr>
          <w:rFonts w:hint="eastAsia" w:ascii="微软雅黑" w:hAnsi="微软雅黑" w:cs="微软雅黑"/>
          <w:bCs/>
          <w:color w:val="auto"/>
          <w:szCs w:val="21"/>
          <w:highlight w:val="none"/>
          <w:lang w:val="zh-CN"/>
        </w:rPr>
        <w:t>对于招标代理服务费不足</w:t>
      </w:r>
      <w:r>
        <w:rPr>
          <w:rFonts w:hint="eastAsia" w:ascii="微软雅黑" w:hAnsi="微软雅黑" w:cs="微软雅黑"/>
          <w:bCs/>
          <w:color w:val="auto"/>
          <w:szCs w:val="21"/>
          <w:highlight w:val="none"/>
        </w:rPr>
        <w:t>50</w:t>
      </w:r>
      <w:r>
        <w:rPr>
          <w:rFonts w:hint="eastAsia" w:ascii="微软雅黑" w:hAnsi="微软雅黑" w:cs="微软雅黑"/>
          <w:bCs/>
          <w:color w:val="auto"/>
          <w:szCs w:val="21"/>
          <w:highlight w:val="none"/>
          <w:lang w:val="zh-CN"/>
        </w:rPr>
        <w:t>00元的，按</w:t>
      </w:r>
      <w:r>
        <w:rPr>
          <w:rFonts w:hint="eastAsia" w:ascii="微软雅黑" w:hAnsi="微软雅黑" w:cs="微软雅黑"/>
          <w:bCs/>
          <w:color w:val="auto"/>
          <w:szCs w:val="21"/>
          <w:highlight w:val="none"/>
        </w:rPr>
        <w:t>50</w:t>
      </w:r>
      <w:r>
        <w:rPr>
          <w:rFonts w:hint="eastAsia" w:ascii="微软雅黑" w:hAnsi="微软雅黑" w:cs="微软雅黑"/>
          <w:bCs/>
          <w:color w:val="auto"/>
          <w:szCs w:val="21"/>
          <w:highlight w:val="none"/>
          <w:lang w:val="zh-CN"/>
        </w:rPr>
        <w:t>00元计收</w:t>
      </w:r>
      <w:r>
        <w:rPr>
          <w:rFonts w:hint="eastAsia" w:ascii="微软雅黑" w:hAnsi="微软雅黑"/>
          <w:color w:val="auto"/>
          <w:szCs w:val="21"/>
          <w:highlight w:val="none"/>
        </w:rPr>
        <w:t>。</w:t>
      </w:r>
    </w:p>
    <w:p w14:paraId="0E040505">
      <w:pPr>
        <w:spacing w:line="500" w:lineRule="exact"/>
        <w:ind w:firstLine="420"/>
        <w:rPr>
          <w:rFonts w:hint="eastAsia" w:ascii="微软雅黑" w:hAnsi="微软雅黑"/>
          <w:color w:val="auto"/>
          <w:szCs w:val="21"/>
          <w:highlight w:val="none"/>
        </w:rPr>
      </w:pPr>
      <w:bookmarkStart w:id="155" w:name="_Toc493511767"/>
      <w:r>
        <w:rPr>
          <w:rFonts w:hint="eastAsia" w:ascii="微软雅黑" w:hAnsi="微软雅黑"/>
          <w:color w:val="auto"/>
          <w:szCs w:val="21"/>
          <w:highlight w:val="none"/>
        </w:rPr>
        <w:t>4、服务费的货币为人民币。</w:t>
      </w:r>
      <w:bookmarkEnd w:id="155"/>
    </w:p>
    <w:p w14:paraId="4B41415F">
      <w:pPr>
        <w:spacing w:line="500" w:lineRule="exact"/>
        <w:ind w:firstLine="420"/>
        <w:rPr>
          <w:rFonts w:hint="eastAsia" w:ascii="微软雅黑" w:hAnsi="微软雅黑"/>
          <w:color w:val="auto"/>
          <w:szCs w:val="21"/>
          <w:highlight w:val="none"/>
        </w:rPr>
      </w:pPr>
      <w:bookmarkStart w:id="156" w:name="_Toc493511768"/>
      <w:r>
        <w:rPr>
          <w:rFonts w:hint="eastAsia" w:ascii="微软雅黑" w:hAnsi="微软雅黑"/>
          <w:color w:val="auto"/>
          <w:szCs w:val="21"/>
          <w:highlight w:val="none"/>
        </w:rPr>
        <w:t>5、服务费支付方式：一次性以银行划账、电汇、汇票或支票的形式支付。</w:t>
      </w:r>
      <w:bookmarkEnd w:id="156"/>
    </w:p>
    <w:p w14:paraId="2175A7F7">
      <w:pPr>
        <w:spacing w:line="500" w:lineRule="exact"/>
        <w:ind w:firstLine="420"/>
        <w:rPr>
          <w:rFonts w:hint="eastAsia" w:ascii="微软雅黑" w:hAnsi="微软雅黑"/>
          <w:color w:val="auto"/>
          <w:szCs w:val="21"/>
          <w:highlight w:val="none"/>
        </w:rPr>
      </w:pPr>
      <w:bookmarkStart w:id="157" w:name="_Toc493511769"/>
      <w:r>
        <w:rPr>
          <w:rFonts w:hint="eastAsia" w:ascii="微软雅黑" w:hAnsi="微软雅黑"/>
          <w:color w:val="auto"/>
          <w:szCs w:val="21"/>
          <w:highlight w:val="none"/>
        </w:rPr>
        <w:t>6、服务费以银行划账方式按下列要求提交：</w:t>
      </w:r>
      <w:bookmarkEnd w:id="157"/>
    </w:p>
    <w:p w14:paraId="39B96907">
      <w:pPr>
        <w:spacing w:line="500" w:lineRule="exact"/>
        <w:ind w:firstLine="420"/>
        <w:rPr>
          <w:rFonts w:hint="eastAsia" w:ascii="微软雅黑" w:hAnsi="微软雅黑"/>
          <w:color w:val="auto"/>
          <w:szCs w:val="21"/>
          <w:highlight w:val="none"/>
        </w:rPr>
      </w:pPr>
      <w:bookmarkStart w:id="158" w:name="_Toc493511770"/>
      <w:r>
        <w:rPr>
          <w:rFonts w:hint="eastAsia" w:ascii="微软雅黑" w:hAnsi="微软雅黑"/>
          <w:color w:val="auto"/>
          <w:szCs w:val="21"/>
          <w:highlight w:val="none"/>
        </w:rPr>
        <w:t>收款人：嘉兴市千秋工程咨询有限公司</w:t>
      </w:r>
      <w:bookmarkEnd w:id="158"/>
    </w:p>
    <w:p w14:paraId="18FEF129">
      <w:pPr>
        <w:spacing w:line="500" w:lineRule="exact"/>
        <w:ind w:firstLine="420"/>
        <w:rPr>
          <w:rFonts w:hint="eastAsia" w:ascii="微软雅黑" w:hAnsi="微软雅黑"/>
          <w:color w:val="auto"/>
          <w:szCs w:val="21"/>
          <w:highlight w:val="none"/>
        </w:rPr>
      </w:pPr>
      <w:bookmarkStart w:id="159" w:name="_Toc493511771"/>
      <w:r>
        <w:rPr>
          <w:rFonts w:hint="eastAsia" w:ascii="微软雅黑" w:hAnsi="微软雅黑"/>
          <w:color w:val="auto"/>
          <w:szCs w:val="21"/>
          <w:highlight w:val="none"/>
        </w:rPr>
        <w:t>户名：嘉兴市千秋工程咨询有限公司</w:t>
      </w:r>
      <w:bookmarkEnd w:id="159"/>
    </w:p>
    <w:p w14:paraId="07766D8B">
      <w:pPr>
        <w:spacing w:line="500" w:lineRule="exact"/>
        <w:ind w:firstLine="420"/>
        <w:rPr>
          <w:rFonts w:hint="eastAsia" w:ascii="微软雅黑" w:hAnsi="微软雅黑"/>
          <w:color w:val="auto"/>
          <w:szCs w:val="21"/>
          <w:highlight w:val="none"/>
        </w:rPr>
      </w:pPr>
      <w:bookmarkStart w:id="160" w:name="_Toc493511772"/>
      <w:r>
        <w:rPr>
          <w:rFonts w:hint="eastAsia" w:ascii="微软雅黑" w:hAnsi="微软雅黑"/>
          <w:color w:val="auto"/>
          <w:szCs w:val="21"/>
          <w:highlight w:val="none"/>
        </w:rPr>
        <w:t>开户银行：交通银行嘉兴分行</w:t>
      </w:r>
      <w:bookmarkEnd w:id="160"/>
    </w:p>
    <w:p w14:paraId="65551116">
      <w:pPr>
        <w:spacing w:line="500" w:lineRule="exact"/>
        <w:ind w:firstLine="420"/>
        <w:rPr>
          <w:rFonts w:hint="eastAsia" w:ascii="微软雅黑" w:hAnsi="微软雅黑"/>
          <w:color w:val="auto"/>
          <w:szCs w:val="21"/>
          <w:highlight w:val="none"/>
        </w:rPr>
      </w:pPr>
      <w:bookmarkStart w:id="161" w:name="_Toc493511773"/>
      <w:r>
        <w:rPr>
          <w:rFonts w:hint="eastAsia" w:ascii="微软雅黑" w:hAnsi="微软雅黑"/>
          <w:color w:val="auto"/>
          <w:szCs w:val="21"/>
          <w:highlight w:val="none"/>
        </w:rPr>
        <w:t>账号：334601000018170160050</w:t>
      </w:r>
      <w:bookmarkEnd w:id="161"/>
    </w:p>
    <w:p w14:paraId="0B7D5D8D">
      <w:pPr>
        <w:pStyle w:val="103"/>
        <w:numPr>
          <w:ilvl w:val="0"/>
          <w:numId w:val="14"/>
        </w:numPr>
        <w:spacing w:line="500" w:lineRule="exact"/>
        <w:ind w:left="0" w:firstLine="420"/>
        <w:rPr>
          <w:rFonts w:hint="eastAsia" w:ascii="微软雅黑" w:hAnsi="微软雅黑"/>
          <w:color w:val="auto"/>
          <w:szCs w:val="21"/>
          <w:highlight w:val="none"/>
        </w:rPr>
      </w:pPr>
      <w:bookmarkStart w:id="162" w:name="_Toc493511775"/>
      <w:r>
        <w:rPr>
          <w:rFonts w:hint="eastAsia" w:ascii="微软雅黑" w:hAnsi="微软雅黑"/>
          <w:color w:val="auto"/>
          <w:szCs w:val="21"/>
          <w:highlight w:val="none"/>
        </w:rPr>
        <w:t>服务费不在投标报价中单列。</w:t>
      </w:r>
      <w:bookmarkEnd w:id="162"/>
    </w:p>
    <w:p w14:paraId="6BD8D5CA">
      <w:pPr>
        <w:pStyle w:val="51"/>
        <w:spacing w:before="0" w:after="0"/>
        <w:ind w:firstLine="640"/>
        <w:outlineLvl w:val="9"/>
        <w:rPr>
          <w:rFonts w:hint="eastAsia" w:ascii="微软雅黑" w:hAnsi="微软雅黑"/>
          <w:color w:val="auto"/>
          <w:highlight w:val="none"/>
        </w:rPr>
        <w:sectPr>
          <w:footerReference r:id="rId18" w:type="first"/>
          <w:footerReference r:id="rId17" w:type="default"/>
          <w:pgSz w:w="11906" w:h="16838"/>
          <w:pgMar w:top="1474" w:right="1797" w:bottom="1247" w:left="1797" w:header="851" w:footer="851" w:gutter="0"/>
          <w:cols w:space="720" w:num="1"/>
          <w:docGrid w:linePitch="312" w:charSpace="0"/>
        </w:sectPr>
      </w:pPr>
      <w:bookmarkStart w:id="163" w:name="_Toc493511776"/>
      <w:bookmarkStart w:id="164" w:name="_Toc25435"/>
      <w:bookmarkStart w:id="165" w:name="_Toc177870559"/>
      <w:bookmarkStart w:id="166" w:name="_Toc170792807"/>
      <w:bookmarkStart w:id="167" w:name="_Toc417992896"/>
      <w:bookmarkStart w:id="168" w:name="_Toc170792802"/>
      <w:bookmarkStart w:id="169" w:name="_Toc416422800"/>
      <w:bookmarkStart w:id="170" w:name="_Toc493511826"/>
    </w:p>
    <w:p w14:paraId="70A1FD79">
      <w:pPr>
        <w:pStyle w:val="2"/>
        <w:numPr>
          <w:ilvl w:val="0"/>
          <w:numId w:val="3"/>
        </w:numPr>
        <w:rPr>
          <w:rStyle w:val="66"/>
          <w:b/>
          <w:bCs/>
          <w:color w:val="auto"/>
          <w:highlight w:val="none"/>
        </w:rPr>
      </w:pPr>
      <w:bookmarkStart w:id="171" w:name="_Toc26967"/>
      <w:r>
        <w:rPr>
          <w:rStyle w:val="66"/>
          <w:rFonts w:hint="eastAsia"/>
          <w:b/>
          <w:bCs/>
          <w:color w:val="auto"/>
          <w:highlight w:val="none"/>
        </w:rPr>
        <w:t>评标办法及评分标准</w:t>
      </w:r>
      <w:bookmarkEnd w:id="163"/>
      <w:bookmarkEnd w:id="164"/>
      <w:bookmarkEnd w:id="171"/>
    </w:p>
    <w:p w14:paraId="11860EC2">
      <w:pPr>
        <w:spacing w:line="460" w:lineRule="exact"/>
        <w:ind w:firstLine="420"/>
        <w:rPr>
          <w:rFonts w:hint="eastAsia" w:ascii="宋体" w:hAnsi="宋体"/>
          <w:color w:val="auto"/>
          <w:highlight w:val="none"/>
        </w:rPr>
      </w:pPr>
      <w:r>
        <w:rPr>
          <w:rFonts w:hint="eastAsia" w:ascii="宋体" w:hAnsi="宋体"/>
          <w:color w:val="auto"/>
          <w:highlight w:val="none"/>
        </w:rPr>
        <w:t>为公正、公平、科学地选择中标供应商，根据《中华人民共和国政府采购法》等有关法律法规的规定，并结合本项目的实际，制定本办法。</w:t>
      </w:r>
    </w:p>
    <w:p w14:paraId="5EF0EF6F">
      <w:pPr>
        <w:spacing w:line="460" w:lineRule="exact"/>
        <w:ind w:firstLine="420"/>
        <w:rPr>
          <w:rFonts w:hint="eastAsia" w:ascii="微软雅黑" w:hAnsi="微软雅黑"/>
          <w:color w:val="auto"/>
          <w:szCs w:val="21"/>
          <w:highlight w:val="none"/>
        </w:rPr>
      </w:pPr>
      <w:r>
        <w:rPr>
          <w:rFonts w:hint="eastAsia" w:ascii="宋体" w:hAnsi="宋体"/>
          <w:color w:val="auto"/>
          <w:highlight w:val="none"/>
        </w:rPr>
        <w:t>本办法适用于本项目的评标</w:t>
      </w:r>
      <w:r>
        <w:rPr>
          <w:rFonts w:hint="eastAsia" w:ascii="微软雅黑" w:hAnsi="微软雅黑"/>
          <w:color w:val="auto"/>
          <w:szCs w:val="21"/>
          <w:highlight w:val="none"/>
        </w:rPr>
        <w:t>。</w:t>
      </w:r>
    </w:p>
    <w:bookmarkEnd w:id="165"/>
    <w:bookmarkEnd w:id="166"/>
    <w:p w14:paraId="5C1E4FB0">
      <w:pPr>
        <w:pStyle w:val="4"/>
        <w:spacing w:line="460" w:lineRule="exact"/>
        <w:ind w:firstLine="420"/>
        <w:rPr>
          <w:rFonts w:hint="eastAsia" w:ascii="微软雅黑" w:hAnsi="微软雅黑"/>
          <w:b w:val="0"/>
          <w:color w:val="auto"/>
          <w:szCs w:val="21"/>
          <w:highlight w:val="none"/>
        </w:rPr>
      </w:pPr>
      <w:bookmarkStart w:id="172" w:name="_Toc597"/>
      <w:bookmarkStart w:id="173" w:name="_Toc22990"/>
      <w:r>
        <w:rPr>
          <w:rFonts w:hint="eastAsia" w:ascii="微软雅黑" w:hAnsi="微软雅黑"/>
          <w:color w:val="auto"/>
          <w:szCs w:val="21"/>
          <w:highlight w:val="none"/>
        </w:rPr>
        <w:t>一、总则</w:t>
      </w:r>
      <w:bookmarkEnd w:id="172"/>
      <w:bookmarkEnd w:id="173"/>
    </w:p>
    <w:p w14:paraId="11E3EF07">
      <w:pPr>
        <w:spacing w:line="460" w:lineRule="exact"/>
        <w:ind w:firstLine="420"/>
        <w:rPr>
          <w:rFonts w:hint="eastAsia" w:ascii="宋体" w:hAnsi="宋体"/>
          <w:color w:val="auto"/>
          <w:highlight w:val="none"/>
        </w:rPr>
      </w:pPr>
      <w:r>
        <w:rPr>
          <w:rFonts w:hint="eastAsia" w:ascii="宋体" w:hAnsi="宋体"/>
          <w:color w:val="auto"/>
          <w:highlight w:val="none"/>
        </w:rPr>
        <w:t>本次评标采用综合评分法，总分为100分。合格供应商的评标得分为各项目汇总得分，中标候选资格按评标得分由高到低顺序排列，得分相同的，按投标报价由低到高顺序排列；得分且投标报价相同的，按商务技术得分由高到低顺序排列，仍不能分出前后的，以投标解密先后顺序确定中标候选供应商。中标候选供应商数量：3家，采购人应从评审报告确定的中标候选供应商名单中按顺序确定中标供应商，中标供应商拒绝与采购人签订合同的，确定下一候选供应商为中标供应商，也可以重新开展政府采购活动。评分过程中采用四舍五入法，并保留小数2位。</w:t>
      </w:r>
    </w:p>
    <w:p w14:paraId="70559C15">
      <w:pPr>
        <w:spacing w:line="460" w:lineRule="exact"/>
        <w:ind w:firstLine="420"/>
        <w:rPr>
          <w:rFonts w:hint="eastAsia" w:ascii="宋体" w:hAnsi="宋体"/>
          <w:color w:val="auto"/>
          <w:highlight w:val="none"/>
        </w:rPr>
      </w:pPr>
      <w:r>
        <w:rPr>
          <w:rFonts w:hint="eastAsia" w:ascii="宋体" w:hAnsi="宋体"/>
          <w:color w:val="auto"/>
          <w:highlight w:val="none"/>
        </w:rPr>
        <w:t>供应商评标综合得分=价格分+技术分+资信及其他分</w:t>
      </w:r>
    </w:p>
    <w:p w14:paraId="1F51C8D8">
      <w:pPr>
        <w:pStyle w:val="4"/>
        <w:spacing w:line="460" w:lineRule="exact"/>
        <w:ind w:firstLine="420"/>
        <w:rPr>
          <w:rFonts w:hint="eastAsia" w:ascii="微软雅黑" w:hAnsi="微软雅黑"/>
          <w:b w:val="0"/>
          <w:color w:val="auto"/>
          <w:szCs w:val="21"/>
          <w:highlight w:val="none"/>
        </w:rPr>
      </w:pPr>
      <w:bookmarkStart w:id="174" w:name="_Toc18804"/>
      <w:bookmarkStart w:id="175" w:name="_Toc23206"/>
      <w:r>
        <w:rPr>
          <w:rFonts w:hint="eastAsia" w:ascii="微软雅黑" w:hAnsi="微软雅黑"/>
          <w:color w:val="auto"/>
          <w:szCs w:val="21"/>
          <w:highlight w:val="none"/>
        </w:rPr>
        <w:t>二、评标内容及标准</w:t>
      </w:r>
      <w:bookmarkEnd w:id="174"/>
      <w:bookmarkEnd w:id="175"/>
    </w:p>
    <w:p w14:paraId="1F92B9A6">
      <w:pPr>
        <w:pStyle w:val="22"/>
        <w:spacing w:line="460" w:lineRule="exact"/>
        <w:ind w:firstLine="404"/>
        <w:rPr>
          <w:rFonts w:hint="eastAsia" w:ascii="微软雅黑" w:hAnsi="微软雅黑"/>
          <w:b/>
          <w:bCs/>
          <w:color w:val="auto"/>
          <w:sz w:val="21"/>
          <w:szCs w:val="21"/>
          <w:highlight w:val="none"/>
        </w:rPr>
      </w:pPr>
      <w:r>
        <w:rPr>
          <w:rFonts w:hint="eastAsia" w:ascii="微软雅黑" w:hAnsi="微软雅黑"/>
          <w:b/>
          <w:color w:val="auto"/>
          <w:sz w:val="21"/>
          <w:szCs w:val="21"/>
          <w:highlight w:val="none"/>
        </w:rPr>
        <w:t>（一）</w:t>
      </w:r>
      <w:r>
        <w:rPr>
          <w:rFonts w:hint="eastAsia" w:ascii="微软雅黑" w:hAnsi="微软雅黑"/>
          <w:b/>
          <w:bCs/>
          <w:color w:val="auto"/>
          <w:sz w:val="21"/>
          <w:szCs w:val="21"/>
          <w:highlight w:val="none"/>
        </w:rPr>
        <w:t>价格分（10分）</w:t>
      </w:r>
    </w:p>
    <w:p w14:paraId="5AE8CB1A">
      <w:pPr>
        <w:pStyle w:val="22"/>
        <w:spacing w:line="460" w:lineRule="exact"/>
        <w:ind w:firstLine="404"/>
        <w:rPr>
          <w:rFonts w:hint="eastAsia" w:ascii="微软雅黑" w:hAnsi="微软雅黑"/>
          <w:bCs/>
          <w:color w:val="auto"/>
          <w:sz w:val="21"/>
          <w:szCs w:val="21"/>
          <w:highlight w:val="none"/>
        </w:rPr>
      </w:pPr>
      <w:r>
        <w:rPr>
          <w:rFonts w:hint="eastAsia" w:ascii="微软雅黑" w:hAnsi="微软雅黑"/>
          <w:bCs/>
          <w:color w:val="auto"/>
          <w:sz w:val="21"/>
          <w:szCs w:val="21"/>
          <w:highlight w:val="none"/>
        </w:rPr>
        <w:t>1.价格分采用低价优先法计算，即满足招标文件要求且投标价格最低的投标报价为评标基准价，其他供应商的价格分按照下列公式计算：</w:t>
      </w:r>
    </w:p>
    <w:p w14:paraId="2FC48E52">
      <w:pPr>
        <w:spacing w:line="46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价格分=（评标基准价/投标报价）×10%×100</w:t>
      </w:r>
    </w:p>
    <w:p w14:paraId="2294AC85">
      <w:pPr>
        <w:pStyle w:val="22"/>
        <w:numPr>
          <w:ilvl w:val="0"/>
          <w:numId w:val="13"/>
        </w:numPr>
        <w:spacing w:line="460" w:lineRule="exact"/>
        <w:ind w:left="0" w:firstLine="404"/>
        <w:rPr>
          <w:rFonts w:hint="eastAsia" w:ascii="微软雅黑" w:hAnsi="微软雅黑"/>
          <w:bCs/>
          <w:color w:val="auto"/>
          <w:sz w:val="21"/>
          <w:szCs w:val="21"/>
          <w:highlight w:val="none"/>
        </w:rPr>
      </w:pPr>
      <w:r>
        <w:rPr>
          <w:rFonts w:hint="eastAsia" w:ascii="微软雅黑" w:hAnsi="微软雅黑"/>
          <w:bCs/>
          <w:color w:val="auto"/>
          <w:sz w:val="21"/>
          <w:szCs w:val="21"/>
          <w:highlight w:val="none"/>
        </w:rPr>
        <w:t>供应商的投标报价超过采购人设定的最高限价，将作为无效标。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62D6A220">
      <w:pPr>
        <w:spacing w:line="400" w:lineRule="exact"/>
        <w:ind w:firstLine="420"/>
        <w:rPr>
          <w:rFonts w:hint="eastAsia" w:ascii="宋体" w:hAnsi="宋体" w:cs="宋体"/>
          <w:b/>
          <w:color w:val="auto"/>
          <w:szCs w:val="21"/>
          <w:highlight w:val="none"/>
        </w:rPr>
      </w:pPr>
      <w:r>
        <w:rPr>
          <w:rFonts w:hint="eastAsia" w:ascii="宋体" w:hAnsi="宋体" w:cs="宋体"/>
          <w:b/>
          <w:bCs/>
          <w:color w:val="auto"/>
          <w:szCs w:val="21"/>
          <w:highlight w:val="none"/>
        </w:rPr>
        <w:t>（二）</w:t>
      </w:r>
      <w:r>
        <w:rPr>
          <w:rFonts w:hint="eastAsia" w:ascii="宋体" w:hAnsi="宋体" w:cs="宋体"/>
          <w:b/>
          <w:color w:val="auto"/>
          <w:szCs w:val="21"/>
          <w:highlight w:val="none"/>
        </w:rPr>
        <w:t>商务资信技术分（满分90分）</w:t>
      </w:r>
    </w:p>
    <w:tbl>
      <w:tblPr>
        <w:tblStyle w:val="54"/>
        <w:tblpPr w:leftFromText="180" w:rightFromText="180" w:vertAnchor="text" w:horzAnchor="page" w:tblpX="1496" w:tblpY="739"/>
        <w:tblOverlap w:val="never"/>
        <w:tblW w:w="97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605"/>
        <w:gridCol w:w="930"/>
        <w:gridCol w:w="6012"/>
        <w:gridCol w:w="648"/>
        <w:gridCol w:w="802"/>
      </w:tblGrid>
      <w:tr w14:paraId="4126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754" w:type="dxa"/>
            <w:noWrap/>
            <w:vAlign w:val="center"/>
          </w:tcPr>
          <w:p w14:paraId="110E1066">
            <w:pPr>
              <w:widowControl/>
              <w:spacing w:line="240" w:lineRule="auto"/>
              <w:ind w:firstLine="0" w:firstLineChars="0"/>
              <w:contextualSpacing/>
              <w:jc w:val="center"/>
              <w:rPr>
                <w:rFonts w:hint="eastAsia" w:ascii="微软雅黑" w:hAnsi="微软雅黑" w:cs="微软雅黑"/>
                <w:b/>
                <w:bCs/>
                <w:color w:val="auto"/>
                <w:kern w:val="0"/>
                <w:szCs w:val="21"/>
                <w:highlight w:val="none"/>
              </w:rPr>
            </w:pPr>
            <w:bookmarkStart w:id="176" w:name="_Hlk43039012"/>
          </w:p>
        </w:tc>
        <w:tc>
          <w:tcPr>
            <w:tcW w:w="605" w:type="dxa"/>
            <w:noWrap/>
            <w:vAlign w:val="center"/>
          </w:tcPr>
          <w:p w14:paraId="190BB40F">
            <w:pPr>
              <w:widowControl/>
              <w:spacing w:line="240" w:lineRule="auto"/>
              <w:ind w:firstLine="0" w:firstLineChars="0"/>
              <w:contextualSpacing/>
              <w:jc w:val="center"/>
              <w:rPr>
                <w:rFonts w:hint="eastAsia" w:ascii="微软雅黑" w:hAnsi="微软雅黑" w:cs="微软雅黑"/>
                <w:b/>
                <w:bCs/>
                <w:color w:val="auto"/>
                <w:kern w:val="0"/>
                <w:szCs w:val="21"/>
                <w:highlight w:val="none"/>
              </w:rPr>
            </w:pPr>
            <w:r>
              <w:rPr>
                <w:rFonts w:hint="eastAsia" w:ascii="微软雅黑" w:hAnsi="微软雅黑" w:cs="微软雅黑"/>
                <w:b/>
                <w:bCs/>
                <w:color w:val="auto"/>
                <w:kern w:val="0"/>
                <w:szCs w:val="21"/>
                <w:highlight w:val="none"/>
              </w:rPr>
              <w:t>序号</w:t>
            </w:r>
          </w:p>
        </w:tc>
        <w:tc>
          <w:tcPr>
            <w:tcW w:w="6942" w:type="dxa"/>
            <w:gridSpan w:val="2"/>
            <w:vAlign w:val="center"/>
          </w:tcPr>
          <w:p w14:paraId="1C422919">
            <w:pPr>
              <w:widowControl/>
              <w:spacing w:line="240" w:lineRule="auto"/>
              <w:ind w:firstLine="0" w:firstLineChars="0"/>
              <w:contextualSpacing/>
              <w:jc w:val="center"/>
              <w:rPr>
                <w:rFonts w:hint="eastAsia" w:ascii="微软雅黑" w:hAnsi="微软雅黑" w:cs="微软雅黑"/>
                <w:b/>
                <w:bCs/>
                <w:color w:val="auto"/>
                <w:kern w:val="0"/>
                <w:szCs w:val="21"/>
                <w:highlight w:val="none"/>
              </w:rPr>
            </w:pPr>
            <w:r>
              <w:rPr>
                <w:rFonts w:hint="eastAsia" w:ascii="微软雅黑" w:hAnsi="微软雅黑" w:cs="微软雅黑"/>
                <w:b/>
                <w:bCs/>
                <w:color w:val="auto"/>
                <w:kern w:val="0"/>
                <w:szCs w:val="21"/>
                <w:highlight w:val="none"/>
              </w:rPr>
              <w:t>评审标准</w:t>
            </w:r>
          </w:p>
        </w:tc>
        <w:tc>
          <w:tcPr>
            <w:tcW w:w="648" w:type="dxa"/>
            <w:vAlign w:val="center"/>
          </w:tcPr>
          <w:p w14:paraId="7947DB8C">
            <w:pPr>
              <w:widowControl/>
              <w:spacing w:line="240" w:lineRule="auto"/>
              <w:ind w:firstLine="0" w:firstLineChars="0"/>
              <w:contextualSpacing/>
              <w:jc w:val="center"/>
              <w:rPr>
                <w:rFonts w:hint="eastAsia" w:ascii="微软雅黑" w:hAnsi="微软雅黑" w:cs="微软雅黑"/>
                <w:b/>
                <w:bCs/>
                <w:color w:val="auto"/>
                <w:kern w:val="0"/>
                <w:szCs w:val="21"/>
                <w:highlight w:val="none"/>
              </w:rPr>
            </w:pPr>
            <w:r>
              <w:rPr>
                <w:rFonts w:hint="eastAsia" w:ascii="微软雅黑" w:hAnsi="微软雅黑" w:cs="微软雅黑"/>
                <w:b/>
                <w:bCs/>
                <w:color w:val="auto"/>
                <w:kern w:val="0"/>
                <w:szCs w:val="21"/>
                <w:highlight w:val="none"/>
              </w:rPr>
              <w:t>最高</w:t>
            </w:r>
          </w:p>
          <w:p w14:paraId="220EF0A2">
            <w:pPr>
              <w:widowControl/>
              <w:spacing w:line="240" w:lineRule="auto"/>
              <w:ind w:firstLine="0" w:firstLineChars="0"/>
              <w:contextualSpacing/>
              <w:jc w:val="center"/>
              <w:rPr>
                <w:rFonts w:hint="eastAsia" w:ascii="微软雅黑" w:hAnsi="微软雅黑" w:cs="微软雅黑"/>
                <w:b/>
                <w:bCs/>
                <w:color w:val="auto"/>
                <w:kern w:val="0"/>
                <w:szCs w:val="21"/>
                <w:highlight w:val="none"/>
              </w:rPr>
            </w:pPr>
            <w:r>
              <w:rPr>
                <w:rFonts w:hint="eastAsia" w:ascii="微软雅黑" w:hAnsi="微软雅黑" w:cs="微软雅黑"/>
                <w:b/>
                <w:bCs/>
                <w:color w:val="auto"/>
                <w:kern w:val="0"/>
                <w:szCs w:val="21"/>
                <w:highlight w:val="none"/>
              </w:rPr>
              <w:t>分值</w:t>
            </w:r>
          </w:p>
        </w:tc>
        <w:tc>
          <w:tcPr>
            <w:tcW w:w="802" w:type="dxa"/>
            <w:vAlign w:val="center"/>
          </w:tcPr>
          <w:p w14:paraId="0A246320">
            <w:pPr>
              <w:widowControl/>
              <w:spacing w:line="240" w:lineRule="auto"/>
              <w:ind w:firstLine="0" w:firstLineChars="0"/>
              <w:contextualSpacing/>
              <w:jc w:val="center"/>
              <w:rPr>
                <w:rFonts w:hint="eastAsia" w:ascii="微软雅黑" w:hAnsi="微软雅黑" w:cs="微软雅黑"/>
                <w:b/>
                <w:bCs/>
                <w:color w:val="auto"/>
                <w:kern w:val="0"/>
                <w:szCs w:val="21"/>
                <w:highlight w:val="none"/>
              </w:rPr>
            </w:pPr>
            <w:r>
              <w:rPr>
                <w:rFonts w:hint="eastAsia" w:ascii="微软雅黑" w:hAnsi="微软雅黑" w:cs="微软雅黑"/>
                <w:b/>
                <w:bCs/>
                <w:color w:val="auto"/>
                <w:kern w:val="0"/>
                <w:szCs w:val="21"/>
                <w:highlight w:val="none"/>
              </w:rPr>
              <w:t>评分</w:t>
            </w:r>
          </w:p>
          <w:p w14:paraId="78BDD866">
            <w:pPr>
              <w:widowControl/>
              <w:spacing w:line="240" w:lineRule="auto"/>
              <w:ind w:firstLine="0" w:firstLineChars="0"/>
              <w:contextualSpacing/>
              <w:jc w:val="center"/>
              <w:rPr>
                <w:rFonts w:hint="eastAsia" w:ascii="微软雅黑" w:hAnsi="微软雅黑" w:cs="微软雅黑"/>
                <w:b/>
                <w:bCs/>
                <w:color w:val="auto"/>
                <w:kern w:val="0"/>
                <w:szCs w:val="21"/>
                <w:highlight w:val="none"/>
              </w:rPr>
            </w:pPr>
            <w:r>
              <w:rPr>
                <w:rFonts w:hint="eastAsia" w:ascii="微软雅黑" w:hAnsi="微软雅黑" w:cs="微软雅黑"/>
                <w:b/>
                <w:bCs/>
                <w:color w:val="auto"/>
                <w:kern w:val="0"/>
                <w:szCs w:val="21"/>
                <w:highlight w:val="none"/>
              </w:rPr>
              <w:t>设置</w:t>
            </w:r>
          </w:p>
        </w:tc>
      </w:tr>
      <w:tr w14:paraId="6721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54" w:type="dxa"/>
            <w:vMerge w:val="restart"/>
            <w:noWrap/>
            <w:vAlign w:val="center"/>
          </w:tcPr>
          <w:p w14:paraId="66583968">
            <w:pPr>
              <w:widowControl/>
              <w:spacing w:line="240" w:lineRule="auto"/>
              <w:ind w:firstLine="0" w:firstLineChars="0"/>
              <w:contextualSpacing/>
              <w:jc w:val="center"/>
              <w:rPr>
                <w:rFonts w:hint="eastAsia" w:ascii="微软雅黑" w:hAnsi="微软雅黑" w:cs="微软雅黑"/>
                <w:color w:val="auto"/>
                <w:kern w:val="0"/>
                <w:szCs w:val="21"/>
                <w:highlight w:val="none"/>
              </w:rPr>
            </w:pPr>
            <w:bookmarkStart w:id="177" w:name="_Hlk199157742"/>
            <w:r>
              <w:rPr>
                <w:rFonts w:hint="eastAsia" w:ascii="微软雅黑" w:hAnsi="微软雅黑" w:cs="微软雅黑"/>
                <w:color w:val="auto"/>
                <w:kern w:val="0"/>
                <w:szCs w:val="21"/>
                <w:highlight w:val="none"/>
              </w:rPr>
              <w:t>商务资信</w:t>
            </w:r>
          </w:p>
        </w:tc>
        <w:tc>
          <w:tcPr>
            <w:tcW w:w="605" w:type="dxa"/>
            <w:noWrap/>
            <w:vAlign w:val="center"/>
          </w:tcPr>
          <w:p w14:paraId="0BEA7D8A">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w:t>
            </w:r>
          </w:p>
        </w:tc>
        <w:tc>
          <w:tcPr>
            <w:tcW w:w="6942" w:type="dxa"/>
            <w:gridSpan w:val="2"/>
            <w:vAlign w:val="center"/>
          </w:tcPr>
          <w:p w14:paraId="61DF23E5">
            <w:pPr>
              <w:adjustRightInd w:val="0"/>
              <w:snapToGrid w:val="0"/>
              <w:spacing w:line="240" w:lineRule="auto"/>
              <w:ind w:firstLine="0" w:firstLineChars="0"/>
              <w:rPr>
                <w:rFonts w:hint="eastAsia" w:ascii="微软雅黑" w:hAnsi="微软雅黑" w:cs="微软雅黑"/>
                <w:color w:val="auto"/>
                <w:szCs w:val="21"/>
                <w:highlight w:val="none"/>
              </w:rPr>
            </w:pPr>
            <w:r>
              <w:rPr>
                <w:rFonts w:hint="eastAsia"/>
                <w:color w:val="auto"/>
                <w:highlight w:val="none"/>
              </w:rPr>
              <w:t>供应商自2021年1月1日起（以合同签订时间为准）至开标截止之日止，承接过规划项目业绩的，每个项目业绩得0.5分，最高得1分</w:t>
            </w:r>
            <w:r>
              <w:rPr>
                <w:rFonts w:hint="eastAsia" w:ascii="微软雅黑" w:hAnsi="微软雅黑" w:cs="微软雅黑"/>
                <w:color w:val="auto"/>
                <w:szCs w:val="21"/>
                <w:highlight w:val="none"/>
              </w:rPr>
              <w:t>。（投标文件中须提供合同复印件，时间以合同签订时间为准）。</w:t>
            </w:r>
          </w:p>
        </w:tc>
        <w:tc>
          <w:tcPr>
            <w:tcW w:w="648" w:type="dxa"/>
            <w:vAlign w:val="center"/>
          </w:tcPr>
          <w:p w14:paraId="196DF761">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ascii="微软雅黑" w:hAnsi="微软雅黑" w:cs="微软雅黑"/>
                <w:color w:val="auto"/>
                <w:kern w:val="0"/>
                <w:szCs w:val="21"/>
                <w:highlight w:val="none"/>
              </w:rPr>
              <w:t>1</w:t>
            </w:r>
          </w:p>
        </w:tc>
        <w:tc>
          <w:tcPr>
            <w:tcW w:w="802" w:type="dxa"/>
            <w:vAlign w:val="center"/>
          </w:tcPr>
          <w:p w14:paraId="034D813B">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客观</w:t>
            </w:r>
          </w:p>
        </w:tc>
      </w:tr>
      <w:tr w14:paraId="007DA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54" w:type="dxa"/>
            <w:vMerge w:val="continue"/>
            <w:noWrap/>
            <w:vAlign w:val="center"/>
          </w:tcPr>
          <w:p w14:paraId="1120EDFF">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c>
          <w:tcPr>
            <w:tcW w:w="605" w:type="dxa"/>
            <w:noWrap/>
            <w:vAlign w:val="center"/>
          </w:tcPr>
          <w:p w14:paraId="42801A6F">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w:t>
            </w:r>
          </w:p>
        </w:tc>
        <w:tc>
          <w:tcPr>
            <w:tcW w:w="6942" w:type="dxa"/>
            <w:gridSpan w:val="2"/>
            <w:vAlign w:val="center"/>
          </w:tcPr>
          <w:p w14:paraId="6B35203A">
            <w:pPr>
              <w:pStyle w:val="18"/>
              <w:spacing w:line="240" w:lineRule="auto"/>
              <w:ind w:firstLine="0" w:firstLineChars="0"/>
              <w:rPr>
                <w:rFonts w:hint="eastAsia" w:ascii="微软雅黑" w:hAnsi="微软雅黑" w:cs="微软雅黑"/>
                <w:color w:val="auto"/>
                <w:highlight w:val="none"/>
              </w:rPr>
            </w:pPr>
            <w:r>
              <w:rPr>
                <w:rFonts w:hint="eastAsia"/>
                <w:color w:val="auto"/>
                <w:highlight w:val="none"/>
              </w:rPr>
              <w:t>拟投入本项目的项目负责人及团队人员具有与本项目相关专业高级及以上技术职称的得1分，最多得4分，没有不得分。</w:t>
            </w:r>
          </w:p>
          <w:p w14:paraId="3F8F59B6">
            <w:pPr>
              <w:pStyle w:val="18"/>
              <w:spacing w:line="240" w:lineRule="auto"/>
              <w:ind w:firstLine="0" w:firstLineChars="0"/>
              <w:rPr>
                <w:rFonts w:hint="eastAsia" w:ascii="微软雅黑" w:hAnsi="微软雅黑" w:cs="微软雅黑"/>
                <w:color w:val="auto"/>
                <w:highlight w:val="none"/>
              </w:rPr>
            </w:pPr>
            <w:r>
              <w:rPr>
                <w:rFonts w:hint="eastAsia" w:ascii="微软雅黑" w:hAnsi="微软雅黑" w:cs="微软雅黑"/>
                <w:color w:val="auto"/>
                <w:highlight w:val="none"/>
              </w:rPr>
              <w:t>（投标文件中提供职称证书复印件及</w:t>
            </w:r>
            <w:bookmarkStart w:id="178" w:name="OLE_LINK11"/>
            <w:bookmarkStart w:id="179" w:name="OLE_LINK12"/>
            <w:r>
              <w:rPr>
                <w:rFonts w:hint="eastAsia" w:ascii="微软雅黑" w:hAnsi="微软雅黑" w:cs="微软雅黑"/>
                <w:color w:val="auto"/>
                <w:highlight w:val="none"/>
              </w:rPr>
              <w:t>近三个月内任意一个月的社保证明的复印件</w:t>
            </w:r>
            <w:bookmarkEnd w:id="178"/>
            <w:bookmarkEnd w:id="179"/>
            <w:r>
              <w:rPr>
                <w:rFonts w:hint="eastAsia" w:ascii="微软雅黑" w:hAnsi="微软雅黑" w:cs="微软雅黑"/>
                <w:color w:val="auto"/>
                <w:highlight w:val="none"/>
              </w:rPr>
              <w:t>）</w:t>
            </w:r>
          </w:p>
        </w:tc>
        <w:tc>
          <w:tcPr>
            <w:tcW w:w="648" w:type="dxa"/>
            <w:vAlign w:val="center"/>
          </w:tcPr>
          <w:p w14:paraId="1AA0F8BA">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w:t>
            </w:r>
          </w:p>
        </w:tc>
        <w:tc>
          <w:tcPr>
            <w:tcW w:w="802" w:type="dxa"/>
            <w:shd w:val="clear" w:color="auto" w:fill="auto"/>
            <w:vAlign w:val="center"/>
          </w:tcPr>
          <w:p w14:paraId="002A120C">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客观</w:t>
            </w:r>
          </w:p>
        </w:tc>
      </w:tr>
      <w:tr w14:paraId="7BE2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4" w:type="dxa"/>
            <w:vMerge w:val="restart"/>
            <w:noWrap/>
            <w:vAlign w:val="center"/>
          </w:tcPr>
          <w:p w14:paraId="46E94D4F">
            <w:pPr>
              <w:widowControl/>
              <w:spacing w:line="240" w:lineRule="auto"/>
              <w:ind w:firstLine="0" w:firstLineChars="0"/>
              <w:contextualSpacing/>
              <w:jc w:val="center"/>
              <w:rPr>
                <w:rFonts w:hint="eastAsia" w:ascii="微软雅黑" w:hAnsi="微软雅黑" w:cs="微软雅黑"/>
                <w:b/>
                <w:color w:val="auto"/>
                <w:kern w:val="0"/>
                <w:szCs w:val="21"/>
                <w:highlight w:val="none"/>
              </w:rPr>
            </w:pPr>
            <w:r>
              <w:rPr>
                <w:rFonts w:hint="eastAsia" w:ascii="微软雅黑" w:hAnsi="微软雅黑" w:cs="微软雅黑"/>
                <w:b/>
                <w:color w:val="auto"/>
                <w:kern w:val="0"/>
                <w:szCs w:val="21"/>
                <w:highlight w:val="none"/>
              </w:rPr>
              <w:t>技术</w:t>
            </w:r>
          </w:p>
        </w:tc>
        <w:tc>
          <w:tcPr>
            <w:tcW w:w="605" w:type="dxa"/>
            <w:vMerge w:val="restart"/>
            <w:noWrap/>
            <w:vAlign w:val="center"/>
          </w:tcPr>
          <w:p w14:paraId="27E1EA7F">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w:t>
            </w:r>
          </w:p>
        </w:tc>
        <w:tc>
          <w:tcPr>
            <w:tcW w:w="930" w:type="dxa"/>
            <w:vMerge w:val="restart"/>
            <w:vAlign w:val="center"/>
          </w:tcPr>
          <w:p w14:paraId="2C909A01">
            <w:pPr>
              <w:spacing w:line="240" w:lineRule="auto"/>
              <w:ind w:firstLine="0" w:firstLineChars="0"/>
              <w:rPr>
                <w:rFonts w:hint="eastAsia" w:ascii="微软雅黑" w:hAnsi="微软雅黑" w:cs="微软雅黑"/>
                <w:color w:val="auto"/>
                <w:szCs w:val="21"/>
                <w:highlight w:val="none"/>
              </w:rPr>
            </w:pPr>
            <w:r>
              <w:rPr>
                <w:rFonts w:hint="eastAsia"/>
                <w:color w:val="auto"/>
                <w:highlight w:val="none"/>
              </w:rPr>
              <w:t>前期分析</w:t>
            </w:r>
          </w:p>
        </w:tc>
        <w:tc>
          <w:tcPr>
            <w:tcW w:w="6012" w:type="dxa"/>
            <w:vAlign w:val="center"/>
          </w:tcPr>
          <w:p w14:paraId="5A624219">
            <w:pPr>
              <w:spacing w:line="240" w:lineRule="auto"/>
              <w:ind w:firstLine="0" w:firstLineChars="0"/>
              <w:rPr>
                <w:rFonts w:hint="eastAsia" w:ascii="微软雅黑" w:hAnsi="微软雅黑" w:cs="微软雅黑"/>
                <w:color w:val="auto"/>
                <w:szCs w:val="21"/>
                <w:highlight w:val="none"/>
              </w:rPr>
            </w:pPr>
            <w:r>
              <w:rPr>
                <w:rFonts w:hint="eastAsia"/>
                <w:color w:val="auto"/>
                <w:highlight w:val="none"/>
              </w:rPr>
              <w:t>背景分析、相关规划衔接：供应商对项目编制的背景发展、意义、对上位规划及对区域周边空间及板块错位发展的理解，</w:t>
            </w:r>
            <w:r>
              <w:rPr>
                <w:rFonts w:hint="eastAsia" w:ascii="微软雅黑" w:hAnsi="微软雅黑" w:cs="微软雅黑"/>
                <w:color w:val="auto"/>
                <w:kern w:val="0"/>
                <w:szCs w:val="21"/>
                <w:highlight w:val="none"/>
              </w:rPr>
              <w:t>是否与采购需求符合性或匹配度进行打分（满分</w:t>
            </w:r>
            <w:r>
              <w:rPr>
                <w:rFonts w:ascii="微软雅黑" w:hAnsi="微软雅黑" w:cs="微软雅黑"/>
                <w:color w:val="auto"/>
                <w:kern w:val="0"/>
                <w:szCs w:val="21"/>
                <w:highlight w:val="none"/>
              </w:rPr>
              <w:t>5</w:t>
            </w:r>
            <w:r>
              <w:rPr>
                <w:rFonts w:hint="eastAsia" w:ascii="微软雅黑" w:hAnsi="微软雅黑" w:cs="微软雅黑"/>
                <w:color w:val="auto"/>
                <w:kern w:val="0"/>
                <w:szCs w:val="21"/>
                <w:highlight w:val="none"/>
              </w:rPr>
              <w:t>分，评分范围5/4/3/2/1），不提供方案不得分。</w:t>
            </w:r>
          </w:p>
        </w:tc>
        <w:tc>
          <w:tcPr>
            <w:tcW w:w="648" w:type="dxa"/>
            <w:vAlign w:val="center"/>
          </w:tcPr>
          <w:p w14:paraId="5F3DD4BB">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ascii="微软雅黑" w:hAnsi="微软雅黑" w:cs="微软雅黑"/>
                <w:color w:val="auto"/>
                <w:kern w:val="0"/>
                <w:szCs w:val="21"/>
                <w:highlight w:val="none"/>
              </w:rPr>
              <w:t>5</w:t>
            </w:r>
          </w:p>
        </w:tc>
        <w:tc>
          <w:tcPr>
            <w:tcW w:w="802" w:type="dxa"/>
            <w:vAlign w:val="center"/>
          </w:tcPr>
          <w:p w14:paraId="4B3A2363">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1AB1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4" w:type="dxa"/>
            <w:vMerge w:val="continue"/>
            <w:noWrap/>
            <w:vAlign w:val="center"/>
          </w:tcPr>
          <w:p w14:paraId="509483F0">
            <w:pPr>
              <w:widowControl/>
              <w:spacing w:line="240" w:lineRule="auto"/>
              <w:ind w:firstLine="0" w:firstLineChars="0"/>
              <w:contextualSpacing/>
              <w:jc w:val="center"/>
              <w:rPr>
                <w:rFonts w:hint="eastAsia" w:ascii="微软雅黑" w:hAnsi="微软雅黑" w:cs="微软雅黑"/>
                <w:b/>
                <w:color w:val="auto"/>
                <w:kern w:val="0"/>
                <w:szCs w:val="21"/>
                <w:highlight w:val="none"/>
              </w:rPr>
            </w:pPr>
          </w:p>
        </w:tc>
        <w:tc>
          <w:tcPr>
            <w:tcW w:w="605" w:type="dxa"/>
            <w:vMerge w:val="continue"/>
            <w:noWrap/>
            <w:vAlign w:val="center"/>
          </w:tcPr>
          <w:p w14:paraId="5EC7432C">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c>
          <w:tcPr>
            <w:tcW w:w="930" w:type="dxa"/>
            <w:vMerge w:val="continue"/>
            <w:vAlign w:val="center"/>
          </w:tcPr>
          <w:p w14:paraId="75ECF895">
            <w:pPr>
              <w:spacing w:line="240" w:lineRule="auto"/>
              <w:ind w:firstLine="0" w:firstLineChars="0"/>
              <w:rPr>
                <w:rFonts w:hint="eastAsia" w:ascii="微软雅黑" w:hAnsi="微软雅黑" w:cs="微软雅黑"/>
                <w:color w:val="auto"/>
                <w:kern w:val="0"/>
                <w:szCs w:val="21"/>
                <w:highlight w:val="none"/>
              </w:rPr>
            </w:pPr>
          </w:p>
        </w:tc>
        <w:tc>
          <w:tcPr>
            <w:tcW w:w="6012" w:type="dxa"/>
            <w:vAlign w:val="center"/>
          </w:tcPr>
          <w:p w14:paraId="66ECE235">
            <w:pPr>
              <w:spacing w:line="240" w:lineRule="auto"/>
              <w:ind w:firstLine="0" w:firstLineChars="0"/>
              <w:rPr>
                <w:rFonts w:hint="eastAsia" w:ascii="微软雅黑" w:hAnsi="微软雅黑" w:cs="微软雅黑"/>
                <w:color w:val="auto"/>
                <w:kern w:val="0"/>
                <w:szCs w:val="21"/>
                <w:highlight w:val="none"/>
              </w:rPr>
            </w:pPr>
            <w:r>
              <w:rPr>
                <w:rFonts w:hint="eastAsia"/>
                <w:color w:val="auto"/>
                <w:highlight w:val="none"/>
              </w:rPr>
              <w:t>案例对标：供应商相关类型项目的案例研究是否有深度、有针对性，</w:t>
            </w:r>
            <w:r>
              <w:rPr>
                <w:rFonts w:hint="eastAsia" w:ascii="微软雅黑" w:hAnsi="微软雅黑" w:cs="微软雅黑"/>
                <w:color w:val="auto"/>
                <w:kern w:val="0"/>
                <w:szCs w:val="21"/>
                <w:highlight w:val="none"/>
              </w:rPr>
              <w:t>是否与采购需求符合性或匹配度进行打分（满分</w:t>
            </w:r>
            <w:r>
              <w:rPr>
                <w:rFonts w:ascii="微软雅黑" w:hAnsi="微软雅黑" w:cs="微软雅黑"/>
                <w:color w:val="auto"/>
                <w:kern w:val="0"/>
                <w:szCs w:val="21"/>
                <w:highlight w:val="none"/>
              </w:rPr>
              <w:t>5</w:t>
            </w:r>
            <w:r>
              <w:rPr>
                <w:rFonts w:hint="eastAsia" w:ascii="微软雅黑" w:hAnsi="微软雅黑" w:cs="微软雅黑"/>
                <w:color w:val="auto"/>
                <w:kern w:val="0"/>
                <w:szCs w:val="21"/>
                <w:highlight w:val="none"/>
              </w:rPr>
              <w:t>分，评分范围5/4/3/2/1），不提供方案不得分。</w:t>
            </w:r>
          </w:p>
        </w:tc>
        <w:tc>
          <w:tcPr>
            <w:tcW w:w="648" w:type="dxa"/>
            <w:vAlign w:val="center"/>
          </w:tcPr>
          <w:p w14:paraId="1A54E3D4">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5</w:t>
            </w:r>
          </w:p>
        </w:tc>
        <w:tc>
          <w:tcPr>
            <w:tcW w:w="802" w:type="dxa"/>
            <w:vAlign w:val="center"/>
          </w:tcPr>
          <w:p w14:paraId="78BF3E8D">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027C2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4" w:type="dxa"/>
            <w:vMerge w:val="continue"/>
            <w:noWrap/>
            <w:vAlign w:val="center"/>
          </w:tcPr>
          <w:p w14:paraId="27DD799A">
            <w:pPr>
              <w:widowControl/>
              <w:spacing w:line="240" w:lineRule="auto"/>
              <w:ind w:firstLine="0" w:firstLineChars="0"/>
              <w:contextualSpacing/>
              <w:jc w:val="center"/>
              <w:rPr>
                <w:rFonts w:hint="eastAsia" w:ascii="微软雅黑" w:hAnsi="微软雅黑" w:cs="微软雅黑"/>
                <w:b/>
                <w:color w:val="auto"/>
                <w:kern w:val="0"/>
                <w:szCs w:val="21"/>
                <w:highlight w:val="none"/>
              </w:rPr>
            </w:pPr>
          </w:p>
        </w:tc>
        <w:tc>
          <w:tcPr>
            <w:tcW w:w="605" w:type="dxa"/>
            <w:vMerge w:val="continue"/>
            <w:noWrap/>
            <w:vAlign w:val="center"/>
          </w:tcPr>
          <w:p w14:paraId="44F2D8B8">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c>
          <w:tcPr>
            <w:tcW w:w="930" w:type="dxa"/>
            <w:vMerge w:val="continue"/>
            <w:vAlign w:val="center"/>
          </w:tcPr>
          <w:p w14:paraId="5E8EA7F7">
            <w:pPr>
              <w:spacing w:line="240" w:lineRule="auto"/>
              <w:ind w:firstLine="0" w:firstLineChars="0"/>
              <w:rPr>
                <w:rFonts w:hint="eastAsia" w:ascii="微软雅黑" w:hAnsi="微软雅黑" w:cs="微软雅黑"/>
                <w:color w:val="auto"/>
                <w:kern w:val="0"/>
                <w:szCs w:val="21"/>
                <w:highlight w:val="none"/>
              </w:rPr>
            </w:pPr>
          </w:p>
        </w:tc>
        <w:tc>
          <w:tcPr>
            <w:tcW w:w="6012" w:type="dxa"/>
            <w:vAlign w:val="center"/>
          </w:tcPr>
          <w:p w14:paraId="13CE801C">
            <w:pPr>
              <w:spacing w:line="240" w:lineRule="auto"/>
              <w:ind w:firstLine="0" w:firstLineChars="0"/>
              <w:rPr>
                <w:rFonts w:hint="eastAsia" w:ascii="微软雅黑" w:hAnsi="微软雅黑" w:cs="微软雅黑"/>
                <w:color w:val="auto"/>
                <w:kern w:val="0"/>
                <w:szCs w:val="21"/>
                <w:highlight w:val="none"/>
              </w:rPr>
            </w:pPr>
            <w:r>
              <w:rPr>
                <w:rFonts w:hint="eastAsia"/>
                <w:color w:val="auto"/>
                <w:highlight w:val="none"/>
              </w:rPr>
              <w:t>区域发展思路与整体定位：供应商提出的项目整体定位和发展思路，业态定位策划，</w:t>
            </w:r>
            <w:r>
              <w:rPr>
                <w:rFonts w:hint="eastAsia" w:ascii="微软雅黑" w:hAnsi="微软雅黑" w:cs="微软雅黑"/>
                <w:color w:val="auto"/>
                <w:kern w:val="0"/>
                <w:szCs w:val="21"/>
                <w:highlight w:val="none"/>
              </w:rPr>
              <w:t>是否与采购需求符合性或匹配度进行打分（满分</w:t>
            </w:r>
            <w:r>
              <w:rPr>
                <w:rFonts w:ascii="微软雅黑" w:hAnsi="微软雅黑" w:cs="微软雅黑"/>
                <w:color w:val="auto"/>
                <w:kern w:val="0"/>
                <w:szCs w:val="21"/>
                <w:highlight w:val="none"/>
              </w:rPr>
              <w:t>5</w:t>
            </w:r>
            <w:r>
              <w:rPr>
                <w:rFonts w:hint="eastAsia" w:ascii="微软雅黑" w:hAnsi="微软雅黑" w:cs="微软雅黑"/>
                <w:color w:val="auto"/>
                <w:kern w:val="0"/>
                <w:szCs w:val="21"/>
                <w:highlight w:val="none"/>
              </w:rPr>
              <w:t>分，评分范围5/4/3/2/1），不提供方案不得分。</w:t>
            </w:r>
          </w:p>
        </w:tc>
        <w:tc>
          <w:tcPr>
            <w:tcW w:w="648" w:type="dxa"/>
            <w:vAlign w:val="center"/>
          </w:tcPr>
          <w:p w14:paraId="08FBB002">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5</w:t>
            </w:r>
          </w:p>
        </w:tc>
        <w:tc>
          <w:tcPr>
            <w:tcW w:w="802" w:type="dxa"/>
            <w:vAlign w:val="center"/>
          </w:tcPr>
          <w:p w14:paraId="5A9D4BB3">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67AE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54" w:type="dxa"/>
            <w:vMerge w:val="continue"/>
            <w:noWrap/>
            <w:vAlign w:val="center"/>
          </w:tcPr>
          <w:p w14:paraId="616361C3">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c>
          <w:tcPr>
            <w:tcW w:w="605" w:type="dxa"/>
            <w:noWrap/>
            <w:vAlign w:val="center"/>
          </w:tcPr>
          <w:p w14:paraId="75E94EA0">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w:t>
            </w:r>
          </w:p>
        </w:tc>
        <w:tc>
          <w:tcPr>
            <w:tcW w:w="930" w:type="dxa"/>
            <w:vMerge w:val="restart"/>
            <w:vAlign w:val="center"/>
          </w:tcPr>
          <w:p w14:paraId="5BC65760">
            <w:pPr>
              <w:spacing w:line="240" w:lineRule="auto"/>
              <w:ind w:firstLine="0" w:firstLineChars="0"/>
              <w:rPr>
                <w:color w:val="auto"/>
                <w:highlight w:val="none"/>
              </w:rPr>
            </w:pPr>
            <w:r>
              <w:rPr>
                <w:rFonts w:hint="eastAsia"/>
                <w:color w:val="auto"/>
                <w:highlight w:val="none"/>
              </w:rPr>
              <w:t>总体规划设计</w:t>
            </w:r>
          </w:p>
          <w:p w14:paraId="6E1FC033">
            <w:pPr>
              <w:spacing w:line="240" w:lineRule="auto"/>
              <w:ind w:firstLine="0" w:firstLineChars="0"/>
              <w:rPr>
                <w:rFonts w:hint="eastAsia" w:ascii="微软雅黑" w:hAnsi="微软雅黑" w:cs="微软雅黑"/>
                <w:color w:val="auto"/>
                <w:szCs w:val="21"/>
                <w:highlight w:val="none"/>
              </w:rPr>
            </w:pPr>
          </w:p>
        </w:tc>
        <w:tc>
          <w:tcPr>
            <w:tcW w:w="6012" w:type="dxa"/>
            <w:vAlign w:val="center"/>
          </w:tcPr>
          <w:p w14:paraId="288FF373">
            <w:pPr>
              <w:spacing w:line="240" w:lineRule="auto"/>
              <w:ind w:firstLine="0" w:firstLineChars="0"/>
              <w:rPr>
                <w:color w:val="auto"/>
                <w:highlight w:val="none"/>
              </w:rPr>
            </w:pPr>
            <w:r>
              <w:rPr>
                <w:rFonts w:hint="eastAsia"/>
                <w:color w:val="auto"/>
                <w:highlight w:val="none"/>
              </w:rPr>
              <w:t>现状分析：</w:t>
            </w:r>
          </w:p>
          <w:p w14:paraId="3B6F1137">
            <w:pPr>
              <w:spacing w:line="240" w:lineRule="auto"/>
              <w:ind w:firstLine="0" w:firstLineChars="0"/>
              <w:rPr>
                <w:rFonts w:hint="eastAsia" w:ascii="微软雅黑" w:hAnsi="微软雅黑" w:cs="微软雅黑"/>
                <w:color w:val="auto"/>
                <w:szCs w:val="21"/>
                <w:highlight w:val="none"/>
              </w:rPr>
            </w:pPr>
            <w:r>
              <w:rPr>
                <w:rFonts w:hint="eastAsia"/>
                <w:color w:val="auto"/>
                <w:highlight w:val="none"/>
              </w:rPr>
              <w:t>供应商对场地现状条件、文化资源、区位交通组织、场地限制条件、潜在开发条件等，</w:t>
            </w:r>
            <w:r>
              <w:rPr>
                <w:rFonts w:hint="eastAsia" w:ascii="微软雅黑" w:hAnsi="微软雅黑" w:cs="微软雅黑"/>
                <w:color w:val="auto"/>
                <w:kern w:val="0"/>
                <w:szCs w:val="21"/>
                <w:highlight w:val="none"/>
              </w:rPr>
              <w:t>是否与采购需求符合性或匹配度进行打分（满分5分，评分范围5/4/3/2/1），不提供方案不得分。</w:t>
            </w:r>
          </w:p>
        </w:tc>
        <w:tc>
          <w:tcPr>
            <w:tcW w:w="648" w:type="dxa"/>
            <w:vAlign w:val="center"/>
          </w:tcPr>
          <w:p w14:paraId="7D7E1773">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5</w:t>
            </w:r>
          </w:p>
        </w:tc>
        <w:tc>
          <w:tcPr>
            <w:tcW w:w="802" w:type="dxa"/>
            <w:vAlign w:val="center"/>
          </w:tcPr>
          <w:p w14:paraId="3408C5FE">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143B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4" w:type="dxa"/>
            <w:vMerge w:val="continue"/>
            <w:noWrap/>
            <w:vAlign w:val="center"/>
          </w:tcPr>
          <w:p w14:paraId="73281B79">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c>
          <w:tcPr>
            <w:tcW w:w="605" w:type="dxa"/>
            <w:noWrap/>
            <w:vAlign w:val="center"/>
          </w:tcPr>
          <w:p w14:paraId="3B752D21">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5</w:t>
            </w:r>
          </w:p>
        </w:tc>
        <w:tc>
          <w:tcPr>
            <w:tcW w:w="930" w:type="dxa"/>
            <w:vMerge w:val="continue"/>
            <w:vAlign w:val="center"/>
          </w:tcPr>
          <w:p w14:paraId="4BC6C85E">
            <w:pPr>
              <w:spacing w:line="240" w:lineRule="auto"/>
              <w:ind w:firstLine="0" w:firstLineChars="0"/>
              <w:rPr>
                <w:rFonts w:hint="eastAsia" w:ascii="微软雅黑" w:hAnsi="微软雅黑" w:cs="微软雅黑"/>
                <w:color w:val="auto"/>
                <w:szCs w:val="21"/>
                <w:highlight w:val="none"/>
              </w:rPr>
            </w:pPr>
          </w:p>
        </w:tc>
        <w:tc>
          <w:tcPr>
            <w:tcW w:w="6012" w:type="dxa"/>
            <w:vAlign w:val="center"/>
          </w:tcPr>
          <w:p w14:paraId="57B5978B">
            <w:pPr>
              <w:spacing w:line="240" w:lineRule="auto"/>
              <w:ind w:firstLine="0" w:firstLineChars="0"/>
              <w:rPr>
                <w:color w:val="auto"/>
                <w:highlight w:val="none"/>
              </w:rPr>
            </w:pPr>
            <w:r>
              <w:rPr>
                <w:rFonts w:hint="eastAsia"/>
                <w:color w:val="auto"/>
                <w:highlight w:val="none"/>
              </w:rPr>
              <w:t>空间结构及功能布局：</w:t>
            </w:r>
          </w:p>
          <w:p w14:paraId="791FD9EC">
            <w:pPr>
              <w:spacing w:line="240" w:lineRule="auto"/>
              <w:ind w:firstLine="0" w:firstLineChars="0"/>
              <w:rPr>
                <w:rFonts w:hint="eastAsia" w:ascii="微软雅黑" w:hAnsi="微软雅黑" w:cs="微软雅黑"/>
                <w:color w:val="auto"/>
                <w:szCs w:val="21"/>
                <w:highlight w:val="none"/>
              </w:rPr>
            </w:pPr>
            <w:r>
              <w:rPr>
                <w:rFonts w:hint="eastAsia"/>
                <w:color w:val="auto"/>
                <w:highlight w:val="none"/>
              </w:rPr>
              <w:t>供应商对总体空间布局、功能结构是否有可落地性、是否充分挖掘自然环境、历史文化等特色资源，结合文旅产业、形象展示、生活配套服务等功能，统筹片区空间，</w:t>
            </w:r>
            <w:r>
              <w:rPr>
                <w:rFonts w:hint="eastAsia" w:ascii="微软雅黑" w:hAnsi="微软雅黑" w:cs="微软雅黑"/>
                <w:color w:val="auto"/>
                <w:kern w:val="0"/>
                <w:szCs w:val="21"/>
                <w:highlight w:val="none"/>
              </w:rPr>
              <w:t>是否与采购需求符合性或匹配度进行打分（满分8分，评分范围8/7/6/5/4），不提供方案不得分。</w:t>
            </w:r>
          </w:p>
        </w:tc>
        <w:tc>
          <w:tcPr>
            <w:tcW w:w="648" w:type="dxa"/>
            <w:vAlign w:val="center"/>
          </w:tcPr>
          <w:p w14:paraId="0926A95F">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8</w:t>
            </w:r>
          </w:p>
        </w:tc>
        <w:tc>
          <w:tcPr>
            <w:tcW w:w="802" w:type="dxa"/>
            <w:vAlign w:val="center"/>
          </w:tcPr>
          <w:p w14:paraId="16F301CF">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7F52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54" w:type="dxa"/>
            <w:vMerge w:val="continue"/>
            <w:noWrap/>
            <w:vAlign w:val="center"/>
          </w:tcPr>
          <w:p w14:paraId="6AF04FC9">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c>
          <w:tcPr>
            <w:tcW w:w="605" w:type="dxa"/>
            <w:noWrap/>
            <w:vAlign w:val="center"/>
          </w:tcPr>
          <w:p w14:paraId="08E2669E">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6</w:t>
            </w:r>
          </w:p>
        </w:tc>
        <w:tc>
          <w:tcPr>
            <w:tcW w:w="930" w:type="dxa"/>
            <w:vMerge w:val="continue"/>
            <w:vAlign w:val="center"/>
          </w:tcPr>
          <w:p w14:paraId="558AD2B1">
            <w:pPr>
              <w:spacing w:line="240" w:lineRule="auto"/>
              <w:ind w:firstLine="0" w:firstLineChars="0"/>
              <w:rPr>
                <w:rFonts w:hint="eastAsia" w:ascii="微软雅黑" w:hAnsi="微软雅黑" w:cs="微软雅黑"/>
                <w:color w:val="auto"/>
                <w:szCs w:val="21"/>
                <w:highlight w:val="none"/>
              </w:rPr>
            </w:pPr>
          </w:p>
        </w:tc>
        <w:tc>
          <w:tcPr>
            <w:tcW w:w="6012" w:type="dxa"/>
            <w:vAlign w:val="center"/>
          </w:tcPr>
          <w:p w14:paraId="65FF5A36">
            <w:pPr>
              <w:spacing w:line="240" w:lineRule="auto"/>
              <w:ind w:firstLine="0" w:firstLineChars="0"/>
              <w:rPr>
                <w:color w:val="auto"/>
                <w:highlight w:val="none"/>
              </w:rPr>
            </w:pPr>
            <w:r>
              <w:rPr>
                <w:rFonts w:hint="eastAsia"/>
                <w:color w:val="auto"/>
                <w:highlight w:val="none"/>
              </w:rPr>
              <w:t>总平面及方案设计：</w:t>
            </w:r>
          </w:p>
          <w:p w14:paraId="624E8E24">
            <w:pPr>
              <w:spacing w:line="240" w:lineRule="auto"/>
              <w:ind w:firstLine="0" w:firstLineChars="0"/>
              <w:rPr>
                <w:rFonts w:hint="eastAsia" w:ascii="微软雅黑" w:hAnsi="微软雅黑" w:cs="微软雅黑"/>
                <w:color w:val="auto"/>
                <w:szCs w:val="21"/>
                <w:highlight w:val="none"/>
              </w:rPr>
            </w:pPr>
            <w:r>
              <w:rPr>
                <w:rFonts w:hint="eastAsia"/>
                <w:color w:val="auto"/>
                <w:highlight w:val="none"/>
              </w:rPr>
              <w:t>供应商对规划方案的总平面及重点项目规划布局是否科学、合理，是否清晰美观，</w:t>
            </w:r>
            <w:r>
              <w:rPr>
                <w:rFonts w:hint="eastAsia" w:ascii="微软雅黑" w:hAnsi="微软雅黑" w:cs="微软雅黑"/>
                <w:color w:val="auto"/>
                <w:kern w:val="0"/>
                <w:szCs w:val="21"/>
                <w:highlight w:val="none"/>
              </w:rPr>
              <w:t>是否与采购需求符合性或匹配度进行打分（满分8分，评分范围8/7/6/5/4），不提供方案不得分。</w:t>
            </w:r>
          </w:p>
        </w:tc>
        <w:tc>
          <w:tcPr>
            <w:tcW w:w="648" w:type="dxa"/>
            <w:vAlign w:val="center"/>
          </w:tcPr>
          <w:p w14:paraId="6B03E254">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8</w:t>
            </w:r>
          </w:p>
        </w:tc>
        <w:tc>
          <w:tcPr>
            <w:tcW w:w="802" w:type="dxa"/>
            <w:vAlign w:val="center"/>
          </w:tcPr>
          <w:p w14:paraId="22BB41B2">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16EE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754" w:type="dxa"/>
            <w:vMerge w:val="continue"/>
            <w:noWrap/>
            <w:vAlign w:val="center"/>
          </w:tcPr>
          <w:p w14:paraId="54376374">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c>
          <w:tcPr>
            <w:tcW w:w="605" w:type="dxa"/>
            <w:noWrap/>
            <w:vAlign w:val="center"/>
          </w:tcPr>
          <w:p w14:paraId="364DA184">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7</w:t>
            </w:r>
          </w:p>
        </w:tc>
        <w:tc>
          <w:tcPr>
            <w:tcW w:w="930" w:type="dxa"/>
            <w:vMerge w:val="continue"/>
            <w:vAlign w:val="center"/>
          </w:tcPr>
          <w:p w14:paraId="5ECC53BC">
            <w:pPr>
              <w:spacing w:line="240" w:lineRule="auto"/>
              <w:ind w:firstLine="0" w:firstLineChars="0"/>
              <w:rPr>
                <w:rFonts w:hint="eastAsia" w:ascii="微软雅黑" w:hAnsi="微软雅黑" w:cs="微软雅黑"/>
                <w:color w:val="auto"/>
                <w:szCs w:val="21"/>
                <w:highlight w:val="none"/>
              </w:rPr>
            </w:pPr>
          </w:p>
        </w:tc>
        <w:tc>
          <w:tcPr>
            <w:tcW w:w="6012" w:type="dxa"/>
            <w:vAlign w:val="center"/>
          </w:tcPr>
          <w:p w14:paraId="72146EAD">
            <w:pPr>
              <w:spacing w:line="240" w:lineRule="auto"/>
              <w:ind w:firstLine="0" w:firstLineChars="0"/>
              <w:rPr>
                <w:color w:val="auto"/>
                <w:highlight w:val="none"/>
              </w:rPr>
            </w:pPr>
            <w:r>
              <w:rPr>
                <w:rFonts w:hint="eastAsia"/>
                <w:color w:val="auto"/>
                <w:highlight w:val="none"/>
              </w:rPr>
              <w:t>交通分析：</w:t>
            </w:r>
          </w:p>
          <w:p w14:paraId="5FE232DF">
            <w:pPr>
              <w:spacing w:line="240" w:lineRule="auto"/>
              <w:ind w:firstLine="0" w:firstLineChars="0"/>
              <w:rPr>
                <w:rFonts w:hint="eastAsia" w:ascii="微软雅黑" w:hAnsi="微软雅黑" w:cs="微软雅黑"/>
                <w:color w:val="auto"/>
                <w:szCs w:val="21"/>
                <w:highlight w:val="none"/>
              </w:rPr>
            </w:pPr>
            <w:r>
              <w:rPr>
                <w:rFonts w:hint="eastAsia"/>
                <w:color w:val="auto"/>
                <w:highlight w:val="none"/>
              </w:rPr>
              <w:t>供应商针对规划方案交通系统设计（区域交通、车行、慢行、停车等）、特色游线策划等是否深入、合理，</w:t>
            </w:r>
            <w:r>
              <w:rPr>
                <w:rFonts w:hint="eastAsia" w:ascii="微软雅黑" w:hAnsi="微软雅黑" w:cs="微软雅黑"/>
                <w:color w:val="auto"/>
                <w:kern w:val="0"/>
                <w:szCs w:val="21"/>
                <w:highlight w:val="none"/>
              </w:rPr>
              <w:t>是否与采购需求符合性或匹配度进行打分（满分4分，评分范围4/3/2/1），不提供方案不得分。</w:t>
            </w:r>
          </w:p>
        </w:tc>
        <w:tc>
          <w:tcPr>
            <w:tcW w:w="648" w:type="dxa"/>
            <w:vAlign w:val="center"/>
          </w:tcPr>
          <w:p w14:paraId="4B62BC50">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w:t>
            </w:r>
          </w:p>
        </w:tc>
        <w:tc>
          <w:tcPr>
            <w:tcW w:w="802" w:type="dxa"/>
            <w:vAlign w:val="center"/>
          </w:tcPr>
          <w:p w14:paraId="4C21FFB2">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1444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54" w:type="dxa"/>
            <w:vMerge w:val="continue"/>
            <w:noWrap/>
            <w:vAlign w:val="center"/>
          </w:tcPr>
          <w:p w14:paraId="1FC4BA6B">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c>
          <w:tcPr>
            <w:tcW w:w="605" w:type="dxa"/>
            <w:noWrap/>
            <w:vAlign w:val="center"/>
          </w:tcPr>
          <w:p w14:paraId="0EE033B4">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8</w:t>
            </w:r>
          </w:p>
        </w:tc>
        <w:tc>
          <w:tcPr>
            <w:tcW w:w="930" w:type="dxa"/>
            <w:vMerge w:val="restart"/>
            <w:vAlign w:val="center"/>
          </w:tcPr>
          <w:p w14:paraId="7CEDA05D">
            <w:pPr>
              <w:spacing w:line="240" w:lineRule="auto"/>
              <w:ind w:firstLine="0" w:firstLineChars="0"/>
              <w:rPr>
                <w:rFonts w:hint="eastAsia" w:ascii="微软雅黑" w:hAnsi="微软雅黑" w:cs="微软雅黑"/>
                <w:color w:val="auto"/>
                <w:kern w:val="0"/>
                <w:szCs w:val="21"/>
                <w:highlight w:val="none"/>
              </w:rPr>
            </w:pPr>
            <w:r>
              <w:rPr>
                <w:rFonts w:hint="eastAsia"/>
                <w:color w:val="auto"/>
                <w:highlight w:val="none"/>
              </w:rPr>
              <w:t>重点规划设计</w:t>
            </w:r>
          </w:p>
        </w:tc>
        <w:tc>
          <w:tcPr>
            <w:tcW w:w="6012" w:type="dxa"/>
            <w:vAlign w:val="center"/>
          </w:tcPr>
          <w:p w14:paraId="77BCBF86">
            <w:pPr>
              <w:spacing w:line="240" w:lineRule="auto"/>
              <w:ind w:firstLine="0" w:firstLineChars="0"/>
              <w:rPr>
                <w:color w:val="auto"/>
                <w:highlight w:val="none"/>
              </w:rPr>
            </w:pPr>
            <w:r>
              <w:rPr>
                <w:rFonts w:hint="eastAsia"/>
                <w:color w:val="auto"/>
                <w:highlight w:val="none"/>
              </w:rPr>
              <w:t>重点项目设计，</w:t>
            </w:r>
            <w:r>
              <w:rPr>
                <w:rFonts w:hint="eastAsia" w:ascii="微软雅黑" w:hAnsi="微软雅黑" w:cs="微软雅黑"/>
                <w:color w:val="auto"/>
                <w:kern w:val="0"/>
                <w:szCs w:val="21"/>
                <w:highlight w:val="none"/>
              </w:rPr>
              <w:t>是否与采购需求符合性或匹配度进行打分</w:t>
            </w:r>
            <w:r>
              <w:rPr>
                <w:rFonts w:hint="eastAsia"/>
                <w:color w:val="auto"/>
                <w:highlight w:val="none"/>
              </w:rPr>
              <w:t>：</w:t>
            </w:r>
          </w:p>
          <w:p w14:paraId="3D0BA146">
            <w:pPr>
              <w:spacing w:line="240" w:lineRule="auto"/>
              <w:ind w:firstLine="0" w:firstLineChars="0"/>
              <w:rPr>
                <w:color w:val="auto"/>
                <w:highlight w:val="none"/>
              </w:rPr>
            </w:pPr>
            <w:r>
              <w:rPr>
                <w:rFonts w:hint="eastAsia"/>
                <w:color w:val="auto"/>
                <w:highlight w:val="none"/>
              </w:rPr>
              <w:t>1.供应商对重点项目设计提升是否合理，是否符合上位规划要求，与周边地块协调，</w:t>
            </w:r>
            <w:r>
              <w:rPr>
                <w:rFonts w:hint="eastAsia" w:ascii="微软雅黑" w:hAnsi="微软雅黑" w:cs="微软雅黑"/>
                <w:color w:val="auto"/>
                <w:kern w:val="0"/>
                <w:szCs w:val="21"/>
                <w:highlight w:val="none"/>
              </w:rPr>
              <w:t>（满分4分，评分范围4/3/2/1），不提供方案不得分</w:t>
            </w:r>
            <w:r>
              <w:rPr>
                <w:rFonts w:hint="eastAsia"/>
                <w:color w:val="auto"/>
                <w:highlight w:val="none"/>
              </w:rPr>
              <w:t>；</w:t>
            </w:r>
          </w:p>
          <w:p w14:paraId="776E9EDB">
            <w:pPr>
              <w:spacing w:line="240" w:lineRule="auto"/>
              <w:ind w:firstLine="0" w:firstLineChars="0"/>
              <w:rPr>
                <w:color w:val="auto"/>
                <w:highlight w:val="none"/>
              </w:rPr>
            </w:pPr>
            <w:r>
              <w:rPr>
                <w:rFonts w:hint="eastAsia"/>
                <w:color w:val="auto"/>
                <w:highlight w:val="none"/>
              </w:rPr>
              <w:t>2.体现功能，巧于因借，业态丰富，符合周边人群需求，</w:t>
            </w:r>
            <w:r>
              <w:rPr>
                <w:rFonts w:hint="eastAsia" w:ascii="微软雅黑" w:hAnsi="微软雅黑" w:cs="微软雅黑"/>
                <w:color w:val="auto"/>
                <w:kern w:val="0"/>
                <w:szCs w:val="21"/>
                <w:highlight w:val="none"/>
              </w:rPr>
              <w:t>（满分4分，评分范围4/3/2/1），不提供方案不得分</w:t>
            </w:r>
            <w:r>
              <w:rPr>
                <w:rFonts w:hint="eastAsia"/>
                <w:color w:val="auto"/>
                <w:highlight w:val="none"/>
              </w:rPr>
              <w:t>；</w:t>
            </w:r>
          </w:p>
          <w:p w14:paraId="5B23A3BB">
            <w:pPr>
              <w:spacing w:line="240" w:lineRule="auto"/>
              <w:ind w:firstLine="0" w:firstLineChars="0"/>
              <w:rPr>
                <w:color w:val="auto"/>
                <w:highlight w:val="none"/>
              </w:rPr>
            </w:pPr>
            <w:r>
              <w:rPr>
                <w:rFonts w:hint="eastAsia"/>
                <w:color w:val="auto"/>
                <w:highlight w:val="none"/>
              </w:rPr>
              <w:t>3.设计是否主题鲜明，构思新颖，有文化底蕴，有特色，</w:t>
            </w:r>
            <w:r>
              <w:rPr>
                <w:rFonts w:hint="eastAsia" w:ascii="微软雅黑" w:hAnsi="微软雅黑" w:cs="微软雅黑"/>
                <w:color w:val="auto"/>
                <w:kern w:val="0"/>
                <w:szCs w:val="21"/>
                <w:highlight w:val="none"/>
              </w:rPr>
              <w:t>（满分4分，评分范围4/3/2/1），不提供方案不得分</w:t>
            </w:r>
            <w:r>
              <w:rPr>
                <w:rFonts w:hint="eastAsia"/>
                <w:color w:val="auto"/>
                <w:highlight w:val="none"/>
              </w:rPr>
              <w:t>；</w:t>
            </w:r>
          </w:p>
          <w:p w14:paraId="4BB81204">
            <w:pPr>
              <w:spacing w:line="240" w:lineRule="auto"/>
              <w:ind w:firstLine="0" w:firstLineChars="0"/>
              <w:rPr>
                <w:rFonts w:hint="eastAsia" w:ascii="微软雅黑" w:hAnsi="微软雅黑" w:cs="微软雅黑"/>
                <w:color w:val="auto"/>
                <w:kern w:val="0"/>
                <w:szCs w:val="21"/>
                <w:highlight w:val="none"/>
              </w:rPr>
            </w:pPr>
            <w:r>
              <w:rPr>
                <w:rFonts w:hint="eastAsia"/>
                <w:color w:val="auto"/>
                <w:highlight w:val="none"/>
              </w:rPr>
              <w:t>4.节点设置是否得当，可操作性强，易于实施，</w:t>
            </w:r>
            <w:r>
              <w:rPr>
                <w:rFonts w:hint="eastAsia" w:ascii="微软雅黑" w:hAnsi="微软雅黑" w:cs="微软雅黑"/>
                <w:color w:val="auto"/>
                <w:kern w:val="0"/>
                <w:szCs w:val="21"/>
                <w:highlight w:val="none"/>
              </w:rPr>
              <w:t>（满分4分，评分范围4/3/2/1），不提供方案不得分</w:t>
            </w:r>
            <w:r>
              <w:rPr>
                <w:rFonts w:hint="eastAsia"/>
                <w:color w:val="auto"/>
                <w:highlight w:val="none"/>
              </w:rPr>
              <w:t>。</w:t>
            </w:r>
          </w:p>
        </w:tc>
        <w:tc>
          <w:tcPr>
            <w:tcW w:w="648" w:type="dxa"/>
            <w:vAlign w:val="center"/>
          </w:tcPr>
          <w:p w14:paraId="721AD7A8">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16</w:t>
            </w:r>
          </w:p>
        </w:tc>
        <w:tc>
          <w:tcPr>
            <w:tcW w:w="802" w:type="dxa"/>
            <w:shd w:val="clear" w:color="auto" w:fill="auto"/>
            <w:vAlign w:val="center"/>
          </w:tcPr>
          <w:p w14:paraId="3C8BCFAC">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3385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54" w:type="dxa"/>
            <w:vMerge w:val="continue"/>
            <w:noWrap/>
            <w:vAlign w:val="center"/>
          </w:tcPr>
          <w:p w14:paraId="1FC816FD">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c>
          <w:tcPr>
            <w:tcW w:w="605" w:type="dxa"/>
            <w:noWrap/>
            <w:vAlign w:val="center"/>
          </w:tcPr>
          <w:p w14:paraId="7CF06958">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9</w:t>
            </w:r>
          </w:p>
        </w:tc>
        <w:tc>
          <w:tcPr>
            <w:tcW w:w="930" w:type="dxa"/>
            <w:vMerge w:val="continue"/>
            <w:vAlign w:val="center"/>
          </w:tcPr>
          <w:p w14:paraId="5740FC17">
            <w:pPr>
              <w:spacing w:line="240" w:lineRule="auto"/>
              <w:ind w:firstLine="0" w:firstLineChars="0"/>
              <w:rPr>
                <w:rFonts w:hint="eastAsia" w:ascii="微软雅黑" w:hAnsi="微软雅黑" w:cs="微软雅黑"/>
                <w:color w:val="auto"/>
                <w:kern w:val="0"/>
                <w:szCs w:val="21"/>
                <w:highlight w:val="none"/>
              </w:rPr>
            </w:pPr>
          </w:p>
        </w:tc>
        <w:tc>
          <w:tcPr>
            <w:tcW w:w="6012" w:type="dxa"/>
            <w:vAlign w:val="center"/>
          </w:tcPr>
          <w:p w14:paraId="4092DA70">
            <w:pPr>
              <w:spacing w:line="240" w:lineRule="auto"/>
              <w:ind w:firstLine="0" w:firstLineChars="0"/>
              <w:rPr>
                <w:color w:val="auto"/>
                <w:highlight w:val="none"/>
              </w:rPr>
            </w:pPr>
            <w:r>
              <w:rPr>
                <w:rFonts w:hint="eastAsia"/>
                <w:color w:val="auto"/>
                <w:highlight w:val="none"/>
              </w:rPr>
              <w:t>建筑提升规划设计：</w:t>
            </w:r>
          </w:p>
          <w:p w14:paraId="049A4931">
            <w:pPr>
              <w:spacing w:line="240" w:lineRule="auto"/>
              <w:ind w:firstLine="0" w:firstLineChars="0"/>
              <w:rPr>
                <w:rFonts w:hint="eastAsia" w:ascii="微软雅黑" w:hAnsi="微软雅黑" w:cs="微软雅黑"/>
                <w:color w:val="auto"/>
                <w:kern w:val="0"/>
                <w:szCs w:val="21"/>
                <w:highlight w:val="none"/>
              </w:rPr>
            </w:pPr>
            <w:r>
              <w:rPr>
                <w:rFonts w:hint="eastAsia"/>
                <w:color w:val="auto"/>
                <w:highlight w:val="none"/>
              </w:rPr>
              <w:t>供应商对重点规划设计范围内的建筑进行合理设计，造型符合风貌要求，明确建筑指标，且提出后续的使用功能，</w:t>
            </w:r>
            <w:r>
              <w:rPr>
                <w:rFonts w:hint="eastAsia" w:ascii="微软雅黑" w:hAnsi="微软雅黑" w:cs="微软雅黑"/>
                <w:color w:val="auto"/>
                <w:kern w:val="0"/>
                <w:szCs w:val="21"/>
                <w:highlight w:val="none"/>
              </w:rPr>
              <w:t>是否与采购需求符合性或匹配度进行打分（满分8分，评分范围8/7/6/5/4），不提供方案不得分。</w:t>
            </w:r>
          </w:p>
        </w:tc>
        <w:tc>
          <w:tcPr>
            <w:tcW w:w="648" w:type="dxa"/>
            <w:vAlign w:val="center"/>
          </w:tcPr>
          <w:p w14:paraId="0645696A">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8</w:t>
            </w:r>
          </w:p>
        </w:tc>
        <w:tc>
          <w:tcPr>
            <w:tcW w:w="802" w:type="dxa"/>
            <w:shd w:val="clear" w:color="auto" w:fill="auto"/>
            <w:vAlign w:val="center"/>
          </w:tcPr>
          <w:p w14:paraId="60D0ADAB">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23F9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54" w:type="dxa"/>
            <w:vMerge w:val="continue"/>
            <w:noWrap/>
            <w:vAlign w:val="center"/>
          </w:tcPr>
          <w:p w14:paraId="24F36288">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c>
          <w:tcPr>
            <w:tcW w:w="605" w:type="dxa"/>
            <w:noWrap/>
            <w:vAlign w:val="center"/>
          </w:tcPr>
          <w:p w14:paraId="654959D3">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10</w:t>
            </w:r>
          </w:p>
        </w:tc>
        <w:tc>
          <w:tcPr>
            <w:tcW w:w="930" w:type="dxa"/>
            <w:vMerge w:val="continue"/>
            <w:vAlign w:val="center"/>
          </w:tcPr>
          <w:p w14:paraId="47E871B3">
            <w:pPr>
              <w:spacing w:line="240" w:lineRule="auto"/>
              <w:ind w:firstLine="0" w:firstLineChars="0"/>
              <w:rPr>
                <w:rFonts w:hint="eastAsia" w:ascii="微软雅黑" w:hAnsi="微软雅黑" w:cs="微软雅黑"/>
                <w:color w:val="auto"/>
                <w:kern w:val="0"/>
                <w:szCs w:val="21"/>
                <w:highlight w:val="none"/>
              </w:rPr>
            </w:pPr>
          </w:p>
        </w:tc>
        <w:tc>
          <w:tcPr>
            <w:tcW w:w="6012" w:type="dxa"/>
            <w:vAlign w:val="center"/>
          </w:tcPr>
          <w:p w14:paraId="6D101625">
            <w:pPr>
              <w:spacing w:line="240" w:lineRule="auto"/>
              <w:ind w:firstLine="0" w:firstLineChars="0"/>
              <w:rPr>
                <w:color w:val="auto"/>
                <w:highlight w:val="none"/>
              </w:rPr>
            </w:pPr>
            <w:r>
              <w:rPr>
                <w:rFonts w:hint="eastAsia"/>
                <w:color w:val="auto"/>
                <w:highlight w:val="none"/>
              </w:rPr>
              <w:t>专项设计：</w:t>
            </w:r>
          </w:p>
          <w:p w14:paraId="712CE811">
            <w:pPr>
              <w:spacing w:line="240" w:lineRule="auto"/>
              <w:ind w:firstLine="0" w:firstLineChars="0"/>
              <w:rPr>
                <w:rFonts w:hint="eastAsia" w:ascii="微软雅黑" w:hAnsi="微软雅黑" w:cs="微软雅黑"/>
                <w:color w:val="auto"/>
                <w:kern w:val="0"/>
                <w:szCs w:val="21"/>
                <w:highlight w:val="none"/>
              </w:rPr>
            </w:pPr>
            <w:r>
              <w:rPr>
                <w:rFonts w:hint="eastAsia"/>
                <w:color w:val="auto"/>
                <w:highlight w:val="none"/>
              </w:rPr>
              <w:t>供应商对相关专项规划设计，如铺装设计、亮化设计、植物景观、标高设计、智慧旅游等设计是否合理，以功能和景观兼容为目的，在满足使用功能的前提下，外观造型新颖生动、展现文化，达到景观装饰效果，</w:t>
            </w:r>
            <w:r>
              <w:rPr>
                <w:rFonts w:hint="eastAsia" w:ascii="微软雅黑" w:hAnsi="微软雅黑" w:cs="微软雅黑"/>
                <w:color w:val="auto"/>
                <w:kern w:val="0"/>
                <w:szCs w:val="21"/>
                <w:highlight w:val="none"/>
              </w:rPr>
              <w:t>是否与采购需求符合性或匹配度进行打分（满分8分，评分范围8/7/6/5/4），不提供方案不得分。</w:t>
            </w:r>
          </w:p>
        </w:tc>
        <w:tc>
          <w:tcPr>
            <w:tcW w:w="648" w:type="dxa"/>
            <w:vAlign w:val="center"/>
          </w:tcPr>
          <w:p w14:paraId="79AEC2E6">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8</w:t>
            </w:r>
          </w:p>
        </w:tc>
        <w:tc>
          <w:tcPr>
            <w:tcW w:w="802" w:type="dxa"/>
            <w:shd w:val="clear" w:color="auto" w:fill="auto"/>
            <w:vAlign w:val="center"/>
          </w:tcPr>
          <w:p w14:paraId="70B22811">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7164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754" w:type="dxa"/>
            <w:vMerge w:val="continue"/>
            <w:noWrap/>
            <w:vAlign w:val="center"/>
          </w:tcPr>
          <w:p w14:paraId="3BDD3E09">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c>
          <w:tcPr>
            <w:tcW w:w="605" w:type="dxa"/>
            <w:noWrap/>
            <w:vAlign w:val="center"/>
          </w:tcPr>
          <w:p w14:paraId="52DE4EEA">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11</w:t>
            </w:r>
          </w:p>
        </w:tc>
        <w:tc>
          <w:tcPr>
            <w:tcW w:w="930" w:type="dxa"/>
            <w:vMerge w:val="continue"/>
            <w:vAlign w:val="center"/>
          </w:tcPr>
          <w:p w14:paraId="4FE52E72">
            <w:pPr>
              <w:spacing w:line="240" w:lineRule="auto"/>
              <w:ind w:firstLine="0" w:firstLineChars="0"/>
              <w:rPr>
                <w:rFonts w:hint="eastAsia" w:ascii="微软雅黑" w:hAnsi="微软雅黑" w:cs="微软雅黑"/>
                <w:color w:val="auto"/>
                <w:kern w:val="0"/>
                <w:szCs w:val="21"/>
                <w:highlight w:val="none"/>
              </w:rPr>
            </w:pPr>
          </w:p>
        </w:tc>
        <w:tc>
          <w:tcPr>
            <w:tcW w:w="6012" w:type="dxa"/>
            <w:vAlign w:val="center"/>
          </w:tcPr>
          <w:p w14:paraId="001C982D">
            <w:pPr>
              <w:spacing w:line="240" w:lineRule="auto"/>
              <w:ind w:firstLine="0" w:firstLineChars="0"/>
              <w:rPr>
                <w:color w:val="auto"/>
                <w:highlight w:val="none"/>
              </w:rPr>
            </w:pPr>
            <w:r>
              <w:rPr>
                <w:rFonts w:hint="eastAsia"/>
                <w:color w:val="auto"/>
                <w:highlight w:val="none"/>
              </w:rPr>
              <w:t>项目投资估算：</w:t>
            </w:r>
          </w:p>
          <w:p w14:paraId="11CD8F07">
            <w:pPr>
              <w:spacing w:line="240" w:lineRule="auto"/>
              <w:ind w:firstLine="0" w:firstLineChars="0"/>
              <w:rPr>
                <w:rFonts w:hint="eastAsia" w:ascii="微软雅黑" w:hAnsi="微软雅黑" w:cs="微软雅黑"/>
                <w:color w:val="auto"/>
                <w:kern w:val="0"/>
                <w:szCs w:val="21"/>
                <w:highlight w:val="none"/>
              </w:rPr>
            </w:pPr>
            <w:r>
              <w:rPr>
                <w:rFonts w:hint="eastAsia"/>
                <w:color w:val="auto"/>
                <w:highlight w:val="none"/>
              </w:rPr>
              <w:t>供应商对项目计划设置是否得当，可操作性强，易于实施，对重点项目是否有详细的投资估算，</w:t>
            </w:r>
            <w:r>
              <w:rPr>
                <w:rFonts w:hint="eastAsia" w:ascii="微软雅黑" w:hAnsi="微软雅黑" w:cs="微软雅黑"/>
                <w:color w:val="auto"/>
                <w:kern w:val="0"/>
                <w:szCs w:val="21"/>
                <w:highlight w:val="none"/>
              </w:rPr>
              <w:t>是否与采购需求符合性或匹配度进行打分（满分4分，评分范围4/3/2/1），不提供方案不得分。</w:t>
            </w:r>
          </w:p>
        </w:tc>
        <w:tc>
          <w:tcPr>
            <w:tcW w:w="648" w:type="dxa"/>
            <w:vAlign w:val="center"/>
          </w:tcPr>
          <w:p w14:paraId="3E484B69">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w:t>
            </w:r>
          </w:p>
        </w:tc>
        <w:tc>
          <w:tcPr>
            <w:tcW w:w="802" w:type="dxa"/>
            <w:shd w:val="clear" w:color="auto" w:fill="auto"/>
            <w:vAlign w:val="center"/>
          </w:tcPr>
          <w:p w14:paraId="2508AB2B">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360F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754" w:type="dxa"/>
            <w:vMerge w:val="continue"/>
            <w:noWrap/>
            <w:vAlign w:val="center"/>
          </w:tcPr>
          <w:p w14:paraId="1074043D">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c>
          <w:tcPr>
            <w:tcW w:w="605" w:type="dxa"/>
            <w:noWrap/>
            <w:vAlign w:val="center"/>
          </w:tcPr>
          <w:p w14:paraId="58CA0C13">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ascii="微软雅黑" w:hAnsi="微软雅黑" w:cs="微软雅黑"/>
                <w:color w:val="auto"/>
                <w:kern w:val="0"/>
                <w:szCs w:val="21"/>
                <w:highlight w:val="none"/>
              </w:rPr>
              <w:t>1</w:t>
            </w:r>
            <w:r>
              <w:rPr>
                <w:rFonts w:hint="eastAsia" w:ascii="微软雅黑" w:hAnsi="微软雅黑" w:cs="微软雅黑"/>
                <w:color w:val="auto"/>
                <w:kern w:val="0"/>
                <w:szCs w:val="21"/>
                <w:highlight w:val="none"/>
              </w:rPr>
              <w:t>2</w:t>
            </w:r>
          </w:p>
        </w:tc>
        <w:tc>
          <w:tcPr>
            <w:tcW w:w="6942" w:type="dxa"/>
            <w:gridSpan w:val="2"/>
            <w:vAlign w:val="center"/>
          </w:tcPr>
          <w:p w14:paraId="2907EBEF">
            <w:pPr>
              <w:widowControl/>
              <w:spacing w:line="240" w:lineRule="auto"/>
              <w:ind w:firstLine="0" w:firstLineChars="0"/>
              <w:rPr>
                <w:rFonts w:hint="eastAsia" w:ascii="微软雅黑" w:hAnsi="微软雅黑" w:cs="微软雅黑"/>
                <w:b/>
                <w:bCs/>
                <w:color w:val="auto"/>
                <w:kern w:val="0"/>
                <w:szCs w:val="21"/>
                <w:highlight w:val="none"/>
              </w:rPr>
            </w:pPr>
            <w:r>
              <w:rPr>
                <w:rFonts w:hint="eastAsia" w:ascii="微软雅黑" w:hAnsi="微软雅黑" w:cs="微软雅黑"/>
                <w:b/>
                <w:bCs/>
                <w:color w:val="auto"/>
                <w:kern w:val="0"/>
                <w:szCs w:val="21"/>
                <w:highlight w:val="none"/>
              </w:rPr>
              <w:t>项目进度安排</w:t>
            </w:r>
          </w:p>
          <w:p w14:paraId="63F5F201">
            <w:pPr>
              <w:spacing w:line="240" w:lineRule="auto"/>
              <w:ind w:firstLine="0" w:firstLineChars="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投标供应商</w:t>
            </w:r>
            <w:r>
              <w:rPr>
                <w:rFonts w:hint="eastAsia" w:ascii="微软雅黑" w:hAnsi="微软雅黑" w:cs="微软雅黑"/>
                <w:color w:val="auto"/>
                <w:kern w:val="0"/>
                <w:szCs w:val="21"/>
                <w:highlight w:val="none"/>
              </w:rPr>
              <w:t>对项目工作的关键点进行分析及进度安排，根据投标人方案是否与采购需求符合性或匹配度进行打分（满分4分，评分范围4/3/2/1），不提供方案不得分。</w:t>
            </w:r>
          </w:p>
        </w:tc>
        <w:tc>
          <w:tcPr>
            <w:tcW w:w="648" w:type="dxa"/>
            <w:vAlign w:val="center"/>
          </w:tcPr>
          <w:p w14:paraId="3D1BA2BF">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w:t>
            </w:r>
          </w:p>
        </w:tc>
        <w:tc>
          <w:tcPr>
            <w:tcW w:w="802" w:type="dxa"/>
            <w:vAlign w:val="center"/>
          </w:tcPr>
          <w:p w14:paraId="105E0068">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bookmarkEnd w:id="177"/>
      <w:tr w14:paraId="20C3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754" w:type="dxa"/>
            <w:vMerge w:val="continue"/>
            <w:noWrap/>
            <w:vAlign w:val="center"/>
          </w:tcPr>
          <w:p w14:paraId="4FC4ADD3">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c>
          <w:tcPr>
            <w:tcW w:w="605" w:type="dxa"/>
            <w:noWrap/>
            <w:vAlign w:val="center"/>
          </w:tcPr>
          <w:p w14:paraId="5F985E38">
            <w:pPr>
              <w:widowControl/>
              <w:spacing w:line="240" w:lineRule="auto"/>
              <w:ind w:firstLine="0" w:firstLineChars="0"/>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13</w:t>
            </w:r>
          </w:p>
        </w:tc>
        <w:tc>
          <w:tcPr>
            <w:tcW w:w="6942" w:type="dxa"/>
            <w:gridSpan w:val="2"/>
            <w:vAlign w:val="center"/>
          </w:tcPr>
          <w:p w14:paraId="18636183">
            <w:pPr>
              <w:widowControl/>
              <w:spacing w:line="240" w:lineRule="auto"/>
              <w:ind w:firstLine="0" w:firstLineChars="0"/>
              <w:rPr>
                <w:rFonts w:hint="eastAsia" w:ascii="微软雅黑" w:hAnsi="微软雅黑" w:cs="微软雅黑"/>
                <w:b/>
                <w:bCs/>
                <w:color w:val="auto"/>
                <w:kern w:val="0"/>
                <w:szCs w:val="21"/>
                <w:highlight w:val="none"/>
              </w:rPr>
            </w:pPr>
            <w:r>
              <w:rPr>
                <w:rFonts w:hint="eastAsia" w:ascii="微软雅黑" w:hAnsi="微软雅黑" w:cs="微软雅黑"/>
                <w:b/>
                <w:bCs/>
                <w:color w:val="auto"/>
                <w:kern w:val="0"/>
                <w:szCs w:val="21"/>
                <w:highlight w:val="none"/>
              </w:rPr>
              <w:t>质量保障及服务承诺</w:t>
            </w:r>
          </w:p>
          <w:p w14:paraId="51FFA18B">
            <w:pPr>
              <w:spacing w:line="240" w:lineRule="auto"/>
              <w:ind w:firstLine="0" w:firstLineChars="0"/>
              <w:rPr>
                <w:rFonts w:hint="eastAsia" w:ascii="微软雅黑" w:hAnsi="微软雅黑" w:cs="微软雅黑"/>
                <w:color w:val="auto"/>
                <w:kern w:val="0"/>
                <w:szCs w:val="21"/>
                <w:highlight w:val="none"/>
              </w:rPr>
            </w:pPr>
            <w:r>
              <w:rPr>
                <w:rFonts w:hint="eastAsia" w:ascii="微软雅黑" w:hAnsi="微软雅黑" w:cs="微软雅黑"/>
                <w:color w:val="auto"/>
                <w:szCs w:val="21"/>
                <w:highlight w:val="none"/>
              </w:rPr>
              <w:t>投标供应商</w:t>
            </w:r>
            <w:r>
              <w:rPr>
                <w:rFonts w:hint="eastAsia" w:ascii="微软雅黑" w:hAnsi="微软雅黑" w:cs="微软雅黑"/>
                <w:color w:val="auto"/>
                <w:kern w:val="0"/>
                <w:szCs w:val="21"/>
                <w:highlight w:val="none"/>
              </w:rPr>
              <w:t>针对本项目提供的质量保障方案及服务承诺（包括①质量的保证措施、②安全管理、③保密管理等），根据投标人方案是否与采购需求符合性或匹配度进行打分（满分5分，评分范围5/4/3/2/1），不提供方案不得分。</w:t>
            </w:r>
          </w:p>
        </w:tc>
        <w:tc>
          <w:tcPr>
            <w:tcW w:w="648" w:type="dxa"/>
            <w:vAlign w:val="center"/>
          </w:tcPr>
          <w:p w14:paraId="0B6F86B5">
            <w:pPr>
              <w:widowControl/>
              <w:spacing w:line="240" w:lineRule="auto"/>
              <w:ind w:firstLine="0" w:firstLineChars="0"/>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5</w:t>
            </w:r>
          </w:p>
        </w:tc>
        <w:tc>
          <w:tcPr>
            <w:tcW w:w="802" w:type="dxa"/>
            <w:vAlign w:val="center"/>
          </w:tcPr>
          <w:p w14:paraId="2EC7F26F">
            <w:pPr>
              <w:widowControl/>
              <w:spacing w:line="240" w:lineRule="auto"/>
              <w:ind w:firstLine="0" w:firstLineChars="0"/>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主观</w:t>
            </w:r>
          </w:p>
        </w:tc>
      </w:tr>
      <w:tr w14:paraId="0AE9C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54" w:type="dxa"/>
            <w:noWrap/>
            <w:vAlign w:val="center"/>
          </w:tcPr>
          <w:p w14:paraId="0625A665">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c>
          <w:tcPr>
            <w:tcW w:w="605" w:type="dxa"/>
            <w:noWrap/>
            <w:vAlign w:val="center"/>
          </w:tcPr>
          <w:p w14:paraId="5DAAEC32">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c>
          <w:tcPr>
            <w:tcW w:w="6942" w:type="dxa"/>
            <w:gridSpan w:val="2"/>
            <w:vAlign w:val="center"/>
          </w:tcPr>
          <w:p w14:paraId="43C48CE7">
            <w:pPr>
              <w:spacing w:line="240" w:lineRule="auto"/>
              <w:ind w:firstLine="0" w:firstLineChars="0"/>
              <w:jc w:val="center"/>
              <w:rPr>
                <w:rFonts w:hint="eastAsia" w:ascii="微软雅黑" w:hAnsi="微软雅黑" w:cs="微软雅黑"/>
                <w:color w:val="auto"/>
                <w:szCs w:val="21"/>
                <w:highlight w:val="none"/>
              </w:rPr>
            </w:pPr>
          </w:p>
        </w:tc>
        <w:tc>
          <w:tcPr>
            <w:tcW w:w="648" w:type="dxa"/>
            <w:vAlign w:val="center"/>
          </w:tcPr>
          <w:p w14:paraId="2773B456">
            <w:pPr>
              <w:widowControl/>
              <w:spacing w:line="240" w:lineRule="auto"/>
              <w:ind w:firstLine="0" w:firstLineChars="0"/>
              <w:contextualSpacing/>
              <w:jc w:val="center"/>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fldChar w:fldCharType="begin"/>
            </w:r>
            <w:r>
              <w:rPr>
                <w:rFonts w:hint="eastAsia" w:ascii="微软雅黑" w:hAnsi="微软雅黑" w:cs="微软雅黑"/>
                <w:color w:val="auto"/>
                <w:kern w:val="0"/>
                <w:szCs w:val="21"/>
                <w:highlight w:val="none"/>
              </w:rPr>
              <w:instrText xml:space="preserve"> =SUM(ABOVE) </w:instrText>
            </w:r>
            <w:r>
              <w:rPr>
                <w:rFonts w:hint="eastAsia" w:ascii="微软雅黑" w:hAnsi="微软雅黑" w:cs="微软雅黑"/>
                <w:color w:val="auto"/>
                <w:kern w:val="0"/>
                <w:szCs w:val="21"/>
                <w:highlight w:val="none"/>
              </w:rPr>
              <w:fldChar w:fldCharType="end"/>
            </w:r>
            <w:r>
              <w:rPr>
                <w:rFonts w:hint="eastAsia" w:ascii="微软雅黑" w:hAnsi="微软雅黑" w:cs="微软雅黑"/>
                <w:color w:val="auto"/>
                <w:kern w:val="0"/>
                <w:szCs w:val="21"/>
                <w:highlight w:val="none"/>
              </w:rPr>
              <w:fldChar w:fldCharType="begin"/>
            </w:r>
            <w:r>
              <w:rPr>
                <w:rFonts w:hint="eastAsia" w:ascii="微软雅黑" w:hAnsi="微软雅黑" w:cs="微软雅黑"/>
                <w:color w:val="auto"/>
                <w:kern w:val="0"/>
                <w:szCs w:val="21"/>
                <w:highlight w:val="none"/>
              </w:rPr>
              <w:instrText xml:space="preserve"> =SUM(ABOVE) </w:instrText>
            </w:r>
            <w:r>
              <w:rPr>
                <w:rFonts w:hint="eastAsia" w:ascii="微软雅黑" w:hAnsi="微软雅黑" w:cs="微软雅黑"/>
                <w:color w:val="auto"/>
                <w:kern w:val="0"/>
                <w:szCs w:val="21"/>
                <w:highlight w:val="none"/>
              </w:rPr>
              <w:fldChar w:fldCharType="separate"/>
            </w:r>
            <w:r>
              <w:rPr>
                <w:rFonts w:hint="eastAsia" w:ascii="微软雅黑" w:hAnsi="微软雅黑" w:cs="微软雅黑"/>
                <w:color w:val="auto"/>
                <w:kern w:val="0"/>
                <w:szCs w:val="21"/>
                <w:highlight w:val="none"/>
              </w:rPr>
              <w:t>90</w:t>
            </w:r>
            <w:r>
              <w:rPr>
                <w:rFonts w:hint="eastAsia" w:ascii="微软雅黑" w:hAnsi="微软雅黑" w:cs="微软雅黑"/>
                <w:color w:val="auto"/>
                <w:kern w:val="0"/>
                <w:szCs w:val="21"/>
                <w:highlight w:val="none"/>
              </w:rPr>
              <w:fldChar w:fldCharType="end"/>
            </w:r>
          </w:p>
        </w:tc>
        <w:tc>
          <w:tcPr>
            <w:tcW w:w="802" w:type="dxa"/>
            <w:vAlign w:val="center"/>
          </w:tcPr>
          <w:p w14:paraId="7B1C4D48">
            <w:pPr>
              <w:widowControl/>
              <w:spacing w:line="240" w:lineRule="auto"/>
              <w:ind w:firstLine="0" w:firstLineChars="0"/>
              <w:contextualSpacing/>
              <w:jc w:val="center"/>
              <w:rPr>
                <w:rFonts w:hint="eastAsia" w:ascii="微软雅黑" w:hAnsi="微软雅黑" w:cs="微软雅黑"/>
                <w:color w:val="auto"/>
                <w:kern w:val="0"/>
                <w:szCs w:val="21"/>
                <w:highlight w:val="none"/>
              </w:rPr>
            </w:pPr>
          </w:p>
        </w:tc>
      </w:tr>
      <w:bookmarkEnd w:id="176"/>
    </w:tbl>
    <w:p w14:paraId="4D088916">
      <w:pPr>
        <w:pStyle w:val="22"/>
        <w:spacing w:line="460" w:lineRule="exact"/>
        <w:ind w:firstLine="0" w:firstLineChars="0"/>
        <w:rPr>
          <w:rFonts w:hint="eastAsia" w:ascii="微软雅黑" w:hAnsi="微软雅黑"/>
          <w:bCs/>
          <w:color w:val="auto"/>
          <w:sz w:val="21"/>
          <w:szCs w:val="21"/>
          <w:highlight w:val="none"/>
        </w:rPr>
      </w:pPr>
    </w:p>
    <w:bookmarkEnd w:id="167"/>
    <w:bookmarkEnd w:id="168"/>
    <w:bookmarkEnd w:id="169"/>
    <w:bookmarkEnd w:id="170"/>
    <w:p w14:paraId="4743D7E2">
      <w:pPr>
        <w:adjustRightInd w:val="0"/>
        <w:snapToGrid w:val="0"/>
        <w:ind w:left="420" w:firstLine="0" w:firstLineChars="0"/>
        <w:rPr>
          <w:rFonts w:hint="eastAsia" w:ascii="微软雅黑" w:hAnsi="微软雅黑" w:cs="微软雅黑"/>
          <w:color w:val="auto"/>
          <w:kern w:val="0"/>
          <w:szCs w:val="21"/>
          <w:highlight w:val="none"/>
        </w:rPr>
      </w:pPr>
      <w:bookmarkStart w:id="180" w:name="_Toc493511828"/>
      <w:bookmarkStart w:id="181" w:name="_Toc25864"/>
    </w:p>
    <w:p w14:paraId="61F1CD81">
      <w:pPr>
        <w:ind w:firstLine="420"/>
        <w:rPr>
          <w:color w:val="auto"/>
          <w:highlight w:val="none"/>
        </w:rPr>
      </w:pPr>
    </w:p>
    <w:p w14:paraId="4E143BFF">
      <w:pPr>
        <w:pStyle w:val="2"/>
        <w:numPr>
          <w:ilvl w:val="0"/>
          <w:numId w:val="3"/>
        </w:numPr>
        <w:rPr>
          <w:rStyle w:val="66"/>
          <w:b/>
          <w:bCs/>
          <w:color w:val="auto"/>
          <w:highlight w:val="none"/>
        </w:rPr>
        <w:sectPr>
          <w:footerReference r:id="rId19" w:type="default"/>
          <w:pgSz w:w="11906" w:h="16838"/>
          <w:pgMar w:top="1474" w:right="1797" w:bottom="1247" w:left="1797" w:header="851" w:footer="851" w:gutter="0"/>
          <w:cols w:space="720" w:num="1"/>
          <w:docGrid w:linePitch="312" w:charSpace="0"/>
        </w:sectPr>
      </w:pPr>
    </w:p>
    <w:p w14:paraId="1A718534">
      <w:pPr>
        <w:pStyle w:val="2"/>
        <w:numPr>
          <w:ilvl w:val="0"/>
          <w:numId w:val="3"/>
        </w:numPr>
        <w:rPr>
          <w:rStyle w:val="66"/>
          <w:b/>
          <w:bCs/>
          <w:color w:val="auto"/>
          <w:highlight w:val="none"/>
        </w:rPr>
      </w:pPr>
      <w:r>
        <w:rPr>
          <w:rStyle w:val="66"/>
          <w:rFonts w:hint="eastAsia"/>
          <w:b/>
          <w:bCs/>
          <w:color w:val="auto"/>
          <w:highlight w:val="none"/>
        </w:rPr>
        <w:t xml:space="preserve">  </w:t>
      </w:r>
      <w:bookmarkStart w:id="182" w:name="_Toc164943217"/>
      <w:bookmarkStart w:id="183" w:name="_Toc20371"/>
      <w:r>
        <w:rPr>
          <w:rStyle w:val="66"/>
          <w:rFonts w:hint="eastAsia"/>
          <w:b/>
          <w:bCs/>
          <w:color w:val="auto"/>
          <w:highlight w:val="none"/>
        </w:rPr>
        <w:t>采购合同（指引）</w:t>
      </w:r>
      <w:bookmarkEnd w:id="182"/>
      <w:bookmarkEnd w:id="183"/>
    </w:p>
    <w:p w14:paraId="100FCD59">
      <w:pPr>
        <w:pStyle w:val="4"/>
        <w:ind w:firstLine="420"/>
        <w:jc w:val="center"/>
        <w:rPr>
          <w:rFonts w:hint="eastAsia" w:ascii="微软雅黑" w:hAnsi="微软雅黑" w:cs="微软雅黑"/>
          <w:color w:val="auto"/>
          <w:szCs w:val="21"/>
          <w:highlight w:val="none"/>
        </w:rPr>
      </w:pPr>
      <w:bookmarkStart w:id="184" w:name="_Toc507"/>
      <w:bookmarkStart w:id="185" w:name="_Toc32447"/>
      <w:bookmarkStart w:id="186" w:name="_Hlk111018671"/>
      <w:r>
        <w:rPr>
          <w:rFonts w:hint="eastAsia" w:ascii="微软雅黑" w:hAnsi="微软雅黑" w:cs="微软雅黑"/>
          <w:color w:val="auto"/>
          <w:szCs w:val="21"/>
          <w:highlight w:val="none"/>
        </w:rPr>
        <w:t>通用条款部分</w:t>
      </w:r>
      <w:bookmarkEnd w:id="184"/>
      <w:bookmarkEnd w:id="185"/>
    </w:p>
    <w:p w14:paraId="49457E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 xml:space="preserve">合同编号： </w:t>
      </w:r>
    </w:p>
    <w:p w14:paraId="0A0B98A2">
      <w:pPr>
        <w:tabs>
          <w:tab w:val="left" w:pos="8306"/>
        </w:tabs>
        <w:ind w:right="84"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 xml:space="preserve">项目名称： </w:t>
      </w:r>
    </w:p>
    <w:p w14:paraId="79EB42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项目编号：</w:t>
      </w:r>
    </w:p>
    <w:p w14:paraId="5174B57A">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政府采购计划（预算）确认书号：</w:t>
      </w:r>
      <w:r>
        <w:rPr>
          <w:rFonts w:ascii="微软雅黑" w:hAnsi="微软雅黑" w:cs="微软雅黑"/>
          <w:color w:val="auto"/>
          <w:szCs w:val="21"/>
          <w:highlight w:val="none"/>
        </w:rPr>
        <w:t xml:space="preserve"> </w:t>
      </w:r>
    </w:p>
    <w:p w14:paraId="0562E8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预算金额：</w:t>
      </w:r>
    </w:p>
    <w:p w14:paraId="3E8064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采购人（以下称甲方）：</w:t>
      </w:r>
      <w:r>
        <w:rPr>
          <w:rFonts w:ascii="微软雅黑" w:hAnsi="微软雅黑" w:cs="微软雅黑"/>
          <w:color w:val="auto"/>
          <w:szCs w:val="21"/>
          <w:highlight w:val="none"/>
        </w:rPr>
        <w:t xml:space="preserve"> </w:t>
      </w:r>
    </w:p>
    <w:p w14:paraId="5E92F5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供应商（以下称乙方）：</w:t>
      </w:r>
    </w:p>
    <w:p w14:paraId="46D542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 xml:space="preserve">采购代理机构：嘉兴市千秋工程咨询有限公司 </w:t>
      </w:r>
    </w:p>
    <w:p w14:paraId="7E51D4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采购方式： 公开招标</w:t>
      </w:r>
    </w:p>
    <w:p w14:paraId="245B2F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highlight w:val="none"/>
        </w:rPr>
      </w:pPr>
      <w:r>
        <w:rPr>
          <w:rFonts w:hint="eastAsia" w:ascii="微软雅黑" w:hAnsi="微软雅黑" w:cs="微软雅黑"/>
          <w:color w:val="auto"/>
          <w:kern w:val="0"/>
          <w:highlight w:val="none"/>
        </w:rPr>
        <w:t xml:space="preserve">根据《中华人民共和国政府采购法》、《民法典》等法律法规的规定，甲乙双方按照 </w:t>
      </w:r>
      <w:r>
        <w:rPr>
          <w:rFonts w:hint="eastAsia" w:ascii="微软雅黑" w:hAnsi="微软雅黑" w:cs="微软雅黑"/>
          <w:color w:val="auto"/>
          <w:kern w:val="0"/>
          <w:highlight w:val="none"/>
          <w:u w:val="single"/>
        </w:rPr>
        <w:t xml:space="preserve">             </w:t>
      </w:r>
      <w:r>
        <w:rPr>
          <w:rFonts w:hint="eastAsia" w:ascii="微软雅黑" w:hAnsi="微软雅黑" w:cs="微软雅黑"/>
          <w:color w:val="auto"/>
          <w:highlight w:val="none"/>
          <w:u w:val="single"/>
        </w:rPr>
        <w:t>项目（项目编号 ：           ）</w:t>
      </w:r>
      <w:r>
        <w:rPr>
          <w:rFonts w:hint="eastAsia" w:ascii="微软雅黑" w:hAnsi="微软雅黑" w:cs="微软雅黑"/>
          <w:color w:val="auto"/>
          <w:kern w:val="0"/>
          <w:highlight w:val="none"/>
        </w:rPr>
        <w:t>采购结果签订本合同。</w:t>
      </w:r>
    </w:p>
    <w:p w14:paraId="592F9285">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合同组成</w:t>
      </w:r>
    </w:p>
    <w:p w14:paraId="1114D8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本次采购活动的相关文件为本合同的组成部分，与本合同具有同等法律效力,这些文件包括但不限于：</w:t>
      </w:r>
    </w:p>
    <w:p w14:paraId="67D4AE6F">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1.甲方的采购文件与采购补充文件。</w:t>
      </w:r>
    </w:p>
    <w:p w14:paraId="6534BA54">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2.成交供应商响应文件。</w:t>
      </w:r>
    </w:p>
    <w:p w14:paraId="32DD18D6">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3.答疑纪要和承诺书。</w:t>
      </w:r>
    </w:p>
    <w:p w14:paraId="670E87EE">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4.中标通知书。</w:t>
      </w:r>
    </w:p>
    <w:p w14:paraId="3381AC86">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组成本合同的所有文件必须为书面形式。组成本合同的文件的优先顺序为：（1）本合同；（2）答疑纪要和承诺书；（3）甲方的采购文件与采购补充文件；（4）中标通知书；（5）成交供应商响应文件。</w:t>
      </w:r>
    </w:p>
    <w:p w14:paraId="10C45C36">
      <w:pPr>
        <w:pStyle w:val="30"/>
        <w:numPr>
          <w:ilvl w:val="0"/>
          <w:numId w:val="16"/>
        </w:numPr>
        <w:snapToGrid w:val="0"/>
        <w:spacing w:after="120"/>
        <w:ind w:firstLine="424" w:firstLineChars="0"/>
        <w:rPr>
          <w:rFonts w:cs="微软雅黑"/>
          <w:color w:val="auto"/>
          <w:highlight w:val="none"/>
        </w:rPr>
      </w:pPr>
      <w:bookmarkStart w:id="187" w:name="_Toc4526"/>
      <w:r>
        <w:rPr>
          <w:rFonts w:hint="eastAsia" w:cs="微软雅黑"/>
          <w:color w:val="auto"/>
          <w:highlight w:val="none"/>
        </w:rPr>
        <w:t>合同标的</w:t>
      </w:r>
      <w:bookmarkEnd w:id="187"/>
    </w:p>
    <w:p w14:paraId="58123AB0">
      <w:pPr>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t>本次采购的是</w:t>
      </w:r>
      <w:r>
        <w:rPr>
          <w:rFonts w:hint="eastAsia" w:ascii="微软雅黑" w:hAnsi="微软雅黑" w:cs="微软雅黑"/>
          <w:color w:val="auto"/>
          <w:szCs w:val="21"/>
          <w:highlight w:val="none"/>
        </w:rPr>
        <w:t>：</w:t>
      </w:r>
    </w:p>
    <w:p w14:paraId="4E625F2F">
      <w:pPr>
        <w:pStyle w:val="21"/>
        <w:ind w:firstLine="480"/>
        <w:rPr>
          <w:rFonts w:hint="eastAsia"/>
          <w:color w:val="auto"/>
          <w:highlight w:val="none"/>
        </w:rPr>
      </w:pPr>
    </w:p>
    <w:p w14:paraId="2EEA6179">
      <w:pPr>
        <w:pStyle w:val="30"/>
        <w:ind w:firstLine="420"/>
        <w:rPr>
          <w:rFonts w:cs="微软雅黑"/>
          <w:color w:val="auto"/>
          <w:highlight w:val="none"/>
        </w:rPr>
      </w:pPr>
      <w:bookmarkStart w:id="188" w:name="_Toc875"/>
      <w:r>
        <w:rPr>
          <w:rFonts w:hint="eastAsia" w:cs="微软雅黑"/>
          <w:color w:val="auto"/>
          <w:highlight w:val="none"/>
        </w:rPr>
        <w:t>三、合同价款及付款方式</w:t>
      </w:r>
      <w:bookmarkEnd w:id="188"/>
    </w:p>
    <w:p w14:paraId="70AA18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1、本合同项下总价款为（大写）人民币</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，小写：</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 xml:space="preserve"> 万元。</w:t>
      </w:r>
    </w:p>
    <w:p w14:paraId="488653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2、服务期限：</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w:t>
      </w:r>
    </w:p>
    <w:p w14:paraId="642B21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3、本合同总价款包括所有服务、人员、货物设计、材料、制造、包装、运输、安装、调试、检测、售后服务、税费等全部费用。</w:t>
      </w:r>
    </w:p>
    <w:p w14:paraId="65BCD0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4、本合同付款方式为以下第</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项：</w:t>
      </w:r>
    </w:p>
    <w:p w14:paraId="17A5F0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（1）本合同项下的采购资金系甲方自行支付，付款程序为</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w:t>
      </w:r>
    </w:p>
    <w:p w14:paraId="540B11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（2）本合同项下的采购资金须财政直接支付，付款程序为</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w:t>
      </w:r>
    </w:p>
    <w:p w14:paraId="4798A9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（3）其他方式：</w:t>
      </w:r>
    </w:p>
    <w:p w14:paraId="46AE9E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5、本合同项下的采购资金付款进度按招响应文件规定，未规定时按以下第</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项支付：</w:t>
      </w:r>
    </w:p>
    <w:p w14:paraId="341211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（1）一次性付款：乙方合同履行达到</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（条件）时，一次性付款；</w:t>
      </w:r>
    </w:p>
    <w:p w14:paraId="342AC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（2）分期付款：乙方合同履行达到</w:t>
      </w:r>
      <w:r>
        <w:rPr>
          <w:rFonts w:hint="eastAsia" w:ascii="微软雅黑" w:hAnsi="微软雅黑" w:cs="微软雅黑"/>
          <w:color w:val="auto"/>
          <w:kern w:val="0"/>
          <w:szCs w:val="21"/>
          <w:highlight w:val="none"/>
          <w:u w:val="single"/>
        </w:rPr>
        <w:t xml:space="preserve"> 招标文件和甲方要求时，</w:t>
      </w:r>
      <w:r>
        <w:rPr>
          <w:rFonts w:hint="eastAsia" w:ascii="微软雅黑" w:hAnsi="微软雅黑" w:cs="微软雅黑"/>
          <w:color w:val="auto"/>
          <w:kern w:val="0"/>
          <w:szCs w:val="21"/>
          <w:highlight w:val="none"/>
        </w:rPr>
        <w:t>甲方</w:t>
      </w:r>
      <w:r>
        <w:rPr>
          <w:rFonts w:hint="eastAsia" w:ascii="微软雅黑" w:hAnsi="微软雅黑" w:cs="微软雅黑"/>
          <w:color w:val="auto"/>
          <w:kern w:val="0"/>
          <w:szCs w:val="21"/>
          <w:highlight w:val="none"/>
          <w:u w:val="single"/>
        </w:rPr>
        <w:t xml:space="preserve">按   </w:t>
      </w:r>
      <w:r>
        <w:rPr>
          <w:rFonts w:hint="eastAsia" w:ascii="微软雅黑" w:hAnsi="微软雅黑" w:cs="微软雅黑"/>
          <w:color w:val="auto"/>
          <w:kern w:val="0"/>
          <w:szCs w:val="21"/>
          <w:highlight w:val="none"/>
        </w:rPr>
        <w:t>进行支付，乙方凭有效发票、验收单等提交甲方进行支付流程。</w:t>
      </w:r>
    </w:p>
    <w:p w14:paraId="6935AA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若收取了履约保证金，则不应重复设置尾款支付条件。</w:t>
      </w:r>
    </w:p>
    <w:p w14:paraId="4AE1D6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四、</w:t>
      </w:r>
      <w:r>
        <w:rPr>
          <w:rFonts w:hint="eastAsia" w:ascii="微软雅黑" w:hAnsi="微软雅黑" w:cs="微软雅黑"/>
          <w:b/>
          <w:color w:val="auto"/>
          <w:kern w:val="0"/>
          <w:szCs w:val="21"/>
          <w:highlight w:val="none"/>
        </w:rPr>
        <w:t>履约保证金</w:t>
      </w:r>
    </w:p>
    <w:p w14:paraId="54FBB2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color w:val="auto"/>
          <w:kern w:val="0"/>
          <w:szCs w:val="21"/>
          <w:highlight w:val="none"/>
        </w:rPr>
        <w:t>按以下第_________项处理：</w:t>
      </w:r>
    </w:p>
    <w:p w14:paraId="57043B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1、本项目设置履约保证金，乙方应于_________（时间）向甲方提交履约保证金_________元（不得高于本合同金额的1%）。履约保证金在_________（时间）退还乙方。</w:t>
      </w:r>
    </w:p>
    <w:p w14:paraId="58592A86">
      <w:pPr>
        <w:pStyle w:val="30"/>
        <w:ind w:firstLine="420"/>
        <w:rPr>
          <w:rFonts w:cs="微软雅黑"/>
          <w:color w:val="auto"/>
          <w:highlight w:val="none"/>
        </w:rPr>
      </w:pPr>
      <w:bookmarkStart w:id="189" w:name="_Toc29860"/>
      <w:r>
        <w:rPr>
          <w:rFonts w:hint="eastAsia" w:cs="微软雅黑"/>
          <w:color w:val="auto"/>
          <w:highlight w:val="none"/>
        </w:rPr>
        <w:t>2、本项目不设置履约保证金。</w:t>
      </w:r>
      <w:bookmarkEnd w:id="189"/>
    </w:p>
    <w:p w14:paraId="6FC12C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五、</w:t>
      </w:r>
      <w:r>
        <w:rPr>
          <w:rFonts w:hint="eastAsia" w:ascii="微软雅黑" w:hAnsi="微软雅黑" w:cs="微软雅黑"/>
          <w:b/>
          <w:color w:val="auto"/>
          <w:kern w:val="0"/>
          <w:szCs w:val="21"/>
          <w:highlight w:val="none"/>
        </w:rPr>
        <w:t>质量保证及售后服务</w:t>
      </w:r>
    </w:p>
    <w:p w14:paraId="60CB57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1、乙方按招标文件规定的时间和要求完成各项服务、考核。</w:t>
      </w:r>
    </w:p>
    <w:p w14:paraId="73E342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color w:val="auto"/>
          <w:szCs w:val="21"/>
          <w:highlight w:val="none"/>
        </w:rPr>
        <w:t>2、甲方其他服务需求。</w:t>
      </w:r>
    </w:p>
    <w:p w14:paraId="707F1A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六、</w:t>
      </w:r>
      <w:r>
        <w:rPr>
          <w:rFonts w:hint="eastAsia" w:ascii="微软雅黑" w:hAnsi="微软雅黑" w:cs="微软雅黑"/>
          <w:b/>
          <w:color w:val="auto"/>
          <w:kern w:val="0"/>
          <w:szCs w:val="21"/>
          <w:highlight w:val="none"/>
        </w:rPr>
        <w:t>合同的变更和终止</w:t>
      </w:r>
    </w:p>
    <w:p w14:paraId="5728E4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除《政府采购法》第49条、第50条第二款规定的情形外，本合同一经签订，甲乙双方不得擅自终止合同或对合同实质性条款进行变更。确有特殊情况的，须经同级财政部门批准。</w:t>
      </w:r>
    </w:p>
    <w:p w14:paraId="56C4F6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七、</w:t>
      </w:r>
      <w:r>
        <w:rPr>
          <w:rFonts w:hint="eastAsia" w:ascii="微软雅黑" w:hAnsi="微软雅黑" w:cs="微软雅黑"/>
          <w:b/>
          <w:color w:val="auto"/>
          <w:kern w:val="0"/>
          <w:szCs w:val="21"/>
          <w:highlight w:val="none"/>
        </w:rPr>
        <w:t>合同的转让与分包</w:t>
      </w:r>
    </w:p>
    <w:p w14:paraId="5D3AC3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乙方不得擅自部分或全部转让其应履行的合同义务。</w:t>
      </w:r>
    </w:p>
    <w:p w14:paraId="32715F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十、</w:t>
      </w:r>
      <w:r>
        <w:rPr>
          <w:rFonts w:hint="eastAsia" w:ascii="微软雅黑" w:hAnsi="微软雅黑" w:cs="微软雅黑"/>
          <w:b/>
          <w:color w:val="auto"/>
          <w:kern w:val="0"/>
          <w:szCs w:val="21"/>
          <w:highlight w:val="none"/>
        </w:rPr>
        <w:t>违约责任</w:t>
      </w:r>
    </w:p>
    <w:p w14:paraId="426965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  除不可抗力外，如果乙方没有按照本合同约定的期限、地点和方式提供服务，那么甲方可要求乙方支付违约金，违约金按逾期提供服务总额每日 0.05  %计算，最高限额为本合同总价的 20  %；逾期提供服务的违约金计算数额达到前述最高限额之日起，甲方有权在要求乙方支付违约金的同时，书面通知乙方解除本合同；</w:t>
      </w:r>
    </w:p>
    <w:p w14:paraId="6078FA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2、除不可抗力外，如果甲方没有按照本合同约定的付款方式付款，那么乙方可要求甲方支付违约金，违约金按每迟延付款一日的应付而未付款的  0.05  %计算，最高限额为本合同总价的  20   %；迟延付款的违约金计算数额达到前述最高限额之日起，乙方有权在要求甲方支付违约金的同时，书面通知甲方解除本合同；</w:t>
      </w:r>
    </w:p>
    <w:p w14:paraId="1C3AC7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除不可抗力外，任何一方未能履行本合同约定的其他主要义务，经催告后在合理期限内仍未履行的，或者任何一方有其他违约行为致使不能实现合同目标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60D97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26B44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08336E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szCs w:val="21"/>
          <w:highlight w:val="none"/>
        </w:rPr>
        <w:t>6、如果出现政府采购监督管理部门在处理投诉事项期间，书面通知甲方暂停采购活动的情形，或者询问或质疑事项可能影响中标结果的，导致甲方中止履行合同的情形，均不视为甲方违约。</w:t>
      </w:r>
    </w:p>
    <w:p w14:paraId="3818C6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十一、</w:t>
      </w:r>
      <w:r>
        <w:rPr>
          <w:rFonts w:hint="eastAsia" w:ascii="微软雅黑" w:hAnsi="微软雅黑" w:cs="微软雅黑"/>
          <w:b/>
          <w:color w:val="auto"/>
          <w:kern w:val="0"/>
          <w:szCs w:val="21"/>
          <w:highlight w:val="none"/>
        </w:rPr>
        <w:t>不可抗力事件处理</w:t>
      </w:r>
    </w:p>
    <w:p w14:paraId="298A63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1、在合同有效期内，任何一方因不可抗力事件导致不能履行合同的，合同履行期可延长，其延长期与不可抗力影响期相同。</w:t>
      </w:r>
    </w:p>
    <w:p w14:paraId="3D27E1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2、不可抗力事件发生后，应立即通知对方，并寄送有关权威机构出具的证明。</w:t>
      </w:r>
    </w:p>
    <w:p w14:paraId="3DF074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3、不可抗力事件延续120天以上，双方应通过友好协商，确定是否继续履行合同。</w:t>
      </w:r>
    </w:p>
    <w:p w14:paraId="4CC288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十二、</w:t>
      </w:r>
      <w:r>
        <w:rPr>
          <w:rFonts w:hint="eastAsia" w:ascii="微软雅黑" w:hAnsi="微软雅黑" w:cs="微软雅黑"/>
          <w:b/>
          <w:color w:val="auto"/>
          <w:kern w:val="0"/>
          <w:szCs w:val="21"/>
          <w:highlight w:val="none"/>
        </w:rPr>
        <w:t>争议的解决</w:t>
      </w:r>
    </w:p>
    <w:p w14:paraId="5DF9BA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1、因履行本合同引起的或与本合同有关的争议，甲、乙双方应首先通过友好协商解决，如果协商不能解决争议，则采取以下第</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种方式解决争议：</w:t>
      </w:r>
    </w:p>
    <w:p w14:paraId="5078BE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（1）向甲方所在地有管辖权的人民法院提起诉讼；</w:t>
      </w:r>
    </w:p>
    <w:p w14:paraId="433C86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（2）向</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仲裁委员申请仲裁。</w:t>
      </w:r>
    </w:p>
    <w:p w14:paraId="041124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十三、</w:t>
      </w:r>
      <w:r>
        <w:rPr>
          <w:rFonts w:hint="eastAsia" w:ascii="微软雅黑" w:hAnsi="微软雅黑" w:cs="微软雅黑"/>
          <w:b/>
          <w:color w:val="auto"/>
          <w:kern w:val="0"/>
          <w:szCs w:val="21"/>
          <w:highlight w:val="none"/>
        </w:rPr>
        <w:t>合同公告、合同生效及备案</w:t>
      </w:r>
    </w:p>
    <w:p w14:paraId="20BB3D0E">
      <w:pPr>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1、合同公告：本项目政府采购合同将于签订之日起2个工作日内发布于浙江政府采购网，但政府采购合同中涉及国家秘密、商业秘密的内容除外。</w:t>
      </w:r>
    </w:p>
    <w:p w14:paraId="4A22061F">
      <w:pPr>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2、合同经双方法定代表人或被授权人签字并加盖单位公章后生效。</w:t>
      </w:r>
    </w:p>
    <w:p w14:paraId="1651AA68">
      <w:pPr>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3、合同执行中涉及采购资金和采购内容修改或补充的，须经财政部门审批，并签书面补充协议报政府部门备案，方可作为主合同不可分割的一部分。</w:t>
      </w:r>
    </w:p>
    <w:p w14:paraId="560314C6">
      <w:pPr>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4、本合同未尽事宜，遵照《民法典》有关条文执行。</w:t>
      </w:r>
    </w:p>
    <w:p w14:paraId="4F40C439">
      <w:pPr>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5、本合同一式</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份，甲乙双方各执</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份。若执行政采贷，另加</w:t>
      </w:r>
      <w:r>
        <w:rPr>
          <w:rFonts w:hint="eastAsia" w:ascii="微软雅黑" w:hAnsi="微软雅黑" w:cs="微软雅黑"/>
          <w:color w:val="auto"/>
          <w:kern w:val="0"/>
          <w:szCs w:val="21"/>
          <w:highlight w:val="none"/>
          <w:u w:val="single"/>
        </w:rPr>
        <w:t xml:space="preserve"> 贰 </w:t>
      </w:r>
      <w:r>
        <w:rPr>
          <w:rFonts w:hint="eastAsia" w:ascii="微软雅黑" w:hAnsi="微软雅黑" w:cs="微软雅黑"/>
          <w:color w:val="auto"/>
          <w:kern w:val="0"/>
          <w:szCs w:val="21"/>
          <w:highlight w:val="none"/>
        </w:rPr>
        <w:t>份。</w:t>
      </w:r>
    </w:p>
    <w:p w14:paraId="02B4A5D0">
      <w:pPr>
        <w:ind w:firstLine="420"/>
        <w:jc w:val="center"/>
        <w:rPr>
          <w:rFonts w:hint="eastAsia" w:ascii="微软雅黑" w:hAnsi="微软雅黑" w:cs="微软雅黑"/>
          <w:color w:val="auto"/>
          <w:szCs w:val="21"/>
          <w:highlight w:val="none"/>
        </w:rPr>
      </w:pPr>
    </w:p>
    <w:p w14:paraId="6749CDA3">
      <w:pPr>
        <w:pStyle w:val="4"/>
        <w:ind w:firstLine="420"/>
        <w:jc w:val="center"/>
        <w:rPr>
          <w:rFonts w:hint="eastAsia" w:ascii="微软雅黑" w:hAnsi="微软雅黑" w:cs="微软雅黑"/>
          <w:color w:val="auto"/>
          <w:szCs w:val="21"/>
          <w:highlight w:val="none"/>
        </w:rPr>
      </w:pPr>
      <w:bookmarkStart w:id="190" w:name="_Toc4827"/>
      <w:bookmarkStart w:id="191" w:name="_Toc23848"/>
      <w:bookmarkStart w:id="192" w:name="_Toc20276"/>
      <w:bookmarkStart w:id="193" w:name="_Toc28912"/>
      <w:r>
        <w:rPr>
          <w:rFonts w:hint="eastAsia" w:ascii="微软雅黑" w:hAnsi="微软雅黑" w:cs="微软雅黑"/>
          <w:color w:val="auto"/>
          <w:szCs w:val="21"/>
          <w:highlight w:val="none"/>
        </w:rPr>
        <w:t>特殊专用条款部分</w:t>
      </w:r>
      <w:bookmarkEnd w:id="190"/>
      <w:bookmarkEnd w:id="191"/>
      <w:bookmarkEnd w:id="192"/>
      <w:bookmarkEnd w:id="193"/>
    </w:p>
    <w:p w14:paraId="1562E573">
      <w:pPr>
        <w:pStyle w:val="30"/>
        <w:ind w:firstLine="420"/>
        <w:rPr>
          <w:rFonts w:cs="微软雅黑"/>
          <w:color w:val="auto"/>
          <w:highlight w:val="none"/>
        </w:rPr>
      </w:pPr>
      <w:bookmarkStart w:id="194" w:name="_Toc21251"/>
      <w:r>
        <w:rPr>
          <w:rFonts w:hint="eastAsia" w:cs="微软雅黑"/>
          <w:color w:val="auto"/>
          <w:highlight w:val="none"/>
        </w:rPr>
        <w:t>……</w:t>
      </w:r>
      <w:bookmarkEnd w:id="194"/>
    </w:p>
    <w:p w14:paraId="0E09213B">
      <w:pPr>
        <w:pStyle w:val="30"/>
        <w:ind w:firstLine="420"/>
        <w:rPr>
          <w:rFonts w:cs="微软雅黑"/>
          <w:color w:val="auto"/>
          <w:highlight w:val="none"/>
        </w:rPr>
      </w:pPr>
      <w:bookmarkStart w:id="195" w:name="_Toc12502"/>
      <w:r>
        <w:rPr>
          <w:rFonts w:hint="eastAsia" w:cs="微软雅黑"/>
          <w:color w:val="auto"/>
          <w:highlight w:val="none"/>
        </w:rPr>
        <w:t>甲方：                             乙方：</w:t>
      </w:r>
      <w:bookmarkEnd w:id="195"/>
      <w:r>
        <w:rPr>
          <w:rFonts w:hint="eastAsia" w:cs="微软雅黑"/>
          <w:color w:val="auto"/>
          <w:highlight w:val="none"/>
        </w:rPr>
        <w:t xml:space="preserve"> </w:t>
      </w:r>
    </w:p>
    <w:p w14:paraId="0F4C8D9B">
      <w:pPr>
        <w:pStyle w:val="30"/>
        <w:ind w:firstLine="420"/>
        <w:rPr>
          <w:rFonts w:cs="微软雅黑"/>
          <w:bCs/>
          <w:color w:val="auto"/>
          <w:highlight w:val="none"/>
        </w:rPr>
      </w:pPr>
      <w:bookmarkStart w:id="196" w:name="_Toc12392"/>
      <w:r>
        <w:rPr>
          <w:rFonts w:hint="eastAsia" w:cs="微软雅黑"/>
          <w:color w:val="auto"/>
          <w:highlight w:val="none"/>
        </w:rPr>
        <w:t>地址：                             地址：</w:t>
      </w:r>
      <w:bookmarkEnd w:id="196"/>
      <w:r>
        <w:rPr>
          <w:rFonts w:hint="eastAsia" w:cs="微软雅黑"/>
          <w:color w:val="auto"/>
          <w:highlight w:val="none"/>
        </w:rPr>
        <w:t xml:space="preserve"> </w:t>
      </w:r>
    </w:p>
    <w:p w14:paraId="06E13D7E">
      <w:pPr>
        <w:pStyle w:val="30"/>
        <w:ind w:firstLine="420"/>
        <w:rPr>
          <w:rFonts w:cs="微软雅黑"/>
          <w:color w:val="auto"/>
          <w:highlight w:val="none"/>
        </w:rPr>
      </w:pPr>
      <w:bookmarkStart w:id="197" w:name="_Toc19138"/>
      <w:r>
        <w:rPr>
          <w:rFonts w:hint="eastAsia" w:cs="微软雅黑"/>
          <w:color w:val="auto"/>
          <w:highlight w:val="none"/>
        </w:rPr>
        <w:t>法定代表人或被授权人：             法定代表人或被授权人：</w:t>
      </w:r>
      <w:bookmarkEnd w:id="197"/>
    </w:p>
    <w:p w14:paraId="0A00B782">
      <w:pPr>
        <w:pStyle w:val="30"/>
        <w:ind w:firstLine="420"/>
        <w:rPr>
          <w:rFonts w:cs="微软雅黑"/>
          <w:color w:val="auto"/>
          <w:highlight w:val="none"/>
        </w:rPr>
      </w:pPr>
      <w:bookmarkStart w:id="198" w:name="_Toc17401"/>
      <w:r>
        <w:rPr>
          <w:rFonts w:hint="eastAsia" w:cs="微软雅黑"/>
          <w:color w:val="auto"/>
          <w:highlight w:val="none"/>
        </w:rPr>
        <w:t>签订地点：</w:t>
      </w:r>
      <w:bookmarkEnd w:id="198"/>
      <w:r>
        <w:rPr>
          <w:rFonts w:hint="eastAsia" w:cs="微软雅黑"/>
          <w:color w:val="auto"/>
          <w:highlight w:val="none"/>
        </w:rPr>
        <w:t xml:space="preserve">                  </w:t>
      </w:r>
    </w:p>
    <w:p w14:paraId="388D87B8">
      <w:pPr>
        <w:pStyle w:val="30"/>
        <w:ind w:firstLine="420"/>
        <w:rPr>
          <w:rFonts w:cs="微软雅黑"/>
          <w:color w:val="auto"/>
          <w:highlight w:val="none"/>
        </w:rPr>
        <w:sectPr>
          <w:pgSz w:w="11906" w:h="16838"/>
          <w:pgMar w:top="1474" w:right="1797" w:bottom="1247" w:left="1797" w:header="851" w:footer="851" w:gutter="0"/>
          <w:cols w:space="720" w:num="1"/>
          <w:docGrid w:linePitch="312" w:charSpace="0"/>
        </w:sectPr>
      </w:pPr>
      <w:bookmarkStart w:id="199" w:name="_Toc1330"/>
      <w:r>
        <w:rPr>
          <w:rFonts w:hint="eastAsia" w:cs="微软雅黑"/>
          <w:color w:val="auto"/>
          <w:highlight w:val="none"/>
        </w:rPr>
        <w:t>签订日期：      年  月  日</w:t>
      </w:r>
      <w:bookmarkEnd w:id="199"/>
    </w:p>
    <w:tbl>
      <w:tblPr>
        <w:tblStyle w:val="54"/>
        <w:tblW w:w="8307" w:type="dxa"/>
        <w:tblInd w:w="250" w:type="dxa"/>
        <w:tblLayout w:type="fixed"/>
        <w:tblCellMar>
          <w:top w:w="0" w:type="dxa"/>
          <w:left w:w="108" w:type="dxa"/>
          <w:bottom w:w="0" w:type="dxa"/>
          <w:right w:w="108" w:type="dxa"/>
        </w:tblCellMar>
      </w:tblPr>
      <w:tblGrid>
        <w:gridCol w:w="2724"/>
        <w:gridCol w:w="2854"/>
        <w:gridCol w:w="754"/>
        <w:gridCol w:w="944"/>
        <w:gridCol w:w="1031"/>
      </w:tblGrid>
      <w:tr w14:paraId="2AEFA9BD">
        <w:tblPrEx>
          <w:tblCellMar>
            <w:top w:w="0" w:type="dxa"/>
            <w:left w:w="108" w:type="dxa"/>
            <w:bottom w:w="0" w:type="dxa"/>
            <w:right w:w="108" w:type="dxa"/>
          </w:tblCellMar>
        </w:tblPrEx>
        <w:trPr>
          <w:trHeight w:val="428" w:hRule="atLeast"/>
        </w:trPr>
        <w:tc>
          <w:tcPr>
            <w:tcW w:w="8307" w:type="dxa"/>
            <w:gridSpan w:val="5"/>
            <w:tcBorders>
              <w:top w:val="nil"/>
              <w:left w:val="nil"/>
              <w:bottom w:val="nil"/>
              <w:right w:val="nil"/>
            </w:tcBorders>
            <w:vAlign w:val="center"/>
          </w:tcPr>
          <w:p w14:paraId="29DDF2F7">
            <w:pPr>
              <w:pStyle w:val="4"/>
              <w:ind w:firstLine="420"/>
              <w:rPr>
                <w:rFonts w:hint="eastAsia"/>
                <w:bCs/>
                <w:color w:val="auto"/>
                <w:szCs w:val="21"/>
                <w:highlight w:val="none"/>
              </w:rPr>
            </w:pPr>
            <w:bookmarkStart w:id="200" w:name="_Toc27444"/>
            <w:bookmarkStart w:id="201" w:name="_Toc29980"/>
            <w:bookmarkStart w:id="202" w:name="_Toc164943220"/>
            <w:r>
              <w:rPr>
                <w:rFonts w:hint="eastAsia"/>
                <w:bCs/>
                <w:color w:val="auto"/>
                <w:szCs w:val="21"/>
                <w:highlight w:val="none"/>
              </w:rPr>
              <w:t>合同附件</w:t>
            </w:r>
            <w:bookmarkEnd w:id="200"/>
            <w:bookmarkEnd w:id="201"/>
          </w:p>
          <w:p w14:paraId="42BEC09A">
            <w:pPr>
              <w:pStyle w:val="4"/>
              <w:ind w:firstLine="420"/>
              <w:jc w:val="center"/>
              <w:rPr>
                <w:rFonts w:hint="eastAsia"/>
                <w:bCs/>
                <w:color w:val="auto"/>
                <w:szCs w:val="21"/>
                <w:highlight w:val="none"/>
              </w:rPr>
            </w:pPr>
            <w:bookmarkStart w:id="203" w:name="_Toc23061"/>
            <w:bookmarkStart w:id="204" w:name="_Toc11729"/>
            <w:r>
              <w:rPr>
                <w:bCs/>
                <w:color w:val="auto"/>
                <w:szCs w:val="21"/>
                <w:highlight w:val="none"/>
              </w:rPr>
              <w:t>政 府 采 购 项 目 验 收 单</w:t>
            </w:r>
            <w:bookmarkEnd w:id="202"/>
            <w:bookmarkEnd w:id="203"/>
            <w:bookmarkEnd w:id="204"/>
          </w:p>
        </w:tc>
      </w:tr>
      <w:tr w14:paraId="526E0E98">
        <w:tblPrEx>
          <w:tblCellMar>
            <w:top w:w="0" w:type="dxa"/>
            <w:left w:w="108" w:type="dxa"/>
            <w:bottom w:w="0" w:type="dxa"/>
            <w:right w:w="108" w:type="dxa"/>
          </w:tblCellMar>
        </w:tblPrEx>
        <w:trPr>
          <w:trHeight w:val="332" w:hRule="atLeast"/>
        </w:trPr>
        <w:tc>
          <w:tcPr>
            <w:tcW w:w="8307" w:type="dxa"/>
            <w:gridSpan w:val="5"/>
            <w:tcBorders>
              <w:top w:val="nil"/>
              <w:left w:val="nil"/>
              <w:bottom w:val="nil"/>
              <w:right w:val="nil"/>
            </w:tcBorders>
            <w:vAlign w:val="center"/>
          </w:tcPr>
          <w:p w14:paraId="474F90AD">
            <w:pPr>
              <w:widowControl/>
              <w:spacing w:line="240" w:lineRule="auto"/>
              <w:ind w:firstLine="0" w:firstLineChars="0"/>
              <w:rPr>
                <w:color w:val="auto"/>
                <w:kern w:val="0"/>
                <w:szCs w:val="21"/>
                <w:highlight w:val="none"/>
              </w:rPr>
            </w:pPr>
            <w:r>
              <w:rPr>
                <w:color w:val="auto"/>
                <w:kern w:val="0"/>
                <w:szCs w:val="21"/>
                <w:highlight w:val="none"/>
              </w:rPr>
              <w:t>按照</w:t>
            </w:r>
            <w:r>
              <w:rPr>
                <w:rFonts w:hint="eastAsia"/>
                <w:color w:val="auto"/>
                <w:kern w:val="0"/>
                <w:szCs w:val="21"/>
                <w:highlight w:val="none"/>
              </w:rPr>
              <w:t>采购计划文号：</w:t>
            </w:r>
            <w:r>
              <w:rPr>
                <w:rFonts w:hint="eastAsia" w:ascii="宋体" w:hAnsi="宋体"/>
                <w:color w:val="auto"/>
                <w:kern w:val="0"/>
                <w:szCs w:val="21"/>
                <w:highlight w:val="none"/>
              </w:rPr>
              <w:t xml:space="preserve">      </w:t>
            </w:r>
            <w:r>
              <w:rPr>
                <w:color w:val="auto"/>
                <w:kern w:val="0"/>
                <w:szCs w:val="21"/>
                <w:highlight w:val="none"/>
              </w:rPr>
              <w:t>，</w:t>
            </w:r>
            <w:r>
              <w:rPr>
                <w:rFonts w:hint="eastAsia"/>
                <w:color w:val="auto"/>
                <w:kern w:val="0"/>
                <w:szCs w:val="21"/>
                <w:highlight w:val="none"/>
              </w:rPr>
              <w:t>项目编号</w:t>
            </w:r>
            <w:r>
              <w:rPr>
                <w:color w:val="auto"/>
                <w:kern w:val="0"/>
                <w:szCs w:val="21"/>
                <w:highlight w:val="none"/>
              </w:rPr>
              <w:t>：</w:t>
            </w:r>
            <w:r>
              <w:rPr>
                <w:rFonts w:hint="eastAsia"/>
                <w:color w:val="auto"/>
                <w:kern w:val="0"/>
                <w:szCs w:val="21"/>
                <w:highlight w:val="none"/>
              </w:rPr>
              <w:t xml:space="preserve">                                       </w:t>
            </w:r>
            <w:r>
              <w:rPr>
                <w:rFonts w:hint="eastAsia" w:ascii="宋体" w:hAnsi="宋体" w:eastAsia="宋体"/>
                <w:color w:val="auto"/>
                <w:kern w:val="0"/>
                <w:szCs w:val="21"/>
                <w:highlight w:val="none"/>
              </w:rPr>
              <w:t xml:space="preserve">,合同号：  </w:t>
            </w:r>
          </w:p>
        </w:tc>
      </w:tr>
      <w:tr w14:paraId="2C9FA0DF">
        <w:tblPrEx>
          <w:tblCellMar>
            <w:top w:w="0" w:type="dxa"/>
            <w:left w:w="108" w:type="dxa"/>
            <w:bottom w:w="0" w:type="dxa"/>
            <w:right w:w="108" w:type="dxa"/>
          </w:tblCellMar>
        </w:tblPrEx>
        <w:trPr>
          <w:trHeight w:val="332" w:hRule="atLeast"/>
        </w:trPr>
        <w:tc>
          <w:tcPr>
            <w:tcW w:w="8307" w:type="dxa"/>
            <w:gridSpan w:val="5"/>
            <w:tcBorders>
              <w:top w:val="nil"/>
              <w:left w:val="nil"/>
              <w:bottom w:val="nil"/>
              <w:right w:val="nil"/>
            </w:tcBorders>
            <w:vAlign w:val="center"/>
          </w:tcPr>
          <w:p w14:paraId="6332BD93">
            <w:pPr>
              <w:widowControl/>
              <w:spacing w:line="240" w:lineRule="auto"/>
              <w:ind w:firstLine="0" w:firstLineChars="0"/>
              <w:rPr>
                <w:color w:val="auto"/>
                <w:kern w:val="0"/>
                <w:szCs w:val="21"/>
                <w:highlight w:val="none"/>
              </w:rPr>
            </w:pPr>
            <w:r>
              <w:rPr>
                <w:color w:val="auto"/>
                <w:kern w:val="0"/>
                <w:szCs w:val="21"/>
                <w:highlight w:val="none"/>
              </w:rPr>
              <w:t>以下项目已采购到位并验收合格。</w:t>
            </w:r>
          </w:p>
        </w:tc>
      </w:tr>
      <w:tr w14:paraId="52DB9361">
        <w:tblPrEx>
          <w:tblCellMar>
            <w:top w:w="0" w:type="dxa"/>
            <w:left w:w="108" w:type="dxa"/>
            <w:bottom w:w="0" w:type="dxa"/>
            <w:right w:w="108" w:type="dxa"/>
          </w:tblCellMar>
        </w:tblPrEx>
        <w:trPr>
          <w:trHeight w:val="507" w:hRule="atLeast"/>
        </w:trPr>
        <w:tc>
          <w:tcPr>
            <w:tcW w:w="2724" w:type="dxa"/>
            <w:tcBorders>
              <w:top w:val="single" w:color="auto" w:sz="4" w:space="0"/>
              <w:left w:val="single" w:color="auto" w:sz="4" w:space="0"/>
              <w:bottom w:val="nil"/>
              <w:right w:val="single" w:color="auto" w:sz="4" w:space="0"/>
            </w:tcBorders>
            <w:vAlign w:val="center"/>
          </w:tcPr>
          <w:p w14:paraId="02EB5725">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服务名称</w:t>
            </w:r>
          </w:p>
        </w:tc>
        <w:tc>
          <w:tcPr>
            <w:tcW w:w="2854" w:type="dxa"/>
            <w:tcBorders>
              <w:top w:val="single" w:color="auto" w:sz="4" w:space="0"/>
              <w:left w:val="nil"/>
              <w:bottom w:val="nil"/>
              <w:right w:val="single" w:color="auto" w:sz="4" w:space="0"/>
            </w:tcBorders>
            <w:vAlign w:val="center"/>
          </w:tcPr>
          <w:p w14:paraId="197AC889">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服务内容</w:t>
            </w:r>
          </w:p>
        </w:tc>
        <w:tc>
          <w:tcPr>
            <w:tcW w:w="754" w:type="dxa"/>
            <w:tcBorders>
              <w:top w:val="single" w:color="auto" w:sz="4" w:space="0"/>
              <w:left w:val="nil"/>
              <w:bottom w:val="nil"/>
              <w:right w:val="single" w:color="auto" w:sz="4" w:space="0"/>
            </w:tcBorders>
            <w:vAlign w:val="center"/>
          </w:tcPr>
          <w:p w14:paraId="166BFC0D">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数量</w:t>
            </w:r>
          </w:p>
        </w:tc>
        <w:tc>
          <w:tcPr>
            <w:tcW w:w="944" w:type="dxa"/>
            <w:tcBorders>
              <w:top w:val="single" w:color="auto" w:sz="4" w:space="0"/>
              <w:left w:val="nil"/>
              <w:bottom w:val="nil"/>
              <w:right w:val="single" w:color="auto" w:sz="4" w:space="0"/>
            </w:tcBorders>
            <w:vAlign w:val="center"/>
          </w:tcPr>
          <w:p w14:paraId="47B145C1">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核定总价</w:t>
            </w:r>
          </w:p>
        </w:tc>
        <w:tc>
          <w:tcPr>
            <w:tcW w:w="1031" w:type="dxa"/>
            <w:tcBorders>
              <w:top w:val="single" w:color="auto" w:sz="4" w:space="0"/>
              <w:left w:val="nil"/>
              <w:bottom w:val="single" w:color="auto" w:sz="4" w:space="0"/>
              <w:right w:val="single" w:color="auto" w:sz="4" w:space="0"/>
            </w:tcBorders>
            <w:vAlign w:val="center"/>
          </w:tcPr>
          <w:p w14:paraId="76CDDE71">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采购人</w:t>
            </w:r>
            <w:r>
              <w:rPr>
                <w:rFonts w:hint="eastAsia" w:ascii="微软雅黑" w:hAnsi="微软雅黑" w:cs="宋体"/>
                <w:color w:val="auto"/>
                <w:kern w:val="0"/>
                <w:szCs w:val="21"/>
                <w:highlight w:val="none"/>
              </w:rPr>
              <w:br w:type="textWrapping"/>
            </w:r>
            <w:r>
              <w:rPr>
                <w:rFonts w:hint="eastAsia" w:ascii="微软雅黑" w:hAnsi="微软雅黑" w:cs="宋体"/>
                <w:color w:val="auto"/>
                <w:kern w:val="0"/>
                <w:szCs w:val="21"/>
                <w:highlight w:val="none"/>
              </w:rPr>
              <w:t>验收意见</w:t>
            </w:r>
          </w:p>
        </w:tc>
      </w:tr>
      <w:tr w14:paraId="0F142D8C">
        <w:tblPrEx>
          <w:tblCellMar>
            <w:top w:w="0" w:type="dxa"/>
            <w:left w:w="108" w:type="dxa"/>
            <w:bottom w:w="0" w:type="dxa"/>
            <w:right w:w="108" w:type="dxa"/>
          </w:tblCellMar>
        </w:tblPrEx>
        <w:trPr>
          <w:trHeight w:val="413" w:hRule="atLeast"/>
        </w:trPr>
        <w:tc>
          <w:tcPr>
            <w:tcW w:w="2724" w:type="dxa"/>
            <w:tcBorders>
              <w:top w:val="single" w:color="auto" w:sz="4" w:space="0"/>
              <w:left w:val="single" w:color="auto" w:sz="4" w:space="0"/>
              <w:bottom w:val="single" w:color="auto" w:sz="4" w:space="0"/>
              <w:right w:val="single" w:color="auto" w:sz="4" w:space="0"/>
            </w:tcBorders>
            <w:vAlign w:val="center"/>
          </w:tcPr>
          <w:p w14:paraId="4CB1D3AB">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2854" w:type="dxa"/>
            <w:tcBorders>
              <w:top w:val="single" w:color="auto" w:sz="4" w:space="0"/>
              <w:left w:val="nil"/>
              <w:bottom w:val="single" w:color="auto" w:sz="4" w:space="0"/>
              <w:right w:val="single" w:color="auto" w:sz="4" w:space="0"/>
            </w:tcBorders>
            <w:vAlign w:val="center"/>
          </w:tcPr>
          <w:p w14:paraId="5D122262">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754" w:type="dxa"/>
            <w:tcBorders>
              <w:top w:val="single" w:color="auto" w:sz="4" w:space="0"/>
              <w:left w:val="nil"/>
              <w:bottom w:val="single" w:color="auto" w:sz="4" w:space="0"/>
              <w:right w:val="single" w:color="auto" w:sz="4" w:space="0"/>
            </w:tcBorders>
            <w:vAlign w:val="center"/>
          </w:tcPr>
          <w:p w14:paraId="1BBDEC96">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944" w:type="dxa"/>
            <w:tcBorders>
              <w:top w:val="single" w:color="auto" w:sz="4" w:space="0"/>
              <w:left w:val="nil"/>
              <w:bottom w:val="single" w:color="auto" w:sz="4" w:space="0"/>
              <w:right w:val="single" w:color="auto" w:sz="4" w:space="0"/>
            </w:tcBorders>
            <w:vAlign w:val="center"/>
          </w:tcPr>
          <w:p w14:paraId="6029E7F1">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1031" w:type="dxa"/>
            <w:tcBorders>
              <w:top w:val="nil"/>
              <w:left w:val="nil"/>
              <w:bottom w:val="single" w:color="auto" w:sz="4" w:space="0"/>
              <w:right w:val="single" w:color="auto" w:sz="4" w:space="0"/>
            </w:tcBorders>
            <w:vAlign w:val="bottom"/>
          </w:tcPr>
          <w:p w14:paraId="42B40442">
            <w:pPr>
              <w:widowControl/>
              <w:spacing w:line="240" w:lineRule="auto"/>
              <w:ind w:firstLine="0" w:firstLineChars="0"/>
              <w:rPr>
                <w:color w:val="auto"/>
                <w:kern w:val="0"/>
                <w:szCs w:val="21"/>
                <w:highlight w:val="none"/>
              </w:rPr>
            </w:pPr>
            <w:r>
              <w:rPr>
                <w:color w:val="auto"/>
                <w:kern w:val="0"/>
                <w:szCs w:val="21"/>
                <w:highlight w:val="none"/>
              </w:rPr>
              <w:t>　</w:t>
            </w:r>
          </w:p>
        </w:tc>
      </w:tr>
      <w:tr w14:paraId="07C2A121">
        <w:tblPrEx>
          <w:tblCellMar>
            <w:top w:w="0" w:type="dxa"/>
            <w:left w:w="108" w:type="dxa"/>
            <w:bottom w:w="0" w:type="dxa"/>
            <w:right w:w="108" w:type="dxa"/>
          </w:tblCellMar>
        </w:tblPrEx>
        <w:trPr>
          <w:trHeight w:val="436" w:hRule="atLeast"/>
        </w:trPr>
        <w:tc>
          <w:tcPr>
            <w:tcW w:w="2724" w:type="dxa"/>
            <w:tcBorders>
              <w:top w:val="nil"/>
              <w:left w:val="single" w:color="auto" w:sz="4" w:space="0"/>
              <w:bottom w:val="single" w:color="auto" w:sz="4" w:space="0"/>
              <w:right w:val="single" w:color="auto" w:sz="4" w:space="0"/>
            </w:tcBorders>
            <w:vAlign w:val="center"/>
          </w:tcPr>
          <w:p w14:paraId="142417F9">
            <w:pPr>
              <w:widowControl/>
              <w:spacing w:line="240" w:lineRule="auto"/>
              <w:ind w:firstLine="0" w:firstLineChars="0"/>
              <w:jc w:val="center"/>
              <w:rPr>
                <w:color w:val="auto"/>
                <w:kern w:val="0"/>
                <w:szCs w:val="21"/>
                <w:highlight w:val="none"/>
              </w:rPr>
            </w:pPr>
            <w:r>
              <w:rPr>
                <w:color w:val="auto"/>
                <w:kern w:val="0"/>
                <w:szCs w:val="21"/>
                <w:highlight w:val="none"/>
              </w:rPr>
              <w:t>合计总价款（人民币）</w:t>
            </w:r>
          </w:p>
        </w:tc>
        <w:tc>
          <w:tcPr>
            <w:tcW w:w="5583" w:type="dxa"/>
            <w:gridSpan w:val="4"/>
            <w:tcBorders>
              <w:top w:val="nil"/>
              <w:left w:val="nil"/>
              <w:bottom w:val="single" w:color="auto" w:sz="4" w:space="0"/>
              <w:right w:val="single" w:color="000000" w:sz="4" w:space="0"/>
            </w:tcBorders>
            <w:vAlign w:val="center"/>
          </w:tcPr>
          <w:p w14:paraId="47B86334">
            <w:pPr>
              <w:widowControl/>
              <w:spacing w:line="240" w:lineRule="auto"/>
              <w:ind w:firstLine="0" w:firstLineChars="0"/>
              <w:rPr>
                <w:color w:val="auto"/>
                <w:kern w:val="0"/>
                <w:szCs w:val="21"/>
                <w:highlight w:val="none"/>
              </w:rPr>
            </w:pPr>
            <w:r>
              <w:rPr>
                <w:color w:val="auto"/>
                <w:kern w:val="0"/>
                <w:szCs w:val="21"/>
                <w:highlight w:val="none"/>
              </w:rPr>
              <w:t>人民币</w:t>
            </w:r>
            <w:r>
              <w:rPr>
                <w:color w:val="auto"/>
                <w:kern w:val="0"/>
                <w:szCs w:val="21"/>
                <w:highlight w:val="none"/>
                <w:u w:val="single"/>
              </w:rPr>
              <w:t xml:space="preserve">                 </w:t>
            </w:r>
            <w:r>
              <w:rPr>
                <w:color w:val="auto"/>
                <w:kern w:val="0"/>
                <w:szCs w:val="21"/>
                <w:highlight w:val="none"/>
              </w:rPr>
              <w:t xml:space="preserve">元整。       ￥: </w:t>
            </w:r>
            <w:r>
              <w:rPr>
                <w:color w:val="auto"/>
                <w:kern w:val="0"/>
                <w:szCs w:val="21"/>
                <w:highlight w:val="none"/>
                <w:u w:val="single"/>
              </w:rPr>
              <w:t xml:space="preserve">             </w:t>
            </w:r>
          </w:p>
        </w:tc>
      </w:tr>
      <w:tr w14:paraId="27C04664">
        <w:tblPrEx>
          <w:tblCellMar>
            <w:top w:w="0" w:type="dxa"/>
            <w:left w:w="108" w:type="dxa"/>
            <w:bottom w:w="0" w:type="dxa"/>
            <w:right w:w="108" w:type="dxa"/>
          </w:tblCellMar>
        </w:tblPrEx>
        <w:trPr>
          <w:trHeight w:val="401" w:hRule="atLeast"/>
        </w:trPr>
        <w:tc>
          <w:tcPr>
            <w:tcW w:w="2724" w:type="dxa"/>
            <w:tcBorders>
              <w:top w:val="nil"/>
              <w:left w:val="single" w:color="auto" w:sz="4" w:space="0"/>
              <w:bottom w:val="nil"/>
              <w:right w:val="nil"/>
            </w:tcBorders>
            <w:vAlign w:val="bottom"/>
          </w:tcPr>
          <w:p w14:paraId="50AC1D4B">
            <w:pPr>
              <w:widowControl/>
              <w:spacing w:line="240" w:lineRule="auto"/>
              <w:ind w:firstLine="0" w:firstLineChars="0"/>
              <w:rPr>
                <w:color w:val="auto"/>
                <w:kern w:val="0"/>
                <w:szCs w:val="21"/>
                <w:highlight w:val="none"/>
              </w:rPr>
            </w:pPr>
            <w:r>
              <w:rPr>
                <w:color w:val="auto"/>
                <w:kern w:val="0"/>
                <w:szCs w:val="21"/>
                <w:highlight w:val="none"/>
              </w:rPr>
              <w:t xml:space="preserve">供货单位（盖章）：                     </w:t>
            </w:r>
          </w:p>
        </w:tc>
        <w:tc>
          <w:tcPr>
            <w:tcW w:w="2854" w:type="dxa"/>
            <w:tcBorders>
              <w:top w:val="nil"/>
              <w:left w:val="nil"/>
              <w:bottom w:val="nil"/>
              <w:right w:val="nil"/>
            </w:tcBorders>
            <w:vAlign w:val="center"/>
          </w:tcPr>
          <w:p w14:paraId="75ECA9D3">
            <w:pPr>
              <w:widowControl/>
              <w:spacing w:line="240" w:lineRule="auto"/>
              <w:ind w:firstLine="0" w:firstLineChars="0"/>
              <w:jc w:val="right"/>
              <w:rPr>
                <w:color w:val="auto"/>
                <w:kern w:val="0"/>
                <w:szCs w:val="21"/>
                <w:highlight w:val="none"/>
              </w:rPr>
            </w:pPr>
            <w:r>
              <w:rPr>
                <w:color w:val="auto"/>
                <w:kern w:val="0"/>
                <w:szCs w:val="21"/>
                <w:highlight w:val="none"/>
              </w:rPr>
              <w:t>采购人（盖章）:</w:t>
            </w:r>
          </w:p>
        </w:tc>
        <w:tc>
          <w:tcPr>
            <w:tcW w:w="1698" w:type="dxa"/>
            <w:gridSpan w:val="2"/>
            <w:tcBorders>
              <w:top w:val="nil"/>
              <w:left w:val="nil"/>
              <w:bottom w:val="nil"/>
              <w:right w:val="nil"/>
            </w:tcBorders>
            <w:vAlign w:val="bottom"/>
          </w:tcPr>
          <w:p w14:paraId="133BECDB">
            <w:pPr>
              <w:widowControl/>
              <w:spacing w:line="240" w:lineRule="auto"/>
              <w:ind w:firstLine="0" w:firstLineChars="0"/>
              <w:rPr>
                <w:color w:val="auto"/>
                <w:kern w:val="0"/>
                <w:szCs w:val="21"/>
                <w:highlight w:val="none"/>
              </w:rPr>
            </w:pPr>
          </w:p>
        </w:tc>
        <w:tc>
          <w:tcPr>
            <w:tcW w:w="1031" w:type="dxa"/>
            <w:tcBorders>
              <w:top w:val="nil"/>
              <w:left w:val="nil"/>
              <w:bottom w:val="nil"/>
              <w:right w:val="single" w:color="auto" w:sz="4" w:space="0"/>
            </w:tcBorders>
            <w:vAlign w:val="bottom"/>
          </w:tcPr>
          <w:p w14:paraId="7CFA41EE">
            <w:pPr>
              <w:widowControl/>
              <w:spacing w:line="240" w:lineRule="auto"/>
              <w:ind w:firstLine="0" w:firstLineChars="0"/>
              <w:rPr>
                <w:color w:val="auto"/>
                <w:kern w:val="0"/>
                <w:szCs w:val="21"/>
                <w:highlight w:val="none"/>
              </w:rPr>
            </w:pPr>
            <w:r>
              <w:rPr>
                <w:color w:val="auto"/>
                <w:kern w:val="0"/>
                <w:szCs w:val="21"/>
                <w:highlight w:val="none"/>
              </w:rPr>
              <w:t>　</w:t>
            </w:r>
          </w:p>
        </w:tc>
      </w:tr>
      <w:tr w14:paraId="7D054296">
        <w:tblPrEx>
          <w:tblCellMar>
            <w:top w:w="0" w:type="dxa"/>
            <w:left w:w="108" w:type="dxa"/>
            <w:bottom w:w="0" w:type="dxa"/>
            <w:right w:w="108" w:type="dxa"/>
          </w:tblCellMar>
        </w:tblPrEx>
        <w:trPr>
          <w:trHeight w:val="305" w:hRule="atLeast"/>
        </w:trPr>
        <w:tc>
          <w:tcPr>
            <w:tcW w:w="2724" w:type="dxa"/>
            <w:tcBorders>
              <w:top w:val="nil"/>
              <w:left w:val="single" w:color="auto" w:sz="4" w:space="0"/>
              <w:bottom w:val="nil"/>
              <w:right w:val="nil"/>
            </w:tcBorders>
            <w:vAlign w:val="bottom"/>
          </w:tcPr>
          <w:p w14:paraId="165938C8">
            <w:pPr>
              <w:widowControl/>
              <w:spacing w:line="240" w:lineRule="auto"/>
              <w:ind w:firstLine="0" w:firstLineChars="0"/>
              <w:rPr>
                <w:color w:val="auto"/>
                <w:kern w:val="0"/>
                <w:szCs w:val="21"/>
                <w:highlight w:val="none"/>
              </w:rPr>
            </w:pPr>
            <w:r>
              <w:rPr>
                <w:color w:val="auto"/>
                <w:kern w:val="0"/>
                <w:szCs w:val="21"/>
                <w:highlight w:val="none"/>
              </w:rPr>
              <w:t>经办项目负责人：</w:t>
            </w:r>
          </w:p>
        </w:tc>
        <w:tc>
          <w:tcPr>
            <w:tcW w:w="2854" w:type="dxa"/>
            <w:tcBorders>
              <w:top w:val="nil"/>
              <w:left w:val="nil"/>
              <w:bottom w:val="nil"/>
              <w:right w:val="nil"/>
            </w:tcBorders>
            <w:vAlign w:val="center"/>
          </w:tcPr>
          <w:p w14:paraId="77E40AF3">
            <w:pPr>
              <w:widowControl/>
              <w:spacing w:line="240" w:lineRule="auto"/>
              <w:ind w:firstLine="0" w:firstLineChars="0"/>
              <w:jc w:val="right"/>
              <w:rPr>
                <w:color w:val="auto"/>
                <w:kern w:val="0"/>
                <w:szCs w:val="21"/>
                <w:highlight w:val="none"/>
              </w:rPr>
            </w:pPr>
            <w:r>
              <w:rPr>
                <w:color w:val="auto"/>
                <w:kern w:val="0"/>
                <w:szCs w:val="21"/>
                <w:highlight w:val="none"/>
              </w:rPr>
              <w:t>项目验收组组长：</w:t>
            </w:r>
          </w:p>
        </w:tc>
        <w:tc>
          <w:tcPr>
            <w:tcW w:w="1698" w:type="dxa"/>
            <w:gridSpan w:val="2"/>
            <w:tcBorders>
              <w:top w:val="nil"/>
              <w:left w:val="nil"/>
              <w:bottom w:val="nil"/>
              <w:right w:val="nil"/>
            </w:tcBorders>
            <w:vAlign w:val="bottom"/>
          </w:tcPr>
          <w:p w14:paraId="0284F242">
            <w:pPr>
              <w:widowControl/>
              <w:spacing w:line="240" w:lineRule="auto"/>
              <w:ind w:firstLine="0" w:firstLineChars="0"/>
              <w:rPr>
                <w:color w:val="auto"/>
                <w:kern w:val="0"/>
                <w:szCs w:val="21"/>
                <w:highlight w:val="none"/>
              </w:rPr>
            </w:pPr>
          </w:p>
        </w:tc>
        <w:tc>
          <w:tcPr>
            <w:tcW w:w="1031" w:type="dxa"/>
            <w:tcBorders>
              <w:top w:val="nil"/>
              <w:left w:val="nil"/>
              <w:bottom w:val="nil"/>
              <w:right w:val="single" w:color="auto" w:sz="4" w:space="0"/>
            </w:tcBorders>
            <w:vAlign w:val="bottom"/>
          </w:tcPr>
          <w:p w14:paraId="414E89B2">
            <w:pPr>
              <w:widowControl/>
              <w:spacing w:line="240" w:lineRule="auto"/>
              <w:ind w:firstLine="0" w:firstLineChars="0"/>
              <w:rPr>
                <w:color w:val="auto"/>
                <w:kern w:val="0"/>
                <w:szCs w:val="21"/>
                <w:highlight w:val="none"/>
              </w:rPr>
            </w:pPr>
            <w:r>
              <w:rPr>
                <w:color w:val="auto"/>
                <w:kern w:val="0"/>
                <w:szCs w:val="21"/>
                <w:highlight w:val="none"/>
              </w:rPr>
              <w:t>　</w:t>
            </w:r>
          </w:p>
        </w:tc>
      </w:tr>
      <w:tr w14:paraId="616648C6">
        <w:tblPrEx>
          <w:tblCellMar>
            <w:top w:w="0" w:type="dxa"/>
            <w:left w:w="108" w:type="dxa"/>
            <w:bottom w:w="0" w:type="dxa"/>
            <w:right w:w="108" w:type="dxa"/>
          </w:tblCellMar>
        </w:tblPrEx>
        <w:trPr>
          <w:trHeight w:val="305" w:hRule="atLeast"/>
        </w:trPr>
        <w:tc>
          <w:tcPr>
            <w:tcW w:w="2724" w:type="dxa"/>
            <w:tcBorders>
              <w:top w:val="nil"/>
              <w:left w:val="single" w:color="auto" w:sz="4" w:space="0"/>
              <w:bottom w:val="nil"/>
              <w:right w:val="nil"/>
            </w:tcBorders>
            <w:vAlign w:val="bottom"/>
          </w:tcPr>
          <w:p w14:paraId="4DD86BED">
            <w:pPr>
              <w:widowControl/>
              <w:spacing w:line="240" w:lineRule="auto"/>
              <w:ind w:firstLine="0" w:firstLineChars="0"/>
              <w:rPr>
                <w:color w:val="auto"/>
                <w:kern w:val="0"/>
                <w:szCs w:val="21"/>
                <w:highlight w:val="none"/>
              </w:rPr>
            </w:pPr>
            <w:r>
              <w:rPr>
                <w:color w:val="auto"/>
                <w:kern w:val="0"/>
                <w:szCs w:val="21"/>
                <w:highlight w:val="none"/>
              </w:rPr>
              <w:t>联系电话：</w:t>
            </w:r>
          </w:p>
        </w:tc>
        <w:tc>
          <w:tcPr>
            <w:tcW w:w="2854" w:type="dxa"/>
            <w:tcBorders>
              <w:top w:val="nil"/>
              <w:left w:val="nil"/>
              <w:bottom w:val="nil"/>
              <w:right w:val="nil"/>
            </w:tcBorders>
            <w:vAlign w:val="center"/>
          </w:tcPr>
          <w:p w14:paraId="02B1519F">
            <w:pPr>
              <w:widowControl/>
              <w:spacing w:line="240" w:lineRule="auto"/>
              <w:ind w:firstLine="0" w:firstLineChars="0"/>
              <w:jc w:val="right"/>
              <w:rPr>
                <w:color w:val="auto"/>
                <w:kern w:val="0"/>
                <w:szCs w:val="21"/>
                <w:highlight w:val="none"/>
              </w:rPr>
            </w:pPr>
            <w:r>
              <w:rPr>
                <w:color w:val="auto"/>
                <w:kern w:val="0"/>
                <w:szCs w:val="21"/>
                <w:highlight w:val="none"/>
              </w:rPr>
              <w:t>联系电话：</w:t>
            </w:r>
          </w:p>
        </w:tc>
        <w:tc>
          <w:tcPr>
            <w:tcW w:w="754" w:type="dxa"/>
            <w:tcBorders>
              <w:top w:val="nil"/>
              <w:left w:val="nil"/>
              <w:bottom w:val="nil"/>
              <w:right w:val="nil"/>
            </w:tcBorders>
            <w:vAlign w:val="bottom"/>
          </w:tcPr>
          <w:p w14:paraId="6794F12A">
            <w:pPr>
              <w:widowControl/>
              <w:spacing w:line="240" w:lineRule="auto"/>
              <w:ind w:firstLine="0" w:firstLineChars="0"/>
              <w:rPr>
                <w:color w:val="auto"/>
                <w:kern w:val="0"/>
                <w:szCs w:val="21"/>
                <w:highlight w:val="none"/>
              </w:rPr>
            </w:pPr>
          </w:p>
        </w:tc>
        <w:tc>
          <w:tcPr>
            <w:tcW w:w="944" w:type="dxa"/>
            <w:tcBorders>
              <w:top w:val="nil"/>
              <w:left w:val="nil"/>
              <w:bottom w:val="nil"/>
              <w:right w:val="nil"/>
            </w:tcBorders>
            <w:vAlign w:val="bottom"/>
          </w:tcPr>
          <w:p w14:paraId="57F4BF23">
            <w:pPr>
              <w:widowControl/>
              <w:spacing w:line="240" w:lineRule="auto"/>
              <w:ind w:firstLine="0" w:firstLineChars="0"/>
              <w:rPr>
                <w:color w:val="auto"/>
                <w:kern w:val="0"/>
                <w:szCs w:val="21"/>
                <w:highlight w:val="none"/>
              </w:rPr>
            </w:pPr>
          </w:p>
        </w:tc>
        <w:tc>
          <w:tcPr>
            <w:tcW w:w="1031" w:type="dxa"/>
            <w:tcBorders>
              <w:top w:val="nil"/>
              <w:left w:val="nil"/>
              <w:bottom w:val="nil"/>
              <w:right w:val="single" w:color="auto" w:sz="4" w:space="0"/>
            </w:tcBorders>
            <w:vAlign w:val="bottom"/>
          </w:tcPr>
          <w:p w14:paraId="63557B41">
            <w:pPr>
              <w:widowControl/>
              <w:spacing w:line="240" w:lineRule="auto"/>
              <w:ind w:firstLine="0" w:firstLineChars="0"/>
              <w:rPr>
                <w:color w:val="auto"/>
                <w:kern w:val="0"/>
                <w:szCs w:val="21"/>
                <w:highlight w:val="none"/>
              </w:rPr>
            </w:pPr>
            <w:r>
              <w:rPr>
                <w:color w:val="auto"/>
                <w:kern w:val="0"/>
                <w:szCs w:val="21"/>
                <w:highlight w:val="none"/>
              </w:rPr>
              <w:t>　</w:t>
            </w:r>
          </w:p>
        </w:tc>
      </w:tr>
      <w:tr w14:paraId="3BFCF98D">
        <w:tblPrEx>
          <w:tblCellMar>
            <w:top w:w="0" w:type="dxa"/>
            <w:left w:w="108" w:type="dxa"/>
            <w:bottom w:w="0" w:type="dxa"/>
            <w:right w:w="108" w:type="dxa"/>
          </w:tblCellMar>
        </w:tblPrEx>
        <w:trPr>
          <w:trHeight w:val="314" w:hRule="atLeast"/>
        </w:trPr>
        <w:tc>
          <w:tcPr>
            <w:tcW w:w="2724" w:type="dxa"/>
            <w:tcBorders>
              <w:top w:val="nil"/>
              <w:left w:val="single" w:color="auto" w:sz="4" w:space="0"/>
              <w:bottom w:val="nil"/>
              <w:right w:val="nil"/>
            </w:tcBorders>
            <w:vAlign w:val="bottom"/>
          </w:tcPr>
          <w:p w14:paraId="2C02BDCE">
            <w:pPr>
              <w:widowControl/>
              <w:spacing w:line="240" w:lineRule="auto"/>
              <w:ind w:firstLine="0" w:firstLineChars="0"/>
              <w:rPr>
                <w:color w:val="auto"/>
                <w:kern w:val="0"/>
                <w:szCs w:val="21"/>
                <w:highlight w:val="none"/>
              </w:rPr>
            </w:pPr>
            <w:r>
              <w:rPr>
                <w:color w:val="auto"/>
                <w:kern w:val="0"/>
                <w:szCs w:val="21"/>
                <w:highlight w:val="none"/>
              </w:rPr>
              <w:t>开户银行：</w:t>
            </w:r>
          </w:p>
        </w:tc>
        <w:tc>
          <w:tcPr>
            <w:tcW w:w="2854" w:type="dxa"/>
            <w:tcBorders>
              <w:top w:val="nil"/>
              <w:left w:val="nil"/>
              <w:bottom w:val="nil"/>
              <w:right w:val="nil"/>
            </w:tcBorders>
            <w:vAlign w:val="center"/>
          </w:tcPr>
          <w:p w14:paraId="00385491">
            <w:pPr>
              <w:widowControl/>
              <w:spacing w:line="240" w:lineRule="auto"/>
              <w:ind w:firstLine="0" w:firstLineChars="0"/>
              <w:jc w:val="right"/>
              <w:rPr>
                <w:color w:val="auto"/>
                <w:kern w:val="0"/>
                <w:szCs w:val="21"/>
                <w:highlight w:val="none"/>
              </w:rPr>
            </w:pPr>
            <w:r>
              <w:rPr>
                <w:color w:val="auto"/>
                <w:kern w:val="0"/>
                <w:szCs w:val="21"/>
                <w:highlight w:val="none"/>
              </w:rPr>
              <w:t>项目验收组成员（签名）：</w:t>
            </w:r>
          </w:p>
        </w:tc>
        <w:tc>
          <w:tcPr>
            <w:tcW w:w="754" w:type="dxa"/>
            <w:tcBorders>
              <w:top w:val="nil"/>
              <w:left w:val="nil"/>
              <w:bottom w:val="nil"/>
              <w:right w:val="nil"/>
            </w:tcBorders>
            <w:vAlign w:val="bottom"/>
          </w:tcPr>
          <w:p w14:paraId="0C10F228">
            <w:pPr>
              <w:widowControl/>
              <w:spacing w:line="240" w:lineRule="auto"/>
              <w:ind w:firstLine="0" w:firstLineChars="0"/>
              <w:rPr>
                <w:color w:val="auto"/>
                <w:kern w:val="0"/>
                <w:szCs w:val="21"/>
                <w:highlight w:val="none"/>
              </w:rPr>
            </w:pPr>
          </w:p>
        </w:tc>
        <w:tc>
          <w:tcPr>
            <w:tcW w:w="944" w:type="dxa"/>
            <w:tcBorders>
              <w:top w:val="nil"/>
              <w:left w:val="nil"/>
              <w:bottom w:val="nil"/>
              <w:right w:val="nil"/>
            </w:tcBorders>
            <w:vAlign w:val="bottom"/>
          </w:tcPr>
          <w:p w14:paraId="012693D8">
            <w:pPr>
              <w:widowControl/>
              <w:spacing w:line="240" w:lineRule="auto"/>
              <w:ind w:firstLine="0" w:firstLineChars="0"/>
              <w:rPr>
                <w:color w:val="auto"/>
                <w:kern w:val="0"/>
                <w:szCs w:val="21"/>
                <w:highlight w:val="none"/>
              </w:rPr>
            </w:pPr>
          </w:p>
        </w:tc>
        <w:tc>
          <w:tcPr>
            <w:tcW w:w="1031" w:type="dxa"/>
            <w:tcBorders>
              <w:top w:val="nil"/>
              <w:left w:val="nil"/>
              <w:bottom w:val="nil"/>
              <w:right w:val="single" w:color="auto" w:sz="4" w:space="0"/>
            </w:tcBorders>
            <w:vAlign w:val="bottom"/>
          </w:tcPr>
          <w:p w14:paraId="400286DF">
            <w:pPr>
              <w:widowControl/>
              <w:spacing w:line="240" w:lineRule="auto"/>
              <w:ind w:firstLine="0" w:firstLineChars="0"/>
              <w:rPr>
                <w:color w:val="auto"/>
                <w:kern w:val="0"/>
                <w:szCs w:val="21"/>
                <w:highlight w:val="none"/>
              </w:rPr>
            </w:pPr>
            <w:r>
              <w:rPr>
                <w:color w:val="auto"/>
                <w:kern w:val="0"/>
                <w:szCs w:val="21"/>
                <w:highlight w:val="none"/>
              </w:rPr>
              <w:t>　</w:t>
            </w:r>
          </w:p>
        </w:tc>
      </w:tr>
      <w:tr w14:paraId="513EB211">
        <w:tblPrEx>
          <w:tblCellMar>
            <w:top w:w="0" w:type="dxa"/>
            <w:left w:w="108" w:type="dxa"/>
            <w:bottom w:w="0" w:type="dxa"/>
            <w:right w:w="108" w:type="dxa"/>
          </w:tblCellMar>
        </w:tblPrEx>
        <w:trPr>
          <w:trHeight w:val="394" w:hRule="atLeast"/>
        </w:trPr>
        <w:tc>
          <w:tcPr>
            <w:tcW w:w="2724" w:type="dxa"/>
            <w:tcBorders>
              <w:top w:val="nil"/>
              <w:left w:val="single" w:color="auto" w:sz="4" w:space="0"/>
              <w:bottom w:val="single" w:color="auto" w:sz="4" w:space="0"/>
              <w:right w:val="nil"/>
            </w:tcBorders>
            <w:vAlign w:val="center"/>
          </w:tcPr>
          <w:p w14:paraId="72FE5AC7">
            <w:pPr>
              <w:widowControl/>
              <w:spacing w:line="240" w:lineRule="auto"/>
              <w:ind w:firstLine="0" w:firstLineChars="0"/>
              <w:rPr>
                <w:color w:val="auto"/>
                <w:kern w:val="0"/>
                <w:szCs w:val="21"/>
                <w:highlight w:val="none"/>
              </w:rPr>
            </w:pPr>
            <w:r>
              <w:rPr>
                <w:color w:val="auto"/>
                <w:kern w:val="0"/>
                <w:szCs w:val="21"/>
                <w:highlight w:val="none"/>
              </w:rPr>
              <w:t>银行帐号：</w:t>
            </w:r>
          </w:p>
        </w:tc>
        <w:tc>
          <w:tcPr>
            <w:tcW w:w="2854" w:type="dxa"/>
            <w:tcBorders>
              <w:top w:val="nil"/>
              <w:left w:val="nil"/>
              <w:bottom w:val="single" w:color="auto" w:sz="4" w:space="0"/>
              <w:right w:val="nil"/>
            </w:tcBorders>
            <w:vAlign w:val="bottom"/>
          </w:tcPr>
          <w:p w14:paraId="22ED8C37">
            <w:pPr>
              <w:widowControl/>
              <w:spacing w:line="240" w:lineRule="auto"/>
              <w:ind w:firstLine="0" w:firstLineChars="0"/>
              <w:rPr>
                <w:color w:val="auto"/>
                <w:kern w:val="0"/>
                <w:szCs w:val="21"/>
                <w:highlight w:val="none"/>
              </w:rPr>
            </w:pPr>
            <w:r>
              <w:rPr>
                <w:color w:val="auto"/>
                <w:kern w:val="0"/>
                <w:szCs w:val="21"/>
                <w:highlight w:val="none"/>
              </w:rPr>
              <w:t>　</w:t>
            </w:r>
          </w:p>
        </w:tc>
        <w:tc>
          <w:tcPr>
            <w:tcW w:w="2729" w:type="dxa"/>
            <w:gridSpan w:val="3"/>
            <w:tcBorders>
              <w:top w:val="nil"/>
              <w:left w:val="nil"/>
              <w:bottom w:val="single" w:color="auto" w:sz="4" w:space="0"/>
              <w:right w:val="single" w:color="000000" w:sz="4" w:space="0"/>
            </w:tcBorders>
            <w:vAlign w:val="center"/>
          </w:tcPr>
          <w:p w14:paraId="0E28E0A4">
            <w:pPr>
              <w:widowControl/>
              <w:spacing w:line="240" w:lineRule="auto"/>
              <w:ind w:firstLine="0" w:firstLineChars="0"/>
              <w:rPr>
                <w:color w:val="auto"/>
                <w:kern w:val="0"/>
                <w:szCs w:val="21"/>
                <w:highlight w:val="none"/>
              </w:rPr>
            </w:pPr>
            <w:r>
              <w:rPr>
                <w:color w:val="auto"/>
                <w:kern w:val="0"/>
                <w:szCs w:val="21"/>
                <w:highlight w:val="none"/>
              </w:rPr>
              <w:t>验收时间：       年     月     日</w:t>
            </w:r>
          </w:p>
        </w:tc>
      </w:tr>
      <w:tr w14:paraId="1D3BDACC">
        <w:tblPrEx>
          <w:tblCellMar>
            <w:top w:w="0" w:type="dxa"/>
            <w:left w:w="108" w:type="dxa"/>
            <w:bottom w:w="0" w:type="dxa"/>
            <w:right w:w="108" w:type="dxa"/>
          </w:tblCellMar>
        </w:tblPrEx>
        <w:trPr>
          <w:trHeight w:val="200" w:hRule="atLeast"/>
        </w:trPr>
        <w:tc>
          <w:tcPr>
            <w:tcW w:w="8307" w:type="dxa"/>
            <w:gridSpan w:val="5"/>
            <w:tcBorders>
              <w:top w:val="single" w:color="auto" w:sz="4" w:space="0"/>
              <w:left w:val="nil"/>
              <w:bottom w:val="nil"/>
              <w:right w:val="nil"/>
            </w:tcBorders>
            <w:vAlign w:val="center"/>
          </w:tcPr>
          <w:p w14:paraId="6D4222BF">
            <w:pPr>
              <w:widowControl/>
              <w:spacing w:line="240" w:lineRule="auto"/>
              <w:ind w:firstLine="0" w:firstLineChars="0"/>
              <w:rPr>
                <w:color w:val="auto"/>
                <w:kern w:val="0"/>
                <w:szCs w:val="21"/>
                <w:highlight w:val="none"/>
              </w:rPr>
            </w:pPr>
            <w:r>
              <w:rPr>
                <w:color w:val="auto"/>
                <w:kern w:val="0"/>
                <w:szCs w:val="21"/>
                <w:highlight w:val="none"/>
              </w:rPr>
              <w:t>本单一式四联：第一联采购人留存，第二联作为财政支付凭证，第三联供货单位留存。</w:t>
            </w:r>
          </w:p>
        </w:tc>
      </w:tr>
    </w:tbl>
    <w:p w14:paraId="1C457CAF">
      <w:pPr>
        <w:pStyle w:val="30"/>
        <w:ind w:firstLine="420"/>
        <w:rPr>
          <w:color w:val="auto"/>
          <w:highlight w:val="none"/>
        </w:rPr>
      </w:pPr>
      <w:r>
        <w:rPr>
          <w:rFonts w:hint="eastAsia" w:hAnsi="宋体"/>
          <w:color w:val="auto"/>
          <w:highlight w:val="none"/>
        </w:rPr>
        <w:t xml:space="preserve"> </w:t>
      </w:r>
      <w:bookmarkEnd w:id="186"/>
      <w:r>
        <w:rPr>
          <w:color w:val="auto"/>
          <w:highlight w:val="none"/>
        </w:rPr>
        <w:br w:type="page"/>
      </w:r>
    </w:p>
    <w:p w14:paraId="16F3F8E6">
      <w:pPr>
        <w:pStyle w:val="2"/>
        <w:numPr>
          <w:ilvl w:val="0"/>
          <w:numId w:val="17"/>
        </w:numPr>
        <w:rPr>
          <w:rStyle w:val="66"/>
          <w:b/>
          <w:bCs/>
          <w:color w:val="auto"/>
          <w:highlight w:val="none"/>
        </w:rPr>
        <w:sectPr>
          <w:headerReference r:id="rId21" w:type="first"/>
          <w:footerReference r:id="rId22" w:type="default"/>
          <w:headerReference r:id="rId20" w:type="even"/>
          <w:pgSz w:w="11906" w:h="16838"/>
          <w:pgMar w:top="1474" w:right="1797" w:bottom="1247" w:left="1797" w:header="851" w:footer="851" w:gutter="0"/>
          <w:cols w:space="720" w:num="1"/>
          <w:docGrid w:linePitch="312" w:charSpace="0"/>
        </w:sectPr>
      </w:pPr>
    </w:p>
    <w:p w14:paraId="43475036">
      <w:pPr>
        <w:pStyle w:val="2"/>
        <w:numPr>
          <w:ilvl w:val="0"/>
          <w:numId w:val="3"/>
        </w:numPr>
        <w:rPr>
          <w:rStyle w:val="66"/>
          <w:b/>
          <w:bCs/>
          <w:color w:val="auto"/>
          <w:highlight w:val="none"/>
        </w:rPr>
      </w:pPr>
      <w:bookmarkStart w:id="205" w:name="_Toc13569"/>
      <w:r>
        <w:rPr>
          <w:rStyle w:val="66"/>
          <w:rFonts w:hint="eastAsia"/>
          <w:b/>
          <w:bCs/>
          <w:color w:val="auto"/>
          <w:highlight w:val="none"/>
        </w:rPr>
        <w:t>投标文件相关格式</w:t>
      </w:r>
      <w:bookmarkEnd w:id="180"/>
      <w:bookmarkEnd w:id="181"/>
      <w:bookmarkEnd w:id="205"/>
      <w:bookmarkStart w:id="206" w:name="_Toc430786287"/>
    </w:p>
    <w:bookmarkEnd w:id="206"/>
    <w:p w14:paraId="21DD0F52">
      <w:pPr>
        <w:pStyle w:val="4"/>
        <w:ind w:firstLine="420"/>
        <w:jc w:val="center"/>
        <w:rPr>
          <w:rFonts w:hint="eastAsia" w:ascii="微软雅黑" w:hAnsi="微软雅黑" w:cs="仿宋_GB2312"/>
          <w:color w:val="auto"/>
          <w:szCs w:val="21"/>
          <w:highlight w:val="none"/>
        </w:rPr>
      </w:pPr>
      <w:bookmarkStart w:id="207" w:name="_Toc28874"/>
      <w:bookmarkStart w:id="208" w:name="_Toc169015146"/>
      <w:bookmarkStart w:id="209" w:name="_Toc8473"/>
      <w:r>
        <w:rPr>
          <w:rFonts w:hint="eastAsia" w:ascii="微软雅黑" w:hAnsi="微软雅黑" w:cs="仿宋_GB2312"/>
          <w:color w:val="auto"/>
          <w:szCs w:val="21"/>
          <w:highlight w:val="none"/>
        </w:rPr>
        <w:t>资格文件部分</w:t>
      </w:r>
      <w:bookmarkEnd w:id="207"/>
      <w:bookmarkEnd w:id="208"/>
      <w:bookmarkEnd w:id="209"/>
    </w:p>
    <w:p w14:paraId="38A17F40">
      <w:pPr>
        <w:ind w:firstLine="420"/>
        <w:jc w:val="center"/>
        <w:outlineLvl w:val="0"/>
        <w:rPr>
          <w:rFonts w:hint="eastAsia" w:ascii="微软雅黑" w:hAnsi="微软雅黑" w:cs="仿宋_GB2312"/>
          <w:b/>
          <w:color w:val="auto"/>
          <w:kern w:val="0"/>
          <w:szCs w:val="21"/>
          <w:highlight w:val="none"/>
        </w:rPr>
      </w:pPr>
      <w:bookmarkStart w:id="210" w:name="_Toc24210"/>
      <w:bookmarkStart w:id="211" w:name="_Toc164943223"/>
      <w:bookmarkStart w:id="212" w:name="_Toc169015147"/>
      <w:bookmarkStart w:id="213" w:name="_Toc2384"/>
      <w:bookmarkStart w:id="214" w:name="_Toc32088"/>
      <w:r>
        <w:rPr>
          <w:rFonts w:hint="eastAsia" w:ascii="微软雅黑" w:hAnsi="微软雅黑" w:cs="仿宋_GB2312"/>
          <w:b/>
          <w:color w:val="auto"/>
          <w:kern w:val="0"/>
          <w:szCs w:val="21"/>
          <w:highlight w:val="none"/>
        </w:rPr>
        <w:t>目录</w:t>
      </w:r>
      <w:bookmarkEnd w:id="210"/>
      <w:bookmarkEnd w:id="211"/>
      <w:bookmarkEnd w:id="212"/>
      <w:bookmarkEnd w:id="213"/>
      <w:bookmarkEnd w:id="214"/>
    </w:p>
    <w:p w14:paraId="269B98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（1）符合参加政府采购活动应当具备的一般条件的承诺函……………（页码）</w:t>
      </w:r>
    </w:p>
    <w:p w14:paraId="5CB43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宋体"/>
          <w:color w:val="auto"/>
          <w:kern w:val="0"/>
          <w:szCs w:val="21"/>
          <w:highlight w:val="none"/>
        </w:rPr>
      </w:pPr>
      <w:r>
        <w:rPr>
          <w:rFonts w:hint="eastAsia" w:ascii="微软雅黑" w:hAnsi="微软雅黑" w:cs="微软雅黑"/>
          <w:color w:val="auto"/>
          <w:kern w:val="0"/>
          <w:szCs w:val="21"/>
          <w:highlight w:val="none"/>
        </w:rPr>
        <w:t>（2）</w:t>
      </w:r>
      <w:r>
        <w:rPr>
          <w:rFonts w:hint="eastAsia" w:ascii="微软雅黑" w:hAnsi="微软雅黑" w:cs="宋体"/>
          <w:color w:val="auto"/>
          <w:kern w:val="0"/>
          <w:szCs w:val="21"/>
          <w:highlight w:val="none"/>
        </w:rPr>
        <w:t>企业法人营业执照副本复印件………………………………（页码）</w:t>
      </w:r>
    </w:p>
    <w:p w14:paraId="6536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default" w:ascii="微软雅黑" w:hAnsi="微软雅黑" w:eastAsia="微软雅黑" w:cs="宋体"/>
          <w:color w:val="auto"/>
          <w:kern w:val="0"/>
          <w:szCs w:val="21"/>
          <w:highlight w:val="none"/>
          <w:lang w:val="en-US" w:eastAsia="zh-CN"/>
        </w:rPr>
      </w:pPr>
      <w:r>
        <w:rPr>
          <w:rFonts w:hint="eastAsia" w:ascii="微软雅黑" w:hAnsi="微软雅黑" w:cs="宋体"/>
          <w:color w:val="auto"/>
          <w:kern w:val="0"/>
          <w:szCs w:val="21"/>
          <w:highlight w:val="none"/>
          <w:lang w:eastAsia="zh-CN"/>
        </w:rPr>
        <w:t>（</w:t>
      </w:r>
      <w:r>
        <w:rPr>
          <w:rFonts w:hint="eastAsia" w:ascii="微软雅黑" w:hAnsi="微软雅黑" w:cs="宋体"/>
          <w:color w:val="auto"/>
          <w:kern w:val="0"/>
          <w:szCs w:val="21"/>
          <w:highlight w:val="none"/>
          <w:lang w:val="en-US" w:eastAsia="zh-CN"/>
        </w:rPr>
        <w:t>3</w:t>
      </w:r>
      <w:r>
        <w:rPr>
          <w:rFonts w:hint="eastAsia" w:ascii="微软雅黑" w:hAnsi="微软雅黑" w:cs="宋体"/>
          <w:color w:val="auto"/>
          <w:kern w:val="0"/>
          <w:szCs w:val="21"/>
          <w:highlight w:val="none"/>
          <w:lang w:eastAsia="zh-CN"/>
        </w:rPr>
        <w:t>）</w:t>
      </w:r>
      <w:r>
        <w:rPr>
          <w:rFonts w:hint="eastAsia" w:ascii="微软雅黑" w:hAnsi="微软雅黑" w:cs="宋体"/>
          <w:color w:val="auto"/>
          <w:kern w:val="0"/>
          <w:szCs w:val="21"/>
          <w:highlight w:val="none"/>
          <w:lang w:val="en-US" w:eastAsia="zh-CN"/>
        </w:rPr>
        <w:t>特定资格要求证明材料</w:t>
      </w:r>
      <w:r>
        <w:rPr>
          <w:rFonts w:hint="eastAsia" w:ascii="微软雅黑" w:hAnsi="微软雅黑" w:cs="宋体"/>
          <w:color w:val="auto"/>
          <w:kern w:val="0"/>
          <w:szCs w:val="21"/>
          <w:highlight w:val="none"/>
        </w:rPr>
        <w:t>………………………………（页码）</w:t>
      </w:r>
    </w:p>
    <w:p w14:paraId="7B5F193E">
      <w:pPr>
        <w:pStyle w:val="22"/>
        <w:ind w:firstLine="404"/>
        <w:rPr>
          <w:rFonts w:hint="eastAsia" w:ascii="微软雅黑" w:hAnsi="微软雅黑" w:cs="仿宋_GB2312"/>
          <w:color w:val="auto"/>
          <w:sz w:val="21"/>
          <w:szCs w:val="21"/>
          <w:highlight w:val="none"/>
        </w:rPr>
      </w:pPr>
    </w:p>
    <w:p w14:paraId="0A585DC8">
      <w:pPr>
        <w:snapToGrid w:val="0"/>
        <w:ind w:right="480" w:firstLine="420"/>
        <w:jc w:val="both"/>
        <w:outlineLvl w:val="1"/>
        <w:rPr>
          <w:rFonts w:hint="eastAsia" w:ascii="微软雅黑" w:hAnsi="微软雅黑" w:cs="仿宋_GB2312"/>
          <w:b/>
          <w:color w:val="auto"/>
          <w:kern w:val="0"/>
          <w:szCs w:val="21"/>
          <w:highlight w:val="none"/>
        </w:rPr>
      </w:pPr>
      <w:bookmarkStart w:id="215" w:name="_Toc9621"/>
      <w:bookmarkStart w:id="216" w:name="_Toc10615"/>
      <w:r>
        <w:rPr>
          <w:rFonts w:ascii="微软雅黑" w:hAnsi="微软雅黑" w:cs="仿宋_GB2312"/>
          <w:b/>
          <w:color w:val="auto"/>
          <w:kern w:val="0"/>
          <w:szCs w:val="21"/>
          <w:highlight w:val="none"/>
        </w:rPr>
        <w:t>一、 符合参加政府采购活动应当具备的一般条件的承诺函</w:t>
      </w:r>
      <w:bookmarkEnd w:id="215"/>
      <w:bookmarkEnd w:id="216"/>
    </w:p>
    <w:p w14:paraId="7B1277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u w:val="single"/>
        </w:rPr>
        <w:t>（采购人）、（采购代理机构）</w:t>
      </w:r>
      <w:r>
        <w:rPr>
          <w:rFonts w:hint="eastAsia" w:ascii="微软雅黑" w:hAnsi="微软雅黑" w:cs="宋体"/>
          <w:color w:val="auto"/>
          <w:kern w:val="0"/>
          <w:szCs w:val="21"/>
          <w:highlight w:val="none"/>
        </w:rPr>
        <w:t>：</w:t>
      </w:r>
    </w:p>
    <w:p w14:paraId="0E8626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我方参与（项目名称）【项目编号】政府采购活动，郑重承诺：</w:t>
      </w:r>
    </w:p>
    <w:p w14:paraId="4B84AE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（一）具备《中华人民共和国政府采购法》第二十二条第一款规定的条件：</w:t>
      </w:r>
    </w:p>
    <w:p w14:paraId="3C34BC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1、具有独立承担民事责任的能力；</w:t>
      </w:r>
    </w:p>
    <w:p w14:paraId="4E2338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 xml:space="preserve">2、具有良好的商业信誉和健全的财务会计制度； </w:t>
      </w:r>
    </w:p>
    <w:p w14:paraId="382840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3、具有履行合同所必需的设备和专业技术能力；</w:t>
      </w:r>
    </w:p>
    <w:p w14:paraId="7B379D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4、有依法缴纳税收和社会保障资金的良好记录；</w:t>
      </w:r>
    </w:p>
    <w:p w14:paraId="1FAE3E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5、参加政府采购活动前三年内，在经营活动中没有重大违法记录；</w:t>
      </w:r>
    </w:p>
    <w:p w14:paraId="7AA3A4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6、具有法律、行政法规规定的其他条件。</w:t>
      </w:r>
    </w:p>
    <w:p w14:paraId="72DA9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（二）未被信用中国（www.creditchina.gov.cn)、中国政府采购网（www.ccgp.gov.cn）列入失信被执行人、重大税收违法案件当事人名单、政府采购严重违法失信行为记录名单。</w:t>
      </w:r>
    </w:p>
    <w:p w14:paraId="47F341E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（三）不存在以下情况：</w:t>
      </w:r>
    </w:p>
    <w:p w14:paraId="5A34D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1、单位负责人为同一人或者存在直接控股、管理关系的不同供应商参加同一合同项下的政府采购活动的；</w:t>
      </w:r>
    </w:p>
    <w:p w14:paraId="37C05D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2、为采购项目提供整体设计、规范编制或者项目管理、监理、检测等服务后再参加该采购项目的其他采购活动的。</w:t>
      </w:r>
    </w:p>
    <w:p w14:paraId="69D353BA">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6B3FF9A8">
      <w:pPr>
        <w:pStyle w:val="121"/>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1059A23D">
      <w:pPr>
        <w:pStyle w:val="121"/>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322A732B">
      <w:pPr>
        <w:snapToGrid w:val="0"/>
        <w:spacing w:before="50" w:after="50"/>
        <w:ind w:firstLine="0" w:firstLineChars="0"/>
        <w:rPr>
          <w:rFonts w:hint="eastAsia" w:ascii="微软雅黑" w:hAnsi="微软雅黑" w:cs="宋体"/>
          <w:b/>
          <w:color w:val="auto"/>
          <w:kern w:val="0"/>
          <w:szCs w:val="21"/>
          <w:highlight w:val="none"/>
        </w:rPr>
      </w:pPr>
      <w:r>
        <w:rPr>
          <w:rFonts w:hint="eastAsia" w:ascii="微软雅黑" w:hAnsi="微软雅黑" w:cs="宋体"/>
          <w:b/>
          <w:color w:val="auto"/>
          <w:kern w:val="0"/>
          <w:szCs w:val="21"/>
          <w:highlight w:val="none"/>
        </w:rPr>
        <w:t>二、 企业法人营业执照副本复印件</w:t>
      </w:r>
    </w:p>
    <w:p w14:paraId="523F4FEA">
      <w:pPr>
        <w:pStyle w:val="21"/>
        <w:ind w:firstLine="480"/>
        <w:rPr>
          <w:rFonts w:hint="eastAsia"/>
          <w:color w:val="auto"/>
          <w:highlight w:val="none"/>
        </w:rPr>
      </w:pPr>
    </w:p>
    <w:p w14:paraId="5A8A3D4E">
      <w:pPr>
        <w:ind w:firstLine="420"/>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商务技术文件部分</w:t>
      </w:r>
    </w:p>
    <w:p w14:paraId="045EB966">
      <w:pPr>
        <w:ind w:firstLine="420"/>
        <w:jc w:val="center"/>
        <w:outlineLvl w:val="0"/>
        <w:rPr>
          <w:rFonts w:hint="eastAsia" w:ascii="微软雅黑" w:hAnsi="微软雅黑" w:cs="宋体"/>
          <w:b/>
          <w:color w:val="auto"/>
          <w:kern w:val="0"/>
          <w:szCs w:val="21"/>
          <w:highlight w:val="none"/>
        </w:rPr>
      </w:pPr>
      <w:bookmarkStart w:id="217" w:name="_Toc16145"/>
      <w:bookmarkStart w:id="218" w:name="_Toc21948"/>
      <w:bookmarkStart w:id="219" w:name="_Toc169015148"/>
      <w:bookmarkStart w:id="220" w:name="_Toc164943225"/>
      <w:bookmarkStart w:id="221" w:name="_Toc15152"/>
      <w:r>
        <w:rPr>
          <w:rFonts w:hint="eastAsia" w:ascii="微软雅黑" w:hAnsi="微软雅黑" w:cs="宋体"/>
          <w:b/>
          <w:color w:val="auto"/>
          <w:kern w:val="0"/>
          <w:szCs w:val="21"/>
          <w:highlight w:val="none"/>
        </w:rPr>
        <w:t>目录</w:t>
      </w:r>
      <w:bookmarkEnd w:id="217"/>
      <w:bookmarkEnd w:id="218"/>
      <w:bookmarkEnd w:id="219"/>
      <w:bookmarkEnd w:id="220"/>
      <w:bookmarkEnd w:id="221"/>
    </w:p>
    <w:p w14:paraId="40FB2C49">
      <w:pPr>
        <w:numPr>
          <w:ilvl w:val="0"/>
          <w:numId w:val="18"/>
        </w:numPr>
        <w:ind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投标函……………………………………………………………………（页码）</w:t>
      </w:r>
    </w:p>
    <w:p w14:paraId="7EDEC921">
      <w:pPr>
        <w:numPr>
          <w:ilvl w:val="0"/>
          <w:numId w:val="18"/>
        </w:numPr>
        <w:ind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法定代表人授权委托书…………………………………………………（页码）</w:t>
      </w:r>
    </w:p>
    <w:p w14:paraId="43D6E44F">
      <w:pPr>
        <w:ind w:firstLine="420"/>
        <w:jc w:val="both"/>
        <w:rPr>
          <w:rFonts w:hint="eastAsia" w:ascii="微软雅黑" w:hAnsi="微软雅黑"/>
          <w:color w:val="auto"/>
          <w:szCs w:val="21"/>
          <w:highlight w:val="none"/>
        </w:rPr>
      </w:pPr>
      <w:r>
        <w:rPr>
          <w:rFonts w:hint="eastAsia" w:ascii="微软雅黑" w:hAnsi="微软雅黑" w:cs="宋体"/>
          <w:color w:val="auto"/>
          <w:szCs w:val="21"/>
          <w:highlight w:val="none"/>
        </w:rPr>
        <w:t>（3）政府采购活动现场确认声明书…………………………………………（页码）</w:t>
      </w:r>
    </w:p>
    <w:p w14:paraId="26018524">
      <w:pPr>
        <w:ind w:firstLine="42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（4）符合性审查资料…………………………………………………………（页码）</w:t>
      </w:r>
    </w:p>
    <w:p w14:paraId="235D72C6">
      <w:pPr>
        <w:ind w:firstLine="42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（5）评分对应表………………………………………………………………（页码）</w:t>
      </w:r>
    </w:p>
    <w:p w14:paraId="5308CE5A">
      <w:pPr>
        <w:ind w:firstLine="42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（6）商务响应表………………………………………………………………（页码）</w:t>
      </w:r>
    </w:p>
    <w:p w14:paraId="13E123EC">
      <w:pPr>
        <w:ind w:firstLine="420"/>
        <w:jc w:val="both"/>
        <w:rPr>
          <w:rFonts w:hint="eastAsia" w:ascii="微软雅黑" w:hAnsi="微软雅黑" w:cs="仿宋_GB2312"/>
          <w:b/>
          <w:color w:val="auto"/>
          <w:kern w:val="0"/>
          <w:szCs w:val="21"/>
          <w:highlight w:val="none"/>
        </w:rPr>
      </w:pP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7</w:t>
      </w:r>
      <w:r>
        <w:rPr>
          <w:rFonts w:hint="eastAsia" w:ascii="微软雅黑" w:hAnsi="微软雅黑" w:cs="宋体"/>
          <w:color w:val="auto"/>
          <w:szCs w:val="21"/>
          <w:highlight w:val="none"/>
          <w:lang w:val="zh-CN"/>
        </w:rPr>
        <w:t>）评标标准相应的商务技术资料</w:t>
      </w:r>
      <w:r>
        <w:rPr>
          <w:rFonts w:hint="eastAsia" w:ascii="微软雅黑" w:hAnsi="微软雅黑" w:cs="宋体"/>
          <w:color w:val="auto"/>
          <w:szCs w:val="21"/>
          <w:highlight w:val="none"/>
        </w:rPr>
        <w:t>…………………………………………（页码）</w:t>
      </w:r>
    </w:p>
    <w:p w14:paraId="0797D4CD">
      <w:pPr>
        <w:snapToGrid w:val="0"/>
        <w:spacing w:before="120" w:beforeLines="50" w:after="50"/>
        <w:ind w:firstLine="420"/>
        <w:jc w:val="center"/>
        <w:rPr>
          <w:rFonts w:hint="eastAsia" w:ascii="宋体" w:hAnsi="宋体"/>
          <w:b/>
          <w:color w:val="auto"/>
          <w:szCs w:val="21"/>
          <w:highlight w:val="none"/>
        </w:rPr>
        <w:sectPr>
          <w:footerReference r:id="rId23" w:type="default"/>
          <w:pgSz w:w="11906" w:h="16838"/>
          <w:pgMar w:top="1276" w:right="1418" w:bottom="1247" w:left="1418" w:header="851" w:footer="992" w:gutter="0"/>
          <w:cols w:space="720" w:num="1"/>
          <w:titlePg/>
          <w:docGrid w:linePitch="312" w:charSpace="0"/>
        </w:sectPr>
      </w:pPr>
    </w:p>
    <w:p w14:paraId="0D171804">
      <w:pPr>
        <w:snapToGrid w:val="0"/>
        <w:spacing w:before="120" w:beforeLines="50" w:after="50"/>
        <w:ind w:firstLine="420"/>
        <w:jc w:val="center"/>
        <w:outlineLvl w:val="1"/>
        <w:rPr>
          <w:rFonts w:hint="eastAsia" w:ascii="宋体" w:hAnsi="宋体"/>
          <w:b/>
          <w:color w:val="auto"/>
          <w:szCs w:val="21"/>
          <w:highlight w:val="none"/>
        </w:rPr>
      </w:pPr>
      <w:bookmarkStart w:id="222" w:name="_Toc31159"/>
      <w:bookmarkStart w:id="223" w:name="_Toc9182"/>
      <w:r>
        <w:rPr>
          <w:rFonts w:hint="eastAsia" w:ascii="宋体" w:hAnsi="宋体"/>
          <w:b/>
          <w:color w:val="auto"/>
          <w:szCs w:val="21"/>
          <w:highlight w:val="none"/>
        </w:rPr>
        <w:t>一、投标函</w:t>
      </w:r>
      <w:bookmarkEnd w:id="222"/>
      <w:bookmarkEnd w:id="223"/>
    </w:p>
    <w:p w14:paraId="4A011AF5">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u w:val="single"/>
        </w:rPr>
        <w:t>（采购人）、（采购代理机构）</w:t>
      </w:r>
      <w:r>
        <w:rPr>
          <w:rFonts w:hint="eastAsia" w:ascii="微软雅黑" w:hAnsi="微软雅黑" w:cs="宋体"/>
          <w:color w:val="auto"/>
          <w:szCs w:val="21"/>
          <w:highlight w:val="none"/>
        </w:rPr>
        <w:t>：</w:t>
      </w:r>
    </w:p>
    <w:p w14:paraId="27740A1D">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我方参加你方组织的（项目名称）【项目编号】招标的有关活动，并对此项目进行投标。为此：</w:t>
      </w:r>
    </w:p>
    <w:p w14:paraId="29B4BD99">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1、我方承诺投标有效期从提交投标文件的截止之日起</w:t>
      </w:r>
      <w:r>
        <w:rPr>
          <w:rFonts w:hint="eastAsia" w:ascii="微软雅黑" w:hAnsi="微软雅黑" w:cs="宋体"/>
          <w:color w:val="auto"/>
          <w:szCs w:val="21"/>
          <w:highlight w:val="none"/>
          <w:u w:val="single"/>
        </w:rPr>
        <w:t xml:space="preserve">     </w:t>
      </w:r>
      <w:r>
        <w:rPr>
          <w:rFonts w:hint="eastAsia" w:ascii="微软雅黑" w:hAnsi="微软雅黑" w:cs="宋体"/>
          <w:color w:val="auto"/>
          <w:szCs w:val="21"/>
          <w:highlight w:val="none"/>
        </w:rPr>
        <w:t>天（不少于90天），本投标文件在投标有效期满之前均具有约束力。</w:t>
      </w:r>
    </w:p>
    <w:p w14:paraId="15DA5FDD">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2、我方的投标文件包括以下内容：</w:t>
      </w:r>
    </w:p>
    <w:p w14:paraId="759C6D7C">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2.1资格文件：</w:t>
      </w:r>
    </w:p>
    <w:p w14:paraId="0D2123D6">
      <w:pPr>
        <w:snapToGrid w:val="0"/>
        <w:ind w:left="420" w:leftChars="200" w:firstLine="430" w:firstLineChars="205"/>
        <w:rPr>
          <w:rFonts w:hint="eastAsia" w:ascii="微软雅黑" w:hAnsi="微软雅黑" w:cs="宋体"/>
          <w:color w:val="auto"/>
          <w:szCs w:val="21"/>
          <w:highlight w:val="none"/>
        </w:rPr>
      </w:pPr>
      <w:r>
        <w:rPr>
          <w:rFonts w:hint="eastAsia" w:ascii="微软雅黑" w:hAnsi="微软雅黑" w:cs="宋体"/>
          <w:color w:val="auto"/>
          <w:szCs w:val="21"/>
          <w:highlight w:val="none"/>
        </w:rPr>
        <w:t>2.1.1符合参加政府采购活动应当具备的一般条件的承诺函；</w:t>
      </w:r>
    </w:p>
    <w:p w14:paraId="058B9E53">
      <w:pPr>
        <w:snapToGrid w:val="0"/>
        <w:ind w:left="420" w:leftChars="200" w:firstLine="430" w:firstLineChars="205"/>
        <w:rPr>
          <w:rFonts w:hint="eastAsia" w:ascii="微软雅黑" w:hAnsi="微软雅黑" w:cs="宋体"/>
          <w:color w:val="auto"/>
          <w:kern w:val="0"/>
          <w:szCs w:val="21"/>
          <w:highlight w:val="none"/>
        </w:rPr>
      </w:pPr>
      <w:r>
        <w:rPr>
          <w:rFonts w:hint="eastAsia" w:ascii="微软雅黑" w:hAnsi="微软雅黑" w:cs="宋体"/>
          <w:color w:val="auto"/>
          <w:szCs w:val="21"/>
          <w:highlight w:val="none"/>
        </w:rPr>
        <w:t>2.1.2</w:t>
      </w:r>
      <w:r>
        <w:rPr>
          <w:rFonts w:hint="eastAsia" w:ascii="微软雅黑" w:hAnsi="微软雅黑" w:cs="宋体"/>
          <w:color w:val="auto"/>
          <w:kern w:val="0"/>
          <w:szCs w:val="21"/>
          <w:highlight w:val="none"/>
        </w:rPr>
        <w:t>企业法人营业执照副本复印件</w:t>
      </w:r>
    </w:p>
    <w:p w14:paraId="007BAD8B">
      <w:pPr>
        <w:snapToGrid w:val="0"/>
        <w:ind w:left="420" w:leftChars="200" w:firstLine="430" w:firstLineChars="205"/>
        <w:rPr>
          <w:rFonts w:hint="default" w:ascii="微软雅黑" w:hAnsi="微软雅黑" w:eastAsia="微软雅黑" w:cs="宋体"/>
          <w:color w:val="auto"/>
          <w:kern w:val="0"/>
          <w:szCs w:val="21"/>
          <w:highlight w:val="none"/>
          <w:lang w:val="en-US" w:eastAsia="zh-CN"/>
        </w:rPr>
      </w:pPr>
      <w:r>
        <w:rPr>
          <w:rFonts w:hint="eastAsia" w:ascii="微软雅黑" w:hAnsi="微软雅黑" w:cs="宋体"/>
          <w:color w:val="auto"/>
          <w:szCs w:val="21"/>
          <w:highlight w:val="none"/>
        </w:rPr>
        <w:t>2.1.</w:t>
      </w:r>
      <w:r>
        <w:rPr>
          <w:rFonts w:hint="eastAsia" w:ascii="微软雅黑" w:hAnsi="微软雅黑" w:cs="宋体"/>
          <w:color w:val="auto"/>
          <w:szCs w:val="21"/>
          <w:highlight w:val="none"/>
          <w:lang w:val="en-US" w:eastAsia="zh-CN"/>
        </w:rPr>
        <w:t>3特定资格要求证明材料</w:t>
      </w:r>
    </w:p>
    <w:p w14:paraId="00B1E0A9">
      <w:pPr>
        <w:snapToGrid w:val="0"/>
        <w:ind w:left="210" w:leftChars="100" w:firstLine="420"/>
        <w:rPr>
          <w:rFonts w:hint="eastAsia" w:ascii="微软雅黑" w:hAnsi="微软雅黑" w:cs="宋体"/>
          <w:color w:val="auto"/>
          <w:szCs w:val="21"/>
          <w:highlight w:val="none"/>
          <w:lang w:val="zh-CN"/>
        </w:rPr>
      </w:pP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 xml:space="preserve"> </w:t>
      </w:r>
      <w:r>
        <w:rPr>
          <w:rFonts w:hint="eastAsia" w:ascii="微软雅黑" w:hAnsi="微软雅黑" w:cs="宋体"/>
          <w:color w:val="auto"/>
          <w:szCs w:val="21"/>
          <w:highlight w:val="none"/>
        </w:rPr>
        <w:t>商务技术</w:t>
      </w:r>
      <w:r>
        <w:rPr>
          <w:rFonts w:hint="eastAsia" w:ascii="微软雅黑" w:hAnsi="微软雅黑" w:cs="宋体"/>
          <w:color w:val="auto"/>
          <w:szCs w:val="21"/>
          <w:highlight w:val="none"/>
          <w:lang w:val="zh-CN"/>
        </w:rPr>
        <w:t>文件：</w:t>
      </w:r>
    </w:p>
    <w:p w14:paraId="43047242">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2.2.1投标函；</w:t>
      </w:r>
      <w:r>
        <w:rPr>
          <w:rFonts w:hint="eastAsia" w:ascii="微软雅黑" w:hAnsi="微软雅黑" w:cs="宋体"/>
          <w:color w:val="auto"/>
          <w:szCs w:val="21"/>
          <w:highlight w:val="none"/>
          <w:lang w:val="zh-CN"/>
        </w:rPr>
        <w:t xml:space="preserve"> </w:t>
      </w:r>
    </w:p>
    <w:p w14:paraId="1CA03708">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2.2.2授权委托书或法定代表人（单位负责人）身份证明；</w:t>
      </w:r>
    </w:p>
    <w:p w14:paraId="496BDFCF">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2.2.3政府采购活动现场确认声明书；</w:t>
      </w:r>
    </w:p>
    <w:p w14:paraId="4A75E0FD">
      <w:pPr>
        <w:snapToGrid w:val="0"/>
        <w:ind w:firstLine="840" w:firstLineChars="400"/>
        <w:rPr>
          <w:rFonts w:hint="eastAsia" w:ascii="微软雅黑" w:hAnsi="微软雅黑" w:cs="宋体"/>
          <w:color w:val="auto"/>
          <w:szCs w:val="21"/>
          <w:highlight w:val="none"/>
        </w:rPr>
      </w:pPr>
      <w:r>
        <w:rPr>
          <w:rFonts w:hint="eastAsia" w:ascii="微软雅黑" w:hAnsi="微软雅黑" w:cs="宋体"/>
          <w:color w:val="auto"/>
          <w:szCs w:val="21"/>
          <w:highlight w:val="none"/>
        </w:rPr>
        <w:t>2.2.4符合性审查资料；</w:t>
      </w:r>
    </w:p>
    <w:p w14:paraId="27452D1E">
      <w:pPr>
        <w:snapToGrid w:val="0"/>
        <w:ind w:firstLine="840" w:firstLineChars="400"/>
        <w:rPr>
          <w:rFonts w:hint="eastAsia" w:ascii="微软雅黑" w:hAnsi="微软雅黑" w:cs="仿宋_GB2312"/>
          <w:color w:val="auto"/>
          <w:szCs w:val="21"/>
          <w:highlight w:val="none"/>
        </w:rPr>
      </w:pPr>
      <w:r>
        <w:rPr>
          <w:rFonts w:hint="eastAsia" w:ascii="微软雅黑" w:hAnsi="微软雅黑" w:cs="宋体"/>
          <w:color w:val="auto"/>
          <w:szCs w:val="21"/>
          <w:highlight w:val="none"/>
        </w:rPr>
        <w:t>2.2.5商</w:t>
      </w:r>
      <w:r>
        <w:rPr>
          <w:rFonts w:hint="eastAsia" w:ascii="微软雅黑" w:hAnsi="微软雅黑"/>
          <w:color w:val="auto"/>
          <w:szCs w:val="21"/>
          <w:highlight w:val="none"/>
        </w:rPr>
        <w:t>务响应表</w:t>
      </w:r>
      <w:r>
        <w:rPr>
          <w:rFonts w:ascii="微软雅黑" w:hAnsi="微软雅黑" w:cs="仿宋_GB2312"/>
          <w:color w:val="auto"/>
          <w:szCs w:val="21"/>
          <w:highlight w:val="none"/>
        </w:rPr>
        <w:t>；</w:t>
      </w:r>
    </w:p>
    <w:p w14:paraId="23E09E42">
      <w:pPr>
        <w:snapToGrid w:val="0"/>
        <w:ind w:firstLine="840" w:firstLineChars="400"/>
        <w:rPr>
          <w:rFonts w:hint="eastAsia" w:ascii="微软雅黑" w:hAnsi="微软雅黑" w:cs="宋体"/>
          <w:color w:val="auto"/>
          <w:szCs w:val="21"/>
          <w:highlight w:val="none"/>
        </w:rPr>
      </w:pPr>
      <w:r>
        <w:rPr>
          <w:rFonts w:hint="eastAsia" w:ascii="微软雅黑" w:hAnsi="微软雅黑" w:cs="宋体"/>
          <w:color w:val="auto"/>
          <w:szCs w:val="21"/>
          <w:highlight w:val="none"/>
        </w:rPr>
        <w:t>2.2.6技术响应表；</w:t>
      </w:r>
    </w:p>
    <w:p w14:paraId="7B2412F4">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2.2.7评标标准相应的商务技术资料；</w:t>
      </w:r>
    </w:p>
    <w:p w14:paraId="31F817B2">
      <w:pPr>
        <w:snapToGrid w:val="0"/>
        <w:ind w:firstLine="840" w:firstLineChars="400"/>
        <w:rPr>
          <w:rFonts w:hint="eastAsia" w:ascii="微软雅黑" w:hAnsi="微软雅黑" w:cs="宋体"/>
          <w:color w:val="auto"/>
          <w:szCs w:val="21"/>
          <w:highlight w:val="none"/>
          <w:lang w:val="en"/>
        </w:rPr>
      </w:pPr>
      <w:r>
        <w:rPr>
          <w:rFonts w:hint="eastAsia" w:ascii="微软雅黑" w:hAnsi="微软雅黑" w:cs="宋体"/>
          <w:color w:val="auto"/>
          <w:szCs w:val="21"/>
          <w:highlight w:val="none"/>
        </w:rPr>
        <w:t>2.2.8评分对应表</w:t>
      </w:r>
      <w:r>
        <w:rPr>
          <w:rFonts w:hint="eastAsia" w:ascii="微软雅黑" w:hAnsi="微软雅黑" w:cs="宋体"/>
          <w:color w:val="auto"/>
          <w:szCs w:val="21"/>
          <w:highlight w:val="none"/>
          <w:lang w:val="en"/>
        </w:rPr>
        <w:t>；</w:t>
      </w:r>
    </w:p>
    <w:p w14:paraId="15B1E7A6">
      <w:pPr>
        <w:snapToGrid w:val="0"/>
        <w:ind w:firstLine="840" w:firstLineChars="400"/>
        <w:rPr>
          <w:rFonts w:hint="eastAsia" w:ascii="微软雅黑" w:hAnsi="微软雅黑" w:cs="宋体"/>
          <w:color w:val="auto"/>
          <w:szCs w:val="21"/>
          <w:highlight w:val="none"/>
        </w:rPr>
      </w:pPr>
      <w:r>
        <w:rPr>
          <w:rFonts w:ascii="微软雅黑" w:hAnsi="微软雅黑" w:cs="宋体"/>
          <w:color w:val="auto"/>
          <w:szCs w:val="21"/>
          <w:highlight w:val="none"/>
          <w:lang w:val="en"/>
        </w:rPr>
        <w:t>2.2.</w:t>
      </w:r>
      <w:r>
        <w:rPr>
          <w:rFonts w:hint="eastAsia" w:ascii="微软雅黑" w:hAnsi="微软雅黑" w:cs="宋体"/>
          <w:color w:val="auto"/>
          <w:szCs w:val="21"/>
          <w:highlight w:val="none"/>
        </w:rPr>
        <w:t>9供应商认为需要提供的其他文件及资料（格式自拟）。</w:t>
      </w:r>
    </w:p>
    <w:p w14:paraId="651098EE">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3报价文件</w:t>
      </w:r>
    </w:p>
    <w:p w14:paraId="48C7C331">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2.3.1开标一览表（报价表）；</w:t>
      </w:r>
    </w:p>
    <w:p w14:paraId="72DFC33A">
      <w:pPr>
        <w:ind w:firstLine="840" w:firstLineChars="400"/>
        <w:rPr>
          <w:rFonts w:hint="eastAsia" w:ascii="微软雅黑" w:hAnsi="微软雅黑" w:cs="宋体"/>
          <w:color w:val="auto"/>
          <w:szCs w:val="21"/>
          <w:highlight w:val="none"/>
        </w:rPr>
      </w:pPr>
      <w:r>
        <w:rPr>
          <w:rFonts w:hint="eastAsia" w:ascii="微软雅黑" w:hAnsi="微软雅黑" w:cs="宋体"/>
          <w:color w:val="auto"/>
          <w:szCs w:val="21"/>
          <w:highlight w:val="none"/>
        </w:rPr>
        <w:t>2.3.2</w:t>
      </w:r>
      <w:r>
        <w:rPr>
          <w:rFonts w:hint="eastAsia" w:ascii="微软雅黑" w:hAnsi="微软雅黑"/>
          <w:color w:val="auto"/>
          <w:szCs w:val="21"/>
          <w:highlight w:val="none"/>
        </w:rPr>
        <w:t>中小企业声明函、残疾人福利性单位声明函及其他符合政策性加分条件的承诺函或证明材料。</w:t>
      </w:r>
    </w:p>
    <w:p w14:paraId="32981BBF">
      <w:pPr>
        <w:ind w:firstLine="840" w:firstLineChars="400"/>
        <w:rPr>
          <w:rFonts w:hint="eastAsia" w:ascii="微软雅黑" w:hAnsi="微软雅黑"/>
          <w:color w:val="auto"/>
          <w:szCs w:val="21"/>
          <w:highlight w:val="none"/>
        </w:rPr>
      </w:pPr>
      <w:r>
        <w:rPr>
          <w:rFonts w:hint="eastAsia" w:ascii="微软雅黑" w:hAnsi="微软雅黑"/>
          <w:color w:val="auto"/>
          <w:szCs w:val="21"/>
          <w:highlight w:val="none"/>
        </w:rPr>
        <w:t>2.3.3投标供应商针对报价需要说明的其他文件和说明。</w:t>
      </w:r>
    </w:p>
    <w:p w14:paraId="106D4C46">
      <w:pPr>
        <w:snapToGrid w:val="0"/>
        <w:ind w:left="420" w:leftChars="200" w:firstLine="420"/>
        <w:rPr>
          <w:rFonts w:hint="eastAsia" w:ascii="微软雅黑" w:hAnsi="微软雅黑" w:cs="宋体"/>
          <w:color w:val="auto"/>
          <w:szCs w:val="21"/>
          <w:highlight w:val="none"/>
        </w:rPr>
      </w:pPr>
      <w:r>
        <w:rPr>
          <w:rFonts w:hint="eastAsia" w:ascii="微软雅黑" w:hAnsi="微软雅黑"/>
          <w:b/>
          <w:bCs/>
          <w:color w:val="auto"/>
          <w:szCs w:val="21"/>
          <w:highlight w:val="none"/>
        </w:rPr>
        <w:t>法定代表人授权委托书、投标函、开标一览表必须有法定代表人或被</w:t>
      </w:r>
      <w:r>
        <w:rPr>
          <w:rFonts w:hint="eastAsia" w:ascii="微软雅黑" w:hAnsi="微软雅黑"/>
          <w:b/>
          <w:color w:val="auto"/>
          <w:szCs w:val="21"/>
          <w:highlight w:val="none"/>
        </w:rPr>
        <w:t>授权</w:t>
      </w:r>
      <w:r>
        <w:rPr>
          <w:rFonts w:hint="eastAsia" w:ascii="微软雅黑" w:hAnsi="微软雅黑"/>
          <w:b/>
          <w:bCs/>
          <w:color w:val="auto"/>
          <w:szCs w:val="21"/>
          <w:highlight w:val="none"/>
        </w:rPr>
        <w:t>人签字（或签章）并加盖单位公章。</w:t>
      </w:r>
    </w:p>
    <w:p w14:paraId="4C13E3C2">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3、我方承诺除商务技术响应表列出的偏离外，我方响应招标文件的全部要求。</w:t>
      </w:r>
    </w:p>
    <w:p w14:paraId="32156A83">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4、如我方中标，我方承诺：</w:t>
      </w:r>
    </w:p>
    <w:p w14:paraId="7AA3DFAE">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4.1在收到中标通知书后，在中标通知书规定的期限内与你方签订合同； </w:t>
      </w:r>
    </w:p>
    <w:p w14:paraId="7BC909F9">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4.2在签订合同时不向你方提出附加条件； </w:t>
      </w:r>
    </w:p>
    <w:p w14:paraId="6A9087B8">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4.3按照招标文件要求提交履约保证金； </w:t>
      </w:r>
    </w:p>
    <w:p w14:paraId="45B39E32">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4.4在合同约定的期限内完成合同规定的全部义务。 </w:t>
      </w:r>
    </w:p>
    <w:p w14:paraId="16C8C3C7">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5、其他补充说明:</w:t>
      </w:r>
      <w:r>
        <w:rPr>
          <w:rFonts w:hint="eastAsia" w:ascii="微软雅黑" w:hAnsi="微软雅黑" w:cs="宋体"/>
          <w:color w:val="auto"/>
          <w:szCs w:val="21"/>
          <w:highlight w:val="none"/>
          <w:u w:val="single"/>
        </w:rPr>
        <w:t xml:space="preserve">                                        </w:t>
      </w:r>
      <w:r>
        <w:rPr>
          <w:rFonts w:hint="eastAsia" w:ascii="微软雅黑" w:hAnsi="微软雅黑" w:cs="宋体"/>
          <w:color w:val="auto"/>
          <w:szCs w:val="21"/>
          <w:highlight w:val="none"/>
        </w:rPr>
        <w:t>。</w:t>
      </w:r>
    </w:p>
    <w:p w14:paraId="2F0B5414">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60A5523D">
      <w:pPr>
        <w:pStyle w:val="121"/>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4150D93C">
      <w:pPr>
        <w:pStyle w:val="121"/>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55AA9BED">
      <w:pPr>
        <w:snapToGrid w:val="0"/>
        <w:spacing w:before="120" w:beforeLines="50" w:after="50"/>
        <w:ind w:firstLine="640"/>
        <w:jc w:val="center"/>
        <w:rPr>
          <w:rFonts w:hint="eastAsia" w:ascii="宋体" w:hAnsi="宋体"/>
          <w:b/>
          <w:color w:val="auto"/>
          <w:sz w:val="32"/>
          <w:szCs w:val="32"/>
          <w:highlight w:val="none"/>
        </w:rPr>
      </w:pPr>
    </w:p>
    <w:p w14:paraId="722528C8">
      <w:pPr>
        <w:snapToGrid w:val="0"/>
        <w:spacing w:before="120" w:beforeLines="50" w:after="50"/>
        <w:ind w:firstLine="640"/>
        <w:jc w:val="center"/>
        <w:rPr>
          <w:rFonts w:hint="eastAsia" w:ascii="宋体" w:hAnsi="宋体"/>
          <w:b/>
          <w:color w:val="auto"/>
          <w:sz w:val="32"/>
          <w:szCs w:val="32"/>
          <w:highlight w:val="none"/>
        </w:rPr>
        <w:sectPr>
          <w:pgSz w:w="11906" w:h="16838"/>
          <w:pgMar w:top="1276" w:right="1418" w:bottom="1247" w:left="1418" w:header="851" w:footer="992" w:gutter="0"/>
          <w:cols w:space="720" w:num="1"/>
          <w:titlePg/>
          <w:docGrid w:linePitch="312" w:charSpace="0"/>
        </w:sectPr>
      </w:pPr>
    </w:p>
    <w:p w14:paraId="0791323D">
      <w:pPr>
        <w:snapToGrid w:val="0"/>
        <w:spacing w:before="120" w:beforeLines="50" w:after="50"/>
        <w:ind w:firstLine="420"/>
        <w:jc w:val="center"/>
        <w:outlineLvl w:val="1"/>
        <w:rPr>
          <w:rFonts w:hint="eastAsia" w:ascii="微软雅黑" w:hAnsi="微软雅黑"/>
          <w:b/>
          <w:color w:val="auto"/>
          <w:szCs w:val="21"/>
          <w:highlight w:val="none"/>
        </w:rPr>
      </w:pPr>
      <w:bookmarkStart w:id="224" w:name="_Toc316"/>
      <w:bookmarkStart w:id="225" w:name="_Toc8363"/>
      <w:r>
        <w:rPr>
          <w:rFonts w:hint="eastAsia" w:ascii="微软雅黑" w:hAnsi="微软雅黑"/>
          <w:b/>
          <w:color w:val="auto"/>
          <w:szCs w:val="21"/>
          <w:highlight w:val="none"/>
        </w:rPr>
        <w:t>二、法定代表人授权委托书</w:t>
      </w:r>
      <w:bookmarkEnd w:id="224"/>
      <w:bookmarkEnd w:id="225"/>
    </w:p>
    <w:p w14:paraId="68411591">
      <w:pPr>
        <w:snapToGrid w:val="0"/>
        <w:ind w:firstLine="420"/>
        <w:rPr>
          <w:rFonts w:hint="eastAsia" w:ascii="微软雅黑" w:hAnsi="微软雅黑" w:cs="宋体"/>
          <w:color w:val="auto"/>
          <w:szCs w:val="21"/>
          <w:highlight w:val="none"/>
          <w:u w:val="single"/>
        </w:rPr>
      </w:pPr>
      <w:r>
        <w:rPr>
          <w:rFonts w:hint="eastAsia" w:ascii="微软雅黑" w:hAnsi="微软雅黑" w:cs="宋体"/>
          <w:color w:val="auto"/>
          <w:szCs w:val="21"/>
          <w:highlight w:val="none"/>
          <w:u w:val="single"/>
        </w:rPr>
        <w:t>（采购人）、（采购代理机构）：</w:t>
      </w:r>
    </w:p>
    <w:p w14:paraId="23E5397D">
      <w:pPr>
        <w:snapToGrid w:val="0"/>
        <w:spacing w:before="120" w:beforeLines="50" w:after="50"/>
        <w:ind w:firstLine="630" w:firstLineChars="300"/>
        <w:rPr>
          <w:rFonts w:hint="eastAsia" w:ascii="宋体" w:hAnsi="宋体"/>
          <w:color w:val="auto"/>
          <w:szCs w:val="20"/>
          <w:highlight w:val="none"/>
        </w:rPr>
      </w:pPr>
      <w:r>
        <w:rPr>
          <w:rFonts w:hint="eastAsia" w:ascii="宋体" w:hAnsi="宋体"/>
          <w:color w:val="auto"/>
          <w:highlight w:val="none"/>
        </w:rPr>
        <w:t>我</w:t>
      </w:r>
      <w:r>
        <w:rPr>
          <w:rFonts w:hint="eastAsia" w:ascii="宋体" w:hAnsi="宋体"/>
          <w:color w:val="auto"/>
          <w:highlight w:val="none"/>
          <w:u w:val="single"/>
        </w:rPr>
        <w:t xml:space="preserve">              </w:t>
      </w:r>
      <w:r>
        <w:rPr>
          <w:rFonts w:hint="eastAsia" w:ascii="宋体" w:hAnsi="宋体"/>
          <w:color w:val="auto"/>
          <w:highlight w:val="none"/>
        </w:rPr>
        <w:t>（姓名）系</w:t>
      </w:r>
      <w:r>
        <w:rPr>
          <w:rFonts w:hint="eastAsia" w:ascii="宋体" w:hAnsi="宋体"/>
          <w:color w:val="auto"/>
          <w:highlight w:val="none"/>
          <w:u w:val="single"/>
        </w:rPr>
        <w:t xml:space="preserve">              </w:t>
      </w:r>
      <w:r>
        <w:rPr>
          <w:rFonts w:hint="eastAsia" w:ascii="宋体" w:hAnsi="宋体"/>
          <w:color w:val="auto"/>
          <w:highlight w:val="none"/>
        </w:rPr>
        <w:t>（投标供应商名称）的法定代表人，现授权委托（姓名）以我方的名义参加</w:t>
      </w:r>
      <w:r>
        <w:rPr>
          <w:rFonts w:hint="eastAsia" w:ascii="宋体" w:hAnsi="宋体"/>
          <w:color w:val="auto"/>
          <w:highlight w:val="none"/>
          <w:u w:val="single"/>
        </w:rPr>
        <w:t xml:space="preserve">                项目</w:t>
      </w:r>
      <w:r>
        <w:rPr>
          <w:rFonts w:hint="eastAsia" w:ascii="宋体" w:hAnsi="宋体"/>
          <w:color w:val="auto"/>
          <w:highlight w:val="none"/>
        </w:rPr>
        <w:t>的投标活动，并代表我方全权办理针对上述项目的投标、开标、评标、签约等具体事务和签署相关文件。</w:t>
      </w:r>
    </w:p>
    <w:p w14:paraId="2BDB33C6">
      <w:pPr>
        <w:snapToGrid w:val="0"/>
        <w:spacing w:before="120" w:beforeLines="50" w:after="50"/>
        <w:ind w:firstLine="420"/>
        <w:rPr>
          <w:rFonts w:hint="eastAsia" w:ascii="宋体" w:hAnsi="宋体"/>
          <w:color w:val="auto"/>
          <w:szCs w:val="20"/>
          <w:highlight w:val="none"/>
        </w:rPr>
      </w:pPr>
      <w:r>
        <w:rPr>
          <w:rFonts w:hint="eastAsia" w:ascii="宋体" w:hAnsi="宋体"/>
          <w:color w:val="auto"/>
          <w:highlight w:val="none"/>
        </w:rPr>
        <w:t>我方对被授权人的签字事项负全部责任。</w:t>
      </w:r>
    </w:p>
    <w:p w14:paraId="135DF1B9">
      <w:pPr>
        <w:snapToGrid w:val="0"/>
        <w:spacing w:before="120" w:beforeLines="50" w:after="50"/>
        <w:ind w:firstLine="420"/>
        <w:rPr>
          <w:rFonts w:hint="eastAsia" w:ascii="宋体" w:hAnsi="宋体"/>
          <w:color w:val="auto"/>
          <w:szCs w:val="20"/>
          <w:highlight w:val="none"/>
        </w:rPr>
      </w:pPr>
      <w:r>
        <w:rPr>
          <w:rFonts w:hint="eastAsia" w:ascii="宋体" w:hAnsi="宋体"/>
          <w:color w:val="auto"/>
          <w:highlight w:val="none"/>
          <w:u w:val="single"/>
        </w:rPr>
        <w:t>在撤销授权的书面通知以前，本授权书一直有效。</w:t>
      </w:r>
      <w:r>
        <w:rPr>
          <w:rFonts w:hint="eastAsia" w:ascii="宋体" w:hAnsi="宋体"/>
          <w:color w:val="auto"/>
          <w:highlight w:val="none"/>
        </w:rPr>
        <w:t>被授权人在授权书有效期内签署的所有文件不因授权的撤销而失效。</w:t>
      </w:r>
    </w:p>
    <w:p w14:paraId="160F01EE">
      <w:pPr>
        <w:snapToGrid w:val="0"/>
        <w:spacing w:before="120" w:beforeLines="50" w:after="50"/>
        <w:ind w:firstLine="420"/>
        <w:rPr>
          <w:rFonts w:hint="eastAsia" w:ascii="宋体" w:hAnsi="宋体"/>
          <w:color w:val="auto"/>
          <w:highlight w:val="none"/>
        </w:rPr>
      </w:pPr>
      <w:r>
        <w:rPr>
          <w:rFonts w:hint="eastAsia" w:ascii="宋体" w:hAnsi="宋体"/>
          <w:color w:val="auto"/>
          <w:highlight w:val="none"/>
        </w:rPr>
        <w:t>被授权人无转委托权，特此委托。</w:t>
      </w:r>
    </w:p>
    <w:p w14:paraId="58C9B205">
      <w:pPr>
        <w:snapToGrid w:val="0"/>
        <w:spacing w:before="120" w:beforeLines="50" w:after="50"/>
        <w:ind w:firstLine="420"/>
        <w:rPr>
          <w:rFonts w:hint="eastAsia" w:ascii="宋体" w:hAnsi="宋体"/>
          <w:color w:val="auto"/>
          <w:highlight w:val="none"/>
        </w:rPr>
      </w:pPr>
      <w:r>
        <w:rPr>
          <w:rFonts w:hint="eastAsia" w:ascii="宋体" w:hAnsi="宋体"/>
          <w:color w:val="auto"/>
          <w:highlight w:val="none"/>
        </w:rPr>
        <w:t>　身份证粘贴处：                   身份证粘贴处：</w:t>
      </w:r>
    </w:p>
    <w:p w14:paraId="4CBF4A40">
      <w:pPr>
        <w:snapToGrid w:val="0"/>
        <w:spacing w:before="120" w:beforeLines="50" w:after="50"/>
        <w:ind w:firstLine="420"/>
        <w:rPr>
          <w:rFonts w:hint="eastAsia" w:ascii="宋体" w:hAnsi="宋体"/>
          <w:color w:val="auto"/>
          <w:highlight w:val="none"/>
        </w:rPr>
      </w:pPr>
    </w:p>
    <w:p w14:paraId="61904A52">
      <w:pPr>
        <w:snapToGrid w:val="0"/>
        <w:spacing w:before="120" w:beforeLines="50" w:after="50"/>
        <w:ind w:firstLine="420"/>
        <w:rPr>
          <w:rFonts w:hint="eastAsia" w:ascii="宋体" w:hAnsi="宋体"/>
          <w:color w:val="auto"/>
          <w:szCs w:val="21"/>
          <w:highlight w:val="none"/>
          <w:u w:val="single"/>
        </w:rPr>
      </w:pPr>
      <w:r>
        <w:rPr>
          <w:rFonts w:hint="eastAsia" w:ascii="宋体" w:hAnsi="宋体"/>
          <w:color w:val="auto"/>
          <w:szCs w:val="21"/>
          <w:highlight w:val="none"/>
        </w:rPr>
        <w:t>法定代表人签字（或盖章）：          被授权人签字（或盖章）：</w:t>
      </w:r>
    </w:p>
    <w:p w14:paraId="77801A28">
      <w:pPr>
        <w:snapToGrid w:val="0"/>
        <w:spacing w:before="120" w:beforeLines="50" w:after="50"/>
        <w:ind w:firstLine="420"/>
        <w:rPr>
          <w:rFonts w:hint="eastAsia" w:ascii="宋体" w:hAnsi="宋体"/>
          <w:color w:val="auto"/>
          <w:szCs w:val="21"/>
          <w:highlight w:val="none"/>
          <w:u w:val="single"/>
        </w:rPr>
      </w:pPr>
      <w:r>
        <w:rPr>
          <w:rFonts w:hint="eastAsia" w:ascii="宋体" w:hAnsi="宋体"/>
          <w:color w:val="auto"/>
          <w:szCs w:val="21"/>
          <w:highlight w:val="none"/>
        </w:rPr>
        <w:t>职务：                              职务：</w:t>
      </w:r>
    </w:p>
    <w:p w14:paraId="211C000E">
      <w:pPr>
        <w:snapToGrid w:val="0"/>
        <w:spacing w:before="120" w:beforeLines="50" w:after="50"/>
        <w:ind w:firstLine="420"/>
        <w:rPr>
          <w:rFonts w:hint="eastAsia" w:ascii="宋体" w:hAnsi="宋体"/>
          <w:color w:val="auto"/>
          <w:szCs w:val="21"/>
          <w:highlight w:val="none"/>
        </w:rPr>
        <w:sectPr>
          <w:pgSz w:w="11906" w:h="16838"/>
          <w:pgMar w:top="1276" w:right="1418" w:bottom="1247" w:left="1418" w:header="851" w:footer="992" w:gutter="0"/>
          <w:cols w:space="720" w:num="1"/>
          <w:titlePg/>
          <w:docGrid w:linePitch="312" w:charSpace="0"/>
        </w:sectPr>
      </w:pPr>
      <w:r>
        <w:rPr>
          <w:rFonts w:hint="eastAsia" w:ascii="宋体" w:hAnsi="宋体" w:eastAsia="宋体" w:cs="宋体"/>
          <w:color w:val="auto"/>
          <w:szCs w:val="21"/>
          <w:highlight w:val="none"/>
        </w:rPr>
        <w:t>供应商名称（公章）</w:t>
      </w:r>
      <w:r>
        <w:rPr>
          <w:rFonts w:hint="eastAsia" w:ascii="宋体" w:hAnsi="宋体"/>
          <w:color w:val="auto"/>
          <w:szCs w:val="21"/>
          <w:highlight w:val="none"/>
        </w:rPr>
        <w:t>：               年  月  日</w:t>
      </w:r>
    </w:p>
    <w:p w14:paraId="0CFD2B54">
      <w:pPr>
        <w:snapToGrid w:val="0"/>
        <w:spacing w:before="120" w:beforeLines="50" w:after="50"/>
        <w:ind w:firstLine="420"/>
        <w:jc w:val="center"/>
        <w:outlineLvl w:val="1"/>
        <w:rPr>
          <w:rFonts w:hint="eastAsia" w:ascii="微软雅黑" w:hAnsi="微软雅黑"/>
          <w:b/>
          <w:color w:val="auto"/>
          <w:szCs w:val="21"/>
          <w:highlight w:val="none"/>
        </w:rPr>
      </w:pPr>
      <w:bookmarkStart w:id="226" w:name="_Toc1743"/>
      <w:bookmarkStart w:id="227" w:name="_Toc11546"/>
      <w:r>
        <w:rPr>
          <w:rFonts w:hint="eastAsia" w:ascii="微软雅黑" w:hAnsi="微软雅黑"/>
          <w:b/>
          <w:color w:val="auto"/>
          <w:szCs w:val="21"/>
          <w:highlight w:val="none"/>
        </w:rPr>
        <w:t>三、政府采购活动现场确认声明书</w:t>
      </w:r>
      <w:bookmarkEnd w:id="226"/>
      <w:bookmarkEnd w:id="227"/>
    </w:p>
    <w:p w14:paraId="6773F74D">
      <w:pPr>
        <w:snapToGrid w:val="0"/>
        <w:spacing w:before="120" w:beforeLines="50" w:after="50"/>
        <w:ind w:firstLine="420"/>
        <w:rPr>
          <w:rFonts w:hint="eastAsia" w:ascii="微软雅黑" w:hAnsi="微软雅黑"/>
          <w:color w:val="auto"/>
          <w:szCs w:val="21"/>
          <w:highlight w:val="none"/>
        </w:rPr>
      </w:pPr>
      <w:r>
        <w:rPr>
          <w:rFonts w:hint="eastAsia" w:ascii="微软雅黑" w:hAnsi="微软雅黑" w:cs="宋体"/>
          <w:color w:val="auto"/>
          <w:szCs w:val="21"/>
          <w:highlight w:val="none"/>
          <w:u w:val="single"/>
        </w:rPr>
        <w:t>（采购人）、（采购代理机构）：</w:t>
      </w:r>
      <w:r>
        <w:rPr>
          <w:rFonts w:hint="eastAsia" w:ascii="微软雅黑" w:hAnsi="微软雅黑"/>
          <w:color w:val="auto"/>
          <w:szCs w:val="21"/>
          <w:highlight w:val="none"/>
        </w:rPr>
        <w:t>:</w:t>
      </w:r>
    </w:p>
    <w:p w14:paraId="66E3313E">
      <w:pPr>
        <w:snapToGrid w:val="0"/>
        <w:spacing w:before="120" w:beforeLines="50" w:after="50"/>
        <w:ind w:firstLine="420"/>
        <w:rPr>
          <w:rFonts w:hint="eastAsia" w:ascii="微软雅黑" w:hAnsi="微软雅黑"/>
          <w:color w:val="auto"/>
          <w:szCs w:val="21"/>
          <w:highlight w:val="none"/>
        </w:rPr>
      </w:pPr>
      <w:r>
        <w:rPr>
          <w:rFonts w:ascii="微软雅黑" w:hAnsi="微软雅黑" w:cs="微软雅黑"/>
          <w:color w:val="auto"/>
          <w:szCs w:val="21"/>
          <w:highlight w:val="none"/>
          <w:lang w:bidi="ar"/>
        </w:rPr>
        <w:t>本人</w:t>
      </w:r>
      <w:r>
        <w:rPr>
          <w:rFonts w:ascii="微软雅黑" w:hAnsi="微软雅黑"/>
          <w:color w:val="auto"/>
          <w:szCs w:val="21"/>
          <w:highlight w:val="none"/>
          <w:lang w:bidi="ar"/>
        </w:rPr>
        <w:t xml:space="preserve"> </w:t>
      </w:r>
      <w:r>
        <w:rPr>
          <w:rFonts w:ascii="微软雅黑" w:hAnsi="微软雅黑" w:cs="微软雅黑"/>
          <w:color w:val="auto"/>
          <w:szCs w:val="21"/>
          <w:highlight w:val="none"/>
          <w:lang w:bidi="ar"/>
        </w:rPr>
        <w:t xml:space="preserve">____________（授权代表姓名），经由______________________________（单位） ____________ （法定代表人姓名）合法授权参加 </w:t>
      </w:r>
      <w:r>
        <w:rPr>
          <w:rFonts w:ascii="微软雅黑" w:hAnsi="微软雅黑"/>
          <w:color w:val="auto"/>
          <w:szCs w:val="21"/>
          <w:highlight w:val="none"/>
          <w:u w:val="single"/>
          <w:lang w:bidi="ar"/>
        </w:rPr>
        <w:t xml:space="preserve">                               </w:t>
      </w:r>
      <w:r>
        <w:rPr>
          <w:rFonts w:ascii="微软雅黑" w:hAnsi="微软雅黑" w:cs="微软雅黑"/>
          <w:color w:val="auto"/>
          <w:szCs w:val="21"/>
          <w:highlight w:val="none"/>
          <w:u w:val="single"/>
          <w:lang w:bidi="ar"/>
        </w:rPr>
        <w:t>（编号：</w:t>
      </w:r>
      <w:r>
        <w:rPr>
          <w:rFonts w:ascii="微软雅黑" w:hAnsi="微软雅黑"/>
          <w:color w:val="auto"/>
          <w:szCs w:val="21"/>
          <w:highlight w:val="none"/>
          <w:u w:val="single"/>
          <w:lang w:bidi="ar"/>
        </w:rPr>
        <w:t xml:space="preserve">       </w:t>
      </w:r>
      <w:r>
        <w:rPr>
          <w:rFonts w:ascii="微软雅黑" w:hAnsi="微软雅黑" w:cs="微软雅黑"/>
          <w:color w:val="auto"/>
          <w:szCs w:val="21"/>
          <w:highlight w:val="none"/>
          <w:u w:val="single"/>
          <w:lang w:bidi="ar"/>
        </w:rPr>
        <w:t>）</w:t>
      </w:r>
      <w:r>
        <w:rPr>
          <w:rFonts w:ascii="微软雅黑" w:hAnsi="微软雅黑" w:cs="微软雅黑"/>
          <w:color w:val="auto"/>
          <w:szCs w:val="21"/>
          <w:highlight w:val="none"/>
          <w:lang w:bidi="ar"/>
        </w:rPr>
        <w:t>政府采购活动．经与本单位法人代表（负责人）联系确认，现就有关公平竞争事项郑重声明如下:</w:t>
      </w:r>
    </w:p>
    <w:p w14:paraId="34E5036C">
      <w:pPr>
        <w:snapToGrid w:val="0"/>
        <w:spacing w:before="120" w:beforeLines="50" w:after="50"/>
        <w:ind w:firstLine="420"/>
        <w:outlineLvl w:val="1"/>
        <w:rPr>
          <w:rFonts w:hint="eastAsia" w:ascii="微软雅黑" w:hAnsi="微软雅黑"/>
          <w:color w:val="auto"/>
          <w:szCs w:val="21"/>
          <w:highlight w:val="none"/>
        </w:rPr>
      </w:pPr>
      <w:bookmarkStart w:id="228" w:name="_Toc12645"/>
      <w:bookmarkStart w:id="229" w:name="_Toc5627"/>
      <w:r>
        <w:rPr>
          <w:rFonts w:hint="eastAsia" w:ascii="微软雅黑" w:hAnsi="微软雅黑"/>
          <w:color w:val="auto"/>
          <w:szCs w:val="21"/>
          <w:highlight w:val="none"/>
        </w:rPr>
        <w:t>一、本单位与采购人之间口不存在利害关系口存在下列利害关系：</w:t>
      </w:r>
      <w:bookmarkEnd w:id="228"/>
      <w:bookmarkEnd w:id="229"/>
    </w:p>
    <w:p w14:paraId="50C10F4A">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A．投资关系 B．行政隶属关系 C．业务指导关系D．其他可能影响采购公正的利害关系（如有，请如实说明）。</w:t>
      </w:r>
    </w:p>
    <w:p w14:paraId="1974678C">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二、现己清楚知道参加本项目采购活动的其他所有供应商名称，本单位 口与其他所有供应商之间均不存在利害关系 口与______________（供应商名称）之间存在下列利害关系:</w:t>
      </w:r>
    </w:p>
    <w:p w14:paraId="21B51B49">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A．法定代表人或负责人或实际控制人是同一人</w:t>
      </w:r>
    </w:p>
    <w:p w14:paraId="3BE4868D">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B．法定代表人或负责人或实际控制人是夫妻关系</w:t>
      </w:r>
    </w:p>
    <w:p w14:paraId="490AB08E">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C．法定代表人或负责人或实际控制人是直系血亲关系</w:t>
      </w:r>
    </w:p>
    <w:p w14:paraId="3A240F8D">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D．法定代表人或负责人或实际控制人存在三代以内旁系血亲关系</w:t>
      </w:r>
    </w:p>
    <w:p w14:paraId="14757781">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E．法定代表人或负责人或实际控制人存在近姻亲关系</w:t>
      </w:r>
    </w:p>
    <w:p w14:paraId="79765D30">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F．法定代表人或负责人或实际控制人存在股份控制或实际控制关系</w:t>
      </w:r>
    </w:p>
    <w:p w14:paraId="4CE1E5A9">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G．存在共同直接或间接投资设立子公司、联营企业和合营企业情况</w:t>
      </w:r>
    </w:p>
    <w:p w14:paraId="11345B8A">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H．存在分级代理或代销关系、同一生产制造商关系、管理关系、重要业务（占主营业务收入 50 ％以上）或重要财务往来关系（如融资）等其他实质性控制关系</w:t>
      </w:r>
    </w:p>
    <w:p w14:paraId="20A87A20">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I．其他利害关系情况 ________________________________________。</w:t>
      </w:r>
    </w:p>
    <w:p w14:paraId="7A61F1EB">
      <w:pPr>
        <w:snapToGrid w:val="0"/>
        <w:spacing w:before="120" w:beforeLines="50" w:after="50"/>
        <w:ind w:firstLine="420"/>
        <w:outlineLvl w:val="1"/>
        <w:rPr>
          <w:rFonts w:hint="eastAsia" w:ascii="微软雅黑" w:hAnsi="微软雅黑"/>
          <w:color w:val="auto"/>
          <w:szCs w:val="21"/>
          <w:highlight w:val="none"/>
        </w:rPr>
      </w:pPr>
      <w:bookmarkStart w:id="230" w:name="_Toc4261"/>
      <w:bookmarkStart w:id="231" w:name="_Toc11452"/>
      <w:r>
        <w:rPr>
          <w:rFonts w:hint="eastAsia" w:ascii="微软雅黑" w:hAnsi="微软雅黑"/>
          <w:color w:val="auto"/>
          <w:szCs w:val="21"/>
          <w:highlight w:val="none"/>
        </w:rPr>
        <w:t>三、现己清楚知道并严格遵守政府采购法律法规和现场纪律。</w:t>
      </w:r>
      <w:bookmarkEnd w:id="230"/>
      <w:bookmarkEnd w:id="231"/>
    </w:p>
    <w:p w14:paraId="1A8AAB7A">
      <w:pPr>
        <w:snapToGrid w:val="0"/>
        <w:spacing w:before="120" w:beforeLines="50" w:after="50"/>
        <w:ind w:firstLine="420"/>
        <w:rPr>
          <w:rFonts w:hint="eastAsia" w:ascii="微软雅黑" w:hAnsi="微软雅黑"/>
          <w:color w:val="auto"/>
          <w:szCs w:val="21"/>
          <w:highlight w:val="none"/>
        </w:rPr>
      </w:pPr>
      <w:r>
        <w:rPr>
          <w:rFonts w:hint="eastAsia" w:ascii="微软雅黑" w:hAnsi="微软雅黑"/>
          <w:color w:val="auto"/>
          <w:szCs w:val="21"/>
          <w:highlight w:val="none"/>
        </w:rPr>
        <w:t>四、我发现 ____________________供应商之间存在或可能存在上述第二条第 ____________项利害关系。</w:t>
      </w:r>
    </w:p>
    <w:p w14:paraId="54E11866">
      <w:pPr>
        <w:snapToGrid w:val="0"/>
        <w:spacing w:before="120" w:beforeLines="50" w:after="50"/>
        <w:ind w:firstLine="420"/>
        <w:jc w:val="right"/>
        <w:rPr>
          <w:rFonts w:hint="eastAsia" w:ascii="微软雅黑" w:hAnsi="微软雅黑"/>
          <w:color w:val="auto"/>
          <w:szCs w:val="21"/>
          <w:highlight w:val="none"/>
        </w:rPr>
      </w:pPr>
      <w:r>
        <w:rPr>
          <w:rFonts w:hint="eastAsia" w:ascii="微软雅黑" w:hAnsi="微软雅黑"/>
          <w:color w:val="auto"/>
          <w:szCs w:val="21"/>
          <w:highlight w:val="none"/>
        </w:rPr>
        <w:t>（供应商代表签名）:</w:t>
      </w:r>
    </w:p>
    <w:p w14:paraId="5A71D9EB">
      <w:pPr>
        <w:snapToGrid w:val="0"/>
        <w:spacing w:before="120" w:beforeLines="50" w:after="50"/>
        <w:ind w:firstLine="420"/>
        <w:jc w:val="right"/>
        <w:rPr>
          <w:rFonts w:hint="eastAsia" w:ascii="微软雅黑" w:hAnsi="微软雅黑" w:cs="仿宋_GB2312"/>
          <w:b/>
          <w:color w:val="auto"/>
          <w:kern w:val="0"/>
          <w:szCs w:val="21"/>
          <w:highlight w:val="none"/>
        </w:rPr>
      </w:pPr>
      <w:r>
        <w:rPr>
          <w:rFonts w:hint="eastAsia" w:ascii="微软雅黑" w:hAnsi="微软雅黑"/>
          <w:color w:val="auto"/>
          <w:szCs w:val="21"/>
          <w:highlight w:val="none"/>
        </w:rPr>
        <w:t xml:space="preserve">    年  月  日</w:t>
      </w:r>
    </w:p>
    <w:p w14:paraId="679E0BF6">
      <w:pPr>
        <w:ind w:firstLine="420"/>
        <w:jc w:val="center"/>
        <w:outlineLvl w:val="1"/>
        <w:rPr>
          <w:rFonts w:hint="eastAsia" w:ascii="微软雅黑" w:hAnsi="微软雅黑" w:cs="仿宋_GB2312"/>
          <w:b/>
          <w:color w:val="auto"/>
          <w:kern w:val="0"/>
          <w:szCs w:val="21"/>
          <w:highlight w:val="none"/>
        </w:rPr>
        <w:sectPr>
          <w:pgSz w:w="11906" w:h="16838"/>
          <w:pgMar w:top="1276" w:right="1418" w:bottom="1247" w:left="1418" w:header="851" w:footer="992" w:gutter="0"/>
          <w:cols w:space="720" w:num="1"/>
          <w:titlePg/>
          <w:docGrid w:linePitch="312" w:charSpace="0"/>
        </w:sectPr>
      </w:pPr>
      <w:bookmarkStart w:id="232" w:name="_Toc16507"/>
    </w:p>
    <w:p w14:paraId="181C1B19">
      <w:pPr>
        <w:ind w:firstLine="420"/>
        <w:jc w:val="center"/>
        <w:outlineLvl w:val="1"/>
        <w:rPr>
          <w:rFonts w:hint="eastAsia" w:ascii="微软雅黑" w:hAnsi="微软雅黑" w:cs="仿宋_GB2312"/>
          <w:b/>
          <w:color w:val="auto"/>
          <w:kern w:val="0"/>
          <w:szCs w:val="21"/>
          <w:highlight w:val="none"/>
        </w:rPr>
      </w:pPr>
      <w:bookmarkStart w:id="233" w:name="_Toc25360"/>
      <w:r>
        <w:rPr>
          <w:rFonts w:hint="eastAsia" w:ascii="微软雅黑" w:hAnsi="微软雅黑" w:cs="仿宋_GB2312"/>
          <w:b/>
          <w:color w:val="auto"/>
          <w:kern w:val="0"/>
          <w:szCs w:val="21"/>
          <w:highlight w:val="none"/>
        </w:rPr>
        <w:t>四、符合性审查资料</w:t>
      </w:r>
      <w:bookmarkEnd w:id="232"/>
      <w:bookmarkEnd w:id="233"/>
    </w:p>
    <w:tbl>
      <w:tblPr>
        <w:tblStyle w:val="5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715"/>
        <w:gridCol w:w="2939"/>
        <w:gridCol w:w="1880"/>
      </w:tblGrid>
      <w:tr w14:paraId="783B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09485771">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序号</w:t>
            </w:r>
          </w:p>
        </w:tc>
        <w:tc>
          <w:tcPr>
            <w:tcW w:w="3715" w:type="dxa"/>
            <w:vAlign w:val="center"/>
          </w:tcPr>
          <w:p w14:paraId="374F36DC">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实质性要求</w:t>
            </w:r>
          </w:p>
        </w:tc>
        <w:tc>
          <w:tcPr>
            <w:tcW w:w="2939" w:type="dxa"/>
            <w:vAlign w:val="center"/>
          </w:tcPr>
          <w:p w14:paraId="74F86139">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需要提供的符合性审查资料</w:t>
            </w:r>
          </w:p>
        </w:tc>
        <w:tc>
          <w:tcPr>
            <w:tcW w:w="1880" w:type="dxa"/>
            <w:vAlign w:val="center"/>
          </w:tcPr>
          <w:p w14:paraId="77B6B699">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投标文件中的</w:t>
            </w:r>
          </w:p>
          <w:p w14:paraId="37880531">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页码位置</w:t>
            </w:r>
          </w:p>
        </w:tc>
      </w:tr>
      <w:tr w14:paraId="342F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01EAC2F">
            <w:pPr>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1</w:t>
            </w:r>
          </w:p>
        </w:tc>
        <w:tc>
          <w:tcPr>
            <w:tcW w:w="3715" w:type="dxa"/>
          </w:tcPr>
          <w:p w14:paraId="23C056BA">
            <w:pPr>
              <w:spacing w:line="240" w:lineRule="auto"/>
              <w:ind w:firstLine="0" w:firstLineChars="0"/>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投标文件按照招标文件要求签署、盖章。</w:t>
            </w:r>
          </w:p>
        </w:tc>
        <w:tc>
          <w:tcPr>
            <w:tcW w:w="2939" w:type="dxa"/>
            <w:vAlign w:val="center"/>
          </w:tcPr>
          <w:p w14:paraId="24CBD445">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需要使用电子签名或者签字盖章的投标文件的组成部分</w:t>
            </w:r>
          </w:p>
        </w:tc>
        <w:tc>
          <w:tcPr>
            <w:tcW w:w="1880" w:type="dxa"/>
          </w:tcPr>
          <w:p w14:paraId="3A9B2579">
            <w:pPr>
              <w:spacing w:line="240" w:lineRule="auto"/>
              <w:ind w:firstLine="0" w:firstLineChars="0"/>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见投标文件</w:t>
            </w:r>
          </w:p>
          <w:p w14:paraId="6CF95498">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szCs w:val="21"/>
                <w:highlight w:val="none"/>
              </w:rPr>
              <w:t>第</w:t>
            </w:r>
            <w:r>
              <w:rPr>
                <w:rFonts w:ascii="微软雅黑" w:hAnsi="微软雅黑" w:cs="仿宋_GB2312"/>
                <w:color w:val="auto"/>
                <w:szCs w:val="21"/>
                <w:highlight w:val="none"/>
                <w:u w:val="single"/>
              </w:rPr>
              <w:t xml:space="preserve">  </w:t>
            </w:r>
            <w:r>
              <w:rPr>
                <w:rFonts w:hint="eastAsia" w:ascii="微软雅黑" w:hAnsi="微软雅黑" w:cs="仿宋_GB2312"/>
                <w:color w:val="auto"/>
                <w:szCs w:val="21"/>
                <w:highlight w:val="none"/>
              </w:rPr>
              <w:t>页</w:t>
            </w:r>
          </w:p>
        </w:tc>
      </w:tr>
      <w:tr w14:paraId="4A02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059FA71">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2</w:t>
            </w:r>
          </w:p>
        </w:tc>
        <w:tc>
          <w:tcPr>
            <w:tcW w:w="3715" w:type="dxa"/>
          </w:tcPr>
          <w:p w14:paraId="66E969F6">
            <w:pPr>
              <w:spacing w:line="240" w:lineRule="auto"/>
              <w:ind w:firstLine="0" w:firstLineChars="0"/>
              <w:rPr>
                <w:rFonts w:hint="eastAsia" w:ascii="微软雅黑" w:hAnsi="微软雅黑" w:cs="仿宋_GB2312"/>
                <w:color w:val="auto"/>
                <w:szCs w:val="21"/>
                <w:highlight w:val="none"/>
              </w:rPr>
            </w:pPr>
            <w:r>
              <w:rPr>
                <w:rFonts w:hint="eastAsia" w:ascii="微软雅黑" w:hAnsi="微软雅黑"/>
                <w:color w:val="auto"/>
                <w:szCs w:val="21"/>
                <w:highlight w:val="none"/>
              </w:rPr>
              <w:t>投标文件中承诺的投标有效期不少于招标文件中载明的投标有效期。</w:t>
            </w:r>
          </w:p>
        </w:tc>
        <w:tc>
          <w:tcPr>
            <w:tcW w:w="2939" w:type="dxa"/>
            <w:vAlign w:val="center"/>
          </w:tcPr>
          <w:p w14:paraId="2392E2F4">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投标函</w:t>
            </w:r>
          </w:p>
        </w:tc>
        <w:tc>
          <w:tcPr>
            <w:tcW w:w="1880" w:type="dxa"/>
          </w:tcPr>
          <w:p w14:paraId="55196349">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szCs w:val="21"/>
                <w:highlight w:val="none"/>
              </w:rPr>
              <w:t>见投标文件第</w:t>
            </w:r>
            <w:r>
              <w:rPr>
                <w:rFonts w:ascii="微软雅黑" w:hAnsi="微软雅黑" w:cs="仿宋_GB2312"/>
                <w:color w:val="auto"/>
                <w:szCs w:val="21"/>
                <w:highlight w:val="none"/>
                <w:u w:val="single"/>
              </w:rPr>
              <w:t xml:space="preserve">  </w:t>
            </w:r>
            <w:r>
              <w:rPr>
                <w:rFonts w:hint="eastAsia" w:ascii="微软雅黑" w:hAnsi="微软雅黑" w:cs="仿宋_GB2312"/>
                <w:color w:val="auto"/>
                <w:szCs w:val="21"/>
                <w:highlight w:val="none"/>
              </w:rPr>
              <w:t>页</w:t>
            </w:r>
          </w:p>
        </w:tc>
      </w:tr>
      <w:tr w14:paraId="11F3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89822E2">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3</w:t>
            </w:r>
          </w:p>
        </w:tc>
        <w:tc>
          <w:tcPr>
            <w:tcW w:w="3715" w:type="dxa"/>
          </w:tcPr>
          <w:p w14:paraId="2F7F202E">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投标文件满足招标文件的其它实质性要求。</w:t>
            </w:r>
          </w:p>
        </w:tc>
        <w:tc>
          <w:tcPr>
            <w:tcW w:w="2939" w:type="dxa"/>
            <w:vAlign w:val="center"/>
          </w:tcPr>
          <w:p w14:paraId="3B0243A7">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kern w:val="0"/>
                <w:szCs w:val="21"/>
                <w:highlight w:val="none"/>
              </w:rPr>
              <w:t>招标文件其它实质性要求相应的材料（“▲”</w:t>
            </w:r>
            <w:r>
              <w:rPr>
                <w:rFonts w:ascii="微软雅黑" w:hAnsi="微软雅黑" w:cs="仿宋_GB2312"/>
                <w:color w:val="auto"/>
                <w:kern w:val="0"/>
                <w:szCs w:val="21"/>
                <w:highlight w:val="none"/>
              </w:rPr>
              <w:t xml:space="preserve"> </w:t>
            </w:r>
            <w:r>
              <w:rPr>
                <w:rFonts w:hint="eastAsia" w:ascii="微软雅黑" w:hAnsi="微软雅黑" w:cs="仿宋_GB2312"/>
                <w:color w:val="auto"/>
                <w:kern w:val="0"/>
                <w:szCs w:val="21"/>
                <w:highlight w:val="none"/>
              </w:rPr>
              <w:t>系指实质性要求条款，招标文件无其它实质性要求的，无需提供）</w:t>
            </w:r>
          </w:p>
        </w:tc>
        <w:tc>
          <w:tcPr>
            <w:tcW w:w="1880" w:type="dxa"/>
          </w:tcPr>
          <w:p w14:paraId="60EA2752">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szCs w:val="21"/>
                <w:highlight w:val="none"/>
              </w:rPr>
              <w:t>见投标文件第</w:t>
            </w:r>
            <w:r>
              <w:rPr>
                <w:rFonts w:ascii="微软雅黑" w:hAnsi="微软雅黑" w:cs="仿宋_GB2312"/>
                <w:color w:val="auto"/>
                <w:szCs w:val="21"/>
                <w:highlight w:val="none"/>
                <w:u w:val="single"/>
              </w:rPr>
              <w:t xml:space="preserve">  </w:t>
            </w:r>
            <w:r>
              <w:rPr>
                <w:rFonts w:hint="eastAsia" w:ascii="微软雅黑" w:hAnsi="微软雅黑" w:cs="仿宋_GB2312"/>
                <w:color w:val="auto"/>
                <w:szCs w:val="21"/>
                <w:highlight w:val="none"/>
              </w:rPr>
              <w:t>页</w:t>
            </w:r>
          </w:p>
        </w:tc>
      </w:tr>
    </w:tbl>
    <w:p w14:paraId="4149C390">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45E03557">
      <w:pPr>
        <w:pStyle w:val="121"/>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456B3621">
      <w:pPr>
        <w:pStyle w:val="121"/>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3D085C91">
      <w:pPr>
        <w:ind w:firstLine="643"/>
        <w:jc w:val="both"/>
        <w:rPr>
          <w:rFonts w:hint="eastAsia" w:ascii="仿宋_GB2312" w:hAnsi="仿宋" w:eastAsia="仿宋_GB2312" w:cs="仿宋_GB2312"/>
          <w:b/>
          <w:color w:val="auto"/>
          <w:kern w:val="0"/>
          <w:sz w:val="32"/>
          <w:szCs w:val="32"/>
          <w:highlight w:val="none"/>
        </w:rPr>
      </w:pPr>
      <w:r>
        <w:rPr>
          <w:rFonts w:ascii="仿宋_GB2312" w:hAnsi="仿宋" w:eastAsia="仿宋_GB2312" w:cs="仿宋_GB2312"/>
          <w:b/>
          <w:color w:val="auto"/>
          <w:kern w:val="0"/>
          <w:sz w:val="32"/>
          <w:szCs w:val="32"/>
          <w:highlight w:val="none"/>
        </w:rPr>
        <w:t xml:space="preserve">            </w:t>
      </w:r>
    </w:p>
    <w:p w14:paraId="370085D1">
      <w:pPr>
        <w:ind w:firstLine="643"/>
        <w:jc w:val="center"/>
        <w:rPr>
          <w:rFonts w:hint="eastAsia" w:ascii="仿宋_GB2312" w:hAnsi="仿宋" w:eastAsia="仿宋_GB2312" w:cs="仿宋_GB2312"/>
          <w:b/>
          <w:color w:val="auto"/>
          <w:kern w:val="0"/>
          <w:sz w:val="32"/>
          <w:szCs w:val="32"/>
          <w:highlight w:val="none"/>
        </w:rPr>
        <w:sectPr>
          <w:pgSz w:w="11906" w:h="16838"/>
          <w:pgMar w:top="1276" w:right="1418" w:bottom="1247" w:left="1418" w:header="851" w:footer="992" w:gutter="0"/>
          <w:cols w:space="720" w:num="1"/>
          <w:titlePg/>
          <w:docGrid w:linePitch="312" w:charSpace="0"/>
        </w:sectPr>
      </w:pPr>
    </w:p>
    <w:p w14:paraId="520DF1AE">
      <w:pPr>
        <w:ind w:firstLine="420"/>
        <w:jc w:val="center"/>
        <w:outlineLvl w:val="1"/>
        <w:rPr>
          <w:rFonts w:hint="eastAsia" w:ascii="微软雅黑" w:hAnsi="微软雅黑" w:cs="仿宋_GB2312"/>
          <w:b/>
          <w:color w:val="auto"/>
          <w:kern w:val="0"/>
          <w:szCs w:val="21"/>
          <w:highlight w:val="none"/>
        </w:rPr>
      </w:pPr>
      <w:bookmarkStart w:id="234" w:name="_Toc17270"/>
      <w:bookmarkStart w:id="235" w:name="_Toc13244"/>
      <w:r>
        <w:rPr>
          <w:rFonts w:hint="eastAsia" w:ascii="微软雅黑" w:hAnsi="微软雅黑" w:cs="仿宋_GB2312"/>
          <w:b/>
          <w:color w:val="auto"/>
          <w:kern w:val="0"/>
          <w:szCs w:val="21"/>
          <w:highlight w:val="none"/>
        </w:rPr>
        <w:t>五、评分对应表</w:t>
      </w:r>
      <w:bookmarkEnd w:id="234"/>
      <w:bookmarkEnd w:id="235"/>
    </w:p>
    <w:tbl>
      <w:tblPr>
        <w:tblStyle w:val="54"/>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14:paraId="497282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14:paraId="7BFD78D9">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14:paraId="46121877">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14:paraId="3F415BFB">
            <w:pPr>
              <w:snapToGrid w:val="0"/>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投标文件中的页码位置</w:t>
            </w:r>
          </w:p>
        </w:tc>
      </w:tr>
      <w:tr w14:paraId="39B6EA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8FF8C30">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对应第四章评分办法及评分标准（报价除外）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14:paraId="0EB1F0F2">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5B752FC8">
            <w:pPr>
              <w:snapToGrid w:val="0"/>
              <w:spacing w:line="240" w:lineRule="auto"/>
              <w:ind w:firstLine="0" w:firstLineChars="0"/>
              <w:rPr>
                <w:rFonts w:hint="eastAsia" w:ascii="微软雅黑" w:hAnsi="微软雅黑"/>
                <w:color w:val="auto"/>
                <w:szCs w:val="21"/>
                <w:highlight w:val="none"/>
              </w:rPr>
            </w:pPr>
          </w:p>
        </w:tc>
      </w:tr>
      <w:tr w14:paraId="687422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94FA225">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w:t>
            </w:r>
          </w:p>
        </w:tc>
        <w:tc>
          <w:tcPr>
            <w:tcW w:w="3060" w:type="dxa"/>
            <w:tcBorders>
              <w:top w:val="single" w:color="auto" w:sz="4" w:space="0"/>
              <w:left w:val="single" w:color="auto" w:sz="4" w:space="0"/>
              <w:bottom w:val="single" w:color="auto" w:sz="4" w:space="0"/>
              <w:right w:val="single" w:color="auto" w:sz="4" w:space="0"/>
            </w:tcBorders>
          </w:tcPr>
          <w:p w14:paraId="3F0C3743">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52B0ECAA">
            <w:pPr>
              <w:snapToGrid w:val="0"/>
              <w:spacing w:line="240" w:lineRule="auto"/>
              <w:ind w:firstLine="0" w:firstLineChars="0"/>
              <w:rPr>
                <w:rFonts w:hint="eastAsia" w:ascii="微软雅黑" w:hAnsi="微软雅黑"/>
                <w:color w:val="auto"/>
                <w:szCs w:val="21"/>
                <w:highlight w:val="none"/>
              </w:rPr>
            </w:pPr>
          </w:p>
        </w:tc>
      </w:tr>
      <w:tr w14:paraId="162B65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A4D324F">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0E8FEC00">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25D73AC">
            <w:pPr>
              <w:snapToGrid w:val="0"/>
              <w:spacing w:line="240" w:lineRule="auto"/>
              <w:ind w:firstLine="0" w:firstLineChars="0"/>
              <w:rPr>
                <w:rFonts w:hint="eastAsia" w:ascii="微软雅黑" w:hAnsi="微软雅黑"/>
                <w:color w:val="auto"/>
                <w:szCs w:val="21"/>
                <w:highlight w:val="none"/>
              </w:rPr>
            </w:pPr>
          </w:p>
        </w:tc>
      </w:tr>
      <w:tr w14:paraId="010463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19EB4F8B">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73574456">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75E583F6">
            <w:pPr>
              <w:snapToGrid w:val="0"/>
              <w:spacing w:line="240" w:lineRule="auto"/>
              <w:ind w:firstLine="0" w:firstLineChars="0"/>
              <w:rPr>
                <w:rFonts w:hint="eastAsia" w:ascii="微软雅黑" w:hAnsi="微软雅黑"/>
                <w:color w:val="auto"/>
                <w:szCs w:val="21"/>
                <w:highlight w:val="none"/>
              </w:rPr>
            </w:pPr>
          </w:p>
        </w:tc>
      </w:tr>
      <w:tr w14:paraId="036751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074F3C2">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41B815DF">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E2BDA6C">
            <w:pPr>
              <w:snapToGrid w:val="0"/>
              <w:spacing w:line="240" w:lineRule="auto"/>
              <w:ind w:firstLine="0" w:firstLineChars="0"/>
              <w:rPr>
                <w:rFonts w:hint="eastAsia" w:ascii="微软雅黑" w:hAnsi="微软雅黑"/>
                <w:color w:val="auto"/>
                <w:szCs w:val="21"/>
                <w:highlight w:val="none"/>
              </w:rPr>
            </w:pPr>
          </w:p>
        </w:tc>
      </w:tr>
      <w:tr w14:paraId="6F5D68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DB352A6">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537676E1">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02BB8802">
            <w:pPr>
              <w:snapToGrid w:val="0"/>
              <w:spacing w:line="240" w:lineRule="auto"/>
              <w:ind w:firstLine="0" w:firstLineChars="0"/>
              <w:rPr>
                <w:rFonts w:hint="eastAsia" w:ascii="微软雅黑" w:hAnsi="微软雅黑"/>
                <w:color w:val="auto"/>
                <w:szCs w:val="21"/>
                <w:highlight w:val="none"/>
              </w:rPr>
            </w:pPr>
          </w:p>
        </w:tc>
      </w:tr>
      <w:tr w14:paraId="661800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D76446F">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6D2C4298">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5603AD30">
            <w:pPr>
              <w:snapToGrid w:val="0"/>
              <w:spacing w:line="240" w:lineRule="auto"/>
              <w:ind w:firstLine="0" w:firstLineChars="0"/>
              <w:rPr>
                <w:rFonts w:hint="eastAsia" w:ascii="微软雅黑" w:hAnsi="微软雅黑"/>
                <w:color w:val="auto"/>
                <w:szCs w:val="21"/>
                <w:highlight w:val="none"/>
              </w:rPr>
            </w:pPr>
          </w:p>
        </w:tc>
      </w:tr>
      <w:tr w14:paraId="4F0F9C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1E75810">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632A35DA">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6560D671">
            <w:pPr>
              <w:snapToGrid w:val="0"/>
              <w:spacing w:line="240" w:lineRule="auto"/>
              <w:ind w:firstLine="0" w:firstLineChars="0"/>
              <w:rPr>
                <w:rFonts w:hint="eastAsia" w:ascii="微软雅黑" w:hAnsi="微软雅黑"/>
                <w:color w:val="auto"/>
                <w:szCs w:val="21"/>
                <w:highlight w:val="none"/>
              </w:rPr>
            </w:pPr>
          </w:p>
        </w:tc>
      </w:tr>
      <w:tr w14:paraId="1BFB23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4F844FF">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637BBE2E">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1D3BD8DC">
            <w:pPr>
              <w:snapToGrid w:val="0"/>
              <w:spacing w:line="240" w:lineRule="auto"/>
              <w:ind w:firstLine="0" w:firstLineChars="0"/>
              <w:rPr>
                <w:rFonts w:hint="eastAsia" w:ascii="微软雅黑" w:hAnsi="微软雅黑"/>
                <w:color w:val="auto"/>
                <w:szCs w:val="21"/>
                <w:highlight w:val="none"/>
              </w:rPr>
            </w:pPr>
          </w:p>
        </w:tc>
      </w:tr>
    </w:tbl>
    <w:p w14:paraId="0C9B10F4">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33E6214E">
      <w:pPr>
        <w:pStyle w:val="121"/>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1E987DD0">
      <w:pPr>
        <w:pStyle w:val="121"/>
        <w:ind w:firstLine="420"/>
        <w:jc w:val="center"/>
        <w:rPr>
          <w:rFonts w:hint="eastAsia" w:ascii="微软雅黑" w:hAnsi="微软雅黑" w:eastAsia="微软雅黑" w:cs="仿宋_GB2312"/>
          <w:b/>
          <w:color w:val="auto"/>
          <w:kern w:val="0"/>
          <w:sz w:val="21"/>
          <w:szCs w:val="21"/>
          <w:highlight w:val="none"/>
        </w:rPr>
      </w:pPr>
      <w:r>
        <w:rPr>
          <w:rFonts w:hint="eastAsia" w:ascii="微软雅黑" w:hAnsi="微软雅黑" w:eastAsia="微软雅黑"/>
          <w:color w:val="auto"/>
          <w:sz w:val="21"/>
          <w:szCs w:val="21"/>
          <w:highlight w:val="none"/>
        </w:rPr>
        <w:t xml:space="preserve">          日期： 年 月 日</w:t>
      </w:r>
    </w:p>
    <w:p w14:paraId="5B1F4B2F">
      <w:pPr>
        <w:ind w:firstLine="420"/>
        <w:jc w:val="center"/>
        <w:rPr>
          <w:rFonts w:hint="eastAsia" w:ascii="微软雅黑" w:hAnsi="微软雅黑" w:cs="仿宋_GB2312"/>
          <w:b/>
          <w:color w:val="auto"/>
          <w:kern w:val="0"/>
          <w:szCs w:val="21"/>
          <w:highlight w:val="none"/>
        </w:rPr>
      </w:pPr>
    </w:p>
    <w:p w14:paraId="2554D1D3">
      <w:pPr>
        <w:ind w:firstLine="420"/>
        <w:jc w:val="center"/>
        <w:rPr>
          <w:rFonts w:hint="eastAsia" w:ascii="微软雅黑" w:hAnsi="微软雅黑" w:cs="仿宋_GB2312"/>
          <w:b/>
          <w:color w:val="auto"/>
          <w:kern w:val="0"/>
          <w:szCs w:val="21"/>
          <w:highlight w:val="none"/>
        </w:rPr>
        <w:sectPr>
          <w:pgSz w:w="11906" w:h="16838"/>
          <w:pgMar w:top="1276" w:right="1418" w:bottom="1247" w:left="1418" w:header="851" w:footer="992" w:gutter="0"/>
          <w:cols w:space="720" w:num="1"/>
          <w:titlePg/>
          <w:docGrid w:linePitch="312" w:charSpace="0"/>
        </w:sectPr>
      </w:pPr>
    </w:p>
    <w:p w14:paraId="0296DE23">
      <w:pPr>
        <w:ind w:firstLine="420"/>
        <w:jc w:val="center"/>
        <w:outlineLvl w:val="1"/>
        <w:rPr>
          <w:rFonts w:hint="eastAsia" w:ascii="微软雅黑" w:hAnsi="微软雅黑"/>
          <w:color w:val="auto"/>
          <w:szCs w:val="21"/>
          <w:highlight w:val="none"/>
        </w:rPr>
      </w:pPr>
      <w:bookmarkStart w:id="236" w:name="_Toc8171"/>
      <w:bookmarkStart w:id="237" w:name="_Toc24735"/>
      <w:r>
        <w:rPr>
          <w:rFonts w:hint="eastAsia" w:ascii="微软雅黑" w:hAnsi="微软雅黑" w:cs="仿宋_GB2312"/>
          <w:b/>
          <w:color w:val="auto"/>
          <w:kern w:val="0"/>
          <w:szCs w:val="21"/>
          <w:highlight w:val="none"/>
        </w:rPr>
        <w:t>六、评标标准相应的商务技术资料</w:t>
      </w:r>
      <w:bookmarkEnd w:id="236"/>
      <w:bookmarkEnd w:id="237"/>
    </w:p>
    <w:p w14:paraId="70D49C4F">
      <w:pPr>
        <w:widowControl/>
        <w:ind w:firstLine="426" w:firstLineChars="152"/>
        <w:rPr>
          <w:rFonts w:hint="eastAsia" w:ascii="微软雅黑" w:hAnsi="微软雅黑"/>
          <w:b/>
          <w:bCs/>
          <w:color w:val="auto"/>
          <w:sz w:val="28"/>
          <w:szCs w:val="28"/>
          <w:highlight w:val="none"/>
          <w:shd w:val="pct10" w:color="auto" w:fill="FFFFFF"/>
        </w:rPr>
      </w:pPr>
      <w:r>
        <w:rPr>
          <w:rFonts w:ascii="微软雅黑" w:hAnsi="微软雅黑" w:cs="sans-serif"/>
          <w:b/>
          <w:bCs/>
          <w:color w:val="auto"/>
          <w:kern w:val="0"/>
          <w:sz w:val="28"/>
          <w:szCs w:val="28"/>
          <w:highlight w:val="none"/>
          <w:shd w:val="pct10" w:color="auto" w:fill="FFFFFF"/>
          <w:lang w:bidi="ar"/>
        </w:rPr>
        <w:t>（根据采购需求、评标办法及标准要求</w:t>
      </w:r>
      <w:r>
        <w:rPr>
          <w:rFonts w:hint="eastAsia" w:ascii="微软雅黑" w:hAnsi="微软雅黑" w:cs="sans-serif"/>
          <w:b/>
          <w:bCs/>
          <w:color w:val="auto"/>
          <w:kern w:val="0"/>
          <w:sz w:val="28"/>
          <w:szCs w:val="28"/>
          <w:highlight w:val="none"/>
          <w:shd w:val="pct10" w:color="auto" w:fill="FFFFFF"/>
          <w:lang w:bidi="ar"/>
        </w:rPr>
        <w:t>，自行选取</w:t>
      </w:r>
      <w:r>
        <w:rPr>
          <w:rFonts w:ascii="微软雅黑" w:hAnsi="微软雅黑" w:cs="sans-serif"/>
          <w:b/>
          <w:bCs/>
          <w:color w:val="auto"/>
          <w:kern w:val="0"/>
          <w:sz w:val="28"/>
          <w:szCs w:val="28"/>
          <w:highlight w:val="none"/>
          <w:shd w:val="pct10" w:color="auto" w:fill="FFFFFF"/>
          <w:lang w:bidi="ar"/>
        </w:rPr>
        <w:t>提供，除以下投标文件格式外相关资料由供应商自拟。）</w:t>
      </w:r>
    </w:p>
    <w:p w14:paraId="277D7A5D">
      <w:pPr>
        <w:pStyle w:val="121"/>
        <w:ind w:firstLine="482"/>
        <w:jc w:val="both"/>
        <w:rPr>
          <w:rFonts w:ascii="Times New Roman" w:hAnsi="Times New Roman" w:eastAsia="宋体"/>
          <w:b/>
          <w:color w:val="auto"/>
          <w:sz w:val="24"/>
          <w:szCs w:val="24"/>
          <w:highlight w:val="none"/>
        </w:rPr>
      </w:pPr>
    </w:p>
    <w:p w14:paraId="13CC0F57">
      <w:pPr>
        <w:pStyle w:val="121"/>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b/>
          <w:color w:val="auto"/>
          <w:sz w:val="21"/>
          <w:szCs w:val="21"/>
          <w:highlight w:val="none"/>
        </w:rPr>
        <w:t>1.同类项目业绩一览表</w:t>
      </w:r>
    </w:p>
    <w:p w14:paraId="16753002">
      <w:pPr>
        <w:pStyle w:val="121"/>
        <w:ind w:firstLine="420"/>
        <w:jc w:val="center"/>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同类项目业绩一览表</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578"/>
        <w:gridCol w:w="2003"/>
        <w:gridCol w:w="1798"/>
        <w:gridCol w:w="1291"/>
        <w:gridCol w:w="2193"/>
      </w:tblGrid>
      <w:tr w14:paraId="4D7C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33" w:type="dxa"/>
            <w:vAlign w:val="center"/>
          </w:tcPr>
          <w:p w14:paraId="28BF876F">
            <w:pPr>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序号</w:t>
            </w:r>
          </w:p>
        </w:tc>
        <w:tc>
          <w:tcPr>
            <w:tcW w:w="1578" w:type="dxa"/>
            <w:vAlign w:val="center"/>
          </w:tcPr>
          <w:p w14:paraId="56BB6478">
            <w:pPr>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采购人</w:t>
            </w:r>
          </w:p>
          <w:p w14:paraId="6E0A43CE">
            <w:pPr>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名  称</w:t>
            </w:r>
          </w:p>
        </w:tc>
        <w:tc>
          <w:tcPr>
            <w:tcW w:w="2003" w:type="dxa"/>
            <w:vAlign w:val="center"/>
          </w:tcPr>
          <w:p w14:paraId="1AD82B7A">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项目名称</w:t>
            </w:r>
          </w:p>
        </w:tc>
        <w:tc>
          <w:tcPr>
            <w:tcW w:w="1798" w:type="dxa"/>
            <w:vAlign w:val="center"/>
          </w:tcPr>
          <w:p w14:paraId="7208A1B0">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项目起止时间</w:t>
            </w:r>
          </w:p>
        </w:tc>
        <w:tc>
          <w:tcPr>
            <w:tcW w:w="1291" w:type="dxa"/>
            <w:vAlign w:val="center"/>
          </w:tcPr>
          <w:p w14:paraId="502FC9E2">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合同金额</w:t>
            </w:r>
          </w:p>
          <w:p w14:paraId="5460C123">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（万元）</w:t>
            </w:r>
          </w:p>
        </w:tc>
        <w:tc>
          <w:tcPr>
            <w:tcW w:w="2193" w:type="dxa"/>
            <w:vAlign w:val="center"/>
          </w:tcPr>
          <w:p w14:paraId="1EDE33FC">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采购人联系人及联系电话</w:t>
            </w:r>
          </w:p>
        </w:tc>
      </w:tr>
      <w:tr w14:paraId="13FF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33" w:type="dxa"/>
            <w:vAlign w:val="center"/>
          </w:tcPr>
          <w:p w14:paraId="4F01BFA9">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1</w:t>
            </w:r>
          </w:p>
        </w:tc>
        <w:tc>
          <w:tcPr>
            <w:tcW w:w="1578" w:type="dxa"/>
            <w:vAlign w:val="center"/>
          </w:tcPr>
          <w:p w14:paraId="1122A31E">
            <w:pPr>
              <w:spacing w:line="240" w:lineRule="auto"/>
              <w:ind w:firstLine="0" w:firstLineChars="0"/>
              <w:jc w:val="center"/>
              <w:rPr>
                <w:rFonts w:hint="eastAsia" w:ascii="微软雅黑" w:hAnsi="微软雅黑"/>
                <w:color w:val="auto"/>
                <w:szCs w:val="21"/>
                <w:highlight w:val="none"/>
              </w:rPr>
            </w:pPr>
          </w:p>
        </w:tc>
        <w:tc>
          <w:tcPr>
            <w:tcW w:w="2003" w:type="dxa"/>
          </w:tcPr>
          <w:p w14:paraId="78D87EE0">
            <w:pPr>
              <w:spacing w:line="240" w:lineRule="auto"/>
              <w:ind w:firstLine="0" w:firstLineChars="0"/>
              <w:jc w:val="center"/>
              <w:rPr>
                <w:rFonts w:hint="eastAsia" w:ascii="微软雅黑" w:hAnsi="微软雅黑"/>
                <w:color w:val="auto"/>
                <w:szCs w:val="21"/>
                <w:highlight w:val="none"/>
              </w:rPr>
            </w:pPr>
          </w:p>
        </w:tc>
        <w:tc>
          <w:tcPr>
            <w:tcW w:w="1798" w:type="dxa"/>
          </w:tcPr>
          <w:p w14:paraId="2488546F">
            <w:pPr>
              <w:spacing w:line="240" w:lineRule="auto"/>
              <w:ind w:firstLine="0" w:firstLineChars="0"/>
              <w:jc w:val="center"/>
              <w:rPr>
                <w:rFonts w:hint="eastAsia" w:ascii="微软雅黑" w:hAnsi="微软雅黑"/>
                <w:color w:val="auto"/>
                <w:szCs w:val="21"/>
                <w:highlight w:val="none"/>
              </w:rPr>
            </w:pPr>
          </w:p>
        </w:tc>
        <w:tc>
          <w:tcPr>
            <w:tcW w:w="1291" w:type="dxa"/>
            <w:vAlign w:val="center"/>
          </w:tcPr>
          <w:p w14:paraId="1D1BDFF2">
            <w:pPr>
              <w:spacing w:line="240" w:lineRule="auto"/>
              <w:ind w:firstLine="0" w:firstLineChars="0"/>
              <w:jc w:val="center"/>
              <w:rPr>
                <w:rFonts w:hint="eastAsia" w:ascii="微软雅黑" w:hAnsi="微软雅黑"/>
                <w:color w:val="auto"/>
                <w:szCs w:val="21"/>
                <w:highlight w:val="none"/>
              </w:rPr>
            </w:pPr>
          </w:p>
        </w:tc>
        <w:tc>
          <w:tcPr>
            <w:tcW w:w="2193" w:type="dxa"/>
            <w:vAlign w:val="center"/>
          </w:tcPr>
          <w:p w14:paraId="516B148A">
            <w:pPr>
              <w:spacing w:line="240" w:lineRule="auto"/>
              <w:ind w:firstLine="0" w:firstLineChars="0"/>
              <w:jc w:val="center"/>
              <w:rPr>
                <w:rFonts w:hint="eastAsia" w:ascii="微软雅黑" w:hAnsi="微软雅黑"/>
                <w:color w:val="auto"/>
                <w:szCs w:val="21"/>
                <w:highlight w:val="none"/>
              </w:rPr>
            </w:pPr>
          </w:p>
        </w:tc>
      </w:tr>
      <w:tr w14:paraId="44FF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3" w:type="dxa"/>
            <w:vAlign w:val="center"/>
          </w:tcPr>
          <w:p w14:paraId="5849553B">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2</w:t>
            </w:r>
          </w:p>
        </w:tc>
        <w:tc>
          <w:tcPr>
            <w:tcW w:w="1578" w:type="dxa"/>
            <w:vAlign w:val="center"/>
          </w:tcPr>
          <w:p w14:paraId="10579652">
            <w:pPr>
              <w:spacing w:line="240" w:lineRule="auto"/>
              <w:ind w:firstLine="0" w:firstLineChars="0"/>
              <w:jc w:val="center"/>
              <w:rPr>
                <w:rFonts w:hint="eastAsia" w:ascii="微软雅黑" w:hAnsi="微软雅黑"/>
                <w:color w:val="auto"/>
                <w:szCs w:val="21"/>
                <w:highlight w:val="none"/>
              </w:rPr>
            </w:pPr>
          </w:p>
        </w:tc>
        <w:tc>
          <w:tcPr>
            <w:tcW w:w="2003" w:type="dxa"/>
          </w:tcPr>
          <w:p w14:paraId="0B2E921F">
            <w:pPr>
              <w:spacing w:line="240" w:lineRule="auto"/>
              <w:ind w:firstLine="0" w:firstLineChars="0"/>
              <w:jc w:val="center"/>
              <w:rPr>
                <w:rFonts w:hint="eastAsia" w:ascii="微软雅黑" w:hAnsi="微软雅黑"/>
                <w:color w:val="auto"/>
                <w:szCs w:val="21"/>
                <w:highlight w:val="none"/>
              </w:rPr>
            </w:pPr>
          </w:p>
        </w:tc>
        <w:tc>
          <w:tcPr>
            <w:tcW w:w="1798" w:type="dxa"/>
          </w:tcPr>
          <w:p w14:paraId="14A869EF">
            <w:pPr>
              <w:spacing w:line="240" w:lineRule="auto"/>
              <w:ind w:firstLine="0" w:firstLineChars="0"/>
              <w:jc w:val="center"/>
              <w:rPr>
                <w:rFonts w:hint="eastAsia" w:ascii="微软雅黑" w:hAnsi="微软雅黑"/>
                <w:color w:val="auto"/>
                <w:szCs w:val="21"/>
                <w:highlight w:val="none"/>
              </w:rPr>
            </w:pPr>
          </w:p>
        </w:tc>
        <w:tc>
          <w:tcPr>
            <w:tcW w:w="1291" w:type="dxa"/>
            <w:vAlign w:val="center"/>
          </w:tcPr>
          <w:p w14:paraId="1BF4B1EB">
            <w:pPr>
              <w:spacing w:line="240" w:lineRule="auto"/>
              <w:ind w:firstLine="0" w:firstLineChars="0"/>
              <w:jc w:val="center"/>
              <w:rPr>
                <w:rFonts w:hint="eastAsia" w:ascii="微软雅黑" w:hAnsi="微软雅黑"/>
                <w:color w:val="auto"/>
                <w:szCs w:val="21"/>
                <w:highlight w:val="none"/>
              </w:rPr>
            </w:pPr>
          </w:p>
        </w:tc>
        <w:tc>
          <w:tcPr>
            <w:tcW w:w="2193" w:type="dxa"/>
            <w:vAlign w:val="center"/>
          </w:tcPr>
          <w:p w14:paraId="155A51C6">
            <w:pPr>
              <w:spacing w:line="240" w:lineRule="auto"/>
              <w:ind w:firstLine="0" w:firstLineChars="0"/>
              <w:jc w:val="center"/>
              <w:rPr>
                <w:rFonts w:hint="eastAsia" w:ascii="微软雅黑" w:hAnsi="微软雅黑"/>
                <w:color w:val="auto"/>
                <w:szCs w:val="21"/>
                <w:highlight w:val="none"/>
              </w:rPr>
            </w:pPr>
          </w:p>
        </w:tc>
      </w:tr>
      <w:tr w14:paraId="19E6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33" w:type="dxa"/>
            <w:vAlign w:val="center"/>
          </w:tcPr>
          <w:p w14:paraId="27F7B96D">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w:t>
            </w:r>
          </w:p>
        </w:tc>
        <w:tc>
          <w:tcPr>
            <w:tcW w:w="1578" w:type="dxa"/>
            <w:vAlign w:val="center"/>
          </w:tcPr>
          <w:p w14:paraId="659140FE">
            <w:pPr>
              <w:spacing w:line="240" w:lineRule="auto"/>
              <w:ind w:firstLine="0" w:firstLineChars="0"/>
              <w:jc w:val="center"/>
              <w:rPr>
                <w:rFonts w:hint="eastAsia" w:ascii="微软雅黑" w:hAnsi="微软雅黑"/>
                <w:color w:val="auto"/>
                <w:szCs w:val="21"/>
                <w:highlight w:val="none"/>
              </w:rPr>
            </w:pPr>
          </w:p>
        </w:tc>
        <w:tc>
          <w:tcPr>
            <w:tcW w:w="2003" w:type="dxa"/>
          </w:tcPr>
          <w:p w14:paraId="10774B89">
            <w:pPr>
              <w:spacing w:line="240" w:lineRule="auto"/>
              <w:ind w:firstLine="0" w:firstLineChars="0"/>
              <w:jc w:val="center"/>
              <w:rPr>
                <w:rFonts w:hint="eastAsia" w:ascii="微软雅黑" w:hAnsi="微软雅黑"/>
                <w:color w:val="auto"/>
                <w:szCs w:val="21"/>
                <w:highlight w:val="none"/>
              </w:rPr>
            </w:pPr>
          </w:p>
        </w:tc>
        <w:tc>
          <w:tcPr>
            <w:tcW w:w="1798" w:type="dxa"/>
          </w:tcPr>
          <w:p w14:paraId="4B997287">
            <w:pPr>
              <w:spacing w:line="240" w:lineRule="auto"/>
              <w:ind w:firstLine="0" w:firstLineChars="0"/>
              <w:jc w:val="center"/>
              <w:rPr>
                <w:rFonts w:hint="eastAsia" w:ascii="微软雅黑" w:hAnsi="微软雅黑"/>
                <w:color w:val="auto"/>
                <w:szCs w:val="21"/>
                <w:highlight w:val="none"/>
              </w:rPr>
            </w:pPr>
          </w:p>
        </w:tc>
        <w:tc>
          <w:tcPr>
            <w:tcW w:w="1291" w:type="dxa"/>
            <w:vAlign w:val="center"/>
          </w:tcPr>
          <w:p w14:paraId="58CB81E1">
            <w:pPr>
              <w:spacing w:line="240" w:lineRule="auto"/>
              <w:ind w:firstLine="0" w:firstLineChars="0"/>
              <w:jc w:val="center"/>
              <w:rPr>
                <w:rFonts w:hint="eastAsia" w:ascii="微软雅黑" w:hAnsi="微软雅黑"/>
                <w:color w:val="auto"/>
                <w:szCs w:val="21"/>
                <w:highlight w:val="none"/>
              </w:rPr>
            </w:pPr>
          </w:p>
        </w:tc>
        <w:tc>
          <w:tcPr>
            <w:tcW w:w="2193" w:type="dxa"/>
            <w:vAlign w:val="center"/>
          </w:tcPr>
          <w:p w14:paraId="1242709A">
            <w:pPr>
              <w:spacing w:line="240" w:lineRule="auto"/>
              <w:ind w:firstLine="0" w:firstLineChars="0"/>
              <w:jc w:val="center"/>
              <w:rPr>
                <w:rFonts w:hint="eastAsia" w:ascii="微软雅黑" w:hAnsi="微软雅黑"/>
                <w:color w:val="auto"/>
                <w:szCs w:val="21"/>
                <w:highlight w:val="none"/>
              </w:rPr>
            </w:pPr>
          </w:p>
        </w:tc>
      </w:tr>
    </w:tbl>
    <w:p w14:paraId="3D79CE20">
      <w:pPr>
        <w:pStyle w:val="121"/>
        <w:ind w:firstLine="420"/>
        <w:jc w:val="center"/>
        <w:rPr>
          <w:rFonts w:hint="eastAsia" w:ascii="微软雅黑" w:hAnsi="微软雅黑" w:eastAsia="微软雅黑"/>
          <w:b/>
          <w:color w:val="auto"/>
          <w:sz w:val="21"/>
          <w:szCs w:val="21"/>
          <w:highlight w:val="none"/>
        </w:rPr>
      </w:pPr>
    </w:p>
    <w:p w14:paraId="04E579F8">
      <w:pPr>
        <w:snapToGrid w:val="0"/>
        <w:spacing w:before="120" w:beforeLines="50" w:line="400" w:lineRule="exact"/>
        <w:ind w:firstLine="420"/>
        <w:rPr>
          <w:rFonts w:hint="eastAsia" w:ascii="微软雅黑" w:hAnsi="微软雅黑"/>
          <w:b/>
          <w:color w:val="auto"/>
          <w:szCs w:val="21"/>
          <w:highlight w:val="none"/>
        </w:rPr>
      </w:pPr>
      <w:r>
        <w:rPr>
          <w:rFonts w:hint="eastAsia" w:ascii="微软雅黑" w:hAnsi="微软雅黑"/>
          <w:b/>
          <w:color w:val="auto"/>
          <w:szCs w:val="21"/>
          <w:highlight w:val="none"/>
        </w:rPr>
        <w:t>注：</w:t>
      </w:r>
      <w:r>
        <w:rPr>
          <w:rFonts w:hint="eastAsia" w:ascii="微软雅黑" w:hAnsi="微软雅黑"/>
          <w:color w:val="auto"/>
          <w:szCs w:val="21"/>
          <w:highlight w:val="none"/>
        </w:rPr>
        <w:t>须同时合同复印件证明材料加盖公章</w:t>
      </w:r>
    </w:p>
    <w:p w14:paraId="7284D87C">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6D72127E">
      <w:pPr>
        <w:pStyle w:val="121"/>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4C3C58F2">
      <w:pPr>
        <w:pStyle w:val="121"/>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422D086B">
      <w:pPr>
        <w:snapToGrid w:val="0"/>
        <w:spacing w:before="120" w:beforeLines="50" w:after="50" w:line="400" w:lineRule="exact"/>
        <w:ind w:firstLine="240" w:firstLineChars="100"/>
        <w:rPr>
          <w:color w:val="auto"/>
          <w:sz w:val="24"/>
          <w:highlight w:val="none"/>
        </w:rPr>
      </w:pPr>
    </w:p>
    <w:p w14:paraId="5151005F">
      <w:pPr>
        <w:rPr>
          <w:b/>
          <w:color w:val="auto"/>
          <w:sz w:val="24"/>
          <w:highlight w:val="none"/>
        </w:rPr>
        <w:sectPr>
          <w:pgSz w:w="11906" w:h="16838"/>
          <w:pgMar w:top="1276" w:right="1418" w:bottom="1247" w:left="1418" w:header="851" w:footer="992" w:gutter="0"/>
          <w:cols w:space="720" w:num="1"/>
          <w:titlePg/>
          <w:docGrid w:linePitch="312" w:charSpace="0"/>
        </w:sectPr>
      </w:pPr>
    </w:p>
    <w:p w14:paraId="67537DDE">
      <w:pPr>
        <w:ind w:firstLine="482"/>
        <w:rPr>
          <w:rFonts w:hint="eastAsia" w:ascii="微软雅黑" w:hAnsi="微软雅黑" w:cs="仿宋_GB2312"/>
          <w:b/>
          <w:color w:val="auto"/>
          <w:kern w:val="0"/>
          <w:szCs w:val="21"/>
          <w:highlight w:val="none"/>
        </w:rPr>
      </w:pPr>
      <w:r>
        <w:rPr>
          <w:rFonts w:hint="eastAsia" w:eastAsia="宋体"/>
          <w:b/>
          <w:color w:val="auto"/>
          <w:sz w:val="24"/>
          <w:highlight w:val="none"/>
        </w:rPr>
        <w:t>2.</w:t>
      </w:r>
      <w:r>
        <w:rPr>
          <w:rFonts w:hint="eastAsia" w:ascii="微软雅黑" w:hAnsi="微软雅黑"/>
          <w:b/>
          <w:color w:val="auto"/>
          <w:szCs w:val="21"/>
          <w:highlight w:val="none"/>
        </w:rPr>
        <w:t>商务响应表格式：</w:t>
      </w:r>
    </w:p>
    <w:p w14:paraId="0910AC48">
      <w:pPr>
        <w:ind w:firstLine="420"/>
        <w:jc w:val="center"/>
        <w:rPr>
          <w:rFonts w:hint="eastAsia" w:ascii="微软雅黑" w:hAnsi="微软雅黑" w:cs="仿宋_GB2312"/>
          <w:b/>
          <w:color w:val="auto"/>
          <w:kern w:val="0"/>
          <w:szCs w:val="21"/>
          <w:highlight w:val="none"/>
        </w:rPr>
      </w:pPr>
      <w:r>
        <w:rPr>
          <w:rFonts w:hint="eastAsia" w:ascii="微软雅黑" w:hAnsi="微软雅黑" w:cs="仿宋_GB2312"/>
          <w:b/>
          <w:color w:val="auto"/>
          <w:kern w:val="0"/>
          <w:szCs w:val="21"/>
          <w:highlight w:val="none"/>
        </w:rPr>
        <w:t>商务响应表</w:t>
      </w:r>
    </w:p>
    <w:tbl>
      <w:tblPr>
        <w:tblStyle w:val="54"/>
        <w:tblW w:w="9026" w:type="dxa"/>
        <w:tblInd w:w="27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086"/>
        <w:gridCol w:w="3710"/>
        <w:gridCol w:w="1320"/>
      </w:tblGrid>
      <w:tr w14:paraId="15418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5FADF895">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序号</w:t>
            </w:r>
          </w:p>
        </w:tc>
        <w:tc>
          <w:tcPr>
            <w:tcW w:w="3086" w:type="dxa"/>
          </w:tcPr>
          <w:p w14:paraId="30264F56">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招标文件的规定</w:t>
            </w:r>
          </w:p>
        </w:tc>
        <w:tc>
          <w:tcPr>
            <w:tcW w:w="3710" w:type="dxa"/>
          </w:tcPr>
          <w:p w14:paraId="48BE5C9A">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投标文件的响应</w:t>
            </w:r>
          </w:p>
        </w:tc>
        <w:tc>
          <w:tcPr>
            <w:tcW w:w="1320" w:type="dxa"/>
          </w:tcPr>
          <w:p w14:paraId="49F348ED">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偏离说明</w:t>
            </w:r>
          </w:p>
        </w:tc>
      </w:tr>
      <w:tr w14:paraId="41BFF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0D435F4B">
            <w:pPr>
              <w:spacing w:line="240" w:lineRule="auto"/>
              <w:ind w:firstLine="0" w:firstLineChars="0"/>
              <w:rPr>
                <w:rFonts w:hint="eastAsia" w:ascii="微软雅黑" w:hAnsi="微软雅黑"/>
                <w:color w:val="auto"/>
                <w:szCs w:val="21"/>
                <w:highlight w:val="none"/>
              </w:rPr>
            </w:pPr>
          </w:p>
        </w:tc>
        <w:tc>
          <w:tcPr>
            <w:tcW w:w="3086" w:type="dxa"/>
          </w:tcPr>
          <w:p w14:paraId="6CAB86E7">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服务期限</w:t>
            </w:r>
          </w:p>
        </w:tc>
        <w:tc>
          <w:tcPr>
            <w:tcW w:w="3710" w:type="dxa"/>
          </w:tcPr>
          <w:p w14:paraId="0B6330C6">
            <w:pPr>
              <w:spacing w:line="240" w:lineRule="auto"/>
              <w:ind w:firstLine="0" w:firstLineChars="0"/>
              <w:rPr>
                <w:rFonts w:hint="eastAsia" w:ascii="微软雅黑" w:hAnsi="微软雅黑"/>
                <w:color w:val="auto"/>
                <w:szCs w:val="21"/>
                <w:highlight w:val="none"/>
              </w:rPr>
            </w:pPr>
          </w:p>
        </w:tc>
        <w:tc>
          <w:tcPr>
            <w:tcW w:w="1320" w:type="dxa"/>
          </w:tcPr>
          <w:p w14:paraId="7752E249">
            <w:pPr>
              <w:spacing w:line="240" w:lineRule="auto"/>
              <w:ind w:firstLine="0" w:firstLineChars="0"/>
              <w:rPr>
                <w:rFonts w:hint="eastAsia" w:ascii="微软雅黑" w:hAnsi="微软雅黑"/>
                <w:color w:val="auto"/>
                <w:szCs w:val="21"/>
                <w:highlight w:val="none"/>
              </w:rPr>
            </w:pPr>
          </w:p>
        </w:tc>
      </w:tr>
      <w:tr w14:paraId="2037C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76D611AA">
            <w:pPr>
              <w:spacing w:line="240" w:lineRule="auto"/>
              <w:ind w:firstLine="0" w:firstLineChars="0"/>
              <w:rPr>
                <w:rFonts w:hint="eastAsia" w:ascii="微软雅黑" w:hAnsi="微软雅黑"/>
                <w:color w:val="auto"/>
                <w:szCs w:val="21"/>
                <w:highlight w:val="none"/>
              </w:rPr>
            </w:pPr>
          </w:p>
        </w:tc>
        <w:tc>
          <w:tcPr>
            <w:tcW w:w="3086" w:type="dxa"/>
            <w:shd w:val="clear" w:color="auto" w:fill="auto"/>
          </w:tcPr>
          <w:p w14:paraId="0D70A923">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付款方式</w:t>
            </w:r>
          </w:p>
        </w:tc>
        <w:tc>
          <w:tcPr>
            <w:tcW w:w="3710" w:type="dxa"/>
          </w:tcPr>
          <w:p w14:paraId="3615594A">
            <w:pPr>
              <w:spacing w:line="240" w:lineRule="auto"/>
              <w:ind w:firstLine="0" w:firstLineChars="0"/>
              <w:rPr>
                <w:rFonts w:hint="eastAsia" w:ascii="微软雅黑" w:hAnsi="微软雅黑"/>
                <w:color w:val="auto"/>
                <w:szCs w:val="21"/>
                <w:highlight w:val="none"/>
              </w:rPr>
            </w:pPr>
          </w:p>
        </w:tc>
        <w:tc>
          <w:tcPr>
            <w:tcW w:w="1320" w:type="dxa"/>
          </w:tcPr>
          <w:p w14:paraId="6C0F40D9">
            <w:pPr>
              <w:spacing w:line="240" w:lineRule="auto"/>
              <w:ind w:firstLine="0" w:firstLineChars="0"/>
              <w:rPr>
                <w:rFonts w:hint="eastAsia" w:ascii="微软雅黑" w:hAnsi="微软雅黑"/>
                <w:color w:val="auto"/>
                <w:szCs w:val="21"/>
                <w:highlight w:val="none"/>
              </w:rPr>
            </w:pPr>
          </w:p>
        </w:tc>
      </w:tr>
    </w:tbl>
    <w:p w14:paraId="1671FD50">
      <w:pPr>
        <w:ind w:firstLine="420"/>
        <w:rPr>
          <w:rFonts w:hint="eastAsia" w:ascii="微软雅黑" w:hAnsi="微软雅黑"/>
          <w:b/>
          <w:color w:val="auto"/>
          <w:szCs w:val="21"/>
          <w:highlight w:val="none"/>
        </w:rPr>
      </w:pPr>
      <w:r>
        <w:rPr>
          <w:rFonts w:hint="eastAsia" w:ascii="微软雅黑" w:hAnsi="微软雅黑"/>
          <w:b/>
          <w:color w:val="auto"/>
          <w:szCs w:val="21"/>
          <w:highlight w:val="none"/>
        </w:rPr>
        <w:t>注：投标供应商的投标文件（除技术规格部分）与招标文件之规定存在偏离的，应在此表中如实说明。未在上表中说明的，将被认为完全响应招标文件的规定。</w:t>
      </w:r>
    </w:p>
    <w:p w14:paraId="2E0FA2E8">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28E964A4">
      <w:pPr>
        <w:pStyle w:val="121"/>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1CC6B090">
      <w:pPr>
        <w:pStyle w:val="121"/>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0D7034A5">
      <w:pPr>
        <w:ind w:firstLine="643"/>
        <w:jc w:val="center"/>
        <w:rPr>
          <w:rFonts w:hint="eastAsia" w:ascii="仿宋_GB2312" w:hAnsi="仿宋" w:eastAsia="仿宋_GB2312" w:cs="仿宋_GB2312"/>
          <w:b/>
          <w:color w:val="auto"/>
          <w:kern w:val="0"/>
          <w:sz w:val="32"/>
          <w:szCs w:val="32"/>
          <w:highlight w:val="none"/>
        </w:rPr>
      </w:pPr>
    </w:p>
    <w:p w14:paraId="24A0577D">
      <w:pPr>
        <w:ind w:firstLine="643"/>
        <w:jc w:val="center"/>
        <w:rPr>
          <w:rFonts w:hint="eastAsia" w:ascii="仿宋_GB2312" w:hAnsi="仿宋" w:eastAsia="仿宋_GB2312" w:cs="仿宋_GB2312"/>
          <w:b/>
          <w:color w:val="auto"/>
          <w:kern w:val="0"/>
          <w:sz w:val="32"/>
          <w:szCs w:val="32"/>
          <w:highlight w:val="none"/>
        </w:rPr>
      </w:pPr>
    </w:p>
    <w:p w14:paraId="04DA3545">
      <w:pPr>
        <w:snapToGrid w:val="0"/>
        <w:spacing w:before="50" w:after="120" w:afterLines="50"/>
        <w:rPr>
          <w:b/>
          <w:color w:val="auto"/>
          <w:sz w:val="24"/>
          <w:highlight w:val="none"/>
        </w:rPr>
        <w:sectPr>
          <w:pgSz w:w="11906" w:h="16838"/>
          <w:pgMar w:top="1276" w:right="1418" w:bottom="1247" w:left="1418" w:header="851" w:footer="992" w:gutter="0"/>
          <w:cols w:space="720" w:num="1"/>
          <w:titlePg/>
          <w:docGrid w:linePitch="312" w:charSpace="0"/>
        </w:sectPr>
      </w:pPr>
    </w:p>
    <w:p w14:paraId="2DECFA08">
      <w:pPr>
        <w:snapToGrid w:val="0"/>
        <w:spacing w:before="50" w:after="120" w:afterLines="50"/>
        <w:ind w:firstLine="420"/>
        <w:rPr>
          <w:rFonts w:hint="eastAsia" w:ascii="微软雅黑" w:hAnsi="微软雅黑"/>
          <w:b/>
          <w:color w:val="auto"/>
          <w:szCs w:val="21"/>
          <w:highlight w:val="none"/>
        </w:rPr>
      </w:pPr>
      <w:r>
        <w:rPr>
          <w:rFonts w:hint="eastAsia" w:ascii="微软雅黑" w:hAnsi="微软雅黑"/>
          <w:b/>
          <w:color w:val="auto"/>
          <w:szCs w:val="21"/>
          <w:highlight w:val="none"/>
        </w:rPr>
        <w:t>3</w:t>
      </w:r>
      <w:r>
        <w:rPr>
          <w:rFonts w:ascii="微软雅黑" w:hAnsi="微软雅黑"/>
          <w:b/>
          <w:color w:val="auto"/>
          <w:szCs w:val="21"/>
          <w:highlight w:val="none"/>
        </w:rPr>
        <w:t>.技术响应表格式：</w:t>
      </w:r>
    </w:p>
    <w:p w14:paraId="7740CB1C">
      <w:pPr>
        <w:snapToGrid w:val="0"/>
        <w:spacing w:before="50" w:after="120" w:afterLines="50"/>
        <w:ind w:firstLine="420"/>
        <w:jc w:val="center"/>
        <w:rPr>
          <w:rFonts w:hint="eastAsia" w:ascii="微软雅黑" w:hAnsi="微软雅黑"/>
          <w:color w:val="auto"/>
          <w:szCs w:val="21"/>
          <w:highlight w:val="none"/>
          <w:u w:val="single"/>
        </w:rPr>
      </w:pPr>
      <w:r>
        <w:rPr>
          <w:rFonts w:ascii="微软雅黑" w:hAnsi="微软雅黑"/>
          <w:b/>
          <w:color w:val="auto"/>
          <w:szCs w:val="21"/>
          <w:highlight w:val="none"/>
        </w:rPr>
        <w:t>技术响应表</w:t>
      </w:r>
    </w:p>
    <w:tbl>
      <w:tblPr>
        <w:tblStyle w:val="5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5"/>
        <w:gridCol w:w="3149"/>
        <w:gridCol w:w="3498"/>
        <w:gridCol w:w="1055"/>
      </w:tblGrid>
      <w:tr w14:paraId="342DB6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6" w:hRule="atLeast"/>
        </w:trPr>
        <w:tc>
          <w:tcPr>
            <w:tcW w:w="1055" w:type="dxa"/>
            <w:tcBorders>
              <w:top w:val="single" w:color="auto" w:sz="4" w:space="0"/>
              <w:left w:val="single" w:color="auto" w:sz="4" w:space="0"/>
              <w:bottom w:val="single" w:color="auto" w:sz="4" w:space="0"/>
              <w:right w:val="single" w:color="auto" w:sz="4" w:space="0"/>
            </w:tcBorders>
          </w:tcPr>
          <w:p w14:paraId="0BBCF8F2">
            <w:pPr>
              <w:pStyle w:val="30"/>
              <w:snapToGrid w:val="0"/>
              <w:spacing w:line="240" w:lineRule="auto"/>
              <w:ind w:firstLine="0" w:firstLineChars="0"/>
              <w:jc w:val="center"/>
              <w:outlineLvl w:val="0"/>
              <w:rPr>
                <w:rFonts w:hint="eastAsia" w:ascii="微软雅黑" w:hAnsi="微软雅黑"/>
                <w:color w:val="auto"/>
                <w:szCs w:val="21"/>
                <w:highlight w:val="none"/>
              </w:rPr>
            </w:pPr>
            <w:bookmarkStart w:id="238" w:name="_Toc20307"/>
            <w:bookmarkStart w:id="239" w:name="_Toc465368115"/>
            <w:bookmarkStart w:id="240" w:name="_Toc22835"/>
            <w:bookmarkStart w:id="241" w:name="_Toc164943227"/>
            <w:bookmarkStart w:id="242" w:name="_Toc169015150"/>
            <w:bookmarkStart w:id="243" w:name="_Toc17952"/>
            <w:r>
              <w:rPr>
                <w:rFonts w:ascii="微软雅黑" w:hAnsi="微软雅黑"/>
                <w:color w:val="auto"/>
                <w:szCs w:val="21"/>
                <w:highlight w:val="none"/>
              </w:rPr>
              <w:t>序号</w:t>
            </w:r>
            <w:bookmarkEnd w:id="238"/>
            <w:bookmarkEnd w:id="239"/>
            <w:bookmarkEnd w:id="240"/>
            <w:bookmarkEnd w:id="241"/>
            <w:bookmarkEnd w:id="242"/>
            <w:bookmarkEnd w:id="243"/>
          </w:p>
        </w:tc>
        <w:tc>
          <w:tcPr>
            <w:tcW w:w="3149" w:type="dxa"/>
            <w:tcBorders>
              <w:top w:val="single" w:color="auto" w:sz="4" w:space="0"/>
              <w:left w:val="single" w:color="auto" w:sz="4" w:space="0"/>
              <w:bottom w:val="single" w:color="auto" w:sz="4" w:space="0"/>
              <w:right w:val="single" w:color="auto" w:sz="4" w:space="0"/>
            </w:tcBorders>
          </w:tcPr>
          <w:p w14:paraId="6BA7147C">
            <w:pPr>
              <w:pStyle w:val="30"/>
              <w:snapToGrid w:val="0"/>
              <w:spacing w:line="240" w:lineRule="auto"/>
              <w:ind w:firstLine="0" w:firstLineChars="0"/>
              <w:jc w:val="center"/>
              <w:outlineLvl w:val="0"/>
              <w:rPr>
                <w:rFonts w:hint="eastAsia" w:ascii="微软雅黑" w:hAnsi="微软雅黑"/>
                <w:color w:val="auto"/>
                <w:szCs w:val="21"/>
                <w:highlight w:val="none"/>
              </w:rPr>
            </w:pPr>
            <w:bookmarkStart w:id="244" w:name="_Toc385854156"/>
            <w:bookmarkStart w:id="245" w:name="_Toc402963095"/>
            <w:bookmarkStart w:id="246" w:name="_Toc377028119"/>
            <w:bookmarkStart w:id="247" w:name="_Toc401570290"/>
            <w:bookmarkStart w:id="248" w:name="_Toc382928236"/>
            <w:bookmarkStart w:id="249" w:name="_Toc406402957"/>
            <w:bookmarkStart w:id="250" w:name="_Toc377028057"/>
            <w:bookmarkStart w:id="251" w:name="_Toc402963128"/>
            <w:bookmarkStart w:id="252" w:name="_Toc406403001"/>
            <w:bookmarkStart w:id="253" w:name="_Toc382928118"/>
            <w:bookmarkStart w:id="254" w:name="_Toc381081903"/>
            <w:bookmarkStart w:id="255" w:name="_Toc401570314"/>
            <w:bookmarkStart w:id="256" w:name="_Toc377653976"/>
            <w:bookmarkStart w:id="257" w:name="_Toc385854110"/>
            <w:bookmarkStart w:id="258" w:name="_Toc381081907"/>
            <w:bookmarkStart w:id="259" w:name="_Toc169015152"/>
            <w:bookmarkStart w:id="260" w:name="_Toc26033"/>
            <w:bookmarkStart w:id="261" w:name="_Toc402963132"/>
            <w:bookmarkStart w:id="262" w:name="_Toc377653980"/>
            <w:bookmarkStart w:id="263" w:name="_Toc382928240"/>
            <w:bookmarkStart w:id="264" w:name="_Toc406403005"/>
            <w:bookmarkStart w:id="265" w:name="_Toc164943229"/>
            <w:bookmarkStart w:id="266" w:name="_Toc7664"/>
            <w:bookmarkStart w:id="267" w:name="_Toc401570318"/>
            <w:bookmarkStart w:id="268" w:name="_Toc402963099"/>
            <w:bookmarkStart w:id="269" w:name="_Toc377028123"/>
            <w:bookmarkStart w:id="270" w:name="_Toc377028061"/>
            <w:bookmarkStart w:id="271" w:name="_Toc734611807"/>
            <w:bookmarkStart w:id="272" w:name="_Toc385854160"/>
            <w:bookmarkStart w:id="273" w:name="_Toc382928122"/>
            <w:bookmarkStart w:id="274" w:name="_Toc16394"/>
            <w:bookmarkStart w:id="275" w:name="_Toc401570294"/>
            <w:bookmarkStart w:id="276" w:name="_Toc385854114"/>
            <w:bookmarkStart w:id="277" w:name="_Toc406402961"/>
            <w:r>
              <w:rPr>
                <w:rFonts w:ascii="微软雅黑" w:hAnsi="微软雅黑"/>
                <w:color w:val="auto"/>
                <w:szCs w:val="21"/>
                <w:highlight w:val="none"/>
              </w:rPr>
              <w:t>招标文件要求</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Pr>
                <w:rFonts w:ascii="微软雅黑" w:hAnsi="微软雅黑"/>
                <w:color w:val="auto"/>
                <w:szCs w:val="21"/>
                <w:highlight w:val="none"/>
              </w:rPr>
              <w:t>要求</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tc>
        <w:tc>
          <w:tcPr>
            <w:tcW w:w="3498" w:type="dxa"/>
            <w:tcBorders>
              <w:top w:val="single" w:color="auto" w:sz="4" w:space="0"/>
              <w:left w:val="single" w:color="auto" w:sz="4" w:space="0"/>
              <w:bottom w:val="single" w:color="auto" w:sz="4" w:space="0"/>
              <w:right w:val="single" w:color="auto" w:sz="4" w:space="0"/>
            </w:tcBorders>
          </w:tcPr>
          <w:p w14:paraId="03C9B836">
            <w:pPr>
              <w:pStyle w:val="30"/>
              <w:snapToGrid w:val="0"/>
              <w:spacing w:line="240" w:lineRule="auto"/>
              <w:ind w:firstLine="0" w:firstLineChars="0"/>
              <w:jc w:val="center"/>
              <w:outlineLvl w:val="0"/>
              <w:rPr>
                <w:rFonts w:hint="eastAsia" w:ascii="微软雅黑" w:hAnsi="微软雅黑"/>
                <w:color w:val="auto"/>
                <w:szCs w:val="21"/>
                <w:highlight w:val="none"/>
              </w:rPr>
            </w:pPr>
            <w:bookmarkStart w:id="278" w:name="_Toc385854112"/>
            <w:bookmarkStart w:id="279" w:name="_Toc381081905"/>
            <w:bookmarkStart w:id="280" w:name="_Toc402963097"/>
            <w:bookmarkStart w:id="281" w:name="_Toc377028121"/>
            <w:bookmarkStart w:id="282" w:name="_Toc382928238"/>
            <w:bookmarkStart w:id="283" w:name="_Toc402963130"/>
            <w:bookmarkStart w:id="284" w:name="_Toc406402959"/>
            <w:bookmarkStart w:id="285" w:name="_Toc401570316"/>
            <w:bookmarkStart w:id="286" w:name="_Toc382928120"/>
            <w:bookmarkStart w:id="287" w:name="_Toc377653978"/>
            <w:bookmarkStart w:id="288" w:name="_Toc401570292"/>
            <w:bookmarkStart w:id="289" w:name="_Toc406403003"/>
            <w:bookmarkStart w:id="290" w:name="_Toc377028059"/>
            <w:bookmarkStart w:id="291" w:name="_Toc385854158"/>
            <w:bookmarkStart w:id="292" w:name="_Toc961276098"/>
            <w:bookmarkStart w:id="293" w:name="_Toc31934"/>
            <w:bookmarkStart w:id="294" w:name="_Toc164943231"/>
            <w:bookmarkStart w:id="295" w:name="_Toc23603"/>
            <w:bookmarkStart w:id="296" w:name="_Toc169015154"/>
            <w:bookmarkStart w:id="297" w:name="_Toc32704"/>
            <w:r>
              <w:rPr>
                <w:rFonts w:ascii="微软雅黑" w:hAnsi="微软雅黑"/>
                <w:color w:val="auto"/>
                <w:szCs w:val="21"/>
                <w:highlight w:val="none"/>
              </w:rPr>
              <w:t>偏离情况</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Pr>
                <w:rFonts w:ascii="微软雅黑" w:hAnsi="微软雅黑"/>
                <w:color w:val="auto"/>
                <w:szCs w:val="21"/>
                <w:highlight w:val="none"/>
              </w:rPr>
              <w:t>及证明材料</w:t>
            </w:r>
            <w:bookmarkEnd w:id="292"/>
            <w:bookmarkEnd w:id="293"/>
            <w:bookmarkEnd w:id="294"/>
            <w:bookmarkEnd w:id="295"/>
            <w:bookmarkEnd w:id="296"/>
            <w:bookmarkEnd w:id="297"/>
          </w:p>
        </w:tc>
        <w:tc>
          <w:tcPr>
            <w:tcW w:w="1055" w:type="dxa"/>
            <w:tcBorders>
              <w:top w:val="single" w:color="auto" w:sz="4" w:space="0"/>
              <w:left w:val="single" w:color="auto" w:sz="4" w:space="0"/>
              <w:bottom w:val="single" w:color="auto" w:sz="4" w:space="0"/>
              <w:right w:val="single" w:color="auto" w:sz="4" w:space="0"/>
            </w:tcBorders>
            <w:vAlign w:val="center"/>
          </w:tcPr>
          <w:p w14:paraId="6CAC971A">
            <w:pPr>
              <w:widowControl/>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备注</w:t>
            </w:r>
          </w:p>
        </w:tc>
      </w:tr>
      <w:tr w14:paraId="08F40B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3" w:hRule="atLeast"/>
        </w:trPr>
        <w:tc>
          <w:tcPr>
            <w:tcW w:w="1055" w:type="dxa"/>
            <w:tcBorders>
              <w:top w:val="single" w:color="auto" w:sz="4" w:space="0"/>
              <w:left w:val="single" w:color="auto" w:sz="4" w:space="0"/>
              <w:bottom w:val="single" w:color="auto" w:sz="4" w:space="0"/>
              <w:right w:val="single" w:color="auto" w:sz="4" w:space="0"/>
            </w:tcBorders>
            <w:vAlign w:val="center"/>
          </w:tcPr>
          <w:p w14:paraId="58AF245C">
            <w:pPr>
              <w:pStyle w:val="30"/>
              <w:snapToGrid w:val="0"/>
              <w:spacing w:line="240" w:lineRule="auto"/>
              <w:ind w:firstLine="0" w:firstLineChars="0"/>
              <w:rPr>
                <w:rFonts w:hint="eastAsia" w:ascii="微软雅黑" w:hAnsi="微软雅黑"/>
                <w:color w:val="auto"/>
                <w:szCs w:val="21"/>
                <w:highlight w:val="none"/>
              </w:rPr>
            </w:pPr>
          </w:p>
        </w:tc>
        <w:tc>
          <w:tcPr>
            <w:tcW w:w="3149" w:type="dxa"/>
            <w:tcBorders>
              <w:top w:val="single" w:color="auto" w:sz="4" w:space="0"/>
              <w:left w:val="single" w:color="auto" w:sz="4" w:space="0"/>
              <w:bottom w:val="single" w:color="auto" w:sz="4" w:space="0"/>
              <w:right w:val="single" w:color="auto" w:sz="4" w:space="0"/>
            </w:tcBorders>
            <w:vAlign w:val="center"/>
          </w:tcPr>
          <w:p w14:paraId="5212CA5E">
            <w:pPr>
              <w:pStyle w:val="30"/>
              <w:snapToGrid w:val="0"/>
              <w:spacing w:line="240" w:lineRule="auto"/>
              <w:ind w:firstLine="0" w:firstLineChars="0"/>
              <w:rPr>
                <w:rFonts w:hint="eastAsia" w:ascii="微软雅黑" w:hAnsi="微软雅黑"/>
                <w:color w:val="auto"/>
                <w:szCs w:val="21"/>
                <w:highlight w:val="none"/>
              </w:rPr>
            </w:pPr>
          </w:p>
        </w:tc>
        <w:tc>
          <w:tcPr>
            <w:tcW w:w="3498" w:type="dxa"/>
            <w:tcBorders>
              <w:top w:val="single" w:color="auto" w:sz="4" w:space="0"/>
              <w:left w:val="single" w:color="auto" w:sz="4" w:space="0"/>
              <w:bottom w:val="single" w:color="auto" w:sz="4" w:space="0"/>
              <w:right w:val="single" w:color="auto" w:sz="4" w:space="0"/>
            </w:tcBorders>
          </w:tcPr>
          <w:p w14:paraId="35EA5609">
            <w:pPr>
              <w:pStyle w:val="30"/>
              <w:snapToGrid w:val="0"/>
              <w:spacing w:line="240" w:lineRule="auto"/>
              <w:ind w:firstLine="0" w:firstLineChars="0"/>
              <w:rPr>
                <w:rFonts w:hint="eastAsia" w:ascii="微软雅黑" w:hAnsi="微软雅黑"/>
                <w:color w:val="auto"/>
                <w:szCs w:val="21"/>
                <w:highlight w:val="none"/>
              </w:rPr>
            </w:pPr>
          </w:p>
        </w:tc>
        <w:tc>
          <w:tcPr>
            <w:tcW w:w="1055" w:type="dxa"/>
            <w:tcBorders>
              <w:top w:val="single" w:color="auto" w:sz="4" w:space="0"/>
              <w:left w:val="single" w:color="auto" w:sz="4" w:space="0"/>
              <w:bottom w:val="single" w:color="auto" w:sz="4" w:space="0"/>
              <w:right w:val="single" w:color="auto" w:sz="4" w:space="0"/>
            </w:tcBorders>
          </w:tcPr>
          <w:p w14:paraId="79F36198">
            <w:pPr>
              <w:pStyle w:val="30"/>
              <w:snapToGrid w:val="0"/>
              <w:spacing w:line="240" w:lineRule="auto"/>
              <w:ind w:firstLine="0" w:firstLineChars="0"/>
              <w:rPr>
                <w:rFonts w:hint="eastAsia" w:ascii="微软雅黑" w:hAnsi="微软雅黑"/>
                <w:color w:val="auto"/>
                <w:szCs w:val="21"/>
                <w:highlight w:val="none"/>
              </w:rPr>
            </w:pPr>
          </w:p>
        </w:tc>
      </w:tr>
      <w:tr w14:paraId="74E54B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3" w:hRule="atLeast"/>
        </w:trPr>
        <w:tc>
          <w:tcPr>
            <w:tcW w:w="1055" w:type="dxa"/>
            <w:tcBorders>
              <w:top w:val="single" w:color="auto" w:sz="4" w:space="0"/>
              <w:left w:val="single" w:color="auto" w:sz="4" w:space="0"/>
              <w:bottom w:val="single" w:color="auto" w:sz="4" w:space="0"/>
              <w:right w:val="single" w:color="auto" w:sz="4" w:space="0"/>
            </w:tcBorders>
            <w:vAlign w:val="center"/>
          </w:tcPr>
          <w:p w14:paraId="156E6892">
            <w:pPr>
              <w:widowControl/>
              <w:spacing w:line="240" w:lineRule="auto"/>
              <w:ind w:firstLine="0" w:firstLineChars="0"/>
              <w:rPr>
                <w:rFonts w:hint="eastAsia" w:ascii="微软雅黑" w:hAnsi="微软雅黑"/>
                <w:color w:val="auto"/>
                <w:szCs w:val="21"/>
                <w:highlight w:val="none"/>
              </w:rPr>
            </w:pPr>
          </w:p>
        </w:tc>
        <w:tc>
          <w:tcPr>
            <w:tcW w:w="3149" w:type="dxa"/>
            <w:tcBorders>
              <w:top w:val="single" w:color="auto" w:sz="4" w:space="0"/>
              <w:left w:val="single" w:color="auto" w:sz="4" w:space="0"/>
              <w:bottom w:val="single" w:color="auto" w:sz="4" w:space="0"/>
              <w:right w:val="single" w:color="auto" w:sz="4" w:space="0"/>
            </w:tcBorders>
            <w:vAlign w:val="center"/>
          </w:tcPr>
          <w:p w14:paraId="47AE570B">
            <w:pPr>
              <w:pStyle w:val="30"/>
              <w:snapToGrid w:val="0"/>
              <w:spacing w:line="240" w:lineRule="auto"/>
              <w:ind w:firstLine="0" w:firstLineChars="0"/>
              <w:rPr>
                <w:rFonts w:hint="eastAsia" w:ascii="微软雅黑" w:hAnsi="微软雅黑"/>
                <w:color w:val="auto"/>
                <w:szCs w:val="21"/>
                <w:highlight w:val="none"/>
              </w:rPr>
            </w:pPr>
          </w:p>
        </w:tc>
        <w:tc>
          <w:tcPr>
            <w:tcW w:w="3498" w:type="dxa"/>
            <w:tcBorders>
              <w:top w:val="single" w:color="auto" w:sz="4" w:space="0"/>
              <w:left w:val="single" w:color="auto" w:sz="4" w:space="0"/>
              <w:bottom w:val="single" w:color="auto" w:sz="4" w:space="0"/>
              <w:right w:val="single" w:color="auto" w:sz="4" w:space="0"/>
            </w:tcBorders>
          </w:tcPr>
          <w:p w14:paraId="064E2F12">
            <w:pPr>
              <w:pStyle w:val="30"/>
              <w:snapToGrid w:val="0"/>
              <w:spacing w:line="240" w:lineRule="auto"/>
              <w:ind w:firstLine="0" w:firstLineChars="0"/>
              <w:rPr>
                <w:rFonts w:hint="eastAsia" w:ascii="微软雅黑" w:hAnsi="微软雅黑"/>
                <w:color w:val="auto"/>
                <w:szCs w:val="21"/>
                <w:highlight w:val="none"/>
              </w:rPr>
            </w:pPr>
          </w:p>
        </w:tc>
        <w:tc>
          <w:tcPr>
            <w:tcW w:w="1055" w:type="dxa"/>
            <w:tcBorders>
              <w:top w:val="single" w:color="auto" w:sz="4" w:space="0"/>
              <w:left w:val="single" w:color="auto" w:sz="4" w:space="0"/>
              <w:bottom w:val="single" w:color="auto" w:sz="4" w:space="0"/>
              <w:right w:val="single" w:color="auto" w:sz="4" w:space="0"/>
            </w:tcBorders>
          </w:tcPr>
          <w:p w14:paraId="00707280">
            <w:pPr>
              <w:pStyle w:val="30"/>
              <w:snapToGrid w:val="0"/>
              <w:spacing w:line="240" w:lineRule="auto"/>
              <w:ind w:firstLine="0" w:firstLineChars="0"/>
              <w:rPr>
                <w:rFonts w:hint="eastAsia" w:ascii="微软雅黑" w:hAnsi="微软雅黑"/>
                <w:color w:val="auto"/>
                <w:szCs w:val="21"/>
                <w:highlight w:val="none"/>
              </w:rPr>
            </w:pPr>
          </w:p>
        </w:tc>
      </w:tr>
      <w:tr w14:paraId="50110B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3" w:hRule="atLeast"/>
        </w:trPr>
        <w:tc>
          <w:tcPr>
            <w:tcW w:w="1055" w:type="dxa"/>
            <w:tcBorders>
              <w:top w:val="single" w:color="auto" w:sz="4" w:space="0"/>
              <w:left w:val="single" w:color="auto" w:sz="4" w:space="0"/>
              <w:bottom w:val="single" w:color="auto" w:sz="4" w:space="0"/>
              <w:right w:val="single" w:color="auto" w:sz="4" w:space="0"/>
            </w:tcBorders>
            <w:vAlign w:val="center"/>
          </w:tcPr>
          <w:p w14:paraId="1B898888">
            <w:pPr>
              <w:pStyle w:val="30"/>
              <w:snapToGrid w:val="0"/>
              <w:spacing w:line="240" w:lineRule="auto"/>
              <w:ind w:firstLine="0" w:firstLineChars="0"/>
              <w:rPr>
                <w:rFonts w:hint="eastAsia" w:ascii="微软雅黑" w:hAnsi="微软雅黑"/>
                <w:color w:val="auto"/>
                <w:szCs w:val="21"/>
                <w:highlight w:val="none"/>
              </w:rPr>
            </w:pPr>
          </w:p>
        </w:tc>
        <w:tc>
          <w:tcPr>
            <w:tcW w:w="3149" w:type="dxa"/>
            <w:tcBorders>
              <w:top w:val="single" w:color="auto" w:sz="4" w:space="0"/>
              <w:left w:val="single" w:color="auto" w:sz="4" w:space="0"/>
              <w:bottom w:val="single" w:color="auto" w:sz="4" w:space="0"/>
              <w:right w:val="single" w:color="auto" w:sz="4" w:space="0"/>
            </w:tcBorders>
            <w:vAlign w:val="center"/>
          </w:tcPr>
          <w:p w14:paraId="06478295">
            <w:pPr>
              <w:pStyle w:val="30"/>
              <w:snapToGrid w:val="0"/>
              <w:spacing w:line="240" w:lineRule="auto"/>
              <w:ind w:firstLine="0" w:firstLineChars="0"/>
              <w:rPr>
                <w:rFonts w:hint="eastAsia" w:ascii="微软雅黑" w:hAnsi="微软雅黑"/>
                <w:color w:val="auto"/>
                <w:szCs w:val="21"/>
                <w:highlight w:val="none"/>
              </w:rPr>
            </w:pPr>
          </w:p>
        </w:tc>
        <w:tc>
          <w:tcPr>
            <w:tcW w:w="3498" w:type="dxa"/>
            <w:tcBorders>
              <w:top w:val="single" w:color="auto" w:sz="4" w:space="0"/>
              <w:left w:val="single" w:color="auto" w:sz="4" w:space="0"/>
              <w:bottom w:val="single" w:color="auto" w:sz="4" w:space="0"/>
              <w:right w:val="single" w:color="auto" w:sz="4" w:space="0"/>
            </w:tcBorders>
          </w:tcPr>
          <w:p w14:paraId="006931F3">
            <w:pPr>
              <w:pStyle w:val="30"/>
              <w:snapToGrid w:val="0"/>
              <w:spacing w:line="240" w:lineRule="auto"/>
              <w:ind w:firstLine="0" w:firstLineChars="0"/>
              <w:rPr>
                <w:rFonts w:hint="eastAsia" w:ascii="微软雅黑" w:hAnsi="微软雅黑"/>
                <w:color w:val="auto"/>
                <w:szCs w:val="21"/>
                <w:highlight w:val="none"/>
              </w:rPr>
            </w:pPr>
          </w:p>
        </w:tc>
        <w:tc>
          <w:tcPr>
            <w:tcW w:w="1055" w:type="dxa"/>
            <w:tcBorders>
              <w:top w:val="single" w:color="auto" w:sz="4" w:space="0"/>
              <w:left w:val="single" w:color="auto" w:sz="4" w:space="0"/>
              <w:bottom w:val="single" w:color="auto" w:sz="4" w:space="0"/>
              <w:right w:val="single" w:color="auto" w:sz="4" w:space="0"/>
            </w:tcBorders>
          </w:tcPr>
          <w:p w14:paraId="5EADE402">
            <w:pPr>
              <w:pStyle w:val="30"/>
              <w:snapToGrid w:val="0"/>
              <w:spacing w:line="240" w:lineRule="auto"/>
              <w:ind w:firstLine="0" w:firstLineChars="0"/>
              <w:rPr>
                <w:rFonts w:hint="eastAsia" w:ascii="微软雅黑" w:hAnsi="微软雅黑"/>
                <w:color w:val="auto"/>
                <w:szCs w:val="21"/>
                <w:highlight w:val="none"/>
              </w:rPr>
            </w:pPr>
          </w:p>
        </w:tc>
      </w:tr>
      <w:tr w14:paraId="2F299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3" w:hRule="atLeast"/>
        </w:trPr>
        <w:tc>
          <w:tcPr>
            <w:tcW w:w="1055" w:type="dxa"/>
            <w:tcBorders>
              <w:top w:val="single" w:color="auto" w:sz="4" w:space="0"/>
              <w:left w:val="single" w:color="auto" w:sz="4" w:space="0"/>
              <w:bottom w:val="single" w:color="auto" w:sz="4" w:space="0"/>
              <w:right w:val="single" w:color="auto" w:sz="4" w:space="0"/>
            </w:tcBorders>
            <w:vAlign w:val="center"/>
          </w:tcPr>
          <w:p w14:paraId="38F02FA3">
            <w:pPr>
              <w:pStyle w:val="30"/>
              <w:snapToGrid w:val="0"/>
              <w:spacing w:line="240" w:lineRule="auto"/>
              <w:ind w:firstLine="0" w:firstLineChars="0"/>
              <w:rPr>
                <w:rFonts w:hint="eastAsia" w:ascii="微软雅黑" w:hAnsi="微软雅黑"/>
                <w:color w:val="auto"/>
                <w:szCs w:val="21"/>
                <w:highlight w:val="none"/>
              </w:rPr>
            </w:pPr>
          </w:p>
        </w:tc>
        <w:tc>
          <w:tcPr>
            <w:tcW w:w="3149" w:type="dxa"/>
            <w:tcBorders>
              <w:top w:val="single" w:color="auto" w:sz="4" w:space="0"/>
              <w:left w:val="single" w:color="auto" w:sz="4" w:space="0"/>
              <w:bottom w:val="single" w:color="auto" w:sz="4" w:space="0"/>
              <w:right w:val="single" w:color="auto" w:sz="4" w:space="0"/>
            </w:tcBorders>
            <w:vAlign w:val="center"/>
          </w:tcPr>
          <w:p w14:paraId="71604E4A">
            <w:pPr>
              <w:pStyle w:val="30"/>
              <w:snapToGrid w:val="0"/>
              <w:spacing w:line="240" w:lineRule="auto"/>
              <w:ind w:firstLine="0" w:firstLineChars="0"/>
              <w:rPr>
                <w:rFonts w:hint="eastAsia" w:ascii="微软雅黑" w:hAnsi="微软雅黑"/>
                <w:color w:val="auto"/>
                <w:szCs w:val="21"/>
                <w:highlight w:val="none"/>
              </w:rPr>
            </w:pPr>
          </w:p>
        </w:tc>
        <w:tc>
          <w:tcPr>
            <w:tcW w:w="3498" w:type="dxa"/>
            <w:tcBorders>
              <w:top w:val="single" w:color="auto" w:sz="4" w:space="0"/>
              <w:left w:val="single" w:color="auto" w:sz="4" w:space="0"/>
              <w:bottom w:val="single" w:color="auto" w:sz="4" w:space="0"/>
              <w:right w:val="single" w:color="auto" w:sz="4" w:space="0"/>
            </w:tcBorders>
          </w:tcPr>
          <w:p w14:paraId="16A85111">
            <w:pPr>
              <w:pStyle w:val="30"/>
              <w:snapToGrid w:val="0"/>
              <w:spacing w:line="240" w:lineRule="auto"/>
              <w:ind w:firstLine="0" w:firstLineChars="0"/>
              <w:rPr>
                <w:rFonts w:hint="eastAsia" w:ascii="微软雅黑" w:hAnsi="微软雅黑"/>
                <w:color w:val="auto"/>
                <w:szCs w:val="21"/>
                <w:highlight w:val="none"/>
              </w:rPr>
            </w:pPr>
          </w:p>
        </w:tc>
        <w:tc>
          <w:tcPr>
            <w:tcW w:w="1055" w:type="dxa"/>
            <w:tcBorders>
              <w:top w:val="single" w:color="auto" w:sz="4" w:space="0"/>
              <w:left w:val="single" w:color="auto" w:sz="4" w:space="0"/>
              <w:bottom w:val="single" w:color="auto" w:sz="4" w:space="0"/>
              <w:right w:val="single" w:color="auto" w:sz="4" w:space="0"/>
            </w:tcBorders>
          </w:tcPr>
          <w:p w14:paraId="523AA71B">
            <w:pPr>
              <w:pStyle w:val="30"/>
              <w:snapToGrid w:val="0"/>
              <w:spacing w:line="240" w:lineRule="auto"/>
              <w:ind w:firstLine="0" w:firstLineChars="0"/>
              <w:rPr>
                <w:rFonts w:hint="eastAsia" w:ascii="微软雅黑" w:hAnsi="微软雅黑"/>
                <w:color w:val="auto"/>
                <w:szCs w:val="21"/>
                <w:highlight w:val="none"/>
              </w:rPr>
            </w:pPr>
          </w:p>
        </w:tc>
      </w:tr>
    </w:tbl>
    <w:p w14:paraId="6A9BCB15">
      <w:pPr>
        <w:pStyle w:val="19"/>
        <w:ind w:firstLine="420"/>
        <w:rPr>
          <w:rFonts w:hint="eastAsia" w:ascii="微软雅黑" w:hAnsi="微软雅黑"/>
          <w:color w:val="auto"/>
          <w:sz w:val="21"/>
          <w:szCs w:val="21"/>
          <w:highlight w:val="none"/>
        </w:rPr>
      </w:pPr>
      <w:r>
        <w:rPr>
          <w:rFonts w:ascii="微软雅黑" w:hAnsi="微软雅黑"/>
          <w:color w:val="auto"/>
          <w:sz w:val="21"/>
          <w:szCs w:val="21"/>
          <w:highlight w:val="none"/>
        </w:rPr>
        <w:t>注：供应商应根据投标</w:t>
      </w:r>
      <w:r>
        <w:rPr>
          <w:rFonts w:hint="eastAsia" w:ascii="微软雅黑" w:hAnsi="微软雅黑"/>
          <w:color w:val="auto"/>
          <w:sz w:val="21"/>
          <w:szCs w:val="21"/>
          <w:highlight w:val="none"/>
        </w:rPr>
        <w:t>服务</w:t>
      </w:r>
      <w:r>
        <w:rPr>
          <w:rFonts w:ascii="微软雅黑" w:hAnsi="微软雅黑"/>
          <w:color w:val="auto"/>
          <w:sz w:val="21"/>
          <w:szCs w:val="21"/>
          <w:highlight w:val="none"/>
        </w:rPr>
        <w:t>的指标、对照招标文件要求注明“正偏离”、“负偏离”或“无偏离”。</w:t>
      </w:r>
    </w:p>
    <w:p w14:paraId="75CAE3DB">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039432BC">
      <w:pPr>
        <w:pStyle w:val="121"/>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676B189B">
      <w:pPr>
        <w:pStyle w:val="121"/>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129BE900">
      <w:pPr>
        <w:pStyle w:val="293"/>
        <w:spacing w:line="360" w:lineRule="auto"/>
        <w:ind w:firstLine="482"/>
        <w:rPr>
          <w:rFonts w:ascii="Times New Roman" w:hAnsi="Times New Roman" w:eastAsia="宋体"/>
          <w:b/>
          <w:color w:val="auto"/>
          <w:sz w:val="24"/>
          <w:szCs w:val="24"/>
          <w:highlight w:val="none"/>
        </w:rPr>
      </w:pPr>
    </w:p>
    <w:p w14:paraId="5FE233C6">
      <w:pPr>
        <w:pStyle w:val="293"/>
        <w:spacing w:line="360" w:lineRule="auto"/>
        <w:ind w:firstLine="482"/>
        <w:rPr>
          <w:rFonts w:ascii="Times New Roman" w:hAnsi="Times New Roman" w:eastAsia="宋体"/>
          <w:b/>
          <w:color w:val="auto"/>
          <w:sz w:val="24"/>
          <w:szCs w:val="24"/>
          <w:highlight w:val="none"/>
        </w:rPr>
        <w:sectPr>
          <w:pgSz w:w="11906" w:h="16838"/>
          <w:pgMar w:top="1276" w:right="1418" w:bottom="1247" w:left="1418" w:header="851" w:footer="992" w:gutter="0"/>
          <w:cols w:space="720" w:num="1"/>
          <w:titlePg/>
          <w:docGrid w:linePitch="312" w:charSpace="0"/>
        </w:sectPr>
      </w:pPr>
    </w:p>
    <w:p w14:paraId="5E1F249D">
      <w:pPr>
        <w:pStyle w:val="293"/>
        <w:spacing w:line="360" w:lineRule="auto"/>
        <w:ind w:firstLine="482"/>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4</w:t>
      </w:r>
      <w:r>
        <w:rPr>
          <w:rFonts w:ascii="微软雅黑" w:hAnsi="微软雅黑" w:eastAsia="微软雅黑"/>
          <w:b/>
          <w:color w:val="auto"/>
          <w:sz w:val="21"/>
          <w:szCs w:val="21"/>
          <w:highlight w:val="none"/>
        </w:rPr>
        <w:t>. 项目实施人员一览表</w:t>
      </w:r>
    </w:p>
    <w:p w14:paraId="6BCC8668">
      <w:pPr>
        <w:pStyle w:val="30"/>
        <w:adjustRightInd w:val="0"/>
        <w:spacing w:before="120" w:after="120"/>
        <w:ind w:firstLine="420"/>
        <w:jc w:val="center"/>
        <w:textAlignment w:val="baseline"/>
        <w:rPr>
          <w:rFonts w:hint="eastAsia" w:ascii="微软雅黑" w:hAnsi="微软雅黑"/>
          <w:color w:val="auto"/>
          <w:szCs w:val="21"/>
          <w:highlight w:val="none"/>
        </w:rPr>
      </w:pPr>
      <w:r>
        <w:rPr>
          <w:rFonts w:ascii="微软雅黑" w:hAnsi="微软雅黑"/>
          <w:b/>
          <w:color w:val="auto"/>
          <w:szCs w:val="21"/>
          <w:highlight w:val="none"/>
        </w:rPr>
        <w:t>项目实施人员一览表</w:t>
      </w:r>
    </w:p>
    <w:tbl>
      <w:tblPr>
        <w:tblStyle w:val="5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5"/>
        <w:gridCol w:w="1074"/>
        <w:gridCol w:w="970"/>
        <w:gridCol w:w="709"/>
        <w:gridCol w:w="1254"/>
        <w:gridCol w:w="1454"/>
        <w:gridCol w:w="1134"/>
        <w:gridCol w:w="1348"/>
      </w:tblGrid>
      <w:tr w14:paraId="195251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85" w:type="dxa"/>
            <w:tcBorders>
              <w:top w:val="single" w:color="auto" w:sz="4" w:space="0"/>
              <w:left w:val="single" w:color="auto" w:sz="4" w:space="0"/>
              <w:bottom w:val="single" w:color="auto" w:sz="4" w:space="0"/>
              <w:right w:val="single" w:color="auto" w:sz="4" w:space="0"/>
            </w:tcBorders>
            <w:vAlign w:val="center"/>
          </w:tcPr>
          <w:p w14:paraId="204D3FCA">
            <w:pPr>
              <w:pStyle w:val="35"/>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序号</w:t>
            </w:r>
          </w:p>
        </w:tc>
        <w:tc>
          <w:tcPr>
            <w:tcW w:w="1074" w:type="dxa"/>
            <w:tcBorders>
              <w:top w:val="single" w:color="auto" w:sz="4" w:space="0"/>
              <w:left w:val="single" w:color="auto" w:sz="4" w:space="0"/>
              <w:bottom w:val="single" w:color="auto" w:sz="4" w:space="0"/>
              <w:right w:val="single" w:color="auto" w:sz="4" w:space="0"/>
            </w:tcBorders>
            <w:vAlign w:val="center"/>
          </w:tcPr>
          <w:p w14:paraId="4E94F389">
            <w:pPr>
              <w:pStyle w:val="35"/>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项目组所任职务</w:t>
            </w:r>
          </w:p>
        </w:tc>
        <w:tc>
          <w:tcPr>
            <w:tcW w:w="970" w:type="dxa"/>
            <w:tcBorders>
              <w:top w:val="single" w:color="auto" w:sz="4" w:space="0"/>
              <w:left w:val="single" w:color="auto" w:sz="4" w:space="0"/>
              <w:bottom w:val="single" w:color="auto" w:sz="4" w:space="0"/>
              <w:right w:val="single" w:color="auto" w:sz="4" w:space="0"/>
            </w:tcBorders>
            <w:vAlign w:val="center"/>
          </w:tcPr>
          <w:p w14:paraId="434FAFBA">
            <w:pPr>
              <w:pStyle w:val="35"/>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姓名</w:t>
            </w:r>
          </w:p>
        </w:tc>
        <w:tc>
          <w:tcPr>
            <w:tcW w:w="709" w:type="dxa"/>
            <w:tcBorders>
              <w:top w:val="single" w:color="auto" w:sz="4" w:space="0"/>
              <w:left w:val="single" w:color="auto" w:sz="4" w:space="0"/>
              <w:bottom w:val="single" w:color="auto" w:sz="4" w:space="0"/>
              <w:right w:val="single" w:color="auto" w:sz="4" w:space="0"/>
            </w:tcBorders>
            <w:vAlign w:val="center"/>
          </w:tcPr>
          <w:p w14:paraId="63154E0E">
            <w:pPr>
              <w:pStyle w:val="35"/>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职称</w:t>
            </w:r>
          </w:p>
        </w:tc>
        <w:tc>
          <w:tcPr>
            <w:tcW w:w="1254" w:type="dxa"/>
            <w:tcBorders>
              <w:top w:val="single" w:color="auto" w:sz="4" w:space="0"/>
              <w:left w:val="single" w:color="auto" w:sz="4" w:space="0"/>
              <w:bottom w:val="single" w:color="auto" w:sz="4" w:space="0"/>
              <w:right w:val="single" w:color="auto" w:sz="4" w:space="0"/>
            </w:tcBorders>
            <w:vAlign w:val="center"/>
          </w:tcPr>
          <w:p w14:paraId="436066F9">
            <w:pPr>
              <w:pStyle w:val="35"/>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专业技术资格</w:t>
            </w:r>
          </w:p>
        </w:tc>
        <w:tc>
          <w:tcPr>
            <w:tcW w:w="1454" w:type="dxa"/>
            <w:tcBorders>
              <w:top w:val="single" w:color="auto" w:sz="4" w:space="0"/>
              <w:left w:val="single" w:color="auto" w:sz="4" w:space="0"/>
              <w:bottom w:val="single" w:color="auto" w:sz="4" w:space="0"/>
              <w:right w:val="single" w:color="auto" w:sz="4" w:space="0"/>
            </w:tcBorders>
            <w:vAlign w:val="center"/>
          </w:tcPr>
          <w:p w14:paraId="645B29E8">
            <w:pPr>
              <w:pStyle w:val="35"/>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专业技术资格证书编号</w:t>
            </w:r>
          </w:p>
        </w:tc>
        <w:tc>
          <w:tcPr>
            <w:tcW w:w="1134" w:type="dxa"/>
            <w:tcBorders>
              <w:top w:val="single" w:color="auto" w:sz="4" w:space="0"/>
              <w:left w:val="single" w:color="auto" w:sz="4" w:space="0"/>
              <w:bottom w:val="single" w:color="auto" w:sz="4" w:space="0"/>
              <w:right w:val="single" w:color="auto" w:sz="4" w:space="0"/>
            </w:tcBorders>
            <w:vAlign w:val="center"/>
          </w:tcPr>
          <w:p w14:paraId="1863A61D">
            <w:pPr>
              <w:pStyle w:val="35"/>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从事本工作时间</w:t>
            </w:r>
          </w:p>
        </w:tc>
        <w:tc>
          <w:tcPr>
            <w:tcW w:w="1348" w:type="dxa"/>
            <w:tcBorders>
              <w:top w:val="single" w:color="auto" w:sz="4" w:space="0"/>
              <w:left w:val="single" w:color="auto" w:sz="4" w:space="0"/>
              <w:bottom w:val="single" w:color="auto" w:sz="4" w:space="0"/>
              <w:right w:val="single" w:color="auto" w:sz="4" w:space="0"/>
            </w:tcBorders>
            <w:vAlign w:val="center"/>
          </w:tcPr>
          <w:p w14:paraId="41E8718A">
            <w:pPr>
              <w:pStyle w:val="35"/>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典型业务</w:t>
            </w:r>
          </w:p>
          <w:p w14:paraId="0D588E28">
            <w:pPr>
              <w:pStyle w:val="35"/>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与技术专长</w:t>
            </w:r>
          </w:p>
        </w:tc>
      </w:tr>
      <w:tr w14:paraId="6EF81C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061CB555">
            <w:pPr>
              <w:pStyle w:val="35"/>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1</w:t>
            </w:r>
          </w:p>
        </w:tc>
        <w:tc>
          <w:tcPr>
            <w:tcW w:w="1074" w:type="dxa"/>
            <w:tcBorders>
              <w:top w:val="single" w:color="auto" w:sz="4" w:space="0"/>
              <w:left w:val="single" w:color="auto" w:sz="4" w:space="0"/>
              <w:bottom w:val="single" w:color="auto" w:sz="4" w:space="0"/>
              <w:right w:val="single" w:color="auto" w:sz="4" w:space="0"/>
            </w:tcBorders>
            <w:vAlign w:val="center"/>
          </w:tcPr>
          <w:p w14:paraId="16652A04">
            <w:pPr>
              <w:pStyle w:val="35"/>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42098E68">
            <w:pPr>
              <w:pStyle w:val="35"/>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3A8F30B">
            <w:pPr>
              <w:pStyle w:val="35"/>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03809683">
            <w:pPr>
              <w:pStyle w:val="35"/>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771AC4D4">
            <w:pPr>
              <w:pStyle w:val="35"/>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8FDDD6B">
            <w:pPr>
              <w:pStyle w:val="35"/>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1E243AFF">
            <w:pPr>
              <w:pStyle w:val="35"/>
              <w:spacing w:line="240" w:lineRule="auto"/>
              <w:ind w:firstLine="0" w:firstLineChars="0"/>
              <w:jc w:val="center"/>
              <w:rPr>
                <w:rFonts w:hint="eastAsia" w:ascii="微软雅黑" w:hAnsi="微软雅黑"/>
                <w:color w:val="auto"/>
                <w:sz w:val="21"/>
                <w:szCs w:val="21"/>
                <w:highlight w:val="none"/>
              </w:rPr>
            </w:pPr>
          </w:p>
        </w:tc>
      </w:tr>
      <w:tr w14:paraId="2BA26C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3F669E78">
            <w:pPr>
              <w:pStyle w:val="35"/>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2</w:t>
            </w:r>
          </w:p>
        </w:tc>
        <w:tc>
          <w:tcPr>
            <w:tcW w:w="1074" w:type="dxa"/>
            <w:tcBorders>
              <w:top w:val="single" w:color="auto" w:sz="4" w:space="0"/>
              <w:left w:val="single" w:color="auto" w:sz="4" w:space="0"/>
              <w:bottom w:val="single" w:color="auto" w:sz="4" w:space="0"/>
              <w:right w:val="single" w:color="auto" w:sz="4" w:space="0"/>
            </w:tcBorders>
            <w:vAlign w:val="center"/>
          </w:tcPr>
          <w:p w14:paraId="5EDA2F98">
            <w:pPr>
              <w:pStyle w:val="35"/>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7360B76D">
            <w:pPr>
              <w:pStyle w:val="35"/>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069CF4D">
            <w:pPr>
              <w:pStyle w:val="35"/>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56429CCE">
            <w:pPr>
              <w:pStyle w:val="35"/>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548670E3">
            <w:pPr>
              <w:pStyle w:val="35"/>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4A59D70">
            <w:pPr>
              <w:pStyle w:val="35"/>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2095BDE3">
            <w:pPr>
              <w:pStyle w:val="35"/>
              <w:spacing w:line="240" w:lineRule="auto"/>
              <w:ind w:firstLine="0" w:firstLineChars="0"/>
              <w:jc w:val="center"/>
              <w:rPr>
                <w:rFonts w:hint="eastAsia" w:ascii="微软雅黑" w:hAnsi="微软雅黑"/>
                <w:color w:val="auto"/>
                <w:sz w:val="21"/>
                <w:szCs w:val="21"/>
                <w:highlight w:val="none"/>
              </w:rPr>
            </w:pPr>
          </w:p>
        </w:tc>
      </w:tr>
      <w:tr w14:paraId="176D42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11173C16">
            <w:pPr>
              <w:pStyle w:val="35"/>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3</w:t>
            </w:r>
          </w:p>
        </w:tc>
        <w:tc>
          <w:tcPr>
            <w:tcW w:w="1074" w:type="dxa"/>
            <w:tcBorders>
              <w:top w:val="single" w:color="auto" w:sz="4" w:space="0"/>
              <w:left w:val="single" w:color="auto" w:sz="4" w:space="0"/>
              <w:bottom w:val="single" w:color="auto" w:sz="4" w:space="0"/>
              <w:right w:val="single" w:color="auto" w:sz="4" w:space="0"/>
            </w:tcBorders>
            <w:vAlign w:val="center"/>
          </w:tcPr>
          <w:p w14:paraId="4368CEEA">
            <w:pPr>
              <w:pStyle w:val="35"/>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26D6C652">
            <w:pPr>
              <w:pStyle w:val="35"/>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882ED11">
            <w:pPr>
              <w:pStyle w:val="35"/>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71CD5E45">
            <w:pPr>
              <w:pStyle w:val="35"/>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6EA666A3">
            <w:pPr>
              <w:pStyle w:val="35"/>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0BC78E0">
            <w:pPr>
              <w:pStyle w:val="35"/>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5975CE04">
            <w:pPr>
              <w:pStyle w:val="35"/>
              <w:spacing w:line="240" w:lineRule="auto"/>
              <w:ind w:firstLine="0" w:firstLineChars="0"/>
              <w:jc w:val="center"/>
              <w:rPr>
                <w:rFonts w:hint="eastAsia" w:ascii="微软雅黑" w:hAnsi="微软雅黑"/>
                <w:color w:val="auto"/>
                <w:sz w:val="21"/>
                <w:szCs w:val="21"/>
                <w:highlight w:val="none"/>
              </w:rPr>
            </w:pPr>
          </w:p>
        </w:tc>
      </w:tr>
      <w:tr w14:paraId="23DC4E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559C0B26">
            <w:pPr>
              <w:pStyle w:val="35"/>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4</w:t>
            </w:r>
          </w:p>
        </w:tc>
        <w:tc>
          <w:tcPr>
            <w:tcW w:w="1074" w:type="dxa"/>
            <w:tcBorders>
              <w:top w:val="single" w:color="auto" w:sz="4" w:space="0"/>
              <w:left w:val="single" w:color="auto" w:sz="4" w:space="0"/>
              <w:bottom w:val="single" w:color="auto" w:sz="4" w:space="0"/>
              <w:right w:val="single" w:color="auto" w:sz="4" w:space="0"/>
            </w:tcBorders>
            <w:vAlign w:val="center"/>
          </w:tcPr>
          <w:p w14:paraId="5E649FEC">
            <w:pPr>
              <w:pStyle w:val="35"/>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555808E2">
            <w:pPr>
              <w:pStyle w:val="35"/>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D59B260">
            <w:pPr>
              <w:pStyle w:val="35"/>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651CD268">
            <w:pPr>
              <w:pStyle w:val="35"/>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1DC0CF34">
            <w:pPr>
              <w:pStyle w:val="35"/>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8D9B531">
            <w:pPr>
              <w:pStyle w:val="35"/>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2308CE3A">
            <w:pPr>
              <w:pStyle w:val="35"/>
              <w:spacing w:line="240" w:lineRule="auto"/>
              <w:ind w:firstLine="0" w:firstLineChars="0"/>
              <w:jc w:val="center"/>
              <w:rPr>
                <w:rFonts w:hint="eastAsia" w:ascii="微软雅黑" w:hAnsi="微软雅黑"/>
                <w:color w:val="auto"/>
                <w:sz w:val="21"/>
                <w:szCs w:val="21"/>
                <w:highlight w:val="none"/>
              </w:rPr>
            </w:pPr>
          </w:p>
        </w:tc>
      </w:tr>
      <w:tr w14:paraId="52323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55AD1CC7">
            <w:pPr>
              <w:pStyle w:val="35"/>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5</w:t>
            </w:r>
          </w:p>
        </w:tc>
        <w:tc>
          <w:tcPr>
            <w:tcW w:w="1074" w:type="dxa"/>
            <w:tcBorders>
              <w:top w:val="single" w:color="auto" w:sz="4" w:space="0"/>
              <w:left w:val="single" w:color="auto" w:sz="4" w:space="0"/>
              <w:bottom w:val="single" w:color="auto" w:sz="4" w:space="0"/>
              <w:right w:val="single" w:color="auto" w:sz="4" w:space="0"/>
            </w:tcBorders>
            <w:vAlign w:val="center"/>
          </w:tcPr>
          <w:p w14:paraId="6D35D642">
            <w:pPr>
              <w:pStyle w:val="35"/>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45698542">
            <w:pPr>
              <w:pStyle w:val="35"/>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C2A0260">
            <w:pPr>
              <w:pStyle w:val="35"/>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72AA0F10">
            <w:pPr>
              <w:pStyle w:val="35"/>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0110D220">
            <w:pPr>
              <w:pStyle w:val="35"/>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D59CC18">
            <w:pPr>
              <w:pStyle w:val="35"/>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78F7B6F1">
            <w:pPr>
              <w:pStyle w:val="35"/>
              <w:spacing w:line="240" w:lineRule="auto"/>
              <w:ind w:firstLine="0" w:firstLineChars="0"/>
              <w:jc w:val="center"/>
              <w:rPr>
                <w:rFonts w:hint="eastAsia" w:ascii="微软雅黑" w:hAnsi="微软雅黑"/>
                <w:color w:val="auto"/>
                <w:sz w:val="21"/>
                <w:szCs w:val="21"/>
                <w:highlight w:val="none"/>
              </w:rPr>
            </w:pPr>
          </w:p>
        </w:tc>
      </w:tr>
      <w:tr w14:paraId="7E424E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6C1FAD60">
            <w:pPr>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w:t>
            </w:r>
          </w:p>
        </w:tc>
        <w:tc>
          <w:tcPr>
            <w:tcW w:w="1074" w:type="dxa"/>
            <w:tcBorders>
              <w:top w:val="single" w:color="auto" w:sz="4" w:space="0"/>
              <w:left w:val="single" w:color="auto" w:sz="4" w:space="0"/>
              <w:bottom w:val="single" w:color="auto" w:sz="4" w:space="0"/>
              <w:right w:val="single" w:color="auto" w:sz="4" w:space="0"/>
            </w:tcBorders>
            <w:vAlign w:val="center"/>
          </w:tcPr>
          <w:p w14:paraId="164B2CB8">
            <w:pPr>
              <w:spacing w:line="240" w:lineRule="auto"/>
              <w:ind w:firstLine="0" w:firstLineChars="0"/>
              <w:rPr>
                <w:rFonts w:hint="eastAsia" w:ascii="微软雅黑" w:hAnsi="微软雅黑"/>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5CFF5799">
            <w:pPr>
              <w:spacing w:line="240" w:lineRule="auto"/>
              <w:ind w:firstLine="0" w:firstLineChars="0"/>
              <w:rPr>
                <w:rFonts w:hint="eastAsia" w:ascii="微软雅黑" w:hAnsi="微软雅黑"/>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AD070BB">
            <w:pPr>
              <w:spacing w:line="240" w:lineRule="auto"/>
              <w:ind w:firstLine="0" w:firstLineChars="0"/>
              <w:rPr>
                <w:rFonts w:hint="eastAsia" w:ascii="微软雅黑" w:hAnsi="微软雅黑"/>
                <w:color w:val="auto"/>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3981A235">
            <w:pPr>
              <w:spacing w:line="240" w:lineRule="auto"/>
              <w:ind w:firstLine="0" w:firstLineChars="0"/>
              <w:rPr>
                <w:rFonts w:hint="eastAsia" w:ascii="微软雅黑" w:hAnsi="微软雅黑"/>
                <w:color w:val="auto"/>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3D3890CA">
            <w:pPr>
              <w:spacing w:line="240" w:lineRule="auto"/>
              <w:ind w:firstLine="0" w:firstLineChars="0"/>
              <w:rPr>
                <w:rFonts w:hint="eastAsia" w:ascii="微软雅黑" w:hAnsi="微软雅黑"/>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E175E70">
            <w:pPr>
              <w:spacing w:line="240" w:lineRule="auto"/>
              <w:ind w:firstLine="0" w:firstLineChars="0"/>
              <w:rPr>
                <w:rFonts w:hint="eastAsia" w:ascii="微软雅黑" w:hAnsi="微软雅黑"/>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218ECC5A">
            <w:pPr>
              <w:spacing w:line="240" w:lineRule="auto"/>
              <w:ind w:firstLine="0" w:firstLineChars="0"/>
              <w:rPr>
                <w:rFonts w:hint="eastAsia" w:ascii="微软雅黑" w:hAnsi="微软雅黑"/>
                <w:color w:val="auto"/>
                <w:szCs w:val="21"/>
                <w:highlight w:val="none"/>
              </w:rPr>
            </w:pPr>
          </w:p>
        </w:tc>
      </w:tr>
    </w:tbl>
    <w:p w14:paraId="50BBC24B">
      <w:pPr>
        <w:ind w:firstLine="420"/>
        <w:rPr>
          <w:rFonts w:hint="eastAsia" w:ascii="微软雅黑" w:hAnsi="微软雅黑"/>
          <w:b/>
          <w:color w:val="auto"/>
          <w:szCs w:val="21"/>
          <w:highlight w:val="none"/>
        </w:rPr>
      </w:pPr>
      <w:r>
        <w:rPr>
          <w:rFonts w:ascii="微软雅黑" w:hAnsi="微软雅黑"/>
          <w:b/>
          <w:color w:val="auto"/>
          <w:szCs w:val="21"/>
          <w:highlight w:val="none"/>
        </w:rPr>
        <w:t>注：1、“项目实施人员”指投标单位针对完成本项目所配备的人员。</w:t>
      </w:r>
    </w:p>
    <w:p w14:paraId="4E199894">
      <w:pPr>
        <w:ind w:firstLine="840" w:firstLineChars="400"/>
        <w:rPr>
          <w:rFonts w:hint="eastAsia" w:ascii="微软雅黑" w:hAnsi="微软雅黑"/>
          <w:b/>
          <w:color w:val="auto"/>
          <w:szCs w:val="21"/>
          <w:highlight w:val="none"/>
        </w:rPr>
      </w:pPr>
      <w:r>
        <w:rPr>
          <w:rFonts w:ascii="微软雅黑" w:hAnsi="微软雅黑"/>
          <w:b/>
          <w:color w:val="auto"/>
          <w:szCs w:val="21"/>
          <w:highlight w:val="none"/>
        </w:rPr>
        <w:t>2、附各专业人员相关证明材料复印件；</w:t>
      </w:r>
    </w:p>
    <w:p w14:paraId="46FF3DBB">
      <w:pPr>
        <w:ind w:firstLine="840" w:firstLineChars="400"/>
        <w:rPr>
          <w:rFonts w:hint="eastAsia" w:ascii="微软雅黑" w:hAnsi="微软雅黑"/>
          <w:b/>
          <w:color w:val="auto"/>
          <w:szCs w:val="21"/>
          <w:highlight w:val="none"/>
        </w:rPr>
      </w:pPr>
      <w:r>
        <w:rPr>
          <w:rFonts w:ascii="微软雅黑" w:hAnsi="微软雅黑"/>
          <w:b/>
          <w:color w:val="auto"/>
          <w:szCs w:val="21"/>
          <w:highlight w:val="none"/>
        </w:rPr>
        <w:t>3、表格不够填写可添加。</w:t>
      </w:r>
    </w:p>
    <w:p w14:paraId="48F01237">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3CF7954F">
      <w:pPr>
        <w:pStyle w:val="121"/>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0127BC90">
      <w:pPr>
        <w:pStyle w:val="121"/>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6024D442">
      <w:pPr>
        <w:pStyle w:val="293"/>
        <w:spacing w:line="360" w:lineRule="auto"/>
        <w:ind w:firstLine="482"/>
        <w:rPr>
          <w:rFonts w:ascii="Times New Roman" w:hAnsi="Times New Roman" w:eastAsia="宋体"/>
          <w:b/>
          <w:color w:val="auto"/>
          <w:sz w:val="24"/>
          <w:szCs w:val="24"/>
          <w:highlight w:val="none"/>
        </w:rPr>
        <w:sectPr>
          <w:pgSz w:w="11906" w:h="16838"/>
          <w:pgMar w:top="1276" w:right="1418" w:bottom="1247" w:left="1418" w:header="851" w:footer="992" w:gutter="0"/>
          <w:cols w:space="720" w:num="1"/>
          <w:titlePg/>
          <w:docGrid w:linePitch="312" w:charSpace="0"/>
        </w:sectPr>
      </w:pPr>
    </w:p>
    <w:p w14:paraId="0EBD22D8">
      <w:pPr>
        <w:pStyle w:val="293"/>
        <w:spacing w:line="360" w:lineRule="auto"/>
        <w:ind w:firstLine="482"/>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5.诚信承诺函</w:t>
      </w:r>
    </w:p>
    <w:p w14:paraId="08EE7623">
      <w:pPr>
        <w:pStyle w:val="6"/>
        <w:overflowPunct w:val="0"/>
        <w:jc w:val="center"/>
        <w:rPr>
          <w:rFonts w:hint="eastAsia" w:ascii="微软雅黑" w:hAnsi="微软雅黑"/>
          <w:b/>
          <w:color w:val="auto"/>
          <w:szCs w:val="21"/>
          <w:highlight w:val="none"/>
        </w:rPr>
      </w:pPr>
      <w:r>
        <w:rPr>
          <w:rFonts w:hint="eastAsia" w:ascii="微软雅黑" w:hAnsi="微软雅黑"/>
          <w:b/>
          <w:color w:val="auto"/>
          <w:szCs w:val="21"/>
          <w:highlight w:val="none"/>
        </w:rPr>
        <w:t>诚信承诺函</w:t>
      </w:r>
    </w:p>
    <w:p w14:paraId="3F36E2FF">
      <w:pPr>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致 </w:t>
      </w:r>
      <w:r>
        <w:rPr>
          <w:rFonts w:hint="eastAsia" w:ascii="微软雅黑" w:hAnsi="微软雅黑"/>
          <w:color w:val="auto"/>
          <w:szCs w:val="21"/>
          <w:highlight w:val="none"/>
          <w:u w:val="single"/>
        </w:rPr>
        <w:t xml:space="preserve">     </w:t>
      </w:r>
      <w:r>
        <w:rPr>
          <w:rFonts w:hint="eastAsia" w:ascii="微软雅黑" w:hAnsi="微软雅黑"/>
          <w:b/>
          <w:color w:val="auto"/>
          <w:szCs w:val="21"/>
          <w:highlight w:val="none"/>
          <w:u w:val="single"/>
        </w:rPr>
        <w:t xml:space="preserve">（采购人）       </w:t>
      </w:r>
      <w:r>
        <w:rPr>
          <w:rFonts w:hint="eastAsia" w:ascii="微软雅黑" w:hAnsi="微软雅黑"/>
          <w:color w:val="auto"/>
          <w:szCs w:val="21"/>
          <w:highlight w:val="none"/>
        </w:rPr>
        <w:t>：</w:t>
      </w:r>
    </w:p>
    <w:p w14:paraId="37AF3903">
      <w:pPr>
        <w:ind w:firstLine="420"/>
        <w:rPr>
          <w:rFonts w:hint="eastAsia" w:ascii="微软雅黑" w:hAnsi="微软雅黑"/>
          <w:color w:val="auto"/>
          <w:szCs w:val="21"/>
          <w:highlight w:val="none"/>
        </w:rPr>
      </w:pPr>
      <w:r>
        <w:rPr>
          <w:rFonts w:hint="eastAsia" w:ascii="微软雅黑" w:hAnsi="微软雅黑"/>
          <w:color w:val="auto"/>
          <w:szCs w:val="21"/>
          <w:highlight w:val="none"/>
        </w:rPr>
        <w:t>我方在参加贵单位的</w:t>
      </w:r>
      <w:r>
        <w:rPr>
          <w:rFonts w:hint="eastAsia" w:ascii="微软雅黑" w:hAnsi="微软雅黑"/>
          <w:color w:val="auto"/>
          <w:szCs w:val="21"/>
          <w:highlight w:val="none"/>
          <w:u w:val="single"/>
        </w:rPr>
        <w:t xml:space="preserve">           政府采购项目</w:t>
      </w:r>
      <w:r>
        <w:rPr>
          <w:rFonts w:hint="eastAsia" w:ascii="微软雅黑" w:hAnsi="微软雅黑"/>
          <w:color w:val="auto"/>
          <w:szCs w:val="21"/>
          <w:highlight w:val="none"/>
        </w:rPr>
        <w:t>的招投标活动中，郑重承诺如下：</w:t>
      </w:r>
    </w:p>
    <w:p w14:paraId="582B02E7">
      <w:pPr>
        <w:ind w:firstLine="420"/>
        <w:rPr>
          <w:rFonts w:hint="eastAsia" w:ascii="微软雅黑" w:hAnsi="微软雅黑"/>
          <w:color w:val="auto"/>
          <w:szCs w:val="21"/>
          <w:highlight w:val="none"/>
        </w:rPr>
      </w:pPr>
      <w:r>
        <w:rPr>
          <w:rFonts w:hint="eastAsia" w:ascii="微软雅黑" w:hAnsi="微软雅黑"/>
          <w:color w:val="auto"/>
          <w:szCs w:val="21"/>
          <w:highlight w:val="none"/>
        </w:rPr>
        <w:t>1.我方申报的所有资料都是真实、准确、完整的；</w:t>
      </w:r>
    </w:p>
    <w:p w14:paraId="051B3775">
      <w:pPr>
        <w:ind w:firstLine="420"/>
        <w:rPr>
          <w:rFonts w:hint="eastAsia" w:ascii="微软雅黑" w:hAnsi="微软雅黑"/>
          <w:color w:val="auto"/>
          <w:szCs w:val="21"/>
          <w:highlight w:val="none"/>
        </w:rPr>
      </w:pPr>
      <w:r>
        <w:rPr>
          <w:rFonts w:hint="eastAsia" w:ascii="微软雅黑" w:hAnsi="微软雅黑"/>
          <w:color w:val="auto"/>
          <w:szCs w:val="21"/>
          <w:highlight w:val="none"/>
        </w:rPr>
        <w:t>2.我方无资质挂靠情形，保证不参与串标、围标及抬标；</w:t>
      </w:r>
    </w:p>
    <w:p w14:paraId="002B2753">
      <w:pPr>
        <w:ind w:firstLine="420"/>
        <w:rPr>
          <w:rFonts w:hint="eastAsia" w:ascii="微软雅黑" w:hAnsi="微软雅黑"/>
          <w:color w:val="auto"/>
          <w:szCs w:val="21"/>
          <w:highlight w:val="none"/>
        </w:rPr>
      </w:pPr>
      <w:r>
        <w:rPr>
          <w:rFonts w:hint="eastAsia" w:ascii="微软雅黑" w:hAnsi="微软雅黑"/>
          <w:color w:val="auto"/>
          <w:szCs w:val="21"/>
          <w:highlight w:val="none"/>
        </w:rPr>
        <w:t>3.我方未处于被各级行政主管部门做出停止市场行为处罚的期限内；</w:t>
      </w:r>
    </w:p>
    <w:p w14:paraId="129047E3">
      <w:pPr>
        <w:ind w:firstLine="420"/>
        <w:rPr>
          <w:rFonts w:hint="eastAsia" w:ascii="微软雅黑" w:hAnsi="微软雅黑"/>
          <w:color w:val="auto"/>
          <w:szCs w:val="21"/>
          <w:highlight w:val="none"/>
        </w:rPr>
      </w:pPr>
      <w:r>
        <w:rPr>
          <w:rFonts w:hint="eastAsia" w:ascii="微软雅黑" w:hAnsi="微软雅黑"/>
          <w:color w:val="auto"/>
          <w:szCs w:val="21"/>
          <w:highlight w:val="none"/>
        </w:rPr>
        <w:t>4.我方参加本项目政府采购活动前3年内在经营活动中没有受到行政处罚、行政处理(含通报)，未被记入不良行为，没有重大违法记录；</w:t>
      </w:r>
    </w:p>
    <w:p w14:paraId="442293CD">
      <w:pPr>
        <w:ind w:firstLine="420"/>
        <w:rPr>
          <w:rFonts w:hint="eastAsia" w:ascii="微软雅黑" w:hAnsi="微软雅黑"/>
          <w:color w:val="auto"/>
          <w:szCs w:val="21"/>
          <w:highlight w:val="none"/>
        </w:rPr>
      </w:pPr>
      <w:r>
        <w:rPr>
          <w:rFonts w:hint="eastAsia" w:ascii="微软雅黑" w:hAnsi="微软雅黑"/>
          <w:color w:val="auto"/>
          <w:szCs w:val="21"/>
          <w:highlight w:val="none"/>
        </w:rPr>
        <w:t>5.若我方中标，将严格按照规定及时与采购人签订合同；</w:t>
      </w:r>
    </w:p>
    <w:p w14:paraId="7D8CFA7D">
      <w:pPr>
        <w:ind w:firstLine="420"/>
        <w:rPr>
          <w:rFonts w:hint="eastAsia" w:ascii="微软雅黑" w:hAnsi="微软雅黑"/>
          <w:color w:val="auto"/>
          <w:szCs w:val="21"/>
          <w:highlight w:val="none"/>
        </w:rPr>
      </w:pPr>
      <w:r>
        <w:rPr>
          <w:rFonts w:hint="eastAsia" w:ascii="微软雅黑" w:hAnsi="微软雅黑"/>
          <w:color w:val="auto"/>
          <w:szCs w:val="21"/>
          <w:highlight w:val="none"/>
        </w:rPr>
        <w:t>6.若我方中标，将严格按照招标文件要求及投标文件承诺的报价、质量、工期、投标方案、项目负责人等内容组织实施；</w:t>
      </w:r>
    </w:p>
    <w:p w14:paraId="247289B8">
      <w:pPr>
        <w:ind w:firstLine="420"/>
        <w:rPr>
          <w:rFonts w:hint="eastAsia" w:ascii="微软雅黑" w:hAnsi="微软雅黑"/>
          <w:color w:val="auto"/>
          <w:szCs w:val="21"/>
          <w:highlight w:val="none"/>
        </w:rPr>
      </w:pPr>
      <w:r>
        <w:rPr>
          <w:rFonts w:hint="eastAsia" w:ascii="微软雅黑" w:hAnsi="微软雅黑"/>
          <w:color w:val="auto"/>
          <w:szCs w:val="21"/>
          <w:highlight w:val="none"/>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591A1881">
      <w:pPr>
        <w:ind w:firstLine="420"/>
        <w:rPr>
          <w:rFonts w:hint="eastAsia" w:ascii="微软雅黑" w:hAnsi="微软雅黑"/>
          <w:color w:val="auto"/>
          <w:szCs w:val="21"/>
          <w:highlight w:val="none"/>
        </w:rPr>
      </w:pPr>
      <w:r>
        <w:rPr>
          <w:rFonts w:hint="eastAsia" w:ascii="微软雅黑" w:hAnsi="微软雅黑"/>
          <w:color w:val="auto"/>
          <w:szCs w:val="21"/>
          <w:highlight w:val="none"/>
        </w:rPr>
        <w:t>特此承诺。</w:t>
      </w:r>
    </w:p>
    <w:p w14:paraId="592B03B3">
      <w:pPr>
        <w:wordWrap w:val="0"/>
        <w:snapToGrid w:val="0"/>
        <w:spacing w:before="50" w:after="50"/>
        <w:ind w:firstLine="420"/>
        <w:jc w:val="right"/>
        <w:rPr>
          <w:rFonts w:hint="eastAsia" w:ascii="微软雅黑" w:hAnsi="微软雅黑"/>
          <w:color w:val="auto"/>
          <w:szCs w:val="21"/>
          <w:highlight w:val="none"/>
        </w:rPr>
      </w:pPr>
      <w:r>
        <w:rPr>
          <w:rFonts w:hint="eastAsia" w:ascii="微软雅黑" w:hAnsi="微软雅黑"/>
          <w:color w:val="auto"/>
          <w:szCs w:val="21"/>
          <w:highlight w:val="none"/>
        </w:rPr>
        <w:t xml:space="preserve">法定代表人或被授权人签字（或盖章）：    </w:t>
      </w:r>
    </w:p>
    <w:p w14:paraId="6239C703">
      <w:pPr>
        <w:snapToGrid w:val="0"/>
        <w:spacing w:before="50" w:after="50"/>
        <w:ind w:firstLine="420"/>
        <w:jc w:val="center"/>
        <w:rPr>
          <w:rFonts w:hint="eastAsia" w:ascii="微软雅黑" w:hAnsi="微软雅黑"/>
          <w:color w:val="auto"/>
          <w:szCs w:val="21"/>
          <w:highlight w:val="none"/>
        </w:rPr>
      </w:pPr>
      <w:r>
        <w:rPr>
          <w:rFonts w:hint="eastAsia" w:ascii="微软雅黑" w:hAnsi="微软雅黑"/>
          <w:color w:val="auto"/>
          <w:szCs w:val="21"/>
          <w:highlight w:val="none"/>
        </w:rPr>
        <w:t xml:space="preserve">                                     投标供应商（公章）：      　　　　　　　　　　　　　</w:t>
      </w:r>
    </w:p>
    <w:p w14:paraId="5D94A7E3">
      <w:pPr>
        <w:spacing w:before="108" w:after="120" w:line="304" w:lineRule="auto"/>
        <w:ind w:right="417" w:firstLine="420"/>
        <w:jc w:val="center"/>
        <w:rPr>
          <w:rFonts w:hint="eastAsia" w:ascii="微软雅黑" w:hAnsi="微软雅黑"/>
          <w:color w:val="auto"/>
          <w:szCs w:val="21"/>
          <w:highlight w:val="none"/>
        </w:rPr>
      </w:pPr>
      <w:r>
        <w:rPr>
          <w:rFonts w:hint="eastAsia" w:ascii="微软雅黑" w:hAnsi="微软雅黑"/>
          <w:color w:val="auto"/>
          <w:szCs w:val="21"/>
          <w:highlight w:val="none"/>
        </w:rPr>
        <w:t xml:space="preserve">                                          日期：   年  月  日</w:t>
      </w:r>
    </w:p>
    <w:p w14:paraId="44D2A774">
      <w:pPr>
        <w:ind w:firstLine="420"/>
        <w:rPr>
          <w:rFonts w:hint="eastAsia" w:ascii="宋体" w:hAnsi="宋体"/>
          <w:color w:val="auto"/>
          <w:highlight w:val="none"/>
        </w:rPr>
      </w:pPr>
    </w:p>
    <w:p w14:paraId="2BD1A3E9">
      <w:pPr>
        <w:snapToGrid w:val="0"/>
        <w:ind w:firstLine="640"/>
        <w:jc w:val="center"/>
        <w:rPr>
          <w:rFonts w:hint="eastAsia" w:ascii="宋体" w:hAnsi="宋体"/>
          <w:b/>
          <w:color w:val="auto"/>
          <w:sz w:val="32"/>
          <w:szCs w:val="32"/>
          <w:highlight w:val="none"/>
        </w:rPr>
        <w:sectPr>
          <w:pgSz w:w="11906" w:h="16838"/>
          <w:pgMar w:top="1276" w:right="1418" w:bottom="1247" w:left="1418" w:header="851" w:footer="992" w:gutter="0"/>
          <w:cols w:space="720" w:num="1"/>
          <w:titlePg/>
          <w:docGrid w:linePitch="312" w:charSpace="0"/>
        </w:sectPr>
      </w:pPr>
    </w:p>
    <w:p w14:paraId="0E590F6A">
      <w:pPr>
        <w:snapToGrid w:val="0"/>
        <w:ind w:firstLine="420"/>
        <w:jc w:val="center"/>
        <w:rPr>
          <w:rFonts w:hint="eastAsia" w:ascii="宋体" w:hAnsi="宋体"/>
          <w:b/>
          <w:color w:val="auto"/>
          <w:szCs w:val="21"/>
          <w:highlight w:val="none"/>
        </w:rPr>
      </w:pPr>
      <w:r>
        <w:rPr>
          <w:rFonts w:hint="eastAsia" w:ascii="宋体" w:hAnsi="宋体"/>
          <w:b/>
          <w:color w:val="auto"/>
          <w:szCs w:val="21"/>
          <w:highlight w:val="none"/>
        </w:rPr>
        <w:t>劳动用工书面承诺</w:t>
      </w:r>
    </w:p>
    <w:p w14:paraId="09B11F64">
      <w:pPr>
        <w:snapToGrid w:val="0"/>
        <w:ind w:firstLine="420"/>
        <w:rPr>
          <w:rFonts w:hint="eastAsia" w:ascii="宋体" w:hAnsi="宋体"/>
          <w:color w:val="auto"/>
          <w:highlight w:val="none"/>
        </w:rPr>
      </w:pPr>
      <w:r>
        <w:rPr>
          <w:rFonts w:hint="eastAsia" w:ascii="宋体" w:hAnsi="宋体"/>
          <w:color w:val="auto"/>
          <w:highlight w:val="none"/>
        </w:rPr>
        <w:t>如我公司在本次招投标中标后成为中标供应商，我公司将严格遵守《民法典》及《劳动合同法》的相关规定，按招标文件的要求及我公司投标文件配置服务人员，按国家规定为员工缴纳社会保险。</w:t>
      </w:r>
    </w:p>
    <w:p w14:paraId="6B0DF68C">
      <w:pPr>
        <w:snapToGrid w:val="0"/>
        <w:ind w:firstLine="420"/>
        <w:rPr>
          <w:rFonts w:hint="eastAsia" w:ascii="宋体" w:hAnsi="宋体"/>
          <w:color w:val="auto"/>
          <w:highlight w:val="none"/>
        </w:rPr>
      </w:pPr>
      <w:r>
        <w:rPr>
          <w:rFonts w:hint="eastAsia" w:ascii="宋体" w:hAnsi="宋体"/>
          <w:color w:val="auto"/>
          <w:highlight w:val="none"/>
        </w:rPr>
        <w:t>特此承诺。</w:t>
      </w:r>
    </w:p>
    <w:p w14:paraId="11B8540B">
      <w:pPr>
        <w:snapToGrid w:val="0"/>
        <w:ind w:left="630" w:leftChars="100" w:hanging="420" w:hangingChars="200"/>
        <w:jc w:val="center"/>
        <w:rPr>
          <w:rFonts w:hint="eastAsia" w:ascii="宋体" w:hAnsi="宋体"/>
          <w:color w:val="auto"/>
          <w:highlight w:val="none"/>
        </w:rPr>
      </w:pPr>
      <w:r>
        <w:rPr>
          <w:rFonts w:hint="eastAsia" w:ascii="宋体" w:hAnsi="宋体"/>
          <w:color w:val="auto"/>
          <w:highlight w:val="none"/>
        </w:rPr>
        <w:t xml:space="preserve">                         法定代表人或其授权代表（签名）：</w:t>
      </w:r>
    </w:p>
    <w:p w14:paraId="677CF526">
      <w:pPr>
        <w:snapToGrid w:val="0"/>
        <w:ind w:left="630" w:leftChars="100" w:hanging="420" w:hangingChars="200"/>
        <w:jc w:val="center"/>
        <w:rPr>
          <w:rFonts w:hint="eastAsia" w:ascii="宋体" w:hAnsi="宋体"/>
          <w:color w:val="auto"/>
          <w:highlight w:val="none"/>
        </w:rPr>
      </w:pPr>
      <w:r>
        <w:rPr>
          <w:rFonts w:hint="eastAsia" w:ascii="宋体" w:hAnsi="宋体"/>
          <w:color w:val="auto"/>
          <w:highlight w:val="none"/>
        </w:rPr>
        <w:t xml:space="preserve">                         投标供应商（盖章）：</w:t>
      </w:r>
    </w:p>
    <w:p w14:paraId="3FD593C3">
      <w:pPr>
        <w:snapToGrid w:val="0"/>
        <w:ind w:left="630" w:leftChars="100" w:hanging="420" w:hangingChars="200"/>
        <w:jc w:val="center"/>
        <w:rPr>
          <w:rFonts w:hint="eastAsia" w:ascii="宋体" w:hAnsi="宋体"/>
          <w:color w:val="auto"/>
          <w:highlight w:val="none"/>
        </w:rPr>
      </w:pPr>
      <w:r>
        <w:rPr>
          <w:rFonts w:hint="eastAsia" w:ascii="宋体" w:hAnsi="宋体"/>
          <w:color w:val="auto"/>
          <w:highlight w:val="none"/>
        </w:rPr>
        <w:t xml:space="preserve">                   日期：</w:t>
      </w:r>
    </w:p>
    <w:p w14:paraId="7F927B53">
      <w:pPr>
        <w:pStyle w:val="25"/>
        <w:ind w:left="0" w:firstLine="420"/>
        <w:rPr>
          <w:rFonts w:hint="eastAsia" w:hAnsi="宋体"/>
          <w:b/>
          <w:color w:val="auto"/>
          <w:kern w:val="0"/>
          <w:highlight w:val="none"/>
        </w:rPr>
      </w:pPr>
    </w:p>
    <w:p w14:paraId="3192170A">
      <w:pPr>
        <w:ind w:firstLine="420"/>
        <w:rPr>
          <w:color w:val="auto"/>
          <w:highlight w:val="none"/>
        </w:rPr>
      </w:pPr>
    </w:p>
    <w:p w14:paraId="4C8AA616">
      <w:pPr>
        <w:ind w:firstLine="643"/>
        <w:jc w:val="center"/>
        <w:rPr>
          <w:rFonts w:hint="eastAsia" w:ascii="仿宋_GB2312" w:hAnsi="仿宋" w:eastAsia="仿宋_GB2312" w:cs="仿宋_GB2312"/>
          <w:b/>
          <w:color w:val="auto"/>
          <w:kern w:val="0"/>
          <w:sz w:val="32"/>
          <w:szCs w:val="32"/>
          <w:highlight w:val="none"/>
        </w:rPr>
      </w:pPr>
    </w:p>
    <w:p w14:paraId="7E127075">
      <w:pPr>
        <w:ind w:firstLine="643"/>
        <w:jc w:val="center"/>
        <w:rPr>
          <w:rFonts w:hint="eastAsia" w:ascii="仿宋_GB2312" w:hAnsi="仿宋" w:eastAsia="仿宋_GB2312" w:cs="仿宋_GB2312"/>
          <w:b/>
          <w:color w:val="auto"/>
          <w:kern w:val="0"/>
          <w:sz w:val="32"/>
          <w:szCs w:val="32"/>
          <w:highlight w:val="none"/>
        </w:rPr>
      </w:pPr>
    </w:p>
    <w:p w14:paraId="247129DF">
      <w:pPr>
        <w:ind w:firstLine="643"/>
        <w:jc w:val="center"/>
        <w:rPr>
          <w:rFonts w:hint="eastAsia" w:ascii="仿宋_GB2312" w:hAnsi="仿宋" w:eastAsia="仿宋_GB2312" w:cs="仿宋_GB2312"/>
          <w:b/>
          <w:color w:val="auto"/>
          <w:kern w:val="0"/>
          <w:sz w:val="32"/>
          <w:szCs w:val="32"/>
          <w:highlight w:val="none"/>
        </w:rPr>
      </w:pPr>
    </w:p>
    <w:p w14:paraId="2460231C">
      <w:pPr>
        <w:ind w:firstLine="643"/>
        <w:jc w:val="both"/>
        <w:rPr>
          <w:rFonts w:hint="eastAsia" w:ascii="仿宋_GB2312" w:hAnsi="仿宋" w:eastAsia="仿宋_GB2312" w:cs="仿宋_GB2312"/>
          <w:b/>
          <w:color w:val="auto"/>
          <w:kern w:val="0"/>
          <w:sz w:val="32"/>
          <w:szCs w:val="32"/>
          <w:highlight w:val="none"/>
        </w:rPr>
      </w:pPr>
    </w:p>
    <w:p w14:paraId="172FAD82">
      <w:pPr>
        <w:ind w:firstLine="643"/>
        <w:jc w:val="center"/>
        <w:rPr>
          <w:rFonts w:hint="eastAsia" w:ascii="仿宋_GB2312" w:hAnsi="仿宋" w:eastAsia="仿宋_GB2312" w:cs="仿宋_GB2312"/>
          <w:b/>
          <w:color w:val="auto"/>
          <w:kern w:val="0"/>
          <w:sz w:val="32"/>
          <w:szCs w:val="32"/>
          <w:highlight w:val="none"/>
        </w:rPr>
      </w:pPr>
    </w:p>
    <w:p w14:paraId="43635138">
      <w:pPr>
        <w:ind w:firstLine="482"/>
        <w:jc w:val="both"/>
        <w:rPr>
          <w:rFonts w:hint="eastAsia" w:ascii="仿宋_GB2312" w:hAnsi="仿宋" w:eastAsia="仿宋_GB2312" w:cs="仿宋_GB2312"/>
          <w:b/>
          <w:bCs/>
          <w:color w:val="auto"/>
          <w:sz w:val="24"/>
          <w:highlight w:val="none"/>
        </w:rPr>
        <w:sectPr>
          <w:pgSz w:w="11906" w:h="16838"/>
          <w:pgMar w:top="1276" w:right="1418" w:bottom="1247" w:left="1418" w:header="851" w:footer="992" w:gutter="0"/>
          <w:cols w:space="720" w:num="1"/>
          <w:titlePg/>
          <w:docGrid w:linePitch="312" w:charSpace="0"/>
        </w:sectPr>
      </w:pPr>
    </w:p>
    <w:p w14:paraId="3A9A2A9C">
      <w:pPr>
        <w:pStyle w:val="4"/>
        <w:ind w:firstLine="420"/>
        <w:jc w:val="center"/>
        <w:rPr>
          <w:rFonts w:hint="eastAsia" w:ascii="微软雅黑" w:hAnsi="微软雅黑" w:cs="仿宋_GB2312"/>
          <w:color w:val="auto"/>
          <w:szCs w:val="21"/>
          <w:highlight w:val="none"/>
        </w:rPr>
      </w:pPr>
      <w:bookmarkStart w:id="298" w:name="_Toc169015155"/>
      <w:bookmarkStart w:id="299" w:name="_Toc3189"/>
      <w:bookmarkStart w:id="300" w:name="_Toc22504"/>
      <w:r>
        <w:rPr>
          <w:rFonts w:hint="eastAsia" w:ascii="微软雅黑" w:hAnsi="微软雅黑" w:cs="仿宋_GB2312"/>
          <w:color w:val="auto"/>
          <w:szCs w:val="21"/>
          <w:highlight w:val="none"/>
        </w:rPr>
        <w:t>报价文件部分</w:t>
      </w:r>
      <w:bookmarkEnd w:id="298"/>
      <w:bookmarkEnd w:id="299"/>
      <w:bookmarkEnd w:id="300"/>
    </w:p>
    <w:p w14:paraId="47617877">
      <w:pPr>
        <w:ind w:firstLine="420"/>
        <w:jc w:val="center"/>
        <w:outlineLvl w:val="0"/>
        <w:rPr>
          <w:rFonts w:hint="eastAsia" w:ascii="微软雅黑" w:hAnsi="微软雅黑" w:cs="仿宋_GB2312"/>
          <w:b/>
          <w:color w:val="auto"/>
          <w:kern w:val="0"/>
          <w:szCs w:val="21"/>
          <w:highlight w:val="none"/>
        </w:rPr>
      </w:pPr>
      <w:bookmarkStart w:id="301" w:name="_Toc164943233"/>
      <w:bookmarkStart w:id="302" w:name="_Toc169015156"/>
      <w:bookmarkStart w:id="303" w:name="_Toc4766"/>
      <w:bookmarkStart w:id="304" w:name="_Toc28053"/>
      <w:bookmarkStart w:id="305" w:name="_Toc8651"/>
      <w:r>
        <w:rPr>
          <w:rFonts w:hint="eastAsia" w:ascii="微软雅黑" w:hAnsi="微软雅黑" w:cs="仿宋_GB2312"/>
          <w:b/>
          <w:color w:val="auto"/>
          <w:kern w:val="0"/>
          <w:szCs w:val="21"/>
          <w:highlight w:val="none"/>
        </w:rPr>
        <w:t>目录</w:t>
      </w:r>
      <w:bookmarkEnd w:id="301"/>
      <w:bookmarkEnd w:id="302"/>
      <w:bookmarkEnd w:id="303"/>
      <w:bookmarkEnd w:id="304"/>
      <w:bookmarkEnd w:id="305"/>
    </w:p>
    <w:p w14:paraId="01574640">
      <w:pPr>
        <w:pStyle w:val="103"/>
        <w:numPr>
          <w:ilvl w:val="1"/>
          <w:numId w:val="19"/>
        </w:numPr>
        <w:snapToGrid w:val="0"/>
        <w:ind w:hanging="116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开标一览表（报价表）………………………………………………………（页码）</w:t>
      </w:r>
    </w:p>
    <w:p w14:paraId="3D3EB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（2）落实政府采购政策需满足的资格要求………………………………（页码）</w:t>
      </w:r>
    </w:p>
    <w:p w14:paraId="0C2EB0A3">
      <w:pPr>
        <w:snapToGrid w:val="0"/>
        <w:ind w:right="480" w:firstLine="643"/>
        <w:jc w:val="center"/>
        <w:rPr>
          <w:rFonts w:hint="eastAsia" w:ascii="仿宋_GB2312" w:hAnsi="仿宋" w:eastAsia="仿宋_GB2312" w:cs="仿宋_GB2312"/>
          <w:b/>
          <w:color w:val="auto"/>
          <w:kern w:val="0"/>
          <w:sz w:val="32"/>
          <w:szCs w:val="32"/>
          <w:highlight w:val="none"/>
        </w:rPr>
      </w:pPr>
    </w:p>
    <w:p w14:paraId="763B1735">
      <w:pPr>
        <w:snapToGrid w:val="0"/>
        <w:ind w:right="480" w:firstLine="643"/>
        <w:jc w:val="center"/>
        <w:rPr>
          <w:rFonts w:hint="eastAsia" w:ascii="仿宋_GB2312" w:hAnsi="仿宋" w:eastAsia="仿宋_GB2312" w:cs="仿宋_GB2312"/>
          <w:b/>
          <w:color w:val="auto"/>
          <w:kern w:val="0"/>
          <w:sz w:val="32"/>
          <w:szCs w:val="32"/>
          <w:highlight w:val="none"/>
        </w:rPr>
      </w:pPr>
    </w:p>
    <w:p w14:paraId="53F64839">
      <w:pPr>
        <w:snapToGrid w:val="0"/>
        <w:ind w:right="480" w:firstLine="643"/>
        <w:jc w:val="center"/>
        <w:rPr>
          <w:rFonts w:hint="eastAsia" w:ascii="仿宋_GB2312" w:hAnsi="仿宋" w:eastAsia="仿宋_GB2312" w:cs="仿宋_GB2312"/>
          <w:b/>
          <w:color w:val="auto"/>
          <w:kern w:val="0"/>
          <w:sz w:val="32"/>
          <w:szCs w:val="32"/>
          <w:highlight w:val="none"/>
        </w:rPr>
      </w:pPr>
    </w:p>
    <w:p w14:paraId="2A3D8D99">
      <w:pPr>
        <w:snapToGrid w:val="0"/>
        <w:ind w:right="480" w:firstLine="643"/>
        <w:jc w:val="center"/>
        <w:rPr>
          <w:rFonts w:hint="eastAsia" w:ascii="仿宋_GB2312" w:hAnsi="仿宋" w:eastAsia="仿宋_GB2312" w:cs="仿宋_GB2312"/>
          <w:b/>
          <w:color w:val="auto"/>
          <w:kern w:val="0"/>
          <w:sz w:val="32"/>
          <w:szCs w:val="32"/>
          <w:highlight w:val="none"/>
        </w:rPr>
      </w:pPr>
    </w:p>
    <w:p w14:paraId="166DE6B9">
      <w:pPr>
        <w:snapToGrid w:val="0"/>
        <w:ind w:right="480" w:firstLine="643"/>
        <w:jc w:val="center"/>
        <w:rPr>
          <w:rFonts w:hint="eastAsia" w:ascii="仿宋_GB2312" w:hAnsi="仿宋" w:eastAsia="仿宋_GB2312" w:cs="仿宋_GB2312"/>
          <w:b/>
          <w:color w:val="auto"/>
          <w:kern w:val="0"/>
          <w:sz w:val="32"/>
          <w:szCs w:val="32"/>
          <w:highlight w:val="none"/>
        </w:rPr>
      </w:pPr>
    </w:p>
    <w:p w14:paraId="11390D45">
      <w:pPr>
        <w:snapToGrid w:val="0"/>
        <w:ind w:right="480" w:firstLine="643"/>
        <w:jc w:val="center"/>
        <w:rPr>
          <w:rFonts w:hint="eastAsia" w:ascii="仿宋_GB2312" w:hAnsi="仿宋" w:eastAsia="仿宋_GB2312" w:cs="仿宋_GB2312"/>
          <w:b/>
          <w:color w:val="auto"/>
          <w:kern w:val="0"/>
          <w:sz w:val="32"/>
          <w:szCs w:val="32"/>
          <w:highlight w:val="none"/>
        </w:rPr>
      </w:pPr>
    </w:p>
    <w:p w14:paraId="54BEBD2C">
      <w:pPr>
        <w:snapToGrid w:val="0"/>
        <w:ind w:right="480" w:firstLine="643"/>
        <w:jc w:val="center"/>
        <w:rPr>
          <w:rFonts w:hint="eastAsia" w:ascii="仿宋_GB2312" w:hAnsi="仿宋" w:eastAsia="仿宋_GB2312" w:cs="仿宋_GB2312"/>
          <w:b/>
          <w:color w:val="auto"/>
          <w:kern w:val="0"/>
          <w:sz w:val="32"/>
          <w:szCs w:val="32"/>
          <w:highlight w:val="none"/>
        </w:rPr>
      </w:pPr>
    </w:p>
    <w:p w14:paraId="346C2829">
      <w:pPr>
        <w:snapToGrid w:val="0"/>
        <w:ind w:right="480" w:firstLine="643"/>
        <w:jc w:val="center"/>
        <w:rPr>
          <w:rFonts w:hint="eastAsia" w:ascii="仿宋_GB2312" w:hAnsi="仿宋" w:eastAsia="仿宋_GB2312" w:cs="仿宋_GB2312"/>
          <w:b/>
          <w:color w:val="auto"/>
          <w:kern w:val="0"/>
          <w:sz w:val="32"/>
          <w:szCs w:val="32"/>
          <w:highlight w:val="none"/>
        </w:rPr>
      </w:pPr>
    </w:p>
    <w:p w14:paraId="344D8B4E">
      <w:pPr>
        <w:snapToGrid w:val="0"/>
        <w:ind w:right="480" w:firstLine="643"/>
        <w:jc w:val="center"/>
        <w:rPr>
          <w:rFonts w:hint="eastAsia" w:ascii="仿宋_GB2312" w:hAnsi="仿宋" w:eastAsia="仿宋_GB2312" w:cs="仿宋_GB2312"/>
          <w:b/>
          <w:color w:val="auto"/>
          <w:kern w:val="0"/>
          <w:sz w:val="32"/>
          <w:szCs w:val="32"/>
          <w:highlight w:val="none"/>
        </w:rPr>
      </w:pPr>
    </w:p>
    <w:p w14:paraId="1DE60415">
      <w:pPr>
        <w:snapToGrid w:val="0"/>
        <w:ind w:right="480" w:firstLine="643"/>
        <w:jc w:val="center"/>
        <w:rPr>
          <w:rFonts w:hint="eastAsia" w:ascii="仿宋_GB2312" w:hAnsi="仿宋" w:eastAsia="仿宋_GB2312" w:cs="仿宋_GB2312"/>
          <w:b/>
          <w:color w:val="auto"/>
          <w:kern w:val="0"/>
          <w:sz w:val="32"/>
          <w:szCs w:val="32"/>
          <w:highlight w:val="none"/>
        </w:rPr>
      </w:pPr>
    </w:p>
    <w:p w14:paraId="1C375DD1">
      <w:pPr>
        <w:snapToGrid w:val="0"/>
        <w:ind w:right="480" w:firstLine="643"/>
        <w:jc w:val="center"/>
        <w:rPr>
          <w:rFonts w:hint="eastAsia" w:ascii="仿宋_GB2312" w:hAnsi="仿宋" w:eastAsia="仿宋_GB2312" w:cs="仿宋_GB2312"/>
          <w:b/>
          <w:color w:val="auto"/>
          <w:kern w:val="0"/>
          <w:sz w:val="32"/>
          <w:szCs w:val="32"/>
          <w:highlight w:val="none"/>
        </w:rPr>
      </w:pPr>
    </w:p>
    <w:p w14:paraId="57ECA6D8">
      <w:pPr>
        <w:ind w:firstLine="420"/>
        <w:rPr>
          <w:color w:val="auto"/>
          <w:highlight w:val="none"/>
        </w:rPr>
        <w:sectPr>
          <w:headerReference r:id="rId24" w:type="default"/>
          <w:footerReference r:id="rId25" w:type="default"/>
          <w:pgSz w:w="11906" w:h="16838"/>
          <w:pgMar w:top="1276" w:right="1418" w:bottom="1247" w:left="1418" w:header="851" w:footer="992" w:gutter="0"/>
          <w:cols w:space="720" w:num="1"/>
          <w:titlePg/>
          <w:docGrid w:linePitch="312" w:charSpace="0"/>
        </w:sectPr>
      </w:pPr>
    </w:p>
    <w:p w14:paraId="6EA843B0">
      <w:pPr>
        <w:pStyle w:val="294"/>
        <w:keepNext w:val="0"/>
        <w:pageBreakBefore w:val="0"/>
        <w:tabs>
          <w:tab w:val="clear" w:pos="720"/>
        </w:tabs>
        <w:snapToGrid w:val="0"/>
        <w:spacing w:before="120" w:after="120"/>
        <w:ind w:firstLine="640"/>
        <w:outlineLvl w:val="1"/>
        <w:rPr>
          <w:rFonts w:hint="eastAsia" w:ascii="微软雅黑" w:hAnsi="微软雅黑" w:eastAsia="微软雅黑" w:cs="仿宋_GB2312"/>
          <w:color w:val="auto"/>
          <w:kern w:val="2"/>
          <w:sz w:val="21"/>
          <w:szCs w:val="21"/>
          <w:highlight w:val="none"/>
        </w:rPr>
      </w:pPr>
      <w:bookmarkStart w:id="306" w:name="_Toc27753"/>
      <w:bookmarkStart w:id="307" w:name="_Toc19793"/>
      <w:r>
        <w:rPr>
          <w:rFonts w:hint="eastAsia" w:ascii="微软雅黑" w:hAnsi="微软雅黑" w:eastAsia="微软雅黑" w:cs="仿宋_GB2312"/>
          <w:color w:val="auto"/>
          <w:kern w:val="2"/>
          <w:sz w:val="21"/>
          <w:szCs w:val="21"/>
          <w:highlight w:val="none"/>
        </w:rPr>
        <w:t>一、开标一览表（报价表）</w:t>
      </w:r>
      <w:bookmarkEnd w:id="306"/>
      <w:bookmarkEnd w:id="307"/>
    </w:p>
    <w:p w14:paraId="4839B258">
      <w:pPr>
        <w:snapToGrid w:val="0"/>
        <w:ind w:firstLine="420"/>
        <w:jc w:val="center"/>
        <w:rPr>
          <w:rFonts w:hint="eastAsia" w:ascii="微软雅黑" w:hAnsi="微软雅黑"/>
          <w:color w:val="auto"/>
          <w:szCs w:val="21"/>
          <w:highlight w:val="none"/>
        </w:rPr>
      </w:pPr>
    </w:p>
    <w:p w14:paraId="687BBA19">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招标编号： </w:t>
      </w:r>
    </w:p>
    <w:p w14:paraId="6D9F5301">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投标人名称：</w:t>
      </w:r>
    </w:p>
    <w:tbl>
      <w:tblPr>
        <w:tblStyle w:val="54"/>
        <w:tblW w:w="864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397"/>
        <w:gridCol w:w="908"/>
        <w:gridCol w:w="1040"/>
        <w:gridCol w:w="3297"/>
      </w:tblGrid>
      <w:tr w14:paraId="26A63B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3397" w:type="dxa"/>
            <w:tcBorders>
              <w:top w:val="single" w:color="auto" w:sz="4" w:space="0"/>
              <w:left w:val="single" w:color="auto" w:sz="4" w:space="0"/>
              <w:bottom w:val="single" w:color="auto" w:sz="4" w:space="0"/>
              <w:right w:val="single" w:color="auto" w:sz="4" w:space="0"/>
            </w:tcBorders>
            <w:vAlign w:val="center"/>
          </w:tcPr>
          <w:p w14:paraId="14404C38">
            <w:pPr>
              <w:snapToGrid w:val="0"/>
              <w:ind w:firstLine="420"/>
              <w:jc w:val="center"/>
              <w:rPr>
                <w:rFonts w:hint="eastAsia" w:ascii="微软雅黑" w:hAnsi="微软雅黑"/>
                <w:color w:val="auto"/>
                <w:szCs w:val="21"/>
                <w:highlight w:val="none"/>
              </w:rPr>
            </w:pPr>
            <w:r>
              <w:rPr>
                <w:rFonts w:hint="eastAsia" w:ascii="微软雅黑" w:hAnsi="微软雅黑"/>
                <w:color w:val="auto"/>
                <w:szCs w:val="21"/>
                <w:highlight w:val="none"/>
              </w:rPr>
              <w:t>名称</w:t>
            </w:r>
          </w:p>
        </w:tc>
        <w:tc>
          <w:tcPr>
            <w:tcW w:w="908" w:type="dxa"/>
            <w:tcBorders>
              <w:top w:val="single" w:color="auto" w:sz="4" w:space="0"/>
              <w:left w:val="single" w:color="auto" w:sz="4" w:space="0"/>
              <w:bottom w:val="single" w:color="auto" w:sz="4" w:space="0"/>
              <w:right w:val="single" w:color="auto" w:sz="4" w:space="0"/>
            </w:tcBorders>
            <w:vAlign w:val="center"/>
          </w:tcPr>
          <w:p w14:paraId="01B8C7C1">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数量</w:t>
            </w:r>
          </w:p>
        </w:tc>
        <w:tc>
          <w:tcPr>
            <w:tcW w:w="1040" w:type="dxa"/>
            <w:tcBorders>
              <w:top w:val="single" w:color="auto" w:sz="4" w:space="0"/>
              <w:left w:val="single" w:color="auto" w:sz="4" w:space="0"/>
              <w:bottom w:val="single" w:color="auto" w:sz="4" w:space="0"/>
              <w:right w:val="single" w:color="auto" w:sz="4" w:space="0"/>
            </w:tcBorders>
            <w:vAlign w:val="center"/>
          </w:tcPr>
          <w:p w14:paraId="28D3EE90">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单位</w:t>
            </w:r>
          </w:p>
        </w:tc>
        <w:tc>
          <w:tcPr>
            <w:tcW w:w="3297" w:type="dxa"/>
            <w:tcBorders>
              <w:top w:val="single" w:color="auto" w:sz="4" w:space="0"/>
              <w:left w:val="single" w:color="auto" w:sz="4" w:space="0"/>
              <w:bottom w:val="single" w:color="auto" w:sz="4" w:space="0"/>
              <w:right w:val="single" w:color="auto" w:sz="4" w:space="0"/>
            </w:tcBorders>
            <w:vAlign w:val="center"/>
          </w:tcPr>
          <w:p w14:paraId="6573CDAC">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投标报价（元）</w:t>
            </w:r>
          </w:p>
        </w:tc>
      </w:tr>
      <w:tr w14:paraId="70180D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0" w:hRule="atLeast"/>
        </w:trPr>
        <w:tc>
          <w:tcPr>
            <w:tcW w:w="3397" w:type="dxa"/>
            <w:tcBorders>
              <w:top w:val="single" w:color="auto" w:sz="4" w:space="0"/>
              <w:left w:val="single" w:color="auto" w:sz="4" w:space="0"/>
              <w:bottom w:val="single" w:color="auto" w:sz="4" w:space="0"/>
              <w:right w:val="single" w:color="auto" w:sz="4" w:space="0"/>
            </w:tcBorders>
            <w:vAlign w:val="center"/>
          </w:tcPr>
          <w:p w14:paraId="524ADB98">
            <w:pPr>
              <w:spacing w:line="276" w:lineRule="auto"/>
              <w:ind w:firstLine="0" w:firstLineChars="0"/>
              <w:jc w:val="both"/>
              <w:rPr>
                <w:rFonts w:hint="eastAsia" w:ascii="微软雅黑" w:hAnsi="微软雅黑"/>
                <w:color w:val="auto"/>
                <w:szCs w:val="21"/>
                <w:highlight w:val="none"/>
              </w:rPr>
            </w:pPr>
            <w:r>
              <w:rPr>
                <w:rFonts w:hint="eastAsia"/>
                <w:color w:val="auto"/>
                <w:highlight w:val="none"/>
              </w:rPr>
              <w:t>王江泾镇乍嘉苏航道长虹桥绕行周边地块规划设计编制服务项目</w:t>
            </w:r>
          </w:p>
        </w:tc>
        <w:tc>
          <w:tcPr>
            <w:tcW w:w="908" w:type="dxa"/>
            <w:tcBorders>
              <w:top w:val="single" w:color="auto" w:sz="4" w:space="0"/>
              <w:left w:val="single" w:color="auto" w:sz="4" w:space="0"/>
              <w:bottom w:val="single" w:color="auto" w:sz="4" w:space="0"/>
              <w:right w:val="single" w:color="auto" w:sz="4" w:space="0"/>
            </w:tcBorders>
            <w:vAlign w:val="center"/>
          </w:tcPr>
          <w:p w14:paraId="1CD727F8">
            <w:pPr>
              <w:snapToGrid w:val="0"/>
              <w:ind w:firstLine="420"/>
              <w:jc w:val="both"/>
              <w:rPr>
                <w:rFonts w:hint="eastAsia" w:ascii="微软雅黑" w:hAnsi="微软雅黑"/>
                <w:color w:val="auto"/>
                <w:szCs w:val="21"/>
                <w:highlight w:val="none"/>
              </w:rPr>
            </w:pPr>
            <w:r>
              <w:rPr>
                <w:rFonts w:ascii="微软雅黑" w:hAnsi="微软雅黑"/>
                <w:color w:val="auto"/>
                <w:szCs w:val="21"/>
                <w:highlight w:val="none"/>
              </w:rPr>
              <w:t>1</w:t>
            </w:r>
          </w:p>
        </w:tc>
        <w:tc>
          <w:tcPr>
            <w:tcW w:w="1040" w:type="dxa"/>
            <w:tcBorders>
              <w:top w:val="single" w:color="auto" w:sz="4" w:space="0"/>
              <w:left w:val="single" w:color="auto" w:sz="4" w:space="0"/>
              <w:bottom w:val="single" w:color="auto" w:sz="4" w:space="0"/>
              <w:right w:val="single" w:color="auto" w:sz="4" w:space="0"/>
            </w:tcBorders>
            <w:vAlign w:val="center"/>
          </w:tcPr>
          <w:p w14:paraId="05250F18">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项</w:t>
            </w:r>
          </w:p>
        </w:tc>
        <w:tc>
          <w:tcPr>
            <w:tcW w:w="3297" w:type="dxa"/>
            <w:tcBorders>
              <w:top w:val="single" w:color="auto" w:sz="4" w:space="0"/>
              <w:left w:val="single" w:color="auto" w:sz="4" w:space="0"/>
              <w:bottom w:val="single" w:color="auto" w:sz="4" w:space="0"/>
              <w:right w:val="single" w:color="auto" w:sz="4" w:space="0"/>
            </w:tcBorders>
            <w:vAlign w:val="center"/>
          </w:tcPr>
          <w:p w14:paraId="79C0AF75">
            <w:pPr>
              <w:snapToGrid w:val="0"/>
              <w:ind w:firstLine="420"/>
              <w:jc w:val="center"/>
              <w:rPr>
                <w:rFonts w:hint="eastAsia" w:ascii="微软雅黑" w:hAnsi="微软雅黑"/>
                <w:color w:val="auto"/>
                <w:szCs w:val="21"/>
                <w:highlight w:val="none"/>
              </w:rPr>
            </w:pPr>
          </w:p>
        </w:tc>
      </w:tr>
      <w:tr w14:paraId="05EC3D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6" w:hRule="atLeast"/>
        </w:trPr>
        <w:tc>
          <w:tcPr>
            <w:tcW w:w="8642" w:type="dxa"/>
            <w:gridSpan w:val="4"/>
            <w:tcBorders>
              <w:top w:val="single" w:color="auto" w:sz="4" w:space="0"/>
              <w:left w:val="single" w:color="auto" w:sz="4" w:space="0"/>
              <w:bottom w:val="single" w:color="auto" w:sz="4" w:space="0"/>
              <w:right w:val="single" w:color="auto" w:sz="4" w:space="0"/>
            </w:tcBorders>
            <w:vAlign w:val="center"/>
          </w:tcPr>
          <w:p w14:paraId="65DDB817">
            <w:pPr>
              <w:snapToGrid w:val="0"/>
              <w:ind w:firstLine="0" w:firstLineChars="0"/>
              <w:rPr>
                <w:rFonts w:hint="eastAsia" w:ascii="微软雅黑" w:hAnsi="微软雅黑"/>
                <w:color w:val="auto"/>
                <w:szCs w:val="21"/>
                <w:highlight w:val="none"/>
                <w:u w:val="single"/>
              </w:rPr>
            </w:pPr>
            <w:r>
              <w:rPr>
                <w:rFonts w:ascii="微软雅黑" w:hAnsi="微软雅黑"/>
                <w:color w:val="auto"/>
                <w:szCs w:val="21"/>
                <w:highlight w:val="none"/>
              </w:rPr>
              <w:t>合计：大写：                                                  小写：</w:t>
            </w:r>
          </w:p>
        </w:tc>
      </w:tr>
    </w:tbl>
    <w:p w14:paraId="52EFB8E6">
      <w:pPr>
        <w:snapToGrid w:val="0"/>
        <w:ind w:firstLine="420"/>
        <w:rPr>
          <w:rFonts w:hint="eastAsia" w:ascii="微软雅黑" w:hAnsi="微软雅黑"/>
          <w:color w:val="auto"/>
          <w:szCs w:val="21"/>
          <w:highlight w:val="none"/>
        </w:rPr>
      </w:pPr>
    </w:p>
    <w:p w14:paraId="519535D5">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注</w:t>
      </w:r>
      <w:r>
        <w:rPr>
          <w:rFonts w:ascii="微软雅黑" w:hAnsi="微软雅黑"/>
          <w:color w:val="auto"/>
          <w:szCs w:val="21"/>
          <w:highlight w:val="none"/>
        </w:rPr>
        <w:t>: 1</w:t>
      </w:r>
      <w:r>
        <w:rPr>
          <w:rFonts w:hint="eastAsia" w:ascii="微软雅黑" w:hAnsi="微软雅黑"/>
          <w:color w:val="auto"/>
          <w:szCs w:val="21"/>
          <w:highlight w:val="none"/>
        </w:rPr>
        <w:t>、报价一经涂改，应在涂改处加盖单位公章或者由法定代表人或授权委托人签字或盖章，否则其投标作无效标处理。</w:t>
      </w:r>
    </w:p>
    <w:p w14:paraId="643F03E5">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w:t>
      </w:r>
      <w:r>
        <w:rPr>
          <w:rFonts w:hint="eastAsia" w:ascii="微软雅黑" w:hAnsi="微软雅黑"/>
          <w:color w:val="auto"/>
          <w:szCs w:val="21"/>
          <w:highlight w:val="none"/>
        </w:rPr>
        <w:t>以上报价不得超过上限价，任何超过上限价的报价均导致投标被否决。</w:t>
      </w:r>
    </w:p>
    <w:p w14:paraId="60854806">
      <w:pPr>
        <w:pStyle w:val="30"/>
        <w:snapToGrid w:val="0"/>
        <w:ind w:firstLine="420"/>
        <w:rPr>
          <w:rFonts w:hint="eastAsia" w:ascii="微软雅黑" w:hAnsi="微软雅黑"/>
          <w:color w:val="auto"/>
          <w:szCs w:val="21"/>
          <w:highlight w:val="none"/>
        </w:rPr>
      </w:pPr>
    </w:p>
    <w:p w14:paraId="7428F43B">
      <w:pPr>
        <w:snapToGrid w:val="0"/>
        <w:ind w:firstLine="420"/>
        <w:rPr>
          <w:rFonts w:hint="eastAsia" w:ascii="微软雅黑" w:hAnsi="微软雅黑"/>
          <w:color w:val="auto"/>
          <w:szCs w:val="21"/>
          <w:highlight w:val="none"/>
        </w:rPr>
      </w:pPr>
    </w:p>
    <w:p w14:paraId="622E6468">
      <w:pPr>
        <w:snapToGrid w:val="0"/>
        <w:ind w:left="-46" w:leftChars="-22" w:right="-817" w:rightChars="-389" w:firstLine="525" w:firstLineChars="250"/>
        <w:rPr>
          <w:rFonts w:hint="eastAsia" w:ascii="微软雅黑" w:hAnsi="微软雅黑"/>
          <w:color w:val="auto"/>
          <w:szCs w:val="21"/>
          <w:highlight w:val="none"/>
        </w:rPr>
      </w:pPr>
      <w:r>
        <w:rPr>
          <w:rFonts w:hint="eastAsia" w:ascii="微软雅黑" w:hAnsi="微软雅黑"/>
          <w:color w:val="auto"/>
          <w:szCs w:val="21"/>
          <w:highlight w:val="none"/>
        </w:rPr>
        <w:t>法定代表人或授权代表（签字或盖章）：</w:t>
      </w:r>
    </w:p>
    <w:p w14:paraId="28CED60E">
      <w:pPr>
        <w:ind w:firstLine="420"/>
        <w:rPr>
          <w:rFonts w:hint="eastAsia" w:ascii="微软雅黑" w:hAnsi="微软雅黑"/>
          <w:color w:val="auto"/>
          <w:szCs w:val="21"/>
          <w:highlight w:val="none"/>
        </w:rPr>
      </w:pPr>
      <w:r>
        <w:rPr>
          <w:rFonts w:hint="eastAsia" w:ascii="微软雅黑" w:hAnsi="微软雅黑"/>
          <w:color w:val="auto"/>
          <w:szCs w:val="21"/>
          <w:highlight w:val="none"/>
        </w:rPr>
        <w:t>投标人名称（盖章）：</w:t>
      </w:r>
    </w:p>
    <w:p w14:paraId="78D252BD">
      <w:pPr>
        <w:ind w:firstLine="420"/>
        <w:rPr>
          <w:rFonts w:hint="eastAsia" w:ascii="微软雅黑" w:hAnsi="微软雅黑"/>
          <w:color w:val="auto"/>
          <w:szCs w:val="21"/>
          <w:highlight w:val="none"/>
        </w:rPr>
        <w:sectPr>
          <w:footerReference r:id="rId26" w:type="default"/>
          <w:pgSz w:w="11906" w:h="16838"/>
          <w:pgMar w:top="1474" w:right="1797" w:bottom="1247" w:left="1797" w:header="851" w:footer="992" w:gutter="0"/>
          <w:cols w:space="720" w:num="1"/>
          <w:docGrid w:linePitch="312" w:charSpace="0"/>
        </w:sectPr>
      </w:pPr>
      <w:r>
        <w:rPr>
          <w:rFonts w:hint="eastAsia" w:ascii="微软雅黑" w:hAnsi="微软雅黑"/>
          <w:color w:val="auto"/>
          <w:szCs w:val="21"/>
          <w:highlight w:val="none"/>
        </w:rPr>
        <w:t>日期： 年 月 日</w:t>
      </w:r>
    </w:p>
    <w:p w14:paraId="4F3D2CDF">
      <w:pPr>
        <w:pStyle w:val="121"/>
        <w:ind w:firstLine="420"/>
        <w:jc w:val="center"/>
        <w:rPr>
          <w:rFonts w:hint="eastAsia" w:ascii="微软雅黑" w:hAnsi="微软雅黑" w:eastAsia="微软雅黑"/>
          <w:color w:val="auto"/>
          <w:sz w:val="21"/>
          <w:szCs w:val="21"/>
          <w:highlight w:val="none"/>
        </w:rPr>
      </w:pPr>
    </w:p>
    <w:p w14:paraId="28412213">
      <w:pPr>
        <w:snapToGrid w:val="0"/>
        <w:spacing w:line="440" w:lineRule="exact"/>
        <w:ind w:right="480" w:firstLine="420"/>
        <w:jc w:val="center"/>
        <w:outlineLvl w:val="1"/>
        <w:rPr>
          <w:rFonts w:hint="eastAsia" w:ascii="微软雅黑" w:hAnsi="微软雅黑" w:cs="仿宋_GB2312"/>
          <w:b/>
          <w:color w:val="auto"/>
          <w:kern w:val="0"/>
          <w:szCs w:val="21"/>
          <w:highlight w:val="none"/>
        </w:rPr>
      </w:pPr>
      <w:bookmarkStart w:id="308" w:name="_Toc30054"/>
      <w:bookmarkStart w:id="309" w:name="_Toc6729"/>
      <w:r>
        <w:rPr>
          <w:rFonts w:hint="eastAsia" w:ascii="微软雅黑" w:hAnsi="微软雅黑"/>
          <w:color w:val="auto"/>
          <w:szCs w:val="21"/>
          <w:highlight w:val="none"/>
        </w:rPr>
        <w:t>二、</w:t>
      </w:r>
      <w:r>
        <w:rPr>
          <w:rFonts w:hint="eastAsia" w:ascii="微软雅黑" w:hAnsi="微软雅黑" w:cs="仿宋_GB2312"/>
          <w:b/>
          <w:color w:val="auto"/>
          <w:kern w:val="0"/>
          <w:szCs w:val="21"/>
          <w:highlight w:val="none"/>
        </w:rPr>
        <w:t>落实政府采购政策需满足的资格要求</w:t>
      </w:r>
      <w:bookmarkEnd w:id="308"/>
      <w:bookmarkEnd w:id="309"/>
    </w:p>
    <w:p w14:paraId="358D3FCA">
      <w:pPr>
        <w:widowControl/>
        <w:ind w:firstLine="105" w:firstLineChars="50"/>
        <w:rPr>
          <w:b/>
          <w:color w:val="auto"/>
          <w:highlight w:val="none"/>
        </w:rPr>
      </w:pPr>
    </w:p>
    <w:p w14:paraId="560DDFB1">
      <w:pPr>
        <w:snapToGrid w:val="0"/>
        <w:spacing w:before="50" w:after="50"/>
        <w:ind w:firstLine="420"/>
        <w:jc w:val="center"/>
        <w:rPr>
          <w:rFonts w:hint="eastAsia" w:ascii="微软雅黑" w:hAnsi="微软雅黑"/>
          <w:b/>
          <w:color w:val="auto"/>
          <w:szCs w:val="21"/>
          <w:highlight w:val="none"/>
        </w:rPr>
      </w:pPr>
      <w:r>
        <w:rPr>
          <w:b/>
          <w:color w:val="auto"/>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w:t>
      </w:r>
      <w:r>
        <w:rPr>
          <w:rFonts w:ascii="宋体" w:hAnsi="宋体"/>
          <w:color w:val="auto"/>
          <w:kern w:val="0"/>
          <w:highlight w:val="none"/>
        </w:rPr>
        <w:t xml:space="preserve"> </w:t>
      </w:r>
      <w:bookmarkStart w:id="310" w:name="_Toc21910"/>
      <w:r>
        <w:rPr>
          <w:rFonts w:hint="eastAsia" w:ascii="微软雅黑" w:hAnsi="微软雅黑"/>
          <w:b/>
          <w:color w:val="auto"/>
          <w:szCs w:val="21"/>
          <w:highlight w:val="none"/>
        </w:rPr>
        <w:t>中小企业声明函（工程、服务）</w:t>
      </w:r>
    </w:p>
    <w:p w14:paraId="5566B660">
      <w:pPr>
        <w:pStyle w:val="133"/>
        <w:spacing w:after="120" w:line="360" w:lineRule="auto"/>
        <w:ind w:right="157" w:firstLine="875" w:firstLineChars="417"/>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本公司（联合体）郑重声明，根据《政府采购促进中小企业发展管理办法》（财库﹝2020﹞46 号）的规定，本公司（联合体）参加</w:t>
      </w:r>
      <w:r>
        <w:rPr>
          <w:rFonts w:ascii="微软雅黑" w:hAnsi="微软雅黑" w:eastAsia="微软雅黑"/>
          <w:color w:val="auto"/>
          <w:sz w:val="21"/>
          <w:szCs w:val="21"/>
          <w:highlight w:val="none"/>
          <w:u w:val="single"/>
        </w:rPr>
        <w:t>（单位名称）</w:t>
      </w:r>
      <w:r>
        <w:rPr>
          <w:rFonts w:ascii="微软雅黑" w:hAnsi="微软雅黑" w:eastAsia="微软雅黑"/>
          <w:color w:val="auto"/>
          <w:sz w:val="21"/>
          <w:szCs w:val="21"/>
          <w:highlight w:val="none"/>
        </w:rPr>
        <w:t>的</w:t>
      </w:r>
      <w:r>
        <w:rPr>
          <w:rFonts w:ascii="微软雅黑" w:hAnsi="微软雅黑" w:eastAsia="微软雅黑"/>
          <w:color w:val="auto"/>
          <w:sz w:val="21"/>
          <w:szCs w:val="21"/>
          <w:highlight w:val="none"/>
          <w:u w:val="single"/>
        </w:rPr>
        <w:t>（项目名称）</w:t>
      </w:r>
      <w:r>
        <w:rPr>
          <w:rFonts w:ascii="微软雅黑" w:hAnsi="微软雅黑" w:eastAsia="微软雅黑"/>
          <w:color w:val="auto"/>
          <w:sz w:val="21"/>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1FCFFD1D">
      <w:pPr>
        <w:pStyle w:val="133"/>
        <w:spacing w:after="120" w:line="360" w:lineRule="auto"/>
        <w:ind w:right="157" w:firstLine="875" w:firstLineChars="417"/>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 xml:space="preserve">1. </w:t>
      </w:r>
      <w:r>
        <w:rPr>
          <w:rFonts w:ascii="微软雅黑" w:hAnsi="微软雅黑" w:eastAsia="微软雅黑"/>
          <w:color w:val="auto"/>
          <w:sz w:val="21"/>
          <w:szCs w:val="21"/>
          <w:highlight w:val="none"/>
          <w:u w:val="single"/>
        </w:rPr>
        <w:t>（标的名称）</w:t>
      </w:r>
      <w:r>
        <w:rPr>
          <w:rFonts w:ascii="微软雅黑" w:hAnsi="微软雅黑" w:eastAsia="微软雅黑"/>
          <w:color w:val="auto"/>
          <w:sz w:val="21"/>
          <w:szCs w:val="21"/>
          <w:highlight w:val="none"/>
        </w:rPr>
        <w:t>，属于</w:t>
      </w:r>
      <w:r>
        <w:rPr>
          <w:rFonts w:ascii="微软雅黑" w:hAnsi="微软雅黑" w:eastAsia="微软雅黑"/>
          <w:color w:val="auto"/>
          <w:sz w:val="21"/>
          <w:szCs w:val="21"/>
          <w:highlight w:val="none"/>
          <w:u w:val="single"/>
        </w:rPr>
        <w:t>（采购文件中明确的所属行业）</w:t>
      </w:r>
      <w:r>
        <w:rPr>
          <w:rFonts w:ascii="微软雅黑" w:hAnsi="微软雅黑" w:eastAsia="微软雅黑"/>
          <w:color w:val="auto"/>
          <w:sz w:val="21"/>
          <w:szCs w:val="21"/>
          <w:highlight w:val="none"/>
        </w:rPr>
        <w:t>；承建（承接）企业为</w:t>
      </w:r>
      <w:r>
        <w:rPr>
          <w:rFonts w:ascii="微软雅黑" w:hAnsi="微软雅黑" w:eastAsia="微软雅黑"/>
          <w:color w:val="auto"/>
          <w:sz w:val="21"/>
          <w:szCs w:val="21"/>
          <w:highlight w:val="none"/>
          <w:u w:val="single"/>
        </w:rPr>
        <w:t>（企业名称）</w:t>
      </w:r>
      <w:r>
        <w:rPr>
          <w:rFonts w:ascii="微软雅黑" w:hAnsi="微软雅黑" w:eastAsia="微软雅黑"/>
          <w:color w:val="auto"/>
          <w:sz w:val="21"/>
          <w:szCs w:val="21"/>
          <w:highlight w:val="none"/>
        </w:rPr>
        <w:t>，从业人员人，营业收入为万元，资产总额为万元，属于（中型企业、小型企业、微型企业）；</w:t>
      </w:r>
    </w:p>
    <w:p w14:paraId="41A209D8">
      <w:pPr>
        <w:pStyle w:val="133"/>
        <w:spacing w:after="120" w:line="360" w:lineRule="auto"/>
        <w:ind w:right="157" w:firstLine="875" w:firstLineChars="417"/>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 xml:space="preserve">2. </w:t>
      </w:r>
      <w:r>
        <w:rPr>
          <w:rFonts w:ascii="微软雅黑" w:hAnsi="微软雅黑" w:eastAsia="微软雅黑"/>
          <w:color w:val="auto"/>
          <w:sz w:val="21"/>
          <w:szCs w:val="21"/>
          <w:highlight w:val="none"/>
          <w:u w:val="single"/>
        </w:rPr>
        <w:t>（标的名称）</w:t>
      </w:r>
      <w:r>
        <w:rPr>
          <w:rFonts w:ascii="微软雅黑" w:hAnsi="微软雅黑" w:eastAsia="微软雅黑"/>
          <w:color w:val="auto"/>
          <w:sz w:val="21"/>
          <w:szCs w:val="21"/>
          <w:highlight w:val="none"/>
        </w:rPr>
        <w:t>，属于</w:t>
      </w:r>
      <w:r>
        <w:rPr>
          <w:rFonts w:ascii="微软雅黑" w:hAnsi="微软雅黑" w:eastAsia="微软雅黑"/>
          <w:color w:val="auto"/>
          <w:sz w:val="21"/>
          <w:szCs w:val="21"/>
          <w:highlight w:val="none"/>
          <w:u w:val="single"/>
        </w:rPr>
        <w:t>（采购文件中明确的所属行业）</w:t>
      </w:r>
      <w:r>
        <w:rPr>
          <w:rFonts w:ascii="微软雅黑" w:hAnsi="微软雅黑" w:eastAsia="微软雅黑"/>
          <w:color w:val="auto"/>
          <w:sz w:val="21"/>
          <w:szCs w:val="21"/>
          <w:highlight w:val="none"/>
        </w:rPr>
        <w:t>；承建（承接）企业为</w:t>
      </w:r>
      <w:r>
        <w:rPr>
          <w:rFonts w:ascii="微软雅黑" w:hAnsi="微软雅黑" w:eastAsia="微软雅黑"/>
          <w:color w:val="auto"/>
          <w:sz w:val="21"/>
          <w:szCs w:val="21"/>
          <w:highlight w:val="none"/>
          <w:u w:val="single"/>
        </w:rPr>
        <w:t>（企业名称）</w:t>
      </w:r>
      <w:r>
        <w:rPr>
          <w:rFonts w:ascii="微软雅黑" w:hAnsi="微软雅黑" w:eastAsia="微软雅黑"/>
          <w:color w:val="auto"/>
          <w:sz w:val="21"/>
          <w:szCs w:val="21"/>
          <w:highlight w:val="none"/>
        </w:rPr>
        <w:t>，从业人员人，营业收入为万元，资产总额为万元，属于</w:t>
      </w:r>
      <w:r>
        <w:rPr>
          <w:rFonts w:ascii="微软雅黑" w:hAnsi="微软雅黑" w:eastAsia="微软雅黑"/>
          <w:color w:val="auto"/>
          <w:sz w:val="21"/>
          <w:szCs w:val="21"/>
          <w:highlight w:val="none"/>
          <w:u w:val="single"/>
        </w:rPr>
        <w:t>（中型企业、小型企业、微型企业）</w:t>
      </w:r>
      <w:r>
        <w:rPr>
          <w:rFonts w:ascii="微软雅黑" w:hAnsi="微软雅黑" w:eastAsia="微软雅黑"/>
          <w:color w:val="auto"/>
          <w:sz w:val="21"/>
          <w:szCs w:val="21"/>
          <w:highlight w:val="none"/>
        </w:rPr>
        <w:t>；</w:t>
      </w:r>
    </w:p>
    <w:p w14:paraId="0B908F4C">
      <w:pPr>
        <w:pStyle w:val="133"/>
        <w:spacing w:after="120" w:line="360" w:lineRule="auto"/>
        <w:ind w:right="157" w:firstLine="875" w:firstLineChars="417"/>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w:t>
      </w:r>
    </w:p>
    <w:p w14:paraId="7C9C5DBE">
      <w:pPr>
        <w:pStyle w:val="133"/>
        <w:spacing w:after="120" w:line="360" w:lineRule="auto"/>
        <w:ind w:right="157" w:firstLine="420"/>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以上企业，不属于大企业的分支机构，不存在控股股东为大企业的情形，也不存在与大企业的负责人为同一人的情形。</w:t>
      </w:r>
    </w:p>
    <w:p w14:paraId="3C5C729B">
      <w:pPr>
        <w:pStyle w:val="133"/>
        <w:spacing w:after="120" w:line="360" w:lineRule="auto"/>
        <w:ind w:right="157" w:firstLine="420"/>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本企业对上述声明内容的真实性负责。如有虚假，将依法承担相应责任。</w:t>
      </w:r>
    </w:p>
    <w:p w14:paraId="073E5ABE">
      <w:pPr>
        <w:pStyle w:val="119"/>
        <w:rPr>
          <w:rFonts w:ascii="微软雅黑" w:hAnsi="微软雅黑" w:eastAsia="微软雅黑"/>
          <w:color w:val="auto"/>
          <w:sz w:val="21"/>
          <w:szCs w:val="21"/>
          <w:highlight w:val="none"/>
        </w:rPr>
      </w:pPr>
    </w:p>
    <w:p w14:paraId="7732F0E7">
      <w:pPr>
        <w:pStyle w:val="119"/>
        <w:rPr>
          <w:rFonts w:ascii="微软雅黑" w:hAnsi="微软雅黑" w:eastAsia="微软雅黑"/>
          <w:color w:val="auto"/>
          <w:sz w:val="21"/>
          <w:szCs w:val="21"/>
          <w:highlight w:val="none"/>
        </w:rPr>
      </w:pPr>
    </w:p>
    <w:p w14:paraId="76946BB5">
      <w:pPr>
        <w:pStyle w:val="133"/>
        <w:spacing w:after="120" w:line="360" w:lineRule="auto"/>
        <w:ind w:right="157" w:firstLine="500"/>
        <w:rPr>
          <w:rFonts w:ascii="微软雅黑" w:hAnsi="微软雅黑" w:eastAsia="微软雅黑"/>
          <w:color w:val="auto"/>
          <w:spacing w:val="20"/>
          <w:sz w:val="21"/>
          <w:szCs w:val="21"/>
          <w:highlight w:val="none"/>
          <w:u w:val="single"/>
        </w:rPr>
      </w:pPr>
      <w:r>
        <w:rPr>
          <w:rFonts w:ascii="微软雅黑" w:hAnsi="微软雅黑" w:eastAsia="微软雅黑"/>
          <w:color w:val="auto"/>
          <w:spacing w:val="20"/>
          <w:sz w:val="21"/>
          <w:szCs w:val="21"/>
          <w:highlight w:val="none"/>
        </w:rPr>
        <w:t>供应商名称：</w:t>
      </w:r>
      <w:r>
        <w:rPr>
          <w:rFonts w:ascii="微软雅黑" w:hAnsi="微软雅黑" w:eastAsia="微软雅黑"/>
          <w:color w:val="auto"/>
          <w:spacing w:val="20"/>
          <w:sz w:val="21"/>
          <w:szCs w:val="21"/>
          <w:highlight w:val="none"/>
          <w:u w:val="single"/>
        </w:rPr>
        <w:t>（盖章）</w:t>
      </w:r>
      <w:r>
        <w:rPr>
          <w:rFonts w:ascii="微软雅黑" w:hAnsi="微软雅黑" w:eastAsia="微软雅黑"/>
          <w:color w:val="auto"/>
          <w:spacing w:val="20"/>
          <w:sz w:val="21"/>
          <w:szCs w:val="21"/>
          <w:highlight w:val="none"/>
        </w:rPr>
        <w:t>日期：</w:t>
      </w:r>
    </w:p>
    <w:p w14:paraId="2ECE6C94">
      <w:pPr>
        <w:pStyle w:val="119"/>
        <w:ind w:firstLine="420"/>
        <w:rPr>
          <w:rFonts w:ascii="微软雅黑" w:hAnsi="微软雅黑" w:eastAsia="微软雅黑"/>
          <w:color w:val="auto"/>
          <w:sz w:val="21"/>
          <w:szCs w:val="21"/>
          <w:highlight w:val="none"/>
        </w:rPr>
      </w:pPr>
    </w:p>
    <w:p w14:paraId="1FC50BBF">
      <w:pPr>
        <w:pStyle w:val="121"/>
        <w:ind w:firstLine="420"/>
        <w:jc w:val="center"/>
        <w:rPr>
          <w:rFonts w:hint="eastAsia" w:ascii="微软雅黑" w:hAnsi="微软雅黑" w:eastAsia="微软雅黑"/>
          <w:color w:val="auto"/>
          <w:sz w:val="21"/>
          <w:szCs w:val="21"/>
          <w:highlight w:val="none"/>
        </w:rPr>
      </w:pPr>
    </w:p>
    <w:p w14:paraId="75968B78">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 注：</w:t>
      </w:r>
    </w:p>
    <w:p w14:paraId="63554EB2">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声明内容不实的，属于提供虚假材料谋取中标、成交的，依法承担法律责任。</w:t>
      </w:r>
    </w:p>
    <w:p w14:paraId="29435EB4">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A30D41B">
      <w:pPr>
        <w:snapToGrid w:val="0"/>
        <w:ind w:firstLine="420" w:firstLineChars="0"/>
        <w:rPr>
          <w:rFonts w:hint="eastAsia" w:ascii="微软雅黑" w:hAnsi="微软雅黑" w:cs="仿宋_GB2312"/>
          <w:color w:val="auto"/>
          <w:szCs w:val="21"/>
          <w:highlight w:val="none"/>
        </w:rPr>
        <w:sectPr>
          <w:pgSz w:w="11906" w:h="16838"/>
          <w:pgMar w:top="1247" w:right="1418" w:bottom="1276" w:left="1418" w:header="851" w:footer="992" w:gutter="0"/>
          <w:cols w:space="720" w:num="1"/>
          <w:titlePg/>
          <w:docGrid w:linePitch="312" w:charSpace="0"/>
        </w:sectPr>
      </w:pPr>
      <w:r>
        <w:rPr>
          <w:rFonts w:hint="eastAsia" w:ascii="微软雅黑" w:hAnsi="微软雅黑" w:cs="宋体"/>
          <w:b/>
          <w:bCs/>
          <w:color w:val="auto"/>
          <w:szCs w:val="21"/>
          <w:highlight w:val="none"/>
        </w:rPr>
        <w:t>3.根据实际情况，在（</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中型企业、</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小型企业、</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微型企业）处进行勾选。</w:t>
      </w:r>
    </w:p>
    <w:p w14:paraId="1A5B69FF">
      <w:pPr>
        <w:pStyle w:val="294"/>
        <w:keepNext w:val="0"/>
        <w:pageBreakBefore w:val="0"/>
        <w:tabs>
          <w:tab w:val="clear" w:pos="720"/>
        </w:tabs>
        <w:snapToGrid w:val="0"/>
        <w:spacing w:before="120" w:after="120"/>
        <w:ind w:firstLine="640"/>
        <w:outlineLvl w:val="1"/>
        <w:rPr>
          <w:rFonts w:hint="eastAsia" w:ascii="微软雅黑" w:hAnsi="微软雅黑" w:eastAsia="微软雅黑" w:cs="仿宋_GB2312"/>
          <w:color w:val="auto"/>
          <w:kern w:val="2"/>
          <w:sz w:val="21"/>
          <w:szCs w:val="21"/>
          <w:highlight w:val="none"/>
        </w:rPr>
      </w:pPr>
      <w:bookmarkStart w:id="311" w:name="_Toc17289"/>
      <w:r>
        <w:rPr>
          <w:rFonts w:hint="eastAsia" w:ascii="微软雅黑" w:hAnsi="微软雅黑" w:eastAsia="微软雅黑" w:cs="仿宋_GB2312"/>
          <w:color w:val="auto"/>
          <w:kern w:val="2"/>
          <w:sz w:val="21"/>
          <w:szCs w:val="21"/>
          <w:highlight w:val="none"/>
        </w:rPr>
        <w:t>残疾人福利性单位声明函</w:t>
      </w:r>
      <w:bookmarkEnd w:id="310"/>
      <w:bookmarkEnd w:id="311"/>
    </w:p>
    <w:p w14:paraId="708C828C">
      <w:pPr>
        <w:widowControl/>
        <w:ind w:firstLine="420"/>
        <w:textAlignment w:val="top"/>
        <w:rPr>
          <w:rFonts w:hint="eastAsia" w:ascii="微软雅黑" w:hAnsi="微软雅黑"/>
          <w:color w:val="auto"/>
          <w:kern w:val="0"/>
          <w:szCs w:val="21"/>
          <w:highlight w:val="none"/>
        </w:rPr>
      </w:pPr>
      <w:r>
        <w:rPr>
          <w:rFonts w:hint="eastAsia" w:ascii="微软雅黑" w:hAnsi="微软雅黑"/>
          <w:color w:val="auto"/>
          <w:kern w:val="0"/>
          <w:szCs w:val="21"/>
          <w:highlight w:val="none"/>
        </w:rPr>
        <w:t>   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0E1D8CF">
      <w:pPr>
        <w:widowControl/>
        <w:ind w:firstLine="420"/>
        <w:textAlignment w:val="top"/>
        <w:rPr>
          <w:rFonts w:hint="eastAsia" w:ascii="微软雅黑" w:hAnsi="微软雅黑"/>
          <w:color w:val="auto"/>
          <w:kern w:val="0"/>
          <w:szCs w:val="21"/>
          <w:highlight w:val="none"/>
        </w:rPr>
      </w:pPr>
      <w:r>
        <w:rPr>
          <w:rFonts w:hint="eastAsia" w:ascii="微软雅黑" w:hAnsi="微软雅黑"/>
          <w:color w:val="auto"/>
          <w:kern w:val="0"/>
          <w:szCs w:val="21"/>
          <w:highlight w:val="none"/>
        </w:rPr>
        <w:t>      本单位对上述声明的真实性负责。如有虚假，将依法承担相应责任。</w:t>
      </w:r>
    </w:p>
    <w:p w14:paraId="49872E86">
      <w:pPr>
        <w:snapToGrid w:val="0"/>
        <w:spacing w:before="120" w:beforeLines="50"/>
        <w:ind w:firstLine="420"/>
        <w:jc w:val="center"/>
        <w:rPr>
          <w:rFonts w:hint="eastAsia" w:ascii="微软雅黑" w:hAnsi="微软雅黑" w:cs="Arial"/>
          <w:color w:val="auto"/>
          <w:kern w:val="0"/>
          <w:szCs w:val="21"/>
          <w:highlight w:val="none"/>
        </w:rPr>
      </w:pPr>
    </w:p>
    <w:p w14:paraId="29420528">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70871268">
      <w:pPr>
        <w:pStyle w:val="121"/>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778726B5">
      <w:pPr>
        <w:pStyle w:val="121"/>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503F3D80">
      <w:pPr>
        <w:widowControl/>
        <w:ind w:right="480" w:firstLine="6825" w:firstLineChars="3250"/>
        <w:textAlignment w:val="top"/>
        <w:rPr>
          <w:rFonts w:hint="eastAsia" w:ascii="宋体" w:hAnsi="宋体"/>
          <w:color w:val="auto"/>
          <w:kern w:val="0"/>
          <w:szCs w:val="21"/>
          <w:highlight w:val="none"/>
        </w:rPr>
      </w:pPr>
    </w:p>
    <w:p w14:paraId="221C769F">
      <w:pPr>
        <w:pStyle w:val="20"/>
        <w:ind w:firstLine="420"/>
        <w:rPr>
          <w:color w:val="auto"/>
          <w:highlight w:val="none"/>
        </w:rPr>
      </w:pPr>
    </w:p>
    <w:p w14:paraId="2256DB56">
      <w:pPr>
        <w:pStyle w:val="20"/>
        <w:ind w:firstLine="420"/>
        <w:rPr>
          <w:color w:val="auto"/>
          <w:highlight w:val="none"/>
        </w:rPr>
      </w:pPr>
    </w:p>
    <w:p w14:paraId="5F6AF4E8">
      <w:pPr>
        <w:pStyle w:val="21"/>
        <w:ind w:firstLine="480"/>
        <w:rPr>
          <w:rFonts w:hint="eastAsia"/>
          <w:color w:val="auto"/>
          <w:highlight w:val="none"/>
        </w:rPr>
      </w:pPr>
    </w:p>
    <w:p w14:paraId="7373B698">
      <w:pPr>
        <w:pStyle w:val="21"/>
        <w:ind w:firstLine="480"/>
        <w:rPr>
          <w:rFonts w:hint="eastAsia"/>
          <w:color w:val="auto"/>
          <w:highlight w:val="none"/>
        </w:rPr>
      </w:pPr>
    </w:p>
    <w:p w14:paraId="60900E60">
      <w:pPr>
        <w:pStyle w:val="21"/>
        <w:ind w:firstLine="480"/>
        <w:rPr>
          <w:rFonts w:hint="eastAsia"/>
          <w:color w:val="auto"/>
          <w:highlight w:val="none"/>
        </w:rPr>
      </w:pPr>
    </w:p>
    <w:p w14:paraId="5B1D57B3">
      <w:pPr>
        <w:pStyle w:val="21"/>
        <w:ind w:firstLine="480"/>
        <w:rPr>
          <w:rFonts w:hint="eastAsia"/>
          <w:color w:val="auto"/>
          <w:highlight w:val="none"/>
        </w:rPr>
      </w:pPr>
    </w:p>
    <w:p w14:paraId="41F2E104">
      <w:pPr>
        <w:pStyle w:val="20"/>
        <w:ind w:firstLine="420"/>
        <w:rPr>
          <w:color w:val="auto"/>
          <w:highlight w:val="none"/>
        </w:rPr>
      </w:pPr>
    </w:p>
    <w:p w14:paraId="7706F152">
      <w:pPr>
        <w:pStyle w:val="21"/>
        <w:ind w:firstLine="480"/>
        <w:rPr>
          <w:rFonts w:hint="eastAsia"/>
          <w:color w:val="auto"/>
          <w:highlight w:val="none"/>
        </w:rPr>
      </w:pPr>
    </w:p>
    <w:p w14:paraId="45082E96">
      <w:pPr>
        <w:widowControl/>
        <w:spacing w:line="240" w:lineRule="auto"/>
        <w:ind w:firstLine="0" w:firstLineChars="0"/>
        <w:rPr>
          <w:color w:val="auto"/>
          <w:highlight w:val="none"/>
        </w:rPr>
      </w:pPr>
      <w:r>
        <w:rPr>
          <w:color w:val="auto"/>
          <w:highlight w:val="none"/>
        </w:rPr>
        <w:br w:type="page"/>
      </w:r>
    </w:p>
    <w:p w14:paraId="78CD8DD2">
      <w:pPr>
        <w:ind w:firstLine="420"/>
        <w:outlineLvl w:val="1"/>
        <w:rPr>
          <w:b/>
          <w:bCs/>
          <w:color w:val="auto"/>
          <w:highlight w:val="none"/>
        </w:rPr>
      </w:pPr>
      <w:bookmarkStart w:id="312" w:name="_Toc19343"/>
      <w:bookmarkStart w:id="313" w:name="_Toc22851"/>
      <w:r>
        <w:rPr>
          <w:rFonts w:hint="eastAsia"/>
          <w:b/>
          <w:bCs/>
          <w:color w:val="auto"/>
          <w:highlight w:val="none"/>
        </w:rPr>
        <w:t>监狱企业证明文件</w:t>
      </w:r>
      <w:bookmarkEnd w:id="312"/>
      <w:bookmarkEnd w:id="313"/>
    </w:p>
    <w:p w14:paraId="37231B67">
      <w:pPr>
        <w:ind w:firstLine="420"/>
        <w:jc w:val="center"/>
        <w:rPr>
          <w:rFonts w:hint="eastAsia" w:ascii="微软雅黑" w:hAnsi="微软雅黑"/>
          <w:b/>
          <w:color w:val="auto"/>
          <w:szCs w:val="21"/>
          <w:highlight w:val="none"/>
        </w:rPr>
      </w:pPr>
      <w:bookmarkStart w:id="314" w:name="_Toc164943234"/>
      <w:bookmarkStart w:id="315" w:name="_Toc12078"/>
      <w:r>
        <w:rPr>
          <w:rFonts w:hint="eastAsia" w:ascii="微软雅黑" w:hAnsi="微软雅黑"/>
          <w:b/>
          <w:color w:val="auto"/>
          <w:szCs w:val="21"/>
          <w:highlight w:val="none"/>
        </w:rPr>
        <w:t>监狱企业证明文件</w:t>
      </w:r>
      <w:bookmarkEnd w:id="314"/>
      <w:bookmarkEnd w:id="315"/>
    </w:p>
    <w:tbl>
      <w:tblPr>
        <w:tblStyle w:val="54"/>
        <w:tblW w:w="8820"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8820"/>
      </w:tblGrid>
      <w:tr w14:paraId="40E3959C">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6516" w:hRule="atLeast"/>
        </w:trPr>
        <w:tc>
          <w:tcPr>
            <w:tcW w:w="8820" w:type="dxa"/>
            <w:vAlign w:val="center"/>
          </w:tcPr>
          <w:p w14:paraId="11B8D717">
            <w:pPr>
              <w:ind w:firstLine="420"/>
              <w:jc w:val="center"/>
              <w:rPr>
                <w:rFonts w:hint="eastAsia" w:ascii="微软雅黑" w:hAnsi="微软雅黑"/>
                <w:b/>
                <w:color w:val="auto"/>
                <w:szCs w:val="21"/>
                <w:highlight w:val="none"/>
              </w:rPr>
            </w:pPr>
            <w:r>
              <w:rPr>
                <w:rFonts w:hint="eastAsia" w:ascii="微软雅黑" w:hAnsi="微软雅黑"/>
                <w:b/>
                <w:color w:val="auto"/>
                <w:szCs w:val="21"/>
                <w:highlight w:val="none"/>
              </w:rPr>
              <w:t>相关部门出具的监狱企业证明文件</w:t>
            </w:r>
          </w:p>
          <w:p w14:paraId="353422C0">
            <w:pPr>
              <w:ind w:firstLine="420"/>
              <w:jc w:val="center"/>
              <w:rPr>
                <w:rFonts w:hint="eastAsia" w:ascii="微软雅黑" w:hAnsi="微软雅黑" w:cs="Arial"/>
                <w:b/>
                <w:i/>
                <w:color w:val="auto"/>
                <w:kern w:val="0"/>
                <w:szCs w:val="21"/>
                <w:highlight w:val="none"/>
              </w:rPr>
            </w:pPr>
            <w:r>
              <w:rPr>
                <w:rFonts w:hint="eastAsia" w:ascii="微软雅黑" w:hAnsi="微软雅黑"/>
                <w:color w:val="auto"/>
                <w:szCs w:val="21"/>
                <w:highlight w:val="none"/>
              </w:rPr>
              <w:t>（如是，提供</w:t>
            </w:r>
            <w:r>
              <w:rPr>
                <w:rFonts w:hint="eastAsia" w:ascii="微软雅黑" w:hAnsi="微软雅黑" w:cs="Arial"/>
                <w:color w:val="auto"/>
                <w:kern w:val="0"/>
                <w:szCs w:val="21"/>
                <w:highlight w:val="none"/>
              </w:rPr>
              <w:t>复印件加盖投标供应商公章）</w:t>
            </w:r>
          </w:p>
        </w:tc>
      </w:tr>
    </w:tbl>
    <w:p w14:paraId="6BA10264">
      <w:pPr>
        <w:ind w:firstLine="420"/>
        <w:rPr>
          <w:rFonts w:hint="eastAsia" w:ascii="微软雅黑" w:hAnsi="微软雅黑" w:cs="Arial"/>
          <w:i/>
          <w:color w:val="auto"/>
          <w:szCs w:val="21"/>
          <w:highlight w:val="none"/>
        </w:rPr>
      </w:pPr>
    </w:p>
    <w:p w14:paraId="790F7AD2">
      <w:pPr>
        <w:snapToGrid w:val="0"/>
        <w:ind w:firstLine="0" w:firstLineChars="0"/>
        <w:rPr>
          <w:rFonts w:hint="eastAsia"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投标人名称：（盖章）</w:t>
      </w:r>
    </w:p>
    <w:p w14:paraId="71A37464">
      <w:pPr>
        <w:snapToGrid w:val="0"/>
        <w:ind w:firstLine="0" w:firstLineChars="0"/>
        <w:rPr>
          <w:rFonts w:hint="eastAsia"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法定代表人或授权代表（签字）：</w:t>
      </w:r>
    </w:p>
    <w:p w14:paraId="53EE7947">
      <w:pPr>
        <w:snapToGrid w:val="0"/>
        <w:ind w:firstLine="0" w:firstLineChars="0"/>
        <w:rPr>
          <w:rFonts w:hint="eastAsia" w:ascii="微软雅黑" w:hAnsi="微软雅黑"/>
          <w:color w:val="auto"/>
          <w:szCs w:val="21"/>
          <w:highlight w:val="none"/>
          <w:u w:val="single"/>
        </w:rPr>
      </w:pPr>
      <w:r>
        <w:rPr>
          <w:rFonts w:hint="eastAsia" w:ascii="微软雅黑" w:hAnsi="微软雅黑"/>
          <w:color w:val="auto"/>
          <w:szCs w:val="21"/>
          <w:highlight w:val="none"/>
          <w:shd w:val="clear" w:color="auto" w:fill="FFFFFF"/>
        </w:rPr>
        <w:t>投标日期： 年 月 日</w:t>
      </w:r>
    </w:p>
    <w:p w14:paraId="5655C980">
      <w:pPr>
        <w:ind w:firstLine="420"/>
        <w:rPr>
          <w:color w:val="auto"/>
          <w:highlight w:val="none"/>
        </w:rPr>
      </w:pPr>
    </w:p>
    <w:p w14:paraId="5B4F93E4">
      <w:pPr>
        <w:pStyle w:val="121"/>
        <w:ind w:firstLine="420"/>
        <w:jc w:val="center"/>
        <w:rPr>
          <w:rFonts w:hint="eastAsia" w:ascii="微软雅黑" w:hAnsi="微软雅黑" w:eastAsia="微软雅黑"/>
          <w:color w:val="auto"/>
          <w:sz w:val="21"/>
          <w:szCs w:val="21"/>
          <w:highlight w:val="none"/>
        </w:rPr>
        <w:sectPr>
          <w:pgSz w:w="11906" w:h="16838"/>
          <w:pgMar w:top="1247" w:right="1418" w:bottom="1276" w:left="1418" w:header="851" w:footer="992" w:gutter="0"/>
          <w:cols w:space="720" w:num="1"/>
          <w:titlePg/>
          <w:docGrid w:linePitch="312" w:charSpace="0"/>
        </w:sectPr>
      </w:pPr>
    </w:p>
    <w:p w14:paraId="0CE348D2">
      <w:pPr>
        <w:shd w:val="clear" w:color="auto" w:fill="FFFFFF"/>
        <w:spacing w:line="400" w:lineRule="atLeas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附</w:t>
      </w:r>
      <w:r>
        <w:rPr>
          <w:rFonts w:ascii="微软雅黑" w:hAnsi="微软雅黑" w:cs="宋体"/>
          <w:b/>
          <w:color w:val="auto"/>
          <w:szCs w:val="21"/>
          <w:highlight w:val="none"/>
        </w:rPr>
        <w:t>件：</w:t>
      </w:r>
    </w:p>
    <w:p w14:paraId="066D5797">
      <w:pPr>
        <w:shd w:val="clear" w:color="auto" w:fill="FFFFFF"/>
        <w:spacing w:line="400" w:lineRule="atLeast"/>
        <w:ind w:firstLine="420"/>
        <w:jc w:val="center"/>
        <w:rPr>
          <w:rFonts w:hint="eastAsia" w:ascii="微软雅黑" w:hAnsi="微软雅黑" w:cs="宋体"/>
          <w:b/>
          <w:color w:val="auto"/>
          <w:szCs w:val="21"/>
          <w:highlight w:val="none"/>
        </w:rPr>
      </w:pPr>
    </w:p>
    <w:p w14:paraId="2BC5F148">
      <w:pPr>
        <w:shd w:val="clear" w:color="auto" w:fill="FFFFFF"/>
        <w:spacing w:line="400" w:lineRule="atLeast"/>
        <w:ind w:firstLine="420"/>
        <w:jc w:val="center"/>
        <w:outlineLvl w:val="0"/>
        <w:rPr>
          <w:rFonts w:hint="eastAsia" w:ascii="微软雅黑" w:hAnsi="微软雅黑" w:cs="宋体"/>
          <w:bCs/>
          <w:color w:val="auto"/>
          <w:szCs w:val="21"/>
          <w:highlight w:val="none"/>
        </w:rPr>
      </w:pPr>
      <w:bookmarkStart w:id="316" w:name="_Toc164943235"/>
      <w:bookmarkStart w:id="317" w:name="_Toc24026"/>
      <w:bookmarkStart w:id="318" w:name="_Toc23088"/>
      <w:r>
        <w:rPr>
          <w:rFonts w:hint="eastAsia" w:ascii="微软雅黑" w:hAnsi="微软雅黑" w:cs="宋体"/>
          <w:b/>
          <w:color w:val="auto"/>
          <w:szCs w:val="21"/>
          <w:highlight w:val="none"/>
        </w:rPr>
        <w:t>国家统计局关于印发统计上大中小微型企业划分办法的通知</w:t>
      </w:r>
      <w:bookmarkEnd w:id="316"/>
      <w:bookmarkEnd w:id="317"/>
      <w:bookmarkEnd w:id="318"/>
    </w:p>
    <w:p w14:paraId="63C61E30">
      <w:pPr>
        <w:shd w:val="clear" w:color="auto" w:fill="FFFFFF"/>
        <w:spacing w:line="400" w:lineRule="atLeast"/>
        <w:ind w:firstLine="420"/>
        <w:jc w:val="center"/>
        <w:rPr>
          <w:rFonts w:hint="eastAsia" w:ascii="微软雅黑" w:hAnsi="微软雅黑" w:cs="宋体"/>
          <w:bCs/>
          <w:color w:val="auto"/>
          <w:szCs w:val="21"/>
          <w:highlight w:val="none"/>
        </w:rPr>
      </w:pPr>
      <w:r>
        <w:rPr>
          <w:rFonts w:hint="eastAsia" w:ascii="微软雅黑" w:hAnsi="微软雅黑" w:cs="宋体"/>
          <w:color w:val="auto"/>
          <w:szCs w:val="21"/>
          <w:highlight w:val="none"/>
        </w:rPr>
        <w:t>国统字〔</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75</w:t>
      </w:r>
      <w:r>
        <w:rPr>
          <w:rFonts w:hint="eastAsia" w:ascii="微软雅黑" w:hAnsi="微软雅黑" w:cs="宋体"/>
          <w:color w:val="auto"/>
          <w:szCs w:val="21"/>
          <w:highlight w:val="none"/>
        </w:rPr>
        <w:t>号</w:t>
      </w:r>
    </w:p>
    <w:p w14:paraId="4280F8C5">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68D47588">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各省、自治区、直辖市统计局，新疆生产建设兵团统计局，国家统计局各调查总队，国务院有关部门：</w:t>
      </w:r>
    </w:p>
    <w:p w14:paraId="39ADC5B0">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5A85BE43">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　　为贯彻落实工业和信息化部、国家统计局、国家发展改革委、财政部《关于印发中小企业划型标准规定的通知》（工信部联企业〔</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300</w:t>
      </w:r>
      <w:r>
        <w:rPr>
          <w:rFonts w:hint="eastAsia" w:ascii="微软雅黑" w:hAnsi="微软雅黑" w:cs="宋体"/>
          <w:color w:val="auto"/>
          <w:szCs w:val="21"/>
          <w:highlight w:val="none"/>
        </w:rPr>
        <w:t>号），结合统计工作的实际情况，我们制定了《统计上大中小微型企业划分办法》。现印发给你们，请遵照执行。</w:t>
      </w:r>
    </w:p>
    <w:p w14:paraId="57E0FB90">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6D1F9A60">
      <w:pPr>
        <w:shd w:val="clear" w:color="auto" w:fill="FFFFFF"/>
        <w:spacing w:line="400" w:lineRule="atLeast"/>
        <w:ind w:firstLine="420"/>
        <w:jc w:val="right"/>
        <w:rPr>
          <w:rFonts w:hint="eastAsia" w:ascii="微软雅黑" w:hAnsi="微软雅黑" w:cs="宋体"/>
          <w:bCs/>
          <w:color w:val="auto"/>
          <w:szCs w:val="21"/>
          <w:highlight w:val="none"/>
        </w:rPr>
      </w:pPr>
      <w:r>
        <w:rPr>
          <w:rFonts w:hint="eastAsia" w:ascii="微软雅黑" w:hAnsi="微软雅黑" w:cs="宋体"/>
          <w:color w:val="auto"/>
          <w:szCs w:val="21"/>
          <w:highlight w:val="none"/>
        </w:rPr>
        <w:t>　　国家统计局</w:t>
      </w:r>
      <w:r>
        <w:rPr>
          <w:rFonts w:ascii="微软雅黑" w:hAnsi="微软雅黑"/>
          <w:color w:val="auto"/>
          <w:szCs w:val="21"/>
          <w:highlight w:val="none"/>
        </w:rPr>
        <w:t> </w:t>
      </w:r>
    </w:p>
    <w:p w14:paraId="7072579F">
      <w:pPr>
        <w:shd w:val="clear" w:color="auto" w:fill="FFFFFF"/>
        <w:spacing w:line="400" w:lineRule="atLeast"/>
        <w:ind w:firstLine="420"/>
        <w:jc w:val="right"/>
        <w:rPr>
          <w:rFonts w:hint="eastAsia" w:ascii="微软雅黑" w:hAnsi="微软雅黑" w:cs="宋体"/>
          <w:bCs/>
          <w:color w:val="auto"/>
          <w:szCs w:val="21"/>
          <w:highlight w:val="none"/>
        </w:rPr>
      </w:pPr>
      <w:r>
        <w:rPr>
          <w:rFonts w:hint="eastAsia" w:ascii="微软雅黑" w:hAnsi="微软雅黑" w:cs="宋体"/>
          <w:color w:val="auto"/>
          <w:szCs w:val="21"/>
          <w:highlight w:val="none"/>
        </w:rPr>
        <w:t>　　二〇一一年九月二日</w:t>
      </w:r>
    </w:p>
    <w:p w14:paraId="6D986D9D">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0BB20DCF">
      <w:pPr>
        <w:shd w:val="clear" w:color="auto" w:fill="FFFFFF"/>
        <w:spacing w:line="400" w:lineRule="atLeast"/>
        <w:ind w:firstLine="420"/>
        <w:jc w:val="center"/>
        <w:outlineLvl w:val="0"/>
        <w:rPr>
          <w:rFonts w:hint="eastAsia" w:ascii="微软雅黑" w:hAnsi="微软雅黑" w:cs="宋体"/>
          <w:bCs/>
          <w:color w:val="auto"/>
          <w:szCs w:val="21"/>
          <w:highlight w:val="none"/>
        </w:rPr>
      </w:pPr>
      <w:bookmarkStart w:id="319" w:name="_Toc23951"/>
      <w:bookmarkStart w:id="320" w:name="_Toc16901"/>
      <w:bookmarkStart w:id="321" w:name="_Toc20531"/>
      <w:bookmarkStart w:id="322" w:name="_Toc164943236"/>
      <w:r>
        <w:rPr>
          <w:rFonts w:hint="eastAsia" w:ascii="微软雅黑" w:hAnsi="微软雅黑" w:cs="宋体"/>
          <w:b/>
          <w:color w:val="auto"/>
          <w:szCs w:val="21"/>
          <w:highlight w:val="none"/>
        </w:rPr>
        <w:t>统计上大中小微型企业划分办法</w:t>
      </w:r>
      <w:bookmarkEnd w:id="319"/>
      <w:bookmarkEnd w:id="320"/>
      <w:bookmarkEnd w:id="321"/>
      <w:bookmarkEnd w:id="322"/>
    </w:p>
    <w:p w14:paraId="48C875B9">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 </w:t>
      </w:r>
    </w:p>
    <w:p w14:paraId="4D590489">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一、根据工业和信息化部、国家统计局、国家发展改革委、财政部《关于印发中小企业划型标准规定的通知》（工信部联企业〔</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300</w:t>
      </w:r>
      <w:r>
        <w:rPr>
          <w:rFonts w:hint="eastAsia" w:ascii="微软雅黑" w:hAnsi="微软雅黑" w:cs="宋体"/>
          <w:color w:val="auto"/>
          <w:szCs w:val="21"/>
          <w:highlight w:val="none"/>
        </w:rPr>
        <w:t>号），结合统计工作的实际情况，特制定本办法。</w:t>
      </w:r>
    </w:p>
    <w:p w14:paraId="6B0FDCCD">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5A9686ED">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二、本办法适用对象为在中华人民共和国境内依法设立的各种组织形式的法人企业或单位。个体工商户参照本办法进行划分。</w:t>
      </w:r>
    </w:p>
    <w:p w14:paraId="5BC32603">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color w:val="auto"/>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微软雅黑" w:hAnsi="微软雅黑"/>
          <w:color w:val="auto"/>
          <w:szCs w:val="21"/>
          <w:highlight w:val="none"/>
        </w:rPr>
        <w:t>15</w:t>
      </w:r>
      <w:r>
        <w:rPr>
          <w:rFonts w:hint="eastAsia" w:ascii="微软雅黑" w:hAnsi="微软雅黑" w:cs="宋体"/>
          <w:color w:val="auto"/>
          <w:szCs w:val="21"/>
          <w:highlight w:val="none"/>
        </w:rPr>
        <w:t>个行业门类以及社会工作行业大类。</w:t>
      </w:r>
    </w:p>
    <w:p w14:paraId="68961ADA">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四、本办法按照行业门类、大类、中类和组合类别，依据从业人员、营业收入、资产总额等指标或替代指标，将我国的企业划分为大型、中型、小型、微型等四种类型。具体划分标准见附表。</w:t>
      </w:r>
    </w:p>
    <w:p w14:paraId="61910E43">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color w:val="auto"/>
          <w:szCs w:val="21"/>
          <w:highlight w:val="none"/>
        </w:rPr>
        <w:t>五、企业划分由政府综合统计部门根据统计年报每年确定一次，定报统计原则上不进行调整。</w:t>
      </w:r>
    </w:p>
    <w:p w14:paraId="14DCFDDA">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六、本办法自印发之日起执行，国家统计局</w:t>
      </w:r>
      <w:r>
        <w:rPr>
          <w:rFonts w:ascii="微软雅黑" w:hAnsi="微软雅黑"/>
          <w:color w:val="auto"/>
          <w:szCs w:val="21"/>
          <w:highlight w:val="none"/>
        </w:rPr>
        <w:t>2003</w:t>
      </w:r>
      <w:r>
        <w:rPr>
          <w:rFonts w:hint="eastAsia" w:ascii="微软雅黑" w:hAnsi="微软雅黑" w:cs="宋体"/>
          <w:color w:val="auto"/>
          <w:szCs w:val="21"/>
          <w:highlight w:val="none"/>
        </w:rPr>
        <w:t>年印发的《统计上大中小型企业划分办法（暂行）》（国统字〔</w:t>
      </w:r>
      <w:r>
        <w:rPr>
          <w:rFonts w:ascii="微软雅黑" w:hAnsi="微软雅黑"/>
          <w:color w:val="auto"/>
          <w:szCs w:val="21"/>
          <w:highlight w:val="none"/>
        </w:rPr>
        <w:t>2003</w:t>
      </w:r>
      <w:r>
        <w:rPr>
          <w:rFonts w:hint="eastAsia" w:ascii="微软雅黑" w:hAnsi="微软雅黑" w:cs="宋体"/>
          <w:color w:val="auto"/>
          <w:szCs w:val="21"/>
          <w:highlight w:val="none"/>
        </w:rPr>
        <w:t>〕</w:t>
      </w:r>
      <w:r>
        <w:rPr>
          <w:rFonts w:ascii="微软雅黑" w:hAnsi="微软雅黑"/>
          <w:color w:val="auto"/>
          <w:szCs w:val="21"/>
          <w:highlight w:val="none"/>
        </w:rPr>
        <w:t>17</w:t>
      </w:r>
      <w:r>
        <w:rPr>
          <w:rFonts w:hint="eastAsia" w:ascii="微软雅黑" w:hAnsi="微软雅黑" w:cs="宋体"/>
          <w:color w:val="auto"/>
          <w:szCs w:val="21"/>
          <w:highlight w:val="none"/>
        </w:rPr>
        <w:t>号）同时废止。</w:t>
      </w:r>
    </w:p>
    <w:p w14:paraId="7D03620B">
      <w:pPr>
        <w:shd w:val="clear" w:color="auto" w:fill="FFFFFF"/>
        <w:spacing w:line="400" w:lineRule="atLeast"/>
        <w:ind w:firstLine="482"/>
        <w:rPr>
          <w:rFonts w:hint="eastAsia" w:ascii="微软雅黑" w:hAnsi="微软雅黑" w:cs="宋体"/>
          <w:bCs/>
          <w:color w:val="auto"/>
          <w:szCs w:val="21"/>
          <w:highlight w:val="none"/>
        </w:rPr>
      </w:pPr>
      <w:r>
        <w:rPr>
          <w:rFonts w:eastAsia="宋体"/>
          <w:b/>
          <w:color w:val="auto"/>
          <w:sz w:val="24"/>
          <w:highlight w:val="none"/>
        </w:rPr>
        <w:t> </w:t>
      </w:r>
      <w:r>
        <w:rPr>
          <w:rFonts w:hint="eastAsia" w:ascii="微软雅黑" w:hAnsi="微软雅黑" w:cs="宋体"/>
          <w:color w:val="auto"/>
          <w:szCs w:val="21"/>
          <w:highlight w:val="none"/>
        </w:rPr>
        <w:t>　　附表：</w:t>
      </w:r>
    </w:p>
    <w:p w14:paraId="05D535A3">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b/>
          <w:color w:val="auto"/>
          <w:szCs w:val="21"/>
          <w:highlight w:val="none"/>
        </w:rPr>
        <w:t>统计上大中小微型企业划分标准</w:t>
      </w:r>
    </w:p>
    <w:tbl>
      <w:tblPr>
        <w:tblStyle w:val="54"/>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1281"/>
        <w:gridCol w:w="758"/>
        <w:gridCol w:w="993"/>
        <w:gridCol w:w="1491"/>
        <w:gridCol w:w="1315"/>
        <w:gridCol w:w="908"/>
      </w:tblGrid>
      <w:tr w14:paraId="52F3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0" w:type="dxa"/>
            <w:shd w:val="clear" w:color="auto" w:fill="auto"/>
            <w:tcMar>
              <w:top w:w="0" w:type="dxa"/>
              <w:left w:w="108" w:type="dxa"/>
              <w:bottom w:w="0" w:type="dxa"/>
              <w:right w:w="108" w:type="dxa"/>
            </w:tcMar>
            <w:vAlign w:val="center"/>
          </w:tcPr>
          <w:p w14:paraId="5F776895">
            <w:pPr>
              <w:spacing w:line="240" w:lineRule="auto"/>
              <w:ind w:firstLine="0" w:firstLineChars="0"/>
              <w:jc w:val="center"/>
              <w:rPr>
                <w:rFonts w:hint="eastAsia" w:ascii="宋体" w:hAnsi="宋体" w:eastAsia="宋体" w:cs="宋体"/>
                <w:bCs/>
                <w:color w:val="auto"/>
                <w:sz w:val="24"/>
                <w:highlight w:val="none"/>
              </w:rPr>
            </w:pPr>
            <w:r>
              <w:rPr>
                <w:rFonts w:eastAsia="宋体"/>
                <w:color w:val="auto"/>
                <w:sz w:val="24"/>
                <w:highlight w:val="none"/>
              </w:rPr>
              <w:t> </w:t>
            </w:r>
            <w:r>
              <w:rPr>
                <w:rFonts w:hint="eastAsia" w:ascii="宋体" w:hAnsi="宋体" w:eastAsia="宋体" w:cs="宋体"/>
                <w:b/>
                <w:color w:val="auto"/>
                <w:sz w:val="18"/>
                <w:szCs w:val="18"/>
                <w:highlight w:val="none"/>
              </w:rPr>
              <w:t>行业名称</w:t>
            </w:r>
          </w:p>
        </w:tc>
        <w:tc>
          <w:tcPr>
            <w:tcW w:w="1281" w:type="dxa"/>
            <w:shd w:val="clear" w:color="auto" w:fill="auto"/>
            <w:tcMar>
              <w:top w:w="0" w:type="dxa"/>
              <w:left w:w="108" w:type="dxa"/>
              <w:bottom w:w="0" w:type="dxa"/>
              <w:right w:w="108" w:type="dxa"/>
            </w:tcMar>
            <w:vAlign w:val="center"/>
          </w:tcPr>
          <w:p w14:paraId="02F40914">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指标名称</w:t>
            </w:r>
          </w:p>
        </w:tc>
        <w:tc>
          <w:tcPr>
            <w:tcW w:w="758" w:type="dxa"/>
            <w:shd w:val="clear" w:color="auto" w:fill="auto"/>
            <w:tcMar>
              <w:top w:w="0" w:type="dxa"/>
              <w:left w:w="108" w:type="dxa"/>
              <w:bottom w:w="0" w:type="dxa"/>
              <w:right w:w="108" w:type="dxa"/>
            </w:tcMar>
            <w:vAlign w:val="center"/>
          </w:tcPr>
          <w:p w14:paraId="670CFBC9">
            <w:pPr>
              <w:spacing w:line="240" w:lineRule="auto"/>
              <w:ind w:firstLine="0" w:firstLineChars="0"/>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计量</w:t>
            </w:r>
          </w:p>
          <w:p w14:paraId="78243EB6">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单位</w:t>
            </w:r>
          </w:p>
        </w:tc>
        <w:tc>
          <w:tcPr>
            <w:tcW w:w="993" w:type="dxa"/>
            <w:shd w:val="clear" w:color="auto" w:fill="auto"/>
            <w:tcMar>
              <w:top w:w="0" w:type="dxa"/>
              <w:left w:w="108" w:type="dxa"/>
              <w:bottom w:w="0" w:type="dxa"/>
              <w:right w:w="108" w:type="dxa"/>
            </w:tcMar>
            <w:vAlign w:val="center"/>
          </w:tcPr>
          <w:p w14:paraId="2186C428">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大型</w:t>
            </w:r>
          </w:p>
        </w:tc>
        <w:tc>
          <w:tcPr>
            <w:tcW w:w="1491" w:type="dxa"/>
            <w:shd w:val="clear" w:color="auto" w:fill="auto"/>
            <w:tcMar>
              <w:top w:w="0" w:type="dxa"/>
              <w:left w:w="108" w:type="dxa"/>
              <w:bottom w:w="0" w:type="dxa"/>
              <w:right w:w="108" w:type="dxa"/>
            </w:tcMar>
            <w:vAlign w:val="center"/>
          </w:tcPr>
          <w:p w14:paraId="4A1FE5B5">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中型</w:t>
            </w:r>
          </w:p>
        </w:tc>
        <w:tc>
          <w:tcPr>
            <w:tcW w:w="1315" w:type="dxa"/>
            <w:shd w:val="clear" w:color="auto" w:fill="auto"/>
            <w:tcMar>
              <w:top w:w="0" w:type="dxa"/>
              <w:left w:w="108" w:type="dxa"/>
              <w:bottom w:w="0" w:type="dxa"/>
              <w:right w:w="108" w:type="dxa"/>
            </w:tcMar>
            <w:vAlign w:val="center"/>
          </w:tcPr>
          <w:p w14:paraId="44BC2CEA">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小型</w:t>
            </w:r>
          </w:p>
        </w:tc>
        <w:tc>
          <w:tcPr>
            <w:tcW w:w="908" w:type="dxa"/>
            <w:shd w:val="clear" w:color="auto" w:fill="auto"/>
            <w:tcMar>
              <w:top w:w="0" w:type="dxa"/>
              <w:left w:w="108" w:type="dxa"/>
              <w:bottom w:w="0" w:type="dxa"/>
              <w:right w:w="108" w:type="dxa"/>
            </w:tcMar>
            <w:vAlign w:val="center"/>
          </w:tcPr>
          <w:p w14:paraId="0213F6E3">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微型</w:t>
            </w:r>
          </w:p>
        </w:tc>
      </w:tr>
      <w:tr w14:paraId="340A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50A686D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农、林、牧、渔业</w:t>
            </w:r>
          </w:p>
        </w:tc>
        <w:tc>
          <w:tcPr>
            <w:tcW w:w="1281" w:type="dxa"/>
            <w:shd w:val="clear" w:color="auto" w:fill="auto"/>
            <w:tcMar>
              <w:top w:w="0" w:type="dxa"/>
              <w:left w:w="108" w:type="dxa"/>
              <w:bottom w:w="0" w:type="dxa"/>
              <w:right w:w="108" w:type="dxa"/>
            </w:tcMar>
            <w:vAlign w:val="center"/>
          </w:tcPr>
          <w:p w14:paraId="1F90683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01FB962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BBAF25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Y≥20000</w:t>
            </w:r>
          </w:p>
        </w:tc>
        <w:tc>
          <w:tcPr>
            <w:tcW w:w="1491" w:type="dxa"/>
            <w:shd w:val="clear" w:color="auto" w:fill="auto"/>
            <w:tcMar>
              <w:top w:w="0" w:type="dxa"/>
              <w:left w:w="108" w:type="dxa"/>
              <w:bottom w:w="0" w:type="dxa"/>
              <w:right w:w="108" w:type="dxa"/>
            </w:tcMar>
            <w:vAlign w:val="center"/>
          </w:tcPr>
          <w:p w14:paraId="3DEEB2B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500≤Y＜20000</w:t>
            </w:r>
          </w:p>
        </w:tc>
        <w:tc>
          <w:tcPr>
            <w:tcW w:w="1315" w:type="dxa"/>
            <w:shd w:val="clear" w:color="auto" w:fill="auto"/>
            <w:tcMar>
              <w:top w:w="0" w:type="dxa"/>
              <w:left w:w="108" w:type="dxa"/>
              <w:bottom w:w="0" w:type="dxa"/>
              <w:right w:w="108" w:type="dxa"/>
            </w:tcMar>
            <w:vAlign w:val="center"/>
          </w:tcPr>
          <w:p w14:paraId="094BFF0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50≤Y＜500</w:t>
            </w:r>
          </w:p>
        </w:tc>
        <w:tc>
          <w:tcPr>
            <w:tcW w:w="908" w:type="dxa"/>
            <w:shd w:val="clear" w:color="auto" w:fill="auto"/>
            <w:tcMar>
              <w:top w:w="0" w:type="dxa"/>
              <w:left w:w="108" w:type="dxa"/>
              <w:bottom w:w="0" w:type="dxa"/>
              <w:right w:w="108" w:type="dxa"/>
            </w:tcMar>
            <w:vAlign w:val="center"/>
          </w:tcPr>
          <w:p w14:paraId="4383D83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w:t>
            </w:r>
          </w:p>
        </w:tc>
      </w:tr>
      <w:tr w14:paraId="6375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0801E9C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工业 *</w:t>
            </w:r>
          </w:p>
        </w:tc>
        <w:tc>
          <w:tcPr>
            <w:tcW w:w="1281" w:type="dxa"/>
            <w:shd w:val="clear" w:color="auto" w:fill="auto"/>
            <w:tcMar>
              <w:top w:w="0" w:type="dxa"/>
              <w:left w:w="108" w:type="dxa"/>
              <w:bottom w:w="0" w:type="dxa"/>
              <w:right w:w="108" w:type="dxa"/>
            </w:tcMar>
            <w:vAlign w:val="center"/>
          </w:tcPr>
          <w:p w14:paraId="4C730FD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7532EDE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DDD0E4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647AB57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52900B4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7B0E022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4A53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2D721B3B">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0D8B841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3C57688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0510A4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Y≥40000</w:t>
            </w:r>
          </w:p>
        </w:tc>
        <w:tc>
          <w:tcPr>
            <w:tcW w:w="1491" w:type="dxa"/>
            <w:shd w:val="clear" w:color="auto" w:fill="auto"/>
            <w:tcMar>
              <w:top w:w="0" w:type="dxa"/>
              <w:left w:w="108" w:type="dxa"/>
              <w:bottom w:w="0" w:type="dxa"/>
              <w:right w:w="108" w:type="dxa"/>
            </w:tcMar>
            <w:vAlign w:val="center"/>
          </w:tcPr>
          <w:p w14:paraId="4003674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2000≤Y＜40000</w:t>
            </w:r>
          </w:p>
        </w:tc>
        <w:tc>
          <w:tcPr>
            <w:tcW w:w="1315" w:type="dxa"/>
            <w:shd w:val="clear" w:color="auto" w:fill="auto"/>
            <w:tcMar>
              <w:top w:w="0" w:type="dxa"/>
              <w:left w:w="108" w:type="dxa"/>
              <w:bottom w:w="0" w:type="dxa"/>
              <w:right w:w="108" w:type="dxa"/>
            </w:tcMar>
            <w:vAlign w:val="center"/>
          </w:tcPr>
          <w:p w14:paraId="5D9F19A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300≤Y＜2000</w:t>
            </w:r>
          </w:p>
        </w:tc>
        <w:tc>
          <w:tcPr>
            <w:tcW w:w="908" w:type="dxa"/>
            <w:shd w:val="clear" w:color="auto" w:fill="auto"/>
            <w:tcMar>
              <w:top w:w="0" w:type="dxa"/>
              <w:left w:w="108" w:type="dxa"/>
              <w:bottom w:w="0" w:type="dxa"/>
              <w:right w:w="108" w:type="dxa"/>
            </w:tcMar>
            <w:vAlign w:val="center"/>
          </w:tcPr>
          <w:p w14:paraId="3BA8806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w:t>
            </w:r>
          </w:p>
        </w:tc>
      </w:tr>
      <w:tr w14:paraId="5AD4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04E62B3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建筑业</w:t>
            </w:r>
          </w:p>
        </w:tc>
        <w:tc>
          <w:tcPr>
            <w:tcW w:w="1281" w:type="dxa"/>
            <w:shd w:val="clear" w:color="auto" w:fill="auto"/>
            <w:tcMar>
              <w:top w:w="0" w:type="dxa"/>
              <w:left w:w="108" w:type="dxa"/>
              <w:bottom w:w="0" w:type="dxa"/>
              <w:right w:w="108" w:type="dxa"/>
            </w:tcMar>
            <w:vAlign w:val="center"/>
          </w:tcPr>
          <w:p w14:paraId="0D156F1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0A52C9F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51A42E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Y≥80000</w:t>
            </w:r>
          </w:p>
        </w:tc>
        <w:tc>
          <w:tcPr>
            <w:tcW w:w="1491" w:type="dxa"/>
            <w:shd w:val="clear" w:color="auto" w:fill="auto"/>
            <w:tcMar>
              <w:top w:w="0" w:type="dxa"/>
              <w:left w:w="108" w:type="dxa"/>
              <w:bottom w:w="0" w:type="dxa"/>
              <w:right w:w="108" w:type="dxa"/>
            </w:tcMar>
            <w:vAlign w:val="center"/>
          </w:tcPr>
          <w:p w14:paraId="7B85404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6000≤Y＜80000</w:t>
            </w:r>
          </w:p>
        </w:tc>
        <w:tc>
          <w:tcPr>
            <w:tcW w:w="1315" w:type="dxa"/>
            <w:shd w:val="clear" w:color="auto" w:fill="auto"/>
            <w:tcMar>
              <w:top w:w="0" w:type="dxa"/>
              <w:left w:w="108" w:type="dxa"/>
              <w:bottom w:w="0" w:type="dxa"/>
              <w:right w:w="108" w:type="dxa"/>
            </w:tcMar>
            <w:vAlign w:val="center"/>
          </w:tcPr>
          <w:p w14:paraId="4200C68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300≤Y＜6000</w:t>
            </w:r>
          </w:p>
        </w:tc>
        <w:tc>
          <w:tcPr>
            <w:tcW w:w="908" w:type="dxa"/>
            <w:shd w:val="clear" w:color="auto" w:fill="auto"/>
            <w:tcMar>
              <w:top w:w="0" w:type="dxa"/>
              <w:left w:w="108" w:type="dxa"/>
              <w:bottom w:w="0" w:type="dxa"/>
              <w:right w:w="108" w:type="dxa"/>
            </w:tcMar>
            <w:vAlign w:val="center"/>
          </w:tcPr>
          <w:p w14:paraId="32CC188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w:t>
            </w:r>
          </w:p>
        </w:tc>
      </w:tr>
      <w:tr w14:paraId="2B7A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82CD053">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2A40DFC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15D50CF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96014E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Z≥80000</w:t>
            </w:r>
          </w:p>
        </w:tc>
        <w:tc>
          <w:tcPr>
            <w:tcW w:w="1491" w:type="dxa"/>
            <w:shd w:val="clear" w:color="auto" w:fill="auto"/>
            <w:tcMar>
              <w:top w:w="0" w:type="dxa"/>
              <w:left w:w="108" w:type="dxa"/>
              <w:bottom w:w="0" w:type="dxa"/>
              <w:right w:w="108" w:type="dxa"/>
            </w:tcMar>
            <w:vAlign w:val="center"/>
          </w:tcPr>
          <w:p w14:paraId="660E0D2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5000≤Z＜80000</w:t>
            </w:r>
          </w:p>
        </w:tc>
        <w:tc>
          <w:tcPr>
            <w:tcW w:w="1315" w:type="dxa"/>
            <w:shd w:val="clear" w:color="auto" w:fill="auto"/>
            <w:tcMar>
              <w:top w:w="0" w:type="dxa"/>
              <w:left w:w="108" w:type="dxa"/>
              <w:bottom w:w="0" w:type="dxa"/>
              <w:right w:w="108" w:type="dxa"/>
            </w:tcMar>
            <w:vAlign w:val="center"/>
          </w:tcPr>
          <w:p w14:paraId="441C407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300≤Z＜5000</w:t>
            </w:r>
          </w:p>
        </w:tc>
        <w:tc>
          <w:tcPr>
            <w:tcW w:w="908" w:type="dxa"/>
            <w:shd w:val="clear" w:color="auto" w:fill="auto"/>
            <w:tcMar>
              <w:top w:w="0" w:type="dxa"/>
              <w:left w:w="108" w:type="dxa"/>
              <w:bottom w:w="0" w:type="dxa"/>
              <w:right w:w="108" w:type="dxa"/>
            </w:tcMar>
            <w:vAlign w:val="center"/>
          </w:tcPr>
          <w:p w14:paraId="0AE26CF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Z＜300</w:t>
            </w:r>
          </w:p>
        </w:tc>
      </w:tr>
      <w:tr w14:paraId="0C16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153E745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批发业</w:t>
            </w:r>
          </w:p>
        </w:tc>
        <w:tc>
          <w:tcPr>
            <w:tcW w:w="1281" w:type="dxa"/>
            <w:shd w:val="clear" w:color="auto" w:fill="auto"/>
            <w:tcMar>
              <w:top w:w="0" w:type="dxa"/>
              <w:left w:w="108" w:type="dxa"/>
              <w:bottom w:w="0" w:type="dxa"/>
              <w:right w:w="108" w:type="dxa"/>
            </w:tcMar>
            <w:vAlign w:val="center"/>
          </w:tcPr>
          <w:p w14:paraId="18014B9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04BE164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0B6A937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X≥200</w:t>
            </w:r>
          </w:p>
        </w:tc>
        <w:tc>
          <w:tcPr>
            <w:tcW w:w="1491" w:type="dxa"/>
            <w:shd w:val="clear" w:color="auto" w:fill="auto"/>
            <w:tcMar>
              <w:top w:w="0" w:type="dxa"/>
              <w:left w:w="108" w:type="dxa"/>
              <w:bottom w:w="0" w:type="dxa"/>
              <w:right w:w="108" w:type="dxa"/>
            </w:tcMar>
            <w:vAlign w:val="center"/>
          </w:tcPr>
          <w:p w14:paraId="12A9047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20≤X＜200</w:t>
            </w:r>
          </w:p>
        </w:tc>
        <w:tc>
          <w:tcPr>
            <w:tcW w:w="1315" w:type="dxa"/>
            <w:shd w:val="clear" w:color="auto" w:fill="auto"/>
            <w:tcMar>
              <w:top w:w="0" w:type="dxa"/>
              <w:left w:w="108" w:type="dxa"/>
              <w:bottom w:w="0" w:type="dxa"/>
              <w:right w:w="108" w:type="dxa"/>
            </w:tcMar>
            <w:vAlign w:val="center"/>
          </w:tcPr>
          <w:p w14:paraId="791E26B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5≤X＜20</w:t>
            </w:r>
          </w:p>
        </w:tc>
        <w:tc>
          <w:tcPr>
            <w:tcW w:w="908" w:type="dxa"/>
            <w:shd w:val="clear" w:color="auto" w:fill="auto"/>
            <w:tcMar>
              <w:top w:w="0" w:type="dxa"/>
              <w:left w:w="108" w:type="dxa"/>
              <w:bottom w:w="0" w:type="dxa"/>
              <w:right w:w="108" w:type="dxa"/>
            </w:tcMar>
            <w:vAlign w:val="center"/>
          </w:tcPr>
          <w:p w14:paraId="14BF5B1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X＜5</w:t>
            </w:r>
          </w:p>
        </w:tc>
      </w:tr>
      <w:tr w14:paraId="10F0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5AE76968">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7AC3A5D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3EBE8BB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F01C39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Y≥40000</w:t>
            </w:r>
          </w:p>
        </w:tc>
        <w:tc>
          <w:tcPr>
            <w:tcW w:w="1491" w:type="dxa"/>
            <w:shd w:val="clear" w:color="auto" w:fill="auto"/>
            <w:tcMar>
              <w:top w:w="0" w:type="dxa"/>
              <w:left w:w="108" w:type="dxa"/>
              <w:bottom w:w="0" w:type="dxa"/>
              <w:right w:w="108" w:type="dxa"/>
            </w:tcMar>
            <w:vAlign w:val="center"/>
          </w:tcPr>
          <w:p w14:paraId="71B8695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5000≤Y＜40000</w:t>
            </w:r>
          </w:p>
        </w:tc>
        <w:tc>
          <w:tcPr>
            <w:tcW w:w="1315" w:type="dxa"/>
            <w:shd w:val="clear" w:color="auto" w:fill="auto"/>
            <w:tcMar>
              <w:top w:w="0" w:type="dxa"/>
              <w:left w:w="108" w:type="dxa"/>
              <w:bottom w:w="0" w:type="dxa"/>
              <w:right w:w="108" w:type="dxa"/>
            </w:tcMar>
            <w:vAlign w:val="center"/>
          </w:tcPr>
          <w:p w14:paraId="4AAE1C6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1000≤Y＜5000</w:t>
            </w:r>
          </w:p>
        </w:tc>
        <w:tc>
          <w:tcPr>
            <w:tcW w:w="908" w:type="dxa"/>
            <w:shd w:val="clear" w:color="auto" w:fill="auto"/>
            <w:tcMar>
              <w:top w:w="0" w:type="dxa"/>
              <w:left w:w="108" w:type="dxa"/>
              <w:bottom w:w="0" w:type="dxa"/>
              <w:right w:w="108" w:type="dxa"/>
            </w:tcMar>
            <w:vAlign w:val="center"/>
          </w:tcPr>
          <w:p w14:paraId="14836CC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w:t>
            </w:r>
          </w:p>
        </w:tc>
      </w:tr>
      <w:tr w14:paraId="285F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6BB435A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零售业</w:t>
            </w:r>
          </w:p>
        </w:tc>
        <w:tc>
          <w:tcPr>
            <w:tcW w:w="1281" w:type="dxa"/>
            <w:shd w:val="clear" w:color="auto" w:fill="auto"/>
            <w:tcMar>
              <w:top w:w="0" w:type="dxa"/>
              <w:left w:w="108" w:type="dxa"/>
              <w:bottom w:w="0" w:type="dxa"/>
              <w:right w:w="108" w:type="dxa"/>
            </w:tcMar>
            <w:vAlign w:val="center"/>
          </w:tcPr>
          <w:p w14:paraId="7B7B2A1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F0BDB2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44E4273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7FC02E1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50≤X＜300</w:t>
            </w:r>
          </w:p>
        </w:tc>
        <w:tc>
          <w:tcPr>
            <w:tcW w:w="1315" w:type="dxa"/>
            <w:shd w:val="clear" w:color="auto" w:fill="auto"/>
            <w:tcMar>
              <w:top w:w="0" w:type="dxa"/>
              <w:left w:w="108" w:type="dxa"/>
              <w:bottom w:w="0" w:type="dxa"/>
              <w:right w:w="108" w:type="dxa"/>
            </w:tcMar>
            <w:vAlign w:val="center"/>
          </w:tcPr>
          <w:p w14:paraId="0AB5C19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10≤X＜50</w:t>
            </w:r>
          </w:p>
        </w:tc>
        <w:tc>
          <w:tcPr>
            <w:tcW w:w="908" w:type="dxa"/>
            <w:shd w:val="clear" w:color="auto" w:fill="auto"/>
            <w:tcMar>
              <w:top w:w="0" w:type="dxa"/>
              <w:left w:w="108" w:type="dxa"/>
              <w:bottom w:w="0" w:type="dxa"/>
              <w:right w:w="108" w:type="dxa"/>
            </w:tcMar>
            <w:vAlign w:val="center"/>
          </w:tcPr>
          <w:p w14:paraId="79CF7F9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56DB5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241E654">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652E2C2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37600BD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7AB3EC4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Y≥20000</w:t>
            </w:r>
          </w:p>
        </w:tc>
        <w:tc>
          <w:tcPr>
            <w:tcW w:w="1491" w:type="dxa"/>
            <w:shd w:val="clear" w:color="auto" w:fill="auto"/>
            <w:tcMar>
              <w:top w:w="0" w:type="dxa"/>
              <w:left w:w="108" w:type="dxa"/>
              <w:bottom w:w="0" w:type="dxa"/>
              <w:right w:w="108" w:type="dxa"/>
            </w:tcMar>
            <w:vAlign w:val="center"/>
          </w:tcPr>
          <w:p w14:paraId="637B8B0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500≤Y＜20000</w:t>
            </w:r>
          </w:p>
        </w:tc>
        <w:tc>
          <w:tcPr>
            <w:tcW w:w="1315" w:type="dxa"/>
            <w:shd w:val="clear" w:color="auto" w:fill="auto"/>
            <w:tcMar>
              <w:top w:w="0" w:type="dxa"/>
              <w:left w:w="108" w:type="dxa"/>
              <w:bottom w:w="0" w:type="dxa"/>
              <w:right w:w="108" w:type="dxa"/>
            </w:tcMar>
            <w:vAlign w:val="center"/>
          </w:tcPr>
          <w:p w14:paraId="15923AE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100≤Y＜500</w:t>
            </w:r>
          </w:p>
        </w:tc>
        <w:tc>
          <w:tcPr>
            <w:tcW w:w="908" w:type="dxa"/>
            <w:shd w:val="clear" w:color="auto" w:fill="auto"/>
            <w:tcMar>
              <w:top w:w="0" w:type="dxa"/>
              <w:left w:w="108" w:type="dxa"/>
              <w:bottom w:w="0" w:type="dxa"/>
              <w:right w:w="108" w:type="dxa"/>
            </w:tcMar>
            <w:vAlign w:val="center"/>
          </w:tcPr>
          <w:p w14:paraId="25EB81B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6256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893A86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交通运输业 *</w:t>
            </w:r>
          </w:p>
        </w:tc>
        <w:tc>
          <w:tcPr>
            <w:tcW w:w="1281" w:type="dxa"/>
            <w:shd w:val="clear" w:color="auto" w:fill="auto"/>
            <w:tcMar>
              <w:top w:w="0" w:type="dxa"/>
              <w:left w:w="108" w:type="dxa"/>
              <w:bottom w:w="0" w:type="dxa"/>
              <w:right w:w="108" w:type="dxa"/>
            </w:tcMar>
            <w:vAlign w:val="center"/>
          </w:tcPr>
          <w:p w14:paraId="13B02B5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687BA41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6A52C70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04A9DB4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034E82D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75FF687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48BB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67E81BC">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2E43D18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7ACA05C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334C860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19BF63C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3000≤Y＜30000</w:t>
            </w:r>
          </w:p>
        </w:tc>
        <w:tc>
          <w:tcPr>
            <w:tcW w:w="1315" w:type="dxa"/>
            <w:shd w:val="clear" w:color="auto" w:fill="auto"/>
            <w:tcMar>
              <w:top w:w="0" w:type="dxa"/>
              <w:left w:w="108" w:type="dxa"/>
              <w:bottom w:w="0" w:type="dxa"/>
              <w:right w:w="108" w:type="dxa"/>
            </w:tcMar>
            <w:vAlign w:val="center"/>
          </w:tcPr>
          <w:p w14:paraId="5E63DF4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200≤Y＜3000</w:t>
            </w:r>
          </w:p>
        </w:tc>
        <w:tc>
          <w:tcPr>
            <w:tcW w:w="908" w:type="dxa"/>
            <w:shd w:val="clear" w:color="auto" w:fill="auto"/>
            <w:tcMar>
              <w:top w:w="0" w:type="dxa"/>
              <w:left w:w="108" w:type="dxa"/>
              <w:bottom w:w="0" w:type="dxa"/>
              <w:right w:w="108" w:type="dxa"/>
            </w:tcMar>
            <w:vAlign w:val="center"/>
          </w:tcPr>
          <w:p w14:paraId="387A592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w:t>
            </w:r>
          </w:p>
        </w:tc>
      </w:tr>
      <w:tr w14:paraId="5867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6AF78E1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仓储业</w:t>
            </w:r>
          </w:p>
        </w:tc>
        <w:tc>
          <w:tcPr>
            <w:tcW w:w="1281" w:type="dxa"/>
            <w:shd w:val="clear" w:color="auto" w:fill="auto"/>
            <w:tcMar>
              <w:top w:w="0" w:type="dxa"/>
              <w:left w:w="108" w:type="dxa"/>
              <w:bottom w:w="0" w:type="dxa"/>
              <w:right w:w="108" w:type="dxa"/>
            </w:tcMar>
            <w:vAlign w:val="center"/>
          </w:tcPr>
          <w:p w14:paraId="3612B8C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0746D18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42E0125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X≥200</w:t>
            </w:r>
          </w:p>
        </w:tc>
        <w:tc>
          <w:tcPr>
            <w:tcW w:w="1491" w:type="dxa"/>
            <w:shd w:val="clear" w:color="auto" w:fill="auto"/>
            <w:tcMar>
              <w:top w:w="0" w:type="dxa"/>
              <w:left w:w="108" w:type="dxa"/>
              <w:bottom w:w="0" w:type="dxa"/>
              <w:right w:w="108" w:type="dxa"/>
            </w:tcMar>
            <w:vAlign w:val="center"/>
          </w:tcPr>
          <w:p w14:paraId="292C4A3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100≤X＜200</w:t>
            </w:r>
          </w:p>
        </w:tc>
        <w:tc>
          <w:tcPr>
            <w:tcW w:w="1315" w:type="dxa"/>
            <w:shd w:val="clear" w:color="auto" w:fill="auto"/>
            <w:tcMar>
              <w:top w:w="0" w:type="dxa"/>
              <w:left w:w="108" w:type="dxa"/>
              <w:bottom w:w="0" w:type="dxa"/>
              <w:right w:w="108" w:type="dxa"/>
            </w:tcMar>
            <w:vAlign w:val="center"/>
          </w:tcPr>
          <w:p w14:paraId="23287CD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20≤X＜100</w:t>
            </w:r>
          </w:p>
        </w:tc>
        <w:tc>
          <w:tcPr>
            <w:tcW w:w="908" w:type="dxa"/>
            <w:shd w:val="clear" w:color="auto" w:fill="auto"/>
            <w:tcMar>
              <w:top w:w="0" w:type="dxa"/>
              <w:left w:w="108" w:type="dxa"/>
              <w:bottom w:w="0" w:type="dxa"/>
              <w:right w:w="108" w:type="dxa"/>
            </w:tcMar>
            <w:vAlign w:val="center"/>
          </w:tcPr>
          <w:p w14:paraId="634B3CC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7EAA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09971F58">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059A298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06378FC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1C93DBE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6F67E42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1000≤Y＜30000</w:t>
            </w:r>
          </w:p>
        </w:tc>
        <w:tc>
          <w:tcPr>
            <w:tcW w:w="1315" w:type="dxa"/>
            <w:shd w:val="clear" w:color="auto" w:fill="auto"/>
            <w:tcMar>
              <w:top w:w="0" w:type="dxa"/>
              <w:left w:w="108" w:type="dxa"/>
              <w:bottom w:w="0" w:type="dxa"/>
              <w:right w:w="108" w:type="dxa"/>
            </w:tcMar>
            <w:vAlign w:val="center"/>
          </w:tcPr>
          <w:p w14:paraId="7FA80DE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6D29FBB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1A6D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61F8148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邮政业</w:t>
            </w:r>
          </w:p>
        </w:tc>
        <w:tc>
          <w:tcPr>
            <w:tcW w:w="1281" w:type="dxa"/>
            <w:shd w:val="clear" w:color="auto" w:fill="auto"/>
            <w:tcMar>
              <w:top w:w="0" w:type="dxa"/>
              <w:left w:w="108" w:type="dxa"/>
              <w:bottom w:w="0" w:type="dxa"/>
              <w:right w:w="108" w:type="dxa"/>
            </w:tcMar>
            <w:vAlign w:val="center"/>
          </w:tcPr>
          <w:p w14:paraId="053939A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7F6623C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0C78185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7649686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7936880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3C0EAF7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474C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4535E7E">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3D5CF8D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32C32DB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4BCB42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5656D46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2000≤Y＜30000</w:t>
            </w:r>
          </w:p>
        </w:tc>
        <w:tc>
          <w:tcPr>
            <w:tcW w:w="1315" w:type="dxa"/>
            <w:shd w:val="clear" w:color="auto" w:fill="auto"/>
            <w:tcMar>
              <w:top w:w="0" w:type="dxa"/>
              <w:left w:w="108" w:type="dxa"/>
              <w:bottom w:w="0" w:type="dxa"/>
              <w:right w:w="108" w:type="dxa"/>
            </w:tcMar>
            <w:vAlign w:val="center"/>
          </w:tcPr>
          <w:p w14:paraId="5C1FC77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100≤Y＜2000</w:t>
            </w:r>
          </w:p>
        </w:tc>
        <w:tc>
          <w:tcPr>
            <w:tcW w:w="908" w:type="dxa"/>
            <w:shd w:val="clear" w:color="auto" w:fill="auto"/>
            <w:tcMar>
              <w:top w:w="0" w:type="dxa"/>
              <w:left w:w="108" w:type="dxa"/>
              <w:bottom w:w="0" w:type="dxa"/>
              <w:right w:w="108" w:type="dxa"/>
            </w:tcMar>
            <w:vAlign w:val="center"/>
          </w:tcPr>
          <w:p w14:paraId="4A33FBB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176C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5FBE489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住宿业</w:t>
            </w:r>
          </w:p>
        </w:tc>
        <w:tc>
          <w:tcPr>
            <w:tcW w:w="1281" w:type="dxa"/>
            <w:shd w:val="clear" w:color="auto" w:fill="auto"/>
            <w:tcMar>
              <w:top w:w="0" w:type="dxa"/>
              <w:left w:w="108" w:type="dxa"/>
              <w:bottom w:w="0" w:type="dxa"/>
              <w:right w:w="108" w:type="dxa"/>
            </w:tcMar>
            <w:vAlign w:val="center"/>
          </w:tcPr>
          <w:p w14:paraId="21F4126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B73378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7E256F9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7D37976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58B81B4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29FAD93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71D8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B005273">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6667D28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380378B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783A630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72F7363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2000≤Y＜10000</w:t>
            </w:r>
          </w:p>
        </w:tc>
        <w:tc>
          <w:tcPr>
            <w:tcW w:w="1315" w:type="dxa"/>
            <w:shd w:val="clear" w:color="auto" w:fill="auto"/>
            <w:tcMar>
              <w:top w:w="0" w:type="dxa"/>
              <w:left w:w="108" w:type="dxa"/>
              <w:bottom w:w="0" w:type="dxa"/>
              <w:right w:w="108" w:type="dxa"/>
            </w:tcMar>
            <w:vAlign w:val="center"/>
          </w:tcPr>
          <w:p w14:paraId="10E7373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100≤Y＜2000</w:t>
            </w:r>
          </w:p>
        </w:tc>
        <w:tc>
          <w:tcPr>
            <w:tcW w:w="908" w:type="dxa"/>
            <w:shd w:val="clear" w:color="auto" w:fill="auto"/>
            <w:tcMar>
              <w:top w:w="0" w:type="dxa"/>
              <w:left w:w="108" w:type="dxa"/>
              <w:bottom w:w="0" w:type="dxa"/>
              <w:right w:w="108" w:type="dxa"/>
            </w:tcMar>
            <w:vAlign w:val="center"/>
          </w:tcPr>
          <w:p w14:paraId="113D259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25EA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0D52CBE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餐饮业</w:t>
            </w:r>
          </w:p>
        </w:tc>
        <w:tc>
          <w:tcPr>
            <w:tcW w:w="1281" w:type="dxa"/>
            <w:shd w:val="clear" w:color="auto" w:fill="auto"/>
            <w:tcMar>
              <w:top w:w="0" w:type="dxa"/>
              <w:left w:w="108" w:type="dxa"/>
              <w:bottom w:w="0" w:type="dxa"/>
              <w:right w:w="108" w:type="dxa"/>
            </w:tcMar>
            <w:vAlign w:val="center"/>
          </w:tcPr>
          <w:p w14:paraId="3C65C7D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7AF87C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13F8918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41F365F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319ACB7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1A7C197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2427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23AF4473">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5E1BD0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101D99C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5AA2024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143EF9A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2000≤Y＜10000</w:t>
            </w:r>
          </w:p>
        </w:tc>
        <w:tc>
          <w:tcPr>
            <w:tcW w:w="1315" w:type="dxa"/>
            <w:shd w:val="clear" w:color="auto" w:fill="auto"/>
            <w:tcMar>
              <w:top w:w="0" w:type="dxa"/>
              <w:left w:w="108" w:type="dxa"/>
              <w:bottom w:w="0" w:type="dxa"/>
              <w:right w:w="108" w:type="dxa"/>
            </w:tcMar>
            <w:vAlign w:val="center"/>
          </w:tcPr>
          <w:p w14:paraId="4EFB24B3">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 100≤Y＜2000</w:t>
            </w:r>
          </w:p>
        </w:tc>
        <w:tc>
          <w:tcPr>
            <w:tcW w:w="908" w:type="dxa"/>
            <w:shd w:val="clear" w:color="auto" w:fill="auto"/>
            <w:tcMar>
              <w:top w:w="0" w:type="dxa"/>
              <w:left w:w="108" w:type="dxa"/>
              <w:bottom w:w="0" w:type="dxa"/>
              <w:right w:w="108" w:type="dxa"/>
            </w:tcMar>
            <w:vAlign w:val="center"/>
          </w:tcPr>
          <w:p w14:paraId="13BBBC0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1F18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2D63FE4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信息传输业 *</w:t>
            </w:r>
          </w:p>
        </w:tc>
        <w:tc>
          <w:tcPr>
            <w:tcW w:w="1281" w:type="dxa"/>
            <w:shd w:val="clear" w:color="auto" w:fill="auto"/>
            <w:tcMar>
              <w:top w:w="0" w:type="dxa"/>
              <w:left w:w="108" w:type="dxa"/>
              <w:bottom w:w="0" w:type="dxa"/>
              <w:right w:w="108" w:type="dxa"/>
            </w:tcMar>
            <w:vAlign w:val="center"/>
          </w:tcPr>
          <w:p w14:paraId="701F12C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731F66F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16BD8DC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X≥2000</w:t>
            </w:r>
          </w:p>
        </w:tc>
        <w:tc>
          <w:tcPr>
            <w:tcW w:w="1491" w:type="dxa"/>
            <w:shd w:val="clear" w:color="auto" w:fill="auto"/>
            <w:tcMar>
              <w:top w:w="0" w:type="dxa"/>
              <w:left w:w="108" w:type="dxa"/>
              <w:bottom w:w="0" w:type="dxa"/>
              <w:right w:w="108" w:type="dxa"/>
            </w:tcMar>
            <w:vAlign w:val="center"/>
          </w:tcPr>
          <w:p w14:paraId="00F433B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100≤X＜2000</w:t>
            </w:r>
          </w:p>
        </w:tc>
        <w:tc>
          <w:tcPr>
            <w:tcW w:w="1315" w:type="dxa"/>
            <w:shd w:val="clear" w:color="auto" w:fill="auto"/>
            <w:tcMar>
              <w:top w:w="0" w:type="dxa"/>
              <w:left w:w="108" w:type="dxa"/>
              <w:bottom w:w="0" w:type="dxa"/>
              <w:right w:w="108" w:type="dxa"/>
            </w:tcMar>
            <w:vAlign w:val="center"/>
          </w:tcPr>
          <w:p w14:paraId="33704D4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7651117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4D35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07A51FDD">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64C4192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5206E6E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6DD4388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Y≥100000</w:t>
            </w:r>
          </w:p>
        </w:tc>
        <w:tc>
          <w:tcPr>
            <w:tcW w:w="1491" w:type="dxa"/>
            <w:shd w:val="clear" w:color="auto" w:fill="auto"/>
            <w:tcMar>
              <w:top w:w="0" w:type="dxa"/>
              <w:left w:w="108" w:type="dxa"/>
              <w:bottom w:w="0" w:type="dxa"/>
              <w:right w:w="108" w:type="dxa"/>
            </w:tcMar>
            <w:vAlign w:val="center"/>
          </w:tcPr>
          <w:p w14:paraId="0189776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1000≤Y＜100000</w:t>
            </w:r>
          </w:p>
        </w:tc>
        <w:tc>
          <w:tcPr>
            <w:tcW w:w="1315" w:type="dxa"/>
            <w:shd w:val="clear" w:color="auto" w:fill="auto"/>
            <w:tcMar>
              <w:top w:w="0" w:type="dxa"/>
              <w:left w:w="108" w:type="dxa"/>
              <w:bottom w:w="0" w:type="dxa"/>
              <w:right w:w="108" w:type="dxa"/>
            </w:tcMar>
            <w:vAlign w:val="center"/>
          </w:tcPr>
          <w:p w14:paraId="11B559B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7540ACE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526C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0E90755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pacing w:val="-12"/>
                <w:sz w:val="18"/>
                <w:szCs w:val="18"/>
                <w:highlight w:val="none"/>
              </w:rPr>
              <w:t>软件和信息技术服</w:t>
            </w:r>
            <w:r>
              <w:rPr>
                <w:rFonts w:hint="eastAsia" w:ascii="宋体" w:hAnsi="宋体" w:eastAsia="宋体" w:cs="宋体"/>
                <w:color w:val="auto"/>
                <w:sz w:val="18"/>
                <w:szCs w:val="18"/>
                <w:highlight w:val="none"/>
              </w:rPr>
              <w:t>务业</w:t>
            </w:r>
          </w:p>
        </w:tc>
        <w:tc>
          <w:tcPr>
            <w:tcW w:w="1281" w:type="dxa"/>
            <w:shd w:val="clear" w:color="auto" w:fill="auto"/>
            <w:tcMar>
              <w:top w:w="0" w:type="dxa"/>
              <w:left w:w="108" w:type="dxa"/>
              <w:bottom w:w="0" w:type="dxa"/>
              <w:right w:w="108" w:type="dxa"/>
            </w:tcMar>
            <w:vAlign w:val="center"/>
          </w:tcPr>
          <w:p w14:paraId="56F1F68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1B8B58C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4BDAC6C7">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2308A85F">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1E30037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330142C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4D9D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20FDAA91">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3E8546B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19F652E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19D7A796">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0144F166">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1000≤Y＜10000</w:t>
            </w:r>
          </w:p>
        </w:tc>
        <w:tc>
          <w:tcPr>
            <w:tcW w:w="1315" w:type="dxa"/>
            <w:shd w:val="clear" w:color="auto" w:fill="auto"/>
            <w:tcMar>
              <w:top w:w="0" w:type="dxa"/>
              <w:left w:w="108" w:type="dxa"/>
              <w:bottom w:w="0" w:type="dxa"/>
              <w:right w:w="108" w:type="dxa"/>
            </w:tcMar>
            <w:vAlign w:val="center"/>
          </w:tcPr>
          <w:p w14:paraId="4CED899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50≤Y＜1000</w:t>
            </w:r>
          </w:p>
        </w:tc>
        <w:tc>
          <w:tcPr>
            <w:tcW w:w="908" w:type="dxa"/>
            <w:shd w:val="clear" w:color="auto" w:fill="auto"/>
            <w:tcMar>
              <w:top w:w="0" w:type="dxa"/>
              <w:left w:w="108" w:type="dxa"/>
              <w:bottom w:w="0" w:type="dxa"/>
              <w:right w:w="108" w:type="dxa"/>
            </w:tcMar>
            <w:vAlign w:val="center"/>
          </w:tcPr>
          <w:p w14:paraId="4FC4D7F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w:t>
            </w:r>
          </w:p>
        </w:tc>
      </w:tr>
      <w:tr w14:paraId="57A2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2A5F47A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房地产开发经营</w:t>
            </w:r>
          </w:p>
        </w:tc>
        <w:tc>
          <w:tcPr>
            <w:tcW w:w="1281" w:type="dxa"/>
            <w:shd w:val="clear" w:color="auto" w:fill="auto"/>
            <w:tcMar>
              <w:top w:w="0" w:type="dxa"/>
              <w:left w:w="108" w:type="dxa"/>
              <w:bottom w:w="0" w:type="dxa"/>
              <w:right w:w="108" w:type="dxa"/>
            </w:tcMar>
            <w:vAlign w:val="center"/>
          </w:tcPr>
          <w:p w14:paraId="244D6F5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49B659D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73A16E2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Y≥200000</w:t>
            </w:r>
          </w:p>
        </w:tc>
        <w:tc>
          <w:tcPr>
            <w:tcW w:w="1491" w:type="dxa"/>
            <w:shd w:val="clear" w:color="auto" w:fill="auto"/>
            <w:tcMar>
              <w:top w:w="0" w:type="dxa"/>
              <w:left w:w="108" w:type="dxa"/>
              <w:bottom w:w="0" w:type="dxa"/>
              <w:right w:w="108" w:type="dxa"/>
            </w:tcMar>
            <w:vAlign w:val="center"/>
          </w:tcPr>
          <w:p w14:paraId="130B172C">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 1000≤Y＜200000</w:t>
            </w:r>
          </w:p>
        </w:tc>
        <w:tc>
          <w:tcPr>
            <w:tcW w:w="1315" w:type="dxa"/>
            <w:shd w:val="clear" w:color="auto" w:fill="auto"/>
            <w:tcMar>
              <w:top w:w="0" w:type="dxa"/>
              <w:left w:w="108" w:type="dxa"/>
              <w:bottom w:w="0" w:type="dxa"/>
              <w:right w:w="108" w:type="dxa"/>
            </w:tcMar>
            <w:vAlign w:val="center"/>
          </w:tcPr>
          <w:p w14:paraId="2B84C08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1EDB218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19EA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08CFB279">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22FE737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169FABB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68A5F8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Z≥10000</w:t>
            </w:r>
          </w:p>
        </w:tc>
        <w:tc>
          <w:tcPr>
            <w:tcW w:w="1491" w:type="dxa"/>
            <w:shd w:val="clear" w:color="auto" w:fill="auto"/>
            <w:tcMar>
              <w:top w:w="0" w:type="dxa"/>
              <w:left w:w="108" w:type="dxa"/>
              <w:bottom w:w="0" w:type="dxa"/>
              <w:right w:w="108" w:type="dxa"/>
            </w:tcMar>
            <w:vAlign w:val="center"/>
          </w:tcPr>
          <w:p w14:paraId="057F5054">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5000≤Z＜10000</w:t>
            </w:r>
          </w:p>
        </w:tc>
        <w:tc>
          <w:tcPr>
            <w:tcW w:w="1315" w:type="dxa"/>
            <w:shd w:val="clear" w:color="auto" w:fill="auto"/>
            <w:tcMar>
              <w:top w:w="0" w:type="dxa"/>
              <w:left w:w="108" w:type="dxa"/>
              <w:bottom w:w="0" w:type="dxa"/>
              <w:right w:w="108" w:type="dxa"/>
            </w:tcMar>
            <w:vAlign w:val="center"/>
          </w:tcPr>
          <w:p w14:paraId="0039664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2000≤Z＜5000  </w:t>
            </w:r>
          </w:p>
        </w:tc>
        <w:tc>
          <w:tcPr>
            <w:tcW w:w="908" w:type="dxa"/>
            <w:shd w:val="clear" w:color="auto" w:fill="auto"/>
            <w:tcMar>
              <w:top w:w="0" w:type="dxa"/>
              <w:left w:w="108" w:type="dxa"/>
              <w:bottom w:w="0" w:type="dxa"/>
              <w:right w:w="108" w:type="dxa"/>
            </w:tcMar>
            <w:vAlign w:val="center"/>
          </w:tcPr>
          <w:p w14:paraId="3515A1B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Z＜2000</w:t>
            </w:r>
          </w:p>
        </w:tc>
      </w:tr>
      <w:tr w14:paraId="5158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56D7DD3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物业管理</w:t>
            </w:r>
          </w:p>
        </w:tc>
        <w:tc>
          <w:tcPr>
            <w:tcW w:w="1281" w:type="dxa"/>
            <w:shd w:val="clear" w:color="auto" w:fill="auto"/>
            <w:tcMar>
              <w:top w:w="0" w:type="dxa"/>
              <w:left w:w="108" w:type="dxa"/>
              <w:bottom w:w="0" w:type="dxa"/>
              <w:right w:w="108" w:type="dxa"/>
            </w:tcMar>
            <w:vAlign w:val="center"/>
          </w:tcPr>
          <w:p w14:paraId="324DD8C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6F8114D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4608725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4D163F8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6990F1E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908" w:type="dxa"/>
            <w:shd w:val="clear" w:color="auto" w:fill="auto"/>
            <w:tcMar>
              <w:top w:w="0" w:type="dxa"/>
              <w:left w:w="108" w:type="dxa"/>
              <w:bottom w:w="0" w:type="dxa"/>
              <w:right w:w="108" w:type="dxa"/>
            </w:tcMar>
            <w:vAlign w:val="center"/>
          </w:tcPr>
          <w:p w14:paraId="789D9B3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w:t>
            </w:r>
          </w:p>
        </w:tc>
      </w:tr>
      <w:tr w14:paraId="1F9E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44AD17CC">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3F76BA4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48D55FC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3CC9412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Y≥5000</w:t>
            </w:r>
          </w:p>
        </w:tc>
        <w:tc>
          <w:tcPr>
            <w:tcW w:w="1491" w:type="dxa"/>
            <w:shd w:val="clear" w:color="auto" w:fill="auto"/>
            <w:tcMar>
              <w:top w:w="0" w:type="dxa"/>
              <w:left w:w="108" w:type="dxa"/>
              <w:bottom w:w="0" w:type="dxa"/>
              <w:right w:w="108" w:type="dxa"/>
            </w:tcMar>
            <w:vAlign w:val="center"/>
          </w:tcPr>
          <w:p w14:paraId="0FD5041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1000≤Y＜5000</w:t>
            </w:r>
          </w:p>
        </w:tc>
        <w:tc>
          <w:tcPr>
            <w:tcW w:w="1315" w:type="dxa"/>
            <w:shd w:val="clear" w:color="auto" w:fill="auto"/>
            <w:tcMar>
              <w:top w:w="0" w:type="dxa"/>
              <w:left w:w="108" w:type="dxa"/>
              <w:bottom w:w="0" w:type="dxa"/>
              <w:right w:w="108" w:type="dxa"/>
            </w:tcMar>
            <w:vAlign w:val="center"/>
          </w:tcPr>
          <w:p w14:paraId="7A0A52B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500≤Y＜1000</w:t>
            </w:r>
          </w:p>
        </w:tc>
        <w:tc>
          <w:tcPr>
            <w:tcW w:w="908" w:type="dxa"/>
            <w:shd w:val="clear" w:color="auto" w:fill="auto"/>
            <w:tcMar>
              <w:top w:w="0" w:type="dxa"/>
              <w:left w:w="108" w:type="dxa"/>
              <w:bottom w:w="0" w:type="dxa"/>
              <w:right w:w="108" w:type="dxa"/>
            </w:tcMar>
            <w:vAlign w:val="center"/>
          </w:tcPr>
          <w:p w14:paraId="79146CC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Y＜500</w:t>
            </w:r>
          </w:p>
        </w:tc>
      </w:tr>
      <w:tr w14:paraId="7ECE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0D3D344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租赁和商务服务业</w:t>
            </w:r>
          </w:p>
        </w:tc>
        <w:tc>
          <w:tcPr>
            <w:tcW w:w="1281" w:type="dxa"/>
            <w:shd w:val="clear" w:color="auto" w:fill="auto"/>
            <w:tcMar>
              <w:top w:w="0" w:type="dxa"/>
              <w:left w:w="108" w:type="dxa"/>
              <w:bottom w:w="0" w:type="dxa"/>
              <w:right w:w="108" w:type="dxa"/>
            </w:tcMar>
            <w:vAlign w:val="center"/>
          </w:tcPr>
          <w:p w14:paraId="000B812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54677F1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2182F30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37B2A6C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5BB488C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37EF9FB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6564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4820AB7A">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285F553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6C55F0E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3807D5C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Z≥120000</w:t>
            </w:r>
          </w:p>
        </w:tc>
        <w:tc>
          <w:tcPr>
            <w:tcW w:w="1491" w:type="dxa"/>
            <w:shd w:val="clear" w:color="auto" w:fill="auto"/>
            <w:tcMar>
              <w:top w:w="0" w:type="dxa"/>
              <w:left w:w="108" w:type="dxa"/>
              <w:bottom w:w="0" w:type="dxa"/>
              <w:right w:w="108" w:type="dxa"/>
            </w:tcMar>
            <w:vAlign w:val="center"/>
          </w:tcPr>
          <w:p w14:paraId="1FA07FD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8000≤Z＜120000</w:t>
            </w:r>
          </w:p>
        </w:tc>
        <w:tc>
          <w:tcPr>
            <w:tcW w:w="1315" w:type="dxa"/>
            <w:shd w:val="clear" w:color="auto" w:fill="auto"/>
            <w:tcMar>
              <w:top w:w="0" w:type="dxa"/>
              <w:left w:w="108" w:type="dxa"/>
              <w:bottom w:w="0" w:type="dxa"/>
              <w:right w:w="108" w:type="dxa"/>
            </w:tcMar>
            <w:vAlign w:val="center"/>
          </w:tcPr>
          <w:p w14:paraId="6B5456E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100≤Z＜8000</w:t>
            </w:r>
          </w:p>
        </w:tc>
        <w:tc>
          <w:tcPr>
            <w:tcW w:w="908" w:type="dxa"/>
            <w:shd w:val="clear" w:color="auto" w:fill="auto"/>
            <w:tcMar>
              <w:top w:w="0" w:type="dxa"/>
              <w:left w:w="108" w:type="dxa"/>
              <w:bottom w:w="0" w:type="dxa"/>
              <w:right w:w="108" w:type="dxa"/>
            </w:tcMar>
            <w:vAlign w:val="center"/>
          </w:tcPr>
          <w:p w14:paraId="1D97D8C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Z＜100</w:t>
            </w:r>
          </w:p>
        </w:tc>
      </w:tr>
      <w:tr w14:paraId="1295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4F68EB6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其他未列明行业 *</w:t>
            </w:r>
          </w:p>
        </w:tc>
        <w:tc>
          <w:tcPr>
            <w:tcW w:w="1281" w:type="dxa"/>
            <w:shd w:val="clear" w:color="auto" w:fill="auto"/>
            <w:tcMar>
              <w:top w:w="0" w:type="dxa"/>
              <w:left w:w="108" w:type="dxa"/>
              <w:bottom w:w="0" w:type="dxa"/>
              <w:right w:w="108" w:type="dxa"/>
            </w:tcMar>
            <w:vAlign w:val="center"/>
          </w:tcPr>
          <w:p w14:paraId="071B95D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484F9D7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158A19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303C030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094C45D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4E1EE71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bl>
    <w:p w14:paraId="0A112DBD">
      <w:pPr>
        <w:shd w:val="clear" w:color="auto" w:fill="FFFFFF"/>
        <w:spacing w:line="400" w:lineRule="exact"/>
        <w:ind w:firstLine="0" w:firstLineChars="0"/>
        <w:rPr>
          <w:rFonts w:hint="eastAsia" w:ascii="微软雅黑" w:hAnsi="微软雅黑" w:cs="宋体"/>
          <w:bCs/>
          <w:color w:val="auto"/>
          <w:szCs w:val="21"/>
          <w:highlight w:val="none"/>
        </w:rPr>
      </w:pPr>
      <w:r>
        <w:rPr>
          <w:rFonts w:hint="eastAsia" w:ascii="宋体" w:hAnsi="宋体" w:eastAsia="宋体" w:cs="宋体"/>
          <w:color w:val="auto"/>
          <w:sz w:val="18"/>
          <w:szCs w:val="18"/>
          <w:highlight w:val="none"/>
        </w:rPr>
        <w:t> </w:t>
      </w:r>
      <w:r>
        <w:rPr>
          <w:rFonts w:hint="eastAsia" w:ascii="宋体" w:hAnsi="宋体" w:eastAsia="宋体" w:cs="宋体"/>
          <w:color w:val="auto"/>
          <w:spacing w:val="8"/>
          <w:sz w:val="24"/>
          <w:highlight w:val="none"/>
        </w:rPr>
        <w:t>　</w:t>
      </w:r>
      <w:r>
        <w:rPr>
          <w:rFonts w:hint="eastAsia" w:ascii="微软雅黑" w:hAnsi="微软雅黑" w:cs="宋体"/>
          <w:color w:val="auto"/>
          <w:spacing w:val="8"/>
          <w:szCs w:val="21"/>
          <w:highlight w:val="none"/>
        </w:rPr>
        <w:t>　说明：</w:t>
      </w:r>
    </w:p>
    <w:p w14:paraId="501473AA">
      <w:pPr>
        <w:shd w:val="clear" w:color="auto" w:fill="FFFFFF"/>
        <w:spacing w:line="400" w:lineRule="exact"/>
        <w:ind w:firstLine="0" w:firstLineChars="0"/>
        <w:rPr>
          <w:rFonts w:hint="eastAsia" w:ascii="微软雅黑" w:hAnsi="微软雅黑" w:cs="宋体"/>
          <w:bCs/>
          <w:color w:val="auto"/>
          <w:szCs w:val="21"/>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1.</w:t>
      </w:r>
      <w:r>
        <w:rPr>
          <w:rFonts w:hint="eastAsia" w:ascii="微软雅黑" w:hAnsi="微软雅黑" w:cs="宋体"/>
          <w:color w:val="auto"/>
          <w:spacing w:val="8"/>
          <w:szCs w:val="21"/>
          <w:highlight w:val="none"/>
        </w:rPr>
        <w:t>大型、中型和小型企业须同时满足所列指标的下限，否则下划一档；微型企业只须满足所列指标中的一项即可。</w:t>
      </w:r>
    </w:p>
    <w:p w14:paraId="3BA62FF4">
      <w:pPr>
        <w:shd w:val="clear" w:color="auto" w:fill="FFFFFF"/>
        <w:spacing w:line="400" w:lineRule="exact"/>
        <w:ind w:firstLine="0" w:firstLineChars="0"/>
        <w:rPr>
          <w:rFonts w:hint="eastAsia" w:ascii="微软雅黑" w:hAnsi="微软雅黑" w:cs="宋体"/>
          <w:bCs/>
          <w:color w:val="auto"/>
          <w:szCs w:val="21"/>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2.</w:t>
      </w:r>
      <w:r>
        <w:rPr>
          <w:rFonts w:hint="eastAsia" w:ascii="微软雅黑" w:hAnsi="微软雅黑" w:cs="宋体"/>
          <w:color w:val="auto"/>
          <w:spacing w:val="8"/>
          <w:szCs w:val="21"/>
          <w:highlight w:val="none"/>
        </w:rPr>
        <w:t>附表中各行业的范围以《国民经济行业分类》（</w:t>
      </w:r>
      <w:r>
        <w:rPr>
          <w:rFonts w:ascii="微软雅黑" w:hAnsi="微软雅黑"/>
          <w:color w:val="auto"/>
          <w:spacing w:val="8"/>
          <w:szCs w:val="21"/>
          <w:highlight w:val="none"/>
        </w:rPr>
        <w:t>GB/T4754-2011</w:t>
      </w:r>
      <w:r>
        <w:rPr>
          <w:rFonts w:hint="eastAsia" w:ascii="微软雅黑" w:hAnsi="微软雅黑" w:cs="宋体"/>
          <w:color w:val="auto"/>
          <w:spacing w:val="8"/>
          <w:szCs w:val="21"/>
          <w:highlight w:val="none"/>
        </w:rPr>
        <w:t>）为准。带</w:t>
      </w:r>
      <w:r>
        <w:rPr>
          <w:rFonts w:ascii="微软雅黑" w:hAnsi="微软雅黑"/>
          <w:color w:val="auto"/>
          <w:spacing w:val="8"/>
          <w:szCs w:val="21"/>
          <w:highlight w:val="none"/>
        </w:rPr>
        <w:t>*</w:t>
      </w:r>
      <w:r>
        <w:rPr>
          <w:rFonts w:hint="eastAsia" w:ascii="微软雅黑" w:hAnsi="微软雅黑" w:cs="宋体"/>
          <w:color w:val="auto"/>
          <w:spacing w:val="8"/>
          <w:szCs w:val="21"/>
          <w:highlight w:val="none"/>
        </w:rPr>
        <w:t>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18A6C65">
      <w:pPr>
        <w:shd w:val="clear" w:color="auto" w:fill="FFFFFF"/>
        <w:spacing w:line="400" w:lineRule="exact"/>
        <w:ind w:firstLine="0" w:firstLineChars="0"/>
        <w:rPr>
          <w:rFonts w:hint="eastAsia" w:ascii="微软雅黑" w:hAnsi="微软雅黑" w:cs="宋体"/>
          <w:color w:val="auto"/>
          <w:spacing w:val="8"/>
          <w:szCs w:val="21"/>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3.</w:t>
      </w:r>
      <w:r>
        <w:rPr>
          <w:rFonts w:hint="eastAsia" w:ascii="微软雅黑" w:hAnsi="微软雅黑" w:cs="宋体"/>
          <w:color w:val="auto"/>
          <w:spacing w:val="8"/>
          <w:szCs w:val="21"/>
          <w:highlight w:val="none"/>
        </w:rPr>
        <w:t>企业划分指标以现行统计制度为准。（</w:t>
      </w:r>
      <w:r>
        <w:rPr>
          <w:rFonts w:ascii="微软雅黑" w:hAnsi="微软雅黑"/>
          <w:color w:val="auto"/>
          <w:spacing w:val="8"/>
          <w:szCs w:val="21"/>
          <w:highlight w:val="none"/>
        </w:rPr>
        <w:t>1</w:t>
      </w:r>
      <w:r>
        <w:rPr>
          <w:rFonts w:hint="eastAsia" w:ascii="微软雅黑" w:hAnsi="微软雅黑" w:cs="宋体"/>
          <w:color w:val="auto"/>
          <w:spacing w:val="8"/>
          <w:szCs w:val="21"/>
          <w:highlight w:val="none"/>
        </w:rPr>
        <w:t>）从业人员，是指期末从业人员数，没有期末从业人员数的，采用全年平均人员数代替。（</w:t>
      </w:r>
      <w:r>
        <w:rPr>
          <w:rFonts w:ascii="微软雅黑" w:hAnsi="微软雅黑"/>
          <w:color w:val="auto"/>
          <w:spacing w:val="8"/>
          <w:szCs w:val="21"/>
          <w:highlight w:val="none"/>
        </w:rPr>
        <w:t>2</w:t>
      </w:r>
      <w:r>
        <w:rPr>
          <w:rFonts w:hint="eastAsia" w:ascii="微软雅黑" w:hAnsi="微软雅黑" w:cs="宋体"/>
          <w:color w:val="auto"/>
          <w:spacing w:val="8"/>
          <w:szCs w:val="21"/>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微软雅黑" w:hAnsi="微软雅黑"/>
          <w:color w:val="auto"/>
          <w:spacing w:val="8"/>
          <w:szCs w:val="21"/>
          <w:highlight w:val="none"/>
        </w:rPr>
        <w:t>3</w:t>
      </w:r>
      <w:r>
        <w:rPr>
          <w:rFonts w:hint="eastAsia" w:ascii="微软雅黑" w:hAnsi="微软雅黑" w:cs="宋体"/>
          <w:color w:val="auto"/>
          <w:spacing w:val="8"/>
          <w:szCs w:val="21"/>
          <w:highlight w:val="none"/>
        </w:rPr>
        <w:t>）资产总额，采用资产总计代替。</w:t>
      </w:r>
    </w:p>
    <w:p w14:paraId="666D46D7">
      <w:pPr>
        <w:pStyle w:val="51"/>
        <w:ind w:firstLine="0" w:firstLineChars="0"/>
        <w:jc w:val="both"/>
        <w:outlineLvl w:val="9"/>
        <w:rPr>
          <w:color w:val="auto"/>
          <w:highlight w:val="none"/>
        </w:rPr>
      </w:pPr>
    </w:p>
    <w:sectPr>
      <w:pgSz w:w="11906" w:h="16838"/>
      <w:pgMar w:top="1474" w:right="1797" w:bottom="1247" w:left="1797"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6FB48AC-419A-4A7E-A991-9672C12F7542}"/>
  </w:font>
  <w:font w:name="Arial">
    <w:panose1 w:val="020B0604020202020204"/>
    <w:charset w:val="01"/>
    <w:family w:val="swiss"/>
    <w:pitch w:val="default"/>
    <w:sig w:usb0="E0002EFF" w:usb1="C000785B" w:usb2="00000009" w:usb3="00000000" w:csb0="400001FF" w:csb1="FFFF0000"/>
    <w:embedRegular r:id="rId2" w:fontKey="{7CBD11C5-53E5-4A55-80FC-DDCFCA2E586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F19F6EA-908F-4ECD-B135-1AA1AEC62EA3}"/>
  </w:font>
  <w:font w:name="微软雅黑">
    <w:panose1 w:val="020B0503020204020204"/>
    <w:charset w:val="86"/>
    <w:family w:val="swiss"/>
    <w:pitch w:val="default"/>
    <w:sig w:usb0="80000287" w:usb1="2ACF3C50" w:usb2="00000016" w:usb3="00000000" w:csb0="0004001F" w:csb1="00000000"/>
    <w:embedRegular r:id="rId4" w:fontKey="{DBA7D092-2903-43E7-9284-A96C464050A0}"/>
  </w:font>
  <w:font w:name="仿宋_GB2312">
    <w:panose1 w:val="02010609030101010101"/>
    <w:charset w:val="86"/>
    <w:family w:val="modern"/>
    <w:pitch w:val="default"/>
    <w:sig w:usb0="00000001" w:usb1="080E0000" w:usb2="00000000" w:usb3="00000000" w:csb0="00040000" w:csb1="00000000"/>
    <w:embedRegular r:id="rId5" w:fontKey="{F8A3259B-F4CF-4921-9981-F681A5A0A78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6" w:fontKey="{6438995F-0615-438C-A571-AD2523264685}"/>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0" w:usb3="00000000" w:csb0="00000093" w:csb1="00000000"/>
  </w:font>
  <w:font w:name="新宋体">
    <w:panose1 w:val="02010609030101010101"/>
    <w:charset w:val="86"/>
    <w:family w:val="modern"/>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方正粗黑宋简体">
    <w:panose1 w:val="02000000000000000000"/>
    <w:charset w:val="86"/>
    <w:family w:val="auto"/>
    <w:pitch w:val="default"/>
    <w:sig w:usb0="A00002BF" w:usb1="184F6CFA" w:usb2="00000012" w:usb3="00000000" w:csb0="00040001" w:csb1="00000000"/>
    <w:embedRegular r:id="rId7" w:fontKey="{F5DC6D4B-8B6F-4BEA-9FAD-DEA955698CB9}"/>
  </w:font>
  <w:font w:name="sans-serif">
    <w:altName w:val="微软雅黑"/>
    <w:panose1 w:val="00000000000000000000"/>
    <w:charset w:val="00"/>
    <w:family w:val="auto"/>
    <w:pitch w:val="default"/>
    <w:sig w:usb0="00000000" w:usb1="00000000" w:usb2="00000000" w:usb3="00000000" w:csb0="00040001" w:csb1="00000000"/>
    <w:embedRegular r:id="rId8" w:fontKey="{C9C18B21-93D1-49DE-808A-25714C16EA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5B2E2">
    <w:pPr>
      <w:pStyle w:val="36"/>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6387220"/>
    </w:sdtPr>
    <w:sdtContent>
      <w:p w14:paraId="637D4F1F">
        <w:pPr>
          <w:pStyle w:val="36"/>
          <w:ind w:firstLine="360"/>
          <w:jc w:val="right"/>
        </w:pPr>
        <w:r>
          <w:fldChar w:fldCharType="begin"/>
        </w:r>
        <w:r>
          <w:instrText xml:space="preserve">PAGE   \* MERGEFORMAT</w:instrText>
        </w:r>
        <w:r>
          <w:fldChar w:fldCharType="separate"/>
        </w:r>
        <w:r>
          <w:rPr>
            <w:lang w:val="zh-CN"/>
          </w:rPr>
          <w:t>2</w:t>
        </w:r>
        <w:r>
          <w:fldChar w:fldCharType="end"/>
        </w:r>
      </w:p>
    </w:sdtContent>
  </w:sdt>
  <w:p w14:paraId="5951359F">
    <w:pPr>
      <w:ind w:firstLine="420"/>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4B7AE">
    <w:pPr>
      <w:pStyle w:val="36"/>
      <w:ind w:left="360" w:firstLine="360"/>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972185" cy="147955"/>
              <wp:effectExtent l="0" t="0" r="0" b="0"/>
              <wp:wrapNone/>
              <wp:docPr id="16967667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657A904A">
                          <w:pPr>
                            <w:pStyle w:val="36"/>
                            <w:ind w:firstLine="360"/>
                            <w:jc w:val="center"/>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76.55pt;mso-position-horizontal:center;mso-position-horizontal-relative:margin;mso-wrap-style:none;z-index:251660288;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naTQ0gAAAAQBAAAPAAAAAAAAAAEAIAAA&#10;ACIAAABkcnMvZG93bnJldi54bWxQSwECFAAUAAAACACHTuJAyN309BICAAALBAAADgAAAAAAAAAB&#10;ACAAAAAhAQAAZHJzL2Uyb0RvYy54bWxQSwUGAAAAAAYABgBZAQAApQUAAAAA&#10;">
              <v:fill on="f" focussize="0,0"/>
              <v:stroke on="f"/>
              <v:imagedata o:title=""/>
              <o:lock v:ext="edit" aspectratio="f"/>
              <v:textbox inset="0mm,0mm,0mm,0mm" style="mso-fit-shape-to-text:t;">
                <w:txbxContent>
                  <w:p w14:paraId="657A904A">
                    <w:pPr>
                      <w:pStyle w:val="36"/>
                      <w:ind w:firstLine="360"/>
                      <w:jc w:val="center"/>
                    </w:pPr>
                  </w:p>
                </w:txbxContent>
              </v:textbox>
            </v:shape>
          </w:pict>
        </mc:Fallback>
      </mc:AlternateContent>
    </w:r>
  </w:p>
  <w:p w14:paraId="35C7540C">
    <w:pPr>
      <w:ind w:firstLine="420"/>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864471"/>
    </w:sdtPr>
    <w:sdtContent>
      <w:p w14:paraId="26796747">
        <w:pPr>
          <w:pStyle w:val="36"/>
          <w:ind w:firstLine="360"/>
          <w:jc w:val="right"/>
        </w:pPr>
        <w:r>
          <w:fldChar w:fldCharType="begin"/>
        </w:r>
        <w:r>
          <w:instrText xml:space="preserve">PAGE   \* MERGEFORMAT</w:instrText>
        </w:r>
        <w:r>
          <w:fldChar w:fldCharType="separate"/>
        </w:r>
        <w:r>
          <w:rPr>
            <w:lang w:val="zh-CN"/>
          </w:rPr>
          <w:t>2</w:t>
        </w:r>
        <w:r>
          <w:fldChar w:fldCharType="end"/>
        </w:r>
      </w:p>
    </w:sdtContent>
  </w:sdt>
  <w:p w14:paraId="1A7BC5B8">
    <w:pPr>
      <w:ind w:firstLine="420"/>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1B405">
    <w:pPr>
      <w:pStyle w:val="3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53D78">
    <w:pPr>
      <w:pStyle w:val="3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39779">
    <w:pPr>
      <w:pStyle w:val="36"/>
      <w:ind w:firstLine="360"/>
      <w:jc w:val="right"/>
    </w:pPr>
    <w:r>
      <w:fldChar w:fldCharType="begin"/>
    </w:r>
    <w:r>
      <w:instrText xml:space="preserve"> PAGE   \* MERGEFORMAT </w:instrText>
    </w:r>
    <w:r>
      <w:fldChar w:fldCharType="separate"/>
    </w:r>
    <w:r>
      <w:rPr>
        <w:lang w:val="zh-CN"/>
      </w:rPr>
      <w:t>1</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D0E47">
    <w:pPr>
      <w:pStyle w:val="36"/>
      <w:ind w:firstLine="360"/>
      <w:jc w:val="center"/>
    </w:pPr>
    <w:r>
      <w:fldChar w:fldCharType="begin"/>
    </w:r>
    <w:r>
      <w:instrText xml:space="preserve">PAGE   \* MERGEFORMAT</w:instrText>
    </w:r>
    <w:r>
      <w:fldChar w:fldCharType="separate"/>
    </w:r>
    <w:r>
      <w:rPr>
        <w:lang w:val="zh-CN"/>
      </w:rPr>
      <w:t>41</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1855884"/>
    </w:sdtPr>
    <w:sdtContent>
      <w:p w14:paraId="6572512C">
        <w:pPr>
          <w:pStyle w:val="36"/>
          <w:ind w:firstLine="360"/>
          <w:jc w:val="right"/>
        </w:pPr>
        <w:r>
          <w:fldChar w:fldCharType="begin"/>
        </w:r>
        <w:r>
          <w:instrText xml:space="preserve">PAGE   \* MERGEFORMAT</w:instrText>
        </w:r>
        <w:r>
          <w:fldChar w:fldCharType="separate"/>
        </w:r>
        <w:r>
          <w:rPr>
            <w:lang w:val="zh-CN"/>
          </w:rPr>
          <w:t>2</w:t>
        </w:r>
        <w:r>
          <w:fldChar w:fldCharType="end"/>
        </w:r>
      </w:p>
    </w:sdtContent>
  </w:sdt>
  <w:p w14:paraId="6DA0E471">
    <w:pPr>
      <w:pStyle w:val="36"/>
      <w:ind w:right="720" w:firstLine="210" w:firstLineChars="100"/>
      <w:jc w:val="center"/>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17675"/>
    </w:sdtPr>
    <w:sdtContent>
      <w:p w14:paraId="5E25C5A3">
        <w:pPr>
          <w:pStyle w:val="36"/>
          <w:ind w:firstLine="360"/>
          <w:jc w:val="right"/>
        </w:pPr>
        <w:r>
          <w:fldChar w:fldCharType="begin"/>
        </w:r>
        <w:r>
          <w:instrText xml:space="preserve">PAGE   \* MERGEFORMAT</w:instrText>
        </w:r>
        <w:r>
          <w:fldChar w:fldCharType="separate"/>
        </w:r>
        <w:r>
          <w:rPr>
            <w:lang w:val="zh-CN"/>
          </w:rPr>
          <w:t>2</w:t>
        </w:r>
        <w:r>
          <w:fldChar w:fldCharType="end"/>
        </w:r>
      </w:p>
    </w:sdtContent>
  </w:sdt>
  <w:p w14:paraId="6A1BE95C">
    <w:pPr>
      <w:pStyle w:val="36"/>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F129C">
    <w:pPr>
      <w:pStyle w:val="36"/>
      <w:framePr w:wrap="around" w:vAnchor="text" w:hAnchor="margin" w:xAlign="center" w:y="1"/>
      <w:ind w:right="360" w:firstLine="360"/>
      <w:rPr>
        <w:rStyle w:val="60"/>
      </w:rPr>
    </w:pPr>
  </w:p>
  <w:p w14:paraId="5EE9C2B6">
    <w:pPr>
      <w:pStyle w:val="36"/>
      <w:ind w:firstLine="7920" w:firstLineChars="440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144135" cy="131445"/>
              <wp:effectExtent l="0" t="0" r="0" b="0"/>
              <wp:wrapNone/>
              <wp:docPr id="842746966"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4165459B">
                          <w:pPr>
                            <w:pStyle w:val="36"/>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61312;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jRcPH0QAAAAQBAAAPAAAAAAAAAAEA&#10;IAAAACIAAABkcnMvZG93bnJldi54bWxQSwECFAAUAAAACACHTuJArhibK90BAACxAwAADgAAAAAA&#10;AAABACAAAAAgAQAAZHJzL2Uyb0RvYy54bWxQSwUGAAAAAAYABgBZAQAAbwUAAAAA&#10;">
              <v:fill on="f" focussize="0,0"/>
              <v:stroke on="f"/>
              <v:imagedata o:title=""/>
              <o:lock v:ext="edit" aspectratio="f"/>
              <v:textbox inset="0mm,0mm,0mm,0mm" style="mso-fit-shape-to-text:t;">
                <w:txbxContent>
                  <w:p w14:paraId="4165459B">
                    <w:pPr>
                      <w:pStyle w:val="36"/>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A41CB">
    <w:pPr>
      <w:pStyle w:val="36"/>
      <w:framePr w:wrap="around" w:vAnchor="text" w:hAnchor="margin" w:xAlign="center" w:y="1"/>
      <w:ind w:right="360" w:firstLine="360"/>
      <w:rPr>
        <w:rStyle w:val="60"/>
      </w:rPr>
    </w:pPr>
  </w:p>
  <w:p w14:paraId="728AD086">
    <w:pPr>
      <w:pStyle w:val="36"/>
      <w:ind w:firstLine="7920" w:firstLineChars="440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144135" cy="131445"/>
              <wp:effectExtent l="0" t="0" r="0" b="0"/>
              <wp:wrapNone/>
              <wp:docPr id="2"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6A352D7E">
                          <w:pPr>
                            <w:pStyle w:val="36"/>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59264;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CMIUeY1AEAAKk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W1D55RYZvDBjz9/HH/9Of7+&#10;TublIivUe6ix8MFjaRw+uAH3JimX4oDBRHyQwaQvUiKYR30PZ33FEAnH4KK6vq6uFpRwzFVX6C0S&#10;THG57QPEO+EMSUZDA75flpXtP0IcS08lqZl1t0rr/IbaPgkg5hgReQmm25eBkxWHzTCx2Lj2gOR6&#10;XISGWtx7SvS9RZ3TzpyMcDI2J2Png9p2OGiVpwT/fhdxpDxp6jDCIsPk4AtmrtO2pRV57Oeqyx+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jCFHmNQBAACpAwAADgAAAAAAAAABACAAAAAg&#10;AQAAZHJzL2Uyb0RvYy54bWxQSwUGAAAAAAYABgBZAQAAZgUAAAAA&#10;">
              <v:fill on="f" focussize="0,0"/>
              <v:stroke on="f"/>
              <v:imagedata o:title=""/>
              <o:lock v:ext="edit" aspectratio="f"/>
              <v:textbox inset="0mm,0mm,0mm,0mm" style="mso-fit-shape-to-text:t;">
                <w:txbxContent>
                  <w:p w14:paraId="6A352D7E">
                    <w:pPr>
                      <w:pStyle w:val="36"/>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64BD9">
    <w:pPr>
      <w:pStyle w:val="37"/>
      <w:tabs>
        <w:tab w:val="center" w:pos="4336"/>
        <w:tab w:val="right" w:pos="8312"/>
        <w:tab w:val="clear" w:pos="8306"/>
      </w:tabs>
      <w:jc w:val="left"/>
      <w:rPr>
        <w:rFonts w:hint="eastAsia" w:ascii="微软雅黑" w:hAnsi="微软雅黑"/>
      </w:rPr>
    </w:pPr>
    <w:r>
      <w:rPr>
        <w:rFonts w:hint="eastAsia" w:ascii="微软雅黑" w:hAnsi="微软雅黑"/>
      </w:rPr>
      <w:tab/>
    </w:r>
    <w:r>
      <w:rPr>
        <w:rFonts w:hint="eastAsia"/>
      </w:rPr>
      <w:pict>
        <v:shape id="PowerPlusWaterMarkObject13360720" o:spid="_x0000_s3074" o:spt="136" type="#_x0000_t136" style="position:absolute;left:0pt;height:41.85pt;width:544.0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58627">
    <w:pPr>
      <w:pStyle w:val="37"/>
    </w:pPr>
    <w: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1073838202" name="图片 107383820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8202" name="图片 107383820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王江泾镇乍嘉苏航道长虹桥绕行周边地块规划设计编制服务项目</w:t>
    </w:r>
    <w:r>
      <w:rPr>
        <w:rFonts w:hint="eastAsia" w:ascii="微软雅黑" w:hAnsi="微软雅黑"/>
      </w:rPr>
      <w:t>招标文件</w:t>
    </w:r>
  </w:p>
  <w:p w14:paraId="22583FA4">
    <w:pPr>
      <w:ind w:firstLine="361"/>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3250F">
    <w:pPr>
      <w:pStyle w:val="37"/>
    </w:pPr>
    <w:r>
      <w:pict>
        <v:shape id="PowerPlusWaterMarkObject13360719" o:spid="_x0000_s3075" o:spt="136" type="#_x0000_t136" style="position:absolute;left:0pt;height:41.85pt;width:544.0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2E086">
    <w:pPr>
      <w:pStyle w:val="37"/>
    </w:pPr>
    <w:r>
      <w:pict>
        <v:shape id="PowerPlusWaterMarkObject13360718" o:spid="_x0000_s3073" o:spt="136" type="#_x0000_t136" style="position:absolute;left:0pt;height:41.85pt;width:544.0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03BE6">
    <w:pPr>
      <w:pStyle w:val="37"/>
      <w:rPr>
        <w:rFonts w:hint="eastAsia" w:ascii="微软雅黑" w:hAnsi="微软雅黑"/>
      </w:rPr>
    </w:pPr>
    <w:r>
      <w:rPr>
        <w:rFonts w:hint="eastAsia" w:ascii="微软雅黑" w:hAnsi="微软雅黑"/>
      </w:rPr>
      <w:t>王江泾镇乍嘉苏航道长虹桥绕行周边地块规划设计编制服务项目・公开招标采购文件</w:t>
    </w:r>
    <w:r>
      <w:drawing>
        <wp:anchor distT="0" distB="0" distL="114300" distR="114300" simplePos="0" relativeHeight="251664384" behindDoc="0" locked="0" layoutInCell="1" allowOverlap="1">
          <wp:simplePos x="0" y="0"/>
          <wp:positionH relativeFrom="column">
            <wp:posOffset>1905</wp:posOffset>
          </wp:positionH>
          <wp:positionV relativeFrom="paragraph">
            <wp:posOffset>-130810</wp:posOffset>
          </wp:positionV>
          <wp:extent cx="390525" cy="371475"/>
          <wp:effectExtent l="19050" t="0" r="9525" b="0"/>
          <wp:wrapNone/>
          <wp:docPr id="1033682942" name="图片 103368294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2942" name="图片 103368294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pict>
        <v:shape id="PowerPlusWaterMarkObject13360723" o:spid="_x0000_s3077" o:spt="136" type="#_x0000_t136" style="position:absolute;left:0pt;height:41.85pt;width:544.0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694F6">
    <w:pPr>
      <w:pStyle w:val="37"/>
    </w:pPr>
    <w:r>
      <w:pict>
        <v:shape id="PowerPlusWaterMarkObject13360722" o:spid="_x0000_s3078" o:spt="136" type="#_x0000_t136" style="position:absolute;left:0pt;height:41.85pt;width:544.0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97CE2">
    <w:pPr>
      <w:pStyle w:val="37"/>
    </w:pPr>
    <w:r>
      <w:pict>
        <v:shape id="PowerPlusWaterMarkObject13360721" o:spid="_x0000_s3076" o:spt="136" type="#_x0000_t136" style="position:absolute;left:0pt;height:41.85pt;width:544.0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7A0EB">
    <w:pPr>
      <w:pStyle w:val="37"/>
      <w:pBdr>
        <w:bottom w:val="single" w:color="auto" w:sz="6" w:space="0"/>
      </w:pBdr>
      <w:spacing w:line="240" w:lineRule="exact"/>
      <w:rPr>
        <w:rFonts w:hint="eastAsia" w:ascii="微软雅黑" w:hAnsi="微软雅黑"/>
      </w:rPr>
    </w:pPr>
    <w:r>
      <w:drawing>
        <wp:anchor distT="0" distB="0" distL="114300" distR="114300" simplePos="0" relativeHeight="251665408" behindDoc="0" locked="0" layoutInCell="1" allowOverlap="1">
          <wp:simplePos x="0" y="0"/>
          <wp:positionH relativeFrom="column">
            <wp:posOffset>54610</wp:posOffset>
          </wp:positionH>
          <wp:positionV relativeFrom="paragraph">
            <wp:posOffset>-188595</wp:posOffset>
          </wp:positionV>
          <wp:extent cx="390525" cy="371475"/>
          <wp:effectExtent l="0" t="0" r="9525" b="9525"/>
          <wp:wrapNone/>
          <wp:docPr id="599834396" name="图片 599834396"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34396" name="图片 599834396"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 xml:space="preserve"> 王江泾镇乍嘉苏航道长虹桥绕行周边地块规划设计编制服务项目</w:t>
    </w:r>
    <w:r>
      <w:rPr>
        <w:rFonts w:hint="eastAsia" w:ascii="微软雅黑" w:hAnsi="微软雅黑"/>
      </w:rPr>
      <w:t>.招标文件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7A15A">
    <w:pPr>
      <w:pStyle w:val="37"/>
    </w:pPr>
    <w:r>
      <w:pict>
        <v:shape id="_x0000_s3084" o:spid="_x0000_s3084" o:spt="136" type="#_x0000_t136" style="position:absolute;left:0pt;height:41.85pt;width:544.0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98312">
    <w:pPr>
      <w:pStyle w:val="37"/>
    </w:pPr>
    <w: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390525" cy="371475"/>
          <wp:effectExtent l="0" t="0" r="9525" b="9525"/>
          <wp:wrapNone/>
          <wp:docPr id="847356751" name="图片 84735675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56751" name="图片 84735675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王江泾镇乍嘉苏航道长虹桥绕行周边地块规划设计编制服务项目</w:t>
    </w:r>
    <w:r>
      <w:rPr>
        <w:rFonts w:hint="eastAsia" w:ascii="微软雅黑" w:hAnsi="微软雅黑" w:cs="微软雅黑"/>
      </w:rPr>
      <w:t>·</w:t>
    </w:r>
    <w:r>
      <w:rPr>
        <w:rFonts w:hint="eastAsia" w:ascii="微软雅黑" w:hAnsi="微软雅黑"/>
      </w:rPr>
      <w:t>招标文件</w:t>
    </w:r>
    <w:r>
      <w:pict>
        <v:shape id="_x0000_s3083" o:spid="_x0000_s3083" o:spt="136" type="#_x0000_t136" style="position:absolute;left:0pt;height:41.85pt;width:544.0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AF3652"/>
    <w:multiLevelType w:val="singleLevel"/>
    <w:tmpl w:val="B0AF3652"/>
    <w:lvl w:ilvl="0" w:tentative="0">
      <w:start w:val="1"/>
      <w:numFmt w:val="decimal"/>
      <w:lvlText w:val="%1."/>
      <w:lvlJc w:val="left"/>
      <w:pPr>
        <w:ind w:left="425" w:hanging="425"/>
      </w:pPr>
      <w:rPr>
        <w:rFonts w:hint="default"/>
      </w:rPr>
    </w:lvl>
  </w:abstractNum>
  <w:abstractNum w:abstractNumId="1">
    <w:nsid w:val="B33F226C"/>
    <w:multiLevelType w:val="singleLevel"/>
    <w:tmpl w:val="B33F226C"/>
    <w:lvl w:ilvl="0" w:tentative="0">
      <w:start w:val="1"/>
      <w:numFmt w:val="decimal"/>
      <w:lvlText w:val="(%1)"/>
      <w:lvlJc w:val="left"/>
      <w:pPr>
        <w:ind w:left="425" w:hanging="425"/>
      </w:pPr>
      <w:rPr>
        <w:rFonts w:hint="default"/>
      </w:rPr>
    </w:lvl>
  </w:abstractNum>
  <w:abstractNum w:abstractNumId="2">
    <w:nsid w:val="CD15B51E"/>
    <w:multiLevelType w:val="singleLevel"/>
    <w:tmpl w:val="CD15B51E"/>
    <w:lvl w:ilvl="0" w:tentative="0">
      <w:start w:val="1"/>
      <w:numFmt w:val="decimalEnclosedCircleChinese"/>
      <w:suff w:val="nothing"/>
      <w:lvlText w:val="%1　"/>
      <w:lvlJc w:val="left"/>
      <w:pPr>
        <w:ind w:left="0" w:firstLine="400"/>
      </w:pPr>
      <w:rPr>
        <w:rFonts w:hint="eastAsia"/>
      </w:rPr>
    </w:lvl>
  </w:abstractNum>
  <w:abstractNum w:abstractNumId="3">
    <w:nsid w:val="F70C2DBC"/>
    <w:multiLevelType w:val="multilevel"/>
    <w:tmpl w:val="F70C2DBC"/>
    <w:lvl w:ilvl="0" w:tentative="0">
      <w:start w:val="1"/>
      <w:numFmt w:val="decimal"/>
      <w:lvlText w:val="%1."/>
      <w:lvlJc w:val="left"/>
      <w:pPr>
        <w:ind w:left="425" w:hanging="425"/>
      </w:pPr>
      <w:rPr>
        <w:rFonts w:hint="default"/>
      </w:rPr>
    </w:lvl>
    <w:lvl w:ilvl="1" w:tentative="0">
      <w:start w:val="1"/>
      <w:numFmt w:val="decimal"/>
      <w:lvlText w:val="%1.%2."/>
      <w:lvlJc w:val="left"/>
      <w:pPr>
        <w:ind w:left="98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FFFFFF7E"/>
    <w:multiLevelType w:val="singleLevel"/>
    <w:tmpl w:val="FFFFFF7E"/>
    <w:lvl w:ilvl="0" w:tentative="0">
      <w:start w:val="1"/>
      <w:numFmt w:val="decimal"/>
      <w:pStyle w:val="23"/>
      <w:lvlText w:val="%1."/>
      <w:lvlJc w:val="left"/>
      <w:pPr>
        <w:tabs>
          <w:tab w:val="left" w:pos="1200"/>
        </w:tabs>
        <w:ind w:left="1200" w:hanging="360"/>
      </w:pPr>
    </w:lvl>
  </w:abstractNum>
  <w:abstractNum w:abstractNumId="5">
    <w:nsid w:val="06032CAE"/>
    <w:multiLevelType w:val="singleLevel"/>
    <w:tmpl w:val="06032CAE"/>
    <w:lvl w:ilvl="0" w:tentative="0">
      <w:start w:val="1"/>
      <w:numFmt w:val="decimalEnclosedCircleChinese"/>
      <w:suff w:val="nothing"/>
      <w:lvlText w:val="%1　"/>
      <w:lvlJc w:val="left"/>
      <w:pPr>
        <w:ind w:left="0" w:firstLine="400"/>
      </w:pPr>
      <w:rPr>
        <w:rFonts w:hint="eastAsia"/>
      </w:rPr>
    </w:lvl>
  </w:abstractNum>
  <w:abstractNum w:abstractNumId="6">
    <w:nsid w:val="1DD94D7F"/>
    <w:multiLevelType w:val="multilevel"/>
    <w:tmpl w:val="1DD94D7F"/>
    <w:lvl w:ilvl="0" w:tentative="0">
      <w:start w:val="1"/>
      <w:numFmt w:val="japaneseCounting"/>
      <w:lvlText w:val="%1、"/>
      <w:lvlJc w:val="left"/>
      <w:pPr>
        <w:ind w:left="720" w:hanging="720"/>
      </w:pPr>
      <w:rPr>
        <w:rFonts w:hint="default"/>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1C7DD74"/>
    <w:multiLevelType w:val="singleLevel"/>
    <w:tmpl w:val="21C7DD74"/>
    <w:lvl w:ilvl="0" w:tentative="0">
      <w:start w:val="1"/>
      <w:numFmt w:val="chineseCounting"/>
      <w:suff w:val="nothing"/>
      <w:lvlText w:val="%1、"/>
      <w:lvlJc w:val="left"/>
      <w:pPr>
        <w:ind w:left="0" w:firstLine="420"/>
      </w:pPr>
      <w:rPr>
        <w:rFonts w:hint="eastAsia"/>
      </w:rPr>
    </w:lvl>
  </w:abstractNum>
  <w:abstractNum w:abstractNumId="8">
    <w:nsid w:val="363DA9D5"/>
    <w:multiLevelType w:val="singleLevel"/>
    <w:tmpl w:val="363DA9D5"/>
    <w:lvl w:ilvl="0" w:tentative="0">
      <w:start w:val="1"/>
      <w:numFmt w:val="decimal"/>
      <w:lvlText w:val="%1."/>
      <w:lvlJc w:val="left"/>
      <w:pPr>
        <w:ind w:left="425" w:hanging="425"/>
      </w:pPr>
      <w:rPr>
        <w:rFonts w:hint="default"/>
      </w:rPr>
    </w:lvl>
  </w:abstractNum>
  <w:abstractNum w:abstractNumId="9">
    <w:nsid w:val="36B90DB6"/>
    <w:multiLevelType w:val="multilevel"/>
    <w:tmpl w:val="36B90DB6"/>
    <w:lvl w:ilvl="0" w:tentative="0">
      <w:start w:val="7"/>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0">
    <w:nsid w:val="4034AC53"/>
    <w:multiLevelType w:val="singleLevel"/>
    <w:tmpl w:val="4034AC53"/>
    <w:lvl w:ilvl="0" w:tentative="0">
      <w:start w:val="1"/>
      <w:numFmt w:val="chineseCountingThousand"/>
      <w:suff w:val="space"/>
      <w:lvlText w:val="第%1章"/>
      <w:lvlJc w:val="left"/>
      <w:pPr>
        <w:ind w:left="0" w:firstLine="0"/>
      </w:pPr>
      <w:rPr>
        <w:rFonts w:hint="eastAsia"/>
      </w:rPr>
    </w:lvl>
  </w:abstractNum>
  <w:abstractNum w:abstractNumId="11">
    <w:nsid w:val="51FA1A31"/>
    <w:multiLevelType w:val="multilevel"/>
    <w:tmpl w:val="51FA1A31"/>
    <w:lvl w:ilvl="0" w:tentative="0">
      <w:start w:val="1"/>
      <w:numFmt w:val="japaneseCounting"/>
      <w:pStyle w:val="14"/>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28201DB"/>
    <w:multiLevelType w:val="multilevel"/>
    <w:tmpl w:val="528201DB"/>
    <w:lvl w:ilvl="0" w:tentative="0">
      <w:start w:val="1"/>
      <w:numFmt w:val="chineseCountingThousand"/>
      <w:lvlText w:val="第%1章"/>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5BAE13E7"/>
    <w:multiLevelType w:val="singleLevel"/>
    <w:tmpl w:val="5BAE13E7"/>
    <w:lvl w:ilvl="0" w:tentative="0">
      <w:start w:val="1"/>
      <w:numFmt w:val="chineseCounting"/>
      <w:suff w:val="nothing"/>
      <w:lvlText w:val="（%1）"/>
      <w:lvlJc w:val="left"/>
      <w:pPr>
        <w:ind w:left="0" w:firstLine="420"/>
      </w:pPr>
      <w:rPr>
        <w:rFonts w:hint="eastAsia"/>
      </w:rPr>
    </w:lvl>
  </w:abstractNum>
  <w:abstractNum w:abstractNumId="14">
    <w:nsid w:val="5F7181FD"/>
    <w:multiLevelType w:val="singleLevel"/>
    <w:tmpl w:val="5F7181FD"/>
    <w:lvl w:ilvl="0" w:tentative="0">
      <w:start w:val="2"/>
      <w:numFmt w:val="chineseCounting"/>
      <w:suff w:val="nothing"/>
      <w:lvlText w:val="%1、"/>
      <w:lvlJc w:val="left"/>
      <w:rPr>
        <w:rFonts w:hint="eastAsia"/>
      </w:rPr>
    </w:lvl>
  </w:abstractNum>
  <w:abstractNum w:abstractNumId="15">
    <w:nsid w:val="6AB019D5"/>
    <w:multiLevelType w:val="singleLevel"/>
    <w:tmpl w:val="6AB019D5"/>
    <w:lvl w:ilvl="0" w:tentative="0">
      <w:start w:val="4"/>
      <w:numFmt w:val="decimal"/>
      <w:lvlText w:val="%1."/>
      <w:lvlJc w:val="left"/>
      <w:pPr>
        <w:tabs>
          <w:tab w:val="left" w:pos="312"/>
        </w:tabs>
      </w:pPr>
    </w:lvl>
  </w:abstractNum>
  <w:abstractNum w:abstractNumId="16">
    <w:nsid w:val="73BC347C"/>
    <w:multiLevelType w:val="multilevel"/>
    <w:tmpl w:val="73BC347C"/>
    <w:lvl w:ilvl="0" w:tentative="0">
      <w:start w:val="1"/>
      <w:numFmt w:val="decimal"/>
      <w:lvlText w:val="%1."/>
      <w:lvlJc w:val="left"/>
      <w:pPr>
        <w:ind w:left="860" w:hanging="440"/>
      </w:pPr>
    </w:lvl>
    <w:lvl w:ilvl="1" w:tentative="0">
      <w:start w:val="1"/>
      <w:numFmt w:val="decimal"/>
      <w:lvlText w:val="（%2）"/>
      <w:lvlJc w:val="left"/>
      <w:pPr>
        <w:ind w:left="1580" w:hanging="720"/>
      </w:pPr>
      <w:rPr>
        <w:rFonts w:hint="default"/>
      </w:r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7">
    <w:nsid w:val="7DE8ADAB"/>
    <w:multiLevelType w:val="singleLevel"/>
    <w:tmpl w:val="7DE8ADAB"/>
    <w:lvl w:ilvl="0" w:tentative="0">
      <w:start w:val="1"/>
      <w:numFmt w:val="decimal"/>
      <w:lvlText w:val="%1."/>
      <w:lvlJc w:val="left"/>
      <w:pPr>
        <w:ind w:left="425" w:hanging="425"/>
      </w:pPr>
      <w:rPr>
        <w:rFonts w:hint="default"/>
      </w:rPr>
    </w:lvl>
  </w:abstractNum>
  <w:abstractNum w:abstractNumId="18">
    <w:nsid w:val="7EEEC8A2"/>
    <w:multiLevelType w:val="singleLevel"/>
    <w:tmpl w:val="7EEEC8A2"/>
    <w:lvl w:ilvl="0" w:tentative="0">
      <w:start w:val="1"/>
      <w:numFmt w:val="decimal"/>
      <w:suff w:val="nothing"/>
      <w:lvlText w:val="（%1）"/>
      <w:lvlJc w:val="left"/>
    </w:lvl>
  </w:abstractNum>
  <w:num w:numId="1">
    <w:abstractNumId w:val="11"/>
  </w:num>
  <w:num w:numId="2">
    <w:abstractNumId w:val="4"/>
  </w:num>
  <w:num w:numId="3">
    <w:abstractNumId w:val="12"/>
  </w:num>
  <w:num w:numId="4">
    <w:abstractNumId w:val="6"/>
  </w:num>
  <w:num w:numId="5">
    <w:abstractNumId w:val="0"/>
  </w:num>
  <w:num w:numId="6">
    <w:abstractNumId w:val="17"/>
  </w:num>
  <w:num w:numId="7">
    <w:abstractNumId w:val="1"/>
  </w:num>
  <w:num w:numId="8">
    <w:abstractNumId w:val="2"/>
  </w:num>
  <w:num w:numId="9">
    <w:abstractNumId w:val="5"/>
  </w:num>
  <w:num w:numId="10">
    <w:abstractNumId w:val="13"/>
  </w:num>
  <w:num w:numId="11">
    <w:abstractNumId w:val="8"/>
  </w:num>
  <w:num w:numId="12">
    <w:abstractNumId w:val="15"/>
  </w:num>
  <w:num w:numId="13">
    <w:abstractNumId w:val="3"/>
  </w:num>
  <w:num w:numId="14">
    <w:abstractNumId w:val="9"/>
  </w:num>
  <w:num w:numId="15">
    <w:abstractNumId w:val="7"/>
  </w:num>
  <w:num w:numId="16">
    <w:abstractNumId w:val="14"/>
  </w:num>
  <w:num w:numId="17">
    <w:abstractNumId w:val="10"/>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NotTrackMoves/>
  <w:documentProtection w:enforcement="0"/>
  <w:defaultTabStop w:val="21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hZmIwMmZiODFkNDkwNTA3ZmEyMGExNjgwOWE0ZTkifQ=="/>
  </w:docVars>
  <w:rsids>
    <w:rsidRoot w:val="00172A27"/>
    <w:rsid w:val="00000868"/>
    <w:rsid w:val="00002FF3"/>
    <w:rsid w:val="00003C3C"/>
    <w:rsid w:val="000044F4"/>
    <w:rsid w:val="00005826"/>
    <w:rsid w:val="000058A3"/>
    <w:rsid w:val="00005B61"/>
    <w:rsid w:val="00005B6A"/>
    <w:rsid w:val="0000613F"/>
    <w:rsid w:val="00006676"/>
    <w:rsid w:val="00010B34"/>
    <w:rsid w:val="00010C33"/>
    <w:rsid w:val="00010C43"/>
    <w:rsid w:val="00011214"/>
    <w:rsid w:val="000112E4"/>
    <w:rsid w:val="00011499"/>
    <w:rsid w:val="0001156A"/>
    <w:rsid w:val="000119C5"/>
    <w:rsid w:val="00011B6C"/>
    <w:rsid w:val="00011EDD"/>
    <w:rsid w:val="00012135"/>
    <w:rsid w:val="00012EA4"/>
    <w:rsid w:val="00014435"/>
    <w:rsid w:val="00015C8C"/>
    <w:rsid w:val="00016F84"/>
    <w:rsid w:val="000170F5"/>
    <w:rsid w:val="00017123"/>
    <w:rsid w:val="0001712E"/>
    <w:rsid w:val="0001791B"/>
    <w:rsid w:val="0001795B"/>
    <w:rsid w:val="00020A3B"/>
    <w:rsid w:val="00022BEF"/>
    <w:rsid w:val="00023664"/>
    <w:rsid w:val="00023F05"/>
    <w:rsid w:val="00024179"/>
    <w:rsid w:val="0002437A"/>
    <w:rsid w:val="000248E6"/>
    <w:rsid w:val="00024B81"/>
    <w:rsid w:val="00025EE2"/>
    <w:rsid w:val="0003103E"/>
    <w:rsid w:val="0003149E"/>
    <w:rsid w:val="00031953"/>
    <w:rsid w:val="00033451"/>
    <w:rsid w:val="00034D4D"/>
    <w:rsid w:val="00037CD8"/>
    <w:rsid w:val="0004008C"/>
    <w:rsid w:val="000401D5"/>
    <w:rsid w:val="000401F5"/>
    <w:rsid w:val="000417EE"/>
    <w:rsid w:val="00042977"/>
    <w:rsid w:val="00042AFD"/>
    <w:rsid w:val="00042CE5"/>
    <w:rsid w:val="00043120"/>
    <w:rsid w:val="00043142"/>
    <w:rsid w:val="000445D4"/>
    <w:rsid w:val="00044AF0"/>
    <w:rsid w:val="000462B4"/>
    <w:rsid w:val="0004692F"/>
    <w:rsid w:val="0005070C"/>
    <w:rsid w:val="00050ADC"/>
    <w:rsid w:val="000518B8"/>
    <w:rsid w:val="00051FC1"/>
    <w:rsid w:val="00052F01"/>
    <w:rsid w:val="000549F3"/>
    <w:rsid w:val="00054E1D"/>
    <w:rsid w:val="00055D20"/>
    <w:rsid w:val="00056CC6"/>
    <w:rsid w:val="00060047"/>
    <w:rsid w:val="00061917"/>
    <w:rsid w:val="000623FD"/>
    <w:rsid w:val="00062852"/>
    <w:rsid w:val="0006298F"/>
    <w:rsid w:val="000631C3"/>
    <w:rsid w:val="00063364"/>
    <w:rsid w:val="000636F8"/>
    <w:rsid w:val="000637C7"/>
    <w:rsid w:val="00063F1A"/>
    <w:rsid w:val="00064222"/>
    <w:rsid w:val="00065016"/>
    <w:rsid w:val="0006534E"/>
    <w:rsid w:val="00065769"/>
    <w:rsid w:val="000658A9"/>
    <w:rsid w:val="00066093"/>
    <w:rsid w:val="000662AD"/>
    <w:rsid w:val="00066842"/>
    <w:rsid w:val="0007024A"/>
    <w:rsid w:val="00070975"/>
    <w:rsid w:val="000709B0"/>
    <w:rsid w:val="0007101E"/>
    <w:rsid w:val="000718A7"/>
    <w:rsid w:val="00072638"/>
    <w:rsid w:val="0007340F"/>
    <w:rsid w:val="000736C9"/>
    <w:rsid w:val="00073C4C"/>
    <w:rsid w:val="00074B98"/>
    <w:rsid w:val="00074E55"/>
    <w:rsid w:val="00074FC4"/>
    <w:rsid w:val="00076500"/>
    <w:rsid w:val="0007718F"/>
    <w:rsid w:val="0007759B"/>
    <w:rsid w:val="0008057D"/>
    <w:rsid w:val="0008113B"/>
    <w:rsid w:val="000856F4"/>
    <w:rsid w:val="00085D08"/>
    <w:rsid w:val="0008643D"/>
    <w:rsid w:val="00086AAA"/>
    <w:rsid w:val="000871CB"/>
    <w:rsid w:val="00087869"/>
    <w:rsid w:val="00087F2C"/>
    <w:rsid w:val="00090411"/>
    <w:rsid w:val="00090857"/>
    <w:rsid w:val="000910FD"/>
    <w:rsid w:val="00091BB2"/>
    <w:rsid w:val="000928F0"/>
    <w:rsid w:val="00092DE6"/>
    <w:rsid w:val="00093731"/>
    <w:rsid w:val="00093B7D"/>
    <w:rsid w:val="00093EB5"/>
    <w:rsid w:val="000941A5"/>
    <w:rsid w:val="000943B9"/>
    <w:rsid w:val="000945E3"/>
    <w:rsid w:val="000961F0"/>
    <w:rsid w:val="00097DEE"/>
    <w:rsid w:val="000A0027"/>
    <w:rsid w:val="000A00E3"/>
    <w:rsid w:val="000A137F"/>
    <w:rsid w:val="000A24D3"/>
    <w:rsid w:val="000A4B2A"/>
    <w:rsid w:val="000A4FF5"/>
    <w:rsid w:val="000A50C0"/>
    <w:rsid w:val="000A5FDE"/>
    <w:rsid w:val="000A6697"/>
    <w:rsid w:val="000A69C1"/>
    <w:rsid w:val="000A7F08"/>
    <w:rsid w:val="000B0797"/>
    <w:rsid w:val="000B0A2D"/>
    <w:rsid w:val="000B26F5"/>
    <w:rsid w:val="000B2C97"/>
    <w:rsid w:val="000B2E80"/>
    <w:rsid w:val="000B3A48"/>
    <w:rsid w:val="000B4EDA"/>
    <w:rsid w:val="000B55B1"/>
    <w:rsid w:val="000B5B74"/>
    <w:rsid w:val="000B60F2"/>
    <w:rsid w:val="000B70ED"/>
    <w:rsid w:val="000C0619"/>
    <w:rsid w:val="000C1788"/>
    <w:rsid w:val="000C1952"/>
    <w:rsid w:val="000C2B7E"/>
    <w:rsid w:val="000C3154"/>
    <w:rsid w:val="000C3CB6"/>
    <w:rsid w:val="000C400E"/>
    <w:rsid w:val="000C4E12"/>
    <w:rsid w:val="000C4F94"/>
    <w:rsid w:val="000C519E"/>
    <w:rsid w:val="000C51E1"/>
    <w:rsid w:val="000C52F4"/>
    <w:rsid w:val="000C6A2F"/>
    <w:rsid w:val="000C6A53"/>
    <w:rsid w:val="000C743A"/>
    <w:rsid w:val="000D098C"/>
    <w:rsid w:val="000D0A89"/>
    <w:rsid w:val="000D0CCE"/>
    <w:rsid w:val="000D1BEF"/>
    <w:rsid w:val="000D20F0"/>
    <w:rsid w:val="000D270C"/>
    <w:rsid w:val="000D27DF"/>
    <w:rsid w:val="000D327B"/>
    <w:rsid w:val="000D3375"/>
    <w:rsid w:val="000D3BD8"/>
    <w:rsid w:val="000D3DBC"/>
    <w:rsid w:val="000D3E83"/>
    <w:rsid w:val="000D4E06"/>
    <w:rsid w:val="000D5879"/>
    <w:rsid w:val="000D5BF2"/>
    <w:rsid w:val="000E0758"/>
    <w:rsid w:val="000E1631"/>
    <w:rsid w:val="000E18BF"/>
    <w:rsid w:val="000E1EB6"/>
    <w:rsid w:val="000E2A99"/>
    <w:rsid w:val="000E2C3D"/>
    <w:rsid w:val="000E43D9"/>
    <w:rsid w:val="000E4833"/>
    <w:rsid w:val="000E5BED"/>
    <w:rsid w:val="000E66F1"/>
    <w:rsid w:val="000E6EF0"/>
    <w:rsid w:val="000F00C6"/>
    <w:rsid w:val="000F200A"/>
    <w:rsid w:val="000F2A44"/>
    <w:rsid w:val="000F2E02"/>
    <w:rsid w:val="000F41DC"/>
    <w:rsid w:val="000F5668"/>
    <w:rsid w:val="000F6D7F"/>
    <w:rsid w:val="000F79F2"/>
    <w:rsid w:val="000F7AE1"/>
    <w:rsid w:val="000F7E5B"/>
    <w:rsid w:val="001013E6"/>
    <w:rsid w:val="00101540"/>
    <w:rsid w:val="001029B5"/>
    <w:rsid w:val="00102C00"/>
    <w:rsid w:val="001033A9"/>
    <w:rsid w:val="00103534"/>
    <w:rsid w:val="00103BD1"/>
    <w:rsid w:val="00104A23"/>
    <w:rsid w:val="00104CF2"/>
    <w:rsid w:val="00104D8D"/>
    <w:rsid w:val="00104E7B"/>
    <w:rsid w:val="0010514D"/>
    <w:rsid w:val="001056B0"/>
    <w:rsid w:val="00106C43"/>
    <w:rsid w:val="00106CA0"/>
    <w:rsid w:val="00110D71"/>
    <w:rsid w:val="00111AC6"/>
    <w:rsid w:val="00111C03"/>
    <w:rsid w:val="00111E50"/>
    <w:rsid w:val="00112556"/>
    <w:rsid w:val="00112C9C"/>
    <w:rsid w:val="001132F9"/>
    <w:rsid w:val="001136F2"/>
    <w:rsid w:val="0011455A"/>
    <w:rsid w:val="0011498E"/>
    <w:rsid w:val="00114F25"/>
    <w:rsid w:val="001156CC"/>
    <w:rsid w:val="00116E66"/>
    <w:rsid w:val="00117042"/>
    <w:rsid w:val="00124174"/>
    <w:rsid w:val="00124E28"/>
    <w:rsid w:val="00124F3C"/>
    <w:rsid w:val="0012571C"/>
    <w:rsid w:val="00130A08"/>
    <w:rsid w:val="00131164"/>
    <w:rsid w:val="0013190C"/>
    <w:rsid w:val="00131EB3"/>
    <w:rsid w:val="0013283F"/>
    <w:rsid w:val="00132F13"/>
    <w:rsid w:val="0013300D"/>
    <w:rsid w:val="001346DB"/>
    <w:rsid w:val="00134816"/>
    <w:rsid w:val="001351F1"/>
    <w:rsid w:val="0013572E"/>
    <w:rsid w:val="001359B7"/>
    <w:rsid w:val="00136E52"/>
    <w:rsid w:val="00137841"/>
    <w:rsid w:val="0014019B"/>
    <w:rsid w:val="001411A8"/>
    <w:rsid w:val="001450B3"/>
    <w:rsid w:val="00145236"/>
    <w:rsid w:val="00145999"/>
    <w:rsid w:val="00146142"/>
    <w:rsid w:val="00146849"/>
    <w:rsid w:val="00147207"/>
    <w:rsid w:val="001476FF"/>
    <w:rsid w:val="00147E8D"/>
    <w:rsid w:val="00150C59"/>
    <w:rsid w:val="001512EB"/>
    <w:rsid w:val="00152CF7"/>
    <w:rsid w:val="00153259"/>
    <w:rsid w:val="00155885"/>
    <w:rsid w:val="00155A67"/>
    <w:rsid w:val="0015610D"/>
    <w:rsid w:val="0015639E"/>
    <w:rsid w:val="00156BB0"/>
    <w:rsid w:val="00157136"/>
    <w:rsid w:val="00160124"/>
    <w:rsid w:val="001608DD"/>
    <w:rsid w:val="00160CB6"/>
    <w:rsid w:val="001632A7"/>
    <w:rsid w:val="0016384D"/>
    <w:rsid w:val="00165C8C"/>
    <w:rsid w:val="001663C1"/>
    <w:rsid w:val="00171130"/>
    <w:rsid w:val="001714F0"/>
    <w:rsid w:val="00171705"/>
    <w:rsid w:val="00171B2C"/>
    <w:rsid w:val="00172A27"/>
    <w:rsid w:val="001733E6"/>
    <w:rsid w:val="0017424B"/>
    <w:rsid w:val="001749EA"/>
    <w:rsid w:val="00174FD2"/>
    <w:rsid w:val="00175441"/>
    <w:rsid w:val="00175B12"/>
    <w:rsid w:val="00175BE2"/>
    <w:rsid w:val="00175FF0"/>
    <w:rsid w:val="00176AF1"/>
    <w:rsid w:val="00177277"/>
    <w:rsid w:val="001773D9"/>
    <w:rsid w:val="00177BA4"/>
    <w:rsid w:val="00180135"/>
    <w:rsid w:val="001807AC"/>
    <w:rsid w:val="00180943"/>
    <w:rsid w:val="0018285A"/>
    <w:rsid w:val="00183E56"/>
    <w:rsid w:val="00184955"/>
    <w:rsid w:val="00185BE6"/>
    <w:rsid w:val="00185E3C"/>
    <w:rsid w:val="001862F8"/>
    <w:rsid w:val="00186C73"/>
    <w:rsid w:val="00187CA1"/>
    <w:rsid w:val="001902C8"/>
    <w:rsid w:val="00190410"/>
    <w:rsid w:val="00190A51"/>
    <w:rsid w:val="00191BFD"/>
    <w:rsid w:val="00191C4B"/>
    <w:rsid w:val="001931D5"/>
    <w:rsid w:val="001942A1"/>
    <w:rsid w:val="00194E79"/>
    <w:rsid w:val="00195029"/>
    <w:rsid w:val="00195EE5"/>
    <w:rsid w:val="001961BA"/>
    <w:rsid w:val="001963C7"/>
    <w:rsid w:val="00196E8A"/>
    <w:rsid w:val="001A3799"/>
    <w:rsid w:val="001A385B"/>
    <w:rsid w:val="001A45C5"/>
    <w:rsid w:val="001A5907"/>
    <w:rsid w:val="001A78E7"/>
    <w:rsid w:val="001B024B"/>
    <w:rsid w:val="001B1462"/>
    <w:rsid w:val="001B1FFE"/>
    <w:rsid w:val="001B31E0"/>
    <w:rsid w:val="001B333B"/>
    <w:rsid w:val="001B3FD9"/>
    <w:rsid w:val="001B4755"/>
    <w:rsid w:val="001B4756"/>
    <w:rsid w:val="001B598A"/>
    <w:rsid w:val="001B6161"/>
    <w:rsid w:val="001C01C4"/>
    <w:rsid w:val="001C084B"/>
    <w:rsid w:val="001C1EF5"/>
    <w:rsid w:val="001C25E7"/>
    <w:rsid w:val="001C2AE0"/>
    <w:rsid w:val="001C2C06"/>
    <w:rsid w:val="001C2E1A"/>
    <w:rsid w:val="001C2F33"/>
    <w:rsid w:val="001C3D07"/>
    <w:rsid w:val="001C585A"/>
    <w:rsid w:val="001C5F4C"/>
    <w:rsid w:val="001C6AA7"/>
    <w:rsid w:val="001C73FE"/>
    <w:rsid w:val="001D15FA"/>
    <w:rsid w:val="001D3D2D"/>
    <w:rsid w:val="001D544B"/>
    <w:rsid w:val="001D60F8"/>
    <w:rsid w:val="001D6432"/>
    <w:rsid w:val="001D6C3A"/>
    <w:rsid w:val="001D7E86"/>
    <w:rsid w:val="001E0DAD"/>
    <w:rsid w:val="001E0EB3"/>
    <w:rsid w:val="001E14EA"/>
    <w:rsid w:val="001E1800"/>
    <w:rsid w:val="001E2F45"/>
    <w:rsid w:val="001E31F8"/>
    <w:rsid w:val="001E3F99"/>
    <w:rsid w:val="001E3FCE"/>
    <w:rsid w:val="001E69F0"/>
    <w:rsid w:val="001E7E5E"/>
    <w:rsid w:val="001F002F"/>
    <w:rsid w:val="001F02A5"/>
    <w:rsid w:val="001F2692"/>
    <w:rsid w:val="001F32E4"/>
    <w:rsid w:val="001F3E69"/>
    <w:rsid w:val="001F4797"/>
    <w:rsid w:val="001F5544"/>
    <w:rsid w:val="001F5658"/>
    <w:rsid w:val="001F5A4E"/>
    <w:rsid w:val="001F6A15"/>
    <w:rsid w:val="001F6F1B"/>
    <w:rsid w:val="001F7336"/>
    <w:rsid w:val="001F7997"/>
    <w:rsid w:val="002001BC"/>
    <w:rsid w:val="002004C0"/>
    <w:rsid w:val="00200E8E"/>
    <w:rsid w:val="002012BC"/>
    <w:rsid w:val="002033CF"/>
    <w:rsid w:val="00203AEA"/>
    <w:rsid w:val="00203D55"/>
    <w:rsid w:val="0020404A"/>
    <w:rsid w:val="00204712"/>
    <w:rsid w:val="00205048"/>
    <w:rsid w:val="00205E7B"/>
    <w:rsid w:val="00206B06"/>
    <w:rsid w:val="00207004"/>
    <w:rsid w:val="00210F56"/>
    <w:rsid w:val="00211484"/>
    <w:rsid w:val="002116AA"/>
    <w:rsid w:val="00211B35"/>
    <w:rsid w:val="00211F5E"/>
    <w:rsid w:val="00212194"/>
    <w:rsid w:val="0021234D"/>
    <w:rsid w:val="002124CB"/>
    <w:rsid w:val="00212E2C"/>
    <w:rsid w:val="00214014"/>
    <w:rsid w:val="0021426B"/>
    <w:rsid w:val="00214F3B"/>
    <w:rsid w:val="00215023"/>
    <w:rsid w:val="00215167"/>
    <w:rsid w:val="00215261"/>
    <w:rsid w:val="0021582A"/>
    <w:rsid w:val="00216784"/>
    <w:rsid w:val="00216A4B"/>
    <w:rsid w:val="00216AF8"/>
    <w:rsid w:val="002172A3"/>
    <w:rsid w:val="00220675"/>
    <w:rsid w:val="00221007"/>
    <w:rsid w:val="002214C3"/>
    <w:rsid w:val="00221609"/>
    <w:rsid w:val="00221DE0"/>
    <w:rsid w:val="002237F5"/>
    <w:rsid w:val="002245E3"/>
    <w:rsid w:val="00225B70"/>
    <w:rsid w:val="0022638E"/>
    <w:rsid w:val="002266AF"/>
    <w:rsid w:val="0022764B"/>
    <w:rsid w:val="00230D73"/>
    <w:rsid w:val="002310E4"/>
    <w:rsid w:val="00231165"/>
    <w:rsid w:val="002321B2"/>
    <w:rsid w:val="00232EC1"/>
    <w:rsid w:val="002331D8"/>
    <w:rsid w:val="0023367C"/>
    <w:rsid w:val="0023556C"/>
    <w:rsid w:val="0023594C"/>
    <w:rsid w:val="0023705C"/>
    <w:rsid w:val="0023766E"/>
    <w:rsid w:val="002376CA"/>
    <w:rsid w:val="002402E9"/>
    <w:rsid w:val="00240907"/>
    <w:rsid w:val="002437FB"/>
    <w:rsid w:val="00245739"/>
    <w:rsid w:val="002460E2"/>
    <w:rsid w:val="0024712C"/>
    <w:rsid w:val="00250561"/>
    <w:rsid w:val="00251501"/>
    <w:rsid w:val="00251DDD"/>
    <w:rsid w:val="0025433E"/>
    <w:rsid w:val="00254D47"/>
    <w:rsid w:val="0025571D"/>
    <w:rsid w:val="00255D0F"/>
    <w:rsid w:val="00257251"/>
    <w:rsid w:val="00260DF2"/>
    <w:rsid w:val="00261255"/>
    <w:rsid w:val="00261E62"/>
    <w:rsid w:val="0026292E"/>
    <w:rsid w:val="00263176"/>
    <w:rsid w:val="0026386E"/>
    <w:rsid w:val="00265959"/>
    <w:rsid w:val="00266055"/>
    <w:rsid w:val="00266D9C"/>
    <w:rsid w:val="0026746C"/>
    <w:rsid w:val="002705BE"/>
    <w:rsid w:val="00270CF7"/>
    <w:rsid w:val="00270F20"/>
    <w:rsid w:val="00271A16"/>
    <w:rsid w:val="00272EC3"/>
    <w:rsid w:val="00273015"/>
    <w:rsid w:val="0027337F"/>
    <w:rsid w:val="0027386C"/>
    <w:rsid w:val="00274258"/>
    <w:rsid w:val="0027456C"/>
    <w:rsid w:val="00274F22"/>
    <w:rsid w:val="002752CD"/>
    <w:rsid w:val="002754FB"/>
    <w:rsid w:val="00276170"/>
    <w:rsid w:val="00276513"/>
    <w:rsid w:val="00276831"/>
    <w:rsid w:val="00276833"/>
    <w:rsid w:val="00277087"/>
    <w:rsid w:val="002800F9"/>
    <w:rsid w:val="00280214"/>
    <w:rsid w:val="00281184"/>
    <w:rsid w:val="00281E16"/>
    <w:rsid w:val="0028553D"/>
    <w:rsid w:val="0028590F"/>
    <w:rsid w:val="00285C6B"/>
    <w:rsid w:val="0028632D"/>
    <w:rsid w:val="002864B8"/>
    <w:rsid w:val="0029034A"/>
    <w:rsid w:val="00290975"/>
    <w:rsid w:val="00291CAD"/>
    <w:rsid w:val="00292D2B"/>
    <w:rsid w:val="00292EB5"/>
    <w:rsid w:val="00293A0B"/>
    <w:rsid w:val="00294263"/>
    <w:rsid w:val="0029485F"/>
    <w:rsid w:val="002969BB"/>
    <w:rsid w:val="002975DF"/>
    <w:rsid w:val="002A0BA9"/>
    <w:rsid w:val="002A0E86"/>
    <w:rsid w:val="002A43F8"/>
    <w:rsid w:val="002A49EB"/>
    <w:rsid w:val="002A50EB"/>
    <w:rsid w:val="002A521B"/>
    <w:rsid w:val="002A5FDC"/>
    <w:rsid w:val="002A607A"/>
    <w:rsid w:val="002A62CD"/>
    <w:rsid w:val="002A6348"/>
    <w:rsid w:val="002A673A"/>
    <w:rsid w:val="002B0D8A"/>
    <w:rsid w:val="002B1FD9"/>
    <w:rsid w:val="002B284A"/>
    <w:rsid w:val="002B42DB"/>
    <w:rsid w:val="002B463C"/>
    <w:rsid w:val="002B5094"/>
    <w:rsid w:val="002B5C0A"/>
    <w:rsid w:val="002B7121"/>
    <w:rsid w:val="002B73C5"/>
    <w:rsid w:val="002B7CC9"/>
    <w:rsid w:val="002C1C27"/>
    <w:rsid w:val="002C201B"/>
    <w:rsid w:val="002C2BFF"/>
    <w:rsid w:val="002C2C79"/>
    <w:rsid w:val="002C2D68"/>
    <w:rsid w:val="002C3195"/>
    <w:rsid w:val="002C3490"/>
    <w:rsid w:val="002C4048"/>
    <w:rsid w:val="002C4195"/>
    <w:rsid w:val="002C4CA1"/>
    <w:rsid w:val="002C5362"/>
    <w:rsid w:val="002C5920"/>
    <w:rsid w:val="002C6433"/>
    <w:rsid w:val="002C7739"/>
    <w:rsid w:val="002D0334"/>
    <w:rsid w:val="002D1096"/>
    <w:rsid w:val="002D30D0"/>
    <w:rsid w:val="002D3A29"/>
    <w:rsid w:val="002D3DE7"/>
    <w:rsid w:val="002D3F86"/>
    <w:rsid w:val="002D40B4"/>
    <w:rsid w:val="002D4599"/>
    <w:rsid w:val="002D4C6E"/>
    <w:rsid w:val="002D62B8"/>
    <w:rsid w:val="002D6ED5"/>
    <w:rsid w:val="002D7E08"/>
    <w:rsid w:val="002E3DB0"/>
    <w:rsid w:val="002E4582"/>
    <w:rsid w:val="002E49D7"/>
    <w:rsid w:val="002E608E"/>
    <w:rsid w:val="002E6D2B"/>
    <w:rsid w:val="002E77A8"/>
    <w:rsid w:val="002E7AFC"/>
    <w:rsid w:val="002E7E1D"/>
    <w:rsid w:val="002F0A31"/>
    <w:rsid w:val="002F0B10"/>
    <w:rsid w:val="002F0B85"/>
    <w:rsid w:val="002F0E92"/>
    <w:rsid w:val="002F22D6"/>
    <w:rsid w:val="002F3193"/>
    <w:rsid w:val="002F46AD"/>
    <w:rsid w:val="002F6D21"/>
    <w:rsid w:val="003023D9"/>
    <w:rsid w:val="00302A82"/>
    <w:rsid w:val="003034C4"/>
    <w:rsid w:val="00303B30"/>
    <w:rsid w:val="00306065"/>
    <w:rsid w:val="003070E6"/>
    <w:rsid w:val="00307454"/>
    <w:rsid w:val="00307F23"/>
    <w:rsid w:val="00311907"/>
    <w:rsid w:val="00311A5D"/>
    <w:rsid w:val="00312FB3"/>
    <w:rsid w:val="003146C2"/>
    <w:rsid w:val="00314A13"/>
    <w:rsid w:val="00314F8A"/>
    <w:rsid w:val="003158C1"/>
    <w:rsid w:val="00315A4D"/>
    <w:rsid w:val="003163D4"/>
    <w:rsid w:val="00316CBA"/>
    <w:rsid w:val="00320024"/>
    <w:rsid w:val="0032517A"/>
    <w:rsid w:val="00326214"/>
    <w:rsid w:val="0032659B"/>
    <w:rsid w:val="00326C39"/>
    <w:rsid w:val="00326F34"/>
    <w:rsid w:val="00327B44"/>
    <w:rsid w:val="00330637"/>
    <w:rsid w:val="00331439"/>
    <w:rsid w:val="00331A53"/>
    <w:rsid w:val="0033382F"/>
    <w:rsid w:val="003344FD"/>
    <w:rsid w:val="0033557B"/>
    <w:rsid w:val="00335C7B"/>
    <w:rsid w:val="00336995"/>
    <w:rsid w:val="0033750D"/>
    <w:rsid w:val="003375B0"/>
    <w:rsid w:val="00340753"/>
    <w:rsid w:val="00340EF0"/>
    <w:rsid w:val="00341BA6"/>
    <w:rsid w:val="00341BAB"/>
    <w:rsid w:val="0034299D"/>
    <w:rsid w:val="003446A7"/>
    <w:rsid w:val="00344D19"/>
    <w:rsid w:val="0034565D"/>
    <w:rsid w:val="003462B2"/>
    <w:rsid w:val="00346325"/>
    <w:rsid w:val="003471ED"/>
    <w:rsid w:val="003476F2"/>
    <w:rsid w:val="003506C4"/>
    <w:rsid w:val="00350FAA"/>
    <w:rsid w:val="00351FA7"/>
    <w:rsid w:val="0035270E"/>
    <w:rsid w:val="00353D48"/>
    <w:rsid w:val="00353D4B"/>
    <w:rsid w:val="00354333"/>
    <w:rsid w:val="00357213"/>
    <w:rsid w:val="00360259"/>
    <w:rsid w:val="00360275"/>
    <w:rsid w:val="00361B16"/>
    <w:rsid w:val="00361F22"/>
    <w:rsid w:val="00362B9B"/>
    <w:rsid w:val="00364868"/>
    <w:rsid w:val="00364900"/>
    <w:rsid w:val="00367043"/>
    <w:rsid w:val="00367868"/>
    <w:rsid w:val="00367B84"/>
    <w:rsid w:val="003705EE"/>
    <w:rsid w:val="003726C9"/>
    <w:rsid w:val="00374661"/>
    <w:rsid w:val="00374AFA"/>
    <w:rsid w:val="0037649E"/>
    <w:rsid w:val="0037688E"/>
    <w:rsid w:val="00376CC4"/>
    <w:rsid w:val="00377F2B"/>
    <w:rsid w:val="003809B7"/>
    <w:rsid w:val="00381803"/>
    <w:rsid w:val="00381AD9"/>
    <w:rsid w:val="003824F9"/>
    <w:rsid w:val="00382685"/>
    <w:rsid w:val="00382D2E"/>
    <w:rsid w:val="003831B5"/>
    <w:rsid w:val="003833E2"/>
    <w:rsid w:val="00383CBF"/>
    <w:rsid w:val="00384211"/>
    <w:rsid w:val="003857B1"/>
    <w:rsid w:val="003859CB"/>
    <w:rsid w:val="0038631D"/>
    <w:rsid w:val="00387D98"/>
    <w:rsid w:val="00391146"/>
    <w:rsid w:val="0039180D"/>
    <w:rsid w:val="00391BCF"/>
    <w:rsid w:val="00391E5A"/>
    <w:rsid w:val="00393A7B"/>
    <w:rsid w:val="00393B51"/>
    <w:rsid w:val="003940A9"/>
    <w:rsid w:val="003945FE"/>
    <w:rsid w:val="00394AE3"/>
    <w:rsid w:val="00394C27"/>
    <w:rsid w:val="00394ED6"/>
    <w:rsid w:val="00395629"/>
    <w:rsid w:val="00397632"/>
    <w:rsid w:val="00397A22"/>
    <w:rsid w:val="003A35DE"/>
    <w:rsid w:val="003A368B"/>
    <w:rsid w:val="003A3D0C"/>
    <w:rsid w:val="003A55E2"/>
    <w:rsid w:val="003A65FE"/>
    <w:rsid w:val="003A7D8E"/>
    <w:rsid w:val="003B0C2A"/>
    <w:rsid w:val="003B130E"/>
    <w:rsid w:val="003B1D8D"/>
    <w:rsid w:val="003B296C"/>
    <w:rsid w:val="003B679F"/>
    <w:rsid w:val="003B7A44"/>
    <w:rsid w:val="003C2E82"/>
    <w:rsid w:val="003C38D2"/>
    <w:rsid w:val="003C3D88"/>
    <w:rsid w:val="003C4C6A"/>
    <w:rsid w:val="003C542B"/>
    <w:rsid w:val="003C6088"/>
    <w:rsid w:val="003C6925"/>
    <w:rsid w:val="003C6F5B"/>
    <w:rsid w:val="003C704B"/>
    <w:rsid w:val="003C7C88"/>
    <w:rsid w:val="003C7DC6"/>
    <w:rsid w:val="003D1D29"/>
    <w:rsid w:val="003D1E74"/>
    <w:rsid w:val="003D28FF"/>
    <w:rsid w:val="003D38BD"/>
    <w:rsid w:val="003D3BF8"/>
    <w:rsid w:val="003D3F8F"/>
    <w:rsid w:val="003D44ED"/>
    <w:rsid w:val="003D4CBC"/>
    <w:rsid w:val="003D5D5C"/>
    <w:rsid w:val="003D7B96"/>
    <w:rsid w:val="003E25C9"/>
    <w:rsid w:val="003E3291"/>
    <w:rsid w:val="003E3885"/>
    <w:rsid w:val="003E4A05"/>
    <w:rsid w:val="003E5218"/>
    <w:rsid w:val="003E62A6"/>
    <w:rsid w:val="003E62FC"/>
    <w:rsid w:val="003E6BD1"/>
    <w:rsid w:val="003F00F1"/>
    <w:rsid w:val="003F0752"/>
    <w:rsid w:val="003F08DD"/>
    <w:rsid w:val="003F095C"/>
    <w:rsid w:val="003F11D5"/>
    <w:rsid w:val="003F1505"/>
    <w:rsid w:val="003F32EA"/>
    <w:rsid w:val="003F3578"/>
    <w:rsid w:val="003F361B"/>
    <w:rsid w:val="003F47CC"/>
    <w:rsid w:val="003F4E9D"/>
    <w:rsid w:val="003F6C99"/>
    <w:rsid w:val="003F7B60"/>
    <w:rsid w:val="00401095"/>
    <w:rsid w:val="00401627"/>
    <w:rsid w:val="00401A1A"/>
    <w:rsid w:val="00403750"/>
    <w:rsid w:val="00404445"/>
    <w:rsid w:val="00404C20"/>
    <w:rsid w:val="00405C98"/>
    <w:rsid w:val="00407FCB"/>
    <w:rsid w:val="004101FC"/>
    <w:rsid w:val="00410F2A"/>
    <w:rsid w:val="00410FAF"/>
    <w:rsid w:val="004114AA"/>
    <w:rsid w:val="00412095"/>
    <w:rsid w:val="0041237D"/>
    <w:rsid w:val="00412CD1"/>
    <w:rsid w:val="00412DD5"/>
    <w:rsid w:val="004132A9"/>
    <w:rsid w:val="00413F4C"/>
    <w:rsid w:val="00414BA7"/>
    <w:rsid w:val="00415698"/>
    <w:rsid w:val="004156B5"/>
    <w:rsid w:val="004167D4"/>
    <w:rsid w:val="00417BE9"/>
    <w:rsid w:val="00420F8D"/>
    <w:rsid w:val="004214B5"/>
    <w:rsid w:val="004222FB"/>
    <w:rsid w:val="004225B5"/>
    <w:rsid w:val="00423ECD"/>
    <w:rsid w:val="004250BA"/>
    <w:rsid w:val="00425389"/>
    <w:rsid w:val="004256E8"/>
    <w:rsid w:val="0042608D"/>
    <w:rsid w:val="00426319"/>
    <w:rsid w:val="004267A0"/>
    <w:rsid w:val="00430674"/>
    <w:rsid w:val="00430924"/>
    <w:rsid w:val="004313B2"/>
    <w:rsid w:val="004317DD"/>
    <w:rsid w:val="00431CF0"/>
    <w:rsid w:val="0043214E"/>
    <w:rsid w:val="00437762"/>
    <w:rsid w:val="00437DEC"/>
    <w:rsid w:val="004400E1"/>
    <w:rsid w:val="00440709"/>
    <w:rsid w:val="004409B0"/>
    <w:rsid w:val="004410F2"/>
    <w:rsid w:val="0044176C"/>
    <w:rsid w:val="004426D3"/>
    <w:rsid w:val="004432C4"/>
    <w:rsid w:val="00443E49"/>
    <w:rsid w:val="00444E81"/>
    <w:rsid w:val="004453B9"/>
    <w:rsid w:val="004461E1"/>
    <w:rsid w:val="0044646A"/>
    <w:rsid w:val="004466ED"/>
    <w:rsid w:val="00446898"/>
    <w:rsid w:val="00451372"/>
    <w:rsid w:val="004513E9"/>
    <w:rsid w:val="00451D14"/>
    <w:rsid w:val="00451DDB"/>
    <w:rsid w:val="004527FC"/>
    <w:rsid w:val="00453177"/>
    <w:rsid w:val="0045398A"/>
    <w:rsid w:val="00454225"/>
    <w:rsid w:val="004548E3"/>
    <w:rsid w:val="00455FB6"/>
    <w:rsid w:val="00456855"/>
    <w:rsid w:val="00456AB9"/>
    <w:rsid w:val="00456ABD"/>
    <w:rsid w:val="00457046"/>
    <w:rsid w:val="00457252"/>
    <w:rsid w:val="00457A35"/>
    <w:rsid w:val="004600A5"/>
    <w:rsid w:val="00461435"/>
    <w:rsid w:val="0046481C"/>
    <w:rsid w:val="004658A1"/>
    <w:rsid w:val="0046601C"/>
    <w:rsid w:val="0047000B"/>
    <w:rsid w:val="00470411"/>
    <w:rsid w:val="00470989"/>
    <w:rsid w:val="0047156F"/>
    <w:rsid w:val="00472A6B"/>
    <w:rsid w:val="004730CD"/>
    <w:rsid w:val="00474734"/>
    <w:rsid w:val="00474BD6"/>
    <w:rsid w:val="004753EA"/>
    <w:rsid w:val="00477067"/>
    <w:rsid w:val="0047764D"/>
    <w:rsid w:val="00477B0A"/>
    <w:rsid w:val="00482362"/>
    <w:rsid w:val="00483AF6"/>
    <w:rsid w:val="004845BA"/>
    <w:rsid w:val="00484E5D"/>
    <w:rsid w:val="004851B1"/>
    <w:rsid w:val="00487C38"/>
    <w:rsid w:val="00487EA8"/>
    <w:rsid w:val="00490F49"/>
    <w:rsid w:val="00491467"/>
    <w:rsid w:val="00491686"/>
    <w:rsid w:val="00492C3D"/>
    <w:rsid w:val="004935F5"/>
    <w:rsid w:val="00493D52"/>
    <w:rsid w:val="004945C0"/>
    <w:rsid w:val="00495508"/>
    <w:rsid w:val="00496347"/>
    <w:rsid w:val="00497042"/>
    <w:rsid w:val="0049757D"/>
    <w:rsid w:val="004A193D"/>
    <w:rsid w:val="004A1EED"/>
    <w:rsid w:val="004A29C6"/>
    <w:rsid w:val="004A2C94"/>
    <w:rsid w:val="004A2E72"/>
    <w:rsid w:val="004A339A"/>
    <w:rsid w:val="004A33C5"/>
    <w:rsid w:val="004A3408"/>
    <w:rsid w:val="004A3427"/>
    <w:rsid w:val="004A35EC"/>
    <w:rsid w:val="004A55CE"/>
    <w:rsid w:val="004A63AD"/>
    <w:rsid w:val="004A6CD4"/>
    <w:rsid w:val="004A763F"/>
    <w:rsid w:val="004B002C"/>
    <w:rsid w:val="004B1146"/>
    <w:rsid w:val="004B5BDD"/>
    <w:rsid w:val="004B5C56"/>
    <w:rsid w:val="004B662A"/>
    <w:rsid w:val="004B79C2"/>
    <w:rsid w:val="004C0077"/>
    <w:rsid w:val="004C024F"/>
    <w:rsid w:val="004C19B1"/>
    <w:rsid w:val="004C1A50"/>
    <w:rsid w:val="004C1B3D"/>
    <w:rsid w:val="004C39DB"/>
    <w:rsid w:val="004C3C1F"/>
    <w:rsid w:val="004C4220"/>
    <w:rsid w:val="004C423E"/>
    <w:rsid w:val="004C4F84"/>
    <w:rsid w:val="004C5340"/>
    <w:rsid w:val="004C69DC"/>
    <w:rsid w:val="004C7EAC"/>
    <w:rsid w:val="004D07AC"/>
    <w:rsid w:val="004D2A73"/>
    <w:rsid w:val="004D3047"/>
    <w:rsid w:val="004D3105"/>
    <w:rsid w:val="004D4A0E"/>
    <w:rsid w:val="004D4F09"/>
    <w:rsid w:val="004D5556"/>
    <w:rsid w:val="004D688A"/>
    <w:rsid w:val="004D7812"/>
    <w:rsid w:val="004D7E27"/>
    <w:rsid w:val="004E15CA"/>
    <w:rsid w:val="004E180E"/>
    <w:rsid w:val="004E3AAC"/>
    <w:rsid w:val="004E3F53"/>
    <w:rsid w:val="004E443A"/>
    <w:rsid w:val="004E44BE"/>
    <w:rsid w:val="004E49CF"/>
    <w:rsid w:val="004E7026"/>
    <w:rsid w:val="004E7946"/>
    <w:rsid w:val="004F054E"/>
    <w:rsid w:val="004F4D33"/>
    <w:rsid w:val="004F5EEB"/>
    <w:rsid w:val="004F666F"/>
    <w:rsid w:val="004F69A4"/>
    <w:rsid w:val="004F6AAA"/>
    <w:rsid w:val="004F75A8"/>
    <w:rsid w:val="004F77AC"/>
    <w:rsid w:val="004F7EA8"/>
    <w:rsid w:val="0050140C"/>
    <w:rsid w:val="00501FF8"/>
    <w:rsid w:val="00502215"/>
    <w:rsid w:val="00502E02"/>
    <w:rsid w:val="00504332"/>
    <w:rsid w:val="00504E3A"/>
    <w:rsid w:val="00505328"/>
    <w:rsid w:val="005067D2"/>
    <w:rsid w:val="00507566"/>
    <w:rsid w:val="005101D0"/>
    <w:rsid w:val="005101F0"/>
    <w:rsid w:val="005113CB"/>
    <w:rsid w:val="0051205B"/>
    <w:rsid w:val="00512076"/>
    <w:rsid w:val="00512C76"/>
    <w:rsid w:val="00512DE6"/>
    <w:rsid w:val="005135C9"/>
    <w:rsid w:val="00513791"/>
    <w:rsid w:val="00513EE1"/>
    <w:rsid w:val="00514286"/>
    <w:rsid w:val="0051455D"/>
    <w:rsid w:val="005145C1"/>
    <w:rsid w:val="005167B7"/>
    <w:rsid w:val="00520BD0"/>
    <w:rsid w:val="00520FDC"/>
    <w:rsid w:val="00521558"/>
    <w:rsid w:val="00521C1B"/>
    <w:rsid w:val="00521FA8"/>
    <w:rsid w:val="00521FF6"/>
    <w:rsid w:val="0052252E"/>
    <w:rsid w:val="00523056"/>
    <w:rsid w:val="005232C5"/>
    <w:rsid w:val="0052346E"/>
    <w:rsid w:val="005235A4"/>
    <w:rsid w:val="0052607A"/>
    <w:rsid w:val="0052684A"/>
    <w:rsid w:val="00526FB9"/>
    <w:rsid w:val="005277AA"/>
    <w:rsid w:val="005309B4"/>
    <w:rsid w:val="005312BB"/>
    <w:rsid w:val="00531DB4"/>
    <w:rsid w:val="00532778"/>
    <w:rsid w:val="00532B2C"/>
    <w:rsid w:val="0053361C"/>
    <w:rsid w:val="00533812"/>
    <w:rsid w:val="005340B2"/>
    <w:rsid w:val="00534B78"/>
    <w:rsid w:val="0053506B"/>
    <w:rsid w:val="00535AFE"/>
    <w:rsid w:val="00536684"/>
    <w:rsid w:val="00536B9E"/>
    <w:rsid w:val="00536FC0"/>
    <w:rsid w:val="00537041"/>
    <w:rsid w:val="00537646"/>
    <w:rsid w:val="00541677"/>
    <w:rsid w:val="005432E2"/>
    <w:rsid w:val="00543984"/>
    <w:rsid w:val="005450F7"/>
    <w:rsid w:val="00545C5E"/>
    <w:rsid w:val="00545D29"/>
    <w:rsid w:val="0054671E"/>
    <w:rsid w:val="0054707A"/>
    <w:rsid w:val="005471EA"/>
    <w:rsid w:val="005474F2"/>
    <w:rsid w:val="00550853"/>
    <w:rsid w:val="00551A9F"/>
    <w:rsid w:val="00551FAE"/>
    <w:rsid w:val="005520FF"/>
    <w:rsid w:val="00552BFE"/>
    <w:rsid w:val="00552CD3"/>
    <w:rsid w:val="0055338C"/>
    <w:rsid w:val="00553EF5"/>
    <w:rsid w:val="00554537"/>
    <w:rsid w:val="00555250"/>
    <w:rsid w:val="005567CC"/>
    <w:rsid w:val="005577EC"/>
    <w:rsid w:val="005579A1"/>
    <w:rsid w:val="00557DD1"/>
    <w:rsid w:val="00560272"/>
    <w:rsid w:val="00562FE2"/>
    <w:rsid w:val="00563D15"/>
    <w:rsid w:val="00564533"/>
    <w:rsid w:val="00564719"/>
    <w:rsid w:val="00566FF8"/>
    <w:rsid w:val="0056771B"/>
    <w:rsid w:val="00567FD0"/>
    <w:rsid w:val="00571414"/>
    <w:rsid w:val="005719F3"/>
    <w:rsid w:val="00571C2F"/>
    <w:rsid w:val="00572072"/>
    <w:rsid w:val="00572649"/>
    <w:rsid w:val="005727E0"/>
    <w:rsid w:val="00572C44"/>
    <w:rsid w:val="00573C6F"/>
    <w:rsid w:val="00575C3F"/>
    <w:rsid w:val="005767CF"/>
    <w:rsid w:val="00576E0E"/>
    <w:rsid w:val="00577099"/>
    <w:rsid w:val="005774DA"/>
    <w:rsid w:val="005774F7"/>
    <w:rsid w:val="00581BAD"/>
    <w:rsid w:val="00583887"/>
    <w:rsid w:val="00583E2C"/>
    <w:rsid w:val="005844A7"/>
    <w:rsid w:val="00584C25"/>
    <w:rsid w:val="00584FB8"/>
    <w:rsid w:val="005853A4"/>
    <w:rsid w:val="00585418"/>
    <w:rsid w:val="0058575C"/>
    <w:rsid w:val="005857E0"/>
    <w:rsid w:val="00585FD8"/>
    <w:rsid w:val="00586C75"/>
    <w:rsid w:val="0058700F"/>
    <w:rsid w:val="005906D6"/>
    <w:rsid w:val="00591922"/>
    <w:rsid w:val="00592F05"/>
    <w:rsid w:val="00593229"/>
    <w:rsid w:val="00594791"/>
    <w:rsid w:val="005955B8"/>
    <w:rsid w:val="00595B50"/>
    <w:rsid w:val="0059630A"/>
    <w:rsid w:val="00596EB2"/>
    <w:rsid w:val="00597102"/>
    <w:rsid w:val="00597843"/>
    <w:rsid w:val="005979E9"/>
    <w:rsid w:val="00597A7A"/>
    <w:rsid w:val="005A0314"/>
    <w:rsid w:val="005A102D"/>
    <w:rsid w:val="005A1C36"/>
    <w:rsid w:val="005A23B9"/>
    <w:rsid w:val="005A2A02"/>
    <w:rsid w:val="005A422B"/>
    <w:rsid w:val="005A4EA4"/>
    <w:rsid w:val="005A51DE"/>
    <w:rsid w:val="005A76B0"/>
    <w:rsid w:val="005A7EAB"/>
    <w:rsid w:val="005B05FC"/>
    <w:rsid w:val="005B0DAB"/>
    <w:rsid w:val="005B10E5"/>
    <w:rsid w:val="005B26C5"/>
    <w:rsid w:val="005B432B"/>
    <w:rsid w:val="005B4A70"/>
    <w:rsid w:val="005B530E"/>
    <w:rsid w:val="005B5A68"/>
    <w:rsid w:val="005B6616"/>
    <w:rsid w:val="005B67AE"/>
    <w:rsid w:val="005B6C7D"/>
    <w:rsid w:val="005B7C00"/>
    <w:rsid w:val="005B7E52"/>
    <w:rsid w:val="005B7EB7"/>
    <w:rsid w:val="005B7F47"/>
    <w:rsid w:val="005C020F"/>
    <w:rsid w:val="005C0923"/>
    <w:rsid w:val="005C0E52"/>
    <w:rsid w:val="005C1C87"/>
    <w:rsid w:val="005C25DD"/>
    <w:rsid w:val="005C34B9"/>
    <w:rsid w:val="005C3A36"/>
    <w:rsid w:val="005C4729"/>
    <w:rsid w:val="005C5EF0"/>
    <w:rsid w:val="005C6DB7"/>
    <w:rsid w:val="005C75FA"/>
    <w:rsid w:val="005D02B3"/>
    <w:rsid w:val="005D0B4F"/>
    <w:rsid w:val="005D19DC"/>
    <w:rsid w:val="005D2A4D"/>
    <w:rsid w:val="005D3740"/>
    <w:rsid w:val="005D3A36"/>
    <w:rsid w:val="005D3D54"/>
    <w:rsid w:val="005D46E1"/>
    <w:rsid w:val="005D4DE6"/>
    <w:rsid w:val="005D5CE8"/>
    <w:rsid w:val="005D5F44"/>
    <w:rsid w:val="005D6F33"/>
    <w:rsid w:val="005D799D"/>
    <w:rsid w:val="005E1036"/>
    <w:rsid w:val="005E250B"/>
    <w:rsid w:val="005E30E2"/>
    <w:rsid w:val="005E3B8F"/>
    <w:rsid w:val="005E3FAF"/>
    <w:rsid w:val="005E4590"/>
    <w:rsid w:val="005E5615"/>
    <w:rsid w:val="005E60BB"/>
    <w:rsid w:val="005E7161"/>
    <w:rsid w:val="005F05EE"/>
    <w:rsid w:val="005F20C7"/>
    <w:rsid w:val="005F22D0"/>
    <w:rsid w:val="005F27D0"/>
    <w:rsid w:val="005F2CAA"/>
    <w:rsid w:val="005F3F1A"/>
    <w:rsid w:val="005F51B4"/>
    <w:rsid w:val="005F5253"/>
    <w:rsid w:val="005F55D0"/>
    <w:rsid w:val="005F5AC8"/>
    <w:rsid w:val="005F6215"/>
    <w:rsid w:val="005F6C9E"/>
    <w:rsid w:val="005F6CC1"/>
    <w:rsid w:val="005F6F6C"/>
    <w:rsid w:val="005F75FA"/>
    <w:rsid w:val="005F7B25"/>
    <w:rsid w:val="00600196"/>
    <w:rsid w:val="006003BB"/>
    <w:rsid w:val="006003FA"/>
    <w:rsid w:val="00600451"/>
    <w:rsid w:val="006016E9"/>
    <w:rsid w:val="006018C4"/>
    <w:rsid w:val="00602918"/>
    <w:rsid w:val="0060344C"/>
    <w:rsid w:val="006034EC"/>
    <w:rsid w:val="0060465A"/>
    <w:rsid w:val="006061EE"/>
    <w:rsid w:val="00606717"/>
    <w:rsid w:val="0060733C"/>
    <w:rsid w:val="00610BBA"/>
    <w:rsid w:val="00610F42"/>
    <w:rsid w:val="00612183"/>
    <w:rsid w:val="006122BB"/>
    <w:rsid w:val="0061389F"/>
    <w:rsid w:val="00613CE4"/>
    <w:rsid w:val="00615AB8"/>
    <w:rsid w:val="00617BF8"/>
    <w:rsid w:val="00617CB5"/>
    <w:rsid w:val="00617E39"/>
    <w:rsid w:val="006212FF"/>
    <w:rsid w:val="006216C7"/>
    <w:rsid w:val="00622315"/>
    <w:rsid w:val="00622DA0"/>
    <w:rsid w:val="006239D2"/>
    <w:rsid w:val="0062434B"/>
    <w:rsid w:val="0062447E"/>
    <w:rsid w:val="00625664"/>
    <w:rsid w:val="006257D2"/>
    <w:rsid w:val="00626086"/>
    <w:rsid w:val="006261B7"/>
    <w:rsid w:val="006264D7"/>
    <w:rsid w:val="00626FFC"/>
    <w:rsid w:val="00627091"/>
    <w:rsid w:val="00627BB3"/>
    <w:rsid w:val="006306BD"/>
    <w:rsid w:val="0063192E"/>
    <w:rsid w:val="00633C39"/>
    <w:rsid w:val="0063463C"/>
    <w:rsid w:val="00634C16"/>
    <w:rsid w:val="00634CF6"/>
    <w:rsid w:val="00635154"/>
    <w:rsid w:val="006361F8"/>
    <w:rsid w:val="006365E5"/>
    <w:rsid w:val="00636968"/>
    <w:rsid w:val="00636BB2"/>
    <w:rsid w:val="00637470"/>
    <w:rsid w:val="006374F5"/>
    <w:rsid w:val="00640D1D"/>
    <w:rsid w:val="00642E63"/>
    <w:rsid w:val="00643083"/>
    <w:rsid w:val="00643B12"/>
    <w:rsid w:val="0064538B"/>
    <w:rsid w:val="00645823"/>
    <w:rsid w:val="00645EF4"/>
    <w:rsid w:val="00647897"/>
    <w:rsid w:val="0065028A"/>
    <w:rsid w:val="00650D71"/>
    <w:rsid w:val="00652459"/>
    <w:rsid w:val="0065246B"/>
    <w:rsid w:val="006526B4"/>
    <w:rsid w:val="0065314B"/>
    <w:rsid w:val="0065347C"/>
    <w:rsid w:val="00653D5E"/>
    <w:rsid w:val="00656181"/>
    <w:rsid w:val="0065790A"/>
    <w:rsid w:val="00660207"/>
    <w:rsid w:val="0066034E"/>
    <w:rsid w:val="00660A09"/>
    <w:rsid w:val="006613BF"/>
    <w:rsid w:val="00661A0B"/>
    <w:rsid w:val="00662379"/>
    <w:rsid w:val="006625F1"/>
    <w:rsid w:val="006626E8"/>
    <w:rsid w:val="00662D47"/>
    <w:rsid w:val="00663202"/>
    <w:rsid w:val="006634C5"/>
    <w:rsid w:val="006638E5"/>
    <w:rsid w:val="0066420F"/>
    <w:rsid w:val="006653E7"/>
    <w:rsid w:val="00665EA4"/>
    <w:rsid w:val="00666A09"/>
    <w:rsid w:val="00670985"/>
    <w:rsid w:val="00670FB1"/>
    <w:rsid w:val="00672FAE"/>
    <w:rsid w:val="0067304C"/>
    <w:rsid w:val="006731F3"/>
    <w:rsid w:val="0067332C"/>
    <w:rsid w:val="006733E5"/>
    <w:rsid w:val="00673758"/>
    <w:rsid w:val="00675241"/>
    <w:rsid w:val="006756B6"/>
    <w:rsid w:val="006761CE"/>
    <w:rsid w:val="00676B76"/>
    <w:rsid w:val="006771BD"/>
    <w:rsid w:val="00677579"/>
    <w:rsid w:val="00680805"/>
    <w:rsid w:val="00680D84"/>
    <w:rsid w:val="00681F1D"/>
    <w:rsid w:val="0068494F"/>
    <w:rsid w:val="00684B96"/>
    <w:rsid w:val="00685F3B"/>
    <w:rsid w:val="006867FE"/>
    <w:rsid w:val="00686DEF"/>
    <w:rsid w:val="00687D03"/>
    <w:rsid w:val="0069003B"/>
    <w:rsid w:val="00692CA2"/>
    <w:rsid w:val="006939FB"/>
    <w:rsid w:val="00694C0D"/>
    <w:rsid w:val="00695242"/>
    <w:rsid w:val="00696035"/>
    <w:rsid w:val="00696549"/>
    <w:rsid w:val="0069692F"/>
    <w:rsid w:val="00696D40"/>
    <w:rsid w:val="00696E22"/>
    <w:rsid w:val="0069719C"/>
    <w:rsid w:val="00697724"/>
    <w:rsid w:val="00697D3A"/>
    <w:rsid w:val="006A0193"/>
    <w:rsid w:val="006A0516"/>
    <w:rsid w:val="006A09E2"/>
    <w:rsid w:val="006A297A"/>
    <w:rsid w:val="006A4F65"/>
    <w:rsid w:val="006A5034"/>
    <w:rsid w:val="006A506E"/>
    <w:rsid w:val="006A6139"/>
    <w:rsid w:val="006B18DF"/>
    <w:rsid w:val="006B3051"/>
    <w:rsid w:val="006B429A"/>
    <w:rsid w:val="006B526A"/>
    <w:rsid w:val="006B5D0B"/>
    <w:rsid w:val="006B721F"/>
    <w:rsid w:val="006B7A97"/>
    <w:rsid w:val="006B7DAB"/>
    <w:rsid w:val="006C0ED1"/>
    <w:rsid w:val="006C119A"/>
    <w:rsid w:val="006C1BA2"/>
    <w:rsid w:val="006C288C"/>
    <w:rsid w:val="006C2D6E"/>
    <w:rsid w:val="006C2E01"/>
    <w:rsid w:val="006C3040"/>
    <w:rsid w:val="006C4081"/>
    <w:rsid w:val="006C51AB"/>
    <w:rsid w:val="006C69B4"/>
    <w:rsid w:val="006C6DEC"/>
    <w:rsid w:val="006C7114"/>
    <w:rsid w:val="006C7366"/>
    <w:rsid w:val="006C769A"/>
    <w:rsid w:val="006C7F22"/>
    <w:rsid w:val="006D0625"/>
    <w:rsid w:val="006D0E7E"/>
    <w:rsid w:val="006D1AB5"/>
    <w:rsid w:val="006D1C10"/>
    <w:rsid w:val="006D3EC2"/>
    <w:rsid w:val="006D41C9"/>
    <w:rsid w:val="006D43F1"/>
    <w:rsid w:val="006D48EB"/>
    <w:rsid w:val="006D4D8B"/>
    <w:rsid w:val="006D5F19"/>
    <w:rsid w:val="006D6571"/>
    <w:rsid w:val="006D7AA7"/>
    <w:rsid w:val="006E0134"/>
    <w:rsid w:val="006E0487"/>
    <w:rsid w:val="006E0DFA"/>
    <w:rsid w:val="006E10AC"/>
    <w:rsid w:val="006E1C93"/>
    <w:rsid w:val="006E1D94"/>
    <w:rsid w:val="006E20B4"/>
    <w:rsid w:val="006E23C2"/>
    <w:rsid w:val="006E2473"/>
    <w:rsid w:val="006E32C0"/>
    <w:rsid w:val="006E3669"/>
    <w:rsid w:val="006E3C08"/>
    <w:rsid w:val="006E42AE"/>
    <w:rsid w:val="006E46D1"/>
    <w:rsid w:val="006E4C23"/>
    <w:rsid w:val="006E4DA5"/>
    <w:rsid w:val="006E4E37"/>
    <w:rsid w:val="006E5545"/>
    <w:rsid w:val="006F1224"/>
    <w:rsid w:val="006F1882"/>
    <w:rsid w:val="006F4200"/>
    <w:rsid w:val="006F4BE4"/>
    <w:rsid w:val="006F5954"/>
    <w:rsid w:val="006F5957"/>
    <w:rsid w:val="006F6C91"/>
    <w:rsid w:val="006F7CD8"/>
    <w:rsid w:val="00700127"/>
    <w:rsid w:val="007003DE"/>
    <w:rsid w:val="00702498"/>
    <w:rsid w:val="00702A38"/>
    <w:rsid w:val="007047D4"/>
    <w:rsid w:val="00704857"/>
    <w:rsid w:val="00704DB1"/>
    <w:rsid w:val="00704DED"/>
    <w:rsid w:val="007058F6"/>
    <w:rsid w:val="0070665D"/>
    <w:rsid w:val="007075E5"/>
    <w:rsid w:val="00707AF4"/>
    <w:rsid w:val="00710338"/>
    <w:rsid w:val="007104E1"/>
    <w:rsid w:val="00711632"/>
    <w:rsid w:val="007122C6"/>
    <w:rsid w:val="007132F7"/>
    <w:rsid w:val="00714040"/>
    <w:rsid w:val="00714D00"/>
    <w:rsid w:val="0071596C"/>
    <w:rsid w:val="00717D87"/>
    <w:rsid w:val="00720330"/>
    <w:rsid w:val="00721233"/>
    <w:rsid w:val="0072126B"/>
    <w:rsid w:val="00721428"/>
    <w:rsid w:val="00721560"/>
    <w:rsid w:val="0072159D"/>
    <w:rsid w:val="007224ED"/>
    <w:rsid w:val="00723CCF"/>
    <w:rsid w:val="007255B1"/>
    <w:rsid w:val="007261F1"/>
    <w:rsid w:val="007267BA"/>
    <w:rsid w:val="00726FB9"/>
    <w:rsid w:val="0072775B"/>
    <w:rsid w:val="00727D8A"/>
    <w:rsid w:val="00731A35"/>
    <w:rsid w:val="007325C3"/>
    <w:rsid w:val="0073287D"/>
    <w:rsid w:val="00732A99"/>
    <w:rsid w:val="00732BBD"/>
    <w:rsid w:val="00733274"/>
    <w:rsid w:val="00734A72"/>
    <w:rsid w:val="00734C56"/>
    <w:rsid w:val="00734F91"/>
    <w:rsid w:val="007354DB"/>
    <w:rsid w:val="007355FD"/>
    <w:rsid w:val="007365F1"/>
    <w:rsid w:val="00737E26"/>
    <w:rsid w:val="00740E34"/>
    <w:rsid w:val="00740FDC"/>
    <w:rsid w:val="00741C98"/>
    <w:rsid w:val="00743968"/>
    <w:rsid w:val="00743F42"/>
    <w:rsid w:val="007444CB"/>
    <w:rsid w:val="0074472E"/>
    <w:rsid w:val="00744C5B"/>
    <w:rsid w:val="0074599C"/>
    <w:rsid w:val="00746142"/>
    <w:rsid w:val="00746702"/>
    <w:rsid w:val="00746D26"/>
    <w:rsid w:val="00747A6F"/>
    <w:rsid w:val="0075030B"/>
    <w:rsid w:val="0075085C"/>
    <w:rsid w:val="00750CAE"/>
    <w:rsid w:val="0075200D"/>
    <w:rsid w:val="00753417"/>
    <w:rsid w:val="00753B59"/>
    <w:rsid w:val="00754302"/>
    <w:rsid w:val="007555B4"/>
    <w:rsid w:val="007556A3"/>
    <w:rsid w:val="00755C10"/>
    <w:rsid w:val="00755EDC"/>
    <w:rsid w:val="0075681F"/>
    <w:rsid w:val="007602DE"/>
    <w:rsid w:val="00760AE5"/>
    <w:rsid w:val="0076214C"/>
    <w:rsid w:val="00762450"/>
    <w:rsid w:val="0076277F"/>
    <w:rsid w:val="00762FD9"/>
    <w:rsid w:val="0076463A"/>
    <w:rsid w:val="00764DD1"/>
    <w:rsid w:val="00765390"/>
    <w:rsid w:val="0076539C"/>
    <w:rsid w:val="0076602C"/>
    <w:rsid w:val="007674A5"/>
    <w:rsid w:val="00770364"/>
    <w:rsid w:val="00771333"/>
    <w:rsid w:val="0077177C"/>
    <w:rsid w:val="00771AEF"/>
    <w:rsid w:val="007723D5"/>
    <w:rsid w:val="00773806"/>
    <w:rsid w:val="007769B3"/>
    <w:rsid w:val="007776CA"/>
    <w:rsid w:val="00780177"/>
    <w:rsid w:val="0078038B"/>
    <w:rsid w:val="00780B79"/>
    <w:rsid w:val="00781AAB"/>
    <w:rsid w:val="00781C39"/>
    <w:rsid w:val="0078203B"/>
    <w:rsid w:val="00782FEF"/>
    <w:rsid w:val="00783049"/>
    <w:rsid w:val="00783A8A"/>
    <w:rsid w:val="0078417B"/>
    <w:rsid w:val="00786222"/>
    <w:rsid w:val="007862D9"/>
    <w:rsid w:val="00786753"/>
    <w:rsid w:val="00787045"/>
    <w:rsid w:val="0079078D"/>
    <w:rsid w:val="00790AFD"/>
    <w:rsid w:val="00790F1A"/>
    <w:rsid w:val="007918EB"/>
    <w:rsid w:val="00792C96"/>
    <w:rsid w:val="00792D5E"/>
    <w:rsid w:val="0079454D"/>
    <w:rsid w:val="00794ABF"/>
    <w:rsid w:val="00796572"/>
    <w:rsid w:val="007972D9"/>
    <w:rsid w:val="00797AFA"/>
    <w:rsid w:val="00797F4B"/>
    <w:rsid w:val="007A0048"/>
    <w:rsid w:val="007A1211"/>
    <w:rsid w:val="007A126B"/>
    <w:rsid w:val="007A166C"/>
    <w:rsid w:val="007A1F35"/>
    <w:rsid w:val="007A29E6"/>
    <w:rsid w:val="007A2DF8"/>
    <w:rsid w:val="007A2FD5"/>
    <w:rsid w:val="007A48D7"/>
    <w:rsid w:val="007A68F9"/>
    <w:rsid w:val="007A7604"/>
    <w:rsid w:val="007A7CFB"/>
    <w:rsid w:val="007B125D"/>
    <w:rsid w:val="007B158D"/>
    <w:rsid w:val="007B2033"/>
    <w:rsid w:val="007B2975"/>
    <w:rsid w:val="007B31F7"/>
    <w:rsid w:val="007B3253"/>
    <w:rsid w:val="007B33D2"/>
    <w:rsid w:val="007B3A1C"/>
    <w:rsid w:val="007B42C3"/>
    <w:rsid w:val="007B44B5"/>
    <w:rsid w:val="007B4DC3"/>
    <w:rsid w:val="007B6AE9"/>
    <w:rsid w:val="007B6DE8"/>
    <w:rsid w:val="007C0C43"/>
    <w:rsid w:val="007C17C6"/>
    <w:rsid w:val="007C3D13"/>
    <w:rsid w:val="007C45E4"/>
    <w:rsid w:val="007C627E"/>
    <w:rsid w:val="007C779D"/>
    <w:rsid w:val="007D04E8"/>
    <w:rsid w:val="007D0FC4"/>
    <w:rsid w:val="007D119B"/>
    <w:rsid w:val="007D128A"/>
    <w:rsid w:val="007D17C7"/>
    <w:rsid w:val="007D196E"/>
    <w:rsid w:val="007D1D8F"/>
    <w:rsid w:val="007D2C20"/>
    <w:rsid w:val="007D41A5"/>
    <w:rsid w:val="007D51DD"/>
    <w:rsid w:val="007D62CF"/>
    <w:rsid w:val="007D6377"/>
    <w:rsid w:val="007D7120"/>
    <w:rsid w:val="007D72DD"/>
    <w:rsid w:val="007D76E7"/>
    <w:rsid w:val="007D799A"/>
    <w:rsid w:val="007E130A"/>
    <w:rsid w:val="007E218A"/>
    <w:rsid w:val="007E59D4"/>
    <w:rsid w:val="007E6EAB"/>
    <w:rsid w:val="007E7296"/>
    <w:rsid w:val="007F12CD"/>
    <w:rsid w:val="007F1C24"/>
    <w:rsid w:val="007F2282"/>
    <w:rsid w:val="007F3333"/>
    <w:rsid w:val="007F3706"/>
    <w:rsid w:val="007F3C74"/>
    <w:rsid w:val="007F49DD"/>
    <w:rsid w:val="007F4A0E"/>
    <w:rsid w:val="007F4A8B"/>
    <w:rsid w:val="007F5C24"/>
    <w:rsid w:val="007F707D"/>
    <w:rsid w:val="007F757C"/>
    <w:rsid w:val="007F75BA"/>
    <w:rsid w:val="007F7D48"/>
    <w:rsid w:val="008009B7"/>
    <w:rsid w:val="00801661"/>
    <w:rsid w:val="0080173B"/>
    <w:rsid w:val="00803D5B"/>
    <w:rsid w:val="008042BC"/>
    <w:rsid w:val="00805DB5"/>
    <w:rsid w:val="008062BD"/>
    <w:rsid w:val="00807935"/>
    <w:rsid w:val="00807F93"/>
    <w:rsid w:val="008108E2"/>
    <w:rsid w:val="00810E0F"/>
    <w:rsid w:val="00811089"/>
    <w:rsid w:val="00812DA6"/>
    <w:rsid w:val="00814674"/>
    <w:rsid w:val="00814678"/>
    <w:rsid w:val="0081505A"/>
    <w:rsid w:val="008159B4"/>
    <w:rsid w:val="00815B82"/>
    <w:rsid w:val="00817841"/>
    <w:rsid w:val="008202DE"/>
    <w:rsid w:val="0082153C"/>
    <w:rsid w:val="00821CA7"/>
    <w:rsid w:val="00821D23"/>
    <w:rsid w:val="008233B0"/>
    <w:rsid w:val="00824D8F"/>
    <w:rsid w:val="00824F31"/>
    <w:rsid w:val="00826B63"/>
    <w:rsid w:val="00826E1D"/>
    <w:rsid w:val="00826EDE"/>
    <w:rsid w:val="00826F90"/>
    <w:rsid w:val="008275CA"/>
    <w:rsid w:val="008300BD"/>
    <w:rsid w:val="00831355"/>
    <w:rsid w:val="008326ED"/>
    <w:rsid w:val="00832754"/>
    <w:rsid w:val="00832A0B"/>
    <w:rsid w:val="00832E3A"/>
    <w:rsid w:val="0083477D"/>
    <w:rsid w:val="008400FE"/>
    <w:rsid w:val="008403BC"/>
    <w:rsid w:val="00841358"/>
    <w:rsid w:val="0084161D"/>
    <w:rsid w:val="00842C36"/>
    <w:rsid w:val="008435BC"/>
    <w:rsid w:val="00844133"/>
    <w:rsid w:val="00847462"/>
    <w:rsid w:val="008506A3"/>
    <w:rsid w:val="00850FCD"/>
    <w:rsid w:val="0085251A"/>
    <w:rsid w:val="00852726"/>
    <w:rsid w:val="008529C4"/>
    <w:rsid w:val="00852AD5"/>
    <w:rsid w:val="00852BEA"/>
    <w:rsid w:val="00852D3F"/>
    <w:rsid w:val="00853144"/>
    <w:rsid w:val="00854F0F"/>
    <w:rsid w:val="00855211"/>
    <w:rsid w:val="00860CBA"/>
    <w:rsid w:val="00861FE8"/>
    <w:rsid w:val="008626E3"/>
    <w:rsid w:val="008632BE"/>
    <w:rsid w:val="00863879"/>
    <w:rsid w:val="00863C21"/>
    <w:rsid w:val="00863EA8"/>
    <w:rsid w:val="00863FF2"/>
    <w:rsid w:val="00864017"/>
    <w:rsid w:val="00864368"/>
    <w:rsid w:val="00865BD0"/>
    <w:rsid w:val="008660BF"/>
    <w:rsid w:val="00866A0C"/>
    <w:rsid w:val="0086763B"/>
    <w:rsid w:val="00867695"/>
    <w:rsid w:val="00867DB1"/>
    <w:rsid w:val="0087228F"/>
    <w:rsid w:val="00874F52"/>
    <w:rsid w:val="00875860"/>
    <w:rsid w:val="0087768F"/>
    <w:rsid w:val="0088024B"/>
    <w:rsid w:val="008802C1"/>
    <w:rsid w:val="008814BE"/>
    <w:rsid w:val="00882E0F"/>
    <w:rsid w:val="0088545C"/>
    <w:rsid w:val="008855F7"/>
    <w:rsid w:val="00885B7C"/>
    <w:rsid w:val="00885F21"/>
    <w:rsid w:val="00886208"/>
    <w:rsid w:val="00886678"/>
    <w:rsid w:val="008874B0"/>
    <w:rsid w:val="008879CF"/>
    <w:rsid w:val="0089028E"/>
    <w:rsid w:val="00890374"/>
    <w:rsid w:val="008908B3"/>
    <w:rsid w:val="00890A34"/>
    <w:rsid w:val="008911FC"/>
    <w:rsid w:val="008913CF"/>
    <w:rsid w:val="00891708"/>
    <w:rsid w:val="00891AA7"/>
    <w:rsid w:val="00892213"/>
    <w:rsid w:val="008934C7"/>
    <w:rsid w:val="008935EF"/>
    <w:rsid w:val="00894512"/>
    <w:rsid w:val="008951D6"/>
    <w:rsid w:val="0089600B"/>
    <w:rsid w:val="008963F5"/>
    <w:rsid w:val="008976B5"/>
    <w:rsid w:val="00897EC8"/>
    <w:rsid w:val="008A02B1"/>
    <w:rsid w:val="008A1501"/>
    <w:rsid w:val="008A36DD"/>
    <w:rsid w:val="008A3F5A"/>
    <w:rsid w:val="008A5FAA"/>
    <w:rsid w:val="008A7414"/>
    <w:rsid w:val="008B0984"/>
    <w:rsid w:val="008B1F00"/>
    <w:rsid w:val="008B21DE"/>
    <w:rsid w:val="008B2239"/>
    <w:rsid w:val="008B333D"/>
    <w:rsid w:val="008B47ED"/>
    <w:rsid w:val="008B6323"/>
    <w:rsid w:val="008B6399"/>
    <w:rsid w:val="008B6EDB"/>
    <w:rsid w:val="008C110B"/>
    <w:rsid w:val="008C1F09"/>
    <w:rsid w:val="008C22CA"/>
    <w:rsid w:val="008C2381"/>
    <w:rsid w:val="008C2733"/>
    <w:rsid w:val="008C2E7B"/>
    <w:rsid w:val="008C3389"/>
    <w:rsid w:val="008C35F5"/>
    <w:rsid w:val="008C462C"/>
    <w:rsid w:val="008C4831"/>
    <w:rsid w:val="008C6718"/>
    <w:rsid w:val="008D0B57"/>
    <w:rsid w:val="008D1519"/>
    <w:rsid w:val="008D3C76"/>
    <w:rsid w:val="008D3E2E"/>
    <w:rsid w:val="008D40FE"/>
    <w:rsid w:val="008D429D"/>
    <w:rsid w:val="008D44A6"/>
    <w:rsid w:val="008D5502"/>
    <w:rsid w:val="008D5B86"/>
    <w:rsid w:val="008D6AE9"/>
    <w:rsid w:val="008D6C1D"/>
    <w:rsid w:val="008D6EC7"/>
    <w:rsid w:val="008D792D"/>
    <w:rsid w:val="008E0015"/>
    <w:rsid w:val="008E2CC5"/>
    <w:rsid w:val="008E2E66"/>
    <w:rsid w:val="008E31D4"/>
    <w:rsid w:val="008E3343"/>
    <w:rsid w:val="008E3C9E"/>
    <w:rsid w:val="008E41E4"/>
    <w:rsid w:val="008E440F"/>
    <w:rsid w:val="008E459D"/>
    <w:rsid w:val="008E7754"/>
    <w:rsid w:val="008F019A"/>
    <w:rsid w:val="008F2266"/>
    <w:rsid w:val="008F2B6F"/>
    <w:rsid w:val="008F2B87"/>
    <w:rsid w:val="008F2D70"/>
    <w:rsid w:val="008F3F27"/>
    <w:rsid w:val="008F6541"/>
    <w:rsid w:val="008F669A"/>
    <w:rsid w:val="008F66AD"/>
    <w:rsid w:val="008F6AFA"/>
    <w:rsid w:val="008F778B"/>
    <w:rsid w:val="008F7C92"/>
    <w:rsid w:val="008F7D1A"/>
    <w:rsid w:val="00901069"/>
    <w:rsid w:val="00902097"/>
    <w:rsid w:val="00902279"/>
    <w:rsid w:val="00903445"/>
    <w:rsid w:val="009035A2"/>
    <w:rsid w:val="00903CAD"/>
    <w:rsid w:val="00905489"/>
    <w:rsid w:val="009063E7"/>
    <w:rsid w:val="00906A2C"/>
    <w:rsid w:val="00907B36"/>
    <w:rsid w:val="00911D00"/>
    <w:rsid w:val="00911E6D"/>
    <w:rsid w:val="009148B5"/>
    <w:rsid w:val="00914DCE"/>
    <w:rsid w:val="00914E44"/>
    <w:rsid w:val="009172A2"/>
    <w:rsid w:val="00917F98"/>
    <w:rsid w:val="00922F84"/>
    <w:rsid w:val="009232BB"/>
    <w:rsid w:val="00923DFD"/>
    <w:rsid w:val="00924527"/>
    <w:rsid w:val="00924CD1"/>
    <w:rsid w:val="00924DC6"/>
    <w:rsid w:val="0092562D"/>
    <w:rsid w:val="00925D50"/>
    <w:rsid w:val="00926352"/>
    <w:rsid w:val="00926BC7"/>
    <w:rsid w:val="00927375"/>
    <w:rsid w:val="009301C6"/>
    <w:rsid w:val="00931291"/>
    <w:rsid w:val="00931961"/>
    <w:rsid w:val="00931AE8"/>
    <w:rsid w:val="00933119"/>
    <w:rsid w:val="009331D5"/>
    <w:rsid w:val="00933D0C"/>
    <w:rsid w:val="00934086"/>
    <w:rsid w:val="009356E6"/>
    <w:rsid w:val="00940860"/>
    <w:rsid w:val="0094096B"/>
    <w:rsid w:val="00942355"/>
    <w:rsid w:val="00942A32"/>
    <w:rsid w:val="00942E66"/>
    <w:rsid w:val="009436DD"/>
    <w:rsid w:val="00944743"/>
    <w:rsid w:val="00944E03"/>
    <w:rsid w:val="009455C7"/>
    <w:rsid w:val="00945A5A"/>
    <w:rsid w:val="00945D37"/>
    <w:rsid w:val="0094601A"/>
    <w:rsid w:val="009476E6"/>
    <w:rsid w:val="0094775D"/>
    <w:rsid w:val="00947914"/>
    <w:rsid w:val="0095401B"/>
    <w:rsid w:val="009546FA"/>
    <w:rsid w:val="00954CC7"/>
    <w:rsid w:val="009550FB"/>
    <w:rsid w:val="009601CF"/>
    <w:rsid w:val="00960C5A"/>
    <w:rsid w:val="00960E78"/>
    <w:rsid w:val="00960F09"/>
    <w:rsid w:val="00961025"/>
    <w:rsid w:val="00961DC5"/>
    <w:rsid w:val="009621A3"/>
    <w:rsid w:val="00962CC9"/>
    <w:rsid w:val="009632C6"/>
    <w:rsid w:val="00963606"/>
    <w:rsid w:val="00963E8A"/>
    <w:rsid w:val="0096523F"/>
    <w:rsid w:val="0096577B"/>
    <w:rsid w:val="009664EC"/>
    <w:rsid w:val="0096732F"/>
    <w:rsid w:val="0096772B"/>
    <w:rsid w:val="009707D3"/>
    <w:rsid w:val="00971956"/>
    <w:rsid w:val="00971AB6"/>
    <w:rsid w:val="00971C84"/>
    <w:rsid w:val="009722EC"/>
    <w:rsid w:val="009745AA"/>
    <w:rsid w:val="0097581E"/>
    <w:rsid w:val="00977B42"/>
    <w:rsid w:val="009805B6"/>
    <w:rsid w:val="0098082A"/>
    <w:rsid w:val="009812FB"/>
    <w:rsid w:val="00982CA1"/>
    <w:rsid w:val="00983BD8"/>
    <w:rsid w:val="0098486E"/>
    <w:rsid w:val="009851CF"/>
    <w:rsid w:val="0098529B"/>
    <w:rsid w:val="00987241"/>
    <w:rsid w:val="00987B72"/>
    <w:rsid w:val="00987E56"/>
    <w:rsid w:val="00990492"/>
    <w:rsid w:val="00990ACE"/>
    <w:rsid w:val="00991C50"/>
    <w:rsid w:val="00994F6F"/>
    <w:rsid w:val="009953DA"/>
    <w:rsid w:val="00995425"/>
    <w:rsid w:val="009A01A1"/>
    <w:rsid w:val="009A05B4"/>
    <w:rsid w:val="009A1026"/>
    <w:rsid w:val="009A2194"/>
    <w:rsid w:val="009A26DA"/>
    <w:rsid w:val="009A3D54"/>
    <w:rsid w:val="009A5858"/>
    <w:rsid w:val="009A5B9F"/>
    <w:rsid w:val="009A7012"/>
    <w:rsid w:val="009A793D"/>
    <w:rsid w:val="009B034A"/>
    <w:rsid w:val="009B07D5"/>
    <w:rsid w:val="009B0E57"/>
    <w:rsid w:val="009B1A3C"/>
    <w:rsid w:val="009B1D19"/>
    <w:rsid w:val="009B2B19"/>
    <w:rsid w:val="009B53B5"/>
    <w:rsid w:val="009B5467"/>
    <w:rsid w:val="009B5A9A"/>
    <w:rsid w:val="009B5BAB"/>
    <w:rsid w:val="009B65FF"/>
    <w:rsid w:val="009B7D88"/>
    <w:rsid w:val="009C1A76"/>
    <w:rsid w:val="009C2218"/>
    <w:rsid w:val="009C2CA9"/>
    <w:rsid w:val="009C2F65"/>
    <w:rsid w:val="009C317F"/>
    <w:rsid w:val="009C4B30"/>
    <w:rsid w:val="009C706E"/>
    <w:rsid w:val="009C76CB"/>
    <w:rsid w:val="009D0F9C"/>
    <w:rsid w:val="009D15FF"/>
    <w:rsid w:val="009D2070"/>
    <w:rsid w:val="009D2C63"/>
    <w:rsid w:val="009D2CDD"/>
    <w:rsid w:val="009D3830"/>
    <w:rsid w:val="009D3AEF"/>
    <w:rsid w:val="009D3E2F"/>
    <w:rsid w:val="009D3E90"/>
    <w:rsid w:val="009D454F"/>
    <w:rsid w:val="009D46D9"/>
    <w:rsid w:val="009D47FF"/>
    <w:rsid w:val="009E0A7A"/>
    <w:rsid w:val="009E1D49"/>
    <w:rsid w:val="009E24CB"/>
    <w:rsid w:val="009E2F66"/>
    <w:rsid w:val="009E4BB5"/>
    <w:rsid w:val="009E4E14"/>
    <w:rsid w:val="009E5DBE"/>
    <w:rsid w:val="009E6421"/>
    <w:rsid w:val="009E6815"/>
    <w:rsid w:val="009E7148"/>
    <w:rsid w:val="009E7514"/>
    <w:rsid w:val="009F19C3"/>
    <w:rsid w:val="009F4180"/>
    <w:rsid w:val="009F59E0"/>
    <w:rsid w:val="009F5B28"/>
    <w:rsid w:val="009F6BDF"/>
    <w:rsid w:val="009F6C11"/>
    <w:rsid w:val="009F6DBF"/>
    <w:rsid w:val="009F734C"/>
    <w:rsid w:val="009F757B"/>
    <w:rsid w:val="009F7948"/>
    <w:rsid w:val="00A022AC"/>
    <w:rsid w:val="00A022BD"/>
    <w:rsid w:val="00A027F6"/>
    <w:rsid w:val="00A02E09"/>
    <w:rsid w:val="00A0423C"/>
    <w:rsid w:val="00A05515"/>
    <w:rsid w:val="00A067B2"/>
    <w:rsid w:val="00A070CC"/>
    <w:rsid w:val="00A0716B"/>
    <w:rsid w:val="00A0776D"/>
    <w:rsid w:val="00A07E6E"/>
    <w:rsid w:val="00A10BC0"/>
    <w:rsid w:val="00A110CB"/>
    <w:rsid w:val="00A113E7"/>
    <w:rsid w:val="00A126F5"/>
    <w:rsid w:val="00A12D4C"/>
    <w:rsid w:val="00A1304B"/>
    <w:rsid w:val="00A135C1"/>
    <w:rsid w:val="00A139BE"/>
    <w:rsid w:val="00A140FC"/>
    <w:rsid w:val="00A14D57"/>
    <w:rsid w:val="00A150D6"/>
    <w:rsid w:val="00A17DAF"/>
    <w:rsid w:val="00A17E5F"/>
    <w:rsid w:val="00A20D42"/>
    <w:rsid w:val="00A21A92"/>
    <w:rsid w:val="00A22D39"/>
    <w:rsid w:val="00A23CD6"/>
    <w:rsid w:val="00A23EFF"/>
    <w:rsid w:val="00A24765"/>
    <w:rsid w:val="00A27232"/>
    <w:rsid w:val="00A27898"/>
    <w:rsid w:val="00A27903"/>
    <w:rsid w:val="00A27FE7"/>
    <w:rsid w:val="00A31ABD"/>
    <w:rsid w:val="00A32389"/>
    <w:rsid w:val="00A33149"/>
    <w:rsid w:val="00A34B44"/>
    <w:rsid w:val="00A35282"/>
    <w:rsid w:val="00A37923"/>
    <w:rsid w:val="00A379AB"/>
    <w:rsid w:val="00A4137B"/>
    <w:rsid w:val="00A413FC"/>
    <w:rsid w:val="00A43093"/>
    <w:rsid w:val="00A43DC1"/>
    <w:rsid w:val="00A4595F"/>
    <w:rsid w:val="00A45B82"/>
    <w:rsid w:val="00A47EFB"/>
    <w:rsid w:val="00A50701"/>
    <w:rsid w:val="00A50B67"/>
    <w:rsid w:val="00A50FD4"/>
    <w:rsid w:val="00A522E7"/>
    <w:rsid w:val="00A52889"/>
    <w:rsid w:val="00A53296"/>
    <w:rsid w:val="00A53356"/>
    <w:rsid w:val="00A538DC"/>
    <w:rsid w:val="00A540FA"/>
    <w:rsid w:val="00A54900"/>
    <w:rsid w:val="00A553B3"/>
    <w:rsid w:val="00A55CFE"/>
    <w:rsid w:val="00A560B4"/>
    <w:rsid w:val="00A562F7"/>
    <w:rsid w:val="00A5672A"/>
    <w:rsid w:val="00A60679"/>
    <w:rsid w:val="00A60AB2"/>
    <w:rsid w:val="00A62591"/>
    <w:rsid w:val="00A6391F"/>
    <w:rsid w:val="00A6428C"/>
    <w:rsid w:val="00A67B12"/>
    <w:rsid w:val="00A67BF2"/>
    <w:rsid w:val="00A67DE3"/>
    <w:rsid w:val="00A700DC"/>
    <w:rsid w:val="00A70891"/>
    <w:rsid w:val="00A72211"/>
    <w:rsid w:val="00A73EE2"/>
    <w:rsid w:val="00A746A3"/>
    <w:rsid w:val="00A74967"/>
    <w:rsid w:val="00A74AFC"/>
    <w:rsid w:val="00A74B20"/>
    <w:rsid w:val="00A74D3D"/>
    <w:rsid w:val="00A74E08"/>
    <w:rsid w:val="00A74F9C"/>
    <w:rsid w:val="00A754D8"/>
    <w:rsid w:val="00A76081"/>
    <w:rsid w:val="00A767BB"/>
    <w:rsid w:val="00A76ED9"/>
    <w:rsid w:val="00A77DA0"/>
    <w:rsid w:val="00A8099F"/>
    <w:rsid w:val="00A80F72"/>
    <w:rsid w:val="00A81798"/>
    <w:rsid w:val="00A81A9C"/>
    <w:rsid w:val="00A83A12"/>
    <w:rsid w:val="00A83DE6"/>
    <w:rsid w:val="00A83F83"/>
    <w:rsid w:val="00A84669"/>
    <w:rsid w:val="00A84DA9"/>
    <w:rsid w:val="00A850BE"/>
    <w:rsid w:val="00A8532B"/>
    <w:rsid w:val="00A856C5"/>
    <w:rsid w:val="00A863DD"/>
    <w:rsid w:val="00A90695"/>
    <w:rsid w:val="00A90B18"/>
    <w:rsid w:val="00A90C31"/>
    <w:rsid w:val="00A91452"/>
    <w:rsid w:val="00A921F2"/>
    <w:rsid w:val="00A92C53"/>
    <w:rsid w:val="00A932B4"/>
    <w:rsid w:val="00A945C3"/>
    <w:rsid w:val="00A947D5"/>
    <w:rsid w:val="00A94866"/>
    <w:rsid w:val="00A94A8D"/>
    <w:rsid w:val="00A96260"/>
    <w:rsid w:val="00A96EE8"/>
    <w:rsid w:val="00A9720E"/>
    <w:rsid w:val="00A97676"/>
    <w:rsid w:val="00A97CA6"/>
    <w:rsid w:val="00AA0BED"/>
    <w:rsid w:val="00AA27E6"/>
    <w:rsid w:val="00AA31BC"/>
    <w:rsid w:val="00AA34C8"/>
    <w:rsid w:val="00AA3573"/>
    <w:rsid w:val="00AA37B0"/>
    <w:rsid w:val="00AA3F9B"/>
    <w:rsid w:val="00AA43C0"/>
    <w:rsid w:val="00AA586A"/>
    <w:rsid w:val="00AA66B6"/>
    <w:rsid w:val="00AA7670"/>
    <w:rsid w:val="00AA7EEC"/>
    <w:rsid w:val="00AB0141"/>
    <w:rsid w:val="00AB46F3"/>
    <w:rsid w:val="00AB6555"/>
    <w:rsid w:val="00AC0D28"/>
    <w:rsid w:val="00AC1327"/>
    <w:rsid w:val="00AC1A60"/>
    <w:rsid w:val="00AC1FE4"/>
    <w:rsid w:val="00AC21F5"/>
    <w:rsid w:val="00AC226A"/>
    <w:rsid w:val="00AC411E"/>
    <w:rsid w:val="00AC424A"/>
    <w:rsid w:val="00AC4702"/>
    <w:rsid w:val="00AC4D7F"/>
    <w:rsid w:val="00AC5213"/>
    <w:rsid w:val="00AC5810"/>
    <w:rsid w:val="00AC5C00"/>
    <w:rsid w:val="00AC65C5"/>
    <w:rsid w:val="00AC688B"/>
    <w:rsid w:val="00AD210E"/>
    <w:rsid w:val="00AD2370"/>
    <w:rsid w:val="00AD2744"/>
    <w:rsid w:val="00AD4FDE"/>
    <w:rsid w:val="00AD5792"/>
    <w:rsid w:val="00AD694B"/>
    <w:rsid w:val="00AD7087"/>
    <w:rsid w:val="00AE2548"/>
    <w:rsid w:val="00AE37B5"/>
    <w:rsid w:val="00AE3B00"/>
    <w:rsid w:val="00AE3BC8"/>
    <w:rsid w:val="00AE42D3"/>
    <w:rsid w:val="00AE4FD7"/>
    <w:rsid w:val="00AE5870"/>
    <w:rsid w:val="00AE627B"/>
    <w:rsid w:val="00AE6B42"/>
    <w:rsid w:val="00AE7739"/>
    <w:rsid w:val="00AE782E"/>
    <w:rsid w:val="00AE786D"/>
    <w:rsid w:val="00AE7AD9"/>
    <w:rsid w:val="00AE7BC9"/>
    <w:rsid w:val="00AE7DC7"/>
    <w:rsid w:val="00AF0CED"/>
    <w:rsid w:val="00AF2432"/>
    <w:rsid w:val="00AF31BD"/>
    <w:rsid w:val="00AF3C70"/>
    <w:rsid w:val="00AF470C"/>
    <w:rsid w:val="00AF6438"/>
    <w:rsid w:val="00AF79AE"/>
    <w:rsid w:val="00B00E4A"/>
    <w:rsid w:val="00B0131C"/>
    <w:rsid w:val="00B01F1C"/>
    <w:rsid w:val="00B02BC1"/>
    <w:rsid w:val="00B02D24"/>
    <w:rsid w:val="00B02EA7"/>
    <w:rsid w:val="00B031CB"/>
    <w:rsid w:val="00B058B5"/>
    <w:rsid w:val="00B06D2F"/>
    <w:rsid w:val="00B07171"/>
    <w:rsid w:val="00B07173"/>
    <w:rsid w:val="00B07739"/>
    <w:rsid w:val="00B07C8A"/>
    <w:rsid w:val="00B10013"/>
    <w:rsid w:val="00B10E1E"/>
    <w:rsid w:val="00B11E3E"/>
    <w:rsid w:val="00B11F0D"/>
    <w:rsid w:val="00B1217E"/>
    <w:rsid w:val="00B12333"/>
    <w:rsid w:val="00B13A91"/>
    <w:rsid w:val="00B1419C"/>
    <w:rsid w:val="00B15548"/>
    <w:rsid w:val="00B1687F"/>
    <w:rsid w:val="00B20276"/>
    <w:rsid w:val="00B20284"/>
    <w:rsid w:val="00B20963"/>
    <w:rsid w:val="00B21658"/>
    <w:rsid w:val="00B21A18"/>
    <w:rsid w:val="00B24110"/>
    <w:rsid w:val="00B2434A"/>
    <w:rsid w:val="00B24813"/>
    <w:rsid w:val="00B24C1A"/>
    <w:rsid w:val="00B2508D"/>
    <w:rsid w:val="00B258C4"/>
    <w:rsid w:val="00B25C5B"/>
    <w:rsid w:val="00B30AD4"/>
    <w:rsid w:val="00B30FF4"/>
    <w:rsid w:val="00B31AC2"/>
    <w:rsid w:val="00B31AF4"/>
    <w:rsid w:val="00B31EC3"/>
    <w:rsid w:val="00B3233A"/>
    <w:rsid w:val="00B3265D"/>
    <w:rsid w:val="00B32AE3"/>
    <w:rsid w:val="00B3436F"/>
    <w:rsid w:val="00B34E84"/>
    <w:rsid w:val="00B354FD"/>
    <w:rsid w:val="00B3578A"/>
    <w:rsid w:val="00B37252"/>
    <w:rsid w:val="00B400C5"/>
    <w:rsid w:val="00B41CCB"/>
    <w:rsid w:val="00B46B89"/>
    <w:rsid w:val="00B50697"/>
    <w:rsid w:val="00B51BFB"/>
    <w:rsid w:val="00B531F8"/>
    <w:rsid w:val="00B5485C"/>
    <w:rsid w:val="00B54B48"/>
    <w:rsid w:val="00B55D3F"/>
    <w:rsid w:val="00B565B6"/>
    <w:rsid w:val="00B56E20"/>
    <w:rsid w:val="00B601FB"/>
    <w:rsid w:val="00B61D63"/>
    <w:rsid w:val="00B63CA4"/>
    <w:rsid w:val="00B64445"/>
    <w:rsid w:val="00B644CE"/>
    <w:rsid w:val="00B6478F"/>
    <w:rsid w:val="00B64E75"/>
    <w:rsid w:val="00B66126"/>
    <w:rsid w:val="00B705B5"/>
    <w:rsid w:val="00B70C75"/>
    <w:rsid w:val="00B717DC"/>
    <w:rsid w:val="00B720E3"/>
    <w:rsid w:val="00B72169"/>
    <w:rsid w:val="00B727EA"/>
    <w:rsid w:val="00B72F9D"/>
    <w:rsid w:val="00B739A7"/>
    <w:rsid w:val="00B73E0B"/>
    <w:rsid w:val="00B762ED"/>
    <w:rsid w:val="00B77287"/>
    <w:rsid w:val="00B77F7B"/>
    <w:rsid w:val="00B8047C"/>
    <w:rsid w:val="00B80C64"/>
    <w:rsid w:val="00B826D9"/>
    <w:rsid w:val="00B833F4"/>
    <w:rsid w:val="00B85EF8"/>
    <w:rsid w:val="00B8668D"/>
    <w:rsid w:val="00B86D63"/>
    <w:rsid w:val="00B877E8"/>
    <w:rsid w:val="00B902DB"/>
    <w:rsid w:val="00B90445"/>
    <w:rsid w:val="00B90CE7"/>
    <w:rsid w:val="00B91622"/>
    <w:rsid w:val="00B916D2"/>
    <w:rsid w:val="00B94123"/>
    <w:rsid w:val="00B951D3"/>
    <w:rsid w:val="00B95A0E"/>
    <w:rsid w:val="00B95ED6"/>
    <w:rsid w:val="00B96215"/>
    <w:rsid w:val="00B96AD3"/>
    <w:rsid w:val="00B97106"/>
    <w:rsid w:val="00B97F02"/>
    <w:rsid w:val="00BA22BB"/>
    <w:rsid w:val="00BA252C"/>
    <w:rsid w:val="00BA2D3F"/>
    <w:rsid w:val="00BA36F9"/>
    <w:rsid w:val="00BA45F4"/>
    <w:rsid w:val="00BA4DE2"/>
    <w:rsid w:val="00BA5B6A"/>
    <w:rsid w:val="00BB04E5"/>
    <w:rsid w:val="00BB146C"/>
    <w:rsid w:val="00BB27C8"/>
    <w:rsid w:val="00BB3868"/>
    <w:rsid w:val="00BB449E"/>
    <w:rsid w:val="00BB5076"/>
    <w:rsid w:val="00BB5138"/>
    <w:rsid w:val="00BB5419"/>
    <w:rsid w:val="00BB578C"/>
    <w:rsid w:val="00BB6398"/>
    <w:rsid w:val="00BB72E5"/>
    <w:rsid w:val="00BB77C6"/>
    <w:rsid w:val="00BC073F"/>
    <w:rsid w:val="00BC206C"/>
    <w:rsid w:val="00BC2C8E"/>
    <w:rsid w:val="00BC4070"/>
    <w:rsid w:val="00BC4506"/>
    <w:rsid w:val="00BC4F53"/>
    <w:rsid w:val="00BC6916"/>
    <w:rsid w:val="00BC6B41"/>
    <w:rsid w:val="00BC784D"/>
    <w:rsid w:val="00BD049D"/>
    <w:rsid w:val="00BD04F0"/>
    <w:rsid w:val="00BD11D3"/>
    <w:rsid w:val="00BD1AD3"/>
    <w:rsid w:val="00BD1F00"/>
    <w:rsid w:val="00BD2170"/>
    <w:rsid w:val="00BD25B3"/>
    <w:rsid w:val="00BD295A"/>
    <w:rsid w:val="00BD3BC3"/>
    <w:rsid w:val="00BD3F6A"/>
    <w:rsid w:val="00BD46C0"/>
    <w:rsid w:val="00BD5779"/>
    <w:rsid w:val="00BD6483"/>
    <w:rsid w:val="00BD7BDE"/>
    <w:rsid w:val="00BD7C91"/>
    <w:rsid w:val="00BE0C76"/>
    <w:rsid w:val="00BE1033"/>
    <w:rsid w:val="00BE20B9"/>
    <w:rsid w:val="00BE217C"/>
    <w:rsid w:val="00BE25E1"/>
    <w:rsid w:val="00BE405F"/>
    <w:rsid w:val="00BE4129"/>
    <w:rsid w:val="00BE44E8"/>
    <w:rsid w:val="00BE5F2B"/>
    <w:rsid w:val="00BE65EB"/>
    <w:rsid w:val="00BE66CD"/>
    <w:rsid w:val="00BE76E2"/>
    <w:rsid w:val="00BE7E94"/>
    <w:rsid w:val="00BF0C9B"/>
    <w:rsid w:val="00BF2121"/>
    <w:rsid w:val="00BF2B61"/>
    <w:rsid w:val="00BF3222"/>
    <w:rsid w:val="00BF4B23"/>
    <w:rsid w:val="00BF60AE"/>
    <w:rsid w:val="00BF678E"/>
    <w:rsid w:val="00BF6DA5"/>
    <w:rsid w:val="00BF6E09"/>
    <w:rsid w:val="00C0037E"/>
    <w:rsid w:val="00C03817"/>
    <w:rsid w:val="00C03ED8"/>
    <w:rsid w:val="00C07842"/>
    <w:rsid w:val="00C1212A"/>
    <w:rsid w:val="00C12356"/>
    <w:rsid w:val="00C1264A"/>
    <w:rsid w:val="00C1583D"/>
    <w:rsid w:val="00C15EC4"/>
    <w:rsid w:val="00C17027"/>
    <w:rsid w:val="00C1740C"/>
    <w:rsid w:val="00C17609"/>
    <w:rsid w:val="00C17F41"/>
    <w:rsid w:val="00C210D3"/>
    <w:rsid w:val="00C24074"/>
    <w:rsid w:val="00C25ADA"/>
    <w:rsid w:val="00C264AB"/>
    <w:rsid w:val="00C26995"/>
    <w:rsid w:val="00C26C5A"/>
    <w:rsid w:val="00C270BC"/>
    <w:rsid w:val="00C27678"/>
    <w:rsid w:val="00C30029"/>
    <w:rsid w:val="00C3044A"/>
    <w:rsid w:val="00C30504"/>
    <w:rsid w:val="00C31177"/>
    <w:rsid w:val="00C31346"/>
    <w:rsid w:val="00C325B0"/>
    <w:rsid w:val="00C32DDA"/>
    <w:rsid w:val="00C33896"/>
    <w:rsid w:val="00C33F33"/>
    <w:rsid w:val="00C34216"/>
    <w:rsid w:val="00C3460D"/>
    <w:rsid w:val="00C36950"/>
    <w:rsid w:val="00C373A1"/>
    <w:rsid w:val="00C41EFC"/>
    <w:rsid w:val="00C42A90"/>
    <w:rsid w:val="00C4452D"/>
    <w:rsid w:val="00C46D89"/>
    <w:rsid w:val="00C47898"/>
    <w:rsid w:val="00C47DC3"/>
    <w:rsid w:val="00C51AB1"/>
    <w:rsid w:val="00C52765"/>
    <w:rsid w:val="00C5400C"/>
    <w:rsid w:val="00C54167"/>
    <w:rsid w:val="00C541FB"/>
    <w:rsid w:val="00C54B89"/>
    <w:rsid w:val="00C54EB8"/>
    <w:rsid w:val="00C55465"/>
    <w:rsid w:val="00C560B8"/>
    <w:rsid w:val="00C576C5"/>
    <w:rsid w:val="00C57E71"/>
    <w:rsid w:val="00C60816"/>
    <w:rsid w:val="00C6113C"/>
    <w:rsid w:val="00C61B31"/>
    <w:rsid w:val="00C61E2A"/>
    <w:rsid w:val="00C61F0D"/>
    <w:rsid w:val="00C6260C"/>
    <w:rsid w:val="00C63424"/>
    <w:rsid w:val="00C65D18"/>
    <w:rsid w:val="00C67595"/>
    <w:rsid w:val="00C67DBB"/>
    <w:rsid w:val="00C70073"/>
    <w:rsid w:val="00C70298"/>
    <w:rsid w:val="00C706DA"/>
    <w:rsid w:val="00C7079A"/>
    <w:rsid w:val="00C720E4"/>
    <w:rsid w:val="00C7354A"/>
    <w:rsid w:val="00C745AA"/>
    <w:rsid w:val="00C75F4F"/>
    <w:rsid w:val="00C76EDA"/>
    <w:rsid w:val="00C77265"/>
    <w:rsid w:val="00C7745B"/>
    <w:rsid w:val="00C77E32"/>
    <w:rsid w:val="00C803CE"/>
    <w:rsid w:val="00C8084B"/>
    <w:rsid w:val="00C819F9"/>
    <w:rsid w:val="00C82101"/>
    <w:rsid w:val="00C821B2"/>
    <w:rsid w:val="00C82BC8"/>
    <w:rsid w:val="00C84015"/>
    <w:rsid w:val="00C845F4"/>
    <w:rsid w:val="00C85E77"/>
    <w:rsid w:val="00C86B5C"/>
    <w:rsid w:val="00C86C1B"/>
    <w:rsid w:val="00C86E6D"/>
    <w:rsid w:val="00C876B1"/>
    <w:rsid w:val="00C8779E"/>
    <w:rsid w:val="00C911D4"/>
    <w:rsid w:val="00C91287"/>
    <w:rsid w:val="00C92168"/>
    <w:rsid w:val="00C93521"/>
    <w:rsid w:val="00C93888"/>
    <w:rsid w:val="00C93BB4"/>
    <w:rsid w:val="00C94704"/>
    <w:rsid w:val="00C94D3F"/>
    <w:rsid w:val="00C96459"/>
    <w:rsid w:val="00C96E38"/>
    <w:rsid w:val="00C9731B"/>
    <w:rsid w:val="00C973DE"/>
    <w:rsid w:val="00C97C92"/>
    <w:rsid w:val="00CA0401"/>
    <w:rsid w:val="00CA0A89"/>
    <w:rsid w:val="00CA11F6"/>
    <w:rsid w:val="00CA1375"/>
    <w:rsid w:val="00CA162E"/>
    <w:rsid w:val="00CA179C"/>
    <w:rsid w:val="00CA1CB7"/>
    <w:rsid w:val="00CA1CD2"/>
    <w:rsid w:val="00CA37A8"/>
    <w:rsid w:val="00CA4EEB"/>
    <w:rsid w:val="00CA6A3F"/>
    <w:rsid w:val="00CA6B32"/>
    <w:rsid w:val="00CA7C4D"/>
    <w:rsid w:val="00CB0E63"/>
    <w:rsid w:val="00CB1417"/>
    <w:rsid w:val="00CB2777"/>
    <w:rsid w:val="00CB2E1F"/>
    <w:rsid w:val="00CB478B"/>
    <w:rsid w:val="00CB5158"/>
    <w:rsid w:val="00CB5944"/>
    <w:rsid w:val="00CB6D46"/>
    <w:rsid w:val="00CB7161"/>
    <w:rsid w:val="00CB728B"/>
    <w:rsid w:val="00CB735C"/>
    <w:rsid w:val="00CB7D80"/>
    <w:rsid w:val="00CC027E"/>
    <w:rsid w:val="00CC1235"/>
    <w:rsid w:val="00CC19FF"/>
    <w:rsid w:val="00CC1CCD"/>
    <w:rsid w:val="00CC20F9"/>
    <w:rsid w:val="00CC26F5"/>
    <w:rsid w:val="00CC2BB2"/>
    <w:rsid w:val="00CC3911"/>
    <w:rsid w:val="00CC481B"/>
    <w:rsid w:val="00CC66B9"/>
    <w:rsid w:val="00CC6847"/>
    <w:rsid w:val="00CD088F"/>
    <w:rsid w:val="00CD0AD4"/>
    <w:rsid w:val="00CD0D99"/>
    <w:rsid w:val="00CD186C"/>
    <w:rsid w:val="00CD1FC9"/>
    <w:rsid w:val="00CD1FD8"/>
    <w:rsid w:val="00CD2E19"/>
    <w:rsid w:val="00CD3B17"/>
    <w:rsid w:val="00CD3BC9"/>
    <w:rsid w:val="00CD3C59"/>
    <w:rsid w:val="00CD5D78"/>
    <w:rsid w:val="00CD60D5"/>
    <w:rsid w:val="00CD7C9C"/>
    <w:rsid w:val="00CE0432"/>
    <w:rsid w:val="00CE11A9"/>
    <w:rsid w:val="00CE1739"/>
    <w:rsid w:val="00CE1907"/>
    <w:rsid w:val="00CE1BB4"/>
    <w:rsid w:val="00CE2836"/>
    <w:rsid w:val="00CE3257"/>
    <w:rsid w:val="00CE3A57"/>
    <w:rsid w:val="00CE3ACA"/>
    <w:rsid w:val="00CE4DAC"/>
    <w:rsid w:val="00CE4FCA"/>
    <w:rsid w:val="00CE6A0A"/>
    <w:rsid w:val="00CE6F12"/>
    <w:rsid w:val="00CE7E61"/>
    <w:rsid w:val="00CE7ED6"/>
    <w:rsid w:val="00CF0409"/>
    <w:rsid w:val="00CF0EA2"/>
    <w:rsid w:val="00CF28C2"/>
    <w:rsid w:val="00CF29E3"/>
    <w:rsid w:val="00CF34B8"/>
    <w:rsid w:val="00CF3A2B"/>
    <w:rsid w:val="00CF4957"/>
    <w:rsid w:val="00CF5875"/>
    <w:rsid w:val="00CF648C"/>
    <w:rsid w:val="00CF6FB5"/>
    <w:rsid w:val="00CF6FCE"/>
    <w:rsid w:val="00CF77E7"/>
    <w:rsid w:val="00CF7FDA"/>
    <w:rsid w:val="00D00227"/>
    <w:rsid w:val="00D00B5D"/>
    <w:rsid w:val="00D01634"/>
    <w:rsid w:val="00D01CC0"/>
    <w:rsid w:val="00D022B9"/>
    <w:rsid w:val="00D02DFC"/>
    <w:rsid w:val="00D02FFE"/>
    <w:rsid w:val="00D032F2"/>
    <w:rsid w:val="00D0423D"/>
    <w:rsid w:val="00D04651"/>
    <w:rsid w:val="00D047E5"/>
    <w:rsid w:val="00D049C3"/>
    <w:rsid w:val="00D06FC9"/>
    <w:rsid w:val="00D073F3"/>
    <w:rsid w:val="00D077B7"/>
    <w:rsid w:val="00D07887"/>
    <w:rsid w:val="00D07B61"/>
    <w:rsid w:val="00D07D80"/>
    <w:rsid w:val="00D10178"/>
    <w:rsid w:val="00D101D2"/>
    <w:rsid w:val="00D10A35"/>
    <w:rsid w:val="00D11084"/>
    <w:rsid w:val="00D11AFD"/>
    <w:rsid w:val="00D1209F"/>
    <w:rsid w:val="00D12713"/>
    <w:rsid w:val="00D12EC1"/>
    <w:rsid w:val="00D1349A"/>
    <w:rsid w:val="00D137E8"/>
    <w:rsid w:val="00D138E6"/>
    <w:rsid w:val="00D1440B"/>
    <w:rsid w:val="00D15525"/>
    <w:rsid w:val="00D16CFB"/>
    <w:rsid w:val="00D16DE6"/>
    <w:rsid w:val="00D16F88"/>
    <w:rsid w:val="00D208A6"/>
    <w:rsid w:val="00D213E6"/>
    <w:rsid w:val="00D213F4"/>
    <w:rsid w:val="00D21DAE"/>
    <w:rsid w:val="00D22F77"/>
    <w:rsid w:val="00D2356D"/>
    <w:rsid w:val="00D243A2"/>
    <w:rsid w:val="00D24887"/>
    <w:rsid w:val="00D25DF2"/>
    <w:rsid w:val="00D264EB"/>
    <w:rsid w:val="00D26BAA"/>
    <w:rsid w:val="00D2720E"/>
    <w:rsid w:val="00D273D5"/>
    <w:rsid w:val="00D3008F"/>
    <w:rsid w:val="00D3309D"/>
    <w:rsid w:val="00D3442B"/>
    <w:rsid w:val="00D34D0B"/>
    <w:rsid w:val="00D34DF8"/>
    <w:rsid w:val="00D36496"/>
    <w:rsid w:val="00D370DD"/>
    <w:rsid w:val="00D40186"/>
    <w:rsid w:val="00D4282D"/>
    <w:rsid w:val="00D43B64"/>
    <w:rsid w:val="00D45A23"/>
    <w:rsid w:val="00D460AC"/>
    <w:rsid w:val="00D46D80"/>
    <w:rsid w:val="00D479A4"/>
    <w:rsid w:val="00D506E1"/>
    <w:rsid w:val="00D50A5E"/>
    <w:rsid w:val="00D50CFD"/>
    <w:rsid w:val="00D528B5"/>
    <w:rsid w:val="00D52E95"/>
    <w:rsid w:val="00D534E2"/>
    <w:rsid w:val="00D56E13"/>
    <w:rsid w:val="00D574D6"/>
    <w:rsid w:val="00D57D10"/>
    <w:rsid w:val="00D607C2"/>
    <w:rsid w:val="00D61199"/>
    <w:rsid w:val="00D61F40"/>
    <w:rsid w:val="00D622EC"/>
    <w:rsid w:val="00D623AF"/>
    <w:rsid w:val="00D64126"/>
    <w:rsid w:val="00D65953"/>
    <w:rsid w:val="00D65A78"/>
    <w:rsid w:val="00D70C8E"/>
    <w:rsid w:val="00D726AD"/>
    <w:rsid w:val="00D73633"/>
    <w:rsid w:val="00D73FDF"/>
    <w:rsid w:val="00D75813"/>
    <w:rsid w:val="00D76018"/>
    <w:rsid w:val="00D76083"/>
    <w:rsid w:val="00D7779A"/>
    <w:rsid w:val="00D8040E"/>
    <w:rsid w:val="00D81C5F"/>
    <w:rsid w:val="00D82742"/>
    <w:rsid w:val="00D828AC"/>
    <w:rsid w:val="00D83251"/>
    <w:rsid w:val="00D8482F"/>
    <w:rsid w:val="00D85744"/>
    <w:rsid w:val="00D8624B"/>
    <w:rsid w:val="00D863F8"/>
    <w:rsid w:val="00D86CB2"/>
    <w:rsid w:val="00D90682"/>
    <w:rsid w:val="00D90C42"/>
    <w:rsid w:val="00D90FDA"/>
    <w:rsid w:val="00D91844"/>
    <w:rsid w:val="00D93B74"/>
    <w:rsid w:val="00D943A3"/>
    <w:rsid w:val="00D9614A"/>
    <w:rsid w:val="00D963A5"/>
    <w:rsid w:val="00D97408"/>
    <w:rsid w:val="00D9755B"/>
    <w:rsid w:val="00D9761B"/>
    <w:rsid w:val="00D9780E"/>
    <w:rsid w:val="00DA02B6"/>
    <w:rsid w:val="00DA049C"/>
    <w:rsid w:val="00DA1DE6"/>
    <w:rsid w:val="00DA2F03"/>
    <w:rsid w:val="00DA4E28"/>
    <w:rsid w:val="00DA59B9"/>
    <w:rsid w:val="00DA657E"/>
    <w:rsid w:val="00DA68F6"/>
    <w:rsid w:val="00DA6F72"/>
    <w:rsid w:val="00DA79DA"/>
    <w:rsid w:val="00DB03D9"/>
    <w:rsid w:val="00DB0ED2"/>
    <w:rsid w:val="00DB139A"/>
    <w:rsid w:val="00DB13D6"/>
    <w:rsid w:val="00DB3587"/>
    <w:rsid w:val="00DB4122"/>
    <w:rsid w:val="00DB52EA"/>
    <w:rsid w:val="00DB5BAA"/>
    <w:rsid w:val="00DB6C28"/>
    <w:rsid w:val="00DB7330"/>
    <w:rsid w:val="00DB7BD6"/>
    <w:rsid w:val="00DC01CF"/>
    <w:rsid w:val="00DC0304"/>
    <w:rsid w:val="00DC048F"/>
    <w:rsid w:val="00DC05AA"/>
    <w:rsid w:val="00DC05C9"/>
    <w:rsid w:val="00DC0703"/>
    <w:rsid w:val="00DC07E6"/>
    <w:rsid w:val="00DC1D64"/>
    <w:rsid w:val="00DC2245"/>
    <w:rsid w:val="00DC3758"/>
    <w:rsid w:val="00DC3B4F"/>
    <w:rsid w:val="00DC5EF3"/>
    <w:rsid w:val="00DD177A"/>
    <w:rsid w:val="00DD1CB4"/>
    <w:rsid w:val="00DD1D88"/>
    <w:rsid w:val="00DD1E12"/>
    <w:rsid w:val="00DD25AF"/>
    <w:rsid w:val="00DD2B5A"/>
    <w:rsid w:val="00DD405A"/>
    <w:rsid w:val="00DD4618"/>
    <w:rsid w:val="00DD4FDA"/>
    <w:rsid w:val="00DD63EA"/>
    <w:rsid w:val="00DD7942"/>
    <w:rsid w:val="00DD7C9A"/>
    <w:rsid w:val="00DE0F91"/>
    <w:rsid w:val="00DE1EB2"/>
    <w:rsid w:val="00DE260A"/>
    <w:rsid w:val="00DE3126"/>
    <w:rsid w:val="00DE3142"/>
    <w:rsid w:val="00DE3877"/>
    <w:rsid w:val="00DE48CE"/>
    <w:rsid w:val="00DE4E50"/>
    <w:rsid w:val="00DE4F7E"/>
    <w:rsid w:val="00DE50B8"/>
    <w:rsid w:val="00DE51AF"/>
    <w:rsid w:val="00DE6415"/>
    <w:rsid w:val="00DE6453"/>
    <w:rsid w:val="00DE6A64"/>
    <w:rsid w:val="00DE72F6"/>
    <w:rsid w:val="00DE75A6"/>
    <w:rsid w:val="00DE75CE"/>
    <w:rsid w:val="00DE7B75"/>
    <w:rsid w:val="00DE7D89"/>
    <w:rsid w:val="00DE7DFD"/>
    <w:rsid w:val="00DF0108"/>
    <w:rsid w:val="00DF02CF"/>
    <w:rsid w:val="00DF054C"/>
    <w:rsid w:val="00DF0696"/>
    <w:rsid w:val="00DF2554"/>
    <w:rsid w:val="00DF2587"/>
    <w:rsid w:val="00DF31A7"/>
    <w:rsid w:val="00DF42F2"/>
    <w:rsid w:val="00DF51F1"/>
    <w:rsid w:val="00DF521F"/>
    <w:rsid w:val="00DF5223"/>
    <w:rsid w:val="00DF552D"/>
    <w:rsid w:val="00DF55D3"/>
    <w:rsid w:val="00DF7250"/>
    <w:rsid w:val="00DF72A5"/>
    <w:rsid w:val="00DF7B25"/>
    <w:rsid w:val="00DF7B48"/>
    <w:rsid w:val="00E00BCE"/>
    <w:rsid w:val="00E02B75"/>
    <w:rsid w:val="00E04341"/>
    <w:rsid w:val="00E04E49"/>
    <w:rsid w:val="00E04F98"/>
    <w:rsid w:val="00E05BBE"/>
    <w:rsid w:val="00E060D6"/>
    <w:rsid w:val="00E06342"/>
    <w:rsid w:val="00E0677E"/>
    <w:rsid w:val="00E07ED7"/>
    <w:rsid w:val="00E10C8D"/>
    <w:rsid w:val="00E10D18"/>
    <w:rsid w:val="00E1153C"/>
    <w:rsid w:val="00E11A31"/>
    <w:rsid w:val="00E11AF9"/>
    <w:rsid w:val="00E13035"/>
    <w:rsid w:val="00E1336E"/>
    <w:rsid w:val="00E134B3"/>
    <w:rsid w:val="00E1363E"/>
    <w:rsid w:val="00E143C7"/>
    <w:rsid w:val="00E15AF6"/>
    <w:rsid w:val="00E15FF2"/>
    <w:rsid w:val="00E1624F"/>
    <w:rsid w:val="00E20949"/>
    <w:rsid w:val="00E22095"/>
    <w:rsid w:val="00E22B41"/>
    <w:rsid w:val="00E24E70"/>
    <w:rsid w:val="00E25417"/>
    <w:rsid w:val="00E2644D"/>
    <w:rsid w:val="00E26493"/>
    <w:rsid w:val="00E26FF4"/>
    <w:rsid w:val="00E271C1"/>
    <w:rsid w:val="00E27C67"/>
    <w:rsid w:val="00E27CED"/>
    <w:rsid w:val="00E3064D"/>
    <w:rsid w:val="00E33259"/>
    <w:rsid w:val="00E33458"/>
    <w:rsid w:val="00E33C03"/>
    <w:rsid w:val="00E33F1B"/>
    <w:rsid w:val="00E346D4"/>
    <w:rsid w:val="00E34D99"/>
    <w:rsid w:val="00E352DF"/>
    <w:rsid w:val="00E35E4A"/>
    <w:rsid w:val="00E36CA0"/>
    <w:rsid w:val="00E37057"/>
    <w:rsid w:val="00E37C9D"/>
    <w:rsid w:val="00E40836"/>
    <w:rsid w:val="00E4115A"/>
    <w:rsid w:val="00E4185F"/>
    <w:rsid w:val="00E418A7"/>
    <w:rsid w:val="00E41E7D"/>
    <w:rsid w:val="00E425D3"/>
    <w:rsid w:val="00E42FDE"/>
    <w:rsid w:val="00E436D7"/>
    <w:rsid w:val="00E4395B"/>
    <w:rsid w:val="00E44EE7"/>
    <w:rsid w:val="00E451F1"/>
    <w:rsid w:val="00E45518"/>
    <w:rsid w:val="00E45D67"/>
    <w:rsid w:val="00E47071"/>
    <w:rsid w:val="00E50CAC"/>
    <w:rsid w:val="00E52070"/>
    <w:rsid w:val="00E526C3"/>
    <w:rsid w:val="00E52BA5"/>
    <w:rsid w:val="00E53907"/>
    <w:rsid w:val="00E54872"/>
    <w:rsid w:val="00E54C00"/>
    <w:rsid w:val="00E56697"/>
    <w:rsid w:val="00E60023"/>
    <w:rsid w:val="00E600D6"/>
    <w:rsid w:val="00E60270"/>
    <w:rsid w:val="00E605AE"/>
    <w:rsid w:val="00E61016"/>
    <w:rsid w:val="00E61031"/>
    <w:rsid w:val="00E613A0"/>
    <w:rsid w:val="00E61705"/>
    <w:rsid w:val="00E61D84"/>
    <w:rsid w:val="00E620AE"/>
    <w:rsid w:val="00E6235E"/>
    <w:rsid w:val="00E6236E"/>
    <w:rsid w:val="00E64383"/>
    <w:rsid w:val="00E643EB"/>
    <w:rsid w:val="00E64524"/>
    <w:rsid w:val="00E674E5"/>
    <w:rsid w:val="00E675D0"/>
    <w:rsid w:val="00E677BE"/>
    <w:rsid w:val="00E702C4"/>
    <w:rsid w:val="00E71EFD"/>
    <w:rsid w:val="00E74412"/>
    <w:rsid w:val="00E74EEC"/>
    <w:rsid w:val="00E74FFA"/>
    <w:rsid w:val="00E757CE"/>
    <w:rsid w:val="00E76FA7"/>
    <w:rsid w:val="00E80C4B"/>
    <w:rsid w:val="00E81AB3"/>
    <w:rsid w:val="00E81C27"/>
    <w:rsid w:val="00E8332B"/>
    <w:rsid w:val="00E8455F"/>
    <w:rsid w:val="00E8721F"/>
    <w:rsid w:val="00E874B4"/>
    <w:rsid w:val="00E90F8A"/>
    <w:rsid w:val="00E9259D"/>
    <w:rsid w:val="00E93101"/>
    <w:rsid w:val="00E9313E"/>
    <w:rsid w:val="00E948A5"/>
    <w:rsid w:val="00E94E25"/>
    <w:rsid w:val="00E95E76"/>
    <w:rsid w:val="00E962F2"/>
    <w:rsid w:val="00E9716E"/>
    <w:rsid w:val="00E977FB"/>
    <w:rsid w:val="00EA0ED1"/>
    <w:rsid w:val="00EA279A"/>
    <w:rsid w:val="00EA2F8B"/>
    <w:rsid w:val="00EA57D0"/>
    <w:rsid w:val="00EA6445"/>
    <w:rsid w:val="00EA70CB"/>
    <w:rsid w:val="00EA71EB"/>
    <w:rsid w:val="00EA7D98"/>
    <w:rsid w:val="00EB21D4"/>
    <w:rsid w:val="00EB2483"/>
    <w:rsid w:val="00EB2758"/>
    <w:rsid w:val="00EB3769"/>
    <w:rsid w:val="00EB476A"/>
    <w:rsid w:val="00EB5B14"/>
    <w:rsid w:val="00EB683C"/>
    <w:rsid w:val="00EB734F"/>
    <w:rsid w:val="00EB75C2"/>
    <w:rsid w:val="00EC02A2"/>
    <w:rsid w:val="00EC070C"/>
    <w:rsid w:val="00EC0B9D"/>
    <w:rsid w:val="00EC0C9D"/>
    <w:rsid w:val="00EC0E05"/>
    <w:rsid w:val="00EC23BF"/>
    <w:rsid w:val="00EC2D8A"/>
    <w:rsid w:val="00EC3280"/>
    <w:rsid w:val="00EC3E45"/>
    <w:rsid w:val="00EC4359"/>
    <w:rsid w:val="00EC452C"/>
    <w:rsid w:val="00EC50EF"/>
    <w:rsid w:val="00EC5273"/>
    <w:rsid w:val="00EC65FD"/>
    <w:rsid w:val="00EC7FDD"/>
    <w:rsid w:val="00ED1312"/>
    <w:rsid w:val="00ED3121"/>
    <w:rsid w:val="00ED3E13"/>
    <w:rsid w:val="00ED64EE"/>
    <w:rsid w:val="00EE01D0"/>
    <w:rsid w:val="00EE08D1"/>
    <w:rsid w:val="00EE0E63"/>
    <w:rsid w:val="00EE47B1"/>
    <w:rsid w:val="00EE5274"/>
    <w:rsid w:val="00EE55CB"/>
    <w:rsid w:val="00EE6081"/>
    <w:rsid w:val="00EE6375"/>
    <w:rsid w:val="00EE6C5B"/>
    <w:rsid w:val="00EF05FD"/>
    <w:rsid w:val="00EF1219"/>
    <w:rsid w:val="00EF1B3B"/>
    <w:rsid w:val="00EF231F"/>
    <w:rsid w:val="00EF36E2"/>
    <w:rsid w:val="00EF3B2E"/>
    <w:rsid w:val="00EF4657"/>
    <w:rsid w:val="00EF4AAC"/>
    <w:rsid w:val="00EF4C37"/>
    <w:rsid w:val="00EF5378"/>
    <w:rsid w:val="00EF54AC"/>
    <w:rsid w:val="00EF59F0"/>
    <w:rsid w:val="00F00465"/>
    <w:rsid w:val="00F00F70"/>
    <w:rsid w:val="00F02FDE"/>
    <w:rsid w:val="00F045F2"/>
    <w:rsid w:val="00F05C0C"/>
    <w:rsid w:val="00F05C68"/>
    <w:rsid w:val="00F07437"/>
    <w:rsid w:val="00F075A8"/>
    <w:rsid w:val="00F10850"/>
    <w:rsid w:val="00F10B41"/>
    <w:rsid w:val="00F113B5"/>
    <w:rsid w:val="00F1154F"/>
    <w:rsid w:val="00F12106"/>
    <w:rsid w:val="00F13231"/>
    <w:rsid w:val="00F149A4"/>
    <w:rsid w:val="00F15307"/>
    <w:rsid w:val="00F15AB4"/>
    <w:rsid w:val="00F15ED8"/>
    <w:rsid w:val="00F164E6"/>
    <w:rsid w:val="00F16DC2"/>
    <w:rsid w:val="00F17346"/>
    <w:rsid w:val="00F178C8"/>
    <w:rsid w:val="00F17B63"/>
    <w:rsid w:val="00F21756"/>
    <w:rsid w:val="00F2296F"/>
    <w:rsid w:val="00F252E5"/>
    <w:rsid w:val="00F26A87"/>
    <w:rsid w:val="00F27049"/>
    <w:rsid w:val="00F308D4"/>
    <w:rsid w:val="00F30CF8"/>
    <w:rsid w:val="00F34292"/>
    <w:rsid w:val="00F35ABF"/>
    <w:rsid w:val="00F35B08"/>
    <w:rsid w:val="00F362B5"/>
    <w:rsid w:val="00F36B80"/>
    <w:rsid w:val="00F371DE"/>
    <w:rsid w:val="00F405A9"/>
    <w:rsid w:val="00F41906"/>
    <w:rsid w:val="00F4190E"/>
    <w:rsid w:val="00F41A6F"/>
    <w:rsid w:val="00F4375D"/>
    <w:rsid w:val="00F460F9"/>
    <w:rsid w:val="00F46D04"/>
    <w:rsid w:val="00F4723C"/>
    <w:rsid w:val="00F47F3F"/>
    <w:rsid w:val="00F520A9"/>
    <w:rsid w:val="00F52F66"/>
    <w:rsid w:val="00F534F3"/>
    <w:rsid w:val="00F53AA0"/>
    <w:rsid w:val="00F54B7A"/>
    <w:rsid w:val="00F54D98"/>
    <w:rsid w:val="00F5519F"/>
    <w:rsid w:val="00F57471"/>
    <w:rsid w:val="00F57672"/>
    <w:rsid w:val="00F608E2"/>
    <w:rsid w:val="00F61E95"/>
    <w:rsid w:val="00F63934"/>
    <w:rsid w:val="00F647A2"/>
    <w:rsid w:val="00F64F8E"/>
    <w:rsid w:val="00F66ABB"/>
    <w:rsid w:val="00F7014A"/>
    <w:rsid w:val="00F7062F"/>
    <w:rsid w:val="00F715BA"/>
    <w:rsid w:val="00F72CAC"/>
    <w:rsid w:val="00F7304F"/>
    <w:rsid w:val="00F750A2"/>
    <w:rsid w:val="00F7574E"/>
    <w:rsid w:val="00F7620E"/>
    <w:rsid w:val="00F76B24"/>
    <w:rsid w:val="00F76B4C"/>
    <w:rsid w:val="00F7719C"/>
    <w:rsid w:val="00F773B6"/>
    <w:rsid w:val="00F7747B"/>
    <w:rsid w:val="00F777F3"/>
    <w:rsid w:val="00F77815"/>
    <w:rsid w:val="00F77B94"/>
    <w:rsid w:val="00F80155"/>
    <w:rsid w:val="00F8118E"/>
    <w:rsid w:val="00F818FA"/>
    <w:rsid w:val="00F84C34"/>
    <w:rsid w:val="00F8609A"/>
    <w:rsid w:val="00F86B1B"/>
    <w:rsid w:val="00F8764E"/>
    <w:rsid w:val="00F87871"/>
    <w:rsid w:val="00F878C2"/>
    <w:rsid w:val="00F90A8F"/>
    <w:rsid w:val="00F923DE"/>
    <w:rsid w:val="00F938EE"/>
    <w:rsid w:val="00F9423F"/>
    <w:rsid w:val="00F95529"/>
    <w:rsid w:val="00F965F7"/>
    <w:rsid w:val="00F96CC1"/>
    <w:rsid w:val="00F977F7"/>
    <w:rsid w:val="00F97934"/>
    <w:rsid w:val="00FA108E"/>
    <w:rsid w:val="00FA2F73"/>
    <w:rsid w:val="00FA3EB0"/>
    <w:rsid w:val="00FA4155"/>
    <w:rsid w:val="00FA4A08"/>
    <w:rsid w:val="00FA4DB9"/>
    <w:rsid w:val="00FA60BF"/>
    <w:rsid w:val="00FA67E6"/>
    <w:rsid w:val="00FA707C"/>
    <w:rsid w:val="00FB13C0"/>
    <w:rsid w:val="00FB204D"/>
    <w:rsid w:val="00FB22A1"/>
    <w:rsid w:val="00FB2CE4"/>
    <w:rsid w:val="00FB3C74"/>
    <w:rsid w:val="00FB4486"/>
    <w:rsid w:val="00FB4BAB"/>
    <w:rsid w:val="00FB4C7F"/>
    <w:rsid w:val="00FB4DFC"/>
    <w:rsid w:val="00FB5308"/>
    <w:rsid w:val="00FB6F40"/>
    <w:rsid w:val="00FB6FB1"/>
    <w:rsid w:val="00FB7CD5"/>
    <w:rsid w:val="00FC057E"/>
    <w:rsid w:val="00FC09B6"/>
    <w:rsid w:val="00FC0E82"/>
    <w:rsid w:val="00FC1C7C"/>
    <w:rsid w:val="00FC1ED9"/>
    <w:rsid w:val="00FC23EF"/>
    <w:rsid w:val="00FC3C5B"/>
    <w:rsid w:val="00FC3DC5"/>
    <w:rsid w:val="00FC692E"/>
    <w:rsid w:val="00FD0635"/>
    <w:rsid w:val="00FD08E7"/>
    <w:rsid w:val="00FD2FED"/>
    <w:rsid w:val="00FD326B"/>
    <w:rsid w:val="00FD4590"/>
    <w:rsid w:val="00FD5416"/>
    <w:rsid w:val="00FD5EDE"/>
    <w:rsid w:val="00FD6FA6"/>
    <w:rsid w:val="00FD7CE2"/>
    <w:rsid w:val="00FE0490"/>
    <w:rsid w:val="00FE14CB"/>
    <w:rsid w:val="00FE224B"/>
    <w:rsid w:val="00FE25D0"/>
    <w:rsid w:val="00FE3E11"/>
    <w:rsid w:val="00FE437E"/>
    <w:rsid w:val="00FE44B9"/>
    <w:rsid w:val="00FE469E"/>
    <w:rsid w:val="00FE5245"/>
    <w:rsid w:val="00FE585E"/>
    <w:rsid w:val="00FE5897"/>
    <w:rsid w:val="00FE5A74"/>
    <w:rsid w:val="00FE6905"/>
    <w:rsid w:val="00FE7D3B"/>
    <w:rsid w:val="00FE7EE4"/>
    <w:rsid w:val="00FF0CE4"/>
    <w:rsid w:val="00FF1496"/>
    <w:rsid w:val="00FF3293"/>
    <w:rsid w:val="00FF32A1"/>
    <w:rsid w:val="00FF37E9"/>
    <w:rsid w:val="00FF3AB6"/>
    <w:rsid w:val="00FF3FA1"/>
    <w:rsid w:val="00FF5A82"/>
    <w:rsid w:val="00FF5D23"/>
    <w:rsid w:val="00FF615D"/>
    <w:rsid w:val="00FF6511"/>
    <w:rsid w:val="00FF7475"/>
    <w:rsid w:val="00FF7D2B"/>
    <w:rsid w:val="011B609E"/>
    <w:rsid w:val="01203AB8"/>
    <w:rsid w:val="015010AA"/>
    <w:rsid w:val="016A347B"/>
    <w:rsid w:val="018D1D97"/>
    <w:rsid w:val="019C54BA"/>
    <w:rsid w:val="01B11D31"/>
    <w:rsid w:val="01B14C06"/>
    <w:rsid w:val="01BB2247"/>
    <w:rsid w:val="01C20C37"/>
    <w:rsid w:val="01E21679"/>
    <w:rsid w:val="02497DC5"/>
    <w:rsid w:val="02AE18B4"/>
    <w:rsid w:val="02D72892"/>
    <w:rsid w:val="0313351D"/>
    <w:rsid w:val="03225EBC"/>
    <w:rsid w:val="0331568B"/>
    <w:rsid w:val="03331B52"/>
    <w:rsid w:val="034E123B"/>
    <w:rsid w:val="036D4E4E"/>
    <w:rsid w:val="03AF009C"/>
    <w:rsid w:val="03B22EB7"/>
    <w:rsid w:val="03EE1974"/>
    <w:rsid w:val="03F946A1"/>
    <w:rsid w:val="0498022D"/>
    <w:rsid w:val="04C41D07"/>
    <w:rsid w:val="04D47AED"/>
    <w:rsid w:val="04D72BD5"/>
    <w:rsid w:val="04DD0BDE"/>
    <w:rsid w:val="04F211FD"/>
    <w:rsid w:val="054144F3"/>
    <w:rsid w:val="05BF3C09"/>
    <w:rsid w:val="05C11CB3"/>
    <w:rsid w:val="06291F19"/>
    <w:rsid w:val="062A4F87"/>
    <w:rsid w:val="06311428"/>
    <w:rsid w:val="064B2EFA"/>
    <w:rsid w:val="06986394"/>
    <w:rsid w:val="06B2781F"/>
    <w:rsid w:val="06BC4119"/>
    <w:rsid w:val="06FC4FE2"/>
    <w:rsid w:val="071E1F77"/>
    <w:rsid w:val="07230354"/>
    <w:rsid w:val="078330CF"/>
    <w:rsid w:val="07AC1C5E"/>
    <w:rsid w:val="07B92A66"/>
    <w:rsid w:val="07CB7562"/>
    <w:rsid w:val="08210512"/>
    <w:rsid w:val="08246B9D"/>
    <w:rsid w:val="08337E2C"/>
    <w:rsid w:val="0841589E"/>
    <w:rsid w:val="08606D2F"/>
    <w:rsid w:val="08A5700D"/>
    <w:rsid w:val="08A950C0"/>
    <w:rsid w:val="08D55A15"/>
    <w:rsid w:val="09320D22"/>
    <w:rsid w:val="094A73A8"/>
    <w:rsid w:val="094F54E0"/>
    <w:rsid w:val="09B252A0"/>
    <w:rsid w:val="0A0E7CC3"/>
    <w:rsid w:val="0A9C3FF0"/>
    <w:rsid w:val="0A9D5F75"/>
    <w:rsid w:val="0AAE050B"/>
    <w:rsid w:val="0B0F0221"/>
    <w:rsid w:val="0B3E34A4"/>
    <w:rsid w:val="0B7D3B65"/>
    <w:rsid w:val="0B861314"/>
    <w:rsid w:val="0BA76028"/>
    <w:rsid w:val="0BF927F0"/>
    <w:rsid w:val="0C1B1C59"/>
    <w:rsid w:val="0C527C98"/>
    <w:rsid w:val="0C6A6D99"/>
    <w:rsid w:val="0C6D7423"/>
    <w:rsid w:val="0CCC02C9"/>
    <w:rsid w:val="0CDE0DBE"/>
    <w:rsid w:val="0D4268F6"/>
    <w:rsid w:val="0D663D9A"/>
    <w:rsid w:val="0D6D7E7A"/>
    <w:rsid w:val="0D803DE0"/>
    <w:rsid w:val="0D9B25D5"/>
    <w:rsid w:val="0DDA73BB"/>
    <w:rsid w:val="0DFF4618"/>
    <w:rsid w:val="0E1606BA"/>
    <w:rsid w:val="0E466A71"/>
    <w:rsid w:val="0E817E24"/>
    <w:rsid w:val="0EA65706"/>
    <w:rsid w:val="0EA867EE"/>
    <w:rsid w:val="0EAB79FE"/>
    <w:rsid w:val="0EAE4631"/>
    <w:rsid w:val="0ED938A1"/>
    <w:rsid w:val="0F1F783B"/>
    <w:rsid w:val="0F2332B5"/>
    <w:rsid w:val="0F3672DB"/>
    <w:rsid w:val="0F3B1C50"/>
    <w:rsid w:val="0F4B5006"/>
    <w:rsid w:val="0F6C173D"/>
    <w:rsid w:val="0F723707"/>
    <w:rsid w:val="0F9E1512"/>
    <w:rsid w:val="0FC6545B"/>
    <w:rsid w:val="0FE515BF"/>
    <w:rsid w:val="0FF11AD6"/>
    <w:rsid w:val="10085717"/>
    <w:rsid w:val="1067666B"/>
    <w:rsid w:val="10AD2D8F"/>
    <w:rsid w:val="10EC36E3"/>
    <w:rsid w:val="11186A30"/>
    <w:rsid w:val="1120753A"/>
    <w:rsid w:val="11A67D57"/>
    <w:rsid w:val="1202516B"/>
    <w:rsid w:val="12083555"/>
    <w:rsid w:val="129E0923"/>
    <w:rsid w:val="129E21C9"/>
    <w:rsid w:val="12C51243"/>
    <w:rsid w:val="12E4191E"/>
    <w:rsid w:val="12E62049"/>
    <w:rsid w:val="12F61266"/>
    <w:rsid w:val="12FF1AC9"/>
    <w:rsid w:val="13655D82"/>
    <w:rsid w:val="137E513F"/>
    <w:rsid w:val="13A64828"/>
    <w:rsid w:val="13FF40DE"/>
    <w:rsid w:val="140F169F"/>
    <w:rsid w:val="14290E4D"/>
    <w:rsid w:val="14770F16"/>
    <w:rsid w:val="14935D07"/>
    <w:rsid w:val="14B44CE1"/>
    <w:rsid w:val="14B80346"/>
    <w:rsid w:val="14BE670D"/>
    <w:rsid w:val="14DF4D11"/>
    <w:rsid w:val="14F52FE5"/>
    <w:rsid w:val="1510360E"/>
    <w:rsid w:val="15205FE5"/>
    <w:rsid w:val="15AD23FE"/>
    <w:rsid w:val="15AE34DE"/>
    <w:rsid w:val="15D67E96"/>
    <w:rsid w:val="160F6598"/>
    <w:rsid w:val="161D0F66"/>
    <w:rsid w:val="16337603"/>
    <w:rsid w:val="16647B6A"/>
    <w:rsid w:val="16A93BC6"/>
    <w:rsid w:val="16EF2001"/>
    <w:rsid w:val="171447CD"/>
    <w:rsid w:val="175224D1"/>
    <w:rsid w:val="17861225"/>
    <w:rsid w:val="17A61150"/>
    <w:rsid w:val="17DB7F17"/>
    <w:rsid w:val="180065DE"/>
    <w:rsid w:val="18040BE2"/>
    <w:rsid w:val="184C3CD0"/>
    <w:rsid w:val="18512847"/>
    <w:rsid w:val="18562E3A"/>
    <w:rsid w:val="18713064"/>
    <w:rsid w:val="189B6524"/>
    <w:rsid w:val="18B70996"/>
    <w:rsid w:val="18F56459"/>
    <w:rsid w:val="195C76F5"/>
    <w:rsid w:val="19772B02"/>
    <w:rsid w:val="19791E80"/>
    <w:rsid w:val="19C2772D"/>
    <w:rsid w:val="19C563F9"/>
    <w:rsid w:val="1A4E2C79"/>
    <w:rsid w:val="1A5B36E3"/>
    <w:rsid w:val="1A6E76E0"/>
    <w:rsid w:val="1AC45552"/>
    <w:rsid w:val="1AE6442F"/>
    <w:rsid w:val="1AE72562"/>
    <w:rsid w:val="1AFD7DD2"/>
    <w:rsid w:val="1B1172A3"/>
    <w:rsid w:val="1B1A3DC2"/>
    <w:rsid w:val="1B3D238A"/>
    <w:rsid w:val="1BA77E3C"/>
    <w:rsid w:val="1BE514FB"/>
    <w:rsid w:val="1C0E4FD7"/>
    <w:rsid w:val="1C1F2E00"/>
    <w:rsid w:val="1C385A98"/>
    <w:rsid w:val="1C3D7F62"/>
    <w:rsid w:val="1C5B59DF"/>
    <w:rsid w:val="1CAF2B6F"/>
    <w:rsid w:val="1CB83672"/>
    <w:rsid w:val="1CC70C64"/>
    <w:rsid w:val="1CCD47D1"/>
    <w:rsid w:val="1CE63000"/>
    <w:rsid w:val="1CF24185"/>
    <w:rsid w:val="1CF5372F"/>
    <w:rsid w:val="1D0330AF"/>
    <w:rsid w:val="1D4B5AB7"/>
    <w:rsid w:val="1D6F0EAA"/>
    <w:rsid w:val="1DBA2812"/>
    <w:rsid w:val="1DBA5E0C"/>
    <w:rsid w:val="1DE76E77"/>
    <w:rsid w:val="1DFA622C"/>
    <w:rsid w:val="1E2B7A27"/>
    <w:rsid w:val="1E413DFF"/>
    <w:rsid w:val="1E7FDB4B"/>
    <w:rsid w:val="1E9D7E62"/>
    <w:rsid w:val="1ED26B6B"/>
    <w:rsid w:val="1EE1004B"/>
    <w:rsid w:val="1F403D00"/>
    <w:rsid w:val="1F5E553F"/>
    <w:rsid w:val="1F754312"/>
    <w:rsid w:val="1FB73684"/>
    <w:rsid w:val="1FCB2C57"/>
    <w:rsid w:val="1FCD7C69"/>
    <w:rsid w:val="1FDE0E64"/>
    <w:rsid w:val="1FE1254C"/>
    <w:rsid w:val="1FF030A7"/>
    <w:rsid w:val="1FFD5D08"/>
    <w:rsid w:val="1FFF19CA"/>
    <w:rsid w:val="200118CD"/>
    <w:rsid w:val="204A5E21"/>
    <w:rsid w:val="204D5FEA"/>
    <w:rsid w:val="2092780F"/>
    <w:rsid w:val="20D34741"/>
    <w:rsid w:val="20FB17E4"/>
    <w:rsid w:val="21041B4F"/>
    <w:rsid w:val="212E107B"/>
    <w:rsid w:val="21661111"/>
    <w:rsid w:val="217A22CB"/>
    <w:rsid w:val="219405BB"/>
    <w:rsid w:val="219E55D3"/>
    <w:rsid w:val="21A97F88"/>
    <w:rsid w:val="21B5392E"/>
    <w:rsid w:val="22141A80"/>
    <w:rsid w:val="221A0B49"/>
    <w:rsid w:val="225D46D5"/>
    <w:rsid w:val="22BC414A"/>
    <w:rsid w:val="22DE5C37"/>
    <w:rsid w:val="230B288A"/>
    <w:rsid w:val="231E25BB"/>
    <w:rsid w:val="23474BA1"/>
    <w:rsid w:val="23522A46"/>
    <w:rsid w:val="23956A32"/>
    <w:rsid w:val="23B50BAC"/>
    <w:rsid w:val="23FF13A9"/>
    <w:rsid w:val="24043D2A"/>
    <w:rsid w:val="24085B1D"/>
    <w:rsid w:val="241C7C73"/>
    <w:rsid w:val="241E5CD3"/>
    <w:rsid w:val="244F06AA"/>
    <w:rsid w:val="246663ED"/>
    <w:rsid w:val="24671674"/>
    <w:rsid w:val="246D27B7"/>
    <w:rsid w:val="24926765"/>
    <w:rsid w:val="24B659C5"/>
    <w:rsid w:val="24CA7C09"/>
    <w:rsid w:val="24E61C66"/>
    <w:rsid w:val="24EB5A5A"/>
    <w:rsid w:val="250D6B57"/>
    <w:rsid w:val="25284887"/>
    <w:rsid w:val="258157FB"/>
    <w:rsid w:val="25BA0ADA"/>
    <w:rsid w:val="25D4692C"/>
    <w:rsid w:val="25D9195D"/>
    <w:rsid w:val="2602134E"/>
    <w:rsid w:val="262518DA"/>
    <w:rsid w:val="267D2399"/>
    <w:rsid w:val="268C70C4"/>
    <w:rsid w:val="26C3475A"/>
    <w:rsid w:val="26E03714"/>
    <w:rsid w:val="27330543"/>
    <w:rsid w:val="274243CE"/>
    <w:rsid w:val="27513464"/>
    <w:rsid w:val="27617FC1"/>
    <w:rsid w:val="27AA2ECC"/>
    <w:rsid w:val="27C10C81"/>
    <w:rsid w:val="27C6599E"/>
    <w:rsid w:val="287A53A0"/>
    <w:rsid w:val="289D60C5"/>
    <w:rsid w:val="28B5297E"/>
    <w:rsid w:val="290F02E0"/>
    <w:rsid w:val="2942746F"/>
    <w:rsid w:val="294A5EAA"/>
    <w:rsid w:val="29521123"/>
    <w:rsid w:val="296F408E"/>
    <w:rsid w:val="298C278E"/>
    <w:rsid w:val="29F24443"/>
    <w:rsid w:val="29FA4DB3"/>
    <w:rsid w:val="2A422342"/>
    <w:rsid w:val="2A6334FF"/>
    <w:rsid w:val="2A814865"/>
    <w:rsid w:val="2AC02B05"/>
    <w:rsid w:val="2AD22063"/>
    <w:rsid w:val="2ADE4A5A"/>
    <w:rsid w:val="2AEB2F44"/>
    <w:rsid w:val="2B580267"/>
    <w:rsid w:val="2B904518"/>
    <w:rsid w:val="2BF56177"/>
    <w:rsid w:val="2C043729"/>
    <w:rsid w:val="2C047EA4"/>
    <w:rsid w:val="2C446624"/>
    <w:rsid w:val="2C6A192D"/>
    <w:rsid w:val="2C763D78"/>
    <w:rsid w:val="2D062784"/>
    <w:rsid w:val="2D402581"/>
    <w:rsid w:val="2D564730"/>
    <w:rsid w:val="2D8B3AA8"/>
    <w:rsid w:val="2D8B5555"/>
    <w:rsid w:val="2DAC144D"/>
    <w:rsid w:val="2DDC73C4"/>
    <w:rsid w:val="2DE33931"/>
    <w:rsid w:val="2E0266F3"/>
    <w:rsid w:val="2E5E0013"/>
    <w:rsid w:val="2E6A207C"/>
    <w:rsid w:val="2E9277C7"/>
    <w:rsid w:val="2EB21CA2"/>
    <w:rsid w:val="2EBE3270"/>
    <w:rsid w:val="2EE97D1D"/>
    <w:rsid w:val="2F272951"/>
    <w:rsid w:val="303E3EDB"/>
    <w:rsid w:val="30750BCA"/>
    <w:rsid w:val="308F2696"/>
    <w:rsid w:val="30A43A04"/>
    <w:rsid w:val="30AF20B2"/>
    <w:rsid w:val="30C71A99"/>
    <w:rsid w:val="30D67AED"/>
    <w:rsid w:val="30E672E7"/>
    <w:rsid w:val="30F73308"/>
    <w:rsid w:val="30FC068C"/>
    <w:rsid w:val="30FF525B"/>
    <w:rsid w:val="3121636C"/>
    <w:rsid w:val="3128164D"/>
    <w:rsid w:val="31393D0B"/>
    <w:rsid w:val="31471305"/>
    <w:rsid w:val="31552F50"/>
    <w:rsid w:val="317F3A0E"/>
    <w:rsid w:val="318772B5"/>
    <w:rsid w:val="318B1795"/>
    <w:rsid w:val="318D5335"/>
    <w:rsid w:val="31CF708E"/>
    <w:rsid w:val="31D20CB8"/>
    <w:rsid w:val="32025F32"/>
    <w:rsid w:val="32190F15"/>
    <w:rsid w:val="32431F1A"/>
    <w:rsid w:val="324C7700"/>
    <w:rsid w:val="324E32ED"/>
    <w:rsid w:val="325A0134"/>
    <w:rsid w:val="32681759"/>
    <w:rsid w:val="329C72A4"/>
    <w:rsid w:val="32AF1CF9"/>
    <w:rsid w:val="32B32F52"/>
    <w:rsid w:val="32C55DBE"/>
    <w:rsid w:val="33351062"/>
    <w:rsid w:val="334A756F"/>
    <w:rsid w:val="33535654"/>
    <w:rsid w:val="335674D7"/>
    <w:rsid w:val="33631731"/>
    <w:rsid w:val="33647109"/>
    <w:rsid w:val="336809E1"/>
    <w:rsid w:val="33785864"/>
    <w:rsid w:val="33AC2E79"/>
    <w:rsid w:val="33F702EF"/>
    <w:rsid w:val="33FE4ED8"/>
    <w:rsid w:val="34276A20"/>
    <w:rsid w:val="347E7293"/>
    <w:rsid w:val="349E27E5"/>
    <w:rsid w:val="350A1211"/>
    <w:rsid w:val="35134CB4"/>
    <w:rsid w:val="358A706E"/>
    <w:rsid w:val="360266F6"/>
    <w:rsid w:val="3681649D"/>
    <w:rsid w:val="36914A2B"/>
    <w:rsid w:val="36E641B0"/>
    <w:rsid w:val="37135E71"/>
    <w:rsid w:val="37201D86"/>
    <w:rsid w:val="372E2279"/>
    <w:rsid w:val="37340B1D"/>
    <w:rsid w:val="373F4B97"/>
    <w:rsid w:val="37522F6F"/>
    <w:rsid w:val="376F21F9"/>
    <w:rsid w:val="37BA0680"/>
    <w:rsid w:val="37F401F0"/>
    <w:rsid w:val="38050F1D"/>
    <w:rsid w:val="381E4CFA"/>
    <w:rsid w:val="382328E4"/>
    <w:rsid w:val="386A05F6"/>
    <w:rsid w:val="3877602E"/>
    <w:rsid w:val="38776339"/>
    <w:rsid w:val="38821652"/>
    <w:rsid w:val="38C138B8"/>
    <w:rsid w:val="38C77E4D"/>
    <w:rsid w:val="38CB3825"/>
    <w:rsid w:val="38D31EFB"/>
    <w:rsid w:val="38EF1480"/>
    <w:rsid w:val="390B61E4"/>
    <w:rsid w:val="3940251A"/>
    <w:rsid w:val="394967D1"/>
    <w:rsid w:val="3961079B"/>
    <w:rsid w:val="39636DDD"/>
    <w:rsid w:val="39900FC9"/>
    <w:rsid w:val="39983296"/>
    <w:rsid w:val="399D7BBA"/>
    <w:rsid w:val="39A968A7"/>
    <w:rsid w:val="39AF7098"/>
    <w:rsid w:val="39DF4A9D"/>
    <w:rsid w:val="39E4143F"/>
    <w:rsid w:val="3A977B99"/>
    <w:rsid w:val="3A9C0161"/>
    <w:rsid w:val="3ABB4ABF"/>
    <w:rsid w:val="3ABF55C9"/>
    <w:rsid w:val="3AD11BC0"/>
    <w:rsid w:val="3AE5544D"/>
    <w:rsid w:val="3B07350D"/>
    <w:rsid w:val="3B146949"/>
    <w:rsid w:val="3B494567"/>
    <w:rsid w:val="3B786E57"/>
    <w:rsid w:val="3BF74D73"/>
    <w:rsid w:val="3C1956B5"/>
    <w:rsid w:val="3C470F01"/>
    <w:rsid w:val="3C7E4D09"/>
    <w:rsid w:val="3CB1039E"/>
    <w:rsid w:val="3CBC08FD"/>
    <w:rsid w:val="3CBE7ACF"/>
    <w:rsid w:val="3D2B5CCA"/>
    <w:rsid w:val="3D346109"/>
    <w:rsid w:val="3D3E7892"/>
    <w:rsid w:val="3D6A0C7C"/>
    <w:rsid w:val="3D6D7A89"/>
    <w:rsid w:val="3D7C1DDE"/>
    <w:rsid w:val="3D9E4EC8"/>
    <w:rsid w:val="3D9E6899"/>
    <w:rsid w:val="3DA84DBE"/>
    <w:rsid w:val="3DC56D68"/>
    <w:rsid w:val="3DF937E3"/>
    <w:rsid w:val="3E391C30"/>
    <w:rsid w:val="3E7734E0"/>
    <w:rsid w:val="3E951A15"/>
    <w:rsid w:val="3EAD2E3C"/>
    <w:rsid w:val="3EB968CD"/>
    <w:rsid w:val="3ED5122D"/>
    <w:rsid w:val="3F05402E"/>
    <w:rsid w:val="3F0F0C02"/>
    <w:rsid w:val="3FB67F14"/>
    <w:rsid w:val="3FBA9291"/>
    <w:rsid w:val="405A4613"/>
    <w:rsid w:val="4060397D"/>
    <w:rsid w:val="406552EC"/>
    <w:rsid w:val="40B30B18"/>
    <w:rsid w:val="40CF23D7"/>
    <w:rsid w:val="40D55514"/>
    <w:rsid w:val="411063A8"/>
    <w:rsid w:val="41226AE7"/>
    <w:rsid w:val="413309DD"/>
    <w:rsid w:val="418D1537"/>
    <w:rsid w:val="41BE0FAC"/>
    <w:rsid w:val="41D32337"/>
    <w:rsid w:val="41FF0A67"/>
    <w:rsid w:val="42064FC2"/>
    <w:rsid w:val="42141E62"/>
    <w:rsid w:val="425A6597"/>
    <w:rsid w:val="426452A3"/>
    <w:rsid w:val="42DD0C8B"/>
    <w:rsid w:val="43146368"/>
    <w:rsid w:val="431F2EC4"/>
    <w:rsid w:val="435C38A7"/>
    <w:rsid w:val="43A067A0"/>
    <w:rsid w:val="43AE495E"/>
    <w:rsid w:val="43E641E5"/>
    <w:rsid w:val="44550E45"/>
    <w:rsid w:val="4489684F"/>
    <w:rsid w:val="44CB58A8"/>
    <w:rsid w:val="44DF7562"/>
    <w:rsid w:val="45235D66"/>
    <w:rsid w:val="452D7DE1"/>
    <w:rsid w:val="454669E0"/>
    <w:rsid w:val="454D291D"/>
    <w:rsid w:val="4565162D"/>
    <w:rsid w:val="45735417"/>
    <w:rsid w:val="45A64DC3"/>
    <w:rsid w:val="45B9610A"/>
    <w:rsid w:val="45C5296F"/>
    <w:rsid w:val="45D93101"/>
    <w:rsid w:val="45DA5D0F"/>
    <w:rsid w:val="46884FF3"/>
    <w:rsid w:val="46923296"/>
    <w:rsid w:val="469E06AA"/>
    <w:rsid w:val="46A35290"/>
    <w:rsid w:val="46B20870"/>
    <w:rsid w:val="46BA1434"/>
    <w:rsid w:val="47237081"/>
    <w:rsid w:val="47242D51"/>
    <w:rsid w:val="475C6F0F"/>
    <w:rsid w:val="478550DE"/>
    <w:rsid w:val="479D11C6"/>
    <w:rsid w:val="47C36A0E"/>
    <w:rsid w:val="47E81371"/>
    <w:rsid w:val="482E0744"/>
    <w:rsid w:val="48747E82"/>
    <w:rsid w:val="48832BE0"/>
    <w:rsid w:val="488F6C58"/>
    <w:rsid w:val="48A84BA3"/>
    <w:rsid w:val="48F514A5"/>
    <w:rsid w:val="493F0230"/>
    <w:rsid w:val="496D1BA9"/>
    <w:rsid w:val="49717BBA"/>
    <w:rsid w:val="49B22896"/>
    <w:rsid w:val="49D11EAC"/>
    <w:rsid w:val="49F61ACB"/>
    <w:rsid w:val="49FA28DF"/>
    <w:rsid w:val="4A4675C3"/>
    <w:rsid w:val="4A4C5208"/>
    <w:rsid w:val="4A8927A6"/>
    <w:rsid w:val="4AC036E8"/>
    <w:rsid w:val="4AC760EA"/>
    <w:rsid w:val="4AD8632C"/>
    <w:rsid w:val="4B1C6B9E"/>
    <w:rsid w:val="4B2C243B"/>
    <w:rsid w:val="4B3B30DB"/>
    <w:rsid w:val="4B421DA5"/>
    <w:rsid w:val="4B4A5785"/>
    <w:rsid w:val="4B790CA2"/>
    <w:rsid w:val="4B98430C"/>
    <w:rsid w:val="4BA15B0C"/>
    <w:rsid w:val="4BA74373"/>
    <w:rsid w:val="4BC64573"/>
    <w:rsid w:val="4C16799F"/>
    <w:rsid w:val="4C2D3A30"/>
    <w:rsid w:val="4CA1354D"/>
    <w:rsid w:val="4CB64798"/>
    <w:rsid w:val="4CF91CC3"/>
    <w:rsid w:val="4D105E11"/>
    <w:rsid w:val="4D3337E2"/>
    <w:rsid w:val="4D3B0F38"/>
    <w:rsid w:val="4D455EF2"/>
    <w:rsid w:val="4D640BC1"/>
    <w:rsid w:val="4D810EB4"/>
    <w:rsid w:val="4D813228"/>
    <w:rsid w:val="4DC01F4B"/>
    <w:rsid w:val="4DFA07BB"/>
    <w:rsid w:val="4E166581"/>
    <w:rsid w:val="4E427551"/>
    <w:rsid w:val="4E6E3A66"/>
    <w:rsid w:val="4E7061A0"/>
    <w:rsid w:val="4EB03827"/>
    <w:rsid w:val="4ED04F5B"/>
    <w:rsid w:val="4EED094E"/>
    <w:rsid w:val="4F041DE6"/>
    <w:rsid w:val="4F5502A8"/>
    <w:rsid w:val="4F9D5310"/>
    <w:rsid w:val="4F9E292E"/>
    <w:rsid w:val="4FA727D4"/>
    <w:rsid w:val="4FFD681F"/>
    <w:rsid w:val="4FFFB038"/>
    <w:rsid w:val="500018BC"/>
    <w:rsid w:val="50011E81"/>
    <w:rsid w:val="50250266"/>
    <w:rsid w:val="504226CA"/>
    <w:rsid w:val="50C17863"/>
    <w:rsid w:val="50C64E79"/>
    <w:rsid w:val="50DE6667"/>
    <w:rsid w:val="50F10148"/>
    <w:rsid w:val="513C1731"/>
    <w:rsid w:val="515A0FD2"/>
    <w:rsid w:val="51660888"/>
    <w:rsid w:val="5181579E"/>
    <w:rsid w:val="51A83299"/>
    <w:rsid w:val="52036385"/>
    <w:rsid w:val="52065E75"/>
    <w:rsid w:val="521C656E"/>
    <w:rsid w:val="52224331"/>
    <w:rsid w:val="5227238D"/>
    <w:rsid w:val="523C2BCA"/>
    <w:rsid w:val="52941952"/>
    <w:rsid w:val="52D198D2"/>
    <w:rsid w:val="52E635B0"/>
    <w:rsid w:val="536B290F"/>
    <w:rsid w:val="537930FC"/>
    <w:rsid w:val="53AC6653"/>
    <w:rsid w:val="53FA37B7"/>
    <w:rsid w:val="54097D48"/>
    <w:rsid w:val="540B7534"/>
    <w:rsid w:val="542B04BF"/>
    <w:rsid w:val="54764ED6"/>
    <w:rsid w:val="548A09C2"/>
    <w:rsid w:val="54F56B06"/>
    <w:rsid w:val="552D6CE0"/>
    <w:rsid w:val="55432854"/>
    <w:rsid w:val="554967A4"/>
    <w:rsid w:val="55ED5354"/>
    <w:rsid w:val="5626557A"/>
    <w:rsid w:val="56312D95"/>
    <w:rsid w:val="56723AD9"/>
    <w:rsid w:val="567C0D81"/>
    <w:rsid w:val="567D5FDA"/>
    <w:rsid w:val="571563F0"/>
    <w:rsid w:val="575213BF"/>
    <w:rsid w:val="577C77EE"/>
    <w:rsid w:val="57B27CEE"/>
    <w:rsid w:val="57E91B79"/>
    <w:rsid w:val="57FB21B7"/>
    <w:rsid w:val="57FB4603"/>
    <w:rsid w:val="58444534"/>
    <w:rsid w:val="58767185"/>
    <w:rsid w:val="58F06C5F"/>
    <w:rsid w:val="58F8777F"/>
    <w:rsid w:val="594B6385"/>
    <w:rsid w:val="59606E1A"/>
    <w:rsid w:val="59610F3C"/>
    <w:rsid w:val="59625723"/>
    <w:rsid w:val="596F3F43"/>
    <w:rsid w:val="597715CC"/>
    <w:rsid w:val="5A1C3AC5"/>
    <w:rsid w:val="5A273430"/>
    <w:rsid w:val="5A8B6567"/>
    <w:rsid w:val="5A8D599C"/>
    <w:rsid w:val="5A9304C2"/>
    <w:rsid w:val="5AD602D0"/>
    <w:rsid w:val="5AE96331"/>
    <w:rsid w:val="5AFB0056"/>
    <w:rsid w:val="5B036543"/>
    <w:rsid w:val="5B264E92"/>
    <w:rsid w:val="5B6B1EF9"/>
    <w:rsid w:val="5B7148DE"/>
    <w:rsid w:val="5B9577A4"/>
    <w:rsid w:val="5BB82F9C"/>
    <w:rsid w:val="5BC0067F"/>
    <w:rsid w:val="5BFF5C30"/>
    <w:rsid w:val="5C0E6052"/>
    <w:rsid w:val="5C2E5C4B"/>
    <w:rsid w:val="5CE172C2"/>
    <w:rsid w:val="5CFD7403"/>
    <w:rsid w:val="5D0E6E6F"/>
    <w:rsid w:val="5D27015D"/>
    <w:rsid w:val="5D36061C"/>
    <w:rsid w:val="5D613219"/>
    <w:rsid w:val="5DD32BF7"/>
    <w:rsid w:val="5E3A7745"/>
    <w:rsid w:val="5E582E8C"/>
    <w:rsid w:val="5E7A5CD0"/>
    <w:rsid w:val="5EB80508"/>
    <w:rsid w:val="5ED60B1C"/>
    <w:rsid w:val="5EDE4267"/>
    <w:rsid w:val="5F5435B3"/>
    <w:rsid w:val="5F5E65E2"/>
    <w:rsid w:val="5F7B4C5E"/>
    <w:rsid w:val="5FBA1C7F"/>
    <w:rsid w:val="5FFF5D67"/>
    <w:rsid w:val="60006884"/>
    <w:rsid w:val="602A7314"/>
    <w:rsid w:val="607853FD"/>
    <w:rsid w:val="608B0080"/>
    <w:rsid w:val="608E2C7F"/>
    <w:rsid w:val="60ED2175"/>
    <w:rsid w:val="612F7066"/>
    <w:rsid w:val="61393413"/>
    <w:rsid w:val="61410811"/>
    <w:rsid w:val="615A2F22"/>
    <w:rsid w:val="619E7B58"/>
    <w:rsid w:val="61C2304A"/>
    <w:rsid w:val="61DA389B"/>
    <w:rsid w:val="61F53F91"/>
    <w:rsid w:val="62017CD5"/>
    <w:rsid w:val="62082F3C"/>
    <w:rsid w:val="620B5EB0"/>
    <w:rsid w:val="622938A5"/>
    <w:rsid w:val="623D32A4"/>
    <w:rsid w:val="62557A45"/>
    <w:rsid w:val="6269266B"/>
    <w:rsid w:val="62985900"/>
    <w:rsid w:val="629F4D22"/>
    <w:rsid w:val="62D4771E"/>
    <w:rsid w:val="62D65FCB"/>
    <w:rsid w:val="62DE6B35"/>
    <w:rsid w:val="63200B87"/>
    <w:rsid w:val="63836D2F"/>
    <w:rsid w:val="63C93B0F"/>
    <w:rsid w:val="63C9592A"/>
    <w:rsid w:val="63DC25A9"/>
    <w:rsid w:val="63DF6B1A"/>
    <w:rsid w:val="63F9292C"/>
    <w:rsid w:val="64484D7D"/>
    <w:rsid w:val="644C495D"/>
    <w:rsid w:val="64530827"/>
    <w:rsid w:val="647158EB"/>
    <w:rsid w:val="64986E00"/>
    <w:rsid w:val="64B45608"/>
    <w:rsid w:val="65203492"/>
    <w:rsid w:val="6547121B"/>
    <w:rsid w:val="6549634D"/>
    <w:rsid w:val="658355A1"/>
    <w:rsid w:val="65BC21E0"/>
    <w:rsid w:val="65CB39C1"/>
    <w:rsid w:val="66032C5F"/>
    <w:rsid w:val="661D72F9"/>
    <w:rsid w:val="664647F4"/>
    <w:rsid w:val="666558F7"/>
    <w:rsid w:val="66C82224"/>
    <w:rsid w:val="66DB5EC0"/>
    <w:rsid w:val="66EE6C6C"/>
    <w:rsid w:val="67120469"/>
    <w:rsid w:val="67725A6C"/>
    <w:rsid w:val="678069F0"/>
    <w:rsid w:val="678B64F1"/>
    <w:rsid w:val="67F307F2"/>
    <w:rsid w:val="68547A2D"/>
    <w:rsid w:val="685E422D"/>
    <w:rsid w:val="6862421E"/>
    <w:rsid w:val="68AA1EC4"/>
    <w:rsid w:val="68C46AF0"/>
    <w:rsid w:val="68D87BAD"/>
    <w:rsid w:val="69403BFF"/>
    <w:rsid w:val="69404428"/>
    <w:rsid w:val="697D3697"/>
    <w:rsid w:val="6A0E7DFC"/>
    <w:rsid w:val="6A185A1C"/>
    <w:rsid w:val="6A5316ED"/>
    <w:rsid w:val="6A8676FB"/>
    <w:rsid w:val="6AA87672"/>
    <w:rsid w:val="6B0E5F33"/>
    <w:rsid w:val="6B316C7D"/>
    <w:rsid w:val="6B7A68DE"/>
    <w:rsid w:val="6B942112"/>
    <w:rsid w:val="6BA914A8"/>
    <w:rsid w:val="6BA92274"/>
    <w:rsid w:val="6BDE1078"/>
    <w:rsid w:val="6C515AE7"/>
    <w:rsid w:val="6C97799E"/>
    <w:rsid w:val="6CA11693"/>
    <w:rsid w:val="6CA6202F"/>
    <w:rsid w:val="6CAC1493"/>
    <w:rsid w:val="6CAD5413"/>
    <w:rsid w:val="6CD7380D"/>
    <w:rsid w:val="6CE10C19"/>
    <w:rsid w:val="6D201119"/>
    <w:rsid w:val="6D2D2217"/>
    <w:rsid w:val="6D4C7925"/>
    <w:rsid w:val="6D5A6403"/>
    <w:rsid w:val="6D5C06AE"/>
    <w:rsid w:val="6D67668E"/>
    <w:rsid w:val="6DED03D4"/>
    <w:rsid w:val="6DF337EC"/>
    <w:rsid w:val="6E0A5936"/>
    <w:rsid w:val="6E473FCD"/>
    <w:rsid w:val="6EC752B0"/>
    <w:rsid w:val="6ECB6F9F"/>
    <w:rsid w:val="6ED9295C"/>
    <w:rsid w:val="6EF750C9"/>
    <w:rsid w:val="6F252AAD"/>
    <w:rsid w:val="6F255735"/>
    <w:rsid w:val="6F4A519B"/>
    <w:rsid w:val="6F64527E"/>
    <w:rsid w:val="6FA47EE8"/>
    <w:rsid w:val="6FA973ED"/>
    <w:rsid w:val="6FBB387F"/>
    <w:rsid w:val="705F3231"/>
    <w:rsid w:val="70607A2D"/>
    <w:rsid w:val="70650505"/>
    <w:rsid w:val="70651D96"/>
    <w:rsid w:val="707304F0"/>
    <w:rsid w:val="70B84AFB"/>
    <w:rsid w:val="70BE7F18"/>
    <w:rsid w:val="70DA6087"/>
    <w:rsid w:val="70FA04FB"/>
    <w:rsid w:val="7149574D"/>
    <w:rsid w:val="718212CE"/>
    <w:rsid w:val="718F575C"/>
    <w:rsid w:val="719D5C47"/>
    <w:rsid w:val="71D14FAE"/>
    <w:rsid w:val="71D528FA"/>
    <w:rsid w:val="723A6993"/>
    <w:rsid w:val="725620A9"/>
    <w:rsid w:val="72A7693A"/>
    <w:rsid w:val="72B9172D"/>
    <w:rsid w:val="72BC1E8C"/>
    <w:rsid w:val="72D12DD4"/>
    <w:rsid w:val="733013C5"/>
    <w:rsid w:val="733A0AD9"/>
    <w:rsid w:val="735E6A2E"/>
    <w:rsid w:val="738E3E5B"/>
    <w:rsid w:val="73C43D75"/>
    <w:rsid w:val="73F82B74"/>
    <w:rsid w:val="741B476E"/>
    <w:rsid w:val="74593A1A"/>
    <w:rsid w:val="74C268A7"/>
    <w:rsid w:val="74E035BA"/>
    <w:rsid w:val="74EA3DFA"/>
    <w:rsid w:val="75525136"/>
    <w:rsid w:val="7575450C"/>
    <w:rsid w:val="757A1BBB"/>
    <w:rsid w:val="75914E8A"/>
    <w:rsid w:val="75AF6610"/>
    <w:rsid w:val="75B86FA7"/>
    <w:rsid w:val="75D5241C"/>
    <w:rsid w:val="75F568E6"/>
    <w:rsid w:val="76000750"/>
    <w:rsid w:val="76020C18"/>
    <w:rsid w:val="76262768"/>
    <w:rsid w:val="762A1EF8"/>
    <w:rsid w:val="769D790F"/>
    <w:rsid w:val="76B03266"/>
    <w:rsid w:val="76C95286"/>
    <w:rsid w:val="76EE4DCC"/>
    <w:rsid w:val="77232D4C"/>
    <w:rsid w:val="773A3F7D"/>
    <w:rsid w:val="774921A7"/>
    <w:rsid w:val="77493F8A"/>
    <w:rsid w:val="778F745B"/>
    <w:rsid w:val="77937168"/>
    <w:rsid w:val="77FD4F1F"/>
    <w:rsid w:val="78356E3D"/>
    <w:rsid w:val="783A38D3"/>
    <w:rsid w:val="783C76EC"/>
    <w:rsid w:val="78812137"/>
    <w:rsid w:val="78B1091B"/>
    <w:rsid w:val="78B61821"/>
    <w:rsid w:val="78B7156B"/>
    <w:rsid w:val="78CD5BE3"/>
    <w:rsid w:val="78F63C9E"/>
    <w:rsid w:val="793643CF"/>
    <w:rsid w:val="79571192"/>
    <w:rsid w:val="795B5254"/>
    <w:rsid w:val="795FE52D"/>
    <w:rsid w:val="79D02741"/>
    <w:rsid w:val="79EB12BD"/>
    <w:rsid w:val="7A3C0679"/>
    <w:rsid w:val="7AAC6D0A"/>
    <w:rsid w:val="7AC77DFB"/>
    <w:rsid w:val="7ACD41A8"/>
    <w:rsid w:val="7AD674D4"/>
    <w:rsid w:val="7AD735DD"/>
    <w:rsid w:val="7ADB2D19"/>
    <w:rsid w:val="7AEF0BC9"/>
    <w:rsid w:val="7B302FF9"/>
    <w:rsid w:val="7B527202"/>
    <w:rsid w:val="7B6F0238"/>
    <w:rsid w:val="7B7A34C4"/>
    <w:rsid w:val="7BA23C69"/>
    <w:rsid w:val="7BC804C0"/>
    <w:rsid w:val="7BE90D12"/>
    <w:rsid w:val="7BFD268B"/>
    <w:rsid w:val="7C5B1EE7"/>
    <w:rsid w:val="7C5D7A84"/>
    <w:rsid w:val="7C65742C"/>
    <w:rsid w:val="7C71658F"/>
    <w:rsid w:val="7C985069"/>
    <w:rsid w:val="7D010CB5"/>
    <w:rsid w:val="7D2A2F98"/>
    <w:rsid w:val="7D3E4628"/>
    <w:rsid w:val="7D561758"/>
    <w:rsid w:val="7D5771EF"/>
    <w:rsid w:val="7D5B7A91"/>
    <w:rsid w:val="7DA92B63"/>
    <w:rsid w:val="7DAE4DB7"/>
    <w:rsid w:val="7DBA3708"/>
    <w:rsid w:val="7DCF4714"/>
    <w:rsid w:val="7DD91E91"/>
    <w:rsid w:val="7DDD542C"/>
    <w:rsid w:val="7DDE6F1F"/>
    <w:rsid w:val="7DEF2E3B"/>
    <w:rsid w:val="7DF05927"/>
    <w:rsid w:val="7DFFA33C"/>
    <w:rsid w:val="7E2801E5"/>
    <w:rsid w:val="7E3C152F"/>
    <w:rsid w:val="7E436780"/>
    <w:rsid w:val="7E935395"/>
    <w:rsid w:val="7EBFA113"/>
    <w:rsid w:val="7EF4992D"/>
    <w:rsid w:val="7F2B1476"/>
    <w:rsid w:val="7F571DBD"/>
    <w:rsid w:val="7F6244B6"/>
    <w:rsid w:val="7F7C6557"/>
    <w:rsid w:val="7FAD88CF"/>
    <w:rsid w:val="7FB1091F"/>
    <w:rsid w:val="7FE82B2E"/>
    <w:rsid w:val="7FF80366"/>
    <w:rsid w:val="7FFA444C"/>
    <w:rsid w:val="7FFB2A2C"/>
    <w:rsid w:val="7FFD20D5"/>
    <w:rsid w:val="977F9800"/>
    <w:rsid w:val="9AF7605C"/>
    <w:rsid w:val="9FFEF9BC"/>
    <w:rsid w:val="9FFFCA1D"/>
    <w:rsid w:val="B7DF8A34"/>
    <w:rsid w:val="B9FF05DA"/>
    <w:rsid w:val="BCF59323"/>
    <w:rsid w:val="BFFE209B"/>
    <w:rsid w:val="C9A47853"/>
    <w:rsid w:val="D7DF197A"/>
    <w:rsid w:val="DDBF7633"/>
    <w:rsid w:val="DEFF8DAD"/>
    <w:rsid w:val="DF47DC59"/>
    <w:rsid w:val="E5DB4F1B"/>
    <w:rsid w:val="EB7FBD9B"/>
    <w:rsid w:val="EF7751D5"/>
    <w:rsid w:val="F1FD95E6"/>
    <w:rsid w:val="F37A990C"/>
    <w:rsid w:val="F4048375"/>
    <w:rsid w:val="F5FF9B94"/>
    <w:rsid w:val="F7E3C6CE"/>
    <w:rsid w:val="FBFFDDD2"/>
    <w:rsid w:val="FCFB342C"/>
    <w:rsid w:val="FCFE354C"/>
    <w:rsid w:val="FD251BB7"/>
    <w:rsid w:val="FD7FCC71"/>
    <w:rsid w:val="FD9E9807"/>
    <w:rsid w:val="FF7BCCCF"/>
    <w:rsid w:val="FF9D06E5"/>
    <w:rsid w:val="FFDEFFEB"/>
    <w:rsid w:val="FFFB88F8"/>
    <w:rsid w:val="FFFE1401"/>
    <w:rsid w:val="FFFF91B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iPriority="39" w:name="toc 6"/>
    <w:lsdException w:qFormat="1" w:unhideWhenUsed="0" w:uiPriority="0" w:semiHidden="0" w:name="toc 7"/>
    <w:lsdException w:qFormat="1" w:unhideWhenUsed="0" w:uiPriority="0" w:name="toc 8"/>
    <w:lsdException w:uiPriority="39" w:name="toc 9"/>
    <w:lsdException w:qFormat="1" w:unhideWhenUsed="0" w:uiPriority="0"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qFormat="1" w:uiPriority="0" w:semiHidden="0" w:name="table of figures"/>
    <w:lsdException w:uiPriority="0" w:name="envelope address"/>
    <w:lsdException w:uiPriority="0" w:name="envelope return"/>
    <w:lsdException w:qFormat="1" w:uiPriority="99"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qFormat="1" w:unhideWhenUsed="0"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pPr>
    <w:rPr>
      <w:rFonts w:ascii="Times New Roman" w:hAnsi="Times New Roman" w:eastAsia="微软雅黑" w:cs="Times New Roman"/>
      <w:kern w:val="2"/>
      <w:sz w:val="21"/>
      <w:szCs w:val="24"/>
      <w:lang w:val="en-US" w:eastAsia="zh-CN" w:bidi="ar-SA"/>
    </w:rPr>
  </w:style>
  <w:style w:type="paragraph" w:styleId="2">
    <w:name w:val="heading 1"/>
    <w:basedOn w:val="1"/>
    <w:next w:val="3"/>
    <w:link w:val="66"/>
    <w:qFormat/>
    <w:uiPriority w:val="9"/>
    <w:pPr>
      <w:keepNext/>
      <w:keepLines/>
      <w:ind w:firstLine="0" w:firstLineChars="0"/>
      <w:jc w:val="center"/>
      <w:outlineLvl w:val="0"/>
    </w:pPr>
    <w:rPr>
      <w:b/>
      <w:bCs/>
      <w:kern w:val="44"/>
      <w:sz w:val="24"/>
      <w:szCs w:val="44"/>
    </w:rPr>
  </w:style>
  <w:style w:type="paragraph" w:styleId="4">
    <w:name w:val="heading 2"/>
    <w:basedOn w:val="1"/>
    <w:next w:val="1"/>
    <w:link w:val="154"/>
    <w:qFormat/>
    <w:uiPriority w:val="9"/>
    <w:pPr>
      <w:keepNext/>
      <w:adjustRightInd w:val="0"/>
      <w:snapToGrid w:val="0"/>
      <w:textAlignment w:val="baseline"/>
      <w:outlineLvl w:val="1"/>
    </w:pPr>
    <w:rPr>
      <w:rFonts w:ascii="仿宋_GB2312" w:hAnsi="仿宋_GB2312"/>
      <w:b/>
      <w:kern w:val="0"/>
      <w:szCs w:val="20"/>
    </w:rPr>
  </w:style>
  <w:style w:type="paragraph" w:styleId="5">
    <w:name w:val="heading 3"/>
    <w:basedOn w:val="1"/>
    <w:next w:val="6"/>
    <w:link w:val="68"/>
    <w:qFormat/>
    <w:uiPriority w:val="0"/>
    <w:pPr>
      <w:keepNext/>
      <w:keepLines/>
      <w:ind w:firstLine="602"/>
      <w:outlineLvl w:val="2"/>
    </w:pPr>
    <w:rPr>
      <w:rFonts w:ascii="仿宋_GB2312" w:hAnsi="仿宋_GB2312"/>
      <w:bCs/>
      <w:szCs w:val="20"/>
    </w:rPr>
  </w:style>
  <w:style w:type="paragraph" w:styleId="7">
    <w:name w:val="heading 4"/>
    <w:basedOn w:val="1"/>
    <w:next w:val="1"/>
    <w:link w:val="67"/>
    <w:qFormat/>
    <w:uiPriority w:val="0"/>
    <w:pPr>
      <w:keepNext/>
      <w:keepLines/>
      <w:outlineLvl w:val="3"/>
    </w:pPr>
    <w:rPr>
      <w:rFonts w:ascii="等线 Light" w:hAnsi="等线 Light"/>
      <w:b/>
      <w:bCs/>
      <w:szCs w:val="28"/>
    </w:rPr>
  </w:style>
  <w:style w:type="paragraph" w:styleId="8">
    <w:name w:val="heading 5"/>
    <w:basedOn w:val="1"/>
    <w:next w:val="1"/>
    <w:link w:val="149"/>
    <w:qFormat/>
    <w:uiPriority w:val="0"/>
    <w:pPr>
      <w:keepNext/>
      <w:keepLines/>
      <w:outlineLvl w:val="4"/>
    </w:pPr>
    <w:rPr>
      <w:b/>
      <w:bCs/>
      <w:szCs w:val="28"/>
    </w:rPr>
  </w:style>
  <w:style w:type="paragraph" w:styleId="9">
    <w:name w:val="heading 6"/>
    <w:basedOn w:val="1"/>
    <w:next w:val="1"/>
    <w:link w:val="150"/>
    <w:qFormat/>
    <w:uiPriority w:val="0"/>
    <w:pPr>
      <w:keepNext/>
      <w:keepLines/>
      <w:spacing w:before="240" w:after="64" w:line="320" w:lineRule="auto"/>
      <w:outlineLvl w:val="5"/>
    </w:pPr>
    <w:rPr>
      <w:rFonts w:ascii="Arial" w:hAnsi="Arial" w:eastAsia="黑体"/>
      <w:b/>
      <w:bCs/>
      <w:sz w:val="24"/>
      <w:szCs w:val="20"/>
    </w:rPr>
  </w:style>
  <w:style w:type="paragraph" w:styleId="10">
    <w:name w:val="heading 7"/>
    <w:basedOn w:val="1"/>
    <w:next w:val="1"/>
    <w:link w:val="151"/>
    <w:qFormat/>
    <w:uiPriority w:val="0"/>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11">
    <w:name w:val="heading 8"/>
    <w:basedOn w:val="1"/>
    <w:next w:val="1"/>
    <w:link w:val="15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53"/>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8">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customStyle="1" w:styleId="3">
    <w:name w:val="正"/>
    <w:qFormat/>
    <w:uiPriority w:val="0"/>
    <w:pPr>
      <w:widowControl w:val="0"/>
      <w:spacing w:line="360" w:lineRule="auto"/>
      <w:ind w:firstLine="480" w:firstLineChars="200"/>
      <w:contextualSpacing/>
      <w:jc w:val="both"/>
    </w:pPr>
    <w:rPr>
      <w:rFonts w:ascii="Times New Roman" w:hAnsi="Times New Roman" w:eastAsia="宋体" w:cs="Times New Roman"/>
      <w:sz w:val="24"/>
      <w:szCs w:val="24"/>
      <w:lang w:val="en-US" w:eastAsia="zh-CN" w:bidi="ar-SA"/>
    </w:rPr>
  </w:style>
  <w:style w:type="paragraph" w:styleId="6">
    <w:name w:val="Normal Indent"/>
    <w:basedOn w:val="1"/>
    <w:link w:val="72"/>
    <w:qFormat/>
    <w:uiPriority w:val="0"/>
    <w:pPr>
      <w:ind w:firstLine="420"/>
    </w:pPr>
    <w:rPr>
      <w:szCs w:val="20"/>
    </w:rPr>
  </w:style>
  <w:style w:type="paragraph" w:styleId="13">
    <w:name w:val="toc 7"/>
    <w:basedOn w:val="1"/>
    <w:next w:val="1"/>
    <w:qFormat/>
    <w:uiPriority w:val="0"/>
    <w:pPr>
      <w:adjustRightInd w:val="0"/>
      <w:spacing w:line="240" w:lineRule="auto"/>
      <w:ind w:left="2520" w:leftChars="1200" w:firstLine="0" w:firstLineChars="0"/>
      <w:jc w:val="both"/>
    </w:pPr>
    <w:rPr>
      <w:rFonts w:eastAsia="宋体"/>
    </w:rPr>
  </w:style>
  <w:style w:type="paragraph" w:styleId="14">
    <w:name w:val="List Number"/>
    <w:basedOn w:val="1"/>
    <w:qFormat/>
    <w:uiPriority w:val="0"/>
    <w:pPr>
      <w:widowControl/>
      <w:numPr>
        <w:ilvl w:val="0"/>
        <w:numId w:val="1"/>
      </w:numPr>
      <w:tabs>
        <w:tab w:val="left" w:pos="454"/>
      </w:tabs>
      <w:spacing w:afterLines="50"/>
      <w:ind w:left="454" w:hanging="284"/>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List Bullet"/>
    <w:basedOn w:val="1"/>
    <w:qFormat/>
    <w:uiPriority w:val="0"/>
    <w:pPr>
      <w:widowControl/>
      <w:tabs>
        <w:tab w:val="left" w:pos="900"/>
      </w:tabs>
      <w:spacing w:before="100" w:beforeAutospacing="1" w:afterLines="50" w:afterAutospacing="1"/>
      <w:ind w:left="900" w:hanging="420"/>
    </w:pPr>
    <w:rPr>
      <w:kern w:val="0"/>
      <w:szCs w:val="20"/>
    </w:rPr>
  </w:style>
  <w:style w:type="paragraph" w:styleId="17">
    <w:name w:val="Document Map"/>
    <w:basedOn w:val="1"/>
    <w:link w:val="219"/>
    <w:semiHidden/>
    <w:qFormat/>
    <w:uiPriority w:val="0"/>
    <w:pPr>
      <w:shd w:val="clear" w:color="auto" w:fill="000080"/>
    </w:pPr>
  </w:style>
  <w:style w:type="paragraph" w:styleId="18">
    <w:name w:val="annotation text"/>
    <w:basedOn w:val="1"/>
    <w:link w:val="74"/>
    <w:qFormat/>
    <w:uiPriority w:val="99"/>
    <w:rPr>
      <w:szCs w:val="21"/>
    </w:rPr>
  </w:style>
  <w:style w:type="paragraph" w:styleId="19">
    <w:name w:val="Body Text 3"/>
    <w:basedOn w:val="1"/>
    <w:link w:val="75"/>
    <w:qFormat/>
    <w:uiPriority w:val="0"/>
    <w:pPr>
      <w:spacing w:after="120"/>
    </w:pPr>
    <w:rPr>
      <w:sz w:val="16"/>
      <w:szCs w:val="16"/>
    </w:rPr>
  </w:style>
  <w:style w:type="paragraph" w:styleId="20">
    <w:name w:val="Body Text"/>
    <w:basedOn w:val="1"/>
    <w:next w:val="21"/>
    <w:link w:val="71"/>
    <w:qFormat/>
    <w:uiPriority w:val="0"/>
    <w:pPr>
      <w:spacing w:after="120"/>
    </w:pPr>
  </w:style>
  <w:style w:type="paragraph" w:styleId="21">
    <w:name w:val="Body Text First Indent"/>
    <w:basedOn w:val="20"/>
    <w:next w:val="1"/>
    <w:link w:val="217"/>
    <w:qFormat/>
    <w:uiPriority w:val="0"/>
    <w:pPr>
      <w:ind w:firstLine="200"/>
    </w:pPr>
    <w:rPr>
      <w:rFonts w:asciiTheme="minorHAnsi" w:hAnsiTheme="minorHAnsi" w:eastAsiaTheme="minorEastAsia" w:cstheme="minorBidi"/>
      <w:bCs/>
      <w:sz w:val="24"/>
    </w:rPr>
  </w:style>
  <w:style w:type="paragraph" w:styleId="22">
    <w:name w:val="Body Text Indent"/>
    <w:basedOn w:val="1"/>
    <w:link w:val="76"/>
    <w:qFormat/>
    <w:uiPriority w:val="99"/>
    <w:pPr>
      <w:spacing w:line="200" w:lineRule="exact"/>
      <w:ind w:firstLine="301"/>
    </w:pPr>
    <w:rPr>
      <w:rFonts w:ascii="宋体" w:hAnsi="Courier New"/>
      <w:spacing w:val="-4"/>
      <w:sz w:val="18"/>
      <w:szCs w:val="20"/>
    </w:rPr>
  </w:style>
  <w:style w:type="paragraph" w:styleId="23">
    <w:name w:val="List Number 3"/>
    <w:basedOn w:val="1"/>
    <w:qFormat/>
    <w:uiPriority w:val="0"/>
    <w:pPr>
      <w:numPr>
        <w:ilvl w:val="0"/>
        <w:numId w:val="2"/>
      </w:numPr>
    </w:pPr>
  </w:style>
  <w:style w:type="paragraph" w:styleId="24">
    <w:name w:val="List 2"/>
    <w:basedOn w:val="1"/>
    <w:qFormat/>
    <w:uiPriority w:val="0"/>
    <w:pPr>
      <w:ind w:left="566" w:hanging="283"/>
      <w:contextualSpacing/>
    </w:pPr>
  </w:style>
  <w:style w:type="paragraph" w:styleId="25">
    <w:name w:val="Block Text"/>
    <w:basedOn w:val="1"/>
    <w:qFormat/>
    <w:uiPriority w:val="0"/>
    <w:pPr>
      <w:spacing w:before="120"/>
      <w:ind w:left="824" w:right="202" w:firstLine="0" w:firstLineChars="0"/>
      <w:jc w:val="both"/>
    </w:pPr>
    <w:rPr>
      <w:rFonts w:ascii="宋体" w:eastAsia="宋体"/>
      <w:sz w:val="24"/>
      <w:szCs w:val="21"/>
    </w:rPr>
  </w:style>
  <w:style w:type="paragraph" w:styleId="26">
    <w:name w:val="List Bullet 2"/>
    <w:basedOn w:val="1"/>
    <w:qFormat/>
    <w:uiPriority w:val="0"/>
    <w:pPr>
      <w:tabs>
        <w:tab w:val="left" w:pos="360"/>
        <w:tab w:val="left" w:pos="1191"/>
      </w:tabs>
      <w:snapToGrid w:val="0"/>
      <w:ind w:left="482" w:hanging="482" w:hangingChars="200"/>
    </w:pPr>
    <w:rPr>
      <w:b/>
      <w:bCs/>
      <w:sz w:val="24"/>
      <w:szCs w:val="32"/>
    </w:rPr>
  </w:style>
  <w:style w:type="paragraph" w:styleId="27">
    <w:name w:val="index 4"/>
    <w:basedOn w:val="1"/>
    <w:next w:val="1"/>
    <w:qFormat/>
    <w:uiPriority w:val="0"/>
    <w:pPr>
      <w:ind w:left="600" w:leftChars="600"/>
    </w:pPr>
    <w:rPr>
      <w:rFonts w:ascii="Verdana" w:hAnsi="Verdana" w:eastAsia="宋体"/>
      <w:kern w:val="0"/>
      <w:sz w:val="20"/>
      <w:szCs w:val="20"/>
    </w:rPr>
  </w:style>
  <w:style w:type="paragraph" w:styleId="28">
    <w:name w:val="toc 5"/>
    <w:basedOn w:val="1"/>
    <w:next w:val="1"/>
    <w:semiHidden/>
    <w:qFormat/>
    <w:uiPriority w:val="0"/>
    <w:pPr>
      <w:spacing w:afterLines="50"/>
      <w:ind w:left="840"/>
    </w:pPr>
    <w:rPr>
      <w:snapToGrid w:val="0"/>
      <w:kern w:val="0"/>
      <w:sz w:val="18"/>
      <w:szCs w:val="18"/>
    </w:rPr>
  </w:style>
  <w:style w:type="paragraph" w:styleId="29">
    <w:name w:val="toc 3"/>
    <w:basedOn w:val="1"/>
    <w:next w:val="1"/>
    <w:qFormat/>
    <w:uiPriority w:val="39"/>
    <w:pPr>
      <w:tabs>
        <w:tab w:val="right" w:leader="dot" w:pos="8296"/>
      </w:tabs>
    </w:pPr>
    <w:rPr>
      <w:b/>
      <w:bCs/>
      <w:iCs/>
    </w:rPr>
  </w:style>
  <w:style w:type="paragraph" w:styleId="30">
    <w:name w:val="Plain Text"/>
    <w:basedOn w:val="1"/>
    <w:link w:val="79"/>
    <w:qFormat/>
    <w:uiPriority w:val="0"/>
    <w:rPr>
      <w:rFonts w:ascii="宋体" w:hAnsi="Courier New"/>
      <w:szCs w:val="20"/>
    </w:rPr>
  </w:style>
  <w:style w:type="paragraph" w:styleId="31">
    <w:name w:val="toc 8"/>
    <w:basedOn w:val="1"/>
    <w:next w:val="1"/>
    <w:semiHidden/>
    <w:qFormat/>
    <w:uiPriority w:val="0"/>
    <w:pPr>
      <w:spacing w:afterLines="50"/>
      <w:ind w:left="1470"/>
    </w:pPr>
    <w:rPr>
      <w:snapToGrid w:val="0"/>
      <w:kern w:val="0"/>
      <w:sz w:val="18"/>
      <w:szCs w:val="18"/>
    </w:rPr>
  </w:style>
  <w:style w:type="paragraph" w:styleId="32">
    <w:name w:val="Date"/>
    <w:basedOn w:val="1"/>
    <w:next w:val="1"/>
    <w:link w:val="81"/>
    <w:qFormat/>
    <w:uiPriority w:val="0"/>
    <w:pPr>
      <w:ind w:left="2500" w:leftChars="2500"/>
    </w:pPr>
    <w:rPr>
      <w:rFonts w:eastAsia="楷体_GB2312"/>
      <w:sz w:val="32"/>
      <w:szCs w:val="20"/>
    </w:rPr>
  </w:style>
  <w:style w:type="paragraph" w:styleId="33">
    <w:name w:val="Body Text Indent 2"/>
    <w:basedOn w:val="1"/>
    <w:link w:val="82"/>
    <w:qFormat/>
    <w:uiPriority w:val="0"/>
    <w:pPr>
      <w:snapToGrid w:val="0"/>
      <w:ind w:firstLine="542" w:firstLineChars="225"/>
    </w:pPr>
    <w:rPr>
      <w:rFonts w:ascii="仿宋_GB2312" w:hAnsi="宋体"/>
      <w:b/>
      <w:bCs/>
      <w:color w:val="000000"/>
      <w:sz w:val="24"/>
    </w:rPr>
  </w:style>
  <w:style w:type="paragraph" w:styleId="34">
    <w:name w:val="endnote text"/>
    <w:basedOn w:val="1"/>
    <w:link w:val="185"/>
    <w:semiHidden/>
    <w:qFormat/>
    <w:uiPriority w:val="0"/>
    <w:pPr>
      <w:snapToGrid w:val="0"/>
      <w:spacing w:afterLines="50"/>
    </w:pPr>
    <w:rPr>
      <w:rFonts w:ascii="宋体"/>
      <w:snapToGrid w:val="0"/>
      <w:kern w:val="0"/>
      <w:szCs w:val="20"/>
    </w:rPr>
  </w:style>
  <w:style w:type="paragraph" w:styleId="35">
    <w:name w:val="Balloon Text"/>
    <w:basedOn w:val="1"/>
    <w:link w:val="83"/>
    <w:qFormat/>
    <w:uiPriority w:val="0"/>
    <w:rPr>
      <w:sz w:val="18"/>
      <w:szCs w:val="18"/>
    </w:rPr>
  </w:style>
  <w:style w:type="paragraph" w:styleId="36">
    <w:name w:val="footer"/>
    <w:basedOn w:val="1"/>
    <w:link w:val="84"/>
    <w:qFormat/>
    <w:uiPriority w:val="0"/>
    <w:pPr>
      <w:tabs>
        <w:tab w:val="center" w:pos="4153"/>
        <w:tab w:val="right" w:pos="8306"/>
      </w:tabs>
      <w:snapToGrid w:val="0"/>
    </w:pPr>
    <w:rPr>
      <w:sz w:val="18"/>
      <w:szCs w:val="18"/>
    </w:rPr>
  </w:style>
  <w:style w:type="paragraph" w:styleId="37">
    <w:name w:val="header"/>
    <w:basedOn w:val="1"/>
    <w:link w:val="85"/>
    <w:qFormat/>
    <w:uiPriority w:val="99"/>
    <w:pPr>
      <w:pBdr>
        <w:bottom w:val="single" w:color="auto" w:sz="6" w:space="1"/>
      </w:pBdr>
      <w:tabs>
        <w:tab w:val="center" w:pos="4153"/>
        <w:tab w:val="right" w:pos="8306"/>
      </w:tabs>
      <w:snapToGrid w:val="0"/>
      <w:ind w:firstLine="360"/>
      <w:jc w:val="right"/>
    </w:pPr>
    <w:rPr>
      <w:sz w:val="18"/>
      <w:szCs w:val="18"/>
    </w:rPr>
  </w:style>
  <w:style w:type="paragraph" w:styleId="38">
    <w:name w:val="toc 1"/>
    <w:basedOn w:val="1"/>
    <w:next w:val="1"/>
    <w:qFormat/>
    <w:uiPriority w:val="39"/>
    <w:pPr>
      <w:tabs>
        <w:tab w:val="right" w:leader="dot" w:pos="9060"/>
      </w:tabs>
      <w:spacing w:before="120" w:after="120" w:line="720" w:lineRule="auto"/>
    </w:pPr>
    <w:rPr>
      <w:rFonts w:ascii="仿宋_GB2312" w:eastAsia="仿宋_GB2312"/>
      <w:bCs/>
      <w:caps/>
      <w:color w:val="FF6600"/>
      <w:sz w:val="36"/>
      <w:szCs w:val="36"/>
    </w:rPr>
  </w:style>
  <w:style w:type="paragraph" w:styleId="39">
    <w:name w:val="toc 4"/>
    <w:basedOn w:val="1"/>
    <w:next w:val="1"/>
    <w:semiHidden/>
    <w:qFormat/>
    <w:uiPriority w:val="0"/>
    <w:pPr>
      <w:ind w:left="629"/>
    </w:pPr>
    <w:rPr>
      <w:snapToGrid w:val="0"/>
      <w:kern w:val="0"/>
      <w:szCs w:val="18"/>
    </w:rPr>
  </w:style>
  <w:style w:type="paragraph" w:styleId="40">
    <w:name w:val="Subtitle"/>
    <w:basedOn w:val="1"/>
    <w:next w:val="1"/>
    <w:link w:val="88"/>
    <w:qFormat/>
    <w:uiPriority w:val="0"/>
    <w:pPr>
      <w:spacing w:before="240" w:after="60" w:line="312" w:lineRule="auto"/>
      <w:jc w:val="center"/>
      <w:outlineLvl w:val="1"/>
    </w:pPr>
    <w:rPr>
      <w:rFonts w:ascii="Cambria" w:hAnsi="Cambria"/>
      <w:b/>
      <w:bCs/>
      <w:kern w:val="28"/>
      <w:sz w:val="32"/>
      <w:szCs w:val="32"/>
    </w:rPr>
  </w:style>
  <w:style w:type="paragraph" w:styleId="41">
    <w:name w:val="List"/>
    <w:basedOn w:val="1"/>
    <w:qFormat/>
    <w:uiPriority w:val="0"/>
    <w:pPr>
      <w:ind w:left="283" w:hanging="283"/>
      <w:contextualSpacing/>
    </w:pPr>
  </w:style>
  <w:style w:type="paragraph" w:styleId="42">
    <w:name w:val="footnote text"/>
    <w:basedOn w:val="1"/>
    <w:link w:val="89"/>
    <w:unhideWhenUsed/>
    <w:qFormat/>
    <w:uiPriority w:val="99"/>
    <w:pPr>
      <w:snapToGrid w:val="0"/>
    </w:pPr>
    <w:rPr>
      <w:rFonts w:ascii="Calibri" w:hAnsi="Calibri"/>
      <w:sz w:val="18"/>
    </w:rPr>
  </w:style>
  <w:style w:type="paragraph" w:styleId="43">
    <w:name w:val="toc 6"/>
    <w:basedOn w:val="1"/>
    <w:next w:val="1"/>
    <w:semiHidden/>
    <w:unhideWhenUsed/>
    <w:qFormat/>
    <w:uiPriority w:val="39"/>
    <w:pPr>
      <w:ind w:left="2100" w:leftChars="1000"/>
    </w:pPr>
  </w:style>
  <w:style w:type="paragraph" w:styleId="44">
    <w:name w:val="Body Text Indent 3"/>
    <w:basedOn w:val="1"/>
    <w:link w:val="91"/>
    <w:qFormat/>
    <w:uiPriority w:val="0"/>
    <w:pPr>
      <w:snapToGrid w:val="0"/>
    </w:pPr>
    <w:rPr>
      <w:rFonts w:ascii="仿宋_GB2312" w:hAnsi="宋体" w:eastAsia="仿宋_GB2312"/>
      <w:color w:val="000000"/>
      <w:sz w:val="24"/>
    </w:rPr>
  </w:style>
  <w:style w:type="paragraph" w:styleId="45">
    <w:name w:val="table of figures"/>
    <w:basedOn w:val="1"/>
    <w:next w:val="1"/>
    <w:unhideWhenUsed/>
    <w:qFormat/>
    <w:uiPriority w:val="0"/>
    <w:pPr>
      <w:ind w:left="200" w:leftChars="200" w:hanging="200" w:hangingChars="200"/>
    </w:pPr>
  </w:style>
  <w:style w:type="paragraph" w:styleId="46">
    <w:name w:val="toc 2"/>
    <w:basedOn w:val="1"/>
    <w:next w:val="1"/>
    <w:qFormat/>
    <w:uiPriority w:val="39"/>
    <w:pPr>
      <w:tabs>
        <w:tab w:val="right" w:leader="dot" w:pos="8296"/>
      </w:tabs>
      <w:ind w:left="210"/>
    </w:pPr>
    <w:rPr>
      <w:b/>
      <w:smallCaps/>
    </w:rPr>
  </w:style>
  <w:style w:type="paragraph" w:styleId="47">
    <w:name w:val="Body Text 2"/>
    <w:basedOn w:val="1"/>
    <w:link w:val="94"/>
    <w:qFormat/>
    <w:uiPriority w:val="0"/>
    <w:pPr>
      <w:widowControl/>
      <w:snapToGrid w:val="0"/>
      <w:spacing w:before="50" w:afterLines="50" w:line="400" w:lineRule="exact"/>
    </w:pPr>
    <w:rPr>
      <w:rFonts w:ascii="宋体" w:hAnsi="宋体"/>
      <w:color w:val="000000"/>
      <w:sz w:val="24"/>
    </w:rPr>
  </w:style>
  <w:style w:type="paragraph" w:styleId="48">
    <w:name w:val="HTML Preformatted"/>
    <w:basedOn w:val="1"/>
    <w:link w:val="21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49">
    <w:name w:val="Normal (Web)"/>
    <w:basedOn w:val="1"/>
    <w:link w:val="95"/>
    <w:qFormat/>
    <w:uiPriority w:val="99"/>
    <w:pPr>
      <w:widowControl/>
      <w:spacing w:before="100" w:beforeAutospacing="1" w:after="100" w:afterAutospacing="1"/>
    </w:pPr>
    <w:rPr>
      <w:rFonts w:ascii="宋体" w:hAnsi="宋体"/>
      <w:kern w:val="0"/>
      <w:sz w:val="24"/>
    </w:rPr>
  </w:style>
  <w:style w:type="paragraph" w:styleId="50">
    <w:name w:val="index 1"/>
    <w:basedOn w:val="1"/>
    <w:next w:val="1"/>
    <w:semiHidden/>
    <w:qFormat/>
    <w:uiPriority w:val="0"/>
    <w:rPr>
      <w:szCs w:val="20"/>
    </w:rPr>
  </w:style>
  <w:style w:type="paragraph" w:styleId="51">
    <w:name w:val="Title"/>
    <w:basedOn w:val="1"/>
    <w:next w:val="1"/>
    <w:link w:val="96"/>
    <w:qFormat/>
    <w:uiPriority w:val="10"/>
    <w:pPr>
      <w:spacing w:before="240" w:after="60"/>
      <w:jc w:val="center"/>
      <w:outlineLvl w:val="0"/>
    </w:pPr>
    <w:rPr>
      <w:rFonts w:ascii="Cambria" w:hAnsi="Cambria"/>
      <w:b/>
      <w:bCs/>
      <w:sz w:val="32"/>
      <w:szCs w:val="32"/>
    </w:rPr>
  </w:style>
  <w:style w:type="paragraph" w:styleId="52">
    <w:name w:val="annotation subject"/>
    <w:basedOn w:val="18"/>
    <w:next w:val="18"/>
    <w:link w:val="97"/>
    <w:qFormat/>
    <w:uiPriority w:val="0"/>
    <w:rPr>
      <w:b/>
      <w:bCs/>
    </w:rPr>
  </w:style>
  <w:style w:type="paragraph" w:styleId="53">
    <w:name w:val="Body Text First Indent 2"/>
    <w:basedOn w:val="22"/>
    <w:link w:val="289"/>
    <w:semiHidden/>
    <w:unhideWhenUsed/>
    <w:qFormat/>
    <w:uiPriority w:val="0"/>
    <w:pPr>
      <w:spacing w:after="120" w:line="360" w:lineRule="auto"/>
      <w:ind w:left="420" w:leftChars="200" w:firstLine="420"/>
    </w:pPr>
    <w:rPr>
      <w:rFonts w:ascii="Times New Roman" w:hAnsi="Times New Roman"/>
      <w:spacing w:val="0"/>
      <w:sz w:val="21"/>
      <w:szCs w:val="24"/>
    </w:rPr>
  </w:style>
  <w:style w:type="table" w:styleId="55">
    <w:name w:val="Table Grid"/>
    <w:basedOn w:val="5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56">
    <w:name w:val="Table Grid 1"/>
    <w:basedOn w:val="5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7">
    <w:name w:val="Table Grid 8"/>
    <w:basedOn w:val="54"/>
    <w:qFormat/>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59">
    <w:name w:val="Strong"/>
    <w:qFormat/>
    <w:uiPriority w:val="22"/>
    <w:rPr>
      <w:b/>
      <w:bCs/>
    </w:rPr>
  </w:style>
  <w:style w:type="character" w:styleId="60">
    <w:name w:val="page number"/>
    <w:qFormat/>
    <w:uiPriority w:val="0"/>
  </w:style>
  <w:style w:type="character" w:styleId="61">
    <w:name w:val="FollowedHyperlink"/>
    <w:basedOn w:val="58"/>
    <w:semiHidden/>
    <w:unhideWhenUsed/>
    <w:qFormat/>
    <w:uiPriority w:val="99"/>
    <w:rPr>
      <w:color w:val="954F72" w:themeColor="followedHyperlink"/>
      <w:u w:val="single"/>
      <w14:textFill>
        <w14:solidFill>
          <w14:schemeClr w14:val="folHlink"/>
        </w14:solidFill>
      </w14:textFill>
    </w:rPr>
  </w:style>
  <w:style w:type="character" w:styleId="62">
    <w:name w:val="Hyperlink"/>
    <w:qFormat/>
    <w:uiPriority w:val="99"/>
    <w:rPr>
      <w:color w:val="0000FF"/>
      <w:u w:val="single"/>
    </w:rPr>
  </w:style>
  <w:style w:type="character" w:styleId="63">
    <w:name w:val="annotation reference"/>
    <w:qFormat/>
    <w:uiPriority w:val="99"/>
    <w:rPr>
      <w:sz w:val="21"/>
      <w:szCs w:val="21"/>
    </w:rPr>
  </w:style>
  <w:style w:type="character" w:styleId="64">
    <w:name w:val="footnote reference"/>
    <w:unhideWhenUsed/>
    <w:qFormat/>
    <w:uiPriority w:val="99"/>
    <w:rPr>
      <w:rFonts w:hint="default" w:ascii="Times New Roman"/>
      <w:sz w:val="24"/>
      <w:vertAlign w:val="superscript"/>
    </w:rPr>
  </w:style>
  <w:style w:type="paragraph" w:customStyle="1" w:styleId="65">
    <w:name w:val="标准正文"/>
    <w:basedOn w:val="1"/>
    <w:qFormat/>
    <w:uiPriority w:val="0"/>
    <w:pPr>
      <w:ind w:firstLine="200"/>
    </w:pPr>
    <w:rPr>
      <w:sz w:val="24"/>
      <w:szCs w:val="20"/>
    </w:rPr>
  </w:style>
  <w:style w:type="character" w:customStyle="1" w:styleId="66">
    <w:name w:val="标题 1 字符"/>
    <w:basedOn w:val="58"/>
    <w:link w:val="2"/>
    <w:qFormat/>
    <w:uiPriority w:val="9"/>
    <w:rPr>
      <w:rFonts w:eastAsia="微软雅黑"/>
      <w:b/>
      <w:bCs/>
      <w:kern w:val="44"/>
      <w:sz w:val="24"/>
      <w:szCs w:val="44"/>
    </w:rPr>
  </w:style>
  <w:style w:type="character" w:customStyle="1" w:styleId="67">
    <w:name w:val="标题 4 字符"/>
    <w:link w:val="7"/>
    <w:qFormat/>
    <w:uiPriority w:val="0"/>
    <w:rPr>
      <w:rFonts w:ascii="等线 Light" w:hAnsi="等线 Light" w:eastAsia="微软雅黑" w:cs="Times New Roman"/>
      <w:b/>
      <w:bCs/>
      <w:kern w:val="2"/>
      <w:sz w:val="21"/>
      <w:szCs w:val="28"/>
    </w:rPr>
  </w:style>
  <w:style w:type="character" w:customStyle="1" w:styleId="68">
    <w:name w:val="标题 3 字符"/>
    <w:basedOn w:val="58"/>
    <w:link w:val="5"/>
    <w:qFormat/>
    <w:uiPriority w:val="0"/>
    <w:rPr>
      <w:rFonts w:ascii="仿宋_GB2312" w:hAnsi="仿宋_GB2312" w:eastAsia="微软雅黑"/>
      <w:bCs/>
      <w:kern w:val="2"/>
      <w:sz w:val="21"/>
    </w:rPr>
  </w:style>
  <w:style w:type="paragraph" w:customStyle="1" w:styleId="69">
    <w:name w:val="表格文字"/>
    <w:basedOn w:val="70"/>
    <w:next w:val="20"/>
    <w:qFormat/>
    <w:uiPriority w:val="0"/>
  </w:style>
  <w:style w:type="paragraph" w:customStyle="1" w:styleId="70">
    <w:name w:val="表格文字（两侧对齐）"/>
    <w:basedOn w:val="1"/>
    <w:qFormat/>
    <w:uiPriority w:val="0"/>
    <w:pPr>
      <w:snapToGrid w:val="0"/>
    </w:pPr>
    <w:rPr>
      <w:rFonts w:eastAsia="宋体"/>
      <w:sz w:val="20"/>
    </w:rPr>
  </w:style>
  <w:style w:type="character" w:customStyle="1" w:styleId="71">
    <w:name w:val="正文文本 字符"/>
    <w:link w:val="20"/>
    <w:qFormat/>
    <w:uiPriority w:val="0"/>
    <w:rPr>
      <w:kern w:val="2"/>
      <w:sz w:val="21"/>
      <w:szCs w:val="24"/>
    </w:rPr>
  </w:style>
  <w:style w:type="character" w:customStyle="1" w:styleId="72">
    <w:name w:val="正文缩进 字符1"/>
    <w:link w:val="6"/>
    <w:qFormat/>
    <w:uiPriority w:val="0"/>
    <w:rPr>
      <w:kern w:val="2"/>
      <w:sz w:val="21"/>
    </w:rPr>
  </w:style>
  <w:style w:type="paragraph" w:customStyle="1" w:styleId="73">
    <w:name w:val="目录 71"/>
    <w:basedOn w:val="1"/>
    <w:next w:val="1"/>
    <w:unhideWhenUsed/>
    <w:qFormat/>
    <w:uiPriority w:val="39"/>
    <w:pPr>
      <w:ind w:left="2520" w:leftChars="1200"/>
    </w:pPr>
    <w:rPr>
      <w:rFonts w:ascii="Calibri" w:hAnsi="Calibri"/>
      <w:szCs w:val="22"/>
    </w:rPr>
  </w:style>
  <w:style w:type="character" w:customStyle="1" w:styleId="74">
    <w:name w:val="批注文字 字符"/>
    <w:link w:val="18"/>
    <w:qFormat/>
    <w:uiPriority w:val="99"/>
    <w:rPr>
      <w:kern w:val="2"/>
      <w:sz w:val="21"/>
      <w:szCs w:val="24"/>
    </w:rPr>
  </w:style>
  <w:style w:type="character" w:customStyle="1" w:styleId="75">
    <w:name w:val="正文文本 3 字符"/>
    <w:link w:val="19"/>
    <w:qFormat/>
    <w:uiPriority w:val="0"/>
    <w:rPr>
      <w:kern w:val="2"/>
      <w:sz w:val="16"/>
      <w:szCs w:val="16"/>
    </w:rPr>
  </w:style>
  <w:style w:type="character" w:customStyle="1" w:styleId="76">
    <w:name w:val="正文文本缩进 字符"/>
    <w:link w:val="22"/>
    <w:qFormat/>
    <w:uiPriority w:val="99"/>
    <w:rPr>
      <w:rFonts w:ascii="宋体" w:hAnsi="Courier New"/>
      <w:spacing w:val="-4"/>
      <w:kern w:val="2"/>
      <w:sz w:val="18"/>
    </w:rPr>
  </w:style>
  <w:style w:type="paragraph" w:customStyle="1" w:styleId="77">
    <w:name w:val="目录 51"/>
    <w:basedOn w:val="1"/>
    <w:next w:val="1"/>
    <w:unhideWhenUsed/>
    <w:qFormat/>
    <w:uiPriority w:val="39"/>
    <w:pPr>
      <w:ind w:left="1680" w:leftChars="800"/>
    </w:pPr>
    <w:rPr>
      <w:rFonts w:ascii="Calibri" w:hAnsi="Calibri"/>
      <w:szCs w:val="22"/>
    </w:rPr>
  </w:style>
  <w:style w:type="paragraph" w:customStyle="1" w:styleId="78">
    <w:name w:val="目录 31"/>
    <w:basedOn w:val="1"/>
    <w:next w:val="1"/>
    <w:qFormat/>
    <w:uiPriority w:val="39"/>
    <w:pPr>
      <w:ind w:left="840" w:leftChars="400"/>
    </w:pPr>
  </w:style>
  <w:style w:type="character" w:customStyle="1" w:styleId="79">
    <w:name w:val="纯文本 字符"/>
    <w:link w:val="30"/>
    <w:qFormat/>
    <w:uiPriority w:val="0"/>
    <w:rPr>
      <w:rFonts w:ascii="宋体" w:hAnsi="Courier New"/>
      <w:kern w:val="2"/>
      <w:sz w:val="21"/>
    </w:rPr>
  </w:style>
  <w:style w:type="paragraph" w:customStyle="1" w:styleId="80">
    <w:name w:val="目录 81"/>
    <w:basedOn w:val="1"/>
    <w:next w:val="1"/>
    <w:unhideWhenUsed/>
    <w:qFormat/>
    <w:uiPriority w:val="39"/>
    <w:pPr>
      <w:ind w:left="2940" w:leftChars="1400"/>
    </w:pPr>
    <w:rPr>
      <w:rFonts w:ascii="Calibri" w:hAnsi="Calibri"/>
      <w:szCs w:val="22"/>
    </w:rPr>
  </w:style>
  <w:style w:type="character" w:customStyle="1" w:styleId="81">
    <w:name w:val="日期 字符"/>
    <w:link w:val="32"/>
    <w:qFormat/>
    <w:uiPriority w:val="0"/>
    <w:rPr>
      <w:rFonts w:eastAsia="楷体_GB2312"/>
      <w:kern w:val="2"/>
      <w:sz w:val="32"/>
    </w:rPr>
  </w:style>
  <w:style w:type="character" w:customStyle="1" w:styleId="82">
    <w:name w:val="正文文本缩进 2 字符"/>
    <w:link w:val="33"/>
    <w:qFormat/>
    <w:uiPriority w:val="0"/>
    <w:rPr>
      <w:rFonts w:ascii="仿宋_GB2312" w:hAnsi="宋体" w:cs="Arial"/>
      <w:b/>
      <w:bCs/>
      <w:color w:val="000000"/>
      <w:kern w:val="2"/>
      <w:sz w:val="24"/>
      <w:szCs w:val="24"/>
    </w:rPr>
  </w:style>
  <w:style w:type="character" w:customStyle="1" w:styleId="83">
    <w:name w:val="批注框文本 字符"/>
    <w:link w:val="35"/>
    <w:qFormat/>
    <w:uiPriority w:val="0"/>
    <w:rPr>
      <w:kern w:val="2"/>
      <w:sz w:val="18"/>
      <w:szCs w:val="18"/>
    </w:rPr>
  </w:style>
  <w:style w:type="character" w:customStyle="1" w:styleId="84">
    <w:name w:val="页脚 字符1"/>
    <w:link w:val="36"/>
    <w:qFormat/>
    <w:locked/>
    <w:uiPriority w:val="0"/>
    <w:rPr>
      <w:kern w:val="2"/>
      <w:sz w:val="18"/>
      <w:szCs w:val="18"/>
    </w:rPr>
  </w:style>
  <w:style w:type="character" w:customStyle="1" w:styleId="85">
    <w:name w:val="页眉 字符"/>
    <w:link w:val="37"/>
    <w:qFormat/>
    <w:uiPriority w:val="99"/>
    <w:rPr>
      <w:rFonts w:eastAsia="微软雅黑"/>
      <w:kern w:val="2"/>
      <w:sz w:val="18"/>
      <w:szCs w:val="18"/>
    </w:rPr>
  </w:style>
  <w:style w:type="paragraph" w:customStyle="1" w:styleId="86">
    <w:name w:val="目录 11"/>
    <w:basedOn w:val="1"/>
    <w:next w:val="1"/>
    <w:qFormat/>
    <w:uiPriority w:val="39"/>
  </w:style>
  <w:style w:type="paragraph" w:customStyle="1" w:styleId="87">
    <w:name w:val="目录 41"/>
    <w:basedOn w:val="1"/>
    <w:next w:val="1"/>
    <w:unhideWhenUsed/>
    <w:qFormat/>
    <w:uiPriority w:val="39"/>
    <w:pPr>
      <w:ind w:left="1260" w:leftChars="600"/>
    </w:pPr>
    <w:rPr>
      <w:rFonts w:ascii="Calibri" w:hAnsi="Calibri"/>
      <w:szCs w:val="22"/>
    </w:rPr>
  </w:style>
  <w:style w:type="character" w:customStyle="1" w:styleId="88">
    <w:name w:val="副标题 字符"/>
    <w:link w:val="40"/>
    <w:qFormat/>
    <w:uiPriority w:val="0"/>
    <w:rPr>
      <w:rFonts w:ascii="Cambria" w:hAnsi="Cambria"/>
      <w:b/>
      <w:bCs/>
      <w:kern w:val="28"/>
      <w:sz w:val="32"/>
      <w:szCs w:val="32"/>
    </w:rPr>
  </w:style>
  <w:style w:type="character" w:customStyle="1" w:styleId="89">
    <w:name w:val="脚注文本 字符"/>
    <w:link w:val="42"/>
    <w:qFormat/>
    <w:uiPriority w:val="99"/>
    <w:rPr>
      <w:rFonts w:ascii="Calibri" w:hAnsi="Calibri"/>
      <w:kern w:val="2"/>
      <w:sz w:val="18"/>
      <w:szCs w:val="24"/>
    </w:rPr>
  </w:style>
  <w:style w:type="paragraph" w:customStyle="1" w:styleId="90">
    <w:name w:val="目录 61"/>
    <w:basedOn w:val="1"/>
    <w:next w:val="1"/>
    <w:unhideWhenUsed/>
    <w:qFormat/>
    <w:uiPriority w:val="39"/>
    <w:pPr>
      <w:ind w:left="2100" w:leftChars="1000"/>
    </w:pPr>
    <w:rPr>
      <w:rFonts w:ascii="Calibri" w:hAnsi="Calibri"/>
      <w:szCs w:val="22"/>
    </w:rPr>
  </w:style>
  <w:style w:type="character" w:customStyle="1" w:styleId="91">
    <w:name w:val="正文文本缩进 3 字符"/>
    <w:link w:val="44"/>
    <w:qFormat/>
    <w:uiPriority w:val="0"/>
    <w:rPr>
      <w:rFonts w:ascii="仿宋_GB2312" w:hAnsi="宋体" w:eastAsia="仿宋_GB2312"/>
      <w:color w:val="000000"/>
      <w:kern w:val="2"/>
      <w:sz w:val="24"/>
      <w:szCs w:val="24"/>
    </w:rPr>
  </w:style>
  <w:style w:type="paragraph" w:customStyle="1" w:styleId="92">
    <w:name w:val="目录 21"/>
    <w:basedOn w:val="1"/>
    <w:next w:val="1"/>
    <w:qFormat/>
    <w:uiPriority w:val="39"/>
    <w:pPr>
      <w:ind w:left="420" w:leftChars="200"/>
    </w:pPr>
  </w:style>
  <w:style w:type="paragraph" w:customStyle="1" w:styleId="93">
    <w:name w:val="目录 91"/>
    <w:basedOn w:val="1"/>
    <w:next w:val="1"/>
    <w:unhideWhenUsed/>
    <w:qFormat/>
    <w:uiPriority w:val="39"/>
    <w:pPr>
      <w:ind w:left="3360" w:leftChars="1600"/>
    </w:pPr>
    <w:rPr>
      <w:rFonts w:ascii="Calibri" w:hAnsi="Calibri"/>
      <w:szCs w:val="22"/>
    </w:rPr>
  </w:style>
  <w:style w:type="character" w:customStyle="1" w:styleId="94">
    <w:name w:val="正文文本 2 字符"/>
    <w:link w:val="47"/>
    <w:qFormat/>
    <w:uiPriority w:val="0"/>
    <w:rPr>
      <w:rFonts w:ascii="宋体" w:hAnsi="宋体"/>
      <w:color w:val="000000"/>
      <w:kern w:val="2"/>
      <w:sz w:val="24"/>
      <w:szCs w:val="24"/>
    </w:rPr>
  </w:style>
  <w:style w:type="character" w:customStyle="1" w:styleId="95">
    <w:name w:val="普通(网站) 字符"/>
    <w:link w:val="49"/>
    <w:qFormat/>
    <w:locked/>
    <w:uiPriority w:val="99"/>
    <w:rPr>
      <w:rFonts w:ascii="宋体" w:hAnsi="宋体" w:cs="宋体"/>
      <w:sz w:val="24"/>
      <w:szCs w:val="24"/>
    </w:rPr>
  </w:style>
  <w:style w:type="character" w:customStyle="1" w:styleId="96">
    <w:name w:val="标题 字符"/>
    <w:link w:val="51"/>
    <w:qFormat/>
    <w:uiPriority w:val="10"/>
    <w:rPr>
      <w:rFonts w:ascii="Cambria" w:hAnsi="Cambria"/>
      <w:b/>
      <w:bCs/>
      <w:kern w:val="2"/>
      <w:sz w:val="32"/>
      <w:szCs w:val="32"/>
    </w:rPr>
  </w:style>
  <w:style w:type="character" w:customStyle="1" w:styleId="97">
    <w:name w:val="批注主题 字符"/>
    <w:link w:val="52"/>
    <w:qFormat/>
    <w:uiPriority w:val="0"/>
    <w:rPr>
      <w:b/>
      <w:bCs/>
      <w:kern w:val="2"/>
      <w:sz w:val="21"/>
      <w:szCs w:val="24"/>
    </w:rPr>
  </w:style>
  <w:style w:type="paragraph" w:customStyle="1" w:styleId="98">
    <w:name w:val="正文首行缩进1"/>
    <w:basedOn w:val="20"/>
    <w:link w:val="99"/>
    <w:qFormat/>
    <w:uiPriority w:val="0"/>
    <w:pPr>
      <w:ind w:firstLine="420" w:firstLineChars="100"/>
    </w:pPr>
  </w:style>
  <w:style w:type="character" w:customStyle="1" w:styleId="99">
    <w:name w:val="正文首行缩进 Char"/>
    <w:link w:val="98"/>
    <w:qFormat/>
    <w:uiPriority w:val="0"/>
  </w:style>
  <w:style w:type="character" w:customStyle="1" w:styleId="100">
    <w:name w:val="已访问的超链接1"/>
    <w:qFormat/>
    <w:uiPriority w:val="0"/>
    <w:rPr>
      <w:color w:val="800080"/>
      <w:u w:val="single"/>
    </w:rPr>
  </w:style>
  <w:style w:type="character" w:customStyle="1" w:styleId="101">
    <w:name w:val="正文缩进 字符"/>
    <w:qFormat/>
    <w:uiPriority w:val="0"/>
    <w:rPr>
      <w:snapToGrid/>
      <w:kern w:val="0"/>
      <w:sz w:val="24"/>
    </w:rPr>
  </w:style>
  <w:style w:type="character" w:customStyle="1" w:styleId="102">
    <w:name w:val="列表段落 字符1"/>
    <w:link w:val="103"/>
    <w:qFormat/>
    <w:uiPriority w:val="99"/>
    <w:rPr>
      <w:kern w:val="2"/>
      <w:sz w:val="21"/>
      <w:szCs w:val="22"/>
    </w:rPr>
  </w:style>
  <w:style w:type="paragraph" w:styleId="103">
    <w:name w:val="List Paragraph"/>
    <w:basedOn w:val="1"/>
    <w:link w:val="102"/>
    <w:qFormat/>
    <w:uiPriority w:val="99"/>
    <w:pPr>
      <w:ind w:firstLine="420"/>
    </w:pPr>
    <w:rPr>
      <w:szCs w:val="22"/>
    </w:rPr>
  </w:style>
  <w:style w:type="character" w:customStyle="1" w:styleId="104">
    <w:name w:val="列表段落 字符"/>
    <w:qFormat/>
    <w:uiPriority w:val="34"/>
    <w:rPr>
      <w:rFonts w:ascii="Times New Roman" w:hAnsi="Times New Roman" w:eastAsia="宋体" w:cs="Times New Roman"/>
      <w:szCs w:val="24"/>
    </w:rPr>
  </w:style>
  <w:style w:type="character" w:customStyle="1" w:styleId="105">
    <w:name w:val="页脚 字符"/>
    <w:qFormat/>
    <w:uiPriority w:val="99"/>
  </w:style>
  <w:style w:type="character" w:customStyle="1" w:styleId="106">
    <w:name w:val="页眉 Char1"/>
    <w:qFormat/>
    <w:uiPriority w:val="99"/>
    <w:rPr>
      <w:kern w:val="2"/>
      <w:sz w:val="18"/>
      <w:szCs w:val="18"/>
    </w:rPr>
  </w:style>
  <w:style w:type="character" w:customStyle="1" w:styleId="107">
    <w:name w:val="普通文字 Char Char2"/>
    <w:qFormat/>
    <w:uiPriority w:val="0"/>
    <w:rPr>
      <w:rFonts w:ascii="宋体" w:hAnsi="Courier New" w:eastAsia="宋体"/>
      <w:kern w:val="2"/>
      <w:sz w:val="24"/>
      <w:szCs w:val="24"/>
      <w:lang w:val="en-US" w:eastAsia="zh-CN" w:bidi="ar-SA"/>
    </w:rPr>
  </w:style>
  <w:style w:type="character" w:customStyle="1" w:styleId="108">
    <w:name w:val="批注文字 Char"/>
    <w:qFormat/>
    <w:uiPriority w:val="0"/>
    <w:rPr>
      <w:kern w:val="2"/>
      <w:sz w:val="21"/>
      <w:szCs w:val="24"/>
    </w:rPr>
  </w:style>
  <w:style w:type="character" w:customStyle="1" w:styleId="109">
    <w:name w:val="ca-92"/>
    <w:qFormat/>
    <w:uiPriority w:val="0"/>
  </w:style>
  <w:style w:type="character" w:customStyle="1" w:styleId="110">
    <w:name w:val="bookmark-item"/>
    <w:qFormat/>
    <w:uiPriority w:val="0"/>
  </w:style>
  <w:style w:type="character" w:customStyle="1" w:styleId="111">
    <w:name w:val="纯文本 Char3"/>
    <w:qFormat/>
    <w:uiPriority w:val="0"/>
    <w:rPr>
      <w:rFonts w:ascii="宋体" w:hAnsi="Courier New" w:eastAsia="宋体"/>
      <w:kern w:val="2"/>
      <w:sz w:val="24"/>
      <w:szCs w:val="24"/>
      <w:lang w:val="en-US" w:eastAsia="zh-CN" w:bidi="ar-SA"/>
    </w:rPr>
  </w:style>
  <w:style w:type="character" w:customStyle="1" w:styleId="112">
    <w:name w:val="sub"/>
    <w:qFormat/>
    <w:uiPriority w:val="0"/>
  </w:style>
  <w:style w:type="character" w:customStyle="1" w:styleId="113">
    <w:name w:val="纯文本 Char1"/>
    <w:qFormat/>
    <w:uiPriority w:val="0"/>
    <w:rPr>
      <w:rFonts w:ascii="宋体" w:hAnsi="Courier New" w:eastAsia="宋体" w:cs="Times New Roman"/>
      <w:sz w:val="24"/>
      <w:szCs w:val="24"/>
    </w:rPr>
  </w:style>
  <w:style w:type="paragraph" w:customStyle="1" w:styleId="114">
    <w:name w:val="_Style 2"/>
    <w:basedOn w:val="1"/>
    <w:qFormat/>
    <w:uiPriority w:val="0"/>
    <w:pPr>
      <w:adjustRightInd w:val="0"/>
      <w:snapToGrid w:val="0"/>
      <w:ind w:firstLine="420"/>
    </w:pPr>
    <w:rPr>
      <w:rFonts w:ascii="Calibri" w:hAnsi="Calibri"/>
      <w:sz w:val="24"/>
    </w:rPr>
  </w:style>
  <w:style w:type="paragraph" w:customStyle="1" w:styleId="115">
    <w:name w:val="Char Char9 Char Char"/>
    <w:basedOn w:val="1"/>
    <w:qFormat/>
    <w:uiPriority w:val="0"/>
    <w:pPr>
      <w:tabs>
        <w:tab w:val="left" w:pos="360"/>
      </w:tabs>
    </w:pPr>
  </w:style>
  <w:style w:type="paragraph" w:customStyle="1" w:styleId="116">
    <w:name w:val="样式 正文1 + 段前: 0.1 行"/>
    <w:basedOn w:val="1"/>
    <w:qFormat/>
    <w:uiPriority w:val="0"/>
    <w:pPr>
      <w:snapToGrid w:val="0"/>
      <w:spacing w:beforeLines="10" w:line="440" w:lineRule="atLeast"/>
      <w:ind w:firstLine="510"/>
    </w:pPr>
    <w:rPr>
      <w:sz w:val="24"/>
    </w:rPr>
  </w:style>
  <w:style w:type="paragraph" w:customStyle="1" w:styleId="117">
    <w:name w:val="列表段落1"/>
    <w:basedOn w:val="1"/>
    <w:qFormat/>
    <w:uiPriority w:val="0"/>
    <w:pPr>
      <w:ind w:firstLine="420"/>
    </w:pPr>
    <w:rPr>
      <w:szCs w:val="21"/>
    </w:rPr>
  </w:style>
  <w:style w:type="paragraph" w:customStyle="1" w:styleId="118">
    <w:name w:val="列出段落1"/>
    <w:basedOn w:val="1"/>
    <w:link w:val="285"/>
    <w:qFormat/>
    <w:uiPriority w:val="0"/>
    <w:pPr>
      <w:ind w:firstLine="420"/>
    </w:pPr>
    <w:rPr>
      <w:rFonts w:ascii="Calibri" w:hAnsi="Calibri"/>
      <w:szCs w:val="20"/>
    </w:rPr>
  </w:style>
  <w:style w:type="paragraph" w:customStyle="1" w:styleId="119">
    <w:name w:val="Default"/>
    <w:unhideWhenUsed/>
    <w:qFormat/>
    <w:uiPriority w:val="0"/>
    <w:pPr>
      <w:widowControl w:val="0"/>
      <w:autoSpaceDE w:val="0"/>
      <w:autoSpaceDN w:val="0"/>
      <w:adjustRightInd w:val="0"/>
    </w:pPr>
    <w:rPr>
      <w:rFonts w:hint="eastAsia" w:ascii="仿宋" w:hAnsi="Times New Roman" w:eastAsia="仿宋" w:cs="Times New Roman"/>
      <w:color w:val="000000"/>
      <w:sz w:val="24"/>
      <w:lang w:val="en-US" w:eastAsia="zh-CN" w:bidi="ar-SA"/>
    </w:rPr>
  </w:style>
  <w:style w:type="paragraph" w:customStyle="1" w:styleId="120">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21">
    <w:name w:val="纯文本1"/>
    <w:basedOn w:val="1"/>
    <w:qFormat/>
    <w:uiPriority w:val="0"/>
    <w:pPr>
      <w:adjustRightInd w:val="0"/>
      <w:textAlignment w:val="baseline"/>
    </w:pPr>
    <w:rPr>
      <w:rFonts w:ascii="宋体" w:hAnsi="Courier New" w:eastAsia="楷体_GB2312"/>
      <w:sz w:val="26"/>
      <w:szCs w:val="20"/>
    </w:rPr>
  </w:style>
  <w:style w:type="paragraph" w:customStyle="1" w:styleId="122">
    <w:name w:val="默认段落字体 Para Char Char Char Char Char Char Char Char Char1 Char Char Char Char"/>
    <w:basedOn w:val="1"/>
    <w:qFormat/>
    <w:uiPriority w:val="0"/>
    <w:rPr>
      <w:rFonts w:ascii="Tahoma" w:hAnsi="Tahoma"/>
      <w:sz w:val="24"/>
      <w:szCs w:val="20"/>
    </w:rPr>
  </w:style>
  <w:style w:type="paragraph" w:customStyle="1" w:styleId="123">
    <w:name w:val="表内文字"/>
    <w:basedOn w:val="1"/>
    <w:qFormat/>
    <w:uiPriority w:val="0"/>
    <w:pPr>
      <w:jc w:val="center"/>
    </w:pPr>
    <w:rPr>
      <w:rFonts w:ascii="仿宋_GB2312" w:eastAsia="仿宋_GB2312"/>
      <w:sz w:val="24"/>
    </w:rPr>
  </w:style>
  <w:style w:type="paragraph" w:customStyle="1" w:styleId="124">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25">
    <w:name w:val="1 Char Char Char Char"/>
    <w:basedOn w:val="1"/>
    <w:qFormat/>
    <w:uiPriority w:val="0"/>
    <w:rPr>
      <w:rFonts w:ascii="Tahoma" w:hAnsi="Tahoma"/>
      <w:sz w:val="24"/>
      <w:szCs w:val="20"/>
    </w:rPr>
  </w:style>
  <w:style w:type="paragraph" w:customStyle="1" w:styleId="126">
    <w:name w:val="Char Char Char Char Char Char Char Char Char Char Char Char Char"/>
    <w:basedOn w:val="1"/>
    <w:qFormat/>
    <w:uiPriority w:val="0"/>
    <w:pPr>
      <w:tabs>
        <w:tab w:val="left" w:pos="432"/>
      </w:tabs>
      <w:ind w:left="432" w:hanging="432"/>
    </w:pPr>
    <w:rPr>
      <w:rFonts w:ascii="Tahoma" w:hAnsi="Tahoma"/>
      <w:sz w:val="24"/>
      <w:szCs w:val="20"/>
    </w:rPr>
  </w:style>
  <w:style w:type="paragraph" w:customStyle="1" w:styleId="127">
    <w:name w:val="Char Char Char Char Char Char Char"/>
    <w:basedOn w:val="1"/>
    <w:qFormat/>
    <w:uiPriority w:val="0"/>
    <w:rPr>
      <w:szCs w:val="21"/>
    </w:rPr>
  </w:style>
  <w:style w:type="paragraph" w:customStyle="1" w:styleId="128">
    <w:name w:val="TOC 标题1"/>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29">
    <w:name w:val="正文段"/>
    <w:basedOn w:val="1"/>
    <w:qFormat/>
    <w:uiPriority w:val="0"/>
    <w:pPr>
      <w:widowControl/>
      <w:snapToGrid w:val="0"/>
      <w:spacing w:afterLines="50"/>
      <w:ind w:firstLine="200"/>
    </w:pPr>
    <w:rPr>
      <w:kern w:val="0"/>
      <w:sz w:val="24"/>
      <w:szCs w:val="20"/>
    </w:rPr>
  </w:style>
  <w:style w:type="paragraph" w:customStyle="1" w:styleId="130">
    <w:name w:val="纯文本2"/>
    <w:basedOn w:val="1"/>
    <w:qFormat/>
    <w:uiPriority w:val="0"/>
    <w:pPr>
      <w:adjustRightInd w:val="0"/>
      <w:textAlignment w:val="baseline"/>
    </w:pPr>
    <w:rPr>
      <w:rFonts w:ascii="宋体" w:hAnsi="Courier New" w:eastAsia="楷体_GB2312"/>
      <w:sz w:val="26"/>
      <w:szCs w:val="20"/>
    </w:rPr>
  </w:style>
  <w:style w:type="paragraph" w:customStyle="1" w:styleId="131">
    <w:name w:val="默认段落字体 Para Char Char Char Char"/>
    <w:basedOn w:val="1"/>
    <w:qFormat/>
    <w:uiPriority w:val="0"/>
    <w:rPr>
      <w:rFonts w:ascii="Arial" w:hAnsi="Arial" w:cs="Arial"/>
      <w:szCs w:val="21"/>
    </w:rPr>
  </w:style>
  <w:style w:type="paragraph" w:customStyle="1" w:styleId="132">
    <w:name w:val="_Style 54"/>
    <w:basedOn w:val="1"/>
    <w:qFormat/>
    <w:uiPriority w:val="0"/>
    <w:pPr>
      <w:adjustRightInd w:val="0"/>
      <w:snapToGrid w:val="0"/>
      <w:ind w:firstLine="420"/>
    </w:pPr>
    <w:rPr>
      <w:rFonts w:ascii="Calibri" w:hAnsi="Calibri"/>
      <w:sz w:val="24"/>
    </w:rPr>
  </w:style>
  <w:style w:type="paragraph" w:customStyle="1" w:styleId="133">
    <w:name w:val="CM11"/>
    <w:basedOn w:val="119"/>
    <w:next w:val="119"/>
    <w:unhideWhenUsed/>
    <w:qFormat/>
    <w:uiPriority w:val="99"/>
    <w:pPr>
      <w:spacing w:line="520" w:lineRule="atLeast"/>
    </w:pPr>
  </w:style>
  <w:style w:type="paragraph" w:customStyle="1" w:styleId="134">
    <w:name w:val="WPSOffice手动目录 1"/>
    <w:qFormat/>
    <w:uiPriority w:val="0"/>
    <w:rPr>
      <w:rFonts w:ascii="Times New Roman" w:hAnsi="Times New Roman" w:eastAsia="宋体" w:cs="Times New Roman"/>
      <w:lang w:val="en-US" w:eastAsia="zh-CN" w:bidi="ar-SA"/>
    </w:rPr>
  </w:style>
  <w:style w:type="paragraph" w:customStyle="1" w:styleId="135">
    <w:name w:val="p16"/>
    <w:basedOn w:val="1"/>
    <w:qFormat/>
    <w:uiPriority w:val="0"/>
    <w:pPr>
      <w:widowControl/>
    </w:pPr>
    <w:rPr>
      <w:rFonts w:ascii="宋体" w:hAnsi="宋体" w:cs="宋体"/>
      <w:kern w:val="0"/>
      <w:sz w:val="27"/>
      <w:szCs w:val="27"/>
    </w:rPr>
  </w:style>
  <w:style w:type="paragraph" w:customStyle="1" w:styleId="136">
    <w:name w:val="CM13"/>
    <w:basedOn w:val="119"/>
    <w:next w:val="119"/>
    <w:unhideWhenUsed/>
    <w:qFormat/>
    <w:uiPriority w:val="99"/>
    <w:pPr>
      <w:spacing w:line="520" w:lineRule="atLeast"/>
    </w:pPr>
  </w:style>
  <w:style w:type="paragraph" w:customStyle="1" w:styleId="137">
    <w:name w:val="CM19"/>
    <w:basedOn w:val="119"/>
    <w:next w:val="119"/>
    <w:unhideWhenUsed/>
    <w:qFormat/>
    <w:uiPriority w:val="99"/>
  </w:style>
  <w:style w:type="character" w:customStyle="1" w:styleId="138">
    <w:name w:val="font01"/>
    <w:qFormat/>
    <w:uiPriority w:val="0"/>
    <w:rPr>
      <w:rFonts w:hint="eastAsia" w:ascii="宋体" w:hAnsi="宋体" w:eastAsia="宋体" w:cs="宋体"/>
      <w:color w:val="000000"/>
      <w:sz w:val="21"/>
      <w:szCs w:val="21"/>
      <w:u w:val="none"/>
      <w:vertAlign w:val="superscript"/>
    </w:rPr>
  </w:style>
  <w:style w:type="character" w:customStyle="1" w:styleId="139">
    <w:name w:val="font11"/>
    <w:qFormat/>
    <w:uiPriority w:val="0"/>
    <w:rPr>
      <w:rFonts w:hint="eastAsia" w:ascii="宋体" w:hAnsi="宋体" w:eastAsia="宋体" w:cs="宋体"/>
      <w:color w:val="000000"/>
      <w:sz w:val="21"/>
      <w:szCs w:val="21"/>
      <w:u w:val="none"/>
    </w:rPr>
  </w:style>
  <w:style w:type="paragraph" w:customStyle="1" w:styleId="140">
    <w:name w:val="--规划正文"/>
    <w:basedOn w:val="1"/>
    <w:qFormat/>
    <w:uiPriority w:val="0"/>
    <w:pPr>
      <w:widowControl/>
      <w:suppressAutoHyphens/>
      <w:ind w:firstLine="200"/>
    </w:pPr>
    <w:rPr>
      <w:kern w:val="1"/>
      <w:szCs w:val="20"/>
      <w:lang w:eastAsia="ar-SA"/>
    </w:rPr>
  </w:style>
  <w:style w:type="character" w:customStyle="1" w:styleId="141">
    <w:name w:val="正文首行缩进 2 Char"/>
    <w:link w:val="142"/>
    <w:qFormat/>
    <w:uiPriority w:val="0"/>
    <w:rPr>
      <w:rFonts w:ascii="宋体" w:hAnsi="Courier New"/>
      <w:spacing w:val="-4"/>
      <w:kern w:val="2"/>
      <w:sz w:val="24"/>
    </w:rPr>
  </w:style>
  <w:style w:type="paragraph" w:customStyle="1" w:styleId="142">
    <w:name w:val="正文首行缩进 21"/>
    <w:basedOn w:val="22"/>
    <w:link w:val="141"/>
    <w:unhideWhenUsed/>
    <w:qFormat/>
    <w:uiPriority w:val="0"/>
    <w:pPr>
      <w:spacing w:after="120" w:line="360" w:lineRule="auto"/>
      <w:ind w:left="420" w:leftChars="200" w:firstLine="420"/>
    </w:pPr>
    <w:rPr>
      <w:sz w:val="24"/>
    </w:rPr>
  </w:style>
  <w:style w:type="character" w:customStyle="1" w:styleId="143">
    <w:name w:val="正文首行缩进 2 Char1"/>
    <w:qFormat/>
    <w:uiPriority w:val="0"/>
    <w:rPr>
      <w:rFonts w:ascii="宋体" w:hAnsi="Courier New"/>
      <w:spacing w:val="-4"/>
      <w:kern w:val="2"/>
      <w:sz w:val="21"/>
      <w:szCs w:val="24"/>
    </w:rPr>
  </w:style>
  <w:style w:type="paragraph" w:customStyle="1" w:styleId="144">
    <w:name w:val="正文sl"/>
    <w:basedOn w:val="1"/>
    <w:qFormat/>
    <w:uiPriority w:val="0"/>
    <w:pPr>
      <w:ind w:firstLine="600"/>
    </w:pPr>
    <w:rPr>
      <w:rFonts w:ascii="仿宋_GB2312" w:eastAsia="仿宋_GB2312" w:cs="宋体"/>
      <w:sz w:val="30"/>
      <w:szCs w:val="20"/>
    </w:rPr>
  </w:style>
  <w:style w:type="paragraph" w:customStyle="1" w:styleId="145">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6">
    <w:name w:val="fontstyle01"/>
    <w:qFormat/>
    <w:uiPriority w:val="0"/>
    <w:rPr>
      <w:rFonts w:hint="eastAsia" w:ascii="宋体" w:hAnsi="宋体" w:eastAsia="宋体" w:cs="宋体"/>
      <w:color w:val="000000"/>
      <w:sz w:val="24"/>
      <w:szCs w:val="24"/>
    </w:rPr>
  </w:style>
  <w:style w:type="character" w:customStyle="1" w:styleId="147">
    <w:name w:val="inline-comment-marker"/>
    <w:basedOn w:val="58"/>
    <w:qFormat/>
    <w:uiPriority w:val="0"/>
  </w:style>
  <w:style w:type="paragraph" w:customStyle="1" w:styleId="148">
    <w:name w:val="列表段落11"/>
    <w:basedOn w:val="1"/>
    <w:qFormat/>
    <w:uiPriority w:val="34"/>
    <w:pPr>
      <w:widowControl/>
      <w:ind w:firstLine="420"/>
    </w:pPr>
    <w:rPr>
      <w:rFonts w:ascii="宋体" w:hAnsi="宋体" w:cs="宋体"/>
      <w:kern w:val="0"/>
      <w:sz w:val="24"/>
    </w:rPr>
  </w:style>
  <w:style w:type="character" w:customStyle="1" w:styleId="149">
    <w:name w:val="标题 5 字符"/>
    <w:basedOn w:val="58"/>
    <w:link w:val="8"/>
    <w:qFormat/>
    <w:uiPriority w:val="0"/>
    <w:rPr>
      <w:rFonts w:eastAsia="微软雅黑"/>
      <w:b/>
      <w:bCs/>
      <w:kern w:val="2"/>
      <w:sz w:val="21"/>
      <w:szCs w:val="28"/>
    </w:rPr>
  </w:style>
  <w:style w:type="character" w:customStyle="1" w:styleId="150">
    <w:name w:val="标题 6 字符"/>
    <w:basedOn w:val="58"/>
    <w:link w:val="9"/>
    <w:qFormat/>
    <w:uiPriority w:val="0"/>
    <w:rPr>
      <w:rFonts w:ascii="Arial" w:hAnsi="Arial" w:eastAsia="黑体"/>
      <w:b/>
      <w:bCs/>
      <w:kern w:val="2"/>
      <w:sz w:val="24"/>
    </w:rPr>
  </w:style>
  <w:style w:type="character" w:customStyle="1" w:styleId="151">
    <w:name w:val="标题 7 字符"/>
    <w:basedOn w:val="58"/>
    <w:link w:val="10"/>
    <w:qFormat/>
    <w:uiPriority w:val="0"/>
    <w:rPr>
      <w:rFonts w:ascii="宋体" w:eastAsia="仿宋_GB2312"/>
      <w:b/>
      <w:sz w:val="24"/>
    </w:rPr>
  </w:style>
  <w:style w:type="character" w:customStyle="1" w:styleId="152">
    <w:name w:val="标题 8 字符"/>
    <w:basedOn w:val="58"/>
    <w:link w:val="11"/>
    <w:qFormat/>
    <w:uiPriority w:val="0"/>
    <w:rPr>
      <w:rFonts w:ascii="Arial" w:hAnsi="Arial" w:eastAsia="黑体"/>
      <w:sz w:val="24"/>
    </w:rPr>
  </w:style>
  <w:style w:type="character" w:customStyle="1" w:styleId="153">
    <w:name w:val="标题 9 字符"/>
    <w:basedOn w:val="58"/>
    <w:link w:val="12"/>
    <w:qFormat/>
    <w:uiPriority w:val="0"/>
    <w:rPr>
      <w:rFonts w:ascii="Arial" w:hAnsi="Arial" w:eastAsia="黑体"/>
      <w:sz w:val="28"/>
    </w:rPr>
  </w:style>
  <w:style w:type="character" w:customStyle="1" w:styleId="154">
    <w:name w:val="标题 2 字符"/>
    <w:basedOn w:val="58"/>
    <w:link w:val="4"/>
    <w:qFormat/>
    <w:uiPriority w:val="9"/>
    <w:rPr>
      <w:rFonts w:ascii="仿宋_GB2312" w:hAnsi="仿宋_GB2312" w:eastAsia="微软雅黑"/>
      <w:b/>
      <w:sz w:val="21"/>
    </w:rPr>
  </w:style>
  <w:style w:type="character" w:customStyle="1" w:styleId="155">
    <w:name w:val="unnamed11"/>
    <w:qFormat/>
    <w:uiPriority w:val="0"/>
    <w:rPr>
      <w:sz w:val="20"/>
      <w:szCs w:val="20"/>
    </w:rPr>
  </w:style>
  <w:style w:type="character" w:customStyle="1" w:styleId="156">
    <w:name w:val="标题 1 Char Char"/>
    <w:qFormat/>
    <w:uiPriority w:val="0"/>
    <w:rPr>
      <w:rFonts w:eastAsia="宋体"/>
      <w:b/>
      <w:spacing w:val="-2"/>
      <w:sz w:val="24"/>
      <w:lang w:val="en-US" w:eastAsia="zh-CN" w:bidi="ar-SA"/>
    </w:rPr>
  </w:style>
  <w:style w:type="character" w:customStyle="1" w:styleId="157">
    <w:name w:val="line1"/>
    <w:qFormat/>
    <w:uiPriority w:val="0"/>
    <w:rPr>
      <w:u w:val="none"/>
    </w:rPr>
  </w:style>
  <w:style w:type="character" w:customStyle="1" w:styleId="158">
    <w:name w:val="point_normal1"/>
    <w:qFormat/>
    <w:uiPriority w:val="0"/>
    <w:rPr>
      <w:rFonts w:hint="default" w:ascii="Arial" w:hAnsi="Arial" w:cs="Arial"/>
      <w:sz w:val="18"/>
      <w:szCs w:val="18"/>
    </w:rPr>
  </w:style>
  <w:style w:type="character" w:customStyle="1" w:styleId="159">
    <w:name w:val="样式 小四"/>
    <w:qFormat/>
    <w:uiPriority w:val="0"/>
    <w:rPr>
      <w:sz w:val="21"/>
    </w:rPr>
  </w:style>
  <w:style w:type="character" w:customStyle="1" w:styleId="160">
    <w:name w:val="para"/>
    <w:basedOn w:val="58"/>
    <w:qFormat/>
    <w:uiPriority w:val="0"/>
  </w:style>
  <w:style w:type="character" w:customStyle="1" w:styleId="161">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162">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163">
    <w:name w:val="A C"/>
    <w:qFormat/>
    <w:uiPriority w:val="0"/>
    <w:rPr>
      <w:rFonts w:ascii="仿宋_GB2312"/>
      <w:bCs/>
      <w:iCs/>
      <w:sz w:val="24"/>
    </w:rPr>
  </w:style>
  <w:style w:type="character" w:customStyle="1" w:styleId="164">
    <w:name w:val="huide001"/>
    <w:qFormat/>
    <w:uiPriority w:val="0"/>
    <w:rPr>
      <w:rFonts w:hint="default" w:ascii="Arial" w:hAnsi="Arial" w:cs="Arial"/>
      <w:color w:val="666666"/>
      <w:sz w:val="18"/>
      <w:szCs w:val="18"/>
    </w:rPr>
  </w:style>
  <w:style w:type="character" w:customStyle="1" w:styleId="165">
    <w:name w:val="tw4winMark"/>
    <w:qFormat/>
    <w:uiPriority w:val="0"/>
    <w:rPr>
      <w:rFonts w:ascii="Courier New" w:hAnsi="Courier New"/>
      <w:vanish/>
      <w:color w:val="800080"/>
      <w:vertAlign w:val="subscript"/>
    </w:rPr>
  </w:style>
  <w:style w:type="character" w:customStyle="1" w:styleId="166">
    <w:name w:val="tw4winError"/>
    <w:qFormat/>
    <w:uiPriority w:val="0"/>
    <w:rPr>
      <w:rFonts w:ascii="Courier New" w:hAnsi="Courier New"/>
      <w:color w:val="00FF00"/>
      <w:sz w:val="40"/>
    </w:rPr>
  </w:style>
  <w:style w:type="character" w:customStyle="1" w:styleId="167">
    <w:name w:val="tw4winTerm"/>
    <w:qFormat/>
    <w:uiPriority w:val="0"/>
    <w:rPr>
      <w:color w:val="0000FF"/>
    </w:rPr>
  </w:style>
  <w:style w:type="character" w:customStyle="1" w:styleId="168">
    <w:name w:val="tw4winPopup"/>
    <w:qFormat/>
    <w:uiPriority w:val="0"/>
    <w:rPr>
      <w:rFonts w:ascii="Courier New" w:hAnsi="Courier New"/>
      <w:color w:val="008000"/>
    </w:rPr>
  </w:style>
  <w:style w:type="character" w:customStyle="1" w:styleId="169">
    <w:name w:val="tw4winJump"/>
    <w:qFormat/>
    <w:uiPriority w:val="0"/>
    <w:rPr>
      <w:rFonts w:ascii="Courier New" w:hAnsi="Courier New"/>
      <w:color w:val="008080"/>
    </w:rPr>
  </w:style>
  <w:style w:type="character" w:customStyle="1" w:styleId="170">
    <w:name w:val="tw4winExternal"/>
    <w:qFormat/>
    <w:uiPriority w:val="0"/>
    <w:rPr>
      <w:rFonts w:ascii="Courier New" w:hAnsi="Courier New"/>
      <w:color w:val="808080"/>
    </w:rPr>
  </w:style>
  <w:style w:type="character" w:customStyle="1" w:styleId="171">
    <w:name w:val="tw4winInternal"/>
    <w:qFormat/>
    <w:uiPriority w:val="0"/>
    <w:rPr>
      <w:rFonts w:ascii="Courier New" w:hAnsi="Courier New"/>
      <w:color w:val="FF0000"/>
    </w:rPr>
  </w:style>
  <w:style w:type="paragraph" w:customStyle="1" w:styleId="172">
    <w:name w:val="样式 样式 标题 4 + 段后: 0.5 行1"/>
    <w:basedOn w:val="173"/>
    <w:next w:val="34"/>
    <w:qFormat/>
    <w:uiPriority w:val="0"/>
    <w:pPr>
      <w:spacing w:after="120"/>
    </w:pPr>
  </w:style>
  <w:style w:type="paragraph" w:customStyle="1" w:styleId="173">
    <w:name w:val="样式 标题 4 + 段后: 0.5 行"/>
    <w:basedOn w:val="7"/>
    <w:qFormat/>
    <w:uiPriority w:val="0"/>
    <w:pPr>
      <w:keepLines w:val="0"/>
      <w:spacing w:before="120" w:afterLines="50" w:line="240" w:lineRule="auto"/>
    </w:pPr>
    <w:rPr>
      <w:rFonts w:ascii="宋体" w:hAnsi="Times New Roman" w:eastAsia="宋体" w:cs="宋体"/>
      <w:snapToGrid w:val="0"/>
      <w:kern w:val="0"/>
      <w:szCs w:val="20"/>
    </w:rPr>
  </w:style>
  <w:style w:type="paragraph" w:customStyle="1" w:styleId="174">
    <w:name w:val="Bullet1"/>
    <w:basedOn w:val="1"/>
    <w:qFormat/>
    <w:uiPriority w:val="0"/>
    <w:pPr>
      <w:spacing w:afterLines="50"/>
      <w:ind w:left="720" w:hanging="432"/>
    </w:pPr>
    <w:rPr>
      <w:rFonts w:ascii="宋体"/>
      <w:snapToGrid w:val="0"/>
      <w:kern w:val="0"/>
      <w:szCs w:val="20"/>
    </w:rPr>
  </w:style>
  <w:style w:type="paragraph" w:customStyle="1" w:styleId="175">
    <w:name w:val="font5"/>
    <w:basedOn w:val="1"/>
    <w:qFormat/>
    <w:uiPriority w:val="0"/>
    <w:pPr>
      <w:widowControl/>
      <w:spacing w:before="100" w:beforeAutospacing="1" w:after="100" w:afterAutospacing="1"/>
    </w:pPr>
    <w:rPr>
      <w:rFonts w:hint="eastAsia" w:ascii="宋体" w:hAnsi="宋体"/>
      <w:kern w:val="0"/>
      <w:sz w:val="18"/>
      <w:szCs w:val="18"/>
    </w:rPr>
  </w:style>
  <w:style w:type="paragraph" w:customStyle="1" w:styleId="176">
    <w:name w:val="标准标题1"/>
    <w:basedOn w:val="2"/>
    <w:qFormat/>
    <w:uiPriority w:val="0"/>
    <w:pPr>
      <w:pageBreakBefore/>
      <w:tabs>
        <w:tab w:val="left" w:pos="360"/>
        <w:tab w:val="left" w:pos="1080"/>
      </w:tabs>
      <w:ind w:left="425" w:hanging="425"/>
    </w:pPr>
    <w:rPr>
      <w:rFonts w:eastAsia="仿宋_GB2312"/>
      <w:sz w:val="32"/>
    </w:rPr>
  </w:style>
  <w:style w:type="character" w:customStyle="1" w:styleId="177">
    <w:name w:val="脚注文本 Char1"/>
    <w:basedOn w:val="58"/>
    <w:semiHidden/>
    <w:qFormat/>
    <w:uiPriority w:val="99"/>
    <w:rPr>
      <w:rFonts w:ascii="Times New Roman" w:hAnsi="Times New Roman" w:eastAsia="宋体" w:cs="Times New Roman"/>
      <w:sz w:val="18"/>
      <w:szCs w:val="18"/>
    </w:rPr>
  </w:style>
  <w:style w:type="paragraph" w:customStyle="1" w:styleId="178">
    <w:name w:val="样式 标题 2Chapter X.X. Statementh22Header 2l2Level 2 Headhea..."/>
    <w:basedOn w:val="4"/>
    <w:qFormat/>
    <w:uiPriority w:val="0"/>
    <w:pPr>
      <w:tabs>
        <w:tab w:val="left" w:pos="720"/>
      </w:tabs>
      <w:adjustRightInd/>
      <w:snapToGrid/>
      <w:spacing w:afterLines="50" w:line="240" w:lineRule="auto"/>
      <w:textAlignment w:val="auto"/>
    </w:pPr>
    <w:rPr>
      <w:rFonts w:ascii="宋体" w:eastAsia="宋体" w:cs="宋体"/>
      <w:bCs/>
      <w:snapToGrid w:val="0"/>
      <w:sz w:val="24"/>
      <w:szCs w:val="24"/>
    </w:rPr>
  </w:style>
  <w:style w:type="paragraph" w:customStyle="1" w:styleId="179">
    <w:name w:val="此正文"/>
    <w:basedOn w:val="1"/>
    <w:qFormat/>
    <w:uiPriority w:val="0"/>
    <w:pPr>
      <w:ind w:firstLine="200"/>
    </w:pPr>
    <w:rPr>
      <w:sz w:val="24"/>
      <w:szCs w:val="20"/>
    </w:rPr>
  </w:style>
  <w:style w:type="paragraph" w:customStyle="1" w:styleId="180">
    <w:name w:val="样式 标题 3Chapter X.X.X"/>
    <w:basedOn w:val="181"/>
    <w:qFormat/>
    <w:uiPriority w:val="0"/>
    <w:pPr>
      <w:tabs>
        <w:tab w:val="left" w:pos="709"/>
      </w:tabs>
      <w:spacing w:after="120"/>
    </w:pPr>
  </w:style>
  <w:style w:type="paragraph" w:customStyle="1" w:styleId="181">
    <w:name w:val="标题 3Chapter X.X.X. + 段后: 0.5 行 + 段后: 0.5 行 + 段后: 0.5 行1"/>
    <w:basedOn w:val="182"/>
    <w:qFormat/>
    <w:uiPriority w:val="0"/>
    <w:pPr>
      <w:tabs>
        <w:tab w:val="left" w:pos="709"/>
      </w:tabs>
    </w:pPr>
  </w:style>
  <w:style w:type="paragraph" w:customStyle="1" w:styleId="182">
    <w:name w:val="样式 样式 标题 3Chapter X.X.X. + 段后: 0.5 行 + 段后: 0.5 行"/>
    <w:basedOn w:val="183"/>
    <w:qFormat/>
    <w:uiPriority w:val="0"/>
    <w:pPr>
      <w:tabs>
        <w:tab w:val="left" w:pos="709"/>
      </w:tabs>
    </w:pPr>
  </w:style>
  <w:style w:type="paragraph" w:customStyle="1" w:styleId="183">
    <w:name w:val="样式 标题 3Chapter X.X.X. + 段后: 0.5 行"/>
    <w:basedOn w:val="5"/>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character" w:customStyle="1" w:styleId="184">
    <w:name w:val="正文文本 Char1"/>
    <w:basedOn w:val="58"/>
    <w:semiHidden/>
    <w:qFormat/>
    <w:uiPriority w:val="99"/>
    <w:rPr>
      <w:rFonts w:ascii="Times New Roman" w:hAnsi="Times New Roman" w:eastAsia="宋体" w:cs="Times New Roman"/>
      <w:szCs w:val="20"/>
    </w:rPr>
  </w:style>
  <w:style w:type="character" w:customStyle="1" w:styleId="185">
    <w:name w:val="尾注文本 字符"/>
    <w:basedOn w:val="58"/>
    <w:link w:val="34"/>
    <w:semiHidden/>
    <w:qFormat/>
    <w:uiPriority w:val="0"/>
    <w:rPr>
      <w:rFonts w:ascii="宋体"/>
      <w:snapToGrid w:val="0"/>
      <w:sz w:val="21"/>
    </w:rPr>
  </w:style>
  <w:style w:type="paragraph" w:customStyle="1" w:styleId="186">
    <w:name w:val="样式 标题 2"/>
    <w:basedOn w:val="4"/>
    <w:next w:val="187"/>
    <w:qFormat/>
    <w:uiPriority w:val="0"/>
    <w:pPr>
      <w:tabs>
        <w:tab w:val="left" w:pos="720"/>
      </w:tabs>
      <w:adjustRightInd/>
      <w:snapToGrid/>
      <w:spacing w:afterLines="50" w:line="240" w:lineRule="auto"/>
      <w:ind w:left="380" w:hanging="380"/>
      <w:textAlignment w:val="auto"/>
    </w:pPr>
    <w:rPr>
      <w:rFonts w:ascii="宋体" w:eastAsia="宋体" w:cs="宋体"/>
      <w:bCs/>
      <w:snapToGrid w:val="0"/>
      <w:sz w:val="28"/>
    </w:rPr>
  </w:style>
  <w:style w:type="paragraph" w:customStyle="1" w:styleId="187">
    <w:name w:val="最新标题3"/>
    <w:basedOn w:val="188"/>
    <w:next w:val="189"/>
    <w:qFormat/>
    <w:uiPriority w:val="0"/>
    <w:pPr>
      <w:tabs>
        <w:tab w:val="left" w:pos="709"/>
      </w:tabs>
      <w:spacing w:after="120"/>
    </w:pPr>
  </w:style>
  <w:style w:type="paragraph" w:customStyle="1" w:styleId="188">
    <w:name w:val="样式 标题 3"/>
    <w:basedOn w:val="5"/>
    <w:next w:val="189"/>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89">
    <w:name w:val="最新标题4"/>
    <w:basedOn w:val="190"/>
    <w:next w:val="1"/>
    <w:qFormat/>
    <w:uiPriority w:val="0"/>
    <w:pPr>
      <w:tabs>
        <w:tab w:val="left" w:pos="2100"/>
      </w:tabs>
      <w:spacing w:after="120"/>
      <w:ind w:left="0" w:firstLine="0"/>
    </w:pPr>
  </w:style>
  <w:style w:type="paragraph" w:customStyle="1" w:styleId="190">
    <w:name w:val="样式 标题 4"/>
    <w:basedOn w:val="191"/>
    <w:next w:val="192"/>
    <w:qFormat/>
    <w:uiPriority w:val="0"/>
    <w:pPr>
      <w:tabs>
        <w:tab w:val="left" w:pos="2100"/>
      </w:tabs>
      <w:spacing w:after="50"/>
      <w:ind w:left="2100" w:hanging="420"/>
    </w:pPr>
  </w:style>
  <w:style w:type="paragraph" w:customStyle="1" w:styleId="191">
    <w:name w:val="样式 标题 4Chapter X.X.X.X. + 段后: 0.5 行1"/>
    <w:basedOn w:val="173"/>
    <w:qFormat/>
    <w:uiPriority w:val="0"/>
    <w:pPr>
      <w:spacing w:after="120"/>
    </w:pPr>
  </w:style>
  <w:style w:type="paragraph" w:customStyle="1" w:styleId="192">
    <w:name w:val="样式 正文"/>
    <w:basedOn w:val="1"/>
    <w:next w:val="1"/>
    <w:qFormat/>
    <w:uiPriority w:val="0"/>
    <w:pPr>
      <w:spacing w:afterLines="50"/>
    </w:pPr>
    <w:rPr>
      <w:rFonts w:ascii="宋体" w:cs="宋体"/>
      <w:snapToGrid w:val="0"/>
      <w:kern w:val="0"/>
      <w:szCs w:val="20"/>
    </w:rPr>
  </w:style>
  <w:style w:type="paragraph" w:customStyle="1" w:styleId="193">
    <w:name w:val="样式 标题 2Chapter X.X. Statementh22Header 2l2Level 2 Headhea...1"/>
    <w:basedOn w:val="5"/>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94">
    <w:name w:val="表格标题"/>
    <w:basedOn w:val="195"/>
    <w:qFormat/>
    <w:uiPriority w:val="0"/>
    <w:pPr>
      <w:jc w:val="center"/>
    </w:pPr>
    <w:rPr>
      <w:b/>
      <w:bCs/>
      <w:i/>
      <w:iCs/>
    </w:rPr>
  </w:style>
  <w:style w:type="paragraph" w:customStyle="1" w:styleId="195">
    <w:name w:val="表格内容"/>
    <w:basedOn w:val="20"/>
    <w:qFormat/>
    <w:uiPriority w:val="0"/>
    <w:pPr>
      <w:suppressLineNumbers/>
      <w:suppressAutoHyphens/>
    </w:pPr>
    <w:rPr>
      <w:rFonts w:asciiTheme="minorHAnsi" w:hAnsiTheme="minorHAnsi" w:eastAsiaTheme="minorEastAsia" w:cstheme="minorBidi"/>
      <w:kern w:val="1"/>
      <w:lang w:eastAsia="ar-SA"/>
    </w:rPr>
  </w:style>
  <w:style w:type="paragraph" w:customStyle="1" w:styleId="196">
    <w:name w:val="标准标题3"/>
    <w:basedOn w:val="5"/>
    <w:qFormat/>
    <w:uiPriority w:val="0"/>
    <w:pPr>
      <w:tabs>
        <w:tab w:val="left" w:pos="709"/>
        <w:tab w:val="left" w:pos="1050"/>
      </w:tabs>
      <w:spacing w:line="240" w:lineRule="auto"/>
      <w:ind w:left="-258" w:leftChars="-258" w:firstLine="0" w:firstLineChars="0"/>
    </w:pPr>
    <w:rPr>
      <w:rFonts w:ascii="Times New Roman"/>
      <w:sz w:val="28"/>
      <w:szCs w:val="32"/>
    </w:rPr>
  </w:style>
  <w:style w:type="paragraph" w:customStyle="1" w:styleId="197">
    <w:name w:val="paragraph1"/>
    <w:basedOn w:val="1"/>
    <w:qFormat/>
    <w:uiPriority w:val="0"/>
    <w:pPr>
      <w:spacing w:afterLines="30"/>
      <w:ind w:firstLine="420"/>
    </w:pPr>
    <w:rPr>
      <w:rFonts w:eastAsia="楷体_GB2312"/>
      <w:sz w:val="24"/>
      <w:szCs w:val="20"/>
    </w:rPr>
  </w:style>
  <w:style w:type="paragraph" w:customStyle="1" w:styleId="198">
    <w:name w:val="Char Char Char Char1 Char Char"/>
    <w:basedOn w:val="1"/>
    <w:qFormat/>
    <w:uiPriority w:val="0"/>
    <w:pPr>
      <w:widowControl/>
      <w:spacing w:after="160" w:line="240" w:lineRule="exact"/>
    </w:pPr>
    <w:rPr>
      <w:rFonts w:ascii="Verdana" w:hAnsi="Verdana"/>
      <w:kern w:val="0"/>
      <w:sz w:val="20"/>
      <w:szCs w:val="20"/>
      <w:lang w:eastAsia="en-US"/>
    </w:rPr>
  </w:style>
  <w:style w:type="paragraph" w:customStyle="1" w:styleId="199">
    <w:name w:val="最新标题2"/>
    <w:basedOn w:val="186"/>
    <w:next w:val="187"/>
    <w:qFormat/>
    <w:uiPriority w:val="0"/>
  </w:style>
  <w:style w:type="paragraph" w:customStyle="1" w:styleId="200">
    <w:name w:val="Paragraph2"/>
    <w:basedOn w:val="1"/>
    <w:qFormat/>
    <w:uiPriority w:val="0"/>
    <w:pPr>
      <w:spacing w:before="80" w:afterLines="50"/>
      <w:ind w:left="720"/>
    </w:pPr>
    <w:rPr>
      <w:rFonts w:ascii="宋体"/>
      <w:snapToGrid w:val="0"/>
      <w:color w:val="000000"/>
      <w:kern w:val="0"/>
      <w:szCs w:val="20"/>
      <w:lang w:val="en-AU"/>
    </w:rPr>
  </w:style>
  <w:style w:type="paragraph" w:customStyle="1" w:styleId="201">
    <w:name w:val="样式 样式 正文文本缩进 + 仿宋_GB2312 小四 首行缩进:  0 厘米 行距: 1.5 倍行距 + (中文) 仿宋_GB..."/>
    <w:basedOn w:val="202"/>
    <w:qFormat/>
    <w:uiPriority w:val="0"/>
    <w:pPr>
      <w:ind w:firstLine="480"/>
    </w:pPr>
  </w:style>
  <w:style w:type="paragraph" w:customStyle="1" w:styleId="202">
    <w:name w:val="样式 正文文本缩进 + 仿宋_GB2312 小四 首行缩进:  0 厘米 行距: 1.5 倍行距"/>
    <w:basedOn w:val="22"/>
    <w:qFormat/>
    <w:uiPriority w:val="0"/>
    <w:pPr>
      <w:spacing w:line="360" w:lineRule="auto"/>
      <w:ind w:firstLine="0"/>
    </w:pPr>
    <w:rPr>
      <w:rFonts w:ascii="仿宋_GB2312" w:hAnsi="Times New Roman" w:eastAsia="新宋体"/>
      <w:spacing w:val="0"/>
      <w:sz w:val="24"/>
    </w:rPr>
  </w:style>
  <w:style w:type="paragraph" w:customStyle="1" w:styleId="203">
    <w:name w:val="样式 标题 1 + 段后: 0.5 行"/>
    <w:basedOn w:val="2"/>
    <w:qFormat/>
    <w:uiPriority w:val="0"/>
    <w:pPr>
      <w:keepLines w:val="0"/>
      <w:tabs>
        <w:tab w:val="left" w:pos="360"/>
      </w:tabs>
      <w:spacing w:before="120" w:afterLines="50" w:line="240" w:lineRule="auto"/>
      <w:jc w:val="left"/>
    </w:pPr>
    <w:rPr>
      <w:rFonts w:ascii="宋体" w:cs="宋体"/>
      <w:snapToGrid w:val="0"/>
      <w:kern w:val="0"/>
      <w:sz w:val="28"/>
      <w:szCs w:val="20"/>
    </w:rPr>
  </w:style>
  <w:style w:type="paragraph" w:customStyle="1" w:styleId="204">
    <w:name w:val="Table - Text"/>
    <w:basedOn w:val="1"/>
    <w:qFormat/>
    <w:uiPriority w:val="0"/>
    <w:pPr>
      <w:widowControl/>
      <w:spacing w:before="60" w:afterLines="50"/>
    </w:pPr>
    <w:rPr>
      <w:kern w:val="0"/>
      <w:szCs w:val="20"/>
      <w:lang w:eastAsia="en-US"/>
    </w:rPr>
  </w:style>
  <w:style w:type="paragraph" w:customStyle="1" w:styleId="205">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206">
    <w:name w:val="沈标题四"/>
    <w:basedOn w:val="7"/>
    <w:next w:val="1"/>
    <w:qFormat/>
    <w:uiPriority w:val="0"/>
    <w:pPr>
      <w:keepNext w:val="0"/>
      <w:keepLines w:val="0"/>
      <w:spacing w:line="377" w:lineRule="auto"/>
    </w:pPr>
    <w:rPr>
      <w:rFonts w:ascii="Arial Narrow" w:hAnsi="Arial Narrow" w:eastAsia="方正姚体"/>
      <w:b w:val="0"/>
      <w:sz w:val="24"/>
      <w:szCs w:val="24"/>
    </w:rPr>
  </w:style>
  <w:style w:type="paragraph" w:customStyle="1" w:styleId="207">
    <w:name w:val="S4-L15"/>
    <w:basedOn w:val="1"/>
    <w:qFormat/>
    <w:uiPriority w:val="0"/>
    <w:pPr>
      <w:spacing w:after="120"/>
      <w:ind w:left="720" w:firstLine="392"/>
    </w:pPr>
    <w:rPr>
      <w:szCs w:val="21"/>
      <w:lang w:val="fr-FR"/>
    </w:rPr>
  </w:style>
  <w:style w:type="paragraph" w:customStyle="1" w:styleId="208">
    <w:name w:val="Figure Description"/>
    <w:next w:val="1"/>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209">
    <w:name w:val="样式 标题 4Chapter X.X.X. + 段后: 0.5 行1 + 段后: 0.5 行"/>
    <w:basedOn w:val="210"/>
    <w:qFormat/>
    <w:uiPriority w:val="0"/>
    <w:rPr>
      <w:szCs w:val="21"/>
    </w:rPr>
  </w:style>
  <w:style w:type="paragraph" w:customStyle="1" w:styleId="210">
    <w:name w:val="样式 标题 4Chapter X.X.X. + 段后: 0.5 行1"/>
    <w:basedOn w:val="7"/>
    <w:next w:val="7"/>
    <w:qFormat/>
    <w:uiPriority w:val="0"/>
    <w:pPr>
      <w:keepLines w:val="0"/>
      <w:spacing w:before="120" w:afterLines="50" w:line="240" w:lineRule="auto"/>
      <w:ind w:left="425" w:hanging="425"/>
    </w:pPr>
    <w:rPr>
      <w:rFonts w:ascii="宋体" w:hAnsi="Times New Roman" w:eastAsia="宋体" w:cs="宋体"/>
      <w:snapToGrid w:val="0"/>
      <w:kern w:val="0"/>
      <w:szCs w:val="20"/>
    </w:rPr>
  </w:style>
  <w:style w:type="paragraph" w:customStyle="1" w:styleId="211">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12">
    <w:name w:val="Table - Col. Head"/>
    <w:basedOn w:val="1"/>
    <w:qFormat/>
    <w:uiPriority w:val="0"/>
    <w:pPr>
      <w:keepNext/>
      <w:widowControl/>
      <w:spacing w:before="60" w:afterLines="50"/>
    </w:pPr>
    <w:rPr>
      <w:rFonts w:ascii="Arial" w:hAnsi="Arial"/>
      <w:b/>
      <w:kern w:val="0"/>
      <w:sz w:val="18"/>
      <w:szCs w:val="20"/>
      <w:lang w:eastAsia="en-US"/>
    </w:rPr>
  </w:style>
  <w:style w:type="paragraph" w:customStyle="1" w:styleId="213">
    <w:name w:val="Paragraph1"/>
    <w:basedOn w:val="1"/>
    <w:qFormat/>
    <w:uiPriority w:val="0"/>
    <w:pPr>
      <w:spacing w:before="80" w:afterLines="50"/>
    </w:pPr>
    <w:rPr>
      <w:rFonts w:ascii="宋体"/>
      <w:snapToGrid w:val="0"/>
      <w:kern w:val="0"/>
      <w:szCs w:val="20"/>
    </w:rPr>
  </w:style>
  <w:style w:type="character" w:customStyle="1" w:styleId="214">
    <w:name w:val="HTML 预设格式 字符"/>
    <w:basedOn w:val="58"/>
    <w:link w:val="48"/>
    <w:qFormat/>
    <w:uiPriority w:val="0"/>
    <w:rPr>
      <w:rFonts w:ascii="Arial" w:hAnsi="Arial" w:cs="Arial"/>
      <w:sz w:val="24"/>
      <w:szCs w:val="24"/>
    </w:rPr>
  </w:style>
  <w:style w:type="paragraph" w:customStyle="1" w:styleId="215">
    <w:name w:val="S4-L15-No"/>
    <w:basedOn w:val="207"/>
    <w:qFormat/>
    <w:uiPriority w:val="0"/>
    <w:pPr>
      <w:tabs>
        <w:tab w:val="left" w:pos="720"/>
      </w:tabs>
      <w:ind w:hanging="720"/>
    </w:pPr>
  </w:style>
  <w:style w:type="paragraph" w:customStyle="1" w:styleId="216">
    <w:name w:val="样式 样式 样式 标题 3Chapter X.X.X. + 段后: 0.5 行 + 段后: 0.5 行 + 段后: 0.5 行"/>
    <w:basedOn w:val="182"/>
    <w:qFormat/>
    <w:uiPriority w:val="0"/>
    <w:pPr>
      <w:spacing w:after="120"/>
    </w:pPr>
  </w:style>
  <w:style w:type="character" w:customStyle="1" w:styleId="217">
    <w:name w:val="正文文本首行缩进 字符"/>
    <w:basedOn w:val="71"/>
    <w:link w:val="21"/>
    <w:semiHidden/>
    <w:qFormat/>
    <w:uiPriority w:val="0"/>
    <w:rPr>
      <w:kern w:val="2"/>
      <w:sz w:val="21"/>
      <w:szCs w:val="24"/>
    </w:rPr>
  </w:style>
  <w:style w:type="paragraph" w:customStyle="1" w:styleId="218">
    <w:name w:val="Paragraph3"/>
    <w:basedOn w:val="1"/>
    <w:qFormat/>
    <w:uiPriority w:val="0"/>
    <w:pPr>
      <w:spacing w:before="80" w:afterLines="50"/>
      <w:ind w:left="1530"/>
    </w:pPr>
    <w:rPr>
      <w:rFonts w:ascii="宋体"/>
      <w:snapToGrid w:val="0"/>
      <w:kern w:val="0"/>
      <w:szCs w:val="20"/>
    </w:rPr>
  </w:style>
  <w:style w:type="character" w:customStyle="1" w:styleId="219">
    <w:name w:val="文档结构图 字符"/>
    <w:basedOn w:val="58"/>
    <w:link w:val="17"/>
    <w:semiHidden/>
    <w:qFormat/>
    <w:uiPriority w:val="0"/>
    <w:rPr>
      <w:kern w:val="2"/>
      <w:sz w:val="21"/>
      <w:szCs w:val="24"/>
      <w:shd w:val="clear" w:color="auto" w:fill="000080"/>
    </w:rPr>
  </w:style>
  <w:style w:type="paragraph" w:customStyle="1" w:styleId="22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1">
    <w:name w:val="样式 标题 3Chapter X.X.X. + 五号 段后: 0.5 行"/>
    <w:basedOn w:val="5"/>
    <w:qFormat/>
    <w:uiPriority w:val="0"/>
    <w:pPr>
      <w:keepLines w:val="0"/>
      <w:tabs>
        <w:tab w:val="left" w:pos="709"/>
      </w:tabs>
      <w:spacing w:before="120" w:afterLines="50" w:line="240" w:lineRule="auto"/>
      <w:ind w:firstLine="0" w:firstLineChars="0"/>
    </w:pPr>
    <w:rPr>
      <w:rFonts w:ascii="宋体" w:eastAsia="宋体" w:cs="宋体"/>
      <w:snapToGrid w:val="0"/>
      <w:kern w:val="0"/>
    </w:rPr>
  </w:style>
  <w:style w:type="paragraph" w:customStyle="1" w:styleId="222">
    <w:name w:val="huide00"/>
    <w:basedOn w:val="1"/>
    <w:qFormat/>
    <w:uiPriority w:val="0"/>
    <w:pPr>
      <w:widowControl/>
      <w:spacing w:before="100" w:beforeAutospacing="1" w:after="100" w:afterAutospacing="1"/>
    </w:pPr>
    <w:rPr>
      <w:rFonts w:ascii="Arial" w:hAnsi="Arial" w:eastAsia="Arial Unicode MS" w:cs="Arial"/>
      <w:color w:val="666666"/>
      <w:kern w:val="0"/>
      <w:sz w:val="18"/>
      <w:szCs w:val="18"/>
    </w:rPr>
  </w:style>
  <w:style w:type="paragraph" w:customStyle="1" w:styleId="223">
    <w:name w:val="Table Description"/>
    <w:next w:val="1"/>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224">
    <w:name w:val="S4-I-L15-U"/>
    <w:basedOn w:val="1"/>
    <w:qFormat/>
    <w:uiPriority w:val="0"/>
    <w:rPr>
      <w:b/>
      <w:i/>
      <w:sz w:val="24"/>
      <w:u w:val="single"/>
    </w:rPr>
  </w:style>
  <w:style w:type="paragraph" w:customStyle="1" w:styleId="225">
    <w:name w:val="InfoBlue"/>
    <w:basedOn w:val="1"/>
    <w:next w:val="20"/>
    <w:qFormat/>
    <w:uiPriority w:val="0"/>
    <w:pPr>
      <w:spacing w:afterLines="50"/>
      <w:ind w:left="720"/>
    </w:pPr>
    <w:rPr>
      <w:rFonts w:ascii="宋体"/>
      <w:i/>
      <w:snapToGrid w:val="0"/>
      <w:color w:val="0000FF"/>
      <w:kern w:val="0"/>
      <w:szCs w:val="20"/>
    </w:rPr>
  </w:style>
  <w:style w:type="paragraph" w:customStyle="1" w:styleId="226">
    <w:name w:val="标准标题2"/>
    <w:basedOn w:val="4"/>
    <w:qFormat/>
    <w:uiPriority w:val="0"/>
    <w:pPr>
      <w:keepLines/>
      <w:tabs>
        <w:tab w:val="left" w:pos="720"/>
      </w:tabs>
      <w:adjustRightInd/>
      <w:snapToGrid/>
      <w:spacing w:before="260" w:after="260"/>
      <w:jc w:val="both"/>
      <w:textAlignment w:val="auto"/>
    </w:pPr>
    <w:rPr>
      <w:rFonts w:ascii="Arial" w:hAnsi="Arial"/>
      <w:kern w:val="2"/>
      <w:sz w:val="28"/>
      <w:szCs w:val="32"/>
    </w:rPr>
  </w:style>
  <w:style w:type="paragraph" w:customStyle="1" w:styleId="227">
    <w:name w:val="样式 左侧:  1 厘米 段后: 0.5 行"/>
    <w:basedOn w:val="1"/>
    <w:qFormat/>
    <w:uiPriority w:val="0"/>
    <w:pPr>
      <w:spacing w:afterLines="50"/>
      <w:ind w:firstLine="425"/>
    </w:pPr>
    <w:rPr>
      <w:rFonts w:ascii="宋体" w:cs="宋体"/>
      <w:snapToGrid w:val="0"/>
      <w:kern w:val="0"/>
      <w:szCs w:val="20"/>
    </w:rPr>
  </w:style>
  <w:style w:type="paragraph" w:customStyle="1" w:styleId="228">
    <w:name w:val="Char Char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229">
    <w:name w:val="样式7"/>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30">
    <w:name w:val="样式 标题1"/>
    <w:basedOn w:val="203"/>
    <w:next w:val="199"/>
    <w:qFormat/>
    <w:uiPriority w:val="0"/>
    <w:pPr>
      <w:tabs>
        <w:tab w:val="left" w:pos="1140"/>
      </w:tabs>
      <w:spacing w:after="50"/>
      <w:ind w:left="1140" w:hanging="720"/>
    </w:pPr>
    <w:rPr>
      <w:bCs w:val="0"/>
      <w:sz w:val="32"/>
    </w:rPr>
  </w:style>
  <w:style w:type="paragraph" w:customStyle="1" w:styleId="231">
    <w:name w:val="Tabletext"/>
    <w:basedOn w:val="1"/>
    <w:qFormat/>
    <w:uiPriority w:val="0"/>
    <w:pPr>
      <w:keepLines/>
      <w:spacing w:afterLines="50"/>
    </w:pPr>
    <w:rPr>
      <w:rFonts w:ascii="宋体"/>
      <w:snapToGrid w:val="0"/>
      <w:kern w:val="0"/>
      <w:szCs w:val="20"/>
    </w:rPr>
  </w:style>
  <w:style w:type="paragraph" w:customStyle="1" w:styleId="232">
    <w:name w:val="文档正文"/>
    <w:basedOn w:val="1"/>
    <w:qFormat/>
    <w:uiPriority w:val="0"/>
    <w:pPr>
      <w:adjustRightInd w:val="0"/>
      <w:spacing w:line="440" w:lineRule="exact"/>
      <w:ind w:firstLine="567"/>
      <w:textAlignment w:val="baseline"/>
    </w:pPr>
    <w:rPr>
      <w:rFonts w:ascii="Arial Narrow" w:hAnsi="Arial Narrow"/>
      <w:kern w:val="0"/>
      <w:sz w:val="24"/>
    </w:rPr>
  </w:style>
  <w:style w:type="paragraph" w:customStyle="1" w:styleId="233">
    <w:name w:val="Bullet2"/>
    <w:basedOn w:val="1"/>
    <w:qFormat/>
    <w:uiPriority w:val="0"/>
    <w:pPr>
      <w:spacing w:afterLines="50"/>
      <w:ind w:left="1440" w:hanging="360"/>
    </w:pPr>
    <w:rPr>
      <w:rFonts w:ascii="宋体"/>
      <w:snapToGrid w:val="0"/>
      <w:color w:val="000080"/>
      <w:kern w:val="0"/>
      <w:szCs w:val="20"/>
    </w:rPr>
  </w:style>
  <w:style w:type="paragraph" w:customStyle="1" w:styleId="234">
    <w:name w:val="Item List"/>
    <w:qFormat/>
    <w:uiPriority w:val="0"/>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235">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236">
    <w:name w:val="Bullet"/>
    <w:basedOn w:val="1"/>
    <w:qFormat/>
    <w:uiPriority w:val="0"/>
    <w:pPr>
      <w:widowControl/>
      <w:tabs>
        <w:tab w:val="left" w:pos="720"/>
        <w:tab w:val="left" w:pos="964"/>
      </w:tabs>
      <w:spacing w:before="120" w:afterLines="50"/>
      <w:ind w:left="720" w:right="360" w:hanging="482"/>
    </w:pPr>
    <w:rPr>
      <w:rFonts w:ascii="宋体"/>
      <w:snapToGrid w:val="0"/>
      <w:kern w:val="0"/>
      <w:szCs w:val="20"/>
    </w:rPr>
  </w:style>
  <w:style w:type="paragraph" w:customStyle="1" w:styleId="237">
    <w:name w:val="S4-L15-C"/>
    <w:basedOn w:val="1"/>
    <w:qFormat/>
    <w:uiPriority w:val="0"/>
    <w:pPr>
      <w:spacing w:after="120"/>
      <w:jc w:val="center"/>
    </w:pPr>
    <w:rPr>
      <w:szCs w:val="21"/>
    </w:rPr>
  </w:style>
  <w:style w:type="paragraph" w:customStyle="1" w:styleId="238">
    <w:name w:val="二级项目符号"/>
    <w:basedOn w:val="1"/>
    <w:qFormat/>
    <w:uiPriority w:val="0"/>
    <w:pPr>
      <w:widowControl/>
      <w:tabs>
        <w:tab w:val="left" w:pos="964"/>
      </w:tabs>
      <w:ind w:left="964" w:hanging="482"/>
    </w:pPr>
    <w:rPr>
      <w:kern w:val="0"/>
      <w:sz w:val="24"/>
      <w:szCs w:val="20"/>
    </w:rPr>
  </w:style>
  <w:style w:type="paragraph" w:customStyle="1" w:styleId="23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character" w:customStyle="1" w:styleId="240">
    <w:name w:val="页脚 Char1"/>
    <w:basedOn w:val="58"/>
    <w:semiHidden/>
    <w:qFormat/>
    <w:uiPriority w:val="99"/>
    <w:rPr>
      <w:rFonts w:ascii="Times New Roman" w:hAnsi="Times New Roman" w:eastAsia="宋体" w:cs="Times New Roman"/>
      <w:sz w:val="18"/>
      <w:szCs w:val="18"/>
    </w:rPr>
  </w:style>
  <w:style w:type="paragraph" w:customStyle="1" w:styleId="241">
    <w:name w:val="样式 样式 标题 4 + 段后: 0.5 行 + 段后: 0.5 行"/>
    <w:basedOn w:val="173"/>
    <w:qFormat/>
    <w:uiPriority w:val="0"/>
  </w:style>
  <w:style w:type="paragraph" w:customStyle="1" w:styleId="242">
    <w:name w:val="Main Title"/>
    <w:basedOn w:val="1"/>
    <w:qFormat/>
    <w:uiPriority w:val="0"/>
    <w:pPr>
      <w:spacing w:before="480" w:afterLines="50"/>
      <w:jc w:val="center"/>
    </w:pPr>
    <w:rPr>
      <w:rFonts w:ascii="宋体"/>
      <w:b/>
      <w:snapToGrid w:val="0"/>
      <w:kern w:val="28"/>
      <w:sz w:val="32"/>
      <w:szCs w:val="20"/>
    </w:rPr>
  </w:style>
  <w:style w:type="paragraph" w:customStyle="1" w:styleId="243">
    <w:name w:val="样式 样式 正文文本缩进 + 仿宋_GB2312 小四 首行缩进:  0 厘米 行距: 1.5 倍行距 + (中文) 仿宋_GB... Char Char"/>
    <w:basedOn w:val="202"/>
    <w:qFormat/>
    <w:uiPriority w:val="0"/>
    <w:pPr>
      <w:ind w:firstLine="480"/>
    </w:pPr>
  </w:style>
  <w:style w:type="paragraph" w:customStyle="1" w:styleId="244">
    <w:name w:val="标题1"/>
    <w:basedOn w:val="30"/>
    <w:qFormat/>
    <w:uiPriority w:val="0"/>
    <w:rPr>
      <w:rFonts w:cstheme="minorBidi"/>
      <w:b/>
      <w:sz w:val="30"/>
      <w:szCs w:val="22"/>
    </w:rPr>
  </w:style>
  <w:style w:type="paragraph" w:customStyle="1" w:styleId="245">
    <w:name w:val="样式 三号 加粗 段后: 0.5 行"/>
    <w:basedOn w:val="1"/>
    <w:qFormat/>
    <w:uiPriority w:val="0"/>
    <w:pPr>
      <w:spacing w:afterLines="50"/>
    </w:pPr>
    <w:rPr>
      <w:rFonts w:ascii="宋体" w:cs="宋体"/>
      <w:b/>
      <w:bCs/>
      <w:snapToGrid w:val="0"/>
      <w:kern w:val="0"/>
      <w:sz w:val="32"/>
      <w:szCs w:val="20"/>
    </w:rPr>
  </w:style>
  <w:style w:type="paragraph" w:customStyle="1" w:styleId="246">
    <w:name w:val="标准有序列表（L1）"/>
    <w:basedOn w:val="6"/>
    <w:qFormat/>
    <w:uiPriority w:val="0"/>
    <w:pPr>
      <w:tabs>
        <w:tab w:val="left" w:pos="0"/>
      </w:tabs>
      <w:ind w:firstLine="0"/>
    </w:pPr>
    <w:rPr>
      <w:rFonts w:ascii="黑体" w:eastAsia="黑体" w:hAnsiTheme="minorHAnsi" w:cstheme="minorBidi"/>
      <w:color w:val="000000"/>
      <w:sz w:val="24"/>
      <w:szCs w:val="22"/>
    </w:rPr>
  </w:style>
  <w:style w:type="paragraph" w:customStyle="1" w:styleId="247">
    <w:name w:val="IBM 正文"/>
    <w:basedOn w:val="1"/>
    <w:qFormat/>
    <w:uiPriority w:val="0"/>
    <w:pPr>
      <w:spacing w:line="360" w:lineRule="atLeast"/>
    </w:pPr>
    <w:rPr>
      <w:sz w:val="24"/>
      <w:szCs w:val="20"/>
    </w:rPr>
  </w:style>
  <w:style w:type="paragraph" w:customStyle="1" w:styleId="248">
    <w:name w:val="text"/>
    <w:basedOn w:val="1"/>
    <w:qFormat/>
    <w:uiPriority w:val="0"/>
    <w:pPr>
      <w:adjustRightInd w:val="0"/>
      <w:spacing w:before="120"/>
      <w:ind w:firstLine="425"/>
      <w:textAlignment w:val="baseline"/>
    </w:pPr>
    <w:rPr>
      <w:rFonts w:ascii="宋体" w:hAnsi="Arial" w:cs="Arial"/>
      <w:bCs/>
      <w:kern w:val="0"/>
      <w:sz w:val="26"/>
      <w:szCs w:val="32"/>
    </w:rPr>
  </w:style>
  <w:style w:type="paragraph" w:customStyle="1" w:styleId="249">
    <w:name w:val="S4-I-U-L15-No-dot"/>
    <w:basedOn w:val="1"/>
    <w:qFormat/>
    <w:uiPriority w:val="0"/>
    <w:pPr>
      <w:tabs>
        <w:tab w:val="left" w:pos="1112"/>
      </w:tabs>
      <w:spacing w:after="120"/>
      <w:ind w:left="1112" w:hanging="420"/>
    </w:pPr>
    <w:rPr>
      <w:i/>
      <w:sz w:val="24"/>
      <w:u w:val="single"/>
    </w:rPr>
  </w:style>
  <w:style w:type="paragraph" w:customStyle="1" w:styleId="250">
    <w:name w:val="Paragraph4"/>
    <w:basedOn w:val="1"/>
    <w:qFormat/>
    <w:uiPriority w:val="0"/>
    <w:pPr>
      <w:spacing w:before="80" w:afterLines="50"/>
      <w:ind w:left="2250"/>
    </w:pPr>
    <w:rPr>
      <w:rFonts w:ascii="宋体"/>
      <w:snapToGrid w:val="0"/>
      <w:kern w:val="0"/>
      <w:szCs w:val="20"/>
    </w:rPr>
  </w:style>
  <w:style w:type="paragraph" w:customStyle="1" w:styleId="251">
    <w:name w:val="样式 标题 1 + 五号1 Char Char Char Char Char Char Char Char Char Char Char Char Char Char Char Char Char"/>
    <w:basedOn w:val="2"/>
    <w:qFormat/>
    <w:uiPriority w:val="0"/>
    <w:pPr>
      <w:tabs>
        <w:tab w:val="left" w:pos="360"/>
      </w:tabs>
      <w:spacing w:line="480" w:lineRule="auto"/>
    </w:pPr>
    <w:rPr>
      <w:sz w:val="21"/>
    </w:rPr>
  </w:style>
  <w:style w:type="paragraph" w:customStyle="1" w:styleId="252">
    <w:name w:val="样式 标题 3Chapter X.X.X. + 段后: 0.5 行1"/>
    <w:basedOn w:val="5"/>
    <w:next w:val="1"/>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253">
    <w:name w:val="Body"/>
    <w:basedOn w:val="1"/>
    <w:qFormat/>
    <w:uiPriority w:val="0"/>
    <w:pPr>
      <w:widowControl/>
      <w:spacing w:before="120" w:afterLines="50"/>
    </w:pPr>
    <w:rPr>
      <w:rFonts w:ascii="宋体"/>
      <w:snapToGrid w:val="0"/>
      <w:kern w:val="0"/>
      <w:szCs w:val="20"/>
    </w:rPr>
  </w:style>
  <w:style w:type="paragraph" w:customStyle="1" w:styleId="254">
    <w:name w:val="Proposals body"/>
    <w:basedOn w:val="1"/>
    <w:next w:val="1"/>
    <w:qFormat/>
    <w:uiPriority w:val="0"/>
    <w:pPr>
      <w:widowControl/>
    </w:pPr>
    <w:rPr>
      <w:rFonts w:ascii="宋体"/>
      <w:snapToGrid w:val="0"/>
      <w:color w:val="000000"/>
      <w:kern w:val="0"/>
      <w:sz w:val="24"/>
      <w:szCs w:val="20"/>
    </w:rPr>
  </w:style>
  <w:style w:type="paragraph" w:customStyle="1" w:styleId="255">
    <w:name w:val="章正文"/>
    <w:basedOn w:val="1"/>
    <w:qFormat/>
    <w:uiPriority w:val="0"/>
    <w:pPr>
      <w:spacing w:beforeLines="50" w:after="120" w:line="300" w:lineRule="auto"/>
    </w:pPr>
    <w:rPr>
      <w:rFonts w:ascii="Helvetica" w:hAnsi="Helvetica"/>
      <w:kern w:val="0"/>
      <w:sz w:val="24"/>
    </w:rPr>
  </w:style>
  <w:style w:type="paragraph" w:customStyle="1" w:styleId="256">
    <w:name w:val="样式 样式3 + 宋体 五号 Char Char Char"/>
    <w:basedOn w:val="1"/>
    <w:qFormat/>
    <w:uiPriority w:val="0"/>
    <w:pPr>
      <w:keepNext/>
      <w:keepLines/>
      <w:tabs>
        <w:tab w:val="left" w:pos="1050"/>
      </w:tabs>
      <w:ind w:left="1050" w:hanging="450"/>
      <w:outlineLvl w:val="7"/>
    </w:pPr>
    <w:rPr>
      <w:rFonts w:ascii="宋体" w:hAnsi="宋体"/>
      <w:b/>
      <w:bCs/>
    </w:rPr>
  </w:style>
  <w:style w:type="paragraph" w:customStyle="1" w:styleId="257">
    <w:name w:val="样式 标题 2 + 五号"/>
    <w:basedOn w:val="4"/>
    <w:qFormat/>
    <w:uiPriority w:val="0"/>
    <w:pPr>
      <w:keepLines/>
      <w:tabs>
        <w:tab w:val="left" w:pos="720"/>
      </w:tabs>
      <w:adjustRightInd/>
      <w:snapToGrid/>
      <w:spacing w:line="240" w:lineRule="auto"/>
      <w:jc w:val="both"/>
      <w:textAlignment w:val="auto"/>
    </w:pPr>
    <w:rPr>
      <w:rFonts w:ascii="宋体" w:hAnsi="宋体" w:eastAsia="宋体"/>
      <w:bCs/>
      <w:kern w:val="2"/>
      <w:szCs w:val="32"/>
    </w:rPr>
  </w:style>
  <w:style w:type="paragraph" w:customStyle="1" w:styleId="258">
    <w:name w:val="样式 标题 1 + 五号"/>
    <w:basedOn w:val="2"/>
    <w:qFormat/>
    <w:uiPriority w:val="0"/>
    <w:pPr>
      <w:tabs>
        <w:tab w:val="left" w:pos="360"/>
      </w:tabs>
      <w:spacing w:line="240" w:lineRule="auto"/>
    </w:pPr>
    <w:rPr>
      <w:sz w:val="32"/>
      <w:szCs w:val="32"/>
    </w:rPr>
  </w:style>
  <w:style w:type="paragraph" w:customStyle="1" w:styleId="259">
    <w:name w:val="文本框内文字"/>
    <w:basedOn w:val="1"/>
    <w:qFormat/>
    <w:uiPriority w:val="0"/>
    <w:pPr>
      <w:spacing w:line="0" w:lineRule="atLeast"/>
    </w:pPr>
    <w:rPr>
      <w:rFonts w:eastAsia="仿宋_GB2312"/>
      <w:sz w:val="22"/>
    </w:rPr>
  </w:style>
  <w:style w:type="paragraph" w:customStyle="1" w:styleId="260">
    <w:name w:val="P1"/>
    <w:basedOn w:val="1"/>
    <w:qFormat/>
    <w:uiPriority w:val="0"/>
    <w:pPr>
      <w:widowControl/>
      <w:spacing w:before="240" w:line="240" w:lineRule="atLeast"/>
    </w:pPr>
    <w:rPr>
      <w:b/>
      <w:kern w:val="0"/>
      <w:szCs w:val="21"/>
      <w:lang w:val="en-AU" w:eastAsia="en-US"/>
    </w:rPr>
  </w:style>
  <w:style w:type="paragraph" w:customStyle="1" w:styleId="261">
    <w:name w:val="最新标题1"/>
    <w:basedOn w:val="230"/>
    <w:next w:val="199"/>
    <w:qFormat/>
    <w:uiPriority w:val="0"/>
    <w:pPr>
      <w:spacing w:after="120"/>
    </w:pPr>
    <w:rPr>
      <w:bCs/>
    </w:rPr>
  </w:style>
  <w:style w:type="paragraph" w:customStyle="1" w:styleId="262">
    <w:name w:val="P2"/>
    <w:basedOn w:val="1"/>
    <w:qFormat/>
    <w:uiPriority w:val="0"/>
    <w:pPr>
      <w:widowControl/>
      <w:spacing w:before="240" w:line="240" w:lineRule="atLeast"/>
      <w:ind w:left="578"/>
    </w:pPr>
    <w:rPr>
      <w:b/>
      <w:kern w:val="0"/>
      <w:szCs w:val="21"/>
      <w:lang w:val="en-AU" w:eastAsia="en-US"/>
    </w:rPr>
  </w:style>
  <w:style w:type="paragraph" w:customStyle="1" w:styleId="263">
    <w:name w:val="Style-正文"/>
    <w:basedOn w:val="1"/>
    <w:qFormat/>
    <w:uiPriority w:val="0"/>
    <w:pPr>
      <w:ind w:firstLine="420"/>
    </w:pPr>
    <w:rPr>
      <w:rFonts w:ascii="宋体" w:hAnsi="宋体"/>
      <w:sz w:val="24"/>
    </w:rPr>
  </w:style>
  <w:style w:type="paragraph" w:customStyle="1" w:styleId="264">
    <w:name w:val="P3"/>
    <w:basedOn w:val="1"/>
    <w:qFormat/>
    <w:uiPriority w:val="0"/>
    <w:pPr>
      <w:widowControl/>
      <w:spacing w:before="240" w:line="240" w:lineRule="atLeast"/>
      <w:ind w:left="1152"/>
    </w:pPr>
    <w:rPr>
      <w:b/>
      <w:kern w:val="0"/>
      <w:szCs w:val="21"/>
      <w:lang w:val="en-AU" w:eastAsia="en-US"/>
    </w:rPr>
  </w:style>
  <w:style w:type="paragraph" w:customStyle="1" w:styleId="265">
    <w:name w:val="Plain Text1"/>
    <w:basedOn w:val="1"/>
    <w:qFormat/>
    <w:uiPriority w:val="0"/>
    <w:pPr>
      <w:autoSpaceDE w:val="0"/>
      <w:autoSpaceDN w:val="0"/>
      <w:adjustRightInd w:val="0"/>
    </w:pPr>
    <w:rPr>
      <w:rFonts w:hint="eastAsia" w:ascii="宋体" w:hAnsi="宋体"/>
      <w:sz w:val="24"/>
      <w:szCs w:val="20"/>
    </w:rPr>
  </w:style>
  <w:style w:type="paragraph" w:customStyle="1" w:styleId="266">
    <w:name w:val="样式　标题4"/>
    <w:basedOn w:val="210"/>
    <w:next w:val="1"/>
    <w:qFormat/>
    <w:uiPriority w:val="0"/>
  </w:style>
  <w:style w:type="paragraph" w:customStyle="1" w:styleId="267">
    <w:name w:val="Blockquote"/>
    <w:basedOn w:val="1"/>
    <w:qFormat/>
    <w:uiPriority w:val="0"/>
    <w:pPr>
      <w:widowControl/>
      <w:spacing w:before="100" w:afterLines="50"/>
      <w:ind w:left="360" w:right="360"/>
    </w:pPr>
    <w:rPr>
      <w:rFonts w:ascii="宋体"/>
      <w:snapToGrid w:val="0"/>
      <w:kern w:val="0"/>
      <w:sz w:val="24"/>
      <w:szCs w:val="20"/>
      <w:lang w:val="en-CA"/>
    </w:rPr>
  </w:style>
  <w:style w:type="paragraph" w:customStyle="1" w:styleId="268">
    <w:name w:val="样式 模板描述"/>
    <w:basedOn w:val="1"/>
    <w:next w:val="192"/>
    <w:qFormat/>
    <w:uiPriority w:val="0"/>
    <w:pPr>
      <w:spacing w:afterLines="50"/>
    </w:pPr>
    <w:rPr>
      <w:rFonts w:ascii="宋体" w:cs="宋体"/>
      <w:i/>
      <w:iCs/>
      <w:snapToGrid w:val="0"/>
      <w:color w:val="0000FF"/>
      <w:kern w:val="0"/>
      <w:szCs w:val="21"/>
    </w:rPr>
  </w:style>
  <w:style w:type="paragraph" w:customStyle="1" w:styleId="269">
    <w:name w:val="Char Char3 Char Char Char Char"/>
    <w:basedOn w:val="1"/>
    <w:qFormat/>
    <w:uiPriority w:val="0"/>
    <w:pPr>
      <w:widowControl/>
      <w:spacing w:after="160"/>
    </w:pPr>
    <w:rPr>
      <w:rFonts w:ascii="Verdana" w:hAnsi="Verdana"/>
      <w:kern w:val="0"/>
      <w:sz w:val="24"/>
      <w:szCs w:val="20"/>
      <w:lang w:eastAsia="en-US"/>
    </w:rPr>
  </w:style>
  <w:style w:type="paragraph" w:customStyle="1" w:styleId="270">
    <w:name w:val="样式2"/>
    <w:basedOn w:val="4"/>
    <w:qFormat/>
    <w:uiPriority w:val="0"/>
    <w:pPr>
      <w:keepLines/>
      <w:tabs>
        <w:tab w:val="left" w:pos="600"/>
        <w:tab w:val="left" w:pos="720"/>
      </w:tabs>
      <w:adjustRightInd/>
      <w:snapToGrid/>
      <w:spacing w:before="260" w:after="260" w:line="416" w:lineRule="auto"/>
      <w:ind w:left="600" w:hanging="600"/>
      <w:jc w:val="both"/>
      <w:textAlignment w:val="auto"/>
    </w:pPr>
    <w:rPr>
      <w:rFonts w:ascii="Arial" w:hAnsi="Arial" w:eastAsia="宋体"/>
      <w:bCs/>
      <w:kern w:val="2"/>
      <w:sz w:val="32"/>
      <w:szCs w:val="32"/>
    </w:rPr>
  </w:style>
  <w:style w:type="paragraph" w:customStyle="1" w:styleId="271">
    <w:name w:val="S4-B-L15"/>
    <w:basedOn w:val="1"/>
    <w:qFormat/>
    <w:uiPriority w:val="0"/>
    <w:rPr>
      <w:b/>
      <w:bCs/>
      <w:sz w:val="24"/>
    </w:rPr>
  </w:style>
  <w:style w:type="paragraph" w:customStyle="1" w:styleId="272">
    <w:name w:val="样式 标题 3(A-3)sect1.2.3h3H3level_3PIM 3Level 3 HeadHeading..."/>
    <w:basedOn w:val="5"/>
    <w:qFormat/>
    <w:uiPriority w:val="0"/>
    <w:pPr>
      <w:tabs>
        <w:tab w:val="left" w:pos="709"/>
      </w:tabs>
      <w:spacing w:line="416" w:lineRule="auto"/>
      <w:ind w:firstLine="0" w:firstLineChars="0"/>
    </w:pPr>
    <w:rPr>
      <w:rFonts w:ascii="Arial" w:hAnsi="Arial" w:eastAsia="宋体"/>
      <w:szCs w:val="32"/>
    </w:rPr>
  </w:style>
  <w:style w:type="paragraph" w:customStyle="1" w:styleId="273">
    <w:name w:val="Char Char2"/>
    <w:basedOn w:val="1"/>
    <w:qFormat/>
    <w:uiPriority w:val="0"/>
    <w:rPr>
      <w:rFonts w:ascii="仿宋_GB2312" w:eastAsia="仿宋_GB2312"/>
      <w:b/>
      <w:sz w:val="32"/>
      <w:szCs w:val="32"/>
    </w:rPr>
  </w:style>
  <w:style w:type="paragraph" w:customStyle="1" w:styleId="274">
    <w:name w:val="p0"/>
    <w:basedOn w:val="1"/>
    <w:qFormat/>
    <w:uiPriority w:val="0"/>
    <w:pPr>
      <w:widowControl/>
    </w:pPr>
    <w:rPr>
      <w:kern w:val="0"/>
      <w:szCs w:val="21"/>
    </w:rPr>
  </w:style>
  <w:style w:type="table" w:customStyle="1" w:styleId="275">
    <w:name w:val="网格表 4 - 着色 11"/>
    <w:basedOn w:val="54"/>
    <w:qFormat/>
    <w:uiPriority w:val="49"/>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character" w:customStyle="1" w:styleId="276">
    <w:name w:val="font21"/>
    <w:qFormat/>
    <w:uiPriority w:val="0"/>
    <w:rPr>
      <w:rFonts w:hint="eastAsia" w:ascii="宋体" w:hAnsi="宋体" w:eastAsia="宋体" w:cs="宋体"/>
      <w:color w:val="000000"/>
      <w:sz w:val="24"/>
      <w:szCs w:val="24"/>
      <w:u w:val="none"/>
    </w:rPr>
  </w:style>
  <w:style w:type="paragraph" w:customStyle="1" w:styleId="277">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78">
    <w:name w:val="List Paragraph1"/>
    <w:basedOn w:val="1"/>
    <w:qFormat/>
    <w:uiPriority w:val="99"/>
    <w:pPr>
      <w:spacing w:line="240" w:lineRule="auto"/>
      <w:ind w:firstLine="420"/>
      <w:jc w:val="both"/>
    </w:pPr>
    <w:rPr>
      <w:rFonts w:ascii="Calibri" w:hAnsi="Calibri" w:eastAsia="宋体" w:cs="宋体"/>
      <w:szCs w:val="21"/>
    </w:rPr>
  </w:style>
  <w:style w:type="character" w:customStyle="1" w:styleId="279">
    <w:name w:val="NormalCharacter"/>
    <w:qFormat/>
    <w:uiPriority w:val="0"/>
  </w:style>
  <w:style w:type="character" w:customStyle="1" w:styleId="280">
    <w:name w:val="标题 Char3"/>
    <w:qFormat/>
    <w:uiPriority w:val="0"/>
    <w:rPr>
      <w:rFonts w:ascii="Cambria" w:hAnsi="Cambria" w:eastAsia="宋体"/>
      <w:b/>
      <w:bCs/>
      <w:kern w:val="2"/>
      <w:sz w:val="32"/>
      <w:szCs w:val="32"/>
      <w:lang w:bidi="ar-SA"/>
    </w:rPr>
  </w:style>
  <w:style w:type="character" w:customStyle="1" w:styleId="281">
    <w:name w:val="正文缩进 Char2"/>
    <w:qFormat/>
    <w:uiPriority w:val="0"/>
  </w:style>
  <w:style w:type="paragraph" w:customStyle="1" w:styleId="282">
    <w:name w:val="样式 加粗 段前: 7.8 磅 段后: 7.8 磅 行距: 固定值 20 磅"/>
    <w:basedOn w:val="1"/>
    <w:qFormat/>
    <w:uiPriority w:val="0"/>
    <w:pPr>
      <w:spacing w:before="60" w:after="60" w:line="360" w:lineRule="exact"/>
      <w:ind w:firstLine="0" w:firstLineChars="0"/>
      <w:jc w:val="both"/>
    </w:pPr>
    <w:rPr>
      <w:rFonts w:eastAsia="宋体" w:cs="宋体"/>
      <w:b/>
      <w:bCs/>
      <w:spacing w:val="-2"/>
      <w:sz w:val="24"/>
      <w:szCs w:val="20"/>
    </w:rPr>
  </w:style>
  <w:style w:type="character" w:customStyle="1" w:styleId="283">
    <w:name w:val="未处理的提及1"/>
    <w:basedOn w:val="58"/>
    <w:semiHidden/>
    <w:unhideWhenUsed/>
    <w:qFormat/>
    <w:uiPriority w:val="99"/>
    <w:rPr>
      <w:color w:val="605E5C"/>
      <w:shd w:val="clear" w:color="auto" w:fill="E1DFDD"/>
    </w:rPr>
  </w:style>
  <w:style w:type="character" w:customStyle="1" w:styleId="284">
    <w:name w:val="纯文本 字符2"/>
    <w:qFormat/>
    <w:uiPriority w:val="0"/>
    <w:rPr>
      <w:rFonts w:ascii="宋体" w:hAnsi="Courier New" w:eastAsia="宋体" w:cs="Times New Roman"/>
      <w:kern w:val="2"/>
      <w:sz w:val="24"/>
      <w:szCs w:val="24"/>
      <w:lang w:val="en-US" w:eastAsia="zh-CN" w:bidi="ar-SA"/>
    </w:rPr>
  </w:style>
  <w:style w:type="character" w:customStyle="1" w:styleId="285">
    <w:name w:val="List Paragraph Char"/>
    <w:link w:val="118"/>
    <w:qFormat/>
    <w:uiPriority w:val="0"/>
    <w:rPr>
      <w:rFonts w:ascii="Calibri" w:hAnsi="Calibri" w:eastAsia="微软雅黑"/>
      <w:kern w:val="2"/>
      <w:sz w:val="21"/>
    </w:rPr>
  </w:style>
  <w:style w:type="character" w:customStyle="1" w:styleId="286">
    <w:name w:val="正文文本缩进 字符1"/>
    <w:qFormat/>
    <w:uiPriority w:val="0"/>
    <w:rPr>
      <w:rFonts w:ascii="宋体" w:hAnsi="Courier New"/>
      <w:spacing w:val="-4"/>
      <w:kern w:val="2"/>
      <w:sz w:val="18"/>
    </w:rPr>
  </w:style>
  <w:style w:type="paragraph" w:customStyle="1" w:styleId="287">
    <w:name w:val="清單段落"/>
    <w:basedOn w:val="1"/>
    <w:qFormat/>
    <w:uiPriority w:val="0"/>
    <w:pPr>
      <w:spacing w:line="240" w:lineRule="auto"/>
      <w:ind w:left="480" w:leftChars="200" w:firstLine="0" w:firstLineChars="0"/>
      <w:jc w:val="both"/>
    </w:pPr>
    <w:rPr>
      <w:rFonts w:eastAsia="宋体"/>
    </w:rPr>
  </w:style>
  <w:style w:type="character" w:customStyle="1" w:styleId="288">
    <w:name w:val="未处理的提及2"/>
    <w:basedOn w:val="58"/>
    <w:semiHidden/>
    <w:unhideWhenUsed/>
    <w:qFormat/>
    <w:uiPriority w:val="99"/>
    <w:rPr>
      <w:color w:val="605E5C"/>
      <w:shd w:val="clear" w:color="auto" w:fill="E1DFDD"/>
    </w:rPr>
  </w:style>
  <w:style w:type="character" w:customStyle="1" w:styleId="289">
    <w:name w:val="正文文本首行缩进 2 字符"/>
    <w:basedOn w:val="76"/>
    <w:link w:val="53"/>
    <w:semiHidden/>
    <w:qFormat/>
    <w:uiPriority w:val="0"/>
    <w:rPr>
      <w:rFonts w:ascii="宋体" w:hAnsi="Courier New" w:eastAsia="微软雅黑"/>
      <w:spacing w:val="-4"/>
      <w:kern w:val="2"/>
      <w:sz w:val="21"/>
      <w:szCs w:val="24"/>
    </w:rPr>
  </w:style>
  <w:style w:type="character" w:customStyle="1" w:styleId="290">
    <w:name w:val="标书正文 Char"/>
    <w:qFormat/>
    <w:uiPriority w:val="0"/>
    <w:rPr>
      <w:rFonts w:ascii="宋体" w:hAnsi="宋体" w:eastAsia="宋体" w:cs="Times New Roman"/>
      <w:kern w:val="0"/>
      <w:sz w:val="24"/>
      <w:szCs w:val="20"/>
    </w:rPr>
  </w:style>
  <w:style w:type="character" w:customStyle="1" w:styleId="291">
    <w:name w:val="未处理的提及3"/>
    <w:basedOn w:val="58"/>
    <w:semiHidden/>
    <w:unhideWhenUsed/>
    <w:qFormat/>
    <w:uiPriority w:val="99"/>
    <w:rPr>
      <w:color w:val="605E5C"/>
      <w:shd w:val="clear" w:color="auto" w:fill="E1DFDD"/>
    </w:rPr>
  </w:style>
  <w:style w:type="paragraph" w:customStyle="1" w:styleId="292">
    <w:name w:val="正文2"/>
    <w:basedOn w:val="1"/>
    <w:qFormat/>
    <w:uiPriority w:val="0"/>
    <w:pPr>
      <w:spacing w:before="156"/>
      <w:ind w:firstLine="510"/>
      <w:jc w:val="both"/>
    </w:pPr>
    <w:rPr>
      <w:rFonts w:eastAsia="宋体" w:cs="宋体"/>
      <w:sz w:val="24"/>
      <w:szCs w:val="20"/>
    </w:rPr>
  </w:style>
  <w:style w:type="paragraph" w:customStyle="1" w:styleId="293">
    <w:name w:val="纯文本3"/>
    <w:qFormat/>
    <w:uiPriority w:val="0"/>
    <w:pPr>
      <w:widowControl w:val="0"/>
      <w:adjustRightInd w:val="0"/>
      <w:jc w:val="both"/>
      <w:textAlignment w:val="baseline"/>
    </w:pPr>
    <w:rPr>
      <w:rFonts w:ascii="宋体" w:hAnsi="Courier New" w:eastAsia="楷体_GB2312" w:cs="Times New Roman"/>
      <w:kern w:val="2"/>
      <w:sz w:val="26"/>
      <w:lang w:val="en-US" w:eastAsia="zh-CN" w:bidi="ar-SA"/>
    </w:rPr>
  </w:style>
  <w:style w:type="paragraph" w:customStyle="1" w:styleId="294">
    <w:name w:val="部分1"/>
    <w:basedOn w:val="1"/>
    <w:qFormat/>
    <w:uiPriority w:val="0"/>
    <w:pPr>
      <w:keepNext/>
      <w:pageBreakBefore/>
      <w:tabs>
        <w:tab w:val="left" w:pos="720"/>
      </w:tabs>
      <w:ind w:firstLine="0" w:firstLineChars="0"/>
      <w:jc w:val="center"/>
      <w:outlineLvl w:val="0"/>
    </w:pPr>
    <w:rPr>
      <w:rFonts w:eastAsia="黑体" w:cs="宋体"/>
      <w:b/>
      <w:kern w:val="44"/>
      <w:sz w:val="36"/>
      <w:szCs w:val="20"/>
    </w:rPr>
  </w:style>
  <w:style w:type="paragraph" w:customStyle="1" w:styleId="295">
    <w:name w:val="TOC 标题2"/>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6">
    <w:name w:val="修订1"/>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7">
    <w:name w:val="修订2"/>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8">
    <w:name w:val="6级标题"/>
    <w:basedOn w:val="1"/>
    <w:qFormat/>
    <w:uiPriority w:val="0"/>
    <w:pPr>
      <w:keepNext/>
      <w:ind w:left="1151" w:hanging="431"/>
      <w:jc w:val="center"/>
      <w:outlineLvl w:val="5"/>
    </w:pPr>
    <w:rPr>
      <w:rFonts w:ascii="黑体" w:hAnsi="宋体"/>
      <w:b/>
      <w:bCs/>
      <w:sz w:val="24"/>
      <w:szCs w:val="52"/>
    </w:rPr>
  </w:style>
  <w:style w:type="paragraph" w:customStyle="1" w:styleId="299">
    <w:name w:val="TOC 标题3"/>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0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1">
    <w:name w:val="签发人"/>
    <w:basedOn w:val="1"/>
    <w:qFormat/>
    <w:uiPriority w:val="0"/>
    <w:pPr>
      <w:spacing w:line="240" w:lineRule="auto"/>
      <w:ind w:firstLine="0" w:firstLineChars="0"/>
      <w:jc w:val="both"/>
    </w:pPr>
    <w:rPr>
      <w:rFonts w:ascii="Calibri" w:hAnsi="Calibri" w:eastAsia="楷体"/>
      <w:sz w:val="32"/>
    </w:rPr>
  </w:style>
  <w:style w:type="character" w:customStyle="1" w:styleId="302">
    <w:name w:val="15"/>
    <w:basedOn w:val="58"/>
    <w:qFormat/>
    <w:uiPriority w:val="0"/>
    <w:rPr>
      <w:rFonts w:hint="default" w:ascii="Times New Roman" w:hAnsi="Times New Roman" w:cs="Times New Roman"/>
    </w:rPr>
  </w:style>
  <w:style w:type="character" w:customStyle="1" w:styleId="303">
    <w:name w:val="10"/>
    <w:basedOn w:val="58"/>
    <w:qFormat/>
    <w:uiPriority w:val="0"/>
    <w:rPr>
      <w:rFonts w:hint="default" w:ascii="Times New Roman" w:hAnsi="Times New Roman" w:cs="Times New Roman"/>
    </w:rPr>
  </w:style>
  <w:style w:type="character" w:customStyle="1" w:styleId="304">
    <w:name w:val="16"/>
    <w:basedOn w:val="58"/>
    <w:qFormat/>
    <w:uiPriority w:val="0"/>
    <w:rPr>
      <w:rFonts w:hint="default" w:ascii="Times New Roman" w:hAnsi="Times New Roman" w:cs="Times New Roman"/>
      <w:color w:val="467886"/>
      <w:u w:val="single"/>
    </w:rPr>
  </w:style>
  <w:style w:type="paragraph" w:customStyle="1" w:styleId="305">
    <w:name w:val="修订3"/>
    <w:hidden/>
    <w:unhideWhenUsed/>
    <w:qFormat/>
    <w:uiPriority w:val="99"/>
    <w:rPr>
      <w:rFonts w:ascii="Times New Roman" w:hAnsi="Times New Roman" w:eastAsia="微软雅黑" w:cs="Times New Roman"/>
      <w:kern w:val="2"/>
      <w:sz w:val="21"/>
      <w:szCs w:val="24"/>
      <w:lang w:val="en-US" w:eastAsia="zh-CN" w:bidi="ar-SA"/>
    </w:rPr>
  </w:style>
  <w:style w:type="character" w:customStyle="1" w:styleId="306">
    <w:name w:val="未处理的提及4"/>
    <w:basedOn w:val="58"/>
    <w:semiHidden/>
    <w:unhideWhenUsed/>
    <w:qFormat/>
    <w:uiPriority w:val="99"/>
    <w:rPr>
      <w:color w:val="605E5C"/>
      <w:shd w:val="clear" w:color="auto" w:fill="E1DFDD"/>
    </w:rPr>
  </w:style>
  <w:style w:type="paragraph" w:customStyle="1" w:styleId="307">
    <w:name w:val="Normal Indent1"/>
    <w:basedOn w:val="1"/>
    <w:qFormat/>
    <w:uiPriority w:val="0"/>
    <w:pPr>
      <w:adjustRightInd w:val="0"/>
      <w:spacing w:line="240" w:lineRule="auto"/>
      <w:ind w:firstLine="420"/>
      <w:jc w:val="both"/>
    </w:pPr>
    <w:rPr>
      <w:rFonts w:eastAsia="宋体"/>
    </w:rPr>
  </w:style>
  <w:style w:type="character" w:customStyle="1" w:styleId="308">
    <w:name w:val="未处理的提及5"/>
    <w:basedOn w:val="58"/>
    <w:semiHidden/>
    <w:unhideWhenUsed/>
    <w:qFormat/>
    <w:uiPriority w:val="99"/>
    <w:rPr>
      <w:color w:val="605E5C"/>
      <w:shd w:val="clear" w:color="auto" w:fill="E1DFDD"/>
    </w:rPr>
  </w:style>
  <w:style w:type="paragraph" w:customStyle="1" w:styleId="309">
    <w:name w:val="ZQ正文"/>
    <w:basedOn w:val="1"/>
    <w:qFormat/>
    <w:uiPriority w:val="0"/>
    <w:pPr>
      <w:ind w:firstLine="200"/>
      <w:jc w:val="both"/>
    </w:pPr>
    <w:rPr>
      <w:rFonts w:ascii="Calibri" w:hAnsi="Calibri" w:eastAsia="宋体"/>
      <w:sz w:val="24"/>
    </w:rPr>
  </w:style>
  <w:style w:type="character" w:customStyle="1" w:styleId="310">
    <w:name w:val="font41"/>
    <w:basedOn w:val="58"/>
    <w:qFormat/>
    <w:uiPriority w:val="0"/>
    <w:rPr>
      <w:rFonts w:hint="eastAsia" w:ascii="微软雅黑" w:hAnsi="微软雅黑" w:eastAsia="微软雅黑" w:cs="微软雅黑"/>
      <w:color w:val="000000"/>
      <w:sz w:val="21"/>
      <w:szCs w:val="21"/>
      <w:u w:val="none"/>
    </w:rPr>
  </w:style>
  <w:style w:type="character" w:customStyle="1" w:styleId="311">
    <w:name w:val="font131"/>
    <w:basedOn w:val="58"/>
    <w:qFormat/>
    <w:uiPriority w:val="0"/>
    <w:rPr>
      <w:rFonts w:hint="eastAsia" w:ascii="微软雅黑" w:hAnsi="微软雅黑" w:eastAsia="微软雅黑" w:cs="微软雅黑"/>
      <w:color w:val="0000FF"/>
      <w:sz w:val="21"/>
      <w:szCs w:val="21"/>
      <w:u w:val="none"/>
    </w:rPr>
  </w:style>
  <w:style w:type="paragraph" w:customStyle="1" w:styleId="312">
    <w:name w:val="Revision"/>
    <w:hidden/>
    <w:unhideWhenUsed/>
    <w:qFormat/>
    <w:uiPriority w:val="99"/>
    <w:rPr>
      <w:rFonts w:ascii="Times New Roman" w:hAnsi="Times New Roman" w:eastAsia="微软雅黑"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jpeg"/><Relationship Id="rId27" Type="http://schemas.openxmlformats.org/officeDocument/2006/relationships/theme" Target="theme/theme1.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4"/>
    <customShpInfo spid="_x0000_s3075"/>
    <customShpInfo spid="_x0000_s3073"/>
    <customShpInfo spid="_x0000_s3077"/>
    <customShpInfo spid="_x0000_s3078"/>
    <customShpInfo spid="_x0000_s3076"/>
    <customShpInfo spid="_x0000_s1026"/>
    <customShpInfo spid="_x0000_s3084"/>
    <customShpInfo spid="_x0000_s3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MicroWin10.com</Company>
  <Pages>61</Pages>
  <Words>19543</Words>
  <Characters>21153</Characters>
  <Lines>941</Lines>
  <Paragraphs>824</Paragraphs>
  <TotalTime>2</TotalTime>
  <ScaleCrop>false</ScaleCrop>
  <LinksUpToDate>false</LinksUpToDate>
  <CharactersWithSpaces>21773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2023-06-08T09:36:00Z</dcterms:created>
  <dc:creator>微软用户</dc:creator>
  <cp:lastModifiedBy>章大莉</cp:lastModifiedBy>
  <cp:lastPrinted>2024-12-05T08:29:00Z</cp:lastPrinted>
  <dcterms:modified xsi:type="dcterms:W3CDTF">2025-07-04T09:14:36Z</dcterms:modified>
  <dc:title>1</dc:title>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5ABE943544A846868E3AE953B43DB452_13</vt:lpwstr>
  </property>
  <property fmtid="{D5CDD505-2E9C-101B-9397-08002B2CF9AE}" pid="4" name="KSOTemplateDocerSaveRecord">
    <vt:lpwstr>eyJoZGlkIjoiMTJlMTYyNTAxYWM3MWI0NzliODIyODNmMjdmN2NhNGEiLCJ1c2VySWQiOiIxMjkzODA4MDU5In0=</vt:lpwstr>
  </property>
</Properties>
</file>