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714DB">
      <w:pPr>
        <w:pStyle w:val="113"/>
        <w:ind w:firstLine="480"/>
        <w:rPr>
          <w:rFonts w:hint="eastAsia" w:ascii="微软雅黑" w:hAnsi="微软雅黑" w:eastAsia="微软雅黑" w:cs="微软雅黑"/>
          <w:color w:val="auto"/>
          <w:sz w:val="21"/>
          <w:szCs w:val="21"/>
          <w:highlight w:val="none"/>
        </w:rPr>
      </w:pPr>
    </w:p>
    <w:p w14:paraId="77D39880">
      <w:pPr>
        <w:ind w:left="599" w:leftChars="-202" w:right="-521" w:rightChars="-248" w:hanging="1023" w:hangingChars="142"/>
        <w:jc w:val="center"/>
        <w:outlineLvl w:val="0"/>
        <w:rPr>
          <w:rFonts w:hint="eastAsia" w:ascii="微软雅黑" w:hAnsi="微软雅黑" w:eastAsia="微软雅黑" w:cs="微软雅黑"/>
          <w:b/>
          <w:bCs/>
          <w:color w:val="auto"/>
          <w:sz w:val="72"/>
          <w:szCs w:val="72"/>
          <w:highlight w:val="none"/>
        </w:rPr>
      </w:pPr>
      <w:bookmarkStart w:id="0" w:name="_Toc191238328"/>
      <w:bookmarkStart w:id="1" w:name="_Toc27013"/>
      <w:bookmarkStart w:id="2" w:name="_Toc14988"/>
      <w:bookmarkStart w:id="3" w:name="_Toc12262"/>
      <w:r>
        <w:rPr>
          <w:rFonts w:hint="eastAsia" w:ascii="微软雅黑" w:hAnsi="微软雅黑" w:eastAsia="微软雅黑" w:cs="微软雅黑"/>
          <w:b/>
          <w:bCs/>
          <w:color w:val="auto"/>
          <w:sz w:val="72"/>
          <w:szCs w:val="72"/>
          <w:highlight w:val="none"/>
        </w:rPr>
        <w:t>政府采购电子交易项目</w:t>
      </w:r>
      <w:bookmarkEnd w:id="0"/>
      <w:bookmarkEnd w:id="1"/>
      <w:bookmarkEnd w:id="2"/>
      <w:bookmarkEnd w:id="3"/>
    </w:p>
    <w:p w14:paraId="161FA238">
      <w:pPr>
        <w:pStyle w:val="275"/>
        <w:spacing w:line="360" w:lineRule="auto"/>
        <w:jc w:val="center"/>
        <w:outlineLvl w:val="0"/>
        <w:rPr>
          <w:rFonts w:hint="eastAsia" w:ascii="微软雅黑" w:hAnsi="微软雅黑" w:eastAsia="微软雅黑" w:cs="微软雅黑"/>
          <w:b/>
          <w:bCs/>
          <w:color w:val="auto"/>
          <w:sz w:val="52"/>
          <w:szCs w:val="52"/>
          <w:highlight w:val="none"/>
        </w:rPr>
      </w:pPr>
      <w:bookmarkStart w:id="4" w:name="_Toc26364"/>
      <w:bookmarkStart w:id="5" w:name="_Toc191238329"/>
      <w:r>
        <w:rPr>
          <w:rFonts w:hint="eastAsia" w:ascii="微软雅黑" w:hAnsi="微软雅黑" w:eastAsia="微软雅黑" w:cs="微软雅黑"/>
          <w:b/>
          <w:bCs/>
          <w:color w:val="auto"/>
          <w:sz w:val="52"/>
          <w:szCs w:val="52"/>
          <w:highlight w:val="none"/>
        </w:rPr>
        <w:t>竞争性磋商文件</w:t>
      </w:r>
      <w:bookmarkEnd w:id="4"/>
      <w:bookmarkEnd w:id="5"/>
    </w:p>
    <w:p w14:paraId="685F5E53">
      <w:pPr>
        <w:pStyle w:val="275"/>
        <w:spacing w:line="360" w:lineRule="auto"/>
        <w:rPr>
          <w:rFonts w:hint="eastAsia" w:ascii="微软雅黑" w:hAnsi="微软雅黑" w:eastAsia="微软雅黑" w:cs="微软雅黑"/>
          <w:color w:val="auto"/>
          <w:sz w:val="21"/>
          <w:szCs w:val="21"/>
          <w:highlight w:val="none"/>
        </w:rPr>
      </w:pPr>
    </w:p>
    <w:p w14:paraId="77D21191">
      <w:pPr>
        <w:ind w:left="-225" w:leftChars="-337" w:right="-804" w:rightChars="-383" w:hanging="483" w:hangingChars="23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drawing>
          <wp:inline distT="0" distB="0" distL="0" distR="0">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24"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5FE368B4">
      <w:pPr>
        <w:pStyle w:val="28"/>
        <w:pBdr>
          <w:bottom w:val="thinThickThinMediumGap" w:color="auto" w:sz="18" w:space="1"/>
        </w:pBdr>
        <w:spacing w:line="360" w:lineRule="auto"/>
        <w:ind w:firstLine="0" w:firstLineChars="0"/>
        <w:jc w:val="distribute"/>
        <w:rPr>
          <w:rFonts w:hint="eastAsia" w:ascii="微软雅黑" w:hAnsi="微软雅黑" w:eastAsia="微软雅黑" w:cs="微软雅黑"/>
          <w:b/>
          <w:bCs/>
          <w:color w:val="auto"/>
          <w:w w:val="95"/>
          <w:sz w:val="28"/>
          <w:szCs w:val="28"/>
          <w:highlight w:val="none"/>
        </w:rPr>
      </w:pPr>
      <w:bookmarkStart w:id="6" w:name="_Toc18138"/>
      <w:bookmarkStart w:id="7" w:name="_Toc17379"/>
      <w:bookmarkStart w:id="8" w:name="_Toc191238330"/>
      <w:bookmarkStart w:id="9" w:name="_Toc2807"/>
      <w:bookmarkStart w:id="10" w:name="_Toc5618"/>
    </w:p>
    <w:p w14:paraId="1665C2F0">
      <w:pPr>
        <w:pStyle w:val="28"/>
        <w:pBdr>
          <w:bottom w:val="thinThickThinMediumGap" w:color="auto" w:sz="18" w:space="1"/>
        </w:pBdr>
        <w:spacing w:line="360" w:lineRule="auto"/>
        <w:ind w:firstLine="0" w:firstLineChars="0"/>
        <w:jc w:val="distribute"/>
        <w:rPr>
          <w:rFonts w:hint="eastAsia" w:ascii="微软雅黑" w:hAnsi="微软雅黑" w:eastAsia="微软雅黑" w:cs="微软雅黑"/>
          <w:b/>
          <w:bCs/>
          <w:color w:val="auto"/>
          <w:w w:val="95"/>
          <w:sz w:val="28"/>
          <w:szCs w:val="28"/>
          <w:highlight w:val="none"/>
        </w:rPr>
      </w:pPr>
    </w:p>
    <w:p w14:paraId="449938C5">
      <w:pPr>
        <w:pStyle w:val="28"/>
        <w:pBdr>
          <w:bottom w:val="thinThickThinMediumGap" w:color="auto" w:sz="18" w:space="1"/>
        </w:pBdr>
        <w:spacing w:line="360" w:lineRule="auto"/>
        <w:ind w:firstLine="0" w:firstLineChars="0"/>
        <w:jc w:val="distribute"/>
        <w:rPr>
          <w:rFonts w:hint="eastAsia" w:ascii="微软雅黑" w:hAnsi="微软雅黑" w:eastAsia="微软雅黑" w:cs="微软雅黑"/>
          <w:b/>
          <w:bCs/>
          <w:color w:val="auto"/>
          <w:w w:val="95"/>
          <w:sz w:val="28"/>
          <w:szCs w:val="28"/>
          <w:highlight w:val="none"/>
        </w:rPr>
      </w:pPr>
      <w:r>
        <w:rPr>
          <w:rFonts w:hint="eastAsia" w:ascii="微软雅黑" w:hAnsi="微软雅黑" w:eastAsia="微软雅黑" w:cs="微软雅黑"/>
          <w:b/>
          <w:bCs/>
          <w:color w:val="auto"/>
          <w:w w:val="95"/>
          <w:sz w:val="28"/>
          <w:szCs w:val="28"/>
          <w:highlight w:val="none"/>
        </w:rPr>
        <w:t>嘉兴市千秋工程咨询有限公司</w:t>
      </w:r>
      <w:bookmarkEnd w:id="6"/>
      <w:bookmarkEnd w:id="7"/>
      <w:bookmarkEnd w:id="8"/>
      <w:bookmarkEnd w:id="9"/>
      <w:bookmarkEnd w:id="10"/>
    </w:p>
    <w:p w14:paraId="7B03D021">
      <w:pPr>
        <w:pStyle w:val="28"/>
        <w:pBdr>
          <w:bottom w:val="thinThickThinMediumGap" w:color="auto" w:sz="18" w:space="1"/>
        </w:pBdr>
        <w:spacing w:line="360" w:lineRule="auto"/>
        <w:ind w:firstLine="0" w:firstLineChars="0"/>
        <w:jc w:val="distribute"/>
        <w:outlineLvl w:val="9"/>
        <w:rPr>
          <w:rFonts w:hint="eastAsia" w:ascii="微软雅黑" w:hAnsi="微软雅黑" w:eastAsia="微软雅黑" w:cs="微软雅黑"/>
          <w:b/>
          <w:bCs/>
          <w:color w:val="auto"/>
          <w:w w:val="95"/>
          <w:sz w:val="28"/>
          <w:szCs w:val="28"/>
          <w:highlight w:val="none"/>
        </w:rPr>
      </w:pPr>
      <w:bookmarkStart w:id="11" w:name="_Toc24545"/>
      <w:r>
        <w:rPr>
          <w:rFonts w:hint="eastAsia" w:ascii="微软雅黑" w:hAnsi="微软雅黑" w:eastAsia="微软雅黑" w:cs="微软雅黑"/>
          <w:b/>
          <w:bCs/>
          <w:color w:val="auto"/>
          <w:w w:val="95"/>
          <w:sz w:val="28"/>
          <w:szCs w:val="28"/>
          <w:highlight w:val="none"/>
        </w:rPr>
        <w:t>Jiaxing Qianqiu Engineering Consulting Co., Ltd</w:t>
      </w:r>
      <w:bookmarkEnd w:id="11"/>
    </w:p>
    <w:p w14:paraId="6E6F610F">
      <w:pPr>
        <w:pStyle w:val="28"/>
        <w:spacing w:line="240" w:lineRule="auto"/>
        <w:ind w:firstLine="0" w:firstLineChars="0"/>
        <w:outlineLvl w:val="9"/>
        <w:rPr>
          <w:rFonts w:hint="eastAsia" w:ascii="微软雅黑" w:hAnsi="微软雅黑" w:eastAsia="微软雅黑" w:cs="微软雅黑"/>
          <w:bCs/>
          <w:color w:val="auto"/>
          <w:w w:val="95"/>
          <w:sz w:val="28"/>
          <w:szCs w:val="28"/>
          <w:highlight w:val="none"/>
          <w:lang w:eastAsia="zh-CN"/>
        </w:rPr>
      </w:pPr>
      <w:bookmarkStart w:id="12" w:name="_Toc611"/>
      <w:r>
        <w:rPr>
          <w:rFonts w:hint="eastAsia" w:ascii="微软雅黑" w:hAnsi="微软雅黑" w:eastAsia="微软雅黑" w:cs="微软雅黑"/>
          <w:bCs/>
          <w:color w:val="auto"/>
          <w:w w:val="95"/>
          <w:sz w:val="28"/>
          <w:szCs w:val="28"/>
          <w:highlight w:val="none"/>
        </w:rPr>
        <w:t>项目名称：</w:t>
      </w:r>
      <w:bookmarkEnd w:id="12"/>
      <w:r>
        <w:rPr>
          <w:rFonts w:hint="eastAsia" w:cs="微软雅黑"/>
          <w:bCs/>
          <w:color w:val="auto"/>
          <w:w w:val="95"/>
          <w:sz w:val="28"/>
          <w:szCs w:val="28"/>
          <w:highlight w:val="none"/>
          <w:lang w:eastAsia="zh-CN"/>
        </w:rPr>
        <w:t>嘉兴市医疗保障局2025年度医保信息设施硬件及网络安全运维服务项目（第二次）</w:t>
      </w:r>
    </w:p>
    <w:p w14:paraId="3C5F24AD">
      <w:pPr>
        <w:pStyle w:val="28"/>
        <w:spacing w:line="240" w:lineRule="auto"/>
        <w:ind w:firstLine="0" w:firstLineChars="0"/>
        <w:outlineLvl w:val="9"/>
        <w:rPr>
          <w:rFonts w:hint="eastAsia" w:ascii="微软雅黑" w:hAnsi="微软雅黑" w:eastAsia="微软雅黑" w:cs="微软雅黑"/>
          <w:bCs/>
          <w:color w:val="auto"/>
          <w:w w:val="95"/>
          <w:sz w:val="28"/>
          <w:szCs w:val="28"/>
          <w:highlight w:val="none"/>
          <w:lang w:eastAsia="zh-CN"/>
        </w:rPr>
      </w:pPr>
      <w:bookmarkStart w:id="13" w:name="_Toc19466"/>
      <w:r>
        <w:rPr>
          <w:rFonts w:hint="eastAsia" w:ascii="微软雅黑" w:hAnsi="微软雅黑" w:eastAsia="微软雅黑" w:cs="微软雅黑"/>
          <w:bCs/>
          <w:color w:val="auto"/>
          <w:w w:val="95"/>
          <w:sz w:val="28"/>
          <w:szCs w:val="28"/>
          <w:highlight w:val="none"/>
        </w:rPr>
        <w:t>项目编号：</w:t>
      </w:r>
      <w:bookmarkEnd w:id="13"/>
      <w:r>
        <w:rPr>
          <w:rFonts w:hint="eastAsia" w:cs="微软雅黑"/>
          <w:bCs/>
          <w:color w:val="auto"/>
          <w:w w:val="95"/>
          <w:sz w:val="28"/>
          <w:szCs w:val="28"/>
          <w:highlight w:val="none"/>
          <w:lang w:eastAsia="zh-CN"/>
        </w:rPr>
        <w:t>千秋-JXQQJC（2025）第19-1号</w:t>
      </w:r>
    </w:p>
    <w:p w14:paraId="185A36F8">
      <w:pPr>
        <w:pStyle w:val="28"/>
        <w:spacing w:line="240" w:lineRule="auto"/>
        <w:ind w:firstLine="0" w:firstLineChars="0"/>
        <w:outlineLvl w:val="9"/>
        <w:rPr>
          <w:rFonts w:hint="eastAsia" w:ascii="微软雅黑" w:hAnsi="微软雅黑" w:eastAsia="微软雅黑" w:cs="微软雅黑"/>
          <w:bCs/>
          <w:color w:val="auto"/>
          <w:w w:val="95"/>
          <w:sz w:val="28"/>
          <w:szCs w:val="28"/>
          <w:highlight w:val="none"/>
          <w:lang w:eastAsia="zh-CN"/>
        </w:rPr>
      </w:pPr>
      <w:bookmarkStart w:id="14" w:name="_Toc23738"/>
      <w:r>
        <w:rPr>
          <w:rFonts w:hint="eastAsia" w:ascii="微软雅黑" w:hAnsi="微软雅黑" w:eastAsia="微软雅黑" w:cs="微软雅黑"/>
          <w:bCs/>
          <w:color w:val="auto"/>
          <w:w w:val="95"/>
          <w:sz w:val="28"/>
          <w:szCs w:val="28"/>
          <w:highlight w:val="none"/>
        </w:rPr>
        <w:t>采 购 人：</w:t>
      </w:r>
      <w:bookmarkEnd w:id="14"/>
      <w:r>
        <w:rPr>
          <w:rFonts w:hint="eastAsia" w:ascii="微软雅黑" w:hAnsi="微软雅黑" w:eastAsia="微软雅黑" w:cs="微软雅黑"/>
          <w:bCs/>
          <w:color w:val="auto"/>
          <w:w w:val="95"/>
          <w:sz w:val="28"/>
          <w:szCs w:val="28"/>
          <w:highlight w:val="none"/>
          <w:lang w:eastAsia="zh-CN"/>
        </w:rPr>
        <w:t>嘉兴市医疗保障局</w:t>
      </w:r>
    </w:p>
    <w:p w14:paraId="01F994DD">
      <w:pPr>
        <w:pStyle w:val="28"/>
        <w:spacing w:line="240" w:lineRule="auto"/>
        <w:ind w:firstLine="0" w:firstLineChars="0"/>
        <w:outlineLvl w:val="9"/>
        <w:rPr>
          <w:rFonts w:hint="eastAsia" w:ascii="微软雅黑" w:hAnsi="微软雅黑" w:eastAsia="微软雅黑" w:cs="微软雅黑"/>
          <w:bCs/>
          <w:color w:val="auto"/>
          <w:w w:val="95"/>
          <w:sz w:val="28"/>
          <w:szCs w:val="28"/>
          <w:highlight w:val="none"/>
        </w:rPr>
      </w:pPr>
      <w:bookmarkStart w:id="15" w:name="_Toc7727"/>
      <w:r>
        <w:rPr>
          <w:rFonts w:hint="eastAsia" w:ascii="微软雅黑" w:hAnsi="微软雅黑" w:eastAsia="微软雅黑" w:cs="微软雅黑"/>
          <w:bCs/>
          <w:color w:val="auto"/>
          <w:w w:val="95"/>
          <w:sz w:val="28"/>
          <w:szCs w:val="28"/>
          <w:highlight w:val="none"/>
        </w:rPr>
        <w:t>代理机构：嘉兴市千秋工程咨询有限公司</w:t>
      </w:r>
      <w:bookmarkEnd w:id="15"/>
    </w:p>
    <w:p w14:paraId="34D797FC">
      <w:pPr>
        <w:pStyle w:val="28"/>
        <w:spacing w:line="240" w:lineRule="auto"/>
        <w:ind w:firstLine="0" w:firstLineChars="0"/>
        <w:outlineLvl w:val="9"/>
        <w:rPr>
          <w:rFonts w:hint="eastAsia" w:ascii="微软雅黑" w:hAnsi="微软雅黑" w:eastAsia="微软雅黑" w:cs="微软雅黑"/>
          <w:b/>
          <w:color w:val="auto"/>
          <w:sz w:val="28"/>
          <w:szCs w:val="28"/>
          <w:highlight w:val="none"/>
        </w:rPr>
      </w:pPr>
      <w:bookmarkStart w:id="16" w:name="_Toc2551"/>
      <w:bookmarkStart w:id="17" w:name="_Toc50012812"/>
      <w:r>
        <w:rPr>
          <w:rFonts w:hint="eastAsia" w:ascii="微软雅黑" w:hAnsi="微软雅黑" w:eastAsia="微软雅黑" w:cs="微软雅黑"/>
          <w:bCs/>
          <w:color w:val="auto"/>
          <w:w w:val="95"/>
          <w:sz w:val="28"/>
          <w:szCs w:val="28"/>
          <w:highlight w:val="none"/>
        </w:rPr>
        <w:t>日    期：2025年</w:t>
      </w:r>
      <w:r>
        <w:rPr>
          <w:rFonts w:hint="eastAsia" w:ascii="微软雅黑" w:hAnsi="微软雅黑" w:eastAsia="微软雅黑" w:cs="微软雅黑"/>
          <w:bCs/>
          <w:color w:val="auto"/>
          <w:w w:val="95"/>
          <w:sz w:val="28"/>
          <w:szCs w:val="28"/>
          <w:highlight w:val="none"/>
          <w:lang w:val="en-US" w:eastAsia="zh-CN"/>
        </w:rPr>
        <w:t>0</w:t>
      </w:r>
      <w:r>
        <w:rPr>
          <w:rFonts w:hint="eastAsia" w:cs="微软雅黑"/>
          <w:bCs/>
          <w:color w:val="auto"/>
          <w:w w:val="95"/>
          <w:sz w:val="28"/>
          <w:szCs w:val="28"/>
          <w:highlight w:val="none"/>
          <w:lang w:val="en-US" w:eastAsia="zh-CN"/>
        </w:rPr>
        <w:t>6</w:t>
      </w:r>
      <w:r>
        <w:rPr>
          <w:rFonts w:hint="eastAsia" w:ascii="微软雅黑" w:hAnsi="微软雅黑" w:eastAsia="微软雅黑" w:cs="微软雅黑"/>
          <w:bCs/>
          <w:color w:val="auto"/>
          <w:w w:val="95"/>
          <w:sz w:val="28"/>
          <w:szCs w:val="28"/>
          <w:highlight w:val="none"/>
        </w:rPr>
        <w:t>月</w:t>
      </w:r>
      <w:r>
        <w:rPr>
          <w:rFonts w:hint="eastAsia" w:cs="微软雅黑"/>
          <w:bCs/>
          <w:color w:val="auto"/>
          <w:w w:val="95"/>
          <w:sz w:val="28"/>
          <w:szCs w:val="28"/>
          <w:highlight w:val="none"/>
          <w:lang w:val="en-US" w:eastAsia="zh-CN"/>
        </w:rPr>
        <w:t>17</w:t>
      </w:r>
      <w:r>
        <w:rPr>
          <w:rFonts w:hint="eastAsia" w:ascii="微软雅黑" w:hAnsi="微软雅黑" w:eastAsia="微软雅黑" w:cs="微软雅黑"/>
          <w:bCs/>
          <w:color w:val="auto"/>
          <w:w w:val="95"/>
          <w:sz w:val="28"/>
          <w:szCs w:val="28"/>
          <w:highlight w:val="none"/>
        </w:rPr>
        <w:t>日</w:t>
      </w:r>
      <w:bookmarkEnd w:id="16"/>
      <w:bookmarkEnd w:id="17"/>
    </w:p>
    <w:p w14:paraId="3D502C81">
      <w:pPr>
        <w:pStyle w:val="127"/>
        <w:spacing w:before="0" w:line="360" w:lineRule="auto"/>
        <w:rPr>
          <w:rFonts w:hint="eastAsia" w:ascii="微软雅黑" w:hAnsi="微软雅黑" w:eastAsia="微软雅黑" w:cs="微软雅黑"/>
          <w:color w:val="auto"/>
          <w:sz w:val="28"/>
          <w:szCs w:val="28"/>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cols w:space="720" w:num="1"/>
          <w:docGrid w:linePitch="312" w:charSpace="0"/>
        </w:sectPr>
      </w:pPr>
    </w:p>
    <w:p w14:paraId="7EBFE11C">
      <w:pPr>
        <w:ind w:left="420" w:firstLine="0" w:firstLineChars="0"/>
        <w:rPr>
          <w:rFonts w:hint="eastAsia" w:ascii="微软雅黑" w:hAnsi="微软雅黑" w:eastAsia="微软雅黑" w:cs="微软雅黑"/>
          <w:color w:val="auto"/>
          <w:sz w:val="21"/>
          <w:szCs w:val="21"/>
          <w:highlight w:val="none"/>
        </w:rPr>
      </w:pPr>
    </w:p>
    <w:sdt>
      <w:sdtPr>
        <w:rPr>
          <w:rFonts w:hint="eastAsia" w:ascii="微软雅黑" w:hAnsi="微软雅黑" w:eastAsia="微软雅黑" w:cs="微软雅黑"/>
          <w:color w:val="auto"/>
          <w:sz w:val="21"/>
          <w:szCs w:val="21"/>
          <w:highlight w:val="none"/>
        </w:rPr>
        <w:id w:val="147471698"/>
        <w15:color w:val="DBDBDB"/>
        <w:docPartObj>
          <w:docPartGallery w:val="Table of Contents"/>
          <w:docPartUnique/>
        </w:docPartObj>
      </w:sdtPr>
      <w:sdtEndPr>
        <w:rPr>
          <w:rFonts w:hint="eastAsia" w:ascii="微软雅黑" w:hAnsi="微软雅黑" w:eastAsia="微软雅黑" w:cs="微软雅黑"/>
          <w:color w:val="auto"/>
          <w:sz w:val="21"/>
          <w:szCs w:val="21"/>
          <w:highlight w:val="none"/>
        </w:rPr>
      </w:sdtEndPr>
      <w:sdtContent>
        <w:p w14:paraId="7F554903">
          <w:pPr>
            <w:spacing w:line="240" w:lineRule="auto"/>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目录</w:t>
          </w:r>
        </w:p>
        <w:p w14:paraId="7C0161BD">
          <w:pPr>
            <w:pStyle w:val="36"/>
            <w:spacing w:line="360" w:lineRule="auto"/>
            <w:ind w:firstLine="0" w:firstLineChars="0"/>
            <w:rPr>
              <w:rFonts w:hint="eastAsia" w:ascii="微软雅黑" w:hAnsi="微软雅黑" w:eastAsia="微软雅黑" w:cs="微软雅黑"/>
              <w:bCs w:val="0"/>
              <w:caps w:val="0"/>
              <w:color w:val="auto"/>
              <w:sz w:val="21"/>
              <w:szCs w:val="21"/>
              <w:highlight w:val="none"/>
              <w14:ligatures w14:val="standardContextual"/>
            </w:rPr>
          </w:pPr>
          <w:r>
            <w:rPr>
              <w:rFonts w:hint="eastAsia" w:ascii="微软雅黑" w:hAnsi="微软雅黑" w:eastAsia="微软雅黑" w:cs="微软雅黑"/>
              <w:color w:val="auto"/>
              <w:kern w:val="0"/>
              <w:sz w:val="21"/>
              <w:szCs w:val="21"/>
              <w:highlight w:val="none"/>
            </w:rPr>
            <w:fldChar w:fldCharType="begin"/>
          </w:r>
          <w:r>
            <w:rPr>
              <w:rFonts w:hint="eastAsia" w:ascii="微软雅黑" w:hAnsi="微软雅黑" w:eastAsia="微软雅黑" w:cs="微软雅黑"/>
              <w:color w:val="auto"/>
              <w:sz w:val="21"/>
              <w:szCs w:val="21"/>
              <w:highlight w:val="none"/>
            </w:rPr>
            <w:instrText xml:space="preserve">TOC \o "1-1" \h \u </w:instrText>
          </w:r>
          <w:r>
            <w:rPr>
              <w:rFonts w:hint="eastAsia" w:ascii="微软雅黑" w:hAnsi="微软雅黑" w:eastAsia="微软雅黑" w:cs="微软雅黑"/>
              <w:color w:val="auto"/>
              <w:kern w:val="0"/>
              <w:sz w:val="21"/>
              <w:szCs w:val="21"/>
              <w:highlight w:val="none"/>
            </w:rPr>
            <w:fldChar w:fldCharType="separate"/>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"_Toc191238331" </w:instrText>
          </w:r>
          <w:r>
            <w:rPr>
              <w:rFonts w:hint="eastAsia" w:ascii="微软雅黑" w:hAnsi="微软雅黑" w:eastAsia="微软雅黑" w:cs="微软雅黑"/>
              <w:color w:val="auto"/>
              <w:sz w:val="21"/>
              <w:szCs w:val="21"/>
              <w:highlight w:val="none"/>
            </w:rPr>
            <w:fldChar w:fldCharType="separate"/>
          </w:r>
          <w:r>
            <w:rPr>
              <w:rStyle w:val="60"/>
              <w:rFonts w:hint="eastAsia" w:ascii="微软雅黑" w:hAnsi="微软雅黑" w:eastAsia="微软雅黑" w:cs="微软雅黑"/>
              <w:color w:val="auto"/>
              <w:sz w:val="21"/>
              <w:szCs w:val="21"/>
              <w:highlight w:val="none"/>
            </w:rPr>
            <w:t>第一章 竞争性磋商公告</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_Toc191238331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CEB2029">
          <w:pPr>
            <w:pStyle w:val="36"/>
            <w:spacing w:line="360" w:lineRule="auto"/>
            <w:ind w:firstLine="0" w:firstLineChars="0"/>
            <w:rPr>
              <w:rFonts w:hint="eastAsia" w:ascii="微软雅黑" w:hAnsi="微软雅黑" w:eastAsia="微软雅黑" w:cs="微软雅黑"/>
              <w:bCs w:val="0"/>
              <w:caps w:val="0"/>
              <w:color w:val="auto"/>
              <w:sz w:val="21"/>
              <w:szCs w:val="21"/>
              <w:highlight w:val="none"/>
              <w14:ligatures w14:val="standardContextual"/>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"_Toc191238332" </w:instrText>
          </w:r>
          <w:r>
            <w:rPr>
              <w:rFonts w:hint="eastAsia" w:ascii="微软雅黑" w:hAnsi="微软雅黑" w:eastAsia="微软雅黑" w:cs="微软雅黑"/>
              <w:color w:val="auto"/>
              <w:sz w:val="21"/>
              <w:szCs w:val="21"/>
              <w:highlight w:val="none"/>
            </w:rPr>
            <w:fldChar w:fldCharType="separate"/>
          </w:r>
          <w:r>
            <w:rPr>
              <w:rStyle w:val="60"/>
              <w:rFonts w:hint="eastAsia" w:ascii="微软雅黑" w:hAnsi="微软雅黑" w:eastAsia="微软雅黑" w:cs="微软雅黑"/>
              <w:color w:val="auto"/>
              <w:sz w:val="21"/>
              <w:szCs w:val="21"/>
              <w:highlight w:val="none"/>
            </w:rPr>
            <w:t>第二章 磋商需求</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_Toc191238332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DF2757A">
          <w:pPr>
            <w:pStyle w:val="36"/>
            <w:spacing w:line="360" w:lineRule="auto"/>
            <w:ind w:firstLine="0" w:firstLineChars="0"/>
            <w:rPr>
              <w:rFonts w:hint="eastAsia" w:ascii="微软雅黑" w:hAnsi="微软雅黑" w:eastAsia="微软雅黑" w:cs="微软雅黑"/>
              <w:bCs w:val="0"/>
              <w:caps w:val="0"/>
              <w:color w:val="auto"/>
              <w:sz w:val="21"/>
              <w:szCs w:val="21"/>
              <w:highlight w:val="none"/>
              <w14:ligatures w14:val="standardContextual"/>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"_Toc191238333" </w:instrText>
          </w:r>
          <w:r>
            <w:rPr>
              <w:rFonts w:hint="eastAsia" w:ascii="微软雅黑" w:hAnsi="微软雅黑" w:eastAsia="微软雅黑" w:cs="微软雅黑"/>
              <w:color w:val="auto"/>
              <w:sz w:val="21"/>
              <w:szCs w:val="21"/>
              <w:highlight w:val="none"/>
            </w:rPr>
            <w:fldChar w:fldCharType="separate"/>
          </w:r>
          <w:r>
            <w:rPr>
              <w:rStyle w:val="60"/>
              <w:rFonts w:hint="eastAsia" w:ascii="微软雅黑" w:hAnsi="微软雅黑" w:eastAsia="微软雅黑" w:cs="微软雅黑"/>
              <w:color w:val="auto"/>
              <w:sz w:val="21"/>
              <w:szCs w:val="21"/>
              <w:highlight w:val="none"/>
            </w:rPr>
            <w:t>第三章 供应商须知</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_Toc191238333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17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3A32513D">
          <w:pPr>
            <w:pStyle w:val="36"/>
            <w:spacing w:line="360" w:lineRule="auto"/>
            <w:ind w:firstLine="0" w:firstLineChars="0"/>
            <w:rPr>
              <w:rFonts w:hint="eastAsia" w:ascii="微软雅黑" w:hAnsi="微软雅黑" w:eastAsia="微软雅黑" w:cs="微软雅黑"/>
              <w:bCs w:val="0"/>
              <w:caps w:val="0"/>
              <w:color w:val="auto"/>
              <w:sz w:val="21"/>
              <w:szCs w:val="21"/>
              <w:highlight w:val="none"/>
              <w14:ligatures w14:val="standardContextual"/>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"_Toc191238336" </w:instrText>
          </w:r>
          <w:r>
            <w:rPr>
              <w:rFonts w:hint="eastAsia" w:ascii="微软雅黑" w:hAnsi="微软雅黑" w:eastAsia="微软雅黑" w:cs="微软雅黑"/>
              <w:color w:val="auto"/>
              <w:sz w:val="21"/>
              <w:szCs w:val="21"/>
              <w:highlight w:val="none"/>
            </w:rPr>
            <w:fldChar w:fldCharType="separate"/>
          </w:r>
          <w:r>
            <w:rPr>
              <w:rStyle w:val="60"/>
              <w:rFonts w:hint="eastAsia" w:ascii="微软雅黑" w:hAnsi="微软雅黑" w:eastAsia="微软雅黑" w:cs="微软雅黑"/>
              <w:color w:val="auto"/>
              <w:sz w:val="21"/>
              <w:szCs w:val="21"/>
              <w:highlight w:val="none"/>
            </w:rPr>
            <w:t>第四章 磋商办法及磋商标准</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_Toc191238336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37</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7CE057F">
          <w:pPr>
            <w:pStyle w:val="36"/>
            <w:spacing w:line="360" w:lineRule="auto"/>
            <w:ind w:firstLine="0" w:firstLineChars="0"/>
            <w:rPr>
              <w:rFonts w:hint="eastAsia" w:ascii="微软雅黑" w:hAnsi="微软雅黑" w:eastAsia="微软雅黑" w:cs="微软雅黑"/>
              <w:bCs w:val="0"/>
              <w:caps w:val="0"/>
              <w:color w:val="auto"/>
              <w:sz w:val="21"/>
              <w:szCs w:val="21"/>
              <w:highlight w:val="none"/>
              <w14:ligatures w14:val="standardContextual"/>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"_Toc191238338" </w:instrText>
          </w:r>
          <w:r>
            <w:rPr>
              <w:rFonts w:hint="eastAsia" w:ascii="微软雅黑" w:hAnsi="微软雅黑" w:eastAsia="微软雅黑" w:cs="微软雅黑"/>
              <w:color w:val="auto"/>
              <w:sz w:val="21"/>
              <w:szCs w:val="21"/>
              <w:highlight w:val="none"/>
            </w:rPr>
            <w:fldChar w:fldCharType="separate"/>
          </w:r>
          <w:r>
            <w:rPr>
              <w:rStyle w:val="60"/>
              <w:rFonts w:hint="eastAsia" w:ascii="微软雅黑" w:hAnsi="微软雅黑" w:eastAsia="微软雅黑" w:cs="微软雅黑"/>
              <w:color w:val="auto"/>
              <w:sz w:val="21"/>
              <w:szCs w:val="21"/>
              <w:highlight w:val="none"/>
            </w:rPr>
            <w:t>第五章 采购合同（指引）</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_Toc191238338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42</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2F5E37A7">
          <w:pPr>
            <w:pStyle w:val="36"/>
            <w:spacing w:line="360" w:lineRule="auto"/>
            <w:ind w:firstLine="0" w:firstLineChars="0"/>
            <w:rPr>
              <w:rFonts w:hint="eastAsia" w:ascii="微软雅黑" w:hAnsi="微软雅黑" w:eastAsia="微软雅黑" w:cs="微软雅黑"/>
              <w:bCs w:val="0"/>
              <w:caps w:val="0"/>
              <w:color w:val="auto"/>
              <w:sz w:val="21"/>
              <w:szCs w:val="21"/>
              <w:highlight w:val="none"/>
              <w14:ligatures w14:val="standardContextual"/>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"_Toc191238339" </w:instrText>
          </w:r>
          <w:r>
            <w:rPr>
              <w:rFonts w:hint="eastAsia" w:ascii="微软雅黑" w:hAnsi="微软雅黑" w:eastAsia="微软雅黑" w:cs="微软雅黑"/>
              <w:color w:val="auto"/>
              <w:sz w:val="21"/>
              <w:szCs w:val="21"/>
              <w:highlight w:val="none"/>
            </w:rPr>
            <w:fldChar w:fldCharType="separate"/>
          </w:r>
          <w:r>
            <w:rPr>
              <w:rStyle w:val="60"/>
              <w:rFonts w:hint="eastAsia" w:ascii="微软雅黑" w:hAnsi="微软雅黑" w:eastAsia="微软雅黑" w:cs="微软雅黑"/>
              <w:color w:val="auto"/>
              <w:sz w:val="21"/>
              <w:szCs w:val="21"/>
              <w:highlight w:val="none"/>
            </w:rPr>
            <w:t>第六章 响应文件相关格式</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PAGEREF _Toc191238339 \h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48</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fldChar w:fldCharType="end"/>
          </w:r>
        </w:p>
        <w:p w14:paraId="0D5EECF9">
          <w:pPr>
            <w:ind w:firstLine="6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fldChar w:fldCharType="end"/>
          </w:r>
        </w:p>
      </w:sdtContent>
    </w:sdt>
    <w:p w14:paraId="369C8BF5">
      <w:pPr>
        <w:pStyle w:val="2"/>
        <w:numPr>
          <w:ilvl w:val="0"/>
          <w:numId w:val="4"/>
        </w:numPr>
        <w:rPr>
          <w:rStyle w:val="65"/>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color w:val="auto"/>
          <w:sz w:val="21"/>
          <w:szCs w:val="21"/>
          <w:highlight w:val="none"/>
        </w:rPr>
        <w:br w:type="page"/>
      </w:r>
      <w:bookmarkStart w:id="18" w:name="_Toc22578"/>
      <w:r>
        <w:rPr>
          <w:rFonts w:hint="eastAsia" w:ascii="微软雅黑" w:hAnsi="微软雅黑" w:eastAsia="微软雅黑" w:cs="微软雅黑"/>
          <w:color w:val="auto"/>
          <w:sz w:val="21"/>
          <w:szCs w:val="21"/>
          <w:highlight w:val="none"/>
        </w:rPr>
        <w:t xml:space="preserve">  </w:t>
      </w:r>
      <w:bookmarkStart w:id="19" w:name="_Toc22041"/>
      <w:bookmarkStart w:id="20" w:name="_Toc191238331"/>
      <w:r>
        <w:rPr>
          <w:rFonts w:hint="eastAsia" w:ascii="微软雅黑" w:hAnsi="微软雅黑" w:eastAsia="微软雅黑" w:cs="微软雅黑"/>
          <w:color w:val="auto"/>
          <w:sz w:val="21"/>
          <w:szCs w:val="21"/>
          <w:highlight w:val="none"/>
        </w:rPr>
        <w:t>竞争性磋商</w:t>
      </w:r>
      <w:r>
        <w:rPr>
          <w:rStyle w:val="65"/>
          <w:rFonts w:hint="eastAsia" w:ascii="微软雅黑" w:hAnsi="微软雅黑" w:eastAsia="微软雅黑" w:cs="微软雅黑"/>
          <w:b/>
          <w:bCs/>
          <w:color w:val="auto"/>
          <w:sz w:val="21"/>
          <w:szCs w:val="21"/>
          <w:highlight w:val="none"/>
        </w:rPr>
        <w:t>公告</w:t>
      </w:r>
      <w:bookmarkEnd w:id="18"/>
      <w:bookmarkEnd w:id="19"/>
      <w:bookmarkEnd w:id="20"/>
    </w:p>
    <w:tbl>
      <w:tblPr>
        <w:tblStyle w:val="5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82A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70799CE7">
            <w:pPr>
              <w:pStyle w:val="47"/>
              <w:spacing w:before="75" w:beforeAutospacing="0" w:after="75" w:afterAutospacing="0"/>
              <w:ind w:firstLine="0" w:firstLineChars="0"/>
              <w:jc w:val="both"/>
              <w:rPr>
                <w:rFonts w:hint="eastAsia" w:ascii="微软雅黑" w:hAnsi="微软雅黑" w:eastAsia="微软雅黑" w:cs="微软雅黑"/>
                <w:color w:val="auto"/>
                <w:sz w:val="21"/>
                <w:szCs w:val="21"/>
                <w:highlight w:val="none"/>
              </w:rPr>
            </w:pPr>
            <w:bookmarkStart w:id="21" w:name="_Toc493511541"/>
            <w:bookmarkStart w:id="22" w:name="_Toc177870534"/>
            <w:r>
              <w:rPr>
                <w:rFonts w:hint="eastAsia" w:ascii="微软雅黑" w:hAnsi="微软雅黑" w:eastAsia="微软雅黑" w:cs="微软雅黑"/>
                <w:color w:val="auto"/>
                <w:sz w:val="21"/>
                <w:szCs w:val="21"/>
                <w:highlight w:val="none"/>
              </w:rPr>
              <w:t>项目概况                                                    </w:t>
            </w:r>
          </w:p>
          <w:p w14:paraId="12B58384">
            <w:pPr>
              <w:pStyle w:val="47"/>
              <w:spacing w:before="75" w:beforeAutospacing="0" w:after="75" w:afterAutospacing="0"/>
              <w:ind w:firstLine="42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cs="微软雅黑"/>
                <w:color w:val="auto"/>
                <w:sz w:val="21"/>
                <w:szCs w:val="21"/>
                <w:highlight w:val="none"/>
                <w:lang w:eastAsia="zh-CN"/>
              </w:rPr>
              <w:t>嘉兴市医疗保障局2025年度医保信息设施硬件及网络安全运维服务项目（第二次）</w:t>
            </w:r>
            <w:r>
              <w:rPr>
                <w:rFonts w:hint="eastAsia" w:ascii="微软雅黑" w:hAnsi="微软雅黑" w:eastAsia="微软雅黑" w:cs="微软雅黑"/>
                <w:color w:val="auto"/>
                <w:sz w:val="21"/>
                <w:szCs w:val="21"/>
                <w:highlight w:val="none"/>
              </w:rPr>
              <w:t>的潜在供应商应在https://www.zcygov.cn获取（下载）磋商文件，并于 2025年</w:t>
            </w:r>
            <w:r>
              <w:rPr>
                <w:rFonts w:hint="eastAsia" w:ascii="微软雅黑" w:hAnsi="微软雅黑" w:eastAsia="微软雅黑" w:cs="微软雅黑"/>
                <w:color w:val="auto"/>
                <w:sz w:val="21"/>
                <w:szCs w:val="21"/>
                <w:highlight w:val="none"/>
                <w:lang w:val="en-US" w:eastAsia="zh-CN"/>
              </w:rPr>
              <w:t>06</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日</w:t>
            </w:r>
            <w:r>
              <w:rPr>
                <w:rFonts w:hint="eastAsia" w:ascii="微软雅黑" w:hAnsi="微软雅黑" w:cs="微软雅黑"/>
                <w:color w:val="auto"/>
                <w:sz w:val="21"/>
                <w:szCs w:val="21"/>
                <w:highlight w:val="none"/>
                <w:lang w:val="en-US" w:eastAsia="zh-CN"/>
              </w:rPr>
              <w:t>09</w:t>
            </w:r>
            <w:r>
              <w:rPr>
                <w:rFonts w:hint="eastAsia" w:ascii="微软雅黑" w:hAnsi="微软雅黑" w:eastAsia="微软雅黑" w:cs="微软雅黑"/>
                <w:color w:val="auto"/>
                <w:sz w:val="21"/>
                <w:szCs w:val="21"/>
                <w:highlight w:val="none"/>
              </w:rPr>
              <w:t>：</w:t>
            </w:r>
            <w:r>
              <w:rPr>
                <w:rFonts w:hint="eastAsia" w:ascii="微软雅黑" w:hAnsi="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（北京时间）前递交（上传）响应文件。           </w:t>
            </w:r>
          </w:p>
        </w:tc>
      </w:tr>
    </w:tbl>
    <w:p w14:paraId="4B2BCC49">
      <w:pPr>
        <w:widowControl/>
        <w:spacing w:before="255" w:after="255"/>
        <w:ind w:firstLine="0" w:firstLineChars="0"/>
        <w:jc w:val="both"/>
        <w:outlineLvl w:val="1"/>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bCs/>
          <w:color w:val="auto"/>
          <w:kern w:val="0"/>
          <w:sz w:val="21"/>
          <w:szCs w:val="21"/>
          <w:highlight w:val="none"/>
        </w:rPr>
        <w:t>一、项目基本情况</w:t>
      </w:r>
      <w:r>
        <w:rPr>
          <w:rFonts w:hint="eastAsia" w:ascii="微软雅黑" w:hAnsi="微软雅黑" w:eastAsia="微软雅黑" w:cs="微软雅黑"/>
          <w:color w:val="auto"/>
          <w:kern w:val="0"/>
          <w:sz w:val="21"/>
          <w:szCs w:val="21"/>
          <w:highlight w:val="none"/>
        </w:rPr>
        <w:t>                                            </w:t>
      </w:r>
    </w:p>
    <w:p w14:paraId="56C49F63">
      <w:pPr>
        <w:widowControl/>
        <w:spacing w:before="75" w:after="75"/>
        <w:ind w:firstLine="283" w:firstLineChars="135"/>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采购计划编号：</w:t>
      </w:r>
      <w:r>
        <w:rPr>
          <w:rFonts w:hint="eastAsia" w:ascii="微软雅黑" w:hAnsi="微软雅黑" w:eastAsia="微软雅黑" w:cs="微软雅黑"/>
          <w:color w:val="auto"/>
          <w:kern w:val="0"/>
          <w:sz w:val="21"/>
          <w:szCs w:val="21"/>
          <w:highlight w:val="none"/>
        </w:rPr>
        <w:fldChar w:fldCharType="begin"/>
      </w:r>
      <w:r>
        <w:rPr>
          <w:rFonts w:hint="eastAsia" w:ascii="微软雅黑" w:hAnsi="微软雅黑" w:eastAsia="微软雅黑" w:cs="微软雅黑"/>
          <w:color w:val="auto"/>
          <w:kern w:val="0"/>
          <w:sz w:val="21"/>
          <w:szCs w:val="21"/>
          <w:highlight w:val="none"/>
        </w:rPr>
        <w:instrText xml:space="preserve"> HYPERLINK "https://pay.zcygov.cn/purchaseplan_front/" \l "/plan/list/view?_app_=zcy.purchase-plan&amp;id=1000000000015786216" \t "https://pay.zcygov.cn/purchaseplan_front/" \l "/procurement-plan/plan/_blank" </w:instrText>
      </w:r>
      <w:r>
        <w:rPr>
          <w:rFonts w:hint="eastAsia" w:ascii="微软雅黑" w:hAnsi="微软雅黑" w:eastAsia="微软雅黑" w:cs="微软雅黑"/>
          <w:color w:val="auto"/>
          <w:kern w:val="0"/>
          <w:sz w:val="21"/>
          <w:szCs w:val="21"/>
          <w:highlight w:val="none"/>
        </w:rPr>
        <w:fldChar w:fldCharType="separate"/>
      </w:r>
      <w:r>
        <w:rPr>
          <w:rFonts w:hint="eastAsia" w:ascii="微软雅黑" w:hAnsi="微软雅黑" w:eastAsia="微软雅黑" w:cs="微软雅黑"/>
          <w:color w:val="auto"/>
          <w:kern w:val="0"/>
          <w:sz w:val="21"/>
          <w:szCs w:val="21"/>
          <w:highlight w:val="none"/>
        </w:rPr>
        <w:t>[2025]2726号</w:t>
      </w:r>
      <w:r>
        <w:rPr>
          <w:rFonts w:hint="eastAsia" w:ascii="微软雅黑" w:hAnsi="微软雅黑" w:eastAsia="微软雅黑" w:cs="微软雅黑"/>
          <w:color w:val="auto"/>
          <w:kern w:val="0"/>
          <w:sz w:val="21"/>
          <w:szCs w:val="21"/>
          <w:highlight w:val="none"/>
        </w:rPr>
        <w:fldChar w:fldCharType="end"/>
      </w:r>
      <w:r>
        <w:rPr>
          <w:rFonts w:hint="eastAsia" w:ascii="微软雅黑" w:hAnsi="微软雅黑" w:eastAsia="微软雅黑" w:cs="微软雅黑"/>
          <w:i w:val="0"/>
          <w:iCs w:val="0"/>
          <w:caps w:val="0"/>
          <w:color w:val="auto"/>
          <w:spacing w:val="0"/>
          <w:sz w:val="21"/>
          <w:szCs w:val="21"/>
          <w:highlight w:val="none"/>
          <w:u w:val="none"/>
          <w:lang w:eastAsia="zh-CN"/>
        </w:rPr>
        <w:t>（330400251090010000006</w:t>
      </w:r>
      <w:r>
        <w:rPr>
          <w:rFonts w:hint="eastAsia" w:ascii="微软雅黑" w:hAnsi="微软雅黑" w:eastAsia="微软雅黑" w:cs="微软雅黑"/>
          <w:i w:val="0"/>
          <w:iCs w:val="0"/>
          <w:caps w:val="0"/>
          <w:color w:val="auto"/>
          <w:spacing w:val="0"/>
          <w:sz w:val="21"/>
          <w:szCs w:val="21"/>
          <w:highlight w:val="none"/>
          <w:u w:val="none"/>
          <w:shd w:val="clear" w:fill="EBF4FF"/>
          <w:lang w:eastAsia="zh-CN"/>
        </w:rPr>
        <w:t>）</w:t>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"https://pay.zcygov.cn/purchaseplan_front/" \l "/plan/list/view?id=1000000000013025774&amp;_app_=zcy.procurement" \t "_blank"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kern w:val="0"/>
          <w:sz w:val="21"/>
          <w:szCs w:val="21"/>
          <w:highlight w:val="none"/>
        </w:rPr>
        <w:t xml:space="preserve"> </w:t>
      </w:r>
    </w:p>
    <w:p w14:paraId="241ACD6A">
      <w:pPr>
        <w:widowControl/>
        <w:spacing w:before="75" w:after="75"/>
        <w:ind w:firstLine="283" w:firstLineChars="135"/>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项目编号：</w:t>
      </w:r>
      <w:r>
        <w:rPr>
          <w:rFonts w:hint="eastAsia" w:ascii="微软雅黑" w:hAnsi="微软雅黑" w:cs="微软雅黑"/>
          <w:color w:val="auto"/>
          <w:kern w:val="0"/>
          <w:sz w:val="21"/>
          <w:szCs w:val="21"/>
          <w:highlight w:val="none"/>
          <w:lang w:eastAsia="zh-CN"/>
        </w:rPr>
        <w:t>千秋-JXQQJC（2025）第19-1号</w:t>
      </w:r>
      <w:r>
        <w:rPr>
          <w:rFonts w:hint="eastAsia" w:ascii="微软雅黑" w:hAnsi="微软雅黑" w:eastAsia="微软雅黑" w:cs="微软雅黑"/>
          <w:color w:val="auto"/>
          <w:kern w:val="0"/>
          <w:sz w:val="21"/>
          <w:szCs w:val="21"/>
          <w:highlight w:val="none"/>
        </w:rPr>
        <w:t> </w:t>
      </w:r>
    </w:p>
    <w:p w14:paraId="4F259C5B">
      <w:pPr>
        <w:widowControl/>
        <w:spacing w:before="75" w:after="75"/>
        <w:ind w:firstLine="330" w:firstLineChars="0"/>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项目名称：</w:t>
      </w:r>
      <w:r>
        <w:rPr>
          <w:rFonts w:hint="eastAsia" w:ascii="微软雅黑" w:hAnsi="微软雅黑" w:eastAsia="微软雅黑" w:cs="微软雅黑"/>
          <w:color w:val="auto"/>
          <w:sz w:val="21"/>
          <w:szCs w:val="21"/>
          <w:highlight w:val="none"/>
        </w:rPr>
        <w:t xml:space="preserve"> </w:t>
      </w:r>
      <w:r>
        <w:rPr>
          <w:rFonts w:hint="eastAsia" w:ascii="微软雅黑" w:hAnsi="微软雅黑" w:cs="微软雅黑"/>
          <w:color w:val="auto"/>
          <w:sz w:val="21"/>
          <w:szCs w:val="21"/>
          <w:highlight w:val="none"/>
          <w:lang w:eastAsia="zh-CN"/>
        </w:rPr>
        <w:t>嘉兴市医疗保障局2025年度医保信息设施硬件及网络安全运维服务项目（第二次）</w:t>
      </w:r>
    </w:p>
    <w:p w14:paraId="3CD9C557">
      <w:pPr>
        <w:widowControl/>
        <w:spacing w:before="75" w:after="75"/>
        <w:ind w:firstLine="315" w:firstLineChars="15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采购方式 ：竞争性磋商</w:t>
      </w:r>
    </w:p>
    <w:p w14:paraId="6AD6C776">
      <w:pPr>
        <w:widowControl/>
        <w:spacing w:before="75" w:after="75"/>
        <w:ind w:firstLine="315" w:firstLineChars="15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rPr>
        <w:t>预算金额（元）：</w:t>
      </w:r>
      <w:r>
        <w:rPr>
          <w:rFonts w:hint="eastAsia" w:ascii="微软雅黑" w:hAnsi="微软雅黑" w:eastAsia="微软雅黑" w:cs="微软雅黑"/>
          <w:color w:val="auto"/>
          <w:kern w:val="0"/>
          <w:sz w:val="21"/>
          <w:szCs w:val="21"/>
          <w:highlight w:val="none"/>
          <w:lang w:val="en-US" w:eastAsia="zh-CN"/>
        </w:rPr>
        <w:t>516800.00</w:t>
      </w:r>
    </w:p>
    <w:p w14:paraId="5B6F2626">
      <w:pPr>
        <w:widowControl/>
        <w:spacing w:before="75" w:after="75"/>
        <w:ind w:firstLine="315" w:firstLineChars="15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rPr>
        <w:t>最高限价（元）：</w:t>
      </w:r>
      <w:r>
        <w:rPr>
          <w:rFonts w:hint="eastAsia" w:ascii="微软雅黑" w:hAnsi="微软雅黑" w:eastAsia="微软雅黑" w:cs="微软雅黑"/>
          <w:color w:val="auto"/>
          <w:kern w:val="0"/>
          <w:sz w:val="21"/>
          <w:szCs w:val="21"/>
          <w:highlight w:val="none"/>
          <w:lang w:val="en-US" w:eastAsia="zh-CN"/>
        </w:rPr>
        <w:t>516800.00</w:t>
      </w:r>
    </w:p>
    <w:p w14:paraId="5D6B5442">
      <w:pPr>
        <w:widowControl/>
        <w:spacing w:before="75" w:after="75"/>
        <w:ind w:firstLine="33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w:t>
      </w:r>
      <w:r>
        <w:rPr>
          <w:rFonts w:hint="eastAsia" w:ascii="微软雅黑" w:hAnsi="微软雅黑" w:eastAsia="微软雅黑" w:cs="微软雅黑"/>
          <w:color w:val="auto"/>
          <w:sz w:val="21"/>
          <w:szCs w:val="21"/>
          <w:highlight w:val="none"/>
          <w:lang w:eastAsia="zh-CN"/>
        </w:rPr>
        <w:t>嘉兴市医疗保障局2025年度医保信息设施硬件及网络安全运维服务</w:t>
      </w:r>
      <w:r>
        <w:rPr>
          <w:rFonts w:hint="eastAsia" w:ascii="微软雅黑" w:hAnsi="微软雅黑" w:eastAsia="微软雅黑" w:cs="微软雅黑"/>
          <w:color w:val="auto"/>
          <w:sz w:val="21"/>
          <w:szCs w:val="21"/>
          <w:highlight w:val="none"/>
        </w:rPr>
        <w:t>。</w:t>
      </w:r>
    </w:p>
    <w:p w14:paraId="5B25B32F">
      <w:pPr>
        <w:widowControl/>
        <w:spacing w:before="75" w:after="75"/>
        <w:ind w:firstLine="315" w:firstLineChars="1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服务期限：</w:t>
      </w:r>
      <w:r>
        <w:rPr>
          <w:rFonts w:hint="eastAsia" w:ascii="微软雅黑" w:hAnsi="微软雅黑" w:eastAsia="微软雅黑" w:cs="微软雅黑"/>
          <w:color w:val="auto"/>
          <w:sz w:val="21"/>
          <w:szCs w:val="21"/>
          <w:highlight w:val="none"/>
        </w:rPr>
        <w:t>详见第二章磋商需求。</w:t>
      </w:r>
    </w:p>
    <w:p w14:paraId="60AEA9CD">
      <w:pPr>
        <w:widowControl/>
        <w:spacing w:before="75" w:after="75"/>
        <w:ind w:firstLine="315" w:firstLineChars="1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本项目接受联合体投标：</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rPr>
        <w:t xml:space="preserve"> 是，</w:t>
      </w:r>
      <w:r>
        <w:rPr>
          <w:rFonts w:hint="eastAsia" w:ascii="微软雅黑" w:hAnsi="微软雅黑" w:eastAsia="微软雅黑" w:cs="微软雅黑"/>
          <w:color w:val="auto"/>
          <w:sz w:val="21"/>
          <w:szCs w:val="21"/>
          <w:highlight w:val="none"/>
        </w:rPr>
        <w:sym w:font="Wingdings" w:char="00FE"/>
      </w:r>
      <w:r>
        <w:rPr>
          <w:rFonts w:hint="eastAsia" w:ascii="微软雅黑" w:hAnsi="微软雅黑" w:eastAsia="微软雅黑" w:cs="微软雅黑"/>
          <w:color w:val="auto"/>
          <w:sz w:val="21"/>
          <w:szCs w:val="21"/>
          <w:highlight w:val="none"/>
        </w:rPr>
        <w:t>否。</w:t>
      </w:r>
    </w:p>
    <w:p w14:paraId="51D94CF8">
      <w:pPr>
        <w:widowControl/>
        <w:spacing w:before="75" w:after="75"/>
        <w:ind w:firstLine="0" w:firstLineChars="0"/>
        <w:outlineLvl w:val="1"/>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bCs/>
          <w:color w:val="auto"/>
          <w:kern w:val="0"/>
          <w:sz w:val="21"/>
          <w:szCs w:val="21"/>
          <w:highlight w:val="none"/>
        </w:rPr>
        <w:t>二、申请人的资格要求：</w:t>
      </w:r>
    </w:p>
    <w:p w14:paraId="175F1756">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813E27">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2.落实政府采购支持中小企业政策需满足的资格要求：</w:t>
      </w:r>
    </w:p>
    <w:p w14:paraId="73D1C364">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rPr>
        <w:t xml:space="preserve"> 无需落实；</w:t>
      </w:r>
    </w:p>
    <w:p w14:paraId="63824C72">
      <w:pPr>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2.2</w:t>
      </w:r>
      <w:r>
        <w:rPr>
          <w:rFonts w:hint="eastAsia" w:ascii="微软雅黑" w:hAnsi="微软雅黑" w:eastAsia="微软雅黑" w:cs="微软雅黑"/>
          <w:color w:val="auto"/>
          <w:kern w:val="0"/>
          <w:sz w:val="21"/>
          <w:szCs w:val="21"/>
          <w:highlight w:val="none"/>
        </w:rPr>
        <w:sym w:font="Wingdings" w:char="00FE"/>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rPr>
        <w:t>需要落实：</w:t>
      </w:r>
    </w:p>
    <w:p w14:paraId="40CCBBC6">
      <w:pPr>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2.2.1专门面向中小企业</w:t>
      </w:r>
    </w:p>
    <w:p w14:paraId="302B5C08">
      <w:pPr>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A8"/>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rPr>
        <w:t>货物全部由符合政策要求的中小企业制造，提供中小企业声明函；</w:t>
      </w:r>
    </w:p>
    <w:p w14:paraId="2C0E7AD1">
      <w:pPr>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A8"/>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rPr>
        <w:t>货物全部由符合政策要求的小</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微企业制造，提供中小企业声明函；</w:t>
      </w:r>
    </w:p>
    <w:p w14:paraId="6AE6285C">
      <w:pPr>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FE"/>
      </w:r>
      <w:r>
        <w:rPr>
          <w:rFonts w:hint="eastAsia" w:ascii="微软雅黑" w:hAnsi="微软雅黑" w:cs="微软雅黑"/>
          <w:color w:val="auto"/>
          <w:kern w:val="0"/>
          <w:sz w:val="21"/>
          <w:szCs w:val="21"/>
          <w:highlight w:val="none"/>
          <w:lang w:val="en-US" w:eastAsia="zh-CN"/>
        </w:rPr>
        <w:t xml:space="preserve"> </w:t>
      </w:r>
      <w:r>
        <w:rPr>
          <w:rFonts w:hint="eastAsia" w:ascii="微软雅黑" w:hAnsi="微软雅黑" w:eastAsia="微软雅黑" w:cs="微软雅黑"/>
          <w:color w:val="auto"/>
          <w:sz w:val="21"/>
          <w:szCs w:val="21"/>
          <w:highlight w:val="none"/>
        </w:rPr>
        <w:t>服务全部由符合政策要求的中小企业承接，提供中小企业声明函；</w:t>
      </w:r>
    </w:p>
    <w:p w14:paraId="1E6450F1">
      <w:pPr>
        <w:tabs>
          <w:tab w:val="left" w:pos="470"/>
          <w:tab w:val="left" w:pos="630"/>
          <w:tab w:val="left" w:pos="840"/>
        </w:tabs>
        <w:ind w:left="0" w:leftChars="0"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FE"/>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rPr>
        <w:t>服务全部由符合政策要求的小微企业承接，提供中小企业声明函；</w:t>
      </w:r>
    </w:p>
    <w:p w14:paraId="1EF3B24C">
      <w:pPr>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2.2.2</w:t>
      </w:r>
      <w:r>
        <w:rPr>
          <w:rFonts w:hint="eastAsia" w:ascii="微软雅黑" w:hAnsi="微软雅黑" w:eastAsia="微软雅黑" w:cs="微软雅黑"/>
          <w:color w:val="auto"/>
          <w:kern w:val="0"/>
          <w:sz w:val="21"/>
          <w:szCs w:val="21"/>
          <w:highlight w:val="none"/>
        </w:rPr>
        <w:sym w:font="Wingdings" w:char="00A8"/>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rPr>
        <w:t>要求以联合体形式参加，提供联合协议和中小企业声明函，联合协议中中小企业合同金额应当达到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%（不得低于40%），其中小微企业合同金额应当达到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%（不得低于70%）;如果供应商本身提供所有标的均由中小企业制造、承建或承接，视同符合了资格条件，无需再与其他中小企业组成联合体参加政府采购活动，无需提供联合协议；</w:t>
      </w:r>
    </w:p>
    <w:p w14:paraId="6154DF28">
      <w:pPr>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2.2.3</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rPr>
        <w:t>要求合同分包，提供分包意向协议和中小企业声明函，分包意向协议中中小企业合同金额应当达到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（不得低于40%），其中小微企业合同金额应当达到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（不得低于70%）;如果供应商本身提供所有标的均由中小企业制造、承建或承接，视同符合了资格条件，无需再向中小企业分包，无需提供分包意向协议；</w:t>
      </w:r>
    </w:p>
    <w:p w14:paraId="1CFA828B">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3.本项目的特定资格要求：</w:t>
      </w:r>
      <w:r>
        <w:rPr>
          <w:rFonts w:hint="eastAsia" w:ascii="微软雅黑" w:hAnsi="微软雅黑" w:eastAsia="微软雅黑" w:cs="微软雅黑"/>
          <w:color w:val="auto"/>
          <w:sz w:val="21"/>
          <w:szCs w:val="21"/>
          <w:highlight w:val="none"/>
          <w:u w:val="single"/>
        </w:rPr>
        <w:t>无；</w:t>
      </w:r>
    </w:p>
    <w:p w14:paraId="61AF56D6">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39121D">
      <w:pPr>
        <w:widowControl/>
        <w:spacing w:before="255" w:after="255"/>
        <w:ind w:firstLine="0" w:firstLineChars="0"/>
        <w:jc w:val="both"/>
        <w:outlineLvl w:val="1"/>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bCs/>
          <w:color w:val="auto"/>
          <w:kern w:val="0"/>
          <w:sz w:val="21"/>
          <w:szCs w:val="21"/>
          <w:highlight w:val="none"/>
        </w:rPr>
        <w:t>三、获取磋商文件</w:t>
      </w:r>
      <w:r>
        <w:rPr>
          <w:rFonts w:hint="eastAsia" w:ascii="微软雅黑" w:hAnsi="微软雅黑" w:eastAsia="微软雅黑" w:cs="微软雅黑"/>
          <w:color w:val="auto"/>
          <w:kern w:val="0"/>
          <w:sz w:val="21"/>
          <w:szCs w:val="21"/>
          <w:highlight w:val="none"/>
        </w:rPr>
        <w:t> </w:t>
      </w:r>
    </w:p>
    <w:p w14:paraId="4F2AC491">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 </w:t>
      </w:r>
      <w:r>
        <w:rPr>
          <w:rFonts w:hint="eastAsia" w:ascii="微软雅黑" w:hAnsi="微软雅黑" w:eastAsia="微软雅黑" w:cs="微软雅黑"/>
          <w:color w:val="auto"/>
          <w:sz w:val="21"/>
          <w:szCs w:val="21"/>
          <w:highlight w:val="none"/>
        </w:rPr>
        <w:t>时间：2025年</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17</w:t>
      </w:r>
      <w:r>
        <w:rPr>
          <w:rFonts w:hint="eastAsia" w:ascii="微软雅黑" w:hAnsi="微软雅黑" w:eastAsia="微软雅黑" w:cs="微软雅黑"/>
          <w:color w:val="auto"/>
          <w:sz w:val="21"/>
          <w:szCs w:val="21"/>
          <w:highlight w:val="none"/>
        </w:rPr>
        <w:t>日至 2025年</w:t>
      </w:r>
      <w:r>
        <w:rPr>
          <w:rFonts w:hint="eastAsia" w:ascii="微软雅黑" w:hAnsi="微软雅黑" w:eastAsia="微软雅黑" w:cs="微软雅黑"/>
          <w:color w:val="auto"/>
          <w:sz w:val="21"/>
          <w:szCs w:val="21"/>
          <w:highlight w:val="none"/>
          <w:lang w:val="en-US" w:eastAsia="zh-CN"/>
        </w:rPr>
        <w:t>06</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日</w:t>
      </w:r>
      <w:r>
        <w:rPr>
          <w:rFonts w:hint="eastAsia" w:ascii="微软雅黑" w:hAnsi="微软雅黑" w:cs="微软雅黑"/>
          <w:color w:val="auto"/>
          <w:sz w:val="21"/>
          <w:szCs w:val="21"/>
          <w:highlight w:val="none"/>
          <w:lang w:val="en-US" w:eastAsia="zh-CN"/>
        </w:rPr>
        <w:t>09</w:t>
      </w:r>
      <w:r>
        <w:rPr>
          <w:rFonts w:hint="eastAsia" w:ascii="微软雅黑" w:hAnsi="微软雅黑" w:eastAsia="微软雅黑" w:cs="微软雅黑"/>
          <w:color w:val="auto"/>
          <w:sz w:val="21"/>
          <w:szCs w:val="21"/>
          <w:highlight w:val="none"/>
        </w:rPr>
        <w:t>：</w:t>
      </w:r>
      <w:r>
        <w:rPr>
          <w:rFonts w:hint="eastAsia" w:ascii="微软雅黑" w:hAnsi="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 xml:space="preserve">       </w:t>
      </w:r>
    </w:p>
    <w:p w14:paraId="1A3D70D0">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地点（网址）：政采云平台（https://www.zcygov.cn/） </w:t>
      </w:r>
    </w:p>
    <w:p w14:paraId="5ED5B620">
      <w:pPr>
        <w:ind w:firstLine="420"/>
        <w:rPr>
          <w:rFonts w:hint="eastAsia" w:ascii="微软雅黑" w:hAnsi="微软雅黑" w:eastAsia="微软雅黑" w:cs="微软雅黑"/>
          <w:strike/>
          <w:color w:val="auto"/>
          <w:sz w:val="21"/>
          <w:szCs w:val="21"/>
          <w:highlight w:val="none"/>
        </w:rPr>
      </w:pPr>
      <w:r>
        <w:rPr>
          <w:rFonts w:hint="eastAsia" w:ascii="微软雅黑" w:hAnsi="微软雅黑" w:eastAsia="微软雅黑" w:cs="微软雅黑"/>
          <w:color w:val="auto"/>
          <w:sz w:val="21"/>
          <w:szCs w:val="21"/>
          <w:highlight w:val="none"/>
        </w:rPr>
        <w:t>方式：供应商登录政采云平台https://www.zcygov.cn/在线申请获取磋商文件（进入“项目采购”应用，在获取磋商文件菜单中选择项目，申请获取磋商文件）。</w:t>
      </w:r>
    </w:p>
    <w:p w14:paraId="1A849B65">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售价：免费。</w:t>
      </w:r>
    </w:p>
    <w:p w14:paraId="537E3B48">
      <w:pPr>
        <w:widowControl/>
        <w:spacing w:before="75" w:after="75"/>
        <w:ind w:firstLine="0" w:firstLineChars="0"/>
        <w:outlineLvl w:val="1"/>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bCs/>
          <w:color w:val="auto"/>
          <w:kern w:val="0"/>
          <w:sz w:val="21"/>
          <w:szCs w:val="21"/>
          <w:highlight w:val="none"/>
        </w:rPr>
        <w:t>四、提交响应文件截止时间、开标时间和地点</w:t>
      </w:r>
    </w:p>
    <w:p w14:paraId="61F230B5">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2025年</w:t>
      </w:r>
      <w:r>
        <w:rPr>
          <w:rFonts w:hint="eastAsia" w:ascii="微软雅黑" w:hAnsi="微软雅黑" w:eastAsia="微软雅黑" w:cs="微软雅黑"/>
          <w:color w:val="auto"/>
          <w:sz w:val="21"/>
          <w:szCs w:val="21"/>
          <w:highlight w:val="none"/>
          <w:lang w:val="en-US" w:eastAsia="zh-CN"/>
        </w:rPr>
        <w:t>06</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日</w:t>
      </w:r>
      <w:r>
        <w:rPr>
          <w:rFonts w:hint="eastAsia" w:ascii="微软雅黑" w:hAnsi="微软雅黑" w:cs="微软雅黑"/>
          <w:color w:val="auto"/>
          <w:sz w:val="21"/>
          <w:szCs w:val="21"/>
          <w:highlight w:val="none"/>
          <w:lang w:val="en-US" w:eastAsia="zh-CN"/>
        </w:rPr>
        <w:t>09</w:t>
      </w:r>
      <w:r>
        <w:rPr>
          <w:rFonts w:hint="eastAsia" w:ascii="微软雅黑" w:hAnsi="微软雅黑" w:eastAsia="微软雅黑" w:cs="微软雅黑"/>
          <w:color w:val="auto"/>
          <w:sz w:val="21"/>
          <w:szCs w:val="21"/>
          <w:highlight w:val="none"/>
        </w:rPr>
        <w:t>：</w:t>
      </w:r>
      <w:r>
        <w:rPr>
          <w:rFonts w:hint="eastAsia" w:ascii="微软雅黑" w:hAnsi="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 xml:space="preserve"> （北京时间）</w:t>
      </w:r>
    </w:p>
    <w:p w14:paraId="5CC463B2">
      <w:pPr>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地点（网址）：政采云平台（https://www.zcygov.cn/）</w:t>
      </w:r>
      <w:r>
        <w:rPr>
          <w:rFonts w:hint="eastAsia" w:ascii="微软雅黑" w:hAnsi="微软雅黑" w:eastAsia="微软雅黑" w:cs="微软雅黑"/>
          <w:color w:val="auto"/>
          <w:kern w:val="0"/>
          <w:sz w:val="21"/>
          <w:szCs w:val="21"/>
          <w:highlight w:val="none"/>
        </w:rPr>
        <w:t>  </w:t>
      </w:r>
    </w:p>
    <w:p w14:paraId="69A2B8BB">
      <w:pPr>
        <w:widowControl/>
        <w:spacing w:before="255" w:after="255"/>
        <w:ind w:firstLine="0" w:firstLineChars="0"/>
        <w:jc w:val="both"/>
        <w:outlineLvl w:val="1"/>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bCs/>
          <w:color w:val="auto"/>
          <w:kern w:val="0"/>
          <w:sz w:val="21"/>
          <w:szCs w:val="21"/>
          <w:highlight w:val="none"/>
        </w:rPr>
        <w:t>五、公告期限</w:t>
      </w:r>
      <w:r>
        <w:rPr>
          <w:rFonts w:hint="eastAsia" w:ascii="微软雅黑" w:hAnsi="微软雅黑" w:eastAsia="微软雅黑" w:cs="微软雅黑"/>
          <w:color w:val="auto"/>
          <w:kern w:val="0"/>
          <w:sz w:val="21"/>
          <w:szCs w:val="21"/>
          <w:highlight w:val="none"/>
        </w:rPr>
        <w:t> </w:t>
      </w:r>
    </w:p>
    <w:p w14:paraId="502892BD">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自本公告发布之日起3个工作日。</w:t>
      </w:r>
    </w:p>
    <w:p w14:paraId="3D87FC02">
      <w:pPr>
        <w:widowControl/>
        <w:spacing w:before="255" w:after="255"/>
        <w:ind w:firstLine="0" w:firstLineChars="0"/>
        <w:jc w:val="both"/>
        <w:outlineLvl w:val="1"/>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六、其他补充事宜</w:t>
      </w:r>
    </w:p>
    <w:p w14:paraId="6D3F5497">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认为磋商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D29C60">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2.其他事项：</w:t>
      </w:r>
    </w:p>
    <w:p w14:paraId="7BE408FE">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（1）需要落实的政府采购政策：包括节约资源、保护环境、支持创新、促进中小企业发展等。</w:t>
      </w:r>
    </w:p>
    <w:p w14:paraId="12B79747">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（2）电子招投标的说明：</w:t>
      </w:r>
    </w:p>
    <w:p w14:paraId="3E63A33F">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①电子招投标：本项目以数据电文形式，依托“政府采购云平台（www.zcygov.cn）”进行招投标活动，不接受纸质响应文件；</w:t>
      </w:r>
    </w:p>
    <w:p w14:paraId="6ED2A96C">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微软雅黑" w:hAnsi="微软雅黑" w:eastAsia="微软雅黑" w:cs="微软雅黑"/>
          <w:b/>
          <w:bCs/>
          <w:color w:val="auto"/>
          <w:sz w:val="21"/>
          <w:szCs w:val="21"/>
          <w:highlight w:val="none"/>
        </w:rPr>
        <w:t>中标供应商在签订合同前，如不完成注册，视为放弃</w:t>
      </w:r>
      <w:r>
        <w:rPr>
          <w:rFonts w:hint="eastAsia" w:ascii="微软雅黑" w:hAnsi="微软雅黑" w:eastAsia="微软雅黑" w:cs="微软雅黑"/>
          <w:color w:val="auto"/>
          <w:sz w:val="21"/>
          <w:szCs w:val="21"/>
          <w:highlight w:val="none"/>
        </w:rPr>
        <w:t>；</w:t>
      </w:r>
    </w:p>
    <w:p w14:paraId="28A1009D">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CA驱动和申领流程</w:t>
      </w:r>
    </w:p>
    <w:p w14:paraId="6B9325E7">
      <w:pPr>
        <w:spacing w:before="120" w:beforeLines="50" w:after="120" w:afterLines="50"/>
        <w:ind w:firstLine="420"/>
        <w:rPr>
          <w:rStyle w:val="60"/>
          <w:rFonts w:hint="eastAsia" w:ascii="微软雅黑" w:hAnsi="微软雅黑" w:eastAsia="微软雅黑" w:cs="微软雅黑"/>
          <w:color w:val="auto"/>
          <w:sz w:val="21"/>
          <w:szCs w:val="21"/>
          <w:highlight w:val="none"/>
        </w:rPr>
      </w:pPr>
      <w:r>
        <w:rPr>
          <w:rStyle w:val="60"/>
          <w:rFonts w:hint="eastAsia" w:ascii="微软雅黑" w:hAnsi="微软雅黑" w:eastAsia="微软雅黑" w:cs="微软雅黑"/>
          <w:color w:val="auto"/>
          <w:sz w:val="21"/>
          <w:szCs w:val="21"/>
          <w:highlight w:val="none"/>
        </w:rPr>
        <w:t xml:space="preserve">https://zfcg.czt.zj.gov.cn/bidClientTemplate/2019-05-27/12945.html    </w:t>
      </w:r>
    </w:p>
    <w:p w14:paraId="31C06C46">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注：ＣＡ证书遗失补办、延期、解锁、质保等业务可以在联连客户端上进行操作；使用政采云投标客户端时，建议使用windows7以上且64位的操作系统。</w:t>
      </w:r>
    </w:p>
    <w:p w14:paraId="4E52F465">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CA证书办理操作视频</w:t>
      </w:r>
    </w:p>
    <w:p w14:paraId="27CB12C8">
      <w:pPr>
        <w:spacing w:before="120" w:beforeLines="50" w:after="120" w:afterLines="50"/>
        <w:ind w:firstLine="420"/>
        <w:rPr>
          <w:rStyle w:val="60"/>
          <w:rFonts w:hint="eastAsia" w:ascii="微软雅黑" w:hAnsi="微软雅黑" w:eastAsia="微软雅黑" w:cs="微软雅黑"/>
          <w:color w:val="auto"/>
          <w:sz w:val="21"/>
          <w:szCs w:val="21"/>
          <w:highlight w:val="none"/>
        </w:rPr>
      </w:pPr>
      <w:r>
        <w:rPr>
          <w:rStyle w:val="60"/>
          <w:rFonts w:hint="eastAsia" w:ascii="微软雅黑" w:hAnsi="微软雅黑" w:eastAsia="微软雅黑" w:cs="微软雅黑"/>
          <w:color w:val="auto"/>
          <w:sz w:val="21"/>
          <w:szCs w:val="21"/>
          <w:highlight w:val="none"/>
        </w:rPr>
        <w:t>https://service.zcygov.cn/#/knowledges/UgcbC3EBiyELHE-opz1b/EWqqyXEByNnJ3A2CPyDI</w:t>
      </w:r>
    </w:p>
    <w:p w14:paraId="3DB3A702">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CA绑定登录操作视频</w:t>
      </w:r>
    </w:p>
    <w:p w14:paraId="0F3DE66E">
      <w:pPr>
        <w:spacing w:before="120" w:beforeLines="50" w:after="120" w:afterLines="50"/>
        <w:ind w:firstLine="420"/>
        <w:rPr>
          <w:rFonts w:hint="eastAsia" w:ascii="微软雅黑" w:hAnsi="微软雅黑" w:eastAsia="微软雅黑" w:cs="微软雅黑"/>
          <w:color w:val="auto"/>
          <w:sz w:val="21"/>
          <w:szCs w:val="21"/>
          <w:highlight w:val="none"/>
        </w:rPr>
      </w:pPr>
      <w:r>
        <w:rPr>
          <w:rStyle w:val="60"/>
          <w:rFonts w:hint="eastAsia" w:ascii="微软雅黑" w:hAnsi="微软雅黑" w:eastAsia="微软雅黑" w:cs="微软雅黑"/>
          <w:color w:val="auto"/>
          <w:sz w:val="21"/>
          <w:szCs w:val="21"/>
          <w:highlight w:val="none"/>
        </w:rPr>
        <w:t>https://service.zcygov.cn/#/knowledges/UgcbC3EBiyELHE-opz1b/nAkmyXEBiyELHE-o-983</w:t>
      </w:r>
    </w:p>
    <w:p w14:paraId="11394912">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③磋商文件的获取：使用账号登录或者使用CA登录政采云平台；进入“项目采购”应用，在获取磋商文件菜单中选择项目，获取磋商文件；</w:t>
      </w:r>
    </w:p>
    <w:p w14:paraId="022DF4EE">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④响应文件的制作：在“政采云电子交易客户端”中完成“填写基本信息”、“导入响应文件”、“标书关联”、“标书检查”、“电子签名”、“生成电子标书”等操作；</w:t>
      </w:r>
    </w:p>
    <w:p w14:paraId="2340068E">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⑤采购人、采购机构将依托政采云平台完成本项目的电子交易活动，平台不接受未按上述方式获取磋商文件的供应商进行投标活动； </w:t>
      </w:r>
    </w:p>
    <w:p w14:paraId="3363BC22">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⑥对未按上述方式获取磋商文件的供应商对该文件提出的质疑，采购人或采购代理机构将不予处理；</w:t>
      </w:r>
    </w:p>
    <w:p w14:paraId="065E1BA6">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⑦不提供磋商文件纸质版；</w:t>
      </w:r>
    </w:p>
    <w:p w14:paraId="4E44AEAB">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⑧响应文件的传输递交：投标供应商在投标截止时间前将加密的响应文件上传至政府采购云平台，同时可在投标截止时间前将政采云平台上最后生成的具备电子签章的备份电子标文件1份下载至U盘</w:t>
      </w:r>
      <w:r>
        <w:rPr>
          <w:rFonts w:hint="eastAsia" w:ascii="微软雅黑" w:hAnsi="微软雅黑" w:eastAsia="微软雅黑" w:cs="微软雅黑"/>
          <w:b/>
          <w:bCs/>
          <w:color w:val="auto"/>
          <w:sz w:val="21"/>
          <w:szCs w:val="21"/>
          <w:highlight w:val="none"/>
          <w:shd w:val="clear" w:color="FFFFFF" w:fill="D9D9D9"/>
        </w:rPr>
        <w:t>（非强制递交）</w:t>
      </w:r>
      <w:r>
        <w:rPr>
          <w:rFonts w:hint="eastAsia" w:ascii="微软雅黑" w:hAnsi="微软雅黑" w:eastAsia="微软雅黑" w:cs="微软雅黑"/>
          <w:color w:val="auto"/>
          <w:sz w:val="21"/>
          <w:szCs w:val="21"/>
          <w:highlight w:val="none"/>
        </w:rPr>
        <w:t>，直接提交或者以</w:t>
      </w:r>
      <w:r>
        <w:rPr>
          <w:rFonts w:hint="eastAsia" w:ascii="微软雅黑" w:hAnsi="微软雅黑" w:eastAsia="微软雅黑" w:cs="微软雅黑"/>
          <w:b/>
          <w:bCs/>
          <w:color w:val="auto"/>
          <w:sz w:val="21"/>
          <w:szCs w:val="21"/>
          <w:highlight w:val="none"/>
          <w:u w:val="single"/>
        </w:rPr>
        <w:t>快递</w:t>
      </w:r>
      <w:r>
        <w:rPr>
          <w:rFonts w:hint="eastAsia" w:ascii="微软雅黑" w:hAnsi="微软雅黑" w:eastAsia="微软雅黑" w:cs="微软雅黑"/>
          <w:color w:val="auto"/>
          <w:sz w:val="21"/>
          <w:szCs w:val="21"/>
          <w:highlight w:val="none"/>
        </w:rPr>
        <w:t>方式递交【</w:t>
      </w:r>
      <w:r>
        <w:rPr>
          <w:rFonts w:hint="eastAsia" w:ascii="微软雅黑" w:hAnsi="微软雅黑" w:eastAsia="微软雅黑" w:cs="微软雅黑"/>
          <w:b/>
          <w:bCs/>
          <w:color w:val="auto"/>
          <w:sz w:val="21"/>
          <w:szCs w:val="21"/>
          <w:highlight w:val="none"/>
        </w:rPr>
        <w:t>地址：嘉兴市秀洲区新平路299号中禾广场</w:t>
      </w:r>
      <w:r>
        <w:rPr>
          <w:rFonts w:hint="eastAsia" w:ascii="微软雅黑" w:hAnsi="微软雅黑" w:cs="微软雅黑"/>
          <w:b/>
          <w:bCs/>
          <w:color w:val="auto"/>
          <w:sz w:val="21"/>
          <w:szCs w:val="21"/>
          <w:highlight w:val="none"/>
          <w:lang w:val="en-US" w:eastAsia="zh-CN"/>
        </w:rPr>
        <w:t>23</w:t>
      </w:r>
      <w:r>
        <w:rPr>
          <w:rFonts w:hint="eastAsia" w:ascii="微软雅黑" w:hAnsi="微软雅黑" w:eastAsia="微软雅黑" w:cs="微软雅黑"/>
          <w:b/>
          <w:bCs/>
          <w:color w:val="auto"/>
          <w:sz w:val="21"/>
          <w:szCs w:val="21"/>
          <w:highlight w:val="none"/>
        </w:rPr>
        <w:t>楼政府采购办公室</w:t>
      </w:r>
      <w:r>
        <w:rPr>
          <w:rFonts w:hint="eastAsia" w:ascii="微软雅黑" w:hAnsi="微软雅黑" w:eastAsia="微软雅黑" w:cs="微软雅黑"/>
          <w:color w:val="auto"/>
          <w:sz w:val="21"/>
          <w:szCs w:val="21"/>
          <w:highlight w:val="none"/>
        </w:rPr>
        <w:t>；收件人：章莉莉；电话：13605735186；快递寄出同时，项目被授权代表须以邮件方式将快递单号、项目名称、公司名称、被授权代表姓名及联系方式等内容（邮件格式为：</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"mailto:项目编号+快递单号+公司名称+被授权代表姓名及联系方式）发代理机构联系人邮箱1450912653@qq.com)】" </w:instrText>
      </w:r>
      <w:r>
        <w:rPr>
          <w:rFonts w:hint="eastAsia" w:ascii="微软雅黑" w:hAnsi="微软雅黑" w:eastAsia="微软雅黑" w:cs="微软雅黑"/>
          <w:color w:val="auto"/>
          <w:sz w:val="21"/>
          <w:szCs w:val="21"/>
          <w:highlight w:val="none"/>
        </w:rPr>
        <w:fldChar w:fldCharType="separate"/>
      </w:r>
      <w:r>
        <w:rPr>
          <w:rStyle w:val="60"/>
          <w:rFonts w:hint="eastAsia" w:ascii="微软雅黑" w:hAnsi="微软雅黑" w:eastAsia="微软雅黑" w:cs="微软雅黑"/>
          <w:color w:val="auto"/>
          <w:sz w:val="21"/>
          <w:szCs w:val="21"/>
          <w:highlight w:val="none"/>
        </w:rPr>
        <w:t>项目编号+快递单号+公司名称+被授权代表姓名及联系方式）发代理机构联系人邮箱1450912653@qq.com)】</w:t>
      </w:r>
      <w:r>
        <w:rPr>
          <w:rStyle w:val="60"/>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t>；</w:t>
      </w:r>
    </w:p>
    <w:p w14:paraId="46B616DD">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份响应文件递交须满足：外包装封面上应注明投标供应商名称、投标供应商联系方式（授权代表手机）、响应文件名称（备份响应文件）、投标项目名称、项目编号、标项及“开标时启封”字样，并加盖投标供应商公章。</w:t>
      </w:r>
      <w:r>
        <w:rPr>
          <w:rFonts w:hint="eastAsia" w:ascii="微软雅黑" w:hAnsi="微软雅黑" w:eastAsia="微软雅黑" w:cs="微软雅黑"/>
          <w:b/>
          <w:bCs/>
          <w:color w:val="auto"/>
          <w:sz w:val="21"/>
          <w:szCs w:val="21"/>
          <w:highlight w:val="none"/>
        </w:rPr>
        <w:t>备份文件非强制要求。</w:t>
      </w:r>
    </w:p>
    <w:p w14:paraId="70C5D9DE">
      <w:pPr>
        <w:ind w:firstLine="4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投标供应商递交的备份响应文件，出现下列情况之一的，将被拒收：</w:t>
      </w:r>
    </w:p>
    <w:p w14:paraId="1A1F978B">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·未按规定密封或标记的；</w:t>
      </w:r>
    </w:p>
    <w:p w14:paraId="0450F01F">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·由于包装不妥，在送交途中严重破损或失散的；</w:t>
      </w:r>
    </w:p>
    <w:p w14:paraId="6DB89D1F">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·超过投标截止时间送达的；</w:t>
      </w:r>
    </w:p>
    <w:p w14:paraId="6E73D4A6">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·快递方式：快递费到付。</w:t>
      </w:r>
    </w:p>
    <w:p w14:paraId="0CE1ED7C">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⑨响应文件的解密：投标供应商按照平台提示和磋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供应商仅提交备份响应文件，没有在电子交易平台传输递交响应文件的，投标无效；</w:t>
      </w:r>
    </w:p>
    <w:p w14:paraId="3971A9BE">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"https://edu.zcygov.cn/luban/e-biding"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https://edu.zcygov.cn/luban/e-biding</w:t>
      </w:r>
      <w:r>
        <w:rPr>
          <w:rFonts w:hint="eastAsia" w:ascii="微软雅黑" w:hAnsi="微软雅黑" w:eastAsia="微软雅黑" w:cs="微软雅黑"/>
          <w:color w:val="auto"/>
          <w:sz w:val="21"/>
          <w:szCs w:val="21"/>
          <w:highlight w:val="none"/>
        </w:rPr>
        <w:fldChar w:fldCharType="end"/>
      </w:r>
      <w:r>
        <w:rPr>
          <w:rFonts w:hint="eastAsia" w:ascii="微软雅黑" w:hAnsi="微软雅黑" w:eastAsia="微软雅黑" w:cs="微软雅黑"/>
          <w:color w:val="auto"/>
          <w:sz w:val="21"/>
          <w:szCs w:val="21"/>
          <w:highlight w:val="none"/>
        </w:rPr>
        <w:t>）。</w:t>
      </w:r>
    </w:p>
    <w:p w14:paraId="4D1B511B">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3.惠企政策</w:t>
      </w:r>
    </w:p>
    <w:p w14:paraId="73903DB2">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3.1本采购项目，中标供应商与采购人签订的政府采购合同适用于嘉兴市政府采购贷款政策（简称“政采贷”），具体内容可参阅政府采购贷款流程：</w:t>
      </w:r>
    </w:p>
    <w:p w14:paraId="616194B7">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http://jxszwsjb.jiaxing.gov.cn/zxfw/005001/005001004/20190315/76d484f7-8fac-497f-9359-4df81cc086da.html</w:t>
      </w:r>
    </w:p>
    <w:p w14:paraId="56EE7E69">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2156D592">
      <w:pPr>
        <w:widowControl/>
        <w:spacing w:before="255" w:after="255"/>
        <w:ind w:firstLine="0" w:firstLineChars="0"/>
        <w:jc w:val="both"/>
        <w:outlineLvl w:val="1"/>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bCs/>
          <w:color w:val="auto"/>
          <w:kern w:val="0"/>
          <w:sz w:val="21"/>
          <w:szCs w:val="21"/>
          <w:highlight w:val="none"/>
        </w:rPr>
        <w:t>七、对本次采购提出询问、质疑、投诉，请按以下方式联系</w:t>
      </w:r>
    </w:p>
    <w:p w14:paraId="72627AAB">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1.采购人信息</w:t>
      </w:r>
    </w:p>
    <w:p w14:paraId="0C926B23">
      <w:pPr>
        <w:widowControl/>
        <w:spacing w:before="75" w:after="75"/>
        <w:ind w:firstLine="330" w:firstLineChars="0"/>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名    称：</w:t>
      </w:r>
      <w:r>
        <w:rPr>
          <w:rFonts w:hint="eastAsia" w:ascii="微软雅黑" w:hAnsi="微软雅黑" w:eastAsia="微软雅黑" w:cs="微软雅黑"/>
          <w:color w:val="auto"/>
          <w:kern w:val="0"/>
          <w:sz w:val="21"/>
          <w:szCs w:val="21"/>
          <w:highlight w:val="none"/>
          <w:lang w:eastAsia="zh-CN"/>
        </w:rPr>
        <w:t>嘉兴市医疗保障局</w:t>
      </w:r>
    </w:p>
    <w:p w14:paraId="03DE83A0">
      <w:pPr>
        <w:widowControl/>
        <w:spacing w:before="75" w:after="75"/>
        <w:ind w:firstLine="33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地    址：</w:t>
      </w:r>
      <w:r>
        <w:rPr>
          <w:rFonts w:hint="eastAsia" w:ascii="微软雅黑" w:hAnsi="微软雅黑" w:cs="微软雅黑"/>
          <w:color w:val="auto"/>
          <w:kern w:val="0"/>
          <w:sz w:val="21"/>
          <w:szCs w:val="21"/>
          <w:highlight w:val="none"/>
          <w:lang w:val="en-US" w:eastAsia="zh-CN"/>
        </w:rPr>
        <w:t>嘉</w:t>
      </w:r>
      <w:r>
        <w:rPr>
          <w:rFonts w:hint="eastAsia" w:ascii="宋体" w:hAnsi="宋体" w:cs="宋体"/>
          <w:szCs w:val="21"/>
          <w:highlight w:val="none"/>
        </w:rPr>
        <w:t>兴市中南大厦10楼</w:t>
      </w:r>
      <w:r>
        <w:rPr>
          <w:rFonts w:hint="eastAsia" w:ascii="微软雅黑" w:hAnsi="微软雅黑" w:eastAsia="微软雅黑" w:cs="微软雅黑"/>
          <w:color w:val="auto"/>
          <w:kern w:val="0"/>
          <w:sz w:val="21"/>
          <w:szCs w:val="21"/>
          <w:highlight w:val="none"/>
          <w:lang w:val="en-US" w:eastAsia="zh-CN"/>
        </w:rPr>
        <w:t xml:space="preserve"> </w:t>
      </w:r>
      <w:r>
        <w:rPr>
          <w:rFonts w:hint="eastAsia" w:ascii="微软雅黑" w:hAnsi="微软雅黑" w:eastAsia="微软雅黑" w:cs="微软雅黑"/>
          <w:color w:val="auto"/>
          <w:kern w:val="0"/>
          <w:sz w:val="21"/>
          <w:szCs w:val="21"/>
          <w:highlight w:val="none"/>
        </w:rPr>
        <w:t xml:space="preserve"> </w:t>
      </w:r>
    </w:p>
    <w:p w14:paraId="727BC1AF">
      <w:pPr>
        <w:widowControl/>
        <w:spacing w:before="75" w:after="75"/>
        <w:ind w:firstLine="0" w:firstLineChars="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rPr>
        <w:t>    传    真：  </w:t>
      </w:r>
      <w:r>
        <w:rPr>
          <w:rFonts w:hint="eastAsia" w:ascii="微软雅黑" w:hAnsi="微软雅黑" w:cs="微软雅黑"/>
          <w:color w:val="auto"/>
          <w:kern w:val="0"/>
          <w:sz w:val="21"/>
          <w:szCs w:val="21"/>
          <w:highlight w:val="none"/>
          <w:lang w:val="en-US" w:eastAsia="zh-CN"/>
        </w:rPr>
        <w:t>/</w:t>
      </w:r>
    </w:p>
    <w:p w14:paraId="6E78F07B">
      <w:pPr>
        <w:widowControl/>
        <w:spacing w:before="75" w:after="75"/>
        <w:ind w:firstLine="420" w:firstLineChars="20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rPr>
        <w:t>项目联系人（询问）：</w:t>
      </w:r>
      <w:r>
        <w:rPr>
          <w:rFonts w:hint="eastAsia" w:ascii="宋体" w:hAnsi="宋体" w:cs="宋体"/>
          <w:szCs w:val="21"/>
          <w:highlight w:val="none"/>
        </w:rPr>
        <w:t>夏先生</w:t>
      </w:r>
      <w:r>
        <w:rPr>
          <w:rFonts w:hint="eastAsia" w:ascii="微软雅黑" w:hAnsi="微软雅黑" w:eastAsia="微软雅黑" w:cs="微软雅黑"/>
          <w:color w:val="auto"/>
          <w:kern w:val="0"/>
          <w:sz w:val="21"/>
          <w:szCs w:val="21"/>
          <w:highlight w:val="none"/>
          <w:lang w:val="en-US" w:eastAsia="zh-CN"/>
        </w:rPr>
        <w:t xml:space="preserve"> </w:t>
      </w:r>
      <w:r>
        <w:rPr>
          <w:rFonts w:hint="eastAsia" w:ascii="微软雅黑" w:hAnsi="微软雅黑" w:eastAsia="微软雅黑" w:cs="微软雅黑"/>
          <w:color w:val="auto"/>
          <w:kern w:val="0"/>
          <w:sz w:val="21"/>
          <w:szCs w:val="21"/>
          <w:highlight w:val="none"/>
        </w:rPr>
        <w:t xml:space="preserve"> </w:t>
      </w:r>
    </w:p>
    <w:p w14:paraId="318B7861">
      <w:pPr>
        <w:widowControl/>
        <w:spacing w:before="75" w:after="75"/>
        <w:ind w:firstLine="334" w:firstLineChars="0"/>
        <w:rPr>
          <w:rFonts w:hint="eastAsia" w:ascii="微软雅黑" w:hAnsi="微软雅黑" w:eastAsia="微软雅黑" w:cs="微软雅黑"/>
          <w:i w:val="0"/>
          <w:iCs w:val="0"/>
          <w:caps w:val="0"/>
          <w:color w:val="232323"/>
          <w:spacing w:val="0"/>
          <w:sz w:val="21"/>
          <w:szCs w:val="21"/>
          <w:highlight w:val="none"/>
          <w:shd w:val="clear" w:fill="FFFFFF"/>
        </w:rPr>
      </w:pPr>
      <w:r>
        <w:rPr>
          <w:rFonts w:hint="eastAsia" w:ascii="微软雅黑" w:hAnsi="微软雅黑" w:eastAsia="微软雅黑" w:cs="微软雅黑"/>
          <w:color w:val="auto"/>
          <w:kern w:val="0"/>
          <w:sz w:val="21"/>
          <w:szCs w:val="21"/>
          <w:highlight w:val="none"/>
        </w:rPr>
        <w:t>项目联系方式（询问）：0573-83837331</w:t>
      </w:r>
    </w:p>
    <w:p w14:paraId="0AEDE3C5">
      <w:pPr>
        <w:widowControl/>
        <w:spacing w:before="75" w:after="75"/>
        <w:ind w:firstLine="334"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质疑联系人：</w:t>
      </w:r>
      <w:r>
        <w:rPr>
          <w:rFonts w:hint="eastAsia" w:ascii="宋体" w:hAnsi="宋体" w:cs="宋体"/>
          <w:szCs w:val="21"/>
          <w:highlight w:val="none"/>
        </w:rPr>
        <w:t>施女士</w:t>
      </w:r>
      <w:r>
        <w:rPr>
          <w:rFonts w:hint="eastAsia" w:ascii="微软雅黑" w:hAnsi="微软雅黑" w:eastAsia="微软雅黑" w:cs="微软雅黑"/>
          <w:color w:val="auto"/>
          <w:kern w:val="0"/>
          <w:sz w:val="21"/>
          <w:szCs w:val="21"/>
          <w:highlight w:val="none"/>
          <w:lang w:val="en-US" w:eastAsia="zh-CN"/>
        </w:rPr>
        <w:t xml:space="preserve"> </w:t>
      </w:r>
      <w:r>
        <w:rPr>
          <w:rFonts w:hint="eastAsia" w:ascii="微软雅黑" w:hAnsi="微软雅黑" w:eastAsia="微软雅黑" w:cs="微软雅黑"/>
          <w:color w:val="auto"/>
          <w:kern w:val="0"/>
          <w:sz w:val="21"/>
          <w:szCs w:val="21"/>
          <w:highlight w:val="none"/>
        </w:rPr>
        <w:t xml:space="preserve">   </w:t>
      </w:r>
    </w:p>
    <w:p w14:paraId="433C9C2B">
      <w:pPr>
        <w:widowControl/>
        <w:spacing w:before="75" w:after="75"/>
        <w:ind w:firstLine="334"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质疑联系方式：13806735344</w:t>
      </w:r>
      <w:r>
        <w:rPr>
          <w:rFonts w:hint="eastAsia" w:ascii="微软雅黑" w:hAnsi="微软雅黑" w:eastAsia="微软雅黑" w:cs="微软雅黑"/>
          <w:color w:val="auto"/>
          <w:kern w:val="0"/>
          <w:sz w:val="21"/>
          <w:szCs w:val="21"/>
          <w:highlight w:val="none"/>
          <w:lang w:val="en-US" w:eastAsia="zh-CN"/>
        </w:rPr>
        <w:t xml:space="preserve"> </w:t>
      </w:r>
      <w:r>
        <w:rPr>
          <w:rFonts w:hint="eastAsia" w:ascii="微软雅黑" w:hAnsi="微软雅黑" w:eastAsia="微软雅黑" w:cs="微软雅黑"/>
          <w:color w:val="auto"/>
          <w:kern w:val="0"/>
          <w:sz w:val="21"/>
          <w:szCs w:val="21"/>
          <w:highlight w:val="none"/>
        </w:rPr>
        <w:t xml:space="preserve">   </w:t>
      </w:r>
    </w:p>
    <w:p w14:paraId="746DC582">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2.采购代理机构信息            </w:t>
      </w:r>
    </w:p>
    <w:p w14:paraId="4CD09496">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名    称：嘉兴市千秋工程咨询有限公司             </w:t>
      </w:r>
    </w:p>
    <w:p w14:paraId="47A96AE2">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地    址：嘉兴市秀洲区新平路299号中禾广场</w:t>
      </w:r>
      <w:r>
        <w:rPr>
          <w:rFonts w:hint="eastAsia" w:ascii="微软雅黑" w:hAnsi="微软雅黑" w:cs="微软雅黑"/>
          <w:color w:val="auto"/>
          <w:kern w:val="0"/>
          <w:sz w:val="21"/>
          <w:szCs w:val="21"/>
          <w:highlight w:val="none"/>
          <w:lang w:val="en-US" w:eastAsia="zh-CN"/>
        </w:rPr>
        <w:t>23</w:t>
      </w:r>
      <w:r>
        <w:rPr>
          <w:rFonts w:hint="eastAsia" w:ascii="微软雅黑" w:hAnsi="微软雅黑" w:eastAsia="微软雅黑" w:cs="微软雅黑"/>
          <w:color w:val="auto"/>
          <w:kern w:val="0"/>
          <w:sz w:val="21"/>
          <w:szCs w:val="21"/>
          <w:highlight w:val="none"/>
        </w:rPr>
        <w:t>楼             </w:t>
      </w:r>
    </w:p>
    <w:p w14:paraId="50F6C157">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传    真：/             </w:t>
      </w:r>
    </w:p>
    <w:p w14:paraId="161AE49D">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项目联系人（询问）：章莉莉、李建良              </w:t>
      </w:r>
    </w:p>
    <w:p w14:paraId="7DC93839">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项目联系方式（询问）：0573-83705015 13605735186 </w:t>
      </w:r>
    </w:p>
    <w:p w14:paraId="3C6FB060">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质疑联系人：项兴戟  、林晨          </w:t>
      </w:r>
    </w:p>
    <w:p w14:paraId="0F0DF359">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质疑联系方式：0573-83705015 13605738567 　　　　　　     </w:t>
      </w:r>
    </w:p>
    <w:p w14:paraId="34689FD6">
      <w:pPr>
        <w:widowControl/>
        <w:spacing w:before="75" w:after="75"/>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3.同级政府采购监督管理部门            </w:t>
      </w:r>
    </w:p>
    <w:p w14:paraId="0B390EE5">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政府采购行政监管及投诉受理部门：嘉兴市财政局</w:t>
      </w:r>
    </w:p>
    <w:p w14:paraId="4B1DCD35">
      <w:pPr>
        <w:widowControl/>
        <w:spacing w:before="75" w:after="75" w:line="300" w:lineRule="atLeast"/>
        <w:ind w:firstLine="420"/>
        <w:rPr>
          <w:rFonts w:hint="eastAsia" w:ascii="微软雅黑" w:hAnsi="微软雅黑" w:cs="Calibri"/>
          <w:color w:val="auto"/>
          <w:kern w:val="0"/>
          <w:szCs w:val="21"/>
          <w:highlight w:val="none"/>
        </w:rPr>
      </w:pPr>
      <w:r>
        <w:rPr>
          <w:rFonts w:hint="eastAsia" w:ascii="微软雅黑" w:hAnsi="微软雅黑" w:cs="Calibri"/>
          <w:color w:val="auto"/>
          <w:kern w:val="0"/>
          <w:szCs w:val="21"/>
          <w:highlight w:val="none"/>
        </w:rPr>
        <w:t>联系人：姚先生</w:t>
      </w:r>
    </w:p>
    <w:p w14:paraId="51564B0F">
      <w:pPr>
        <w:widowControl/>
        <w:spacing w:before="75" w:after="75" w:line="300" w:lineRule="atLeast"/>
        <w:ind w:firstLine="420"/>
        <w:rPr>
          <w:rFonts w:hint="eastAsia" w:ascii="微软雅黑" w:hAnsi="微软雅黑" w:cs="Calibri"/>
          <w:color w:val="auto"/>
          <w:kern w:val="0"/>
          <w:szCs w:val="21"/>
          <w:highlight w:val="none"/>
        </w:rPr>
      </w:pPr>
      <w:r>
        <w:rPr>
          <w:rFonts w:hint="eastAsia" w:ascii="微软雅黑" w:hAnsi="微软雅黑" w:cs="Calibri"/>
          <w:color w:val="auto"/>
          <w:kern w:val="0"/>
          <w:szCs w:val="21"/>
          <w:highlight w:val="none"/>
        </w:rPr>
        <w:t>联系方式：</w:t>
      </w:r>
      <w:bookmarkStart w:id="360" w:name="_GoBack"/>
      <w:r>
        <w:rPr>
          <w:rFonts w:hint="eastAsia" w:ascii="微软雅黑" w:hAnsi="微软雅黑" w:cs="Calibri"/>
          <w:color w:val="auto"/>
          <w:kern w:val="0"/>
          <w:szCs w:val="21"/>
          <w:highlight w:val="none"/>
        </w:rPr>
        <w:t>0573-82031217</w:t>
      </w:r>
      <w:bookmarkEnd w:id="360"/>
    </w:p>
    <w:p w14:paraId="015E077C">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8D2F406">
      <w:pPr>
        <w:ind w:firstLine="420"/>
        <w:rPr>
          <w:rStyle w:val="65"/>
          <w:rFonts w:hint="eastAsia" w:ascii="微软雅黑" w:hAnsi="微软雅黑" w:eastAsia="微软雅黑" w:cs="微软雅黑"/>
          <w:color w:val="auto"/>
          <w:sz w:val="21"/>
          <w:szCs w:val="21"/>
          <w:highlight w:val="none"/>
        </w:rPr>
        <w:sectPr>
          <w:headerReference r:id="rId13" w:type="first"/>
          <w:headerReference r:id="rId11" w:type="default"/>
          <w:footerReference r:id="rId14" w:type="default"/>
          <w:headerReference r:id="rId12" w:type="even"/>
          <w:pgSz w:w="11906" w:h="16838"/>
          <w:pgMar w:top="1474" w:right="1797" w:bottom="1247" w:left="1797" w:header="851" w:footer="851" w:gutter="0"/>
          <w:cols w:space="720" w:num="1"/>
          <w:docGrid w:linePitch="312" w:charSpace="0"/>
        </w:sectPr>
      </w:pPr>
      <w:r>
        <w:rPr>
          <w:rFonts w:hint="eastAsia" w:ascii="微软雅黑" w:hAnsi="微软雅黑" w:eastAsia="微软雅黑" w:cs="微软雅黑"/>
          <w:color w:val="auto"/>
          <w:sz w:val="21"/>
          <w:szCs w:val="21"/>
          <w:highlight w:val="none"/>
        </w:rPr>
        <w:t>CA问题联系电话（人工）：汇信CA 400-888-4636；天谷CA 400-087-8198。</w:t>
      </w:r>
      <w:bookmarkStart w:id="23" w:name="_Toc5875"/>
    </w:p>
    <w:p w14:paraId="6EB745C3">
      <w:pPr>
        <w:pStyle w:val="2"/>
        <w:numPr>
          <w:ilvl w:val="0"/>
          <w:numId w:val="4"/>
        </w:num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bookmarkEnd w:id="21"/>
      <w:bookmarkEnd w:id="23"/>
      <w:bookmarkStart w:id="24" w:name="_Toc191238332"/>
      <w:bookmarkStart w:id="25" w:name="_Toc9076"/>
      <w:r>
        <w:rPr>
          <w:rFonts w:hint="eastAsia" w:ascii="微软雅黑" w:hAnsi="微软雅黑" w:eastAsia="微软雅黑" w:cs="微软雅黑"/>
          <w:color w:val="auto"/>
          <w:sz w:val="21"/>
          <w:szCs w:val="21"/>
          <w:highlight w:val="none"/>
        </w:rPr>
        <w:t>磋商需求</w:t>
      </w:r>
      <w:bookmarkEnd w:id="24"/>
      <w:bookmarkEnd w:id="25"/>
    </w:p>
    <w:p w14:paraId="15EB1286">
      <w:pPr>
        <w:widowControl/>
        <w:numPr>
          <w:ilvl w:val="0"/>
          <w:numId w:val="5"/>
        </w:numPr>
        <w:snapToGrid w:val="0"/>
        <w:spacing w:line="360" w:lineRule="auto"/>
        <w:ind w:left="0" w:leftChars="0" w:firstLine="420" w:firstLineChars="0"/>
        <w:jc w:val="left"/>
        <w:textAlignment w:val="baseline"/>
        <w:outlineLvl w:val="1"/>
        <w:rPr>
          <w:rFonts w:hint="eastAsia" w:ascii="微软雅黑" w:hAnsi="微软雅黑" w:eastAsia="微软雅黑" w:cs="微软雅黑"/>
          <w:b/>
          <w:bCs/>
          <w:kern w:val="0"/>
          <w:sz w:val="21"/>
          <w:szCs w:val="21"/>
          <w:highlight w:val="none"/>
          <w:lang w:eastAsia="zh-CN"/>
        </w:rPr>
      </w:pPr>
      <w:r>
        <w:rPr>
          <w:rFonts w:hint="eastAsia" w:ascii="微软雅黑" w:hAnsi="微软雅黑" w:eastAsia="微软雅黑" w:cs="微软雅黑"/>
          <w:b/>
          <w:bCs/>
          <w:kern w:val="0"/>
          <w:sz w:val="21"/>
          <w:szCs w:val="21"/>
          <w:highlight w:val="none"/>
          <w:lang w:eastAsia="zh-CN"/>
        </w:rPr>
        <w:t>采购内容</w:t>
      </w:r>
    </w:p>
    <w:p w14:paraId="2FF4E1CC">
      <w:pPr>
        <w:widowControl/>
        <w:snapToGrid w:val="0"/>
        <w:spacing w:line="360" w:lineRule="auto"/>
        <w:jc w:val="left"/>
        <w:textAlignment w:val="baseline"/>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rPr>
        <w:t>机房软硬件设备运维服务</w:t>
      </w:r>
      <w:r>
        <w:rPr>
          <w:rFonts w:hint="eastAsia" w:ascii="微软雅黑" w:hAnsi="微软雅黑" w:eastAsia="微软雅黑" w:cs="微软雅黑"/>
          <w:kern w:val="0"/>
          <w:sz w:val="21"/>
          <w:szCs w:val="21"/>
          <w:highlight w:val="none"/>
          <w:lang w:eastAsia="zh-CN"/>
        </w:rPr>
        <w:t>、</w:t>
      </w:r>
      <w:r>
        <w:rPr>
          <w:rFonts w:hint="eastAsia" w:ascii="微软雅黑" w:hAnsi="微软雅黑" w:eastAsia="微软雅黑" w:cs="微软雅黑"/>
          <w:kern w:val="0"/>
          <w:sz w:val="21"/>
          <w:szCs w:val="21"/>
          <w:highlight w:val="none"/>
          <w:lang w:val="en-US" w:eastAsia="zh-CN"/>
        </w:rPr>
        <w:t>安全服务、特征库升级服务</w:t>
      </w:r>
      <w:r>
        <w:rPr>
          <w:rFonts w:hint="eastAsia" w:ascii="微软雅黑" w:hAnsi="微软雅黑" w:eastAsia="微软雅黑" w:cs="微软雅黑"/>
          <w:kern w:val="0"/>
          <w:sz w:val="21"/>
          <w:szCs w:val="21"/>
          <w:highlight w:val="none"/>
        </w:rPr>
        <w:t>等</w:t>
      </w:r>
    </w:p>
    <w:p w14:paraId="1FC93B5F">
      <w:pPr>
        <w:widowControl/>
        <w:numPr>
          <w:ilvl w:val="0"/>
          <w:numId w:val="5"/>
        </w:numPr>
        <w:snapToGrid w:val="0"/>
        <w:spacing w:line="360" w:lineRule="auto"/>
        <w:ind w:left="0" w:leftChars="0" w:firstLine="420" w:firstLineChars="0"/>
        <w:jc w:val="left"/>
        <w:textAlignment w:val="baseline"/>
        <w:outlineLvl w:val="1"/>
        <w:rPr>
          <w:rFonts w:hint="eastAsia" w:ascii="微软雅黑" w:hAnsi="微软雅黑" w:eastAsia="微软雅黑" w:cs="微软雅黑"/>
          <w:b/>
          <w:bCs/>
          <w:kern w:val="0"/>
          <w:sz w:val="21"/>
          <w:szCs w:val="21"/>
          <w:highlight w:val="none"/>
          <w:lang w:eastAsia="zh-CN"/>
        </w:rPr>
      </w:pPr>
      <w:r>
        <w:rPr>
          <w:rFonts w:hint="eastAsia" w:ascii="微软雅黑" w:hAnsi="微软雅黑" w:eastAsia="微软雅黑" w:cs="微软雅黑"/>
          <w:b/>
          <w:bCs/>
          <w:kern w:val="0"/>
          <w:sz w:val="21"/>
          <w:szCs w:val="21"/>
          <w:highlight w:val="none"/>
          <w:lang w:val="en-US" w:eastAsia="zh-CN"/>
        </w:rPr>
        <w:t>项目服务</w:t>
      </w:r>
      <w:r>
        <w:rPr>
          <w:rFonts w:hint="eastAsia" w:ascii="微软雅黑" w:hAnsi="微软雅黑" w:eastAsia="微软雅黑" w:cs="微软雅黑"/>
          <w:b/>
          <w:bCs/>
          <w:kern w:val="0"/>
          <w:sz w:val="21"/>
          <w:szCs w:val="21"/>
          <w:highlight w:val="none"/>
          <w:lang w:eastAsia="zh-CN"/>
        </w:rPr>
        <w:t>清单</w:t>
      </w:r>
      <w:bookmarkStart w:id="26" w:name="_Toc170792777"/>
      <w:bookmarkStart w:id="27" w:name="_Toc119481961"/>
      <w:bookmarkStart w:id="28" w:name="_Toc71033410"/>
      <w:bookmarkStart w:id="29" w:name="_Toc72069792"/>
    </w:p>
    <w:p w14:paraId="47424BD0">
      <w:pPr>
        <w:widowControl/>
        <w:numPr>
          <w:ilvl w:val="0"/>
          <w:numId w:val="6"/>
        </w:numPr>
        <w:snapToGrid w:val="0"/>
        <w:spacing w:line="360" w:lineRule="auto"/>
        <w:ind w:left="425" w:leftChars="0" w:hanging="425" w:firstLineChars="0"/>
        <w:jc w:val="left"/>
        <w:textAlignment w:val="baseline"/>
        <w:outlineLvl w:val="1"/>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机房软硬件设备运维服务清单：</w:t>
      </w:r>
    </w:p>
    <w:tbl>
      <w:tblPr>
        <w:tblStyle w:val="52"/>
        <w:tblW w:w="7982" w:type="dxa"/>
        <w:tblInd w:w="93" w:type="dxa"/>
        <w:tblLayout w:type="autofit"/>
        <w:tblCellMar>
          <w:top w:w="0" w:type="dxa"/>
          <w:left w:w="108" w:type="dxa"/>
          <w:bottom w:w="0" w:type="dxa"/>
          <w:right w:w="108" w:type="dxa"/>
        </w:tblCellMar>
      </w:tblPr>
      <w:tblGrid>
        <w:gridCol w:w="665"/>
        <w:gridCol w:w="2639"/>
        <w:gridCol w:w="3408"/>
        <w:gridCol w:w="1270"/>
      </w:tblGrid>
      <w:tr w14:paraId="7AE09B2A">
        <w:tblPrEx>
          <w:tblCellMar>
            <w:top w:w="0" w:type="dxa"/>
            <w:left w:w="108" w:type="dxa"/>
            <w:bottom w:w="0" w:type="dxa"/>
            <w:right w:w="108" w:type="dxa"/>
          </w:tblCellMar>
        </w:tblPrEx>
        <w:trPr>
          <w:trHeight w:val="440"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1F71FC4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序号</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1BA869D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设备类别</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10E2F2C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设备型号</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755388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数量</w:t>
            </w:r>
          </w:p>
        </w:tc>
      </w:tr>
      <w:tr w14:paraId="24A453E3">
        <w:tblPrEx>
          <w:tblCellMar>
            <w:top w:w="0" w:type="dxa"/>
            <w:left w:w="108" w:type="dxa"/>
            <w:bottom w:w="0" w:type="dxa"/>
            <w:right w:w="108" w:type="dxa"/>
          </w:tblCellMar>
        </w:tblPrEx>
        <w:trPr>
          <w:trHeight w:val="440"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6C98E91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0E4DDE4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堡垒机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86F9E8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天融信TSAG-43228</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19431D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61C23660">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0E6CE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84FFF4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防火墙</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F41115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 TG-51630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0767D4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50183718">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2CC1D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3</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4A9DA7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防火墙</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DCF59A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w:t>
            </w:r>
            <w:r>
              <w:rPr>
                <w:rFonts w:hint="eastAsia" w:ascii="微软雅黑" w:hAnsi="微软雅黑" w:eastAsia="微软雅黑" w:cs="微软雅黑"/>
                <w:color w:val="000000"/>
                <w:kern w:val="0"/>
                <w:sz w:val="21"/>
                <w:szCs w:val="21"/>
                <w:highlight w:val="none"/>
                <w:lang w:val="en-US" w:eastAsia="zh-CN" w:bidi="ar"/>
              </w:rPr>
              <w:t xml:space="preserve"> </w:t>
            </w:r>
            <w:r>
              <w:rPr>
                <w:rFonts w:hint="eastAsia" w:ascii="微软雅黑" w:hAnsi="微软雅黑" w:eastAsia="微软雅黑" w:cs="微软雅黑"/>
                <w:color w:val="000000"/>
                <w:kern w:val="0"/>
                <w:sz w:val="21"/>
                <w:szCs w:val="21"/>
                <w:highlight w:val="none"/>
                <w:lang w:bidi="ar"/>
              </w:rPr>
              <w:t>TG-51030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BC85F5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70227402">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EAAE4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4</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0CA440F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防火墙</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3489E18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 TG-51630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652A28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3B12DBE0">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C6A54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6C7881D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防火墙</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3CB33D4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网神SecGate 3600-F6-3218</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7BA212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9F6CCC6">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CA5A5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69C2C97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防火墙</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3BCA11C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天融信NGFW4000-UF(TG5014)</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7701D6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6AA3A3D0">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321DD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2156F2B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防火墙</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0CF73A1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天融信NGFW4000-UF(TG5014)</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248BCB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2C2848B5">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E13F3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8</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6E705B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防火墙升级</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44B9F0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天融信IDP-M-D-FW</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B2664A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6D1B5004">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E6786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9</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52C49E4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日志审计</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E22CC4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天融信TA-L-HSE-200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3C0E0E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5C19BF9A">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E3EC1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10</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E13E62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数据库审计</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47CD033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天融信TA-53329-DB</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66EB6E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E647D38">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A6B33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A0A661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态势感知探针及系统</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1FD080A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奇安信TSS10000-S52-WS</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2AC37A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12FEC54E">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7500A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12</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4298A68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终端准入</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0E7A2D3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奇安信NAC-1000bx-N</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6E0350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3922CED1">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2094F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13</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73DC1D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F57A1C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 xml:space="preserve">戴尔 </w:t>
            </w:r>
            <w:r>
              <w:rPr>
                <w:rFonts w:hint="eastAsia" w:ascii="微软雅黑" w:hAnsi="微软雅黑" w:eastAsia="微软雅黑" w:cs="微软雅黑"/>
                <w:color w:val="000000"/>
                <w:kern w:val="0"/>
                <w:sz w:val="21"/>
                <w:szCs w:val="21"/>
                <w:highlight w:val="none"/>
                <w:lang w:bidi="ar"/>
              </w:rPr>
              <w:t>T640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61E853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003F611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F4A2B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14</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26F453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5C4377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 xml:space="preserve">戴尔 </w:t>
            </w:r>
            <w:r>
              <w:rPr>
                <w:rFonts w:hint="eastAsia" w:ascii="微软雅黑" w:hAnsi="微软雅黑" w:eastAsia="微软雅黑" w:cs="微软雅黑"/>
                <w:color w:val="000000"/>
                <w:kern w:val="0"/>
                <w:sz w:val="21"/>
                <w:szCs w:val="21"/>
                <w:highlight w:val="none"/>
                <w:lang w:bidi="ar"/>
              </w:rPr>
              <w:t>T640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0D5633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53D93DD1">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0B2B1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4B7AC2D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1EBAC1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 xml:space="preserve">戴尔 </w:t>
            </w:r>
            <w:r>
              <w:rPr>
                <w:rFonts w:hint="eastAsia" w:ascii="微软雅黑" w:hAnsi="微软雅黑" w:eastAsia="微软雅黑" w:cs="微软雅黑"/>
                <w:color w:val="000000"/>
                <w:kern w:val="0"/>
                <w:sz w:val="21"/>
                <w:szCs w:val="21"/>
                <w:highlight w:val="none"/>
                <w:lang w:bidi="ar"/>
              </w:rPr>
              <w:t>T640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097ACF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37CFB6B5">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C11F7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269369C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0AD506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 xml:space="preserve">戴尔 </w:t>
            </w:r>
            <w:r>
              <w:rPr>
                <w:rFonts w:hint="eastAsia" w:ascii="微软雅黑" w:hAnsi="微软雅黑" w:eastAsia="微软雅黑" w:cs="微软雅黑"/>
                <w:color w:val="000000"/>
                <w:kern w:val="0"/>
                <w:sz w:val="21"/>
                <w:szCs w:val="21"/>
                <w:highlight w:val="none"/>
                <w:lang w:bidi="ar"/>
              </w:rPr>
              <w:t>T640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582A4A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715BA8CB">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A8250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5EC7DA9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1242BE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 xml:space="preserve">戴尔 </w:t>
            </w:r>
            <w:r>
              <w:rPr>
                <w:rFonts w:hint="eastAsia" w:ascii="微软雅黑" w:hAnsi="微软雅黑" w:eastAsia="微软雅黑" w:cs="微软雅黑"/>
                <w:color w:val="000000"/>
                <w:kern w:val="0"/>
                <w:sz w:val="21"/>
                <w:szCs w:val="21"/>
                <w:highlight w:val="none"/>
                <w:lang w:bidi="ar"/>
              </w:rPr>
              <w:t>T640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676637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0A143397">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9CF55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18</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DF74F7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0A0B4AC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 xml:space="preserve">戴尔 </w:t>
            </w:r>
            <w:r>
              <w:rPr>
                <w:rFonts w:hint="eastAsia" w:ascii="微软雅黑" w:hAnsi="微软雅黑" w:eastAsia="微软雅黑" w:cs="微软雅黑"/>
                <w:color w:val="000000"/>
                <w:kern w:val="0"/>
                <w:sz w:val="21"/>
                <w:szCs w:val="21"/>
                <w:highlight w:val="none"/>
                <w:lang w:bidi="ar"/>
              </w:rPr>
              <w:t>T640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14EDB9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672A4BBC">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121CD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19</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65030C1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1A3F514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中科可控R5240H0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29B493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781B56DD">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0E09C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20</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0C27480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PC服务器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370591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中科可控</w:t>
            </w:r>
            <w:r>
              <w:rPr>
                <w:rFonts w:hint="eastAsia" w:ascii="微软雅黑" w:hAnsi="微软雅黑" w:eastAsia="微软雅黑" w:cs="微软雅黑"/>
                <w:color w:val="000000"/>
                <w:kern w:val="0"/>
                <w:sz w:val="21"/>
                <w:szCs w:val="21"/>
                <w:highlight w:val="none"/>
                <w:lang w:val="en-US" w:eastAsia="zh-CN" w:bidi="ar"/>
              </w:rPr>
              <w:t xml:space="preserve"> </w:t>
            </w:r>
            <w:r>
              <w:rPr>
                <w:rFonts w:hint="eastAsia" w:ascii="微软雅黑" w:hAnsi="微软雅黑" w:eastAsia="微软雅黑" w:cs="微软雅黑"/>
                <w:color w:val="000000"/>
                <w:kern w:val="0"/>
                <w:sz w:val="21"/>
                <w:szCs w:val="21"/>
                <w:highlight w:val="none"/>
                <w:lang w:bidi="ar"/>
              </w:rPr>
              <w:t>R5240H0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78416D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338D4707">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A9D3B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4C88C1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00BBD5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DELL/PowerEdge R720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3B760D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16AC072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CFE1F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22</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171188D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5DF593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DELL/PowerEdge R720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AB8161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185E107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86681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23</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27BC69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8D6CD7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DELL/PowerEdge R730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6EDD88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5A8CA76E">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F20FB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24</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67FF718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机架式服务器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6BAEDD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DELL/PowerEdge R740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F650BC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9B08AEE">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04797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7B9673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机架式服务器</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3E95CE1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DELL/PowerEdge R740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50EAC2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9A65440">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41A9A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67DF21B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核心交换机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4ACC00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LS-7506X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7E2B57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76A38575">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4F512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2A37CA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核心交换机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485F4B2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LS-7506X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E7D551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077E515">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51FD2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28</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0F7FAFC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核心交换机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0F59B97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LS-7506E</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7920A2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6B25E61C">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080E5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29</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DE4537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核心交换机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51C39D6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LS-7506E</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E28782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3A9DF32F">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6F9BF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30</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5BF7369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5254EF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S5120V2-28P-LI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C18C7E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1A9D7CE6">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CFCB7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31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63D3D94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48101F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TP-LINK1024百兆交换机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7672CB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75235BD8">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9E20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32</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2DD0380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08A6005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华为S5700S-52P-LI-AC交换机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B7F15C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73CBAAB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C8106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33</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AB0085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5DB0E25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TP-LINK1024百兆交换机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23FF27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BCF0AF2">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F69DA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34</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24BE3E4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22E01A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TP-LINK1024百兆交换机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66CFEC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3BED0BF">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D0F00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35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376C99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50027E9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S1208-CN 百兆交换机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0CA0FB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6ECC331">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B544D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36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93562F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FD122B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2626</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770C37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1187C3BB">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9E34C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37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167CC6F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D2F10C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TP-LINK1024百兆交换机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227E7D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1BD9C035">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50060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38</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23A426D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988D9D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TP-LINK1016 百兆交换机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034B4C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718B3FC6">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55F8F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39</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2F81AC4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50738FF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LS-5120V2-28P-LI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27C203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692C396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A09C2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40</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67DCA90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595C81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LS-5120V2-28P-LI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CD5D97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0C1F02D8">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4C19D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41</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1280295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590DA92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LS-5130S-52P-EI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7676D1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59D968DF">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A415C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42</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52BE9D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698124E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LS-5120V2-28P-LI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7AF8BE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5984475">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E8E68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43</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1350206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E03B46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LS-5130S-52P-EI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04467E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19B7F2F1">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B5D1A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44</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78A0EF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0D78003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LS-5120V2-28P-LI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B0093C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699D0C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FF257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45</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3D738F0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2677FBB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LS-5120V2-28P-LI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F59707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AC2A843">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3D4A5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46</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75ECA44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交换机</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4DB57E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H3C LS-5120V2-28P-LI</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52430F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r w14:paraId="470BC239">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C6AFB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47</w:t>
            </w:r>
          </w:p>
        </w:tc>
        <w:tc>
          <w:tcPr>
            <w:tcW w:w="2639" w:type="dxa"/>
            <w:tcBorders>
              <w:top w:val="single" w:color="000000" w:sz="4" w:space="0"/>
              <w:left w:val="single" w:color="000000" w:sz="4" w:space="0"/>
              <w:bottom w:val="single" w:color="000000" w:sz="4" w:space="0"/>
              <w:right w:val="single" w:color="000000" w:sz="4" w:space="0"/>
            </w:tcBorders>
            <w:noWrap w:val="0"/>
            <w:vAlign w:val="center"/>
          </w:tcPr>
          <w:p w14:paraId="22C2450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UPS</w:t>
            </w:r>
          </w:p>
        </w:tc>
        <w:tc>
          <w:tcPr>
            <w:tcW w:w="3408" w:type="dxa"/>
            <w:tcBorders>
              <w:top w:val="single" w:color="000000" w:sz="4" w:space="0"/>
              <w:left w:val="single" w:color="000000" w:sz="4" w:space="0"/>
              <w:bottom w:val="single" w:color="000000" w:sz="4" w:space="0"/>
              <w:right w:val="single" w:color="000000" w:sz="4" w:space="0"/>
            </w:tcBorders>
            <w:noWrap w:val="0"/>
            <w:vAlign w:val="center"/>
          </w:tcPr>
          <w:p w14:paraId="7E2C085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科士达</w:t>
            </w:r>
            <w:r>
              <w:rPr>
                <w:rFonts w:hint="eastAsia" w:ascii="微软雅黑" w:hAnsi="微软雅黑" w:eastAsia="微软雅黑" w:cs="微软雅黑"/>
                <w:color w:val="000000"/>
                <w:kern w:val="0"/>
                <w:sz w:val="21"/>
                <w:szCs w:val="21"/>
                <w:highlight w:val="none"/>
                <w:lang w:val="en-US" w:eastAsia="zh-CN" w:bidi="ar"/>
              </w:rPr>
              <w:t xml:space="preserve"> </w:t>
            </w:r>
            <w:r>
              <w:rPr>
                <w:rFonts w:hint="eastAsia" w:ascii="微软雅黑" w:hAnsi="微软雅黑" w:eastAsia="微软雅黑" w:cs="微软雅黑"/>
                <w:color w:val="000000"/>
                <w:kern w:val="0"/>
                <w:sz w:val="21"/>
                <w:szCs w:val="21"/>
                <w:highlight w:val="none"/>
                <w:lang w:bidi="ar"/>
              </w:rPr>
              <w:t>M30K</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E21096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1台</w:t>
            </w:r>
          </w:p>
        </w:tc>
      </w:tr>
    </w:tbl>
    <w:p w14:paraId="3021E8CA">
      <w:pPr>
        <w:widowControl/>
        <w:numPr>
          <w:ilvl w:val="0"/>
          <w:numId w:val="6"/>
        </w:numPr>
        <w:snapToGrid w:val="0"/>
        <w:spacing w:line="360" w:lineRule="auto"/>
        <w:ind w:left="425" w:leftChars="0" w:hanging="425" w:firstLineChars="0"/>
        <w:jc w:val="left"/>
        <w:textAlignment w:val="baseline"/>
        <w:outlineLvl w:val="1"/>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安全服务</w:t>
      </w:r>
    </w:p>
    <w:p w14:paraId="73598762">
      <w:pPr>
        <w:widowControl/>
        <w:snapToGrid w:val="0"/>
        <w:spacing w:line="360" w:lineRule="auto"/>
        <w:ind w:firstLine="420" w:firstLineChars="0"/>
        <w:jc w:val="left"/>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支撑嘉兴全市医保专网安全运维，在规定服务期限内，整体规划设计嘉兴全市医保两定专网网络安全方案和实施计划，协调各区县医保局、各医保网络运营商、终端安全网关服务商，使全市医保网络安全、可靠、高效运行；支撑嘉兴全市两定机构网络改造和割接工作，支撑和协调各参与单位开展“智慧医保”各类专项工作、两定机构网络改造、两定机构终端安全改造和本地HIS云HIS迁移工作，提升局内用户满意度；根据需要按甲方要求及时为嘉兴全市网络问题提供专业技术方案。</w:t>
      </w:r>
    </w:p>
    <w:p w14:paraId="78EEFA0A">
      <w:pPr>
        <w:widowControl/>
        <w:numPr>
          <w:ilvl w:val="0"/>
          <w:numId w:val="6"/>
        </w:numPr>
        <w:snapToGrid w:val="0"/>
        <w:spacing w:line="360" w:lineRule="auto"/>
        <w:ind w:left="425" w:leftChars="0" w:hanging="425" w:firstLineChars="0"/>
        <w:jc w:val="left"/>
        <w:textAlignment w:val="baseline"/>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特征库升级服务</w:t>
      </w:r>
    </w:p>
    <w:tbl>
      <w:tblPr>
        <w:tblStyle w:val="52"/>
        <w:tblW w:w="7982" w:type="dxa"/>
        <w:tblInd w:w="93" w:type="dxa"/>
        <w:tblLayout w:type="autofit"/>
        <w:tblCellMar>
          <w:top w:w="0" w:type="dxa"/>
          <w:left w:w="108" w:type="dxa"/>
          <w:bottom w:w="0" w:type="dxa"/>
          <w:right w:w="108" w:type="dxa"/>
        </w:tblCellMar>
      </w:tblPr>
      <w:tblGrid>
        <w:gridCol w:w="665"/>
        <w:gridCol w:w="3366"/>
        <w:gridCol w:w="2392"/>
        <w:gridCol w:w="1559"/>
      </w:tblGrid>
      <w:tr w14:paraId="2E827CD0">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A54CEE">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序号</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14:paraId="57E19003">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设备名称</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49263167">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型号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032F332">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eastAsia="zh-CN" w:bidi="ar"/>
              </w:rPr>
            </w:pPr>
            <w:r>
              <w:rPr>
                <w:rFonts w:hint="eastAsia" w:ascii="微软雅黑" w:hAnsi="微软雅黑" w:eastAsia="微软雅黑" w:cs="微软雅黑"/>
                <w:color w:val="000000"/>
                <w:kern w:val="0"/>
                <w:sz w:val="21"/>
                <w:szCs w:val="21"/>
                <w:highlight w:val="none"/>
                <w:lang w:val="en-US" w:eastAsia="zh-CN" w:bidi="ar"/>
              </w:rPr>
              <w:t>数量</w:t>
            </w:r>
          </w:p>
        </w:tc>
      </w:tr>
      <w:tr w14:paraId="098C4129">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6BD37C">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1</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14:paraId="335ACE68">
            <w:pPr>
              <w:keepNext w:val="0"/>
              <w:keepLines w:val="0"/>
              <w:pageBreakBefore w:val="0"/>
              <w:widowControl/>
              <w:shd w:val="clear" w:color="auto" w:fill="auto"/>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奇安信综合流量探针</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1482F0D2">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TSS10000-S52-WS</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E44D344">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1</w:t>
            </w:r>
            <w:r>
              <w:rPr>
                <w:rFonts w:hint="eastAsia" w:ascii="微软雅黑" w:hAnsi="微软雅黑" w:eastAsia="微软雅黑" w:cs="微软雅黑"/>
                <w:color w:val="000000"/>
                <w:kern w:val="0"/>
                <w:sz w:val="21"/>
                <w:szCs w:val="21"/>
                <w:highlight w:val="none"/>
                <w:lang w:val="en-US" w:eastAsia="zh-CN" w:bidi="ar"/>
              </w:rPr>
              <w:t>年</w:t>
            </w:r>
          </w:p>
        </w:tc>
      </w:tr>
      <w:tr w14:paraId="1EC710A6">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A66BCB">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2</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14:paraId="4F87156D">
            <w:pPr>
              <w:keepNext w:val="0"/>
              <w:keepLines w:val="0"/>
              <w:pageBreakBefore w:val="0"/>
              <w:widowControl/>
              <w:shd w:val="clear" w:color="auto" w:fill="auto"/>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奇安信网神新一代安全感知系统</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05D7C0C3">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TSS10000-A57-WS</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C0A3939">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1</w:t>
            </w:r>
            <w:r>
              <w:rPr>
                <w:rFonts w:hint="eastAsia" w:ascii="微软雅黑" w:hAnsi="微软雅黑" w:eastAsia="微软雅黑" w:cs="微软雅黑"/>
                <w:color w:val="000000"/>
                <w:kern w:val="0"/>
                <w:sz w:val="21"/>
                <w:szCs w:val="21"/>
                <w:highlight w:val="none"/>
                <w:lang w:val="en-US" w:eastAsia="zh-CN" w:bidi="ar"/>
              </w:rPr>
              <w:t>年</w:t>
            </w:r>
          </w:p>
        </w:tc>
      </w:tr>
      <w:tr w14:paraId="566760F1">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AEB7CF">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3</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14:paraId="2A90FC35">
            <w:pPr>
              <w:keepNext w:val="0"/>
              <w:keepLines w:val="0"/>
              <w:pageBreakBefore w:val="0"/>
              <w:widowControl/>
              <w:shd w:val="clear" w:color="auto" w:fill="auto"/>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奇安信网络准入控制系统</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19E81E10">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NAC-1000BX-N</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C3D0614">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200终端/年</w:t>
            </w:r>
          </w:p>
        </w:tc>
      </w:tr>
      <w:tr w14:paraId="409885BB">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9E5E5D">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4</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14:paraId="1CB78FC5">
            <w:pPr>
              <w:keepNext w:val="0"/>
              <w:keepLines w:val="0"/>
              <w:pageBreakBefore w:val="0"/>
              <w:widowControl/>
              <w:shd w:val="clear" w:color="auto" w:fill="auto"/>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360网神虚拟化安全管理系统</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63CE9B22">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bidi="ar"/>
              </w:rPr>
              <w:t>V7.0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9DBD95B">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65终端/年</w:t>
            </w:r>
          </w:p>
        </w:tc>
      </w:tr>
      <w:tr w14:paraId="62F1C041">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A63225">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5</w:t>
            </w:r>
          </w:p>
        </w:tc>
        <w:tc>
          <w:tcPr>
            <w:tcW w:w="3366" w:type="dxa"/>
            <w:tcBorders>
              <w:top w:val="single" w:color="000000" w:sz="4" w:space="0"/>
              <w:left w:val="single" w:color="000000" w:sz="4" w:space="0"/>
              <w:bottom w:val="single" w:color="000000" w:sz="4" w:space="0"/>
              <w:right w:val="single" w:color="000000" w:sz="4" w:space="0"/>
            </w:tcBorders>
            <w:noWrap w:val="0"/>
            <w:vAlign w:val="center"/>
          </w:tcPr>
          <w:p w14:paraId="76F9A17E">
            <w:pPr>
              <w:keepNext w:val="0"/>
              <w:keepLines w:val="0"/>
              <w:pageBreakBefore w:val="0"/>
              <w:widowControl/>
              <w:shd w:val="clear" w:color="auto" w:fill="auto"/>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360网神服务器安全管理系统</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14:paraId="1D73F520">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bidi="ar"/>
              </w:rPr>
              <w:t>V7.2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E49FA25">
            <w:pPr>
              <w:keepNext w:val="0"/>
              <w:keepLines w:val="0"/>
              <w:pageBreakBefore w:val="0"/>
              <w:widowControl/>
              <w:shd w:val="clear" w:color="auto" w:fill="auto"/>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val="en-US" w:eastAsia="zh-CN" w:bidi="ar"/>
              </w:rPr>
              <w:t>65终端/年</w:t>
            </w:r>
          </w:p>
        </w:tc>
      </w:tr>
      <w:bookmarkEnd w:id="26"/>
      <w:bookmarkEnd w:id="27"/>
      <w:bookmarkEnd w:id="28"/>
      <w:bookmarkEnd w:id="29"/>
    </w:tbl>
    <w:p w14:paraId="27D8F802">
      <w:pPr>
        <w:widowControl/>
        <w:numPr>
          <w:ilvl w:val="0"/>
          <w:numId w:val="5"/>
        </w:numPr>
        <w:snapToGrid w:val="0"/>
        <w:spacing w:line="360" w:lineRule="auto"/>
        <w:ind w:left="0" w:leftChars="0" w:firstLine="420" w:firstLineChars="0"/>
        <w:jc w:val="left"/>
        <w:textAlignment w:val="baseline"/>
        <w:outlineLvl w:val="1"/>
        <w:rPr>
          <w:rFonts w:hint="eastAsia" w:ascii="微软雅黑" w:hAnsi="微软雅黑" w:eastAsia="微软雅黑" w:cs="微软雅黑"/>
          <w:b/>
          <w:bCs/>
          <w:color w:val="000000"/>
          <w:kern w:val="0"/>
          <w:sz w:val="21"/>
          <w:szCs w:val="21"/>
          <w:highlight w:val="none"/>
        </w:rPr>
      </w:pPr>
      <w:bookmarkStart w:id="30" w:name="_Toc170792778"/>
      <w:r>
        <w:rPr>
          <w:rFonts w:hint="eastAsia" w:ascii="微软雅黑" w:hAnsi="微软雅黑" w:eastAsia="微软雅黑" w:cs="微软雅黑"/>
          <w:b/>
          <w:bCs/>
          <w:color w:val="000000"/>
          <w:kern w:val="0"/>
          <w:sz w:val="21"/>
          <w:szCs w:val="21"/>
          <w:highlight w:val="none"/>
        </w:rPr>
        <w:t>具体要求</w:t>
      </w:r>
    </w:p>
    <w:bookmarkEnd w:id="30"/>
    <w:p w14:paraId="1449AE7B">
      <w:pPr>
        <w:widowControl/>
        <w:numPr>
          <w:ilvl w:val="0"/>
          <w:numId w:val="7"/>
        </w:numPr>
        <w:overflowPunct w:val="0"/>
        <w:autoSpaceDE w:val="0"/>
        <w:autoSpaceDN w:val="0"/>
        <w:adjustRightInd w:val="0"/>
        <w:spacing w:line="360" w:lineRule="auto"/>
        <w:ind w:left="425" w:leftChars="0" w:hanging="425" w:firstLineChars="0"/>
        <w:jc w:val="left"/>
        <w:textAlignment w:val="baseline"/>
        <w:outlineLvl w:val="1"/>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kern w:val="0"/>
          <w:sz w:val="21"/>
          <w:szCs w:val="21"/>
          <w:highlight w:val="none"/>
        </w:rPr>
        <w:t>项目背景及系统现状</w:t>
      </w:r>
    </w:p>
    <w:p w14:paraId="7E56D320">
      <w:pPr>
        <w:widowControl/>
        <w:overflowPunct w:val="0"/>
        <w:autoSpaceDE w:val="0"/>
        <w:autoSpaceDN w:val="0"/>
        <w:adjustRightInd w:val="0"/>
        <w:spacing w:line="360" w:lineRule="auto"/>
        <w:ind w:firstLine="420" w:firstLineChars="200"/>
        <w:jc w:val="left"/>
        <w:textAlignment w:val="baseline"/>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嘉兴市医疗保障局的信息系统承担着医保的重要应用，医保事业是重要的民生工程，其安全运行、稳定运转直接影响到群众的切身利益和社会稳定。部分主机设备、网络安全设备、PC服务器及相关数据库和系统软件已过原厂维保期限，年限已久。为了保障和对接“医保业务系统”</w:t>
      </w:r>
      <w:r>
        <w:rPr>
          <w:rFonts w:hint="eastAsia"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rPr>
        <w:t>“省智慧医保系统”等主要业务系统稳定、可靠、安全、高效地运行，需要对</w:t>
      </w:r>
      <w:r>
        <w:rPr>
          <w:rFonts w:hint="eastAsia" w:ascii="微软雅黑" w:hAnsi="微软雅黑" w:eastAsia="微软雅黑" w:cs="微软雅黑"/>
          <w:kern w:val="0"/>
          <w:sz w:val="21"/>
          <w:szCs w:val="21"/>
          <w:highlight w:val="none"/>
          <w:lang w:val="en-US" w:eastAsia="zh-CN"/>
        </w:rPr>
        <w:t>主机</w:t>
      </w:r>
      <w:r>
        <w:rPr>
          <w:rFonts w:hint="eastAsia" w:ascii="微软雅黑" w:hAnsi="微软雅黑" w:eastAsia="微软雅黑" w:cs="微软雅黑"/>
          <w:kern w:val="0"/>
          <w:sz w:val="21"/>
          <w:szCs w:val="21"/>
          <w:highlight w:val="none"/>
        </w:rPr>
        <w:t>设备、网络安全设备、重要PC服务器及有关数据库及系统软件进行运维服务，对系统存在的问题和突发故障提供及时有效的技术支持、完善的解决方案和事后防范机制，使</w:t>
      </w:r>
      <w:r>
        <w:rPr>
          <w:rFonts w:hint="eastAsia" w:ascii="微软雅黑" w:hAnsi="微软雅黑" w:eastAsia="微软雅黑" w:cs="微软雅黑"/>
          <w:kern w:val="0"/>
          <w:sz w:val="21"/>
          <w:szCs w:val="21"/>
          <w:highlight w:val="none"/>
          <w:lang w:val="en-US" w:eastAsia="zh-CN"/>
        </w:rPr>
        <w:t>医保</w:t>
      </w:r>
      <w:r>
        <w:rPr>
          <w:rFonts w:hint="eastAsia" w:ascii="微软雅黑" w:hAnsi="微软雅黑" w:eastAsia="微软雅黑" w:cs="微软雅黑"/>
          <w:kern w:val="0"/>
          <w:sz w:val="21"/>
          <w:szCs w:val="21"/>
          <w:highlight w:val="none"/>
        </w:rPr>
        <w:t>系统设备能够运行在良好的工作状态。通过预防性、主动式的维护，最大限度地减小系统出故障的可能性；当故障发生时，能最大限度地减少系统故障时间，使系统达到最大化的可用性、安全性和稳定性。</w:t>
      </w:r>
    </w:p>
    <w:p w14:paraId="060C281B">
      <w:pPr>
        <w:widowControl/>
        <w:numPr>
          <w:ilvl w:val="0"/>
          <w:numId w:val="7"/>
        </w:numPr>
        <w:overflowPunct w:val="0"/>
        <w:autoSpaceDE w:val="0"/>
        <w:autoSpaceDN w:val="0"/>
        <w:adjustRightInd w:val="0"/>
        <w:spacing w:line="360" w:lineRule="auto"/>
        <w:ind w:left="425" w:leftChars="0" w:hanging="425" w:firstLineChars="0"/>
        <w:jc w:val="left"/>
        <w:textAlignment w:val="baseline"/>
        <w:outlineLvl w:val="1"/>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kern w:val="0"/>
          <w:sz w:val="21"/>
          <w:szCs w:val="21"/>
          <w:highlight w:val="none"/>
        </w:rPr>
        <w:t>技术要求</w:t>
      </w:r>
    </w:p>
    <w:tbl>
      <w:tblPr>
        <w:tblStyle w:val="52"/>
        <w:tblW w:w="9072" w:type="dxa"/>
        <w:jc w:val="center"/>
        <w:tblLayout w:type="fixed"/>
        <w:tblCellMar>
          <w:top w:w="0" w:type="dxa"/>
          <w:left w:w="108" w:type="dxa"/>
          <w:bottom w:w="0" w:type="dxa"/>
          <w:right w:w="108" w:type="dxa"/>
        </w:tblCellMar>
      </w:tblPr>
      <w:tblGrid>
        <w:gridCol w:w="1706"/>
        <w:gridCol w:w="7366"/>
      </w:tblGrid>
      <w:tr w14:paraId="60F339FE">
        <w:tblPrEx>
          <w:tblCellMar>
            <w:top w:w="0" w:type="dxa"/>
            <w:left w:w="108" w:type="dxa"/>
            <w:bottom w:w="0" w:type="dxa"/>
            <w:right w:w="108" w:type="dxa"/>
          </w:tblCellMar>
        </w:tblPrEx>
        <w:trPr>
          <w:trHeight w:val="2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top"/>
          </w:tcPr>
          <w:p w14:paraId="3DE57510">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　</w:t>
            </w:r>
            <w:r>
              <w:rPr>
                <w:rFonts w:hint="eastAsia" w:ascii="微软雅黑" w:hAnsi="微软雅黑" w:cs="微软雅黑"/>
                <w:color w:val="000000"/>
                <w:kern w:val="0"/>
                <w:sz w:val="21"/>
                <w:szCs w:val="21"/>
                <w:highlight w:val="none"/>
                <w:lang w:eastAsia="zh-CN"/>
              </w:rPr>
              <w:t>项目</w:t>
            </w:r>
          </w:p>
        </w:tc>
        <w:tc>
          <w:tcPr>
            <w:tcW w:w="7366" w:type="dxa"/>
            <w:tcBorders>
              <w:top w:val="single" w:color="auto" w:sz="4" w:space="0"/>
              <w:left w:val="nil"/>
              <w:bottom w:val="single" w:color="auto" w:sz="4" w:space="0"/>
              <w:right w:val="single" w:color="auto" w:sz="4" w:space="0"/>
            </w:tcBorders>
            <w:noWrap w:val="0"/>
            <w:vAlign w:val="top"/>
          </w:tcPr>
          <w:p w14:paraId="4F37528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技术支撑服务是运维服务的核心，具体要求如下：</w:t>
            </w:r>
          </w:p>
        </w:tc>
      </w:tr>
      <w:tr w14:paraId="55DA4FAF">
        <w:tblPrEx>
          <w:tblCellMar>
            <w:top w:w="0" w:type="dxa"/>
            <w:left w:w="108" w:type="dxa"/>
            <w:bottom w:w="0" w:type="dxa"/>
            <w:right w:w="108" w:type="dxa"/>
          </w:tblCellMar>
        </w:tblPrEx>
        <w:trPr>
          <w:trHeight w:val="90" w:hRule="atLeast"/>
          <w:jc w:val="center"/>
        </w:trPr>
        <w:tc>
          <w:tcPr>
            <w:tcW w:w="1706" w:type="dxa"/>
            <w:vMerge w:val="restart"/>
            <w:tcBorders>
              <w:top w:val="single" w:color="auto" w:sz="4" w:space="0"/>
              <w:left w:val="single" w:color="auto" w:sz="4" w:space="0"/>
              <w:right w:val="single" w:color="auto" w:sz="4" w:space="0"/>
            </w:tcBorders>
            <w:noWrap w:val="0"/>
            <w:vAlign w:val="center"/>
          </w:tcPr>
          <w:p w14:paraId="335C9C2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1</w:t>
            </w:r>
            <w:r>
              <w:rPr>
                <w:rFonts w:hint="eastAsia" w:ascii="微软雅黑" w:hAnsi="微软雅黑" w:eastAsia="微软雅黑" w:cs="微软雅黑"/>
                <w:color w:val="000000"/>
                <w:kern w:val="0"/>
                <w:sz w:val="21"/>
                <w:szCs w:val="21"/>
                <w:highlight w:val="none"/>
              </w:rPr>
              <w:t>、</w:t>
            </w:r>
            <w:r>
              <w:rPr>
                <w:rFonts w:hint="eastAsia" w:ascii="微软雅黑" w:hAnsi="微软雅黑" w:eastAsia="微软雅黑" w:cs="微软雅黑"/>
                <w:b/>
                <w:bCs/>
                <w:color w:val="000000"/>
                <w:kern w:val="0"/>
                <w:sz w:val="21"/>
                <w:szCs w:val="21"/>
                <w:highlight w:val="none"/>
              </w:rPr>
              <w:t>PC服务器运维服务技术需求</w:t>
            </w:r>
          </w:p>
        </w:tc>
        <w:tc>
          <w:tcPr>
            <w:tcW w:w="7366" w:type="dxa"/>
            <w:tcBorders>
              <w:top w:val="single" w:color="auto" w:sz="4" w:space="0"/>
              <w:left w:val="single" w:color="auto" w:sz="4" w:space="0"/>
              <w:bottom w:val="single" w:color="auto" w:sz="4" w:space="0"/>
              <w:right w:val="single" w:color="auto" w:sz="4" w:space="0"/>
            </w:tcBorders>
            <w:noWrap w:val="0"/>
            <w:vAlign w:val="top"/>
          </w:tcPr>
          <w:p w14:paraId="6F13794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1、服务器硬件设备（含主机板卡、电源、</w:t>
            </w:r>
            <w:r>
              <w:rPr>
                <w:rFonts w:hint="eastAsia" w:ascii="微软雅黑" w:hAnsi="微软雅黑" w:eastAsia="微软雅黑" w:cs="微软雅黑"/>
                <w:color w:val="000000"/>
                <w:kern w:val="0"/>
                <w:sz w:val="21"/>
                <w:szCs w:val="21"/>
                <w:highlight w:val="none"/>
                <w:lang w:val="en-US" w:eastAsia="zh-CN"/>
              </w:rPr>
              <w:t>磁盘</w:t>
            </w:r>
            <w:r>
              <w:rPr>
                <w:rFonts w:hint="eastAsia" w:ascii="微软雅黑" w:hAnsi="微软雅黑" w:eastAsia="微软雅黑" w:cs="微软雅黑"/>
                <w:color w:val="000000"/>
                <w:kern w:val="0"/>
                <w:sz w:val="21"/>
                <w:szCs w:val="21"/>
                <w:highlight w:val="none"/>
              </w:rPr>
              <w:t>等所有硬件部件）的配置及软硬件升级（含补丁更新）</w:t>
            </w:r>
            <w:r>
              <w:rPr>
                <w:rFonts w:hint="eastAsia" w:ascii="微软雅黑" w:hAnsi="微软雅黑" w:eastAsia="微软雅黑" w:cs="微软雅黑"/>
                <w:color w:val="000000"/>
                <w:kern w:val="0"/>
                <w:sz w:val="21"/>
                <w:szCs w:val="21"/>
                <w:highlight w:val="none"/>
                <w:lang w:eastAsia="zh-CN"/>
              </w:rPr>
              <w:t>。</w:t>
            </w:r>
          </w:p>
        </w:tc>
      </w:tr>
      <w:tr w14:paraId="1DC4594E">
        <w:tblPrEx>
          <w:tblCellMar>
            <w:top w:w="0" w:type="dxa"/>
            <w:left w:w="108" w:type="dxa"/>
            <w:bottom w:w="0" w:type="dxa"/>
            <w:right w:w="108" w:type="dxa"/>
          </w:tblCellMar>
        </w:tblPrEx>
        <w:trPr>
          <w:trHeight w:val="766" w:hRule="atLeast"/>
          <w:jc w:val="center"/>
        </w:trPr>
        <w:tc>
          <w:tcPr>
            <w:tcW w:w="1706" w:type="dxa"/>
            <w:vMerge w:val="continue"/>
            <w:tcBorders>
              <w:left w:val="single" w:color="auto" w:sz="4" w:space="0"/>
              <w:right w:val="single" w:color="auto" w:sz="4" w:space="0"/>
            </w:tcBorders>
            <w:noWrap w:val="0"/>
            <w:vAlign w:val="center"/>
          </w:tcPr>
          <w:p w14:paraId="41689765">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000000"/>
                <w:kern w:val="0"/>
                <w:sz w:val="21"/>
                <w:szCs w:val="21"/>
                <w:highlight w:val="none"/>
              </w:rPr>
            </w:pPr>
          </w:p>
        </w:tc>
        <w:tc>
          <w:tcPr>
            <w:tcW w:w="7366" w:type="dxa"/>
            <w:tcBorders>
              <w:top w:val="single" w:color="auto" w:sz="4" w:space="0"/>
              <w:left w:val="single" w:color="auto" w:sz="4" w:space="0"/>
              <w:bottom w:val="single" w:color="auto" w:sz="4" w:space="0"/>
              <w:right w:val="single" w:color="auto" w:sz="4" w:space="0"/>
            </w:tcBorders>
            <w:noWrap w:val="0"/>
            <w:vAlign w:val="top"/>
          </w:tcPr>
          <w:p w14:paraId="763840C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2、服务器硬件扩容时；服务商必须提供相应的技术实施服务；服务器操作系统的配置和优化（含内核参数、服务参数、文件系统等）</w:t>
            </w:r>
            <w:r>
              <w:rPr>
                <w:rFonts w:hint="eastAsia" w:ascii="微软雅黑" w:hAnsi="微软雅黑" w:eastAsia="微软雅黑" w:cs="微软雅黑"/>
                <w:color w:val="000000"/>
                <w:kern w:val="0"/>
                <w:sz w:val="21"/>
                <w:szCs w:val="21"/>
                <w:highlight w:val="none"/>
                <w:lang w:eastAsia="zh-CN"/>
              </w:rPr>
              <w:t>。</w:t>
            </w:r>
          </w:p>
        </w:tc>
      </w:tr>
      <w:tr w14:paraId="39E4D582">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1B2BC319">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000000"/>
                <w:kern w:val="0"/>
                <w:sz w:val="21"/>
                <w:szCs w:val="21"/>
                <w:highlight w:val="none"/>
              </w:rPr>
            </w:pPr>
          </w:p>
        </w:tc>
        <w:tc>
          <w:tcPr>
            <w:tcW w:w="7366" w:type="dxa"/>
            <w:tcBorders>
              <w:top w:val="single" w:color="auto" w:sz="4" w:space="0"/>
              <w:left w:val="nil"/>
              <w:bottom w:val="single" w:color="auto" w:sz="4" w:space="0"/>
              <w:right w:val="single" w:color="auto" w:sz="4" w:space="0"/>
            </w:tcBorders>
            <w:noWrap w:val="0"/>
            <w:vAlign w:val="top"/>
          </w:tcPr>
          <w:p w14:paraId="6E27F54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3、服务器的软硬件故障诊断、硬件更换与维修；服务商必须提供相应的技术实施服务；集群软件的配置和优化</w:t>
            </w:r>
            <w:r>
              <w:rPr>
                <w:rFonts w:hint="eastAsia" w:ascii="微软雅黑" w:hAnsi="微软雅黑" w:eastAsia="微软雅黑" w:cs="微软雅黑"/>
                <w:color w:val="000000"/>
                <w:kern w:val="0"/>
                <w:sz w:val="21"/>
                <w:szCs w:val="21"/>
                <w:highlight w:val="none"/>
                <w:lang w:eastAsia="zh-CN"/>
              </w:rPr>
              <w:t>。</w:t>
            </w:r>
          </w:p>
        </w:tc>
      </w:tr>
      <w:tr w14:paraId="37A67787">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bottom w:val="single" w:color="auto" w:sz="4" w:space="0"/>
              <w:right w:val="single" w:color="auto" w:sz="4" w:space="0"/>
            </w:tcBorders>
            <w:noWrap w:val="0"/>
            <w:vAlign w:val="center"/>
          </w:tcPr>
          <w:p w14:paraId="2BC43B93">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000000"/>
                <w:kern w:val="0"/>
                <w:sz w:val="21"/>
                <w:szCs w:val="21"/>
                <w:highlight w:val="none"/>
              </w:rPr>
            </w:pPr>
          </w:p>
        </w:tc>
        <w:tc>
          <w:tcPr>
            <w:tcW w:w="7366" w:type="dxa"/>
            <w:tcBorders>
              <w:top w:val="single" w:color="auto" w:sz="4" w:space="0"/>
              <w:left w:val="nil"/>
              <w:bottom w:val="single" w:color="auto" w:sz="4" w:space="0"/>
              <w:right w:val="single" w:color="auto" w:sz="4" w:space="0"/>
            </w:tcBorders>
            <w:noWrap w:val="0"/>
            <w:vAlign w:val="top"/>
          </w:tcPr>
          <w:p w14:paraId="52F01A4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w:t>
            </w:r>
            <w:r>
              <w:rPr>
                <w:rFonts w:hint="eastAsia" w:ascii="微软雅黑" w:hAnsi="微软雅黑" w:eastAsia="微软雅黑" w:cs="微软雅黑"/>
                <w:color w:val="000000"/>
                <w:kern w:val="0"/>
                <w:sz w:val="21"/>
                <w:szCs w:val="21"/>
                <w:highlight w:val="none"/>
              </w:rPr>
              <w:t>、评价应用对硬件和系统资源的使用情况，如遇到系统优化问题，服务商必须提供相应的技术实施服务</w:t>
            </w:r>
            <w:r>
              <w:rPr>
                <w:rFonts w:hint="eastAsia" w:ascii="微软雅黑" w:hAnsi="微软雅黑" w:eastAsia="微软雅黑" w:cs="微软雅黑"/>
                <w:color w:val="000000"/>
                <w:kern w:val="0"/>
                <w:sz w:val="21"/>
                <w:szCs w:val="21"/>
                <w:highlight w:val="none"/>
                <w:lang w:eastAsia="zh-CN"/>
              </w:rPr>
              <w:t>。</w:t>
            </w:r>
          </w:p>
        </w:tc>
      </w:tr>
      <w:tr w14:paraId="246C0EF8">
        <w:tblPrEx>
          <w:tblCellMar>
            <w:top w:w="0" w:type="dxa"/>
            <w:left w:w="108" w:type="dxa"/>
            <w:bottom w:w="0" w:type="dxa"/>
            <w:right w:w="108" w:type="dxa"/>
          </w:tblCellMar>
        </w:tblPrEx>
        <w:trPr>
          <w:trHeight w:val="20" w:hRule="atLeast"/>
          <w:jc w:val="center"/>
        </w:trPr>
        <w:tc>
          <w:tcPr>
            <w:tcW w:w="1706" w:type="dxa"/>
            <w:vMerge w:val="restart"/>
            <w:tcBorders>
              <w:top w:val="single" w:color="auto" w:sz="4" w:space="0"/>
              <w:left w:val="single" w:color="auto" w:sz="4" w:space="0"/>
              <w:right w:val="single" w:color="auto" w:sz="4" w:space="0"/>
            </w:tcBorders>
            <w:noWrap w:val="0"/>
            <w:vAlign w:val="center"/>
          </w:tcPr>
          <w:p w14:paraId="73927DBE">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w:t>
            </w:r>
            <w:r>
              <w:rPr>
                <w:rFonts w:hint="eastAsia" w:ascii="微软雅黑" w:hAnsi="微软雅黑" w:eastAsia="微软雅黑" w:cs="微软雅黑"/>
                <w:color w:val="000000"/>
                <w:kern w:val="0"/>
                <w:sz w:val="21"/>
                <w:szCs w:val="21"/>
                <w:highlight w:val="none"/>
              </w:rPr>
              <w:t>、</w:t>
            </w:r>
            <w:r>
              <w:rPr>
                <w:rFonts w:hint="eastAsia" w:ascii="微软雅黑" w:hAnsi="微软雅黑" w:eastAsia="微软雅黑" w:cs="微软雅黑"/>
                <w:b/>
                <w:bCs/>
                <w:color w:val="000000"/>
                <w:kern w:val="0"/>
                <w:sz w:val="21"/>
                <w:szCs w:val="21"/>
                <w:highlight w:val="none"/>
              </w:rPr>
              <w:t>数据库服务技术需求</w:t>
            </w:r>
          </w:p>
          <w:p w14:paraId="21429A7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p w14:paraId="50B63AC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4B4ED863">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1、</w:t>
            </w:r>
            <w:r>
              <w:rPr>
                <w:rFonts w:hint="eastAsia" w:ascii="微软雅黑" w:hAnsi="微软雅黑" w:eastAsia="微软雅黑" w:cs="微软雅黑"/>
                <w:color w:val="auto"/>
                <w:kern w:val="0"/>
                <w:sz w:val="21"/>
                <w:szCs w:val="21"/>
                <w:highlight w:val="none"/>
                <w:lang w:val="en-US" w:eastAsia="zh-CN"/>
              </w:rPr>
              <w:t>服务商</w:t>
            </w:r>
            <w:r>
              <w:rPr>
                <w:rFonts w:hint="eastAsia" w:ascii="微软雅黑" w:hAnsi="微软雅黑" w:eastAsia="微软雅黑" w:cs="微软雅黑"/>
                <w:color w:val="auto"/>
                <w:kern w:val="0"/>
                <w:sz w:val="21"/>
                <w:szCs w:val="21"/>
                <w:highlight w:val="none"/>
              </w:rPr>
              <w:t>需要足够了解和定期检查</w:t>
            </w:r>
            <w:r>
              <w:rPr>
                <w:rFonts w:hint="eastAsia" w:ascii="微软雅黑" w:hAnsi="微软雅黑" w:eastAsia="微软雅黑" w:cs="微软雅黑"/>
                <w:color w:val="auto"/>
                <w:kern w:val="0"/>
                <w:sz w:val="21"/>
                <w:szCs w:val="21"/>
                <w:highlight w:val="none"/>
                <w:lang w:val="en-US" w:eastAsia="zh-CN"/>
              </w:rPr>
              <w:t>医保</w:t>
            </w:r>
            <w:r>
              <w:rPr>
                <w:rFonts w:hint="eastAsia" w:ascii="微软雅黑" w:hAnsi="微软雅黑" w:eastAsia="微软雅黑" w:cs="微软雅黑"/>
                <w:color w:val="auto"/>
                <w:kern w:val="0"/>
                <w:sz w:val="21"/>
                <w:szCs w:val="21"/>
                <w:highlight w:val="none"/>
              </w:rPr>
              <w:t>业务系统的健康状况，检查数据库连接数、表空间使用情况、归档日志情况；定期检查数据库的健康状况，包括完整性、可用性及性能；在巡检的同时定位系统日常运行中的问题</w:t>
            </w:r>
            <w:r>
              <w:rPr>
                <w:rFonts w:hint="eastAsia" w:ascii="微软雅黑" w:hAnsi="微软雅黑" w:eastAsia="微软雅黑" w:cs="微软雅黑"/>
                <w:color w:val="auto"/>
                <w:kern w:val="0"/>
                <w:sz w:val="21"/>
                <w:szCs w:val="21"/>
                <w:highlight w:val="none"/>
                <w:lang w:eastAsia="zh-CN"/>
              </w:rPr>
              <w:t>，</w:t>
            </w:r>
            <w:r>
              <w:rPr>
                <w:rFonts w:hint="eastAsia" w:ascii="微软雅黑" w:hAnsi="微软雅黑" w:eastAsia="微软雅黑" w:cs="微软雅黑"/>
                <w:color w:val="auto"/>
                <w:kern w:val="0"/>
                <w:sz w:val="21"/>
                <w:szCs w:val="21"/>
                <w:highlight w:val="none"/>
              </w:rPr>
              <w:t>并且提供最近一个季度的性能健康日志</w:t>
            </w:r>
            <w:r>
              <w:rPr>
                <w:rFonts w:hint="eastAsia" w:ascii="微软雅黑" w:hAnsi="微软雅黑" w:eastAsia="微软雅黑" w:cs="微软雅黑"/>
                <w:color w:val="auto"/>
                <w:kern w:val="0"/>
                <w:sz w:val="21"/>
                <w:szCs w:val="21"/>
                <w:highlight w:val="none"/>
                <w:lang w:eastAsia="zh-CN"/>
              </w:rPr>
              <w:t>。</w:t>
            </w:r>
          </w:p>
        </w:tc>
      </w:tr>
      <w:tr w14:paraId="32709E71">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0CD996C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48AA89D1">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2、评价并修改数据库的参数设置, 如遇到系统优化问题，服务商必须提供相应的技术实施服务，予以整改</w:t>
            </w:r>
            <w:r>
              <w:rPr>
                <w:rFonts w:hint="eastAsia" w:ascii="微软雅黑" w:hAnsi="微软雅黑" w:eastAsia="微软雅黑" w:cs="微软雅黑"/>
                <w:color w:val="auto"/>
                <w:kern w:val="0"/>
                <w:sz w:val="21"/>
                <w:szCs w:val="21"/>
                <w:highlight w:val="none"/>
                <w:lang w:eastAsia="zh-CN"/>
              </w:rPr>
              <w:t>。</w:t>
            </w:r>
          </w:p>
        </w:tc>
      </w:tr>
      <w:tr w14:paraId="2F4940B1">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79336994">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26B6F0B1">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3</w:t>
            </w:r>
            <w:r>
              <w:rPr>
                <w:rFonts w:hint="eastAsia" w:ascii="微软雅黑" w:hAnsi="微软雅黑" w:eastAsia="微软雅黑" w:cs="微软雅黑"/>
                <w:color w:val="auto"/>
                <w:kern w:val="0"/>
                <w:sz w:val="21"/>
                <w:szCs w:val="21"/>
                <w:highlight w:val="none"/>
              </w:rPr>
              <w:t>、服务商需实时监控数据库的使用情况，根据用户需求，及时调整及优化数据库资源，以保证各个系统的高效稳定</w:t>
            </w:r>
            <w:r>
              <w:rPr>
                <w:rFonts w:hint="eastAsia" w:ascii="微软雅黑" w:hAnsi="微软雅黑" w:eastAsia="微软雅黑" w:cs="微软雅黑"/>
                <w:color w:val="auto"/>
                <w:kern w:val="0"/>
                <w:sz w:val="21"/>
                <w:szCs w:val="21"/>
                <w:highlight w:val="none"/>
                <w:lang w:eastAsia="zh-CN"/>
              </w:rPr>
              <w:t>。</w:t>
            </w:r>
          </w:p>
        </w:tc>
      </w:tr>
      <w:tr w14:paraId="65C23C04">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68906B8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E6A36F9">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w:t>
            </w:r>
            <w:r>
              <w:rPr>
                <w:rFonts w:hint="eastAsia" w:ascii="微软雅黑" w:hAnsi="微软雅黑" w:eastAsia="微软雅黑" w:cs="微软雅黑"/>
                <w:color w:val="auto"/>
                <w:kern w:val="0"/>
                <w:sz w:val="21"/>
                <w:szCs w:val="21"/>
                <w:highlight w:val="none"/>
              </w:rPr>
              <w:t>、服务商必须提供相应的数据</w:t>
            </w:r>
            <w:r>
              <w:rPr>
                <w:rFonts w:hint="eastAsia" w:ascii="微软雅黑" w:hAnsi="微软雅黑" w:eastAsia="微软雅黑" w:cs="微软雅黑"/>
                <w:color w:val="auto"/>
                <w:kern w:val="0"/>
                <w:sz w:val="21"/>
                <w:szCs w:val="21"/>
                <w:highlight w:val="none"/>
                <w:lang w:val="en-US" w:eastAsia="zh-CN"/>
              </w:rPr>
              <w:t>迁移</w:t>
            </w:r>
            <w:r>
              <w:rPr>
                <w:rFonts w:hint="eastAsia" w:ascii="微软雅黑" w:hAnsi="微软雅黑" w:eastAsia="微软雅黑" w:cs="微软雅黑"/>
                <w:color w:val="auto"/>
                <w:kern w:val="0"/>
                <w:sz w:val="21"/>
                <w:szCs w:val="21"/>
                <w:highlight w:val="none"/>
              </w:rPr>
              <w:t>服务；保障数据</w:t>
            </w:r>
            <w:r>
              <w:rPr>
                <w:rFonts w:hint="eastAsia" w:ascii="微软雅黑" w:hAnsi="微软雅黑" w:eastAsia="微软雅黑" w:cs="微软雅黑"/>
                <w:color w:val="auto"/>
                <w:kern w:val="0"/>
                <w:sz w:val="21"/>
                <w:szCs w:val="21"/>
                <w:highlight w:val="none"/>
                <w:lang w:eastAsia="zh-CN"/>
              </w:rPr>
              <w:t>的</w:t>
            </w:r>
            <w:r>
              <w:rPr>
                <w:rFonts w:hint="eastAsia" w:ascii="微软雅黑" w:hAnsi="微软雅黑" w:eastAsia="微软雅黑" w:cs="微软雅黑"/>
                <w:color w:val="auto"/>
                <w:kern w:val="0"/>
                <w:sz w:val="21"/>
                <w:szCs w:val="21"/>
                <w:highlight w:val="none"/>
              </w:rPr>
              <w:t>有效、完整性。</w:t>
            </w:r>
          </w:p>
        </w:tc>
      </w:tr>
      <w:tr w14:paraId="2FA8474A">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4F95DB71">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4E638457">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rPr>
              <w:t>5</w:t>
            </w: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color w:val="auto"/>
                <w:kern w:val="0"/>
                <w:sz w:val="21"/>
                <w:szCs w:val="21"/>
                <w:highlight w:val="none"/>
                <w:lang w:val="en-US" w:eastAsia="zh-CN"/>
              </w:rPr>
              <w:t>定期对各个数据库做备份工作，并且要</w:t>
            </w:r>
            <w:r>
              <w:rPr>
                <w:rFonts w:hint="eastAsia" w:ascii="微软雅黑" w:hAnsi="微软雅黑" w:eastAsia="微软雅黑" w:cs="微软雅黑"/>
                <w:color w:val="auto"/>
                <w:kern w:val="0"/>
                <w:sz w:val="21"/>
                <w:szCs w:val="21"/>
                <w:highlight w:val="none"/>
              </w:rPr>
              <w:t>及时发现并解决备份</w:t>
            </w:r>
            <w:r>
              <w:rPr>
                <w:rFonts w:hint="eastAsia" w:ascii="微软雅黑" w:hAnsi="微软雅黑" w:eastAsia="微软雅黑" w:cs="微软雅黑"/>
                <w:color w:val="auto"/>
                <w:kern w:val="0"/>
                <w:sz w:val="21"/>
                <w:szCs w:val="21"/>
                <w:highlight w:val="none"/>
                <w:lang w:val="en-US" w:eastAsia="zh-CN"/>
              </w:rPr>
              <w:t>过程中</w:t>
            </w:r>
            <w:r>
              <w:rPr>
                <w:rFonts w:hint="eastAsia" w:ascii="微软雅黑" w:hAnsi="微软雅黑" w:eastAsia="微软雅黑" w:cs="微软雅黑"/>
                <w:color w:val="auto"/>
                <w:kern w:val="0"/>
                <w:sz w:val="21"/>
                <w:szCs w:val="21"/>
                <w:highlight w:val="none"/>
              </w:rPr>
              <w:t>出现</w:t>
            </w:r>
            <w:r>
              <w:rPr>
                <w:rFonts w:hint="eastAsia" w:ascii="微软雅黑" w:hAnsi="微软雅黑" w:eastAsia="微软雅黑" w:cs="微软雅黑"/>
                <w:color w:val="auto"/>
                <w:kern w:val="0"/>
                <w:sz w:val="21"/>
                <w:szCs w:val="21"/>
                <w:highlight w:val="none"/>
                <w:lang w:eastAsia="zh-CN"/>
              </w:rPr>
              <w:t>的</w:t>
            </w:r>
            <w:r>
              <w:rPr>
                <w:rFonts w:hint="eastAsia" w:ascii="微软雅黑" w:hAnsi="微软雅黑" w:eastAsia="微软雅黑" w:cs="微软雅黑"/>
                <w:color w:val="auto"/>
                <w:kern w:val="0"/>
                <w:sz w:val="21"/>
                <w:szCs w:val="21"/>
                <w:highlight w:val="none"/>
              </w:rPr>
              <w:t>问题，如遇到任何问题，服务商必须提供相应的技术实施服务，予以整改；保证备份数据的完整、可用。</w:t>
            </w:r>
          </w:p>
        </w:tc>
      </w:tr>
      <w:tr w14:paraId="7444F22F">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1956CF8B">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645D35F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rPr>
              <w:t>6</w:t>
            </w:r>
            <w:r>
              <w:rPr>
                <w:rFonts w:hint="eastAsia" w:ascii="微软雅黑" w:hAnsi="微软雅黑" w:eastAsia="微软雅黑" w:cs="微软雅黑"/>
                <w:color w:val="auto"/>
                <w:kern w:val="0"/>
                <w:sz w:val="21"/>
                <w:szCs w:val="21"/>
                <w:highlight w:val="none"/>
              </w:rPr>
              <w:t>、评价并修改备份</w:t>
            </w:r>
            <w:r>
              <w:rPr>
                <w:rFonts w:hint="eastAsia" w:ascii="微软雅黑" w:hAnsi="微软雅黑" w:eastAsia="微软雅黑" w:cs="微软雅黑"/>
                <w:color w:val="auto"/>
                <w:kern w:val="0"/>
                <w:sz w:val="21"/>
                <w:szCs w:val="21"/>
                <w:highlight w:val="none"/>
                <w:lang w:val="en-US" w:eastAsia="zh-CN"/>
              </w:rPr>
              <w:t>任务</w:t>
            </w:r>
            <w:r>
              <w:rPr>
                <w:rFonts w:hint="eastAsia" w:ascii="微软雅黑" w:hAnsi="微软雅黑" w:eastAsia="微软雅黑" w:cs="微软雅黑"/>
                <w:color w:val="auto"/>
                <w:kern w:val="0"/>
                <w:sz w:val="21"/>
                <w:szCs w:val="21"/>
                <w:highlight w:val="none"/>
              </w:rPr>
              <w:t>中的参数设置，如遇到系统优化问题，服务商必须提供相应的技术实施服务，予以整改。</w:t>
            </w:r>
          </w:p>
        </w:tc>
      </w:tr>
      <w:tr w14:paraId="7E6EF1D6">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4AA7A3FB">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4F59CA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rPr>
              <w:t>7、在维护期内，定期进行灾备恢复演练；以确保数据的完整性</w:t>
            </w:r>
            <w:r>
              <w:rPr>
                <w:rFonts w:hint="eastAsia" w:ascii="微软雅黑" w:hAnsi="微软雅黑" w:eastAsia="微软雅黑" w:cs="微软雅黑"/>
                <w:color w:val="auto"/>
                <w:kern w:val="0"/>
                <w:sz w:val="21"/>
                <w:szCs w:val="21"/>
                <w:highlight w:val="none"/>
                <w:lang w:val="en-US" w:eastAsia="zh-CN"/>
              </w:rPr>
              <w:t>、</w:t>
            </w:r>
            <w:r>
              <w:rPr>
                <w:rFonts w:hint="eastAsia" w:ascii="微软雅黑" w:hAnsi="微软雅黑" w:eastAsia="微软雅黑" w:cs="微软雅黑"/>
                <w:color w:val="auto"/>
                <w:kern w:val="0"/>
                <w:sz w:val="21"/>
                <w:szCs w:val="21"/>
                <w:highlight w:val="none"/>
              </w:rPr>
              <w:t>可用性</w:t>
            </w:r>
            <w:r>
              <w:rPr>
                <w:rFonts w:hint="eastAsia" w:ascii="微软雅黑" w:hAnsi="微软雅黑" w:eastAsia="微软雅黑" w:cs="微软雅黑"/>
                <w:color w:val="auto"/>
                <w:kern w:val="0"/>
                <w:sz w:val="21"/>
                <w:szCs w:val="21"/>
                <w:highlight w:val="none"/>
                <w:lang w:eastAsia="zh-CN"/>
              </w:rPr>
              <w:t>。</w:t>
            </w:r>
          </w:p>
        </w:tc>
      </w:tr>
      <w:tr w14:paraId="76F04F4A">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1EA81AE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BD5A33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rPr>
              <w:t>8</w:t>
            </w:r>
            <w:r>
              <w:rPr>
                <w:rFonts w:hint="eastAsia" w:ascii="微软雅黑" w:hAnsi="微软雅黑" w:eastAsia="微软雅黑" w:cs="微软雅黑"/>
                <w:color w:val="auto"/>
                <w:kern w:val="0"/>
                <w:sz w:val="21"/>
                <w:szCs w:val="21"/>
                <w:highlight w:val="none"/>
              </w:rPr>
              <w:t>、评价应用对软硬件和系统资源的使用情况，如遇到系统优化问题，服务商必须提供相应的技术实施服务</w:t>
            </w:r>
            <w:r>
              <w:rPr>
                <w:rFonts w:hint="eastAsia" w:ascii="微软雅黑" w:hAnsi="微软雅黑" w:eastAsia="微软雅黑" w:cs="微软雅黑"/>
                <w:color w:val="auto"/>
                <w:kern w:val="0"/>
                <w:sz w:val="21"/>
                <w:szCs w:val="21"/>
                <w:highlight w:val="none"/>
                <w:lang w:eastAsia="zh-CN"/>
              </w:rPr>
              <w:t>，</w:t>
            </w:r>
            <w:r>
              <w:rPr>
                <w:rFonts w:hint="eastAsia" w:ascii="微软雅黑" w:hAnsi="微软雅黑" w:eastAsia="微软雅黑" w:cs="微软雅黑"/>
                <w:color w:val="auto"/>
                <w:kern w:val="0"/>
                <w:sz w:val="21"/>
                <w:szCs w:val="21"/>
                <w:highlight w:val="none"/>
              </w:rPr>
              <w:t>予以整改。</w:t>
            </w:r>
          </w:p>
        </w:tc>
      </w:tr>
      <w:tr w14:paraId="54ADC390">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66937C2D">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9BB8694">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rPr>
              <w:t>9</w:t>
            </w:r>
            <w:r>
              <w:rPr>
                <w:rFonts w:hint="eastAsia" w:ascii="微软雅黑" w:hAnsi="微软雅黑" w:eastAsia="微软雅黑" w:cs="微软雅黑"/>
                <w:color w:val="auto"/>
                <w:kern w:val="0"/>
                <w:sz w:val="21"/>
                <w:szCs w:val="21"/>
                <w:highlight w:val="none"/>
              </w:rPr>
              <w:t>、针对各个数据库系统需提供软硬件的实时监控，并提供软硬件设备形成应急预案，确保应用系统发生故障时，能够提供临时性的应急手段，以确保业务的实时不间断</w:t>
            </w:r>
            <w:r>
              <w:rPr>
                <w:rFonts w:hint="eastAsia" w:ascii="微软雅黑" w:hAnsi="微软雅黑" w:eastAsia="微软雅黑" w:cs="微软雅黑"/>
                <w:color w:val="auto"/>
                <w:kern w:val="0"/>
                <w:sz w:val="21"/>
                <w:szCs w:val="21"/>
                <w:highlight w:val="none"/>
                <w:lang w:eastAsia="zh-CN"/>
              </w:rPr>
              <w:t>。</w:t>
            </w:r>
          </w:p>
        </w:tc>
      </w:tr>
      <w:tr w14:paraId="0A30A373">
        <w:tblPrEx>
          <w:tblCellMar>
            <w:top w:w="0" w:type="dxa"/>
            <w:left w:w="108" w:type="dxa"/>
            <w:bottom w:w="0" w:type="dxa"/>
            <w:right w:w="108" w:type="dxa"/>
          </w:tblCellMar>
        </w:tblPrEx>
        <w:trPr>
          <w:trHeight w:val="20" w:hRule="atLeast"/>
          <w:jc w:val="center"/>
        </w:trPr>
        <w:tc>
          <w:tcPr>
            <w:tcW w:w="1706" w:type="dxa"/>
            <w:vMerge w:val="continue"/>
            <w:tcBorders>
              <w:left w:val="single" w:color="auto" w:sz="4" w:space="0"/>
              <w:right w:val="single" w:color="auto" w:sz="4" w:space="0"/>
            </w:tcBorders>
            <w:noWrap w:val="0"/>
            <w:vAlign w:val="center"/>
          </w:tcPr>
          <w:p w14:paraId="38290817">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5E663A0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rPr>
              <w:t>10</w:t>
            </w:r>
            <w:r>
              <w:rPr>
                <w:rFonts w:hint="eastAsia" w:ascii="微软雅黑" w:hAnsi="微软雅黑" w:eastAsia="微软雅黑" w:cs="微软雅黑"/>
                <w:color w:val="auto"/>
                <w:kern w:val="0"/>
                <w:sz w:val="21"/>
                <w:szCs w:val="21"/>
                <w:highlight w:val="none"/>
              </w:rPr>
              <w:t>、针对各个应用系统需提供软硬件的实时监控，并提供软硬件设备形成应急预案，确保应用系统发生故障时，能够提供临时性的应急手段，以确保业务的实时不间断</w:t>
            </w:r>
            <w:r>
              <w:rPr>
                <w:rFonts w:hint="eastAsia" w:ascii="微软雅黑" w:hAnsi="微软雅黑" w:eastAsia="微软雅黑" w:cs="微软雅黑"/>
                <w:color w:val="auto"/>
                <w:kern w:val="0"/>
                <w:sz w:val="21"/>
                <w:szCs w:val="21"/>
                <w:highlight w:val="none"/>
                <w:lang w:eastAsia="zh-CN"/>
              </w:rPr>
              <w:t>。</w:t>
            </w:r>
          </w:p>
        </w:tc>
      </w:tr>
      <w:tr w14:paraId="08F64007">
        <w:tblPrEx>
          <w:tblCellMar>
            <w:top w:w="0" w:type="dxa"/>
            <w:left w:w="108" w:type="dxa"/>
            <w:bottom w:w="0" w:type="dxa"/>
            <w:right w:w="108" w:type="dxa"/>
          </w:tblCellMar>
        </w:tblPrEx>
        <w:trPr>
          <w:trHeight w:val="20"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2F82A823">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3</w:t>
            </w:r>
            <w:r>
              <w:rPr>
                <w:rFonts w:hint="eastAsia" w:ascii="微软雅黑" w:hAnsi="微软雅黑" w:eastAsia="微软雅黑" w:cs="微软雅黑"/>
                <w:color w:val="000000"/>
                <w:kern w:val="0"/>
                <w:sz w:val="21"/>
                <w:szCs w:val="21"/>
                <w:highlight w:val="none"/>
              </w:rPr>
              <w:t>、</w:t>
            </w:r>
            <w:r>
              <w:rPr>
                <w:rFonts w:hint="eastAsia" w:ascii="微软雅黑" w:hAnsi="微软雅黑" w:eastAsia="微软雅黑" w:cs="微软雅黑"/>
                <w:b/>
                <w:bCs/>
                <w:color w:val="000000"/>
                <w:kern w:val="0"/>
                <w:sz w:val="21"/>
                <w:szCs w:val="21"/>
                <w:highlight w:val="none"/>
              </w:rPr>
              <w:t>网络设备日常运维服务技术需求</w:t>
            </w:r>
          </w:p>
        </w:tc>
        <w:tc>
          <w:tcPr>
            <w:tcW w:w="7366" w:type="dxa"/>
            <w:tcBorders>
              <w:top w:val="nil"/>
              <w:left w:val="nil"/>
              <w:bottom w:val="single" w:color="auto" w:sz="4" w:space="0"/>
              <w:right w:val="single" w:color="auto" w:sz="4" w:space="0"/>
            </w:tcBorders>
            <w:noWrap w:val="0"/>
            <w:vAlign w:val="top"/>
          </w:tcPr>
          <w:p w14:paraId="73E91B10">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1、网络硬件设备（含主机板卡、电源、模块等所有硬件部件）的配置及软硬件升级（含补丁更新）</w:t>
            </w:r>
            <w:r>
              <w:rPr>
                <w:rFonts w:hint="eastAsia" w:ascii="微软雅黑" w:hAnsi="微软雅黑" w:eastAsia="微软雅黑" w:cs="微软雅黑"/>
                <w:color w:val="000000"/>
                <w:kern w:val="0"/>
                <w:sz w:val="21"/>
                <w:szCs w:val="21"/>
                <w:highlight w:val="none"/>
                <w:lang w:eastAsia="zh-CN"/>
              </w:rPr>
              <w:t>。</w:t>
            </w:r>
          </w:p>
        </w:tc>
      </w:tr>
      <w:tr w14:paraId="05F49CBA">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7EEC9150">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5394B7DD">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2、网络设备软硬件扩容时；服务商必须提供相应的技术实施服务；网络设备操作系统的配置和优化（含内核参数、服务参数、安全策略等）</w:t>
            </w:r>
            <w:r>
              <w:rPr>
                <w:rFonts w:hint="eastAsia" w:ascii="微软雅黑" w:hAnsi="微软雅黑" w:eastAsia="微软雅黑" w:cs="微软雅黑"/>
                <w:color w:val="000000"/>
                <w:kern w:val="0"/>
                <w:sz w:val="21"/>
                <w:szCs w:val="21"/>
                <w:highlight w:val="none"/>
                <w:lang w:eastAsia="zh-CN"/>
              </w:rPr>
              <w:t>。</w:t>
            </w:r>
          </w:p>
        </w:tc>
      </w:tr>
      <w:tr w14:paraId="628160E9">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6350DB7C">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19955CE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3、服务商必须提供相应的技术实施服务；根据用户需求的不断变化，服务商有义务及时调整网络结构、安全策略、服务策略、保证用户业务的不间断性</w:t>
            </w:r>
            <w:r>
              <w:rPr>
                <w:rFonts w:hint="eastAsia" w:ascii="微软雅黑" w:hAnsi="微软雅黑" w:eastAsia="微软雅黑" w:cs="微软雅黑"/>
                <w:color w:val="000000"/>
                <w:kern w:val="0"/>
                <w:sz w:val="21"/>
                <w:szCs w:val="21"/>
                <w:highlight w:val="none"/>
                <w:lang w:eastAsia="zh-CN"/>
              </w:rPr>
              <w:t>。</w:t>
            </w:r>
          </w:p>
        </w:tc>
      </w:tr>
      <w:tr w14:paraId="0BB5AA39">
        <w:tblPrEx>
          <w:tblCellMar>
            <w:top w:w="0" w:type="dxa"/>
            <w:left w:w="108" w:type="dxa"/>
            <w:bottom w:w="0" w:type="dxa"/>
            <w:right w:w="108" w:type="dxa"/>
          </w:tblCellMar>
        </w:tblPrEx>
        <w:trPr>
          <w:trHeight w:val="226" w:hRule="atLeast"/>
          <w:jc w:val="center"/>
        </w:trPr>
        <w:tc>
          <w:tcPr>
            <w:tcW w:w="1706" w:type="dxa"/>
            <w:vMerge w:val="restart"/>
            <w:tcBorders>
              <w:top w:val="single" w:color="auto" w:sz="4" w:space="0"/>
              <w:left w:val="single" w:color="auto" w:sz="4" w:space="0"/>
              <w:right w:val="single" w:color="auto" w:sz="4" w:space="0"/>
            </w:tcBorders>
            <w:noWrap w:val="0"/>
            <w:vAlign w:val="center"/>
          </w:tcPr>
          <w:p w14:paraId="5A66C920">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kern w:val="0"/>
                <w:sz w:val="21"/>
                <w:szCs w:val="21"/>
                <w:highlight w:val="none"/>
                <w:lang w:val="en-US" w:eastAsia="zh-CN"/>
              </w:rPr>
              <w:t>4</w:t>
            </w:r>
            <w:r>
              <w:rPr>
                <w:rFonts w:hint="eastAsia" w:ascii="微软雅黑" w:hAnsi="微软雅黑" w:eastAsia="微软雅黑" w:cs="微软雅黑"/>
                <w:b/>
                <w:bCs/>
                <w:color w:val="000000"/>
                <w:kern w:val="0"/>
                <w:sz w:val="21"/>
                <w:szCs w:val="21"/>
                <w:highlight w:val="none"/>
              </w:rPr>
              <w:t>、网络改造升级部署配置要求</w:t>
            </w:r>
          </w:p>
        </w:tc>
        <w:tc>
          <w:tcPr>
            <w:tcW w:w="7366" w:type="dxa"/>
            <w:tcBorders>
              <w:top w:val="nil"/>
              <w:left w:val="nil"/>
              <w:bottom w:val="single" w:color="auto" w:sz="4" w:space="0"/>
              <w:right w:val="single" w:color="auto" w:sz="4" w:space="0"/>
            </w:tcBorders>
            <w:noWrap w:val="0"/>
            <w:vAlign w:val="top"/>
          </w:tcPr>
          <w:p w14:paraId="329A37C7">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1、为了保障网络稳定</w:t>
            </w:r>
            <w:r>
              <w:rPr>
                <w:rFonts w:hint="eastAsia" w:ascii="微软雅黑" w:hAnsi="微软雅黑" w:eastAsia="微软雅黑" w:cs="微软雅黑"/>
                <w:color w:val="000000"/>
                <w:kern w:val="0"/>
                <w:sz w:val="21"/>
                <w:szCs w:val="21"/>
                <w:highlight w:val="none"/>
                <w:lang w:eastAsia="zh-CN"/>
              </w:rPr>
              <w:t>，</w:t>
            </w:r>
            <w:r>
              <w:rPr>
                <w:rFonts w:hint="eastAsia" w:ascii="微软雅黑" w:hAnsi="微软雅黑" w:eastAsia="微软雅黑" w:cs="微软雅黑"/>
                <w:color w:val="000000"/>
                <w:kern w:val="0"/>
                <w:sz w:val="21"/>
                <w:szCs w:val="21"/>
                <w:highlight w:val="none"/>
              </w:rPr>
              <w:t>服务商需对医保</w:t>
            </w:r>
            <w:r>
              <w:rPr>
                <w:rFonts w:hint="eastAsia" w:ascii="微软雅黑" w:hAnsi="微软雅黑" w:eastAsia="微软雅黑" w:cs="微软雅黑"/>
                <w:color w:val="000000"/>
                <w:kern w:val="0"/>
                <w:sz w:val="21"/>
                <w:szCs w:val="21"/>
                <w:highlight w:val="none"/>
                <w:lang w:val="en-US" w:eastAsia="zh-CN"/>
              </w:rPr>
              <w:t>各类</w:t>
            </w:r>
            <w:r>
              <w:rPr>
                <w:rFonts w:hint="eastAsia" w:ascii="微软雅黑" w:hAnsi="微软雅黑" w:eastAsia="微软雅黑" w:cs="微软雅黑"/>
                <w:color w:val="000000"/>
                <w:kern w:val="0"/>
                <w:sz w:val="21"/>
                <w:szCs w:val="21"/>
                <w:highlight w:val="none"/>
              </w:rPr>
              <w:t>网络足够熟悉，提供契合实际</w:t>
            </w:r>
            <w:r>
              <w:rPr>
                <w:rFonts w:hint="eastAsia" w:ascii="微软雅黑" w:hAnsi="微软雅黑" w:eastAsia="微软雅黑" w:cs="微软雅黑"/>
                <w:color w:val="000000"/>
                <w:kern w:val="0"/>
                <w:sz w:val="21"/>
                <w:szCs w:val="21"/>
                <w:highlight w:val="none"/>
                <w:lang w:eastAsia="zh-CN"/>
              </w:rPr>
              <w:t>的</w:t>
            </w:r>
            <w:r>
              <w:rPr>
                <w:rFonts w:hint="eastAsia" w:ascii="微软雅黑" w:hAnsi="微软雅黑" w:eastAsia="微软雅黑" w:cs="微软雅黑"/>
                <w:color w:val="000000"/>
                <w:kern w:val="0"/>
                <w:sz w:val="21"/>
                <w:szCs w:val="21"/>
                <w:highlight w:val="none"/>
              </w:rPr>
              <w:t>网络拓扑结构，便于维护时能够及时发现网络故障及时修复。</w:t>
            </w:r>
          </w:p>
        </w:tc>
      </w:tr>
      <w:tr w14:paraId="01F23D07">
        <w:tblPrEx>
          <w:tblCellMar>
            <w:top w:w="0" w:type="dxa"/>
            <w:left w:w="108" w:type="dxa"/>
            <w:bottom w:w="0" w:type="dxa"/>
            <w:right w:w="108" w:type="dxa"/>
          </w:tblCellMar>
        </w:tblPrEx>
        <w:trPr>
          <w:trHeight w:val="226" w:hRule="atLeast"/>
          <w:jc w:val="center"/>
        </w:trPr>
        <w:tc>
          <w:tcPr>
            <w:tcW w:w="1706" w:type="dxa"/>
            <w:vMerge w:val="continue"/>
            <w:tcBorders>
              <w:left w:val="single" w:color="auto" w:sz="4" w:space="0"/>
              <w:right w:val="single" w:color="auto" w:sz="4" w:space="0"/>
            </w:tcBorders>
            <w:noWrap w:val="0"/>
            <w:vAlign w:val="center"/>
          </w:tcPr>
          <w:p w14:paraId="475F454F">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000000"/>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7A292C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2、服务商专人负责参与</w:t>
            </w:r>
            <w:r>
              <w:rPr>
                <w:rFonts w:hint="eastAsia" w:ascii="微软雅黑" w:hAnsi="微软雅黑" w:eastAsia="微软雅黑" w:cs="微软雅黑"/>
                <w:color w:val="000000"/>
                <w:kern w:val="0"/>
                <w:sz w:val="21"/>
                <w:szCs w:val="21"/>
                <w:highlight w:val="none"/>
                <w:lang w:val="en-US" w:eastAsia="zh-CN"/>
              </w:rPr>
              <w:t>医保各类网络</w:t>
            </w:r>
            <w:r>
              <w:rPr>
                <w:rFonts w:hint="eastAsia" w:ascii="微软雅黑" w:hAnsi="微软雅黑" w:eastAsia="微软雅黑" w:cs="微软雅黑"/>
                <w:color w:val="000000"/>
                <w:kern w:val="0"/>
                <w:sz w:val="21"/>
                <w:szCs w:val="21"/>
                <w:highlight w:val="none"/>
              </w:rPr>
              <w:t>建设、测试等工作</w:t>
            </w:r>
            <w:r>
              <w:rPr>
                <w:rFonts w:hint="eastAsia" w:ascii="微软雅黑" w:hAnsi="微软雅黑" w:eastAsia="微软雅黑" w:cs="微软雅黑"/>
                <w:color w:val="000000"/>
                <w:kern w:val="0"/>
                <w:sz w:val="21"/>
                <w:szCs w:val="21"/>
                <w:highlight w:val="none"/>
                <w:lang w:eastAsia="zh-CN"/>
              </w:rPr>
              <w:t>。</w:t>
            </w:r>
          </w:p>
        </w:tc>
      </w:tr>
      <w:tr w14:paraId="5CCC50BB">
        <w:tblPrEx>
          <w:tblCellMar>
            <w:top w:w="0" w:type="dxa"/>
            <w:left w:w="108" w:type="dxa"/>
            <w:bottom w:w="0" w:type="dxa"/>
            <w:right w:w="108" w:type="dxa"/>
          </w:tblCellMar>
        </w:tblPrEx>
        <w:trPr>
          <w:trHeight w:val="226" w:hRule="atLeast"/>
          <w:jc w:val="center"/>
        </w:trPr>
        <w:tc>
          <w:tcPr>
            <w:tcW w:w="1706" w:type="dxa"/>
            <w:vMerge w:val="continue"/>
            <w:tcBorders>
              <w:left w:val="single" w:color="auto" w:sz="4" w:space="0"/>
              <w:right w:val="single" w:color="auto" w:sz="4" w:space="0"/>
            </w:tcBorders>
            <w:noWrap w:val="0"/>
            <w:vAlign w:val="center"/>
          </w:tcPr>
          <w:p w14:paraId="5F109EC4">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1CF03F8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3、服务商专人参与两定机构专网</w:t>
            </w:r>
            <w:r>
              <w:rPr>
                <w:rFonts w:hint="eastAsia" w:ascii="微软雅黑" w:hAnsi="微软雅黑" w:eastAsia="微软雅黑" w:cs="微软雅黑"/>
                <w:color w:val="000000"/>
                <w:kern w:val="0"/>
                <w:sz w:val="21"/>
                <w:szCs w:val="21"/>
                <w:highlight w:val="none"/>
                <w:lang w:val="en-US" w:eastAsia="zh-CN"/>
              </w:rPr>
              <w:t>运</w:t>
            </w:r>
            <w:r>
              <w:rPr>
                <w:rFonts w:hint="eastAsia" w:ascii="微软雅黑" w:hAnsi="微软雅黑" w:eastAsia="微软雅黑" w:cs="微软雅黑"/>
                <w:color w:val="000000"/>
                <w:kern w:val="0"/>
                <w:sz w:val="21"/>
                <w:szCs w:val="21"/>
                <w:highlight w:val="none"/>
              </w:rPr>
              <w:t>管平台（安全接入区）建设</w:t>
            </w:r>
            <w:r>
              <w:rPr>
                <w:rFonts w:hint="eastAsia" w:ascii="微软雅黑" w:hAnsi="微软雅黑" w:eastAsia="微软雅黑" w:cs="微软雅黑"/>
                <w:color w:val="000000"/>
                <w:kern w:val="0"/>
                <w:sz w:val="21"/>
                <w:szCs w:val="21"/>
                <w:highlight w:val="none"/>
                <w:lang w:eastAsia="zh-CN"/>
              </w:rPr>
              <w:t>。</w:t>
            </w:r>
          </w:p>
        </w:tc>
      </w:tr>
      <w:tr w14:paraId="634A1A23">
        <w:tblPrEx>
          <w:tblCellMar>
            <w:top w:w="0" w:type="dxa"/>
            <w:left w:w="108" w:type="dxa"/>
            <w:bottom w:w="0" w:type="dxa"/>
            <w:right w:w="108" w:type="dxa"/>
          </w:tblCellMar>
        </w:tblPrEx>
        <w:trPr>
          <w:trHeight w:val="226" w:hRule="atLeast"/>
          <w:jc w:val="center"/>
        </w:trPr>
        <w:tc>
          <w:tcPr>
            <w:tcW w:w="1706" w:type="dxa"/>
            <w:vMerge w:val="continue"/>
            <w:tcBorders>
              <w:left w:val="single" w:color="auto" w:sz="4" w:space="0"/>
              <w:right w:val="single" w:color="auto" w:sz="4" w:space="0"/>
            </w:tcBorders>
            <w:noWrap w:val="0"/>
            <w:vAlign w:val="center"/>
          </w:tcPr>
          <w:p w14:paraId="36B43B2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4DE04B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4、需对省智慧医保省集中后，重新规划、调整医保网络等工作</w:t>
            </w:r>
            <w:r>
              <w:rPr>
                <w:rFonts w:hint="eastAsia" w:ascii="微软雅黑" w:hAnsi="微软雅黑" w:eastAsia="微软雅黑" w:cs="微软雅黑"/>
                <w:color w:val="000000"/>
                <w:kern w:val="0"/>
                <w:sz w:val="21"/>
                <w:szCs w:val="21"/>
                <w:highlight w:val="none"/>
                <w:lang w:eastAsia="zh-CN"/>
              </w:rPr>
              <w:t>。</w:t>
            </w:r>
          </w:p>
        </w:tc>
      </w:tr>
      <w:tr w14:paraId="248CE850">
        <w:tblPrEx>
          <w:tblCellMar>
            <w:top w:w="0" w:type="dxa"/>
            <w:left w:w="108" w:type="dxa"/>
            <w:bottom w:w="0" w:type="dxa"/>
            <w:right w:w="108" w:type="dxa"/>
          </w:tblCellMar>
        </w:tblPrEx>
        <w:trPr>
          <w:trHeight w:val="226" w:hRule="atLeast"/>
          <w:jc w:val="center"/>
        </w:trPr>
        <w:tc>
          <w:tcPr>
            <w:tcW w:w="1706" w:type="dxa"/>
            <w:vMerge w:val="continue"/>
            <w:tcBorders>
              <w:left w:val="single" w:color="auto" w:sz="4" w:space="0"/>
              <w:bottom w:val="single" w:color="auto" w:sz="4" w:space="0"/>
              <w:right w:val="single" w:color="auto" w:sz="4" w:space="0"/>
            </w:tcBorders>
            <w:noWrap w:val="0"/>
            <w:vAlign w:val="center"/>
          </w:tcPr>
          <w:p w14:paraId="7F3CA30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6D49159D">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5、网络规划、割接、改造升级，网络和安全设备的部署、配置，网络故障处理。</w:t>
            </w:r>
          </w:p>
        </w:tc>
      </w:tr>
      <w:tr w14:paraId="1F578FEF">
        <w:tblPrEx>
          <w:tblCellMar>
            <w:top w:w="0" w:type="dxa"/>
            <w:left w:w="108" w:type="dxa"/>
            <w:bottom w:w="0" w:type="dxa"/>
            <w:right w:w="108" w:type="dxa"/>
          </w:tblCellMar>
        </w:tblPrEx>
        <w:trPr>
          <w:trHeight w:val="226" w:hRule="atLeast"/>
          <w:jc w:val="center"/>
        </w:trPr>
        <w:tc>
          <w:tcPr>
            <w:tcW w:w="1706" w:type="dxa"/>
            <w:vMerge w:val="restart"/>
            <w:tcBorders>
              <w:left w:val="single" w:color="auto" w:sz="4" w:space="0"/>
              <w:right w:val="single" w:color="auto" w:sz="4" w:space="0"/>
            </w:tcBorders>
            <w:noWrap w:val="0"/>
            <w:vAlign w:val="center"/>
          </w:tcPr>
          <w:p w14:paraId="30A3E47E">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b/>
                <w:bCs/>
                <w:color w:val="000000"/>
                <w:kern w:val="0"/>
                <w:sz w:val="21"/>
                <w:szCs w:val="21"/>
                <w:highlight w:val="none"/>
                <w:lang w:val="en-US" w:eastAsia="zh-CN"/>
              </w:rPr>
              <w:t>5、“智慧医保”市级安全隔离数据交换平台运维</w:t>
            </w:r>
          </w:p>
        </w:tc>
        <w:tc>
          <w:tcPr>
            <w:tcW w:w="7366" w:type="dxa"/>
            <w:tcBorders>
              <w:top w:val="nil"/>
              <w:left w:val="nil"/>
              <w:bottom w:val="single" w:color="auto" w:sz="4" w:space="0"/>
              <w:right w:val="single" w:color="auto" w:sz="4" w:space="0"/>
            </w:tcBorders>
            <w:noWrap w:val="0"/>
            <w:vAlign w:val="top"/>
          </w:tcPr>
          <w:p w14:paraId="72912D43">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1、服务商必须熟悉“智慧医保”市级安全隔离数据交换平台的网络架构及运行机制，提供网络拓扑图和安全隔离数据交换流程说明，便于配合省“智慧医保”项目组完成平台运维工作</w:t>
            </w:r>
            <w:r>
              <w:rPr>
                <w:rFonts w:hint="eastAsia" w:ascii="微软雅黑" w:hAnsi="微软雅黑" w:eastAsia="微软雅黑" w:cs="微软雅黑"/>
                <w:color w:val="000000"/>
                <w:kern w:val="0"/>
                <w:sz w:val="21"/>
                <w:szCs w:val="21"/>
                <w:highlight w:val="none"/>
                <w:lang w:eastAsia="zh-CN"/>
              </w:rPr>
              <w:t>。</w:t>
            </w:r>
          </w:p>
        </w:tc>
      </w:tr>
      <w:tr w14:paraId="6941D691">
        <w:tblPrEx>
          <w:tblCellMar>
            <w:top w:w="0" w:type="dxa"/>
            <w:left w:w="108" w:type="dxa"/>
            <w:bottom w:w="0" w:type="dxa"/>
            <w:right w:w="108" w:type="dxa"/>
          </w:tblCellMar>
        </w:tblPrEx>
        <w:trPr>
          <w:trHeight w:val="226" w:hRule="atLeast"/>
          <w:jc w:val="center"/>
        </w:trPr>
        <w:tc>
          <w:tcPr>
            <w:tcW w:w="1706" w:type="dxa"/>
            <w:vMerge w:val="continue"/>
            <w:tcBorders>
              <w:left w:val="single" w:color="auto" w:sz="4" w:space="0"/>
              <w:right w:val="single" w:color="auto" w:sz="4" w:space="0"/>
            </w:tcBorders>
            <w:noWrap w:val="0"/>
            <w:vAlign w:val="center"/>
          </w:tcPr>
          <w:p w14:paraId="25B6D987">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AA7F5A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2、</w:t>
            </w:r>
            <w:r>
              <w:rPr>
                <w:rFonts w:hint="eastAsia" w:ascii="微软雅黑" w:hAnsi="微软雅黑" w:eastAsia="微软雅黑" w:cs="微软雅黑"/>
                <w:color w:val="000000"/>
                <w:kern w:val="0"/>
                <w:sz w:val="21"/>
                <w:szCs w:val="21"/>
                <w:highlight w:val="none"/>
                <w:lang w:eastAsia="zh-Hans"/>
              </w:rPr>
              <w:t>及时</w:t>
            </w:r>
            <w:r>
              <w:rPr>
                <w:rFonts w:hint="eastAsia" w:ascii="微软雅黑" w:hAnsi="微软雅黑" w:eastAsia="微软雅黑" w:cs="微软雅黑"/>
                <w:color w:val="000000"/>
                <w:kern w:val="0"/>
                <w:sz w:val="21"/>
                <w:szCs w:val="21"/>
                <w:highlight w:val="none"/>
                <w:lang w:val="en-US" w:eastAsia="zh-CN"/>
              </w:rPr>
              <w:t>协调处理</w:t>
            </w:r>
            <w:r>
              <w:rPr>
                <w:rFonts w:hint="eastAsia" w:ascii="微软雅黑" w:hAnsi="微软雅黑" w:eastAsia="微软雅黑" w:cs="微软雅黑"/>
                <w:color w:val="000000"/>
                <w:kern w:val="0"/>
                <w:sz w:val="21"/>
                <w:szCs w:val="21"/>
                <w:highlight w:val="none"/>
                <w:lang w:eastAsia="zh-Hans"/>
              </w:rPr>
              <w:t>定点医药机构反馈的异常问题</w:t>
            </w:r>
            <w:r>
              <w:rPr>
                <w:rFonts w:hint="eastAsia" w:ascii="微软雅黑" w:hAnsi="微软雅黑" w:eastAsia="微软雅黑" w:cs="微软雅黑"/>
                <w:color w:val="000000"/>
                <w:kern w:val="0"/>
                <w:sz w:val="21"/>
                <w:szCs w:val="21"/>
                <w:highlight w:val="none"/>
                <w:lang w:eastAsia="zh-CN"/>
              </w:rPr>
              <w:t>。</w:t>
            </w:r>
          </w:p>
        </w:tc>
      </w:tr>
      <w:tr w14:paraId="3223DFC9">
        <w:tblPrEx>
          <w:tblCellMar>
            <w:top w:w="0" w:type="dxa"/>
            <w:left w:w="108" w:type="dxa"/>
            <w:bottom w:w="0" w:type="dxa"/>
            <w:right w:w="108" w:type="dxa"/>
          </w:tblCellMar>
        </w:tblPrEx>
        <w:trPr>
          <w:trHeight w:val="226" w:hRule="atLeast"/>
          <w:jc w:val="center"/>
        </w:trPr>
        <w:tc>
          <w:tcPr>
            <w:tcW w:w="1706" w:type="dxa"/>
            <w:vMerge w:val="continue"/>
            <w:tcBorders>
              <w:left w:val="single" w:color="auto" w:sz="4" w:space="0"/>
              <w:right w:val="single" w:color="auto" w:sz="4" w:space="0"/>
            </w:tcBorders>
            <w:noWrap w:val="0"/>
            <w:vAlign w:val="center"/>
          </w:tcPr>
          <w:p w14:paraId="4B9B6FA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94CE3BB">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3、配合省“智慧医保”项目组及</w:t>
            </w:r>
            <w:r>
              <w:rPr>
                <w:rFonts w:hint="eastAsia" w:ascii="微软雅黑" w:hAnsi="微软雅黑" w:eastAsia="微软雅黑" w:cs="微软雅黑"/>
                <w:color w:val="000000"/>
                <w:kern w:val="0"/>
                <w:sz w:val="21"/>
                <w:szCs w:val="21"/>
                <w:highlight w:val="none"/>
                <w:lang w:eastAsia="zh-Hans"/>
              </w:rPr>
              <w:t>定点医药机构，做好相关测试工作</w:t>
            </w:r>
            <w:r>
              <w:rPr>
                <w:rFonts w:hint="eastAsia" w:ascii="微软雅黑" w:hAnsi="微软雅黑" w:eastAsia="微软雅黑" w:cs="微软雅黑"/>
                <w:color w:val="000000"/>
                <w:kern w:val="0"/>
                <w:sz w:val="21"/>
                <w:szCs w:val="21"/>
                <w:highlight w:val="none"/>
                <w:lang w:eastAsia="zh-CN"/>
              </w:rPr>
              <w:t>。</w:t>
            </w:r>
          </w:p>
        </w:tc>
      </w:tr>
      <w:tr w14:paraId="20325F41">
        <w:tblPrEx>
          <w:tblCellMar>
            <w:top w:w="0" w:type="dxa"/>
            <w:left w:w="108" w:type="dxa"/>
            <w:bottom w:w="0" w:type="dxa"/>
            <w:right w:w="108" w:type="dxa"/>
          </w:tblCellMar>
        </w:tblPrEx>
        <w:trPr>
          <w:trHeight w:val="226" w:hRule="atLeast"/>
          <w:jc w:val="center"/>
        </w:trPr>
        <w:tc>
          <w:tcPr>
            <w:tcW w:w="1706" w:type="dxa"/>
            <w:vMerge w:val="continue"/>
            <w:tcBorders>
              <w:left w:val="single" w:color="auto" w:sz="4" w:space="0"/>
              <w:bottom w:val="single" w:color="auto" w:sz="4" w:space="0"/>
              <w:right w:val="single" w:color="auto" w:sz="4" w:space="0"/>
            </w:tcBorders>
            <w:noWrap w:val="0"/>
            <w:vAlign w:val="center"/>
          </w:tcPr>
          <w:p w14:paraId="2E547613">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A626CB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4、</w:t>
            </w:r>
            <w:r>
              <w:rPr>
                <w:rFonts w:hint="eastAsia" w:ascii="微软雅黑" w:hAnsi="微软雅黑" w:eastAsia="微软雅黑" w:cs="微软雅黑"/>
                <w:color w:val="000000"/>
                <w:kern w:val="0"/>
                <w:sz w:val="21"/>
                <w:szCs w:val="21"/>
                <w:highlight w:val="none"/>
                <w:lang w:eastAsia="zh-Hans"/>
              </w:rPr>
              <w:t>配合</w:t>
            </w:r>
            <w:r>
              <w:rPr>
                <w:rFonts w:hint="eastAsia" w:ascii="微软雅黑" w:hAnsi="微软雅黑" w:eastAsia="微软雅黑" w:cs="微软雅黑"/>
                <w:color w:val="000000"/>
                <w:kern w:val="0"/>
                <w:sz w:val="21"/>
                <w:szCs w:val="21"/>
                <w:highlight w:val="none"/>
                <w:lang w:val="en-US" w:eastAsia="zh-CN"/>
              </w:rPr>
              <w:t>省“智慧医保”</w:t>
            </w:r>
            <w:r>
              <w:rPr>
                <w:rFonts w:hint="eastAsia" w:ascii="微软雅黑" w:hAnsi="微软雅黑" w:eastAsia="微软雅黑" w:cs="微软雅黑"/>
                <w:color w:val="000000"/>
                <w:kern w:val="0"/>
                <w:sz w:val="21"/>
                <w:szCs w:val="21"/>
                <w:highlight w:val="none"/>
                <w:lang w:eastAsia="zh-Hans"/>
              </w:rPr>
              <w:t>项目组完成运维配合工作。</w:t>
            </w:r>
          </w:p>
        </w:tc>
      </w:tr>
      <w:tr w14:paraId="5C9131DB">
        <w:tblPrEx>
          <w:tblCellMar>
            <w:top w:w="0" w:type="dxa"/>
            <w:left w:w="108" w:type="dxa"/>
            <w:bottom w:w="0" w:type="dxa"/>
            <w:right w:w="108" w:type="dxa"/>
          </w:tblCellMar>
        </w:tblPrEx>
        <w:trPr>
          <w:trHeight w:val="226"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6F1BEB8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bCs/>
                <w:color w:val="000000"/>
                <w:kern w:val="0"/>
                <w:sz w:val="21"/>
                <w:szCs w:val="21"/>
                <w:highlight w:val="none"/>
                <w:lang w:val="en-US" w:eastAsia="zh-CN"/>
              </w:rPr>
              <w:t>6</w:t>
            </w:r>
            <w:r>
              <w:rPr>
                <w:rFonts w:hint="eastAsia" w:ascii="微软雅黑" w:hAnsi="微软雅黑" w:eastAsia="微软雅黑" w:cs="微软雅黑"/>
                <w:bCs/>
                <w:color w:val="000000"/>
                <w:kern w:val="0"/>
                <w:sz w:val="21"/>
                <w:szCs w:val="21"/>
                <w:highlight w:val="none"/>
              </w:rPr>
              <w:t>、</w:t>
            </w:r>
            <w:r>
              <w:rPr>
                <w:rFonts w:hint="eastAsia" w:ascii="微软雅黑" w:hAnsi="微软雅黑" w:eastAsia="微软雅黑" w:cs="微软雅黑"/>
                <w:b/>
                <w:bCs/>
                <w:color w:val="000000"/>
                <w:kern w:val="0"/>
                <w:sz w:val="21"/>
                <w:szCs w:val="21"/>
                <w:highlight w:val="none"/>
              </w:rPr>
              <w:t>网络安全管理技术要求</w:t>
            </w:r>
          </w:p>
        </w:tc>
        <w:tc>
          <w:tcPr>
            <w:tcW w:w="7366" w:type="dxa"/>
            <w:tcBorders>
              <w:top w:val="single" w:color="auto" w:sz="4" w:space="0"/>
              <w:left w:val="nil"/>
              <w:bottom w:val="single" w:color="auto" w:sz="4" w:space="0"/>
              <w:right w:val="single" w:color="auto" w:sz="4" w:space="0"/>
            </w:tcBorders>
            <w:noWrap w:val="0"/>
            <w:vAlign w:val="top"/>
          </w:tcPr>
          <w:p w14:paraId="6C1E0F27">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1、专人针对日常网络安全风险巡检工作</w:t>
            </w:r>
            <w:r>
              <w:rPr>
                <w:rFonts w:hint="eastAsia" w:ascii="微软雅黑" w:hAnsi="微软雅黑" w:eastAsia="微软雅黑" w:cs="微软雅黑"/>
                <w:color w:val="000000"/>
                <w:kern w:val="0"/>
                <w:sz w:val="21"/>
                <w:szCs w:val="21"/>
                <w:highlight w:val="none"/>
                <w:lang w:eastAsia="zh-CN"/>
              </w:rPr>
              <w:t>。</w:t>
            </w:r>
          </w:p>
        </w:tc>
      </w:tr>
      <w:tr w14:paraId="40FDB16F">
        <w:tblPrEx>
          <w:tblCellMar>
            <w:top w:w="0" w:type="dxa"/>
            <w:left w:w="108" w:type="dxa"/>
            <w:bottom w:w="0" w:type="dxa"/>
            <w:right w:w="108" w:type="dxa"/>
          </w:tblCellMar>
        </w:tblPrEx>
        <w:trPr>
          <w:trHeight w:val="412"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7F9828EE">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single" w:color="auto" w:sz="4" w:space="0"/>
              <w:left w:val="nil"/>
              <w:bottom w:val="single" w:color="auto" w:sz="4" w:space="0"/>
              <w:right w:val="single" w:color="auto" w:sz="4" w:space="0"/>
            </w:tcBorders>
            <w:noWrap w:val="0"/>
            <w:vAlign w:val="top"/>
          </w:tcPr>
          <w:p w14:paraId="1F0B04D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lang w:eastAsia="zh-CN"/>
              </w:rPr>
            </w:pPr>
            <w:r>
              <w:rPr>
                <w:rFonts w:hint="eastAsia" w:ascii="微软雅黑" w:hAnsi="微软雅黑" w:eastAsia="微软雅黑" w:cs="微软雅黑"/>
                <w:color w:val="000000"/>
                <w:kern w:val="0"/>
                <w:sz w:val="21"/>
                <w:szCs w:val="21"/>
                <w:highlight w:val="none"/>
              </w:rPr>
              <w:t>2、需解决对突发性网络安全事件处理能力及系列工作</w:t>
            </w:r>
            <w:r>
              <w:rPr>
                <w:rFonts w:hint="eastAsia" w:ascii="微软雅黑" w:hAnsi="微软雅黑" w:eastAsia="微软雅黑" w:cs="微软雅黑"/>
                <w:color w:val="000000"/>
                <w:kern w:val="0"/>
                <w:sz w:val="21"/>
                <w:szCs w:val="21"/>
                <w:highlight w:val="none"/>
                <w:lang w:eastAsia="zh-CN"/>
              </w:rPr>
              <w:t>。</w:t>
            </w:r>
          </w:p>
        </w:tc>
      </w:tr>
      <w:tr w14:paraId="4B7CED06">
        <w:tblPrEx>
          <w:tblCellMar>
            <w:top w:w="0" w:type="dxa"/>
            <w:left w:w="108" w:type="dxa"/>
            <w:bottom w:w="0" w:type="dxa"/>
            <w:right w:w="108" w:type="dxa"/>
          </w:tblCellMar>
        </w:tblPrEx>
        <w:trPr>
          <w:trHeight w:val="9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2989314E">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20708DAE">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3、需解决对网络安全漏洞的时修复，和补丁及时更新，危险端口及时关闭等工作。</w:t>
            </w:r>
          </w:p>
        </w:tc>
      </w:tr>
      <w:tr w14:paraId="1C60D7AC">
        <w:tblPrEx>
          <w:tblCellMar>
            <w:top w:w="0" w:type="dxa"/>
            <w:left w:w="108" w:type="dxa"/>
            <w:bottom w:w="0" w:type="dxa"/>
            <w:right w:w="108" w:type="dxa"/>
          </w:tblCellMar>
        </w:tblPrEx>
        <w:trPr>
          <w:trHeight w:val="412" w:hRule="atLeast"/>
          <w:jc w:val="center"/>
        </w:trPr>
        <w:tc>
          <w:tcPr>
            <w:tcW w:w="1706" w:type="dxa"/>
            <w:vMerge w:val="restart"/>
            <w:tcBorders>
              <w:top w:val="single" w:color="auto" w:sz="4" w:space="0"/>
              <w:left w:val="single" w:color="auto" w:sz="4" w:space="0"/>
              <w:right w:val="single" w:color="auto" w:sz="4" w:space="0"/>
            </w:tcBorders>
            <w:noWrap w:val="0"/>
            <w:vAlign w:val="center"/>
          </w:tcPr>
          <w:p w14:paraId="0F9DCAE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7、</w:t>
            </w:r>
            <w:r>
              <w:rPr>
                <w:rFonts w:hint="eastAsia" w:ascii="微软雅黑" w:hAnsi="微软雅黑" w:cs="微软雅黑"/>
                <w:b/>
                <w:bCs/>
                <w:color w:val="auto"/>
                <w:kern w:val="0"/>
                <w:sz w:val="21"/>
                <w:szCs w:val="21"/>
                <w:highlight w:val="none"/>
                <w:lang w:val="en-US" w:eastAsia="zh-CN"/>
              </w:rPr>
              <w:t>医保局</w:t>
            </w:r>
            <w:r>
              <w:rPr>
                <w:rFonts w:hint="eastAsia" w:ascii="微软雅黑" w:hAnsi="微软雅黑" w:eastAsia="微软雅黑" w:cs="微软雅黑"/>
                <w:b/>
                <w:bCs/>
                <w:color w:val="auto"/>
                <w:kern w:val="0"/>
                <w:sz w:val="21"/>
                <w:szCs w:val="21"/>
                <w:highlight w:val="none"/>
                <w:lang w:val="en-US" w:eastAsia="zh-CN"/>
              </w:rPr>
              <w:t>网络运维安全技术要求</w:t>
            </w:r>
          </w:p>
        </w:tc>
        <w:tc>
          <w:tcPr>
            <w:tcW w:w="7366" w:type="dxa"/>
            <w:tcBorders>
              <w:top w:val="nil"/>
              <w:left w:val="nil"/>
              <w:bottom w:val="single" w:color="auto" w:sz="4" w:space="0"/>
              <w:right w:val="single" w:color="auto" w:sz="4" w:space="0"/>
            </w:tcBorders>
            <w:noWrap w:val="0"/>
            <w:vAlign w:val="top"/>
          </w:tcPr>
          <w:p w14:paraId="7F6386D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1、</w:t>
            </w:r>
            <w:r>
              <w:rPr>
                <w:rFonts w:hint="eastAsia" w:ascii="微软雅黑" w:hAnsi="微软雅黑" w:eastAsia="微软雅黑" w:cs="微软雅黑"/>
                <w:color w:val="auto"/>
                <w:kern w:val="0"/>
                <w:sz w:val="21"/>
                <w:szCs w:val="21"/>
                <w:highlight w:val="none"/>
              </w:rPr>
              <w:t>负责配合完成各级网络攻防相关工作</w:t>
            </w:r>
            <w:r>
              <w:rPr>
                <w:rFonts w:hint="eastAsia" w:ascii="微软雅黑" w:hAnsi="微软雅黑" w:eastAsia="微软雅黑" w:cs="微软雅黑"/>
                <w:color w:val="auto"/>
                <w:kern w:val="0"/>
                <w:sz w:val="21"/>
                <w:szCs w:val="21"/>
                <w:highlight w:val="none"/>
                <w:lang w:val="en-US" w:eastAsia="zh-CN"/>
              </w:rPr>
              <w:t>以及</w:t>
            </w:r>
            <w:r>
              <w:rPr>
                <w:rFonts w:hint="eastAsia" w:ascii="微软雅黑" w:hAnsi="微软雅黑" w:eastAsia="微软雅黑" w:cs="微软雅黑"/>
                <w:color w:val="auto"/>
                <w:kern w:val="0"/>
                <w:sz w:val="21"/>
                <w:szCs w:val="21"/>
                <w:highlight w:val="none"/>
              </w:rPr>
              <w:t>梳理排摸网络攻防相关系统设备信息，确保信息的准确性和完整性，并按照通知要求及时提交相关材料。</w:t>
            </w:r>
          </w:p>
        </w:tc>
      </w:tr>
      <w:tr w14:paraId="7B9B055D">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right w:val="single" w:color="auto" w:sz="4" w:space="0"/>
            </w:tcBorders>
            <w:noWrap w:val="0"/>
            <w:vAlign w:val="center"/>
          </w:tcPr>
          <w:p w14:paraId="752C6D4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39D919D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2</w:t>
            </w:r>
            <w:r>
              <w:rPr>
                <w:rFonts w:hint="eastAsia" w:ascii="微软雅黑" w:hAnsi="微软雅黑" w:eastAsia="微软雅黑" w:cs="微软雅黑"/>
                <w:color w:val="auto"/>
                <w:kern w:val="0"/>
                <w:sz w:val="21"/>
                <w:szCs w:val="21"/>
                <w:highlight w:val="none"/>
                <w:lang w:val="en-US" w:eastAsia="zh-CN"/>
              </w:rPr>
              <w:t>、负责统筹嘉兴市医保网络重大割接工作，确保割接工作顺利完成。</w:t>
            </w:r>
          </w:p>
        </w:tc>
      </w:tr>
      <w:tr w14:paraId="1A5A980E">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right w:val="single" w:color="auto" w:sz="4" w:space="0"/>
            </w:tcBorders>
            <w:noWrap w:val="0"/>
            <w:vAlign w:val="center"/>
          </w:tcPr>
          <w:p w14:paraId="0008D767">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88CD0D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3</w:t>
            </w:r>
            <w:r>
              <w:rPr>
                <w:rFonts w:hint="eastAsia" w:ascii="微软雅黑" w:hAnsi="微软雅黑" w:eastAsia="微软雅黑" w:cs="微软雅黑"/>
                <w:color w:val="auto"/>
                <w:kern w:val="0"/>
                <w:sz w:val="21"/>
                <w:szCs w:val="21"/>
                <w:highlight w:val="none"/>
                <w:lang w:val="en-US" w:eastAsia="zh-CN"/>
              </w:rPr>
              <w:t>、根据业务系统要求，配合信息科完成相关网络测试工作。</w:t>
            </w:r>
          </w:p>
        </w:tc>
      </w:tr>
      <w:tr w14:paraId="0FA6F0A4">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bottom w:val="single" w:color="auto" w:sz="4" w:space="0"/>
              <w:right w:val="single" w:color="auto" w:sz="4" w:space="0"/>
            </w:tcBorders>
            <w:noWrap w:val="0"/>
            <w:vAlign w:val="center"/>
          </w:tcPr>
          <w:p w14:paraId="0AC0F0EB">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6720242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4</w:t>
            </w:r>
            <w:r>
              <w:rPr>
                <w:rFonts w:hint="eastAsia" w:ascii="微软雅黑" w:hAnsi="微软雅黑" w:eastAsia="微软雅黑" w:cs="微软雅黑"/>
                <w:color w:val="auto"/>
                <w:kern w:val="0"/>
                <w:sz w:val="21"/>
                <w:szCs w:val="21"/>
                <w:highlight w:val="none"/>
                <w:lang w:val="en-US" w:eastAsia="zh-CN"/>
              </w:rPr>
              <w:t>、提供技术支撑及咨询服务，确保各项信息化网络安全工作顺利开展。</w:t>
            </w:r>
          </w:p>
        </w:tc>
      </w:tr>
      <w:tr w14:paraId="1220A73C">
        <w:tblPrEx>
          <w:tblCellMar>
            <w:top w:w="0" w:type="dxa"/>
            <w:left w:w="108" w:type="dxa"/>
            <w:bottom w:w="0" w:type="dxa"/>
            <w:right w:w="108" w:type="dxa"/>
          </w:tblCellMar>
        </w:tblPrEx>
        <w:trPr>
          <w:trHeight w:val="412" w:hRule="atLeast"/>
          <w:jc w:val="center"/>
        </w:trPr>
        <w:tc>
          <w:tcPr>
            <w:tcW w:w="1706" w:type="dxa"/>
            <w:vMerge w:val="restart"/>
            <w:tcBorders>
              <w:left w:val="single" w:color="auto" w:sz="4" w:space="0"/>
              <w:right w:val="single" w:color="auto" w:sz="4" w:space="0"/>
            </w:tcBorders>
            <w:noWrap w:val="0"/>
            <w:vAlign w:val="center"/>
          </w:tcPr>
          <w:p w14:paraId="0ED8A5D9">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default" w:ascii="微软雅黑" w:hAnsi="微软雅黑" w:eastAsia="微软雅黑" w:cs="微软雅黑"/>
                <w:color w:val="auto"/>
                <w:kern w:val="0"/>
                <w:sz w:val="21"/>
                <w:szCs w:val="21"/>
                <w:highlight w:val="none"/>
                <w:lang w:val="en-US"/>
              </w:rPr>
            </w:pPr>
            <w:r>
              <w:rPr>
                <w:rFonts w:hint="eastAsia" w:ascii="微软雅黑" w:hAnsi="微软雅黑" w:cs="微软雅黑"/>
                <w:b/>
                <w:bCs/>
                <w:color w:val="auto"/>
                <w:kern w:val="0"/>
                <w:sz w:val="21"/>
                <w:szCs w:val="21"/>
                <w:highlight w:val="none"/>
                <w:lang w:val="en-US" w:eastAsia="zh-CN"/>
              </w:rPr>
              <w:t>8、</w:t>
            </w:r>
            <w:r>
              <w:rPr>
                <w:rFonts w:hint="eastAsia" w:ascii="微软雅黑" w:hAnsi="微软雅黑" w:eastAsia="微软雅黑" w:cs="微软雅黑"/>
                <w:b/>
                <w:bCs/>
                <w:color w:val="auto"/>
                <w:kern w:val="0"/>
                <w:sz w:val="21"/>
                <w:szCs w:val="21"/>
                <w:highlight w:val="none"/>
                <w:lang w:val="en-US" w:eastAsia="zh-CN"/>
              </w:rPr>
              <w:t>“智慧医保”嘉兴市市级全接入区运维支撑要求</w:t>
            </w:r>
          </w:p>
        </w:tc>
        <w:tc>
          <w:tcPr>
            <w:tcW w:w="7366" w:type="dxa"/>
            <w:tcBorders>
              <w:top w:val="nil"/>
              <w:left w:val="nil"/>
              <w:bottom w:val="single" w:color="auto" w:sz="4" w:space="0"/>
              <w:right w:val="single" w:color="auto" w:sz="4" w:space="0"/>
            </w:tcBorders>
            <w:noWrap w:val="0"/>
            <w:vAlign w:val="top"/>
          </w:tcPr>
          <w:p w14:paraId="0B343C2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1</w:t>
            </w:r>
            <w:r>
              <w:rPr>
                <w:rFonts w:hint="eastAsia" w:ascii="微软雅黑" w:hAnsi="微软雅黑" w:eastAsia="微软雅黑" w:cs="微软雅黑"/>
                <w:color w:val="auto"/>
                <w:kern w:val="0"/>
                <w:sz w:val="21"/>
                <w:szCs w:val="21"/>
                <w:highlight w:val="none"/>
                <w:lang w:val="en-US" w:eastAsia="zh-CN"/>
              </w:rPr>
              <w:t>、按照要求，对“智慧医保”嘉兴市市级全接入区的骨干网网络安全策略进行设计规划。确保策略调整符合网络安全等级保护要求，保障网络分区、边界隔离、数据加密等技术措施落实到位。</w:t>
            </w:r>
          </w:p>
        </w:tc>
      </w:tr>
      <w:tr w14:paraId="248D5B29">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right w:val="single" w:color="auto" w:sz="4" w:space="0"/>
            </w:tcBorders>
            <w:noWrap w:val="0"/>
            <w:vAlign w:val="center"/>
          </w:tcPr>
          <w:p w14:paraId="50DD217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3630A7E8">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2</w:t>
            </w:r>
            <w:r>
              <w:rPr>
                <w:rFonts w:hint="eastAsia" w:ascii="微软雅黑" w:hAnsi="微软雅黑" w:eastAsia="微软雅黑" w:cs="微软雅黑"/>
                <w:color w:val="auto"/>
                <w:kern w:val="0"/>
                <w:sz w:val="21"/>
                <w:szCs w:val="21"/>
                <w:highlight w:val="none"/>
                <w:lang w:val="en-US" w:eastAsia="zh-CN"/>
              </w:rPr>
              <w:t>、配合完成“智慧医保”嘉兴市市级全接入区VPDN网络的账号预设工作，确保账号设置符合分类分级要求。</w:t>
            </w:r>
          </w:p>
        </w:tc>
      </w:tr>
      <w:tr w14:paraId="1CC06FA6">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right w:val="single" w:color="auto" w:sz="4" w:space="0"/>
            </w:tcBorders>
            <w:noWrap w:val="0"/>
            <w:vAlign w:val="center"/>
          </w:tcPr>
          <w:p w14:paraId="098CF641">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85B5E4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3</w:t>
            </w:r>
            <w:r>
              <w:rPr>
                <w:rFonts w:hint="eastAsia" w:ascii="微软雅黑" w:hAnsi="微软雅黑" w:eastAsia="微软雅黑" w:cs="微软雅黑"/>
                <w:color w:val="auto"/>
                <w:kern w:val="0"/>
                <w:sz w:val="21"/>
                <w:szCs w:val="21"/>
                <w:highlight w:val="none"/>
                <w:lang w:val="en-US" w:eastAsia="zh-CN"/>
              </w:rPr>
              <w:t>、需配合医保局完成“智慧医保”嘉兴市市级全接入区各类系统的规划设计工作，并制定区县医保局网络访问方案。</w:t>
            </w:r>
          </w:p>
        </w:tc>
      </w:tr>
      <w:tr w14:paraId="45CA3863">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right w:val="single" w:color="auto" w:sz="4" w:space="0"/>
            </w:tcBorders>
            <w:noWrap w:val="0"/>
            <w:vAlign w:val="center"/>
          </w:tcPr>
          <w:p w14:paraId="42C9484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1F788A1E">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4</w:t>
            </w:r>
            <w:r>
              <w:rPr>
                <w:rFonts w:hint="eastAsia" w:ascii="微软雅黑" w:hAnsi="微软雅黑" w:eastAsia="微软雅黑" w:cs="微软雅黑"/>
                <w:color w:val="auto"/>
                <w:kern w:val="0"/>
                <w:sz w:val="21"/>
                <w:szCs w:val="21"/>
                <w:highlight w:val="none"/>
                <w:lang w:val="en-US" w:eastAsia="zh-CN"/>
              </w:rPr>
              <w:t>、协助医保局信息科监管“智慧医保”嘉兴市市级安全接入区，为接入区合规、稳定运行提供技术方案和建议，并针对问题协调责任单位进行变更调整。</w:t>
            </w:r>
          </w:p>
        </w:tc>
      </w:tr>
      <w:tr w14:paraId="266A342D">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bottom w:val="single" w:color="auto" w:sz="4" w:space="0"/>
              <w:right w:val="single" w:color="auto" w:sz="4" w:space="0"/>
            </w:tcBorders>
            <w:noWrap w:val="0"/>
            <w:vAlign w:val="center"/>
          </w:tcPr>
          <w:p w14:paraId="6BB68204">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0DA5ABC">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5</w:t>
            </w:r>
            <w:r>
              <w:rPr>
                <w:rFonts w:hint="eastAsia" w:ascii="微软雅黑" w:hAnsi="微软雅黑" w:eastAsia="微软雅黑" w:cs="微软雅黑"/>
                <w:color w:val="auto"/>
                <w:kern w:val="0"/>
                <w:sz w:val="21"/>
                <w:szCs w:val="21"/>
                <w:highlight w:val="none"/>
                <w:lang w:val="en-US" w:eastAsia="zh-CN"/>
              </w:rPr>
              <w:t>、按照要求，完成“智慧医保”项目医保专网骨干网容灾切换演练，确保演练过程中的技术操作、数据备份和恢复等环节符合标准。</w:t>
            </w:r>
          </w:p>
        </w:tc>
      </w:tr>
      <w:tr w14:paraId="65EEFF8F">
        <w:tblPrEx>
          <w:tblCellMar>
            <w:top w:w="0" w:type="dxa"/>
            <w:left w:w="108" w:type="dxa"/>
            <w:bottom w:w="0" w:type="dxa"/>
            <w:right w:w="108" w:type="dxa"/>
          </w:tblCellMar>
        </w:tblPrEx>
        <w:trPr>
          <w:trHeight w:val="412" w:hRule="atLeast"/>
          <w:jc w:val="center"/>
        </w:trPr>
        <w:tc>
          <w:tcPr>
            <w:tcW w:w="1706" w:type="dxa"/>
            <w:vMerge w:val="restart"/>
            <w:tcBorders>
              <w:left w:val="single" w:color="auto" w:sz="4" w:space="0"/>
              <w:right w:val="single" w:color="auto" w:sz="4" w:space="0"/>
            </w:tcBorders>
            <w:noWrap w:val="0"/>
            <w:vAlign w:val="center"/>
          </w:tcPr>
          <w:p w14:paraId="0110D04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cs="微软雅黑"/>
                <w:b/>
                <w:bCs/>
                <w:color w:val="auto"/>
                <w:kern w:val="0"/>
                <w:sz w:val="21"/>
                <w:szCs w:val="21"/>
                <w:highlight w:val="none"/>
                <w:lang w:val="en-US" w:eastAsia="zh-CN"/>
              </w:rPr>
              <w:t>9、医保HIS专区改造</w:t>
            </w:r>
            <w:r>
              <w:rPr>
                <w:rFonts w:hint="eastAsia" w:ascii="微软雅黑" w:hAnsi="微软雅黑" w:eastAsia="微软雅黑" w:cs="微软雅黑"/>
                <w:b/>
                <w:bCs/>
                <w:color w:val="auto"/>
                <w:kern w:val="0"/>
                <w:sz w:val="21"/>
                <w:szCs w:val="21"/>
                <w:highlight w:val="none"/>
                <w:lang w:val="en-US" w:eastAsia="zh-CN"/>
              </w:rPr>
              <w:t>运维支撑要求</w:t>
            </w:r>
          </w:p>
        </w:tc>
        <w:tc>
          <w:tcPr>
            <w:tcW w:w="7366" w:type="dxa"/>
            <w:tcBorders>
              <w:top w:val="nil"/>
              <w:left w:val="nil"/>
              <w:bottom w:val="single" w:color="auto" w:sz="4" w:space="0"/>
              <w:right w:val="single" w:color="auto" w:sz="4" w:space="0"/>
            </w:tcBorders>
            <w:noWrap w:val="0"/>
            <w:vAlign w:val="top"/>
          </w:tcPr>
          <w:p w14:paraId="0CCF168E">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1</w:t>
            </w:r>
            <w:r>
              <w:rPr>
                <w:rFonts w:hint="eastAsia" w:ascii="微软雅黑" w:hAnsi="微软雅黑" w:eastAsia="微软雅黑" w:cs="微软雅黑"/>
                <w:color w:val="auto"/>
                <w:kern w:val="0"/>
                <w:sz w:val="21"/>
                <w:szCs w:val="21"/>
                <w:highlight w:val="none"/>
                <w:lang w:val="en-US" w:eastAsia="zh-CN"/>
              </w:rPr>
              <w:t>、协助医保局制定相关技术方案，加快推进嘉兴市全市医保网络的专网专用，加强医保网络安全体系的健壮性。</w:t>
            </w:r>
          </w:p>
        </w:tc>
      </w:tr>
      <w:tr w14:paraId="0AB26DFB">
        <w:tblPrEx>
          <w:tblCellMar>
            <w:top w:w="0" w:type="dxa"/>
            <w:left w:w="108" w:type="dxa"/>
            <w:bottom w:w="0" w:type="dxa"/>
            <w:right w:w="108" w:type="dxa"/>
          </w:tblCellMar>
        </w:tblPrEx>
        <w:trPr>
          <w:trHeight w:val="412" w:hRule="atLeast"/>
          <w:jc w:val="center"/>
        </w:trPr>
        <w:tc>
          <w:tcPr>
            <w:tcW w:w="1706" w:type="dxa"/>
            <w:vMerge w:val="continue"/>
            <w:tcBorders>
              <w:left w:val="single" w:color="auto" w:sz="4" w:space="0"/>
              <w:bottom w:val="single" w:color="auto" w:sz="4" w:space="0"/>
              <w:right w:val="single" w:color="auto" w:sz="4" w:space="0"/>
            </w:tcBorders>
            <w:noWrap w:val="0"/>
            <w:vAlign w:val="center"/>
          </w:tcPr>
          <w:p w14:paraId="2039CEC3">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55EB1224">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2</w:t>
            </w:r>
            <w:r>
              <w:rPr>
                <w:rFonts w:hint="eastAsia" w:ascii="微软雅黑" w:hAnsi="微软雅黑" w:eastAsia="微软雅黑" w:cs="微软雅黑"/>
                <w:color w:val="auto"/>
                <w:kern w:val="0"/>
                <w:sz w:val="21"/>
                <w:szCs w:val="21"/>
                <w:highlight w:val="none"/>
                <w:lang w:val="en-US" w:eastAsia="zh-CN"/>
              </w:rPr>
              <w:t>、提供医药机构HIS专区迁移改造的技术支撑工作，协助医药机构向本地HIS专区和云HIS专区的迁移改造工作。</w:t>
            </w:r>
          </w:p>
        </w:tc>
      </w:tr>
      <w:tr w14:paraId="27F3B185">
        <w:tblPrEx>
          <w:tblCellMar>
            <w:top w:w="0" w:type="dxa"/>
            <w:left w:w="108" w:type="dxa"/>
            <w:bottom w:w="0" w:type="dxa"/>
            <w:right w:w="108" w:type="dxa"/>
          </w:tblCellMar>
        </w:tblPrEx>
        <w:trPr>
          <w:trHeight w:val="645"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074B5BF8">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cs="微软雅黑"/>
                <w:b/>
                <w:bCs/>
                <w:color w:val="auto"/>
                <w:kern w:val="0"/>
                <w:sz w:val="21"/>
                <w:szCs w:val="21"/>
                <w:highlight w:val="none"/>
                <w:lang w:val="en-US" w:eastAsia="zh-CN"/>
              </w:rPr>
              <w:t>10</w:t>
            </w:r>
            <w:r>
              <w:rPr>
                <w:rFonts w:hint="eastAsia" w:ascii="微软雅黑" w:hAnsi="微软雅黑" w:eastAsia="微软雅黑" w:cs="微软雅黑"/>
                <w:b/>
                <w:bCs/>
                <w:color w:val="auto"/>
                <w:kern w:val="0"/>
                <w:sz w:val="21"/>
                <w:szCs w:val="21"/>
                <w:highlight w:val="none"/>
              </w:rPr>
              <w:t>、医保审计服务技术要求</w:t>
            </w:r>
          </w:p>
        </w:tc>
        <w:tc>
          <w:tcPr>
            <w:tcW w:w="7366" w:type="dxa"/>
            <w:tcBorders>
              <w:top w:val="nil"/>
              <w:left w:val="nil"/>
              <w:bottom w:val="single" w:color="auto" w:sz="4" w:space="0"/>
              <w:right w:val="single" w:color="auto" w:sz="4" w:space="0"/>
            </w:tcBorders>
            <w:noWrap w:val="0"/>
            <w:vAlign w:val="top"/>
          </w:tcPr>
          <w:p w14:paraId="04751B43">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1、服务商需根据</w:t>
            </w:r>
            <w:r>
              <w:rPr>
                <w:rFonts w:hint="eastAsia" w:ascii="微软雅黑" w:hAnsi="微软雅黑" w:eastAsia="微软雅黑" w:cs="微软雅黑"/>
                <w:color w:val="auto"/>
                <w:kern w:val="0"/>
                <w:sz w:val="21"/>
                <w:szCs w:val="21"/>
                <w:highlight w:val="none"/>
                <w:lang w:val="en-US" w:eastAsia="zh-CN"/>
              </w:rPr>
              <w:t>医保局要求提供</w:t>
            </w:r>
            <w:r>
              <w:rPr>
                <w:rFonts w:hint="eastAsia" w:ascii="微软雅黑" w:hAnsi="微软雅黑" w:eastAsia="微软雅黑" w:cs="微软雅黑"/>
                <w:color w:val="auto"/>
                <w:kern w:val="0"/>
                <w:sz w:val="21"/>
                <w:szCs w:val="21"/>
                <w:highlight w:val="none"/>
              </w:rPr>
              <w:t>符合审计局审计</w:t>
            </w:r>
            <w:r>
              <w:rPr>
                <w:rFonts w:hint="eastAsia" w:ascii="微软雅黑" w:hAnsi="微软雅黑" w:eastAsia="微软雅黑" w:cs="微软雅黑"/>
                <w:color w:val="auto"/>
                <w:kern w:val="0"/>
                <w:sz w:val="21"/>
                <w:szCs w:val="21"/>
                <w:highlight w:val="none"/>
                <w:lang w:val="en-US" w:eastAsia="zh-CN"/>
              </w:rPr>
              <w:t>标准</w:t>
            </w:r>
            <w:r>
              <w:rPr>
                <w:rFonts w:hint="eastAsia" w:ascii="微软雅黑" w:hAnsi="微软雅黑" w:eastAsia="微软雅黑" w:cs="微软雅黑"/>
                <w:color w:val="auto"/>
                <w:kern w:val="0"/>
                <w:sz w:val="21"/>
                <w:szCs w:val="21"/>
                <w:highlight w:val="none"/>
              </w:rPr>
              <w:t>的</w:t>
            </w:r>
            <w:r>
              <w:rPr>
                <w:rFonts w:hint="eastAsia" w:ascii="微软雅黑" w:hAnsi="微软雅黑" w:eastAsia="微软雅黑" w:cs="微软雅黑"/>
                <w:color w:val="auto"/>
                <w:kern w:val="0"/>
                <w:sz w:val="21"/>
                <w:szCs w:val="21"/>
                <w:highlight w:val="none"/>
                <w:lang w:val="en-US" w:eastAsia="zh-CN"/>
              </w:rPr>
              <w:t>技术服务</w:t>
            </w:r>
            <w:r>
              <w:rPr>
                <w:rFonts w:hint="eastAsia" w:ascii="微软雅黑" w:hAnsi="微软雅黑" w:eastAsia="微软雅黑" w:cs="微软雅黑"/>
                <w:color w:val="auto"/>
                <w:kern w:val="0"/>
                <w:sz w:val="21"/>
                <w:szCs w:val="21"/>
                <w:highlight w:val="none"/>
                <w:lang w:eastAsia="zh-CN"/>
              </w:rPr>
              <w:t>，</w:t>
            </w:r>
            <w:r>
              <w:rPr>
                <w:rFonts w:hint="eastAsia" w:ascii="微软雅黑" w:hAnsi="微软雅黑" w:eastAsia="微软雅黑" w:cs="微软雅黑"/>
                <w:color w:val="auto"/>
                <w:kern w:val="0"/>
                <w:sz w:val="21"/>
                <w:szCs w:val="21"/>
                <w:highlight w:val="none"/>
                <w:lang w:val="en-US" w:eastAsia="zh-CN"/>
              </w:rPr>
              <w:t>包含但不仅限于</w:t>
            </w:r>
            <w:r>
              <w:rPr>
                <w:rFonts w:hint="eastAsia" w:ascii="微软雅黑" w:hAnsi="微软雅黑" w:eastAsia="微软雅黑" w:cs="微软雅黑"/>
                <w:color w:val="auto"/>
                <w:kern w:val="0"/>
                <w:sz w:val="21"/>
                <w:szCs w:val="21"/>
                <w:highlight w:val="none"/>
              </w:rPr>
              <w:t>提供相应的</w:t>
            </w:r>
            <w:r>
              <w:rPr>
                <w:rFonts w:hint="eastAsia" w:ascii="微软雅黑" w:hAnsi="微软雅黑" w:eastAsia="微软雅黑" w:cs="微软雅黑"/>
                <w:color w:val="auto"/>
                <w:kern w:val="0"/>
                <w:sz w:val="21"/>
                <w:szCs w:val="21"/>
                <w:highlight w:val="none"/>
                <w:lang w:val="en-US" w:eastAsia="zh-CN"/>
              </w:rPr>
              <w:t>数据库信息、设备信息、数据信息</w:t>
            </w:r>
            <w:r>
              <w:rPr>
                <w:rFonts w:hint="eastAsia" w:ascii="微软雅黑" w:hAnsi="微软雅黑" w:eastAsia="微软雅黑" w:cs="微软雅黑"/>
                <w:color w:val="auto"/>
                <w:kern w:val="0"/>
                <w:sz w:val="21"/>
                <w:szCs w:val="21"/>
                <w:highlight w:val="none"/>
              </w:rPr>
              <w:t>等相关</w:t>
            </w:r>
            <w:r>
              <w:rPr>
                <w:rFonts w:hint="eastAsia" w:ascii="微软雅黑" w:hAnsi="微软雅黑" w:eastAsia="微软雅黑" w:cs="微软雅黑"/>
                <w:color w:val="auto"/>
                <w:kern w:val="0"/>
                <w:sz w:val="21"/>
                <w:szCs w:val="21"/>
                <w:highlight w:val="none"/>
                <w:lang w:val="en-US" w:eastAsia="zh-CN"/>
              </w:rPr>
              <w:t>内容</w:t>
            </w:r>
            <w:r>
              <w:rPr>
                <w:rFonts w:hint="eastAsia" w:ascii="微软雅黑" w:hAnsi="微软雅黑" w:eastAsia="微软雅黑" w:cs="微软雅黑"/>
                <w:color w:val="auto"/>
                <w:kern w:val="0"/>
                <w:sz w:val="21"/>
                <w:szCs w:val="21"/>
                <w:highlight w:val="none"/>
              </w:rPr>
              <w:t>。</w:t>
            </w:r>
          </w:p>
        </w:tc>
      </w:tr>
      <w:tr w14:paraId="395BA6DE">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0A07EA7B">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3F8C3EBF">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2、服务商需</w:t>
            </w:r>
            <w:r>
              <w:rPr>
                <w:rFonts w:hint="eastAsia" w:ascii="微软雅黑" w:hAnsi="微软雅黑" w:eastAsia="微软雅黑" w:cs="微软雅黑"/>
                <w:color w:val="auto"/>
                <w:kern w:val="0"/>
                <w:sz w:val="21"/>
                <w:szCs w:val="21"/>
                <w:highlight w:val="none"/>
                <w:lang w:val="en-US" w:eastAsia="zh-CN"/>
              </w:rPr>
              <w:t>按照医保局、</w:t>
            </w:r>
            <w:r>
              <w:rPr>
                <w:rFonts w:hint="eastAsia" w:ascii="微软雅黑" w:hAnsi="微软雅黑" w:eastAsia="微软雅黑" w:cs="微软雅黑"/>
                <w:color w:val="auto"/>
                <w:kern w:val="0"/>
                <w:sz w:val="21"/>
                <w:szCs w:val="21"/>
                <w:highlight w:val="none"/>
              </w:rPr>
              <w:t>审计局</w:t>
            </w:r>
            <w:r>
              <w:rPr>
                <w:rFonts w:hint="eastAsia" w:ascii="微软雅黑" w:hAnsi="微软雅黑" w:eastAsia="微软雅黑" w:cs="微软雅黑"/>
                <w:color w:val="auto"/>
                <w:kern w:val="0"/>
                <w:sz w:val="21"/>
                <w:szCs w:val="21"/>
                <w:highlight w:val="none"/>
                <w:lang w:val="en-US" w:eastAsia="zh-CN"/>
              </w:rPr>
              <w:t>要求</w:t>
            </w:r>
            <w:r>
              <w:rPr>
                <w:rFonts w:hint="eastAsia" w:ascii="微软雅黑" w:hAnsi="微软雅黑" w:eastAsia="微软雅黑" w:cs="微软雅黑"/>
                <w:color w:val="auto"/>
                <w:kern w:val="0"/>
                <w:sz w:val="21"/>
                <w:szCs w:val="21"/>
                <w:highlight w:val="none"/>
              </w:rPr>
              <w:t>把医保</w:t>
            </w:r>
            <w:r>
              <w:rPr>
                <w:rFonts w:hint="eastAsia" w:ascii="微软雅黑" w:hAnsi="微软雅黑" w:eastAsia="微软雅黑" w:cs="微软雅黑"/>
                <w:color w:val="auto"/>
                <w:kern w:val="0"/>
                <w:sz w:val="21"/>
                <w:szCs w:val="21"/>
                <w:highlight w:val="none"/>
                <w:lang w:eastAsia="zh-CN"/>
              </w:rPr>
              <w:t>相关</w:t>
            </w:r>
            <w:r>
              <w:rPr>
                <w:rFonts w:hint="eastAsia" w:ascii="微软雅黑" w:hAnsi="微软雅黑" w:eastAsia="微软雅黑" w:cs="微软雅黑"/>
                <w:color w:val="auto"/>
                <w:kern w:val="0"/>
                <w:sz w:val="21"/>
                <w:szCs w:val="21"/>
                <w:highlight w:val="none"/>
                <w:lang w:val="en-US" w:eastAsia="zh-CN"/>
              </w:rPr>
              <w:t>审计</w:t>
            </w:r>
            <w:r>
              <w:rPr>
                <w:rFonts w:hint="eastAsia" w:ascii="微软雅黑" w:hAnsi="微软雅黑" w:eastAsia="微软雅黑" w:cs="微软雅黑"/>
                <w:color w:val="auto"/>
                <w:kern w:val="0"/>
                <w:sz w:val="21"/>
                <w:szCs w:val="21"/>
                <w:highlight w:val="none"/>
              </w:rPr>
              <w:t>数据完整有效的导入审计系统</w:t>
            </w:r>
            <w:r>
              <w:rPr>
                <w:rFonts w:hint="eastAsia" w:ascii="微软雅黑" w:hAnsi="微软雅黑" w:eastAsia="微软雅黑" w:cs="微软雅黑"/>
                <w:color w:val="auto"/>
                <w:kern w:val="0"/>
                <w:sz w:val="21"/>
                <w:szCs w:val="21"/>
                <w:highlight w:val="none"/>
                <w:lang w:eastAsia="zh-CN"/>
              </w:rPr>
              <w:t>，</w:t>
            </w:r>
            <w:r>
              <w:rPr>
                <w:rFonts w:hint="eastAsia" w:ascii="微软雅黑" w:hAnsi="微软雅黑" w:eastAsia="微软雅黑" w:cs="微软雅黑"/>
                <w:color w:val="auto"/>
                <w:kern w:val="0"/>
                <w:sz w:val="21"/>
                <w:szCs w:val="21"/>
                <w:highlight w:val="none"/>
              </w:rPr>
              <w:t>以便医保审计工作稳步进行。</w:t>
            </w:r>
          </w:p>
        </w:tc>
      </w:tr>
      <w:tr w14:paraId="203E2E69">
        <w:tblPrEx>
          <w:tblCellMar>
            <w:top w:w="0" w:type="dxa"/>
            <w:left w:w="108" w:type="dxa"/>
            <w:bottom w:w="0" w:type="dxa"/>
            <w:right w:w="108" w:type="dxa"/>
          </w:tblCellMar>
        </w:tblPrEx>
        <w:trPr>
          <w:trHeight w:val="20"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4AEBD28E">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cs="微软雅黑"/>
                <w:color w:val="auto"/>
                <w:kern w:val="0"/>
                <w:sz w:val="21"/>
                <w:szCs w:val="21"/>
                <w:highlight w:val="none"/>
                <w:lang w:val="en-US" w:eastAsia="zh-CN"/>
              </w:rPr>
              <w:t>11</w:t>
            </w: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b/>
                <w:bCs/>
                <w:color w:val="auto"/>
                <w:kern w:val="0"/>
                <w:sz w:val="21"/>
                <w:szCs w:val="21"/>
                <w:highlight w:val="none"/>
              </w:rPr>
              <w:t>核心设备备品备件及应急处理服务等技术要求</w:t>
            </w:r>
          </w:p>
        </w:tc>
        <w:tc>
          <w:tcPr>
            <w:tcW w:w="7366" w:type="dxa"/>
            <w:tcBorders>
              <w:top w:val="nil"/>
              <w:left w:val="nil"/>
              <w:bottom w:val="single" w:color="auto" w:sz="4" w:space="0"/>
              <w:right w:val="single" w:color="auto" w:sz="4" w:space="0"/>
            </w:tcBorders>
            <w:noWrap w:val="0"/>
            <w:vAlign w:val="top"/>
          </w:tcPr>
          <w:p w14:paraId="2824FB0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1、服务商提供硬件设备运维及系统日常维护服务。其中运维服务包含本次项目清单中相关设备运维服务及机房内其余相关设备及系统的服务。</w:t>
            </w:r>
          </w:p>
        </w:tc>
      </w:tr>
      <w:tr w14:paraId="05CF8DED">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16EB67AE">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52FC9538">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信息系统无故障运行率达到99.9%以上；服务提供商应拥有专业运行维护团队；提供7*24小时响应，现场响应时间为2小时以内；服务提供商应每月定期上门维护巡检，对系统的运行做出全面的评估；服务提供商应有完善的文档管理制度，保证运行维护过程中产生的文档受控，形成书面文档定期交付给用户；服务提供商应提供现场或其它方式的培训服务。</w:t>
            </w:r>
          </w:p>
        </w:tc>
      </w:tr>
      <w:tr w14:paraId="4D27DD8D">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2D83E5D0">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1493E883">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3、服务商需针对清单内列出的所有设备提供硬件保修服务，其备品备件以及运输人工等费用全部包含于本次运维服务费中</w:t>
            </w:r>
            <w:r>
              <w:rPr>
                <w:rFonts w:hint="eastAsia" w:ascii="微软雅黑" w:hAnsi="微软雅黑" w:eastAsia="微软雅黑" w:cs="微软雅黑"/>
                <w:color w:val="auto"/>
                <w:kern w:val="0"/>
                <w:sz w:val="21"/>
                <w:szCs w:val="21"/>
                <w:highlight w:val="none"/>
                <w:lang w:eastAsia="zh-CN"/>
              </w:rPr>
              <w:t>。</w:t>
            </w:r>
          </w:p>
        </w:tc>
      </w:tr>
      <w:tr w14:paraId="4B537F26">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5389A654">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289E025">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rPr>
              <w:t>4、由于医保业务为民生业务，其实时性、重要性要求服务商需在用户指定的运营商机房提供关键整机设备，在用户出现突发事件时，可以提供应急服务，要求整机备机包括：企业级高性能存储不少于一台，其IO性能，及数据容量等关键指标不低于生产端主存储，企业级四路服务器不少于一台，CPU核数不低于32核；内存不低于128GB，部门级服务器不少于4台，CPU核数不低于16核；内存不低于128GB</w:t>
            </w:r>
            <w:r>
              <w:rPr>
                <w:rFonts w:hint="eastAsia" w:ascii="微软雅黑" w:hAnsi="微软雅黑" w:eastAsia="微软雅黑" w:cs="微软雅黑"/>
                <w:color w:val="auto"/>
                <w:kern w:val="0"/>
                <w:sz w:val="21"/>
                <w:szCs w:val="21"/>
                <w:highlight w:val="none"/>
                <w:lang w:eastAsia="zh-CN"/>
              </w:rPr>
              <w:t>。</w:t>
            </w:r>
          </w:p>
        </w:tc>
      </w:tr>
      <w:tr w14:paraId="6EC66278">
        <w:tblPrEx>
          <w:tblCellMar>
            <w:top w:w="0" w:type="dxa"/>
            <w:left w:w="108" w:type="dxa"/>
            <w:bottom w:w="0" w:type="dxa"/>
            <w:right w:w="108" w:type="dxa"/>
          </w:tblCellMar>
        </w:tblPrEx>
        <w:trPr>
          <w:trHeight w:val="20"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56BC185E">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Cs/>
                <w:color w:val="auto"/>
                <w:kern w:val="0"/>
                <w:sz w:val="21"/>
                <w:szCs w:val="21"/>
                <w:highlight w:val="none"/>
                <w:lang w:val="en-US" w:eastAsia="zh-CN"/>
              </w:rPr>
              <w:t>1</w:t>
            </w:r>
            <w:r>
              <w:rPr>
                <w:rFonts w:hint="eastAsia" w:ascii="微软雅黑" w:hAnsi="微软雅黑" w:cs="微软雅黑"/>
                <w:bCs/>
                <w:color w:val="auto"/>
                <w:kern w:val="0"/>
                <w:sz w:val="21"/>
                <w:szCs w:val="21"/>
                <w:highlight w:val="none"/>
                <w:lang w:val="en-US" w:eastAsia="zh-CN"/>
              </w:rPr>
              <w:t>2</w:t>
            </w:r>
            <w:r>
              <w:rPr>
                <w:rFonts w:hint="eastAsia" w:ascii="微软雅黑" w:hAnsi="微软雅黑" w:eastAsia="微软雅黑" w:cs="微软雅黑"/>
                <w:b/>
                <w:bCs/>
                <w:color w:val="auto"/>
                <w:kern w:val="0"/>
                <w:sz w:val="21"/>
                <w:szCs w:val="21"/>
                <w:highlight w:val="none"/>
              </w:rPr>
              <w:t>、配合等级测评保护工作技术服务要求</w:t>
            </w:r>
          </w:p>
        </w:tc>
        <w:tc>
          <w:tcPr>
            <w:tcW w:w="7366" w:type="dxa"/>
            <w:tcBorders>
              <w:top w:val="nil"/>
              <w:left w:val="nil"/>
              <w:bottom w:val="single" w:color="auto" w:sz="4" w:space="0"/>
              <w:right w:val="single" w:color="auto" w:sz="4" w:space="0"/>
            </w:tcBorders>
            <w:noWrap w:val="0"/>
            <w:vAlign w:val="top"/>
          </w:tcPr>
          <w:p w14:paraId="16A2FA6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1、服务商协助业务单位制定相关的管理制度。</w:t>
            </w:r>
          </w:p>
        </w:tc>
      </w:tr>
      <w:tr w14:paraId="12799F2D">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66CEFC5E">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5CFD44C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2、服务商协助等保公司进行信息安全</w:t>
            </w:r>
            <w:r>
              <w:rPr>
                <w:rFonts w:hint="eastAsia" w:ascii="微软雅黑" w:hAnsi="微软雅黑" w:eastAsia="微软雅黑" w:cs="微软雅黑"/>
                <w:color w:val="auto"/>
                <w:kern w:val="0"/>
                <w:sz w:val="21"/>
                <w:szCs w:val="21"/>
                <w:highlight w:val="none"/>
                <w:lang w:val="en-US" w:eastAsia="zh-CN"/>
              </w:rPr>
              <w:t>等</w:t>
            </w:r>
            <w:r>
              <w:rPr>
                <w:rFonts w:hint="eastAsia" w:ascii="微软雅黑" w:hAnsi="微软雅黑" w:eastAsia="微软雅黑" w:cs="微软雅黑"/>
                <w:color w:val="auto"/>
                <w:kern w:val="0"/>
                <w:sz w:val="21"/>
                <w:szCs w:val="21"/>
                <w:highlight w:val="none"/>
              </w:rPr>
              <w:t>级保护测评包括扫描渗透工作。</w:t>
            </w:r>
          </w:p>
        </w:tc>
      </w:tr>
      <w:tr w14:paraId="44E489AD">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40561833">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52C37DE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3、根据等保公司测评反馈问题协助业主单位做整改及系列工作。</w:t>
            </w:r>
          </w:p>
        </w:tc>
      </w:tr>
      <w:tr w14:paraId="29CE88EA">
        <w:tblPrEx>
          <w:tblCellMar>
            <w:top w:w="0" w:type="dxa"/>
            <w:left w:w="108" w:type="dxa"/>
            <w:bottom w:w="0" w:type="dxa"/>
            <w:right w:w="108" w:type="dxa"/>
          </w:tblCellMar>
        </w:tblPrEx>
        <w:trPr>
          <w:trHeight w:val="20"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4C24EFC6">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Cs/>
                <w:color w:val="auto"/>
                <w:kern w:val="0"/>
                <w:sz w:val="21"/>
                <w:szCs w:val="21"/>
                <w:highlight w:val="none"/>
                <w:lang w:val="en-US" w:eastAsia="zh-CN"/>
              </w:rPr>
              <w:t>1</w:t>
            </w:r>
            <w:r>
              <w:rPr>
                <w:rFonts w:hint="eastAsia" w:ascii="微软雅黑" w:hAnsi="微软雅黑" w:cs="微软雅黑"/>
                <w:bCs/>
                <w:color w:val="auto"/>
                <w:kern w:val="0"/>
                <w:sz w:val="21"/>
                <w:szCs w:val="21"/>
                <w:highlight w:val="none"/>
                <w:lang w:val="en-US" w:eastAsia="zh-CN"/>
              </w:rPr>
              <w:t>3</w:t>
            </w:r>
            <w:r>
              <w:rPr>
                <w:rFonts w:hint="eastAsia" w:ascii="微软雅黑" w:hAnsi="微软雅黑" w:eastAsia="微软雅黑" w:cs="微软雅黑"/>
                <w:b/>
                <w:bCs/>
                <w:color w:val="auto"/>
                <w:kern w:val="0"/>
                <w:sz w:val="21"/>
                <w:szCs w:val="21"/>
                <w:highlight w:val="none"/>
              </w:rPr>
              <w:t>、系统测试环境搭建及部署要求</w:t>
            </w:r>
          </w:p>
        </w:tc>
        <w:tc>
          <w:tcPr>
            <w:tcW w:w="7366" w:type="dxa"/>
            <w:tcBorders>
              <w:top w:val="nil"/>
              <w:left w:val="nil"/>
              <w:bottom w:val="single" w:color="auto" w:sz="4" w:space="0"/>
              <w:right w:val="single" w:color="auto" w:sz="4" w:space="0"/>
            </w:tcBorders>
            <w:noWrap w:val="0"/>
            <w:vAlign w:val="top"/>
          </w:tcPr>
          <w:p w14:paraId="7D036FA0">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rPr>
              <w:t>1、服务商需</w:t>
            </w:r>
            <w:r>
              <w:rPr>
                <w:rFonts w:hint="eastAsia" w:ascii="微软雅黑" w:hAnsi="微软雅黑" w:eastAsia="微软雅黑" w:cs="微软雅黑"/>
                <w:color w:val="auto"/>
                <w:kern w:val="0"/>
                <w:sz w:val="21"/>
                <w:szCs w:val="21"/>
                <w:highlight w:val="none"/>
                <w:lang w:val="en-US" w:eastAsia="zh-CN"/>
              </w:rPr>
              <w:t>根据业务要求搭建相应的测试环境。</w:t>
            </w:r>
          </w:p>
        </w:tc>
      </w:tr>
      <w:tr w14:paraId="11CB2161">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79B16473">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583DC9B3">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2、服务商根据业务系统</w:t>
            </w:r>
            <w:r>
              <w:rPr>
                <w:rFonts w:hint="eastAsia" w:ascii="微软雅黑" w:hAnsi="微软雅黑" w:eastAsia="微软雅黑" w:cs="微软雅黑"/>
                <w:color w:val="auto"/>
                <w:kern w:val="0"/>
                <w:sz w:val="21"/>
                <w:szCs w:val="21"/>
                <w:highlight w:val="none"/>
                <w:lang w:val="en-US" w:eastAsia="zh-CN"/>
              </w:rPr>
              <w:t>部署服务器</w:t>
            </w:r>
            <w:r>
              <w:rPr>
                <w:rFonts w:hint="eastAsia" w:ascii="微软雅黑" w:hAnsi="微软雅黑" w:eastAsia="微软雅黑" w:cs="微软雅黑"/>
                <w:color w:val="auto"/>
                <w:kern w:val="0"/>
                <w:sz w:val="21"/>
                <w:szCs w:val="21"/>
                <w:highlight w:val="none"/>
              </w:rPr>
              <w:t>，安装操作系统，安装数据库，安装中间件等软件。</w:t>
            </w:r>
          </w:p>
        </w:tc>
      </w:tr>
      <w:tr w14:paraId="7F185C1F">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6CE6FE85">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BB4CEFA">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3、根据业务系统部署要求需满足CPU、内存、硬盘的要求划分虚拟机，安装相应版本数据库并优化参数。</w:t>
            </w:r>
          </w:p>
        </w:tc>
      </w:tr>
      <w:tr w14:paraId="4BB1974C">
        <w:tblPrEx>
          <w:tblCellMar>
            <w:top w:w="0" w:type="dxa"/>
            <w:left w:w="108" w:type="dxa"/>
            <w:bottom w:w="0" w:type="dxa"/>
            <w:right w:w="108" w:type="dxa"/>
          </w:tblCellMar>
        </w:tblPrEx>
        <w:trPr>
          <w:trHeight w:val="20"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5B8D04A5">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Cs/>
                <w:color w:val="auto"/>
                <w:kern w:val="0"/>
                <w:sz w:val="21"/>
                <w:szCs w:val="21"/>
                <w:highlight w:val="none"/>
              </w:rPr>
              <w:t>1</w:t>
            </w:r>
            <w:r>
              <w:rPr>
                <w:rFonts w:hint="eastAsia" w:ascii="微软雅黑" w:hAnsi="微软雅黑" w:cs="微软雅黑"/>
                <w:bCs/>
                <w:color w:val="auto"/>
                <w:kern w:val="0"/>
                <w:sz w:val="21"/>
                <w:szCs w:val="21"/>
                <w:highlight w:val="none"/>
                <w:lang w:val="en-US" w:eastAsia="zh-CN"/>
              </w:rPr>
              <w:t>4</w:t>
            </w:r>
            <w:r>
              <w:rPr>
                <w:rFonts w:hint="eastAsia" w:ascii="微软雅黑" w:hAnsi="微软雅黑" w:eastAsia="微软雅黑" w:cs="微软雅黑"/>
                <w:b/>
                <w:bCs/>
                <w:color w:val="auto"/>
                <w:kern w:val="0"/>
                <w:sz w:val="21"/>
                <w:szCs w:val="21"/>
                <w:highlight w:val="none"/>
              </w:rPr>
              <w:t>、建立维护服务技术档案</w:t>
            </w:r>
          </w:p>
        </w:tc>
        <w:tc>
          <w:tcPr>
            <w:tcW w:w="7366" w:type="dxa"/>
            <w:tcBorders>
              <w:top w:val="nil"/>
              <w:left w:val="nil"/>
              <w:bottom w:val="single" w:color="auto" w:sz="4" w:space="0"/>
              <w:right w:val="single" w:color="auto" w:sz="4" w:space="0"/>
            </w:tcBorders>
            <w:noWrap w:val="0"/>
            <w:vAlign w:val="top"/>
          </w:tcPr>
          <w:p w14:paraId="17DC59DE">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1、对医保信息化运行环境，根据每次预防性维护和针对性检查报告、故障维修及重要技术报告建立技术档案，详细记录故障时间、故障类型、维护方法、维护质量、预防措施及维护时间和维护人员等信息。</w:t>
            </w:r>
          </w:p>
        </w:tc>
      </w:tr>
      <w:tr w14:paraId="3C60CC21">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26D66280">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b/>
                <w:bCs/>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4156843D">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2、维护期结束时将项目的全部有关技术文件、资料及巡检、验收报告等文档汇集成册交付用户。</w:t>
            </w:r>
          </w:p>
        </w:tc>
      </w:tr>
      <w:tr w14:paraId="6635A15A">
        <w:tblPrEx>
          <w:tblCellMar>
            <w:top w:w="0" w:type="dxa"/>
            <w:left w:w="108" w:type="dxa"/>
            <w:bottom w:w="0" w:type="dxa"/>
            <w:right w:w="108" w:type="dxa"/>
          </w:tblCellMar>
        </w:tblPrEx>
        <w:trPr>
          <w:trHeight w:val="20" w:hRule="atLeast"/>
          <w:jc w:val="center"/>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453270F2">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baseline"/>
              <w:rPr>
                <w:rFonts w:hint="default" w:ascii="微软雅黑" w:hAnsi="微软雅黑" w:eastAsia="微软雅黑" w:cs="微软雅黑"/>
                <w:b/>
                <w:bCs/>
                <w:color w:val="auto"/>
                <w:kern w:val="0"/>
                <w:sz w:val="21"/>
                <w:szCs w:val="21"/>
                <w:highlight w:val="none"/>
                <w:lang w:val="en-US"/>
              </w:rPr>
            </w:pPr>
            <w:r>
              <w:rPr>
                <w:rFonts w:hint="eastAsia" w:ascii="微软雅黑" w:hAnsi="微软雅黑" w:eastAsia="微软雅黑" w:cs="微软雅黑"/>
                <w:b/>
                <w:bCs/>
                <w:color w:val="auto"/>
                <w:kern w:val="0"/>
                <w:sz w:val="21"/>
                <w:szCs w:val="21"/>
                <w:highlight w:val="none"/>
              </w:rPr>
              <w:t>1</w:t>
            </w:r>
            <w:r>
              <w:rPr>
                <w:rFonts w:hint="eastAsia" w:ascii="微软雅黑" w:hAnsi="微软雅黑" w:eastAsia="微软雅黑" w:cs="微软雅黑"/>
                <w:b/>
                <w:bCs/>
                <w:color w:val="auto"/>
                <w:kern w:val="0"/>
                <w:sz w:val="21"/>
                <w:szCs w:val="21"/>
                <w:highlight w:val="none"/>
                <w:lang w:val="en-US" w:eastAsia="zh-CN"/>
              </w:rPr>
              <w:t>5</w:t>
            </w:r>
            <w:r>
              <w:rPr>
                <w:rFonts w:hint="eastAsia" w:ascii="微软雅黑" w:hAnsi="微软雅黑" w:eastAsia="微软雅黑" w:cs="微软雅黑"/>
                <w:b/>
                <w:bCs/>
                <w:color w:val="auto"/>
                <w:kern w:val="0"/>
                <w:sz w:val="21"/>
                <w:szCs w:val="21"/>
                <w:highlight w:val="none"/>
              </w:rPr>
              <w:t>、▲现场驻场人员</w:t>
            </w:r>
            <w:r>
              <w:rPr>
                <w:rFonts w:hint="eastAsia" w:ascii="微软雅黑" w:hAnsi="微软雅黑" w:eastAsia="微软雅黑" w:cs="微软雅黑"/>
                <w:b/>
                <w:bCs/>
                <w:color w:val="auto"/>
                <w:kern w:val="0"/>
                <w:sz w:val="21"/>
                <w:szCs w:val="21"/>
                <w:highlight w:val="none"/>
                <w:lang w:val="en-US" w:eastAsia="zh-CN"/>
              </w:rPr>
              <w:t>要求，投标供应商须在投标文件提供满足全部需求的承诺书，任何不满足均导致投标无效。（承诺书格式自拟）</w:t>
            </w:r>
          </w:p>
        </w:tc>
        <w:tc>
          <w:tcPr>
            <w:tcW w:w="7366" w:type="dxa"/>
            <w:tcBorders>
              <w:top w:val="nil"/>
              <w:left w:val="nil"/>
              <w:bottom w:val="single" w:color="auto" w:sz="4" w:space="0"/>
              <w:right w:val="single" w:color="auto" w:sz="4" w:space="0"/>
            </w:tcBorders>
            <w:noWrap w:val="0"/>
            <w:vAlign w:val="top"/>
          </w:tcPr>
          <w:p w14:paraId="1C112053">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1、由服务商提供专业技术人员驻场服务，</w:t>
            </w:r>
            <w:r>
              <w:rPr>
                <w:rFonts w:hint="eastAsia" w:ascii="微软雅黑" w:hAnsi="微软雅黑" w:eastAsia="微软雅黑" w:cs="微软雅黑"/>
                <w:b/>
                <w:bCs/>
                <w:color w:val="auto"/>
                <w:kern w:val="0"/>
                <w:sz w:val="21"/>
                <w:szCs w:val="21"/>
                <w:highlight w:val="none"/>
              </w:rPr>
              <w:t>驻场硬件设施运维服务人员1人，网络安全运维服务人员1人</w:t>
            </w:r>
            <w:r>
              <w:rPr>
                <w:rFonts w:hint="eastAsia" w:ascii="微软雅黑" w:hAnsi="微软雅黑" w:eastAsia="微软雅黑" w:cs="微软雅黑"/>
                <w:color w:val="auto"/>
                <w:kern w:val="0"/>
                <w:sz w:val="21"/>
                <w:szCs w:val="21"/>
                <w:highlight w:val="none"/>
              </w:rPr>
              <w:t>，远程支持24小时在线人员1人。</w:t>
            </w:r>
          </w:p>
        </w:tc>
      </w:tr>
      <w:tr w14:paraId="51593FA1">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363A04C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7ED68297">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2、驻场人员需具备一定数据交换以及数据库运维服务能力；至少一名驻场人员需熟悉东方通TongIntegrator Adapter、TongLINK/Q]V等产品的操作使用。</w:t>
            </w:r>
          </w:p>
        </w:tc>
      </w:tr>
      <w:tr w14:paraId="38D8D30F">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26A68458">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0BFFE363">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3、驻场人员需熟悉Java、J2EE、Struts2.0、Spring、ibatis等开发技术；能熟练使用ExtJs进行开发，熟悉javascript、jquery等用法，熟悉html、css。熟悉eclipse集成开发环境、熟练使用SVN或CVS。</w:t>
            </w:r>
          </w:p>
        </w:tc>
      </w:tr>
      <w:tr w14:paraId="4EAB7E5D">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4C0CA54C">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27DB4F53">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4、网络安全技术人员需熟悉VLAN划分、流量负载均衡路由协议配置技能；防火墙网络配置技能、网络安全、网络数据存储备份技术、网络系统备份及恢复技术、网络故障及测试处理技术、网络性能优化等技术。</w:t>
            </w:r>
          </w:p>
        </w:tc>
      </w:tr>
      <w:tr w14:paraId="709BF1F6">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7C5A3B61">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354FD0D6">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5、网络安全技术人员需熟练使用办公软件,如EXCEL/WORD/PPT/VISIO等工具软件;</w:t>
            </w:r>
          </w:p>
          <w:p w14:paraId="589EB802">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熟悉Cisco、华为、天融信、H3C等主流厂商的网络和安全产品的技术及产品架构;</w:t>
            </w:r>
          </w:p>
          <w:p w14:paraId="710CDB46">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熟练掌握操作系统(Windows、Linux)、数据库(Oracle、MySQL</w:t>
            </w:r>
            <w:r>
              <w:rPr>
                <w:rFonts w:hint="eastAsia" w:ascii="微软雅黑" w:hAnsi="微软雅黑" w:cs="微软雅黑"/>
                <w:color w:val="auto"/>
                <w:kern w:val="0"/>
                <w:sz w:val="21"/>
                <w:szCs w:val="21"/>
                <w:highlight w:val="none"/>
                <w:lang w:eastAsia="zh-CN"/>
              </w:rPr>
              <w:t>、</w:t>
            </w:r>
            <w:r>
              <w:rPr>
                <w:rFonts w:hint="eastAsia" w:ascii="微软雅黑" w:hAnsi="微软雅黑" w:cs="微软雅黑"/>
                <w:color w:val="auto"/>
                <w:kern w:val="0"/>
                <w:sz w:val="21"/>
                <w:szCs w:val="21"/>
                <w:highlight w:val="none"/>
                <w:lang w:val="en-US" w:eastAsia="zh-CN"/>
              </w:rPr>
              <w:t>达梦</w:t>
            </w:r>
            <w:r>
              <w:rPr>
                <w:rFonts w:hint="eastAsia" w:ascii="微软雅黑" w:hAnsi="微软雅黑" w:eastAsia="微软雅黑" w:cs="微软雅黑"/>
                <w:color w:val="auto"/>
                <w:kern w:val="0"/>
                <w:sz w:val="21"/>
                <w:szCs w:val="21"/>
                <w:highlight w:val="none"/>
              </w:rPr>
              <w:t>等)、中间件等的使用和维护。</w:t>
            </w:r>
          </w:p>
        </w:tc>
      </w:tr>
      <w:tr w14:paraId="2ECE1D03">
        <w:tblPrEx>
          <w:tblCellMar>
            <w:top w:w="0" w:type="dxa"/>
            <w:left w:w="108" w:type="dxa"/>
            <w:bottom w:w="0" w:type="dxa"/>
            <w:right w:w="108" w:type="dxa"/>
          </w:tblCellMar>
        </w:tblPrEx>
        <w:trPr>
          <w:trHeight w:val="20" w:hRule="atLeast"/>
          <w:jc w:val="center"/>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09CB248D">
            <w:pPr>
              <w:keepNext w:val="0"/>
              <w:keepLines w:val="0"/>
              <w:pageBreakBefore w:val="0"/>
              <w:widowControl/>
              <w:kinsoku/>
              <w:wordWrap/>
              <w:overflowPunct/>
              <w:topLinePunct w:val="0"/>
              <w:autoSpaceDE/>
              <w:autoSpaceDN/>
              <w:bidi w:val="0"/>
              <w:adjustRightInd/>
              <w:snapToGrid/>
              <w:spacing w:line="340" w:lineRule="exact"/>
              <w:ind w:left="0" w:firstLine="0" w:firstLineChars="0"/>
              <w:jc w:val="left"/>
              <w:textAlignment w:val="baseline"/>
              <w:rPr>
                <w:rFonts w:hint="eastAsia" w:ascii="微软雅黑" w:hAnsi="微软雅黑" w:eastAsia="微软雅黑" w:cs="微软雅黑"/>
                <w:color w:val="auto"/>
                <w:kern w:val="0"/>
                <w:sz w:val="21"/>
                <w:szCs w:val="21"/>
                <w:highlight w:val="none"/>
              </w:rPr>
            </w:pPr>
          </w:p>
        </w:tc>
        <w:tc>
          <w:tcPr>
            <w:tcW w:w="7366" w:type="dxa"/>
            <w:tcBorders>
              <w:top w:val="nil"/>
              <w:left w:val="nil"/>
              <w:bottom w:val="single" w:color="auto" w:sz="4" w:space="0"/>
              <w:right w:val="single" w:color="auto" w:sz="4" w:space="0"/>
            </w:tcBorders>
            <w:noWrap w:val="0"/>
            <w:vAlign w:val="top"/>
          </w:tcPr>
          <w:p w14:paraId="17B530F8">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6、驻场期间，驻场人员必须按照我局规范制度安排工作内容，服从信息部门统一安排领导，保障业务系统的稳定运行。</w:t>
            </w:r>
          </w:p>
        </w:tc>
      </w:tr>
    </w:tbl>
    <w:p w14:paraId="34D743A9">
      <w:pPr>
        <w:pStyle w:val="18"/>
        <w:rPr>
          <w:rFonts w:hint="eastAsia"/>
          <w:color w:val="auto"/>
          <w:highlight w:val="none"/>
        </w:rPr>
      </w:pPr>
    </w:p>
    <w:p w14:paraId="7F7AAB57">
      <w:pPr>
        <w:widowControl/>
        <w:numPr>
          <w:ilvl w:val="0"/>
          <w:numId w:val="5"/>
        </w:numPr>
        <w:snapToGrid w:val="0"/>
        <w:spacing w:line="360" w:lineRule="auto"/>
        <w:ind w:left="0" w:leftChars="0" w:firstLine="420" w:firstLineChars="0"/>
        <w:jc w:val="left"/>
        <w:textAlignment w:val="baseline"/>
        <w:outlineLvl w:val="1"/>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kern w:val="0"/>
          <w:sz w:val="21"/>
          <w:szCs w:val="21"/>
          <w:highlight w:val="none"/>
        </w:rPr>
        <w:t>商务要求：</w:t>
      </w:r>
    </w:p>
    <w:p w14:paraId="29712EDB">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运维期限</w:t>
      </w:r>
    </w:p>
    <w:p w14:paraId="4E8572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200"/>
        <w:textAlignment w:val="auto"/>
        <w:outlineLvl w:val="1"/>
        <w:rPr>
          <w:rFonts w:hint="default" w:ascii="微软雅黑" w:hAnsi="微软雅黑" w:cs="微软雅黑"/>
          <w:sz w:val="21"/>
          <w:szCs w:val="21"/>
          <w:highlight w:val="none"/>
          <w:lang w:val="en-US" w:eastAsia="zh-CN" w:bidi="ar"/>
        </w:rPr>
      </w:pPr>
      <w:r>
        <w:rPr>
          <w:rFonts w:hint="eastAsia" w:ascii="微软雅黑" w:hAnsi="微软雅黑" w:cs="微软雅黑"/>
          <w:sz w:val="21"/>
          <w:szCs w:val="21"/>
          <w:highlight w:val="none"/>
          <w:lang w:eastAsia="zh-CN" w:bidi="ar"/>
        </w:rPr>
        <w:t>自合同签订生效之日起一年，按浙财采监〔2021〕2号《浙江省财政厅关于进一步规范政府购买服务采购管理的通知》的有关规定续签合同</w:t>
      </w:r>
      <w:r>
        <w:rPr>
          <w:rFonts w:hint="eastAsia" w:ascii="微软雅黑" w:hAnsi="微软雅黑" w:cs="微软雅黑"/>
          <w:sz w:val="21"/>
          <w:szCs w:val="21"/>
          <w:highlight w:val="none"/>
          <w:lang w:val="en-US" w:eastAsia="zh-CN" w:bidi="ar"/>
        </w:rPr>
        <w:t>。</w:t>
      </w:r>
    </w:p>
    <w:p w14:paraId="42FE359F">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本次机房运维服务含服务器设备运维、环境网络设备运维、系统软件数据库维护、远程支持、信息化网络安全咨询等维护服务，包括设备维修，更换备件、附件等。</w:t>
      </w:r>
    </w:p>
    <w:p w14:paraId="1CC42C05">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服务期限内组织定期巡检，频率不少于每1个月</w:t>
      </w:r>
      <w:r>
        <w:rPr>
          <w:rFonts w:hint="eastAsia" w:ascii="微软雅黑" w:hAnsi="微软雅黑" w:eastAsia="微软雅黑" w:cs="微软雅黑"/>
          <w:kern w:val="0"/>
          <w:sz w:val="21"/>
          <w:szCs w:val="21"/>
          <w:highlight w:val="none"/>
          <w:lang w:val="en-US" w:eastAsia="zh-CN"/>
        </w:rPr>
        <w:t>三</w:t>
      </w:r>
      <w:r>
        <w:rPr>
          <w:rFonts w:hint="eastAsia" w:ascii="微软雅黑" w:hAnsi="微软雅黑" w:eastAsia="微软雅黑" w:cs="微软雅黑"/>
          <w:kern w:val="0"/>
          <w:sz w:val="21"/>
          <w:szCs w:val="21"/>
          <w:highlight w:val="none"/>
        </w:rPr>
        <w:t>次。巡检结束后，形成详细的巡检报告，交业主单位确认存档。</w:t>
      </w:r>
    </w:p>
    <w:p w14:paraId="06BD80FA">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维护地点：嘉兴市医疗保障局机房</w:t>
      </w: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color w:val="auto"/>
          <w:kern w:val="0"/>
          <w:sz w:val="21"/>
          <w:szCs w:val="21"/>
          <w:highlight w:val="none"/>
          <w:lang w:val="en-US" w:eastAsia="zh-CN"/>
        </w:rPr>
        <w:t>移动</w:t>
      </w:r>
      <w:r>
        <w:rPr>
          <w:rFonts w:hint="eastAsia" w:ascii="微软雅黑" w:hAnsi="微软雅黑" w:eastAsia="微软雅黑" w:cs="微软雅黑"/>
          <w:color w:val="auto"/>
          <w:kern w:val="0"/>
          <w:sz w:val="21"/>
          <w:szCs w:val="21"/>
          <w:highlight w:val="none"/>
        </w:rPr>
        <w:t>IDC机房</w:t>
      </w:r>
      <w:r>
        <w:rPr>
          <w:rFonts w:hint="eastAsia" w:ascii="微软雅黑" w:hAnsi="微软雅黑" w:eastAsia="微软雅黑" w:cs="微软雅黑"/>
          <w:kern w:val="0"/>
          <w:sz w:val="21"/>
          <w:szCs w:val="21"/>
          <w:highlight w:val="none"/>
        </w:rPr>
        <w:t>。</w:t>
      </w:r>
    </w:p>
    <w:p w14:paraId="2DAC1649">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付款方式</w:t>
      </w:r>
    </w:p>
    <w:p w14:paraId="215E5D0A">
      <w:pPr>
        <w:numPr>
          <w:ilvl w:val="0"/>
          <w:numId w:val="9"/>
        </w:numPr>
        <w:ind w:firstLineChars="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预付款政策告知</w:t>
      </w:r>
    </w:p>
    <w:p w14:paraId="1673C5A9">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政府采购预付款应在合同生效以及具备实施条件后7个工作日内支付。政府采购工程以及与工程建设有关的货物、服务，采用招标方式采购的，预付款从其相关规定。</w:t>
      </w:r>
    </w:p>
    <w:p w14:paraId="47F9BA44">
      <w:pPr>
        <w:numPr>
          <w:ilvl w:val="0"/>
          <w:numId w:val="9"/>
        </w:numPr>
        <w:ind w:firstLineChars="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项目进度款</w:t>
      </w:r>
    </w:p>
    <w:p w14:paraId="4D8A9C8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210" w:firstLineChars="100"/>
        <w:jc w:val="left"/>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自合同签订之日起</w:t>
      </w:r>
      <w:r>
        <w:rPr>
          <w:rFonts w:hint="eastAsia" w:ascii="微软雅黑" w:hAnsi="微软雅黑" w:eastAsia="微软雅黑" w:cs="微软雅黑"/>
          <w:kern w:val="0"/>
          <w:sz w:val="21"/>
          <w:szCs w:val="21"/>
          <w:highlight w:val="none"/>
          <w:lang w:eastAsia="zh-CN"/>
        </w:rPr>
        <w:t>上下半年分两期支付</w:t>
      </w:r>
      <w:r>
        <w:rPr>
          <w:rFonts w:hint="eastAsia" w:ascii="微软雅黑" w:hAnsi="微软雅黑" w:eastAsia="微软雅黑" w:cs="微软雅黑"/>
          <w:kern w:val="0"/>
          <w:sz w:val="21"/>
          <w:szCs w:val="21"/>
          <w:highlight w:val="none"/>
        </w:rPr>
        <w:t>全部合同款；</w:t>
      </w:r>
    </w:p>
    <w:p w14:paraId="5F25007B">
      <w:pPr>
        <w:adjustRightInd w:val="0"/>
        <w:snapToGrid w:val="0"/>
        <w:spacing w:line="500" w:lineRule="exact"/>
        <w:ind w:firstLine="420"/>
        <w:rPr>
          <w:rFonts w:hint="eastAsia" w:ascii="微软雅黑" w:hAnsi="微软雅黑" w:eastAsia="微软雅黑" w:cs="微软雅黑"/>
          <w:color w:val="auto"/>
          <w:kern w:val="0"/>
          <w:sz w:val="21"/>
          <w:szCs w:val="21"/>
          <w:highlight w:val="none"/>
        </w:rPr>
      </w:pPr>
    </w:p>
    <w:p w14:paraId="74A7B62D">
      <w:pPr>
        <w:pStyle w:val="2"/>
        <w:numPr>
          <w:ilvl w:val="0"/>
          <w:numId w:val="4"/>
        </w:numPr>
        <w:rPr>
          <w:rStyle w:val="65"/>
          <w:rFonts w:hint="eastAsia" w:ascii="微软雅黑" w:hAnsi="微软雅黑" w:eastAsia="微软雅黑" w:cs="微软雅黑"/>
          <w:b/>
          <w:bCs/>
          <w:color w:val="auto"/>
          <w:sz w:val="21"/>
          <w:szCs w:val="21"/>
          <w:highlight w:val="none"/>
        </w:rPr>
        <w:sectPr>
          <w:footerReference r:id="rId15" w:type="default"/>
          <w:pgSz w:w="11906" w:h="16838"/>
          <w:pgMar w:top="1474" w:right="1797" w:bottom="1247" w:left="1797" w:header="851" w:footer="851" w:gutter="0"/>
          <w:cols w:space="720" w:num="1"/>
          <w:docGrid w:linePitch="312" w:charSpace="0"/>
        </w:sectPr>
      </w:pPr>
      <w:bookmarkStart w:id="31" w:name="_Toc19683"/>
      <w:bookmarkStart w:id="32" w:name="_Toc191238333"/>
      <w:bookmarkStart w:id="33" w:name="_Toc8809"/>
      <w:bookmarkStart w:id="34" w:name="_Toc493511542"/>
    </w:p>
    <w:p w14:paraId="73C558F6">
      <w:pPr>
        <w:pStyle w:val="2"/>
        <w:numPr>
          <w:ilvl w:val="0"/>
          <w:numId w:val="4"/>
        </w:numPr>
        <w:rPr>
          <w:rStyle w:val="65"/>
          <w:rFonts w:hint="eastAsia" w:ascii="微软雅黑" w:hAnsi="微软雅黑" w:eastAsia="微软雅黑" w:cs="微软雅黑"/>
          <w:b/>
          <w:bCs/>
          <w:color w:val="auto"/>
          <w:sz w:val="21"/>
          <w:szCs w:val="21"/>
          <w:highlight w:val="none"/>
        </w:rPr>
      </w:pPr>
      <w:r>
        <w:rPr>
          <w:rStyle w:val="65"/>
          <w:rFonts w:hint="eastAsia" w:ascii="微软雅黑" w:hAnsi="微软雅黑" w:eastAsia="微软雅黑" w:cs="微软雅黑"/>
          <w:b/>
          <w:bCs/>
          <w:color w:val="auto"/>
          <w:sz w:val="21"/>
          <w:szCs w:val="21"/>
          <w:highlight w:val="none"/>
        </w:rPr>
        <w:t>供应商须知</w:t>
      </w:r>
      <w:bookmarkEnd w:id="22"/>
      <w:bookmarkEnd w:id="31"/>
      <w:bookmarkEnd w:id="32"/>
      <w:bookmarkEnd w:id="33"/>
      <w:bookmarkEnd w:id="34"/>
    </w:p>
    <w:p w14:paraId="25990925">
      <w:pPr>
        <w:pStyle w:val="3"/>
        <w:ind w:firstLine="420"/>
        <w:rPr>
          <w:rFonts w:hint="eastAsia" w:ascii="微软雅黑" w:hAnsi="微软雅黑" w:eastAsia="微软雅黑" w:cs="微软雅黑"/>
          <w:color w:val="auto"/>
          <w:sz w:val="21"/>
          <w:szCs w:val="21"/>
          <w:highlight w:val="none"/>
        </w:rPr>
      </w:pPr>
      <w:bookmarkStart w:id="35" w:name="_Toc23883"/>
      <w:bookmarkStart w:id="36" w:name="_Toc177870535"/>
      <w:bookmarkStart w:id="37" w:name="_Toc493511543"/>
      <w:r>
        <w:rPr>
          <w:rFonts w:hint="eastAsia" w:ascii="微软雅黑" w:hAnsi="微软雅黑" w:eastAsia="微软雅黑" w:cs="微软雅黑"/>
          <w:color w:val="auto"/>
          <w:sz w:val="21"/>
          <w:szCs w:val="21"/>
          <w:highlight w:val="none"/>
        </w:rPr>
        <w:t>电子交易注意事项</w:t>
      </w:r>
      <w:bookmarkEnd w:id="35"/>
    </w:p>
    <w:p w14:paraId="4C35EA65">
      <w:pPr>
        <w:ind w:firstLine="420"/>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政府采购项目电子交易活动适用《浙江省政府采购项目电子交易管理暂行办法》，现将相关注意事项告知如下：</w:t>
      </w:r>
    </w:p>
    <w:p w14:paraId="0D89FCBA">
      <w:pPr>
        <w:ind w:firstLine="210" w:firstLineChars="1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1.代理机构按照磋商文件规定的时间通过电子交易平台组织开标、开启响应文件，所有供应商均应当准时在线参加，直至评审结束。</w:t>
      </w:r>
    </w:p>
    <w:p w14:paraId="66C2008F">
      <w:pPr>
        <w:pStyle w:val="47"/>
        <w:spacing w:beforeAutospacing="0" w:after="120" w:afterAutospacing="0"/>
        <w:ind w:firstLine="210" w:firstLineChars="10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2. 响应文件未按时解密，供应商如提供备份响应文件的，以符合要求的备份响应文件作为依据，否则视为响应文件撤回。响应文件已按时解密的，备份响应文件自动失效。</w:t>
      </w:r>
    </w:p>
    <w:p w14:paraId="0DAD3B9C">
      <w:pPr>
        <w:pStyle w:val="47"/>
        <w:spacing w:beforeAutospacing="0" w:after="120" w:afterAutospacing="0"/>
        <w:ind w:firstLine="210" w:firstLineChars="10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3. 采购过程中出现以下情形，导致电子交易平台无法正常运行，或者无法保证电子交易的公平、公正和安全时，代理机构可中止电子交易活动：</w:t>
      </w:r>
    </w:p>
    <w:p w14:paraId="637BE83B">
      <w:pPr>
        <w:pStyle w:val="47"/>
        <w:spacing w:beforeAutospacing="0" w:after="120" w:afterAutospacing="0"/>
        <w:ind w:firstLine="42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（一）电子交易平台发生故障而无法登录访问的。</w:t>
      </w:r>
    </w:p>
    <w:p w14:paraId="142356C4">
      <w:pPr>
        <w:pStyle w:val="47"/>
        <w:spacing w:beforeAutospacing="0" w:after="120" w:afterAutospacing="0"/>
        <w:ind w:firstLine="42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（二）电子交易平台应用或数据库出现错误，不能进行正常操作的。</w:t>
      </w:r>
    </w:p>
    <w:p w14:paraId="4E24B248">
      <w:pPr>
        <w:pStyle w:val="47"/>
        <w:spacing w:beforeAutospacing="0" w:after="120" w:afterAutospacing="0"/>
        <w:ind w:firstLine="42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（三）电子交易平台发现严重安全漏洞，有潜在泄密危险的。</w:t>
      </w:r>
    </w:p>
    <w:p w14:paraId="7F184184">
      <w:pPr>
        <w:pStyle w:val="47"/>
        <w:spacing w:beforeAutospacing="0" w:after="120" w:afterAutospacing="0"/>
        <w:ind w:firstLine="42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（四）病毒发作导致不能进行正常操作的。 </w:t>
      </w:r>
    </w:p>
    <w:p w14:paraId="29743854">
      <w:pPr>
        <w:pStyle w:val="47"/>
        <w:spacing w:beforeAutospacing="0" w:after="120" w:afterAutospacing="0"/>
        <w:ind w:firstLine="42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（五）其他无法保证电子交易的公平、公正和安全的情况。</w:t>
      </w:r>
    </w:p>
    <w:p w14:paraId="5B080EA2">
      <w:pPr>
        <w:pStyle w:val="47"/>
        <w:spacing w:beforeAutospacing="0" w:after="120" w:afterAutospacing="0"/>
        <w:ind w:firstLine="420"/>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28E66003">
      <w:pPr>
        <w:pStyle w:val="47"/>
        <w:numPr>
          <w:ilvl w:val="0"/>
          <w:numId w:val="10"/>
        </w:numPr>
        <w:spacing w:beforeAutospacing="0" w:after="120" w:afterAutospacing="0"/>
        <w:ind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5F5CF623">
      <w:pPr>
        <w:ind w:left="238" w:firstLine="420"/>
        <w:jc w:val="center"/>
        <w:rPr>
          <w:rFonts w:hint="eastAsia" w:ascii="微软雅黑" w:hAnsi="微软雅黑" w:eastAsia="微软雅黑" w:cs="微软雅黑"/>
          <w:b/>
          <w:color w:val="auto"/>
          <w:sz w:val="21"/>
          <w:szCs w:val="21"/>
          <w:highlight w:val="none"/>
        </w:rPr>
        <w:sectPr>
          <w:pgSz w:w="11906" w:h="16838"/>
          <w:pgMar w:top="1474" w:right="1797" w:bottom="1247" w:left="1797" w:header="851" w:footer="851" w:gutter="0"/>
          <w:cols w:space="720" w:num="1"/>
          <w:docGrid w:linePitch="312" w:charSpace="0"/>
        </w:sectPr>
      </w:pPr>
    </w:p>
    <w:bookmarkEnd w:id="36"/>
    <w:bookmarkEnd w:id="37"/>
    <w:tbl>
      <w:tblPr>
        <w:tblStyle w:val="52"/>
        <w:tblW w:w="8648"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555"/>
        <w:gridCol w:w="5464"/>
      </w:tblGrid>
      <w:tr w14:paraId="49CA6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7FA6FB53">
            <w:pPr>
              <w:snapToGrid w:val="0"/>
              <w:ind w:firstLine="0" w:firstLineChars="0"/>
              <w:jc w:val="center"/>
              <w:rPr>
                <w:rFonts w:hint="eastAsia" w:ascii="微软雅黑" w:hAnsi="微软雅黑" w:eastAsia="微软雅黑" w:cs="微软雅黑"/>
                <w:b/>
                <w:color w:val="auto"/>
                <w:sz w:val="21"/>
                <w:szCs w:val="21"/>
                <w:highlight w:val="none"/>
              </w:rPr>
            </w:pPr>
          </w:p>
        </w:tc>
        <w:tc>
          <w:tcPr>
            <w:tcW w:w="2555" w:type="dxa"/>
            <w:tcBorders>
              <w:tl2br w:val="nil"/>
              <w:tr2bl w:val="nil"/>
            </w:tcBorders>
            <w:vAlign w:val="center"/>
          </w:tcPr>
          <w:p w14:paraId="110E7325">
            <w:pPr>
              <w:snapToGrid w:val="0"/>
              <w:ind w:firstLine="0" w:firstLineChars="0"/>
              <w:jc w:val="center"/>
              <w:rPr>
                <w:rFonts w:hint="eastAsia" w:ascii="微软雅黑" w:hAnsi="微软雅黑" w:eastAsia="微软雅黑" w:cs="微软雅黑"/>
                <w:b/>
                <w:color w:val="auto"/>
                <w:sz w:val="21"/>
                <w:szCs w:val="21"/>
                <w:highlight w:val="none"/>
              </w:rPr>
            </w:pPr>
          </w:p>
        </w:tc>
        <w:tc>
          <w:tcPr>
            <w:tcW w:w="5464" w:type="dxa"/>
            <w:tcBorders>
              <w:tl2br w:val="nil"/>
              <w:tr2bl w:val="nil"/>
            </w:tcBorders>
            <w:vAlign w:val="center"/>
          </w:tcPr>
          <w:p w14:paraId="4C002744">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前附表</w:t>
            </w:r>
          </w:p>
        </w:tc>
      </w:tr>
      <w:tr w14:paraId="69419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6F6E841F">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2555" w:type="dxa"/>
            <w:tcBorders>
              <w:tl2br w:val="nil"/>
              <w:tr2bl w:val="nil"/>
            </w:tcBorders>
            <w:vAlign w:val="center"/>
          </w:tcPr>
          <w:p w14:paraId="2D64481C">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事项</w:t>
            </w:r>
          </w:p>
        </w:tc>
        <w:tc>
          <w:tcPr>
            <w:tcW w:w="5464" w:type="dxa"/>
            <w:tcBorders>
              <w:tl2br w:val="nil"/>
              <w:tr2bl w:val="nil"/>
            </w:tcBorders>
            <w:vAlign w:val="center"/>
          </w:tcPr>
          <w:p w14:paraId="04F2599A">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本项目的特别规定</w:t>
            </w:r>
          </w:p>
        </w:tc>
      </w:tr>
      <w:tr w14:paraId="48167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DA5A7AF">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w:t>
            </w:r>
          </w:p>
        </w:tc>
        <w:tc>
          <w:tcPr>
            <w:tcW w:w="2555" w:type="dxa"/>
            <w:tcBorders>
              <w:tl2br w:val="nil"/>
              <w:tr2bl w:val="nil"/>
            </w:tcBorders>
            <w:vAlign w:val="center"/>
          </w:tcPr>
          <w:p w14:paraId="5EE13C16">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项目名称</w:t>
            </w:r>
          </w:p>
        </w:tc>
        <w:tc>
          <w:tcPr>
            <w:tcW w:w="5464" w:type="dxa"/>
            <w:tcBorders>
              <w:tl2br w:val="nil"/>
              <w:tr2bl w:val="nil"/>
            </w:tcBorders>
            <w:vAlign w:val="center"/>
          </w:tcPr>
          <w:p w14:paraId="1EC5BA6C">
            <w:pPr>
              <w:snapToGrid w:val="0"/>
              <w:ind w:firstLine="0" w:firstLineChars="0"/>
              <w:jc w:val="left"/>
              <w:rPr>
                <w:rFonts w:hint="eastAsia" w:ascii="微软雅黑" w:hAnsi="微软雅黑" w:eastAsia="微软雅黑" w:cs="微软雅黑"/>
                <w:b/>
                <w:color w:val="auto"/>
                <w:sz w:val="21"/>
                <w:szCs w:val="21"/>
                <w:highlight w:val="none"/>
                <w:lang w:eastAsia="zh-CN"/>
              </w:rPr>
            </w:pPr>
            <w:r>
              <w:rPr>
                <w:rFonts w:hint="eastAsia" w:ascii="微软雅黑" w:hAnsi="微软雅黑" w:cs="微软雅黑"/>
                <w:color w:val="auto"/>
                <w:sz w:val="21"/>
                <w:szCs w:val="21"/>
                <w:highlight w:val="none"/>
                <w:lang w:eastAsia="zh-CN"/>
              </w:rPr>
              <w:t>嘉兴市医疗保障局2025年度医保信息设施硬件及网络安全运维服务项目（第二次）</w:t>
            </w:r>
          </w:p>
        </w:tc>
      </w:tr>
      <w:tr w14:paraId="04D2B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372E1A7A">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w:t>
            </w:r>
          </w:p>
        </w:tc>
        <w:tc>
          <w:tcPr>
            <w:tcW w:w="2555" w:type="dxa"/>
            <w:tcBorders>
              <w:tl2br w:val="nil"/>
              <w:tr2bl w:val="nil"/>
            </w:tcBorders>
            <w:vAlign w:val="center"/>
          </w:tcPr>
          <w:p w14:paraId="0BB7F2D4">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采购内容</w:t>
            </w:r>
          </w:p>
        </w:tc>
        <w:tc>
          <w:tcPr>
            <w:tcW w:w="5464" w:type="dxa"/>
            <w:tcBorders>
              <w:tl2br w:val="nil"/>
              <w:tr2bl w:val="nil"/>
            </w:tcBorders>
            <w:vAlign w:val="center"/>
          </w:tcPr>
          <w:p w14:paraId="29507D15">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详见第二章</w:t>
            </w:r>
          </w:p>
        </w:tc>
      </w:tr>
      <w:tr w14:paraId="26B81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13" w:hRule="atLeast"/>
          <w:tblHeader/>
        </w:trPr>
        <w:tc>
          <w:tcPr>
            <w:tcW w:w="629" w:type="dxa"/>
            <w:tcBorders>
              <w:tl2br w:val="nil"/>
              <w:tr2bl w:val="nil"/>
            </w:tcBorders>
            <w:vAlign w:val="center"/>
          </w:tcPr>
          <w:p w14:paraId="6FD37E76">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3</w:t>
            </w:r>
          </w:p>
        </w:tc>
        <w:tc>
          <w:tcPr>
            <w:tcW w:w="2555" w:type="dxa"/>
            <w:tcBorders>
              <w:tl2br w:val="nil"/>
              <w:tr2bl w:val="nil"/>
            </w:tcBorders>
            <w:vAlign w:val="center"/>
          </w:tcPr>
          <w:p w14:paraId="47A028CB">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报价要求</w:t>
            </w:r>
          </w:p>
        </w:tc>
        <w:tc>
          <w:tcPr>
            <w:tcW w:w="5464" w:type="dxa"/>
            <w:tcBorders>
              <w:tl2br w:val="nil"/>
              <w:tr2bl w:val="nil"/>
            </w:tcBorders>
            <w:vAlign w:val="center"/>
          </w:tcPr>
          <w:p w14:paraId="549A46B8">
            <w:pPr>
              <w:ind w:firstLine="0" w:firstLineChars="0"/>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有关本项目实施所需的所有费用（含税费）均计入报价。开标一览表（报价表）是报价的唯一载体。响应文件中价格全部采用人民币报价。磋商文件未列明，而投标供应商认为必需的费用也需列入报价。</w:t>
            </w:r>
          </w:p>
          <w:p w14:paraId="0158DD14">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kern w:val="0"/>
                <w:sz w:val="21"/>
                <w:szCs w:val="21"/>
                <w:highlight w:val="none"/>
                <w:lang w:val="zh-CN"/>
              </w:rPr>
              <w:t>提醒：考核</w:t>
            </w:r>
            <w:r>
              <w:rPr>
                <w:rFonts w:hint="eastAsia" w:ascii="微软雅黑" w:hAnsi="微软雅黑" w:eastAsia="微软雅黑" w:cs="微软雅黑"/>
                <w:b/>
                <w:color w:val="auto"/>
                <w:kern w:val="0"/>
                <w:sz w:val="21"/>
                <w:szCs w:val="21"/>
                <w:highlight w:val="none"/>
              </w:rPr>
              <w:t>所产生的合理费</w:t>
            </w:r>
            <w:r>
              <w:rPr>
                <w:rFonts w:hint="eastAsia" w:ascii="微软雅黑" w:hAnsi="微软雅黑" w:eastAsia="微软雅黑" w:cs="微软雅黑"/>
                <w:b/>
                <w:color w:val="auto"/>
                <w:kern w:val="0"/>
                <w:sz w:val="21"/>
                <w:szCs w:val="21"/>
                <w:highlight w:val="none"/>
                <w:lang w:val="zh-CN"/>
              </w:rPr>
              <w:t>用由采购人承担，不包含在投标总价中，</w:t>
            </w:r>
            <w:r>
              <w:rPr>
                <w:rFonts w:hint="eastAsia" w:ascii="微软雅黑" w:hAnsi="微软雅黑" w:eastAsia="微软雅黑" w:cs="微软雅黑"/>
                <w:b/>
                <w:color w:val="auto"/>
                <w:kern w:val="0"/>
                <w:sz w:val="21"/>
                <w:szCs w:val="21"/>
                <w:highlight w:val="none"/>
              </w:rPr>
              <w:t>若由供应商原因造成的考核不合格所产生的费用，由供应商承担</w:t>
            </w:r>
            <w:r>
              <w:rPr>
                <w:rFonts w:hint="eastAsia" w:ascii="微软雅黑" w:hAnsi="微软雅黑" w:eastAsia="微软雅黑" w:cs="微软雅黑"/>
                <w:b/>
                <w:color w:val="auto"/>
                <w:kern w:val="0"/>
                <w:sz w:val="21"/>
                <w:szCs w:val="21"/>
                <w:highlight w:val="none"/>
                <w:lang w:val="zh-CN"/>
              </w:rPr>
              <w:t>。</w:t>
            </w:r>
          </w:p>
        </w:tc>
      </w:tr>
      <w:tr w14:paraId="51AEB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6" w:hRule="atLeast"/>
          <w:tblHeader/>
        </w:trPr>
        <w:tc>
          <w:tcPr>
            <w:tcW w:w="629" w:type="dxa"/>
            <w:tcBorders>
              <w:tl2br w:val="nil"/>
              <w:tr2bl w:val="nil"/>
            </w:tcBorders>
            <w:vAlign w:val="center"/>
          </w:tcPr>
          <w:p w14:paraId="24BA81E5">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4</w:t>
            </w:r>
          </w:p>
        </w:tc>
        <w:tc>
          <w:tcPr>
            <w:tcW w:w="2555" w:type="dxa"/>
            <w:tcBorders>
              <w:tl2br w:val="nil"/>
              <w:tr2bl w:val="nil"/>
            </w:tcBorders>
            <w:vAlign w:val="center"/>
          </w:tcPr>
          <w:p w14:paraId="149F8BD7">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中小企业预留份额情况</w:t>
            </w:r>
          </w:p>
        </w:tc>
        <w:tc>
          <w:tcPr>
            <w:tcW w:w="5464" w:type="dxa"/>
            <w:tcBorders>
              <w:tl2br w:val="nil"/>
              <w:tr2bl w:val="nil"/>
            </w:tcBorders>
            <w:vAlign w:val="center"/>
          </w:tcPr>
          <w:p w14:paraId="607FCE35">
            <w:pPr>
              <w:ind w:firstLine="0" w:firstLineChars="0"/>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根据《政府采购促进中小企业发展管理办法》财库〔2020〕46号文件的规定，本项目</w:t>
            </w:r>
            <w:r>
              <w:rPr>
                <w:rFonts w:hint="eastAsia" w:ascii="微软雅黑" w:hAnsi="微软雅黑" w:eastAsia="微软雅黑" w:cs="微软雅黑"/>
                <w:color w:val="auto"/>
                <w:sz w:val="21"/>
                <w:szCs w:val="21"/>
                <w:highlight w:val="none"/>
                <w:u w:val="single"/>
                <w:lang w:val="zh-CN"/>
              </w:rPr>
              <w:t>属于</w:t>
            </w:r>
            <w:r>
              <w:rPr>
                <w:rFonts w:hint="eastAsia" w:ascii="微软雅黑" w:hAnsi="微软雅黑" w:eastAsia="微软雅黑" w:cs="微软雅黑"/>
                <w:color w:val="auto"/>
                <w:sz w:val="21"/>
                <w:szCs w:val="21"/>
                <w:highlight w:val="none"/>
                <w:lang w:val="zh-CN"/>
              </w:rPr>
              <w:t>预留份额专门面向中小企业采购的项目。</w:t>
            </w:r>
          </w:p>
        </w:tc>
      </w:tr>
      <w:tr w14:paraId="420F9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11" w:hRule="atLeast"/>
          <w:tblHeader/>
        </w:trPr>
        <w:tc>
          <w:tcPr>
            <w:tcW w:w="629" w:type="dxa"/>
            <w:tcBorders>
              <w:tl2br w:val="nil"/>
              <w:tr2bl w:val="nil"/>
            </w:tcBorders>
            <w:vAlign w:val="center"/>
          </w:tcPr>
          <w:p w14:paraId="33482988">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5</w:t>
            </w:r>
          </w:p>
        </w:tc>
        <w:tc>
          <w:tcPr>
            <w:tcW w:w="2555" w:type="dxa"/>
            <w:tcBorders>
              <w:tl2br w:val="nil"/>
              <w:tr2bl w:val="nil"/>
            </w:tcBorders>
            <w:vAlign w:val="center"/>
          </w:tcPr>
          <w:p w14:paraId="38770EAA">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分包</w:t>
            </w:r>
          </w:p>
        </w:tc>
        <w:tc>
          <w:tcPr>
            <w:tcW w:w="5464" w:type="dxa"/>
            <w:tcBorders>
              <w:tl2br w:val="nil"/>
              <w:tr2bl w:val="nil"/>
            </w:tcBorders>
            <w:vAlign w:val="center"/>
          </w:tcPr>
          <w:p w14:paraId="0CCB2915">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A8"/>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lang w:val="zh-CN"/>
              </w:rPr>
              <w:t>A同意将非主体、非关键性的</w:t>
            </w:r>
            <w:r>
              <w:rPr>
                <w:rFonts w:hint="eastAsia" w:ascii="微软雅黑" w:hAnsi="微软雅黑" w:eastAsia="微软雅黑" w:cs="微软雅黑"/>
                <w:color w:val="auto"/>
                <w:sz w:val="21"/>
                <w:szCs w:val="21"/>
                <w:highlight w:val="none"/>
                <w:u w:val="single"/>
                <w:lang w:val="zh-CN"/>
              </w:rPr>
              <w:t xml:space="preserve">             </w:t>
            </w:r>
            <w:r>
              <w:rPr>
                <w:rFonts w:hint="eastAsia" w:ascii="微软雅黑" w:hAnsi="微软雅黑" w:eastAsia="微软雅黑" w:cs="微软雅黑"/>
                <w:color w:val="auto"/>
                <w:sz w:val="21"/>
                <w:szCs w:val="21"/>
                <w:highlight w:val="none"/>
                <w:lang w:val="zh-CN"/>
              </w:rPr>
              <w:t>工作分包。</w:t>
            </w:r>
            <w:r>
              <w:rPr>
                <w:rFonts w:hint="eastAsia" w:ascii="微软雅黑" w:hAnsi="微软雅黑" w:eastAsia="微软雅黑" w:cs="微软雅黑"/>
                <w:color w:val="auto"/>
                <w:kern w:val="0"/>
                <w:sz w:val="21"/>
                <w:szCs w:val="21"/>
                <w:highlight w:val="none"/>
              </w:rPr>
              <w:sym w:font="Wingdings" w:char="00FE"/>
            </w:r>
            <w:r>
              <w:rPr>
                <w:rFonts w:hint="eastAsia" w:ascii="微软雅黑" w:hAnsi="微软雅黑" w:eastAsia="微软雅黑" w:cs="微软雅黑"/>
                <w:color w:val="auto"/>
                <w:kern w:val="0"/>
                <w:sz w:val="21"/>
                <w:szCs w:val="21"/>
                <w:highlight w:val="none"/>
              </w:rPr>
              <w:t xml:space="preserve"> </w:t>
            </w:r>
            <w:r>
              <w:rPr>
                <w:rFonts w:hint="eastAsia" w:ascii="微软雅黑" w:hAnsi="微软雅黑" w:eastAsia="微软雅黑" w:cs="微软雅黑"/>
                <w:color w:val="auto"/>
                <w:sz w:val="21"/>
                <w:szCs w:val="21"/>
                <w:highlight w:val="none"/>
                <w:lang w:val="zh-CN"/>
              </w:rPr>
              <w:t>B不同意分包。</w:t>
            </w:r>
          </w:p>
        </w:tc>
      </w:tr>
      <w:tr w14:paraId="1B41A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72AE973B">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6</w:t>
            </w:r>
          </w:p>
        </w:tc>
        <w:tc>
          <w:tcPr>
            <w:tcW w:w="2555" w:type="dxa"/>
            <w:tcBorders>
              <w:tl2br w:val="nil"/>
              <w:tr2bl w:val="nil"/>
            </w:tcBorders>
            <w:vAlign w:val="center"/>
          </w:tcPr>
          <w:p w14:paraId="41A7CED6">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开标前答疑会或现场踏勘</w:t>
            </w:r>
          </w:p>
        </w:tc>
        <w:tc>
          <w:tcPr>
            <w:tcW w:w="5464" w:type="dxa"/>
            <w:tcBorders>
              <w:tl2br w:val="nil"/>
              <w:tr2bl w:val="nil"/>
            </w:tcBorders>
            <w:vAlign w:val="center"/>
          </w:tcPr>
          <w:p w14:paraId="5243407C">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FE"/>
            </w:r>
            <w:r>
              <w:rPr>
                <w:rFonts w:hint="eastAsia" w:ascii="微软雅黑" w:hAnsi="微软雅黑" w:eastAsia="微软雅黑" w:cs="微软雅黑"/>
                <w:color w:val="auto"/>
                <w:sz w:val="21"/>
                <w:szCs w:val="21"/>
                <w:highlight w:val="none"/>
                <w:lang w:val="zh-CN"/>
              </w:rPr>
              <w:t>A不组织。</w:t>
            </w:r>
          </w:p>
          <w:p w14:paraId="307B4B97">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A8"/>
            </w:r>
            <w:r>
              <w:rPr>
                <w:rFonts w:hint="eastAsia" w:ascii="微软雅黑" w:hAnsi="微软雅黑" w:eastAsia="微软雅黑" w:cs="微软雅黑"/>
                <w:color w:val="auto"/>
                <w:sz w:val="21"/>
                <w:szCs w:val="21"/>
                <w:highlight w:val="none"/>
                <w:lang w:val="zh-CN"/>
              </w:rPr>
              <w:t>B组织，时间：</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zh-CN"/>
              </w:rPr>
              <w:t>地点：</w:t>
            </w:r>
            <w:r>
              <w:rPr>
                <w:rFonts w:hint="eastAsia" w:ascii="微软雅黑" w:hAnsi="微软雅黑" w:eastAsia="微软雅黑" w:cs="微软雅黑"/>
                <w:color w:val="auto"/>
                <w:sz w:val="21"/>
                <w:szCs w:val="21"/>
                <w:highlight w:val="none"/>
                <w:u w:val="single"/>
              </w:rPr>
              <w:t>嘉兴市**区**路**号**室</w:t>
            </w:r>
            <w:r>
              <w:rPr>
                <w:rFonts w:hint="eastAsia" w:ascii="微软雅黑" w:hAnsi="微软雅黑" w:eastAsia="微软雅黑" w:cs="微软雅黑"/>
                <w:color w:val="auto"/>
                <w:sz w:val="21"/>
                <w:szCs w:val="21"/>
                <w:highlight w:val="none"/>
                <w:lang w:val="zh-CN"/>
              </w:rPr>
              <w:t>，联系人：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zh-CN"/>
              </w:rPr>
              <w:t>联系方式：</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7CEB785C">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本项目须进行现场踏勘（磋商文件中不能详细表述的不可预见费用、招标需求等，投标供应商需通过现场踏勘后考虑在最终报价内，否则后果由中标供应商自负）；</w:t>
            </w:r>
          </w:p>
        </w:tc>
      </w:tr>
      <w:tr w14:paraId="6C2BF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0B7C1EEE">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7</w:t>
            </w:r>
          </w:p>
        </w:tc>
        <w:tc>
          <w:tcPr>
            <w:tcW w:w="2555" w:type="dxa"/>
            <w:tcBorders>
              <w:tl2br w:val="nil"/>
              <w:tr2bl w:val="nil"/>
            </w:tcBorders>
            <w:vAlign w:val="center"/>
          </w:tcPr>
          <w:p w14:paraId="6502D391">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响应文件</w:t>
            </w:r>
            <w:r>
              <w:rPr>
                <w:rFonts w:hint="eastAsia" w:ascii="微软雅黑" w:hAnsi="微软雅黑" w:eastAsia="微软雅黑" w:cs="微软雅黑"/>
                <w:b/>
                <w:color w:val="auto"/>
                <w:sz w:val="21"/>
                <w:szCs w:val="21"/>
                <w:highlight w:val="none"/>
                <w:lang w:val="zh-CN"/>
              </w:rPr>
              <w:t>组成</w:t>
            </w:r>
          </w:p>
        </w:tc>
        <w:tc>
          <w:tcPr>
            <w:tcW w:w="5464" w:type="dxa"/>
            <w:tcBorders>
              <w:tl2br w:val="nil"/>
              <w:tr2bl w:val="nil"/>
            </w:tcBorders>
            <w:vAlign w:val="center"/>
          </w:tcPr>
          <w:p w14:paraId="2425D9D9">
            <w:pPr>
              <w:snapToGrid w:val="0"/>
              <w:ind w:firstLine="0" w:firstLineChars="0"/>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电子</w:t>
            </w:r>
            <w:r>
              <w:rPr>
                <w:rFonts w:hint="eastAsia" w:ascii="微软雅黑" w:hAnsi="微软雅黑" w:eastAsia="微软雅黑" w:cs="微软雅黑"/>
                <w:color w:val="auto"/>
                <w:sz w:val="21"/>
                <w:szCs w:val="21"/>
                <w:highlight w:val="none"/>
              </w:rPr>
              <w:t>响应文件</w:t>
            </w:r>
            <w:r>
              <w:rPr>
                <w:rFonts w:hint="eastAsia" w:ascii="微软雅黑" w:hAnsi="微软雅黑" w:eastAsia="微软雅黑" w:cs="微软雅黑"/>
                <w:color w:val="auto"/>
                <w:sz w:val="21"/>
                <w:szCs w:val="21"/>
                <w:highlight w:val="none"/>
                <w:lang w:val="zh-CN"/>
              </w:rPr>
              <w:t>和备份</w:t>
            </w:r>
            <w:r>
              <w:rPr>
                <w:rFonts w:hint="eastAsia" w:ascii="微软雅黑" w:hAnsi="微软雅黑" w:eastAsia="微软雅黑" w:cs="微软雅黑"/>
                <w:color w:val="auto"/>
                <w:sz w:val="21"/>
                <w:szCs w:val="21"/>
                <w:highlight w:val="none"/>
              </w:rPr>
              <w:t>响应文件</w:t>
            </w:r>
            <w:r>
              <w:rPr>
                <w:rFonts w:hint="eastAsia" w:ascii="微软雅黑" w:hAnsi="微软雅黑" w:eastAsia="微软雅黑" w:cs="微软雅黑"/>
                <w:color w:val="auto"/>
                <w:sz w:val="21"/>
                <w:szCs w:val="21"/>
                <w:highlight w:val="none"/>
                <w:lang w:val="zh-CN"/>
              </w:rPr>
              <w:t>均由</w:t>
            </w:r>
            <w:r>
              <w:rPr>
                <w:rFonts w:hint="eastAsia" w:ascii="微软雅黑" w:hAnsi="微软雅黑" w:eastAsia="微软雅黑" w:cs="微软雅黑"/>
                <w:color w:val="auto"/>
                <w:sz w:val="21"/>
                <w:szCs w:val="21"/>
                <w:highlight w:val="none"/>
              </w:rPr>
              <w:t>资格</w:t>
            </w:r>
            <w:r>
              <w:rPr>
                <w:rFonts w:hint="eastAsia" w:ascii="微软雅黑" w:hAnsi="微软雅黑" w:eastAsia="微软雅黑" w:cs="微软雅黑"/>
                <w:color w:val="auto"/>
                <w:sz w:val="21"/>
                <w:szCs w:val="21"/>
                <w:highlight w:val="none"/>
                <w:lang w:val="zh-CN"/>
              </w:rPr>
              <w:t>文件、</w:t>
            </w:r>
            <w:r>
              <w:rPr>
                <w:rFonts w:hint="eastAsia" w:ascii="微软雅黑" w:hAnsi="微软雅黑" w:eastAsia="微软雅黑" w:cs="微软雅黑"/>
                <w:color w:val="auto"/>
                <w:sz w:val="21"/>
                <w:szCs w:val="21"/>
                <w:highlight w:val="none"/>
              </w:rPr>
              <w:t>商务</w:t>
            </w:r>
            <w:r>
              <w:rPr>
                <w:rFonts w:hint="eastAsia" w:ascii="微软雅黑" w:hAnsi="微软雅黑" w:eastAsia="微软雅黑" w:cs="微软雅黑"/>
                <w:color w:val="auto"/>
                <w:sz w:val="21"/>
                <w:szCs w:val="21"/>
                <w:highlight w:val="none"/>
                <w:lang w:val="zh-CN"/>
              </w:rPr>
              <w:t>技术文件及投标报价文件</w:t>
            </w:r>
            <w:r>
              <w:rPr>
                <w:rFonts w:hint="eastAsia" w:ascii="微软雅黑" w:hAnsi="微软雅黑" w:eastAsia="微软雅黑" w:cs="微软雅黑"/>
                <w:color w:val="auto"/>
                <w:sz w:val="21"/>
                <w:szCs w:val="21"/>
                <w:highlight w:val="none"/>
              </w:rPr>
              <w:t>三</w:t>
            </w:r>
            <w:r>
              <w:rPr>
                <w:rFonts w:hint="eastAsia" w:ascii="微软雅黑" w:hAnsi="微软雅黑" w:eastAsia="微软雅黑" w:cs="微软雅黑"/>
                <w:color w:val="auto"/>
                <w:sz w:val="21"/>
                <w:szCs w:val="21"/>
                <w:highlight w:val="none"/>
                <w:lang w:val="zh-CN"/>
              </w:rPr>
              <w:t>部分组成。</w:t>
            </w:r>
          </w:p>
        </w:tc>
      </w:tr>
      <w:tr w14:paraId="319E4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12B0FD53">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8</w:t>
            </w:r>
          </w:p>
        </w:tc>
        <w:tc>
          <w:tcPr>
            <w:tcW w:w="2555" w:type="dxa"/>
            <w:tcBorders>
              <w:tl2br w:val="nil"/>
              <w:tr2bl w:val="nil"/>
            </w:tcBorders>
            <w:vAlign w:val="center"/>
          </w:tcPr>
          <w:p w14:paraId="4ABEDF3A">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lang w:val="zh-CN"/>
              </w:rPr>
              <w:t>开标时间及地点</w:t>
            </w:r>
          </w:p>
        </w:tc>
        <w:tc>
          <w:tcPr>
            <w:tcW w:w="5464" w:type="dxa"/>
            <w:tcBorders>
              <w:tl2br w:val="nil"/>
              <w:tr2bl w:val="nil"/>
            </w:tcBorders>
            <w:vAlign w:val="center"/>
          </w:tcPr>
          <w:p w14:paraId="6153158B">
            <w:pPr>
              <w:snapToGrid w:val="0"/>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时间：2025年</w:t>
            </w:r>
            <w:r>
              <w:rPr>
                <w:rFonts w:hint="eastAsia" w:ascii="微软雅黑" w:hAnsi="微软雅黑" w:eastAsia="微软雅黑" w:cs="微软雅黑"/>
                <w:color w:val="auto"/>
                <w:sz w:val="21"/>
                <w:szCs w:val="21"/>
                <w:highlight w:val="none"/>
                <w:lang w:val="en-US" w:eastAsia="zh-CN"/>
              </w:rPr>
              <w:t>06</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日</w:t>
            </w:r>
            <w:r>
              <w:rPr>
                <w:rFonts w:hint="eastAsia" w:ascii="微软雅黑" w:hAnsi="微软雅黑" w:cs="微软雅黑"/>
                <w:color w:val="auto"/>
                <w:sz w:val="21"/>
                <w:szCs w:val="21"/>
                <w:highlight w:val="none"/>
                <w:lang w:val="en-US" w:eastAsia="zh-CN"/>
              </w:rPr>
              <w:t>09</w:t>
            </w:r>
            <w:r>
              <w:rPr>
                <w:rFonts w:hint="eastAsia" w:ascii="微软雅黑" w:hAnsi="微软雅黑" w:eastAsia="微软雅黑" w:cs="微软雅黑"/>
                <w:color w:val="auto"/>
                <w:sz w:val="21"/>
                <w:szCs w:val="21"/>
                <w:highlight w:val="none"/>
              </w:rPr>
              <w:t>：</w:t>
            </w:r>
            <w:r>
              <w:rPr>
                <w:rFonts w:hint="eastAsia" w:ascii="微软雅黑" w:hAnsi="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 xml:space="preserve"> </w:t>
            </w:r>
          </w:p>
          <w:p w14:paraId="3978FF6A">
            <w:pPr>
              <w:snapToGrid w:val="0"/>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地点：政采云平台</w:t>
            </w:r>
          </w:p>
          <w:p w14:paraId="65267B1E">
            <w:pPr>
              <w:snapToGrid w:val="0"/>
              <w:ind w:firstLine="0" w:firstLineChars="0"/>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b/>
                <w:bCs/>
                <w:color w:val="auto"/>
                <w:sz w:val="21"/>
                <w:szCs w:val="21"/>
                <w:highlight w:val="none"/>
                <w:u w:val="single"/>
                <w:lang w:val="zh-CN"/>
              </w:rPr>
              <w:t>供应商无需到开标现场，但须准时在线参加，直至评审结束。</w:t>
            </w:r>
          </w:p>
        </w:tc>
      </w:tr>
      <w:tr w14:paraId="6FFE3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5F498B8">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9</w:t>
            </w:r>
          </w:p>
        </w:tc>
        <w:tc>
          <w:tcPr>
            <w:tcW w:w="2555" w:type="dxa"/>
            <w:tcBorders>
              <w:tl2br w:val="nil"/>
              <w:tr2bl w:val="nil"/>
            </w:tcBorders>
            <w:vAlign w:val="center"/>
          </w:tcPr>
          <w:p w14:paraId="06C5C498">
            <w:pPr>
              <w:snapToGrid w:val="0"/>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方案讲解演示</w:t>
            </w:r>
          </w:p>
        </w:tc>
        <w:tc>
          <w:tcPr>
            <w:tcW w:w="5464" w:type="dxa"/>
            <w:tcBorders>
              <w:tl2br w:val="nil"/>
              <w:tr2bl w:val="nil"/>
            </w:tcBorders>
            <w:vAlign w:val="center"/>
          </w:tcPr>
          <w:p w14:paraId="6ACEEF10">
            <w:pPr>
              <w:snapToGrid w:val="0"/>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sym w:font="Wingdings" w:char="00FE"/>
            </w:r>
            <w:r>
              <w:rPr>
                <w:rFonts w:hint="eastAsia" w:ascii="微软雅黑" w:hAnsi="微软雅黑" w:eastAsia="微软雅黑" w:cs="微软雅黑"/>
                <w:color w:val="auto"/>
                <w:sz w:val="21"/>
                <w:szCs w:val="21"/>
                <w:highlight w:val="none"/>
                <w:lang w:val="zh-CN"/>
              </w:rPr>
              <w:t>不组织。</w:t>
            </w:r>
          </w:p>
          <w:p w14:paraId="0FD6DA14">
            <w:pPr>
              <w:ind w:firstLine="0" w:firstLineChars="0"/>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kern w:val="0"/>
                <w:sz w:val="21"/>
                <w:szCs w:val="21"/>
                <w:highlight w:val="none"/>
              </w:rPr>
              <w:sym w:font="Wingdings" w:char="00A8"/>
            </w:r>
            <w:r>
              <w:rPr>
                <w:rFonts w:hint="eastAsia" w:ascii="微软雅黑" w:hAnsi="微软雅黑" w:eastAsia="微软雅黑" w:cs="微软雅黑"/>
                <w:color w:val="auto"/>
                <w:sz w:val="21"/>
                <w:szCs w:val="21"/>
                <w:highlight w:val="none"/>
                <w:lang w:val="zh-CN"/>
              </w:rPr>
              <w:t>B组织。</w:t>
            </w:r>
          </w:p>
          <w:p w14:paraId="55B063A1">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演示方式</w:t>
            </w:r>
            <w:r>
              <w:rPr>
                <w:rFonts w:hint="eastAsia" w:ascii="微软雅黑" w:hAnsi="微软雅黑" w:eastAsia="微软雅黑" w:cs="微软雅黑"/>
                <w:color w:val="auto"/>
                <w:sz w:val="21"/>
                <w:szCs w:val="21"/>
                <w:highlight w:val="none"/>
              </w:rPr>
              <w:t>详见第二章  磋商需求。</w:t>
            </w:r>
          </w:p>
        </w:tc>
      </w:tr>
      <w:tr w14:paraId="13BD9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24D2869">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10</w:t>
            </w:r>
          </w:p>
        </w:tc>
        <w:tc>
          <w:tcPr>
            <w:tcW w:w="2555" w:type="dxa"/>
            <w:tcBorders>
              <w:tl2br w:val="nil"/>
              <w:tr2bl w:val="nil"/>
            </w:tcBorders>
            <w:vAlign w:val="center"/>
          </w:tcPr>
          <w:p w14:paraId="60C5B7DC">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项目属性与核心产品</w:t>
            </w:r>
          </w:p>
        </w:tc>
        <w:tc>
          <w:tcPr>
            <w:tcW w:w="5464" w:type="dxa"/>
            <w:tcBorders>
              <w:tl2br w:val="nil"/>
              <w:tr2bl w:val="nil"/>
            </w:tcBorders>
            <w:vAlign w:val="center"/>
          </w:tcPr>
          <w:p w14:paraId="606FC078">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A8"/>
            </w:r>
            <w:r>
              <w:rPr>
                <w:rFonts w:hint="eastAsia" w:ascii="微软雅黑" w:hAnsi="微软雅黑" w:eastAsia="微软雅黑" w:cs="微软雅黑"/>
                <w:color w:val="auto"/>
                <w:sz w:val="21"/>
                <w:szCs w:val="21"/>
                <w:highlight w:val="none"/>
                <w:lang w:val="zh-CN"/>
              </w:rPr>
              <w:t>A货物类，核心产品为：</w:t>
            </w:r>
            <w:r>
              <w:rPr>
                <w:rFonts w:hint="eastAsia" w:ascii="微软雅黑" w:hAnsi="微软雅黑" w:eastAsia="微软雅黑" w:cs="微软雅黑"/>
                <w:color w:val="auto"/>
                <w:kern w:val="0"/>
                <w:sz w:val="21"/>
                <w:szCs w:val="21"/>
                <w:highlight w:val="none"/>
                <w:u w:val="single"/>
              </w:rPr>
              <w:t xml:space="preserve">             </w:t>
            </w:r>
          </w:p>
          <w:p w14:paraId="7E892A49">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sym w:font="Wingdings" w:char="00FE"/>
            </w:r>
            <w:r>
              <w:rPr>
                <w:rFonts w:hint="eastAsia" w:ascii="微软雅黑" w:hAnsi="微软雅黑" w:eastAsia="微软雅黑" w:cs="微软雅黑"/>
                <w:color w:val="auto"/>
                <w:sz w:val="21"/>
                <w:szCs w:val="21"/>
                <w:highlight w:val="none"/>
                <w:lang w:val="zh-CN"/>
              </w:rPr>
              <w:t>B服务类。</w:t>
            </w:r>
          </w:p>
        </w:tc>
      </w:tr>
      <w:tr w14:paraId="308D8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2635D71">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11</w:t>
            </w:r>
          </w:p>
        </w:tc>
        <w:tc>
          <w:tcPr>
            <w:tcW w:w="2555" w:type="dxa"/>
            <w:tcBorders>
              <w:tl2br w:val="nil"/>
              <w:tr2bl w:val="nil"/>
            </w:tcBorders>
            <w:vAlign w:val="center"/>
          </w:tcPr>
          <w:p w14:paraId="23E3E7A8">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采购标的对应的中小企业划分标准所属行业</w:t>
            </w:r>
          </w:p>
        </w:tc>
        <w:tc>
          <w:tcPr>
            <w:tcW w:w="5464" w:type="dxa"/>
            <w:tcBorders>
              <w:tl2br w:val="nil"/>
              <w:tr2bl w:val="nil"/>
            </w:tcBorders>
            <w:vAlign w:val="center"/>
          </w:tcPr>
          <w:p w14:paraId="25FD514D">
            <w:pPr>
              <w:snapToGrid w:val="0"/>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标的：</w:t>
            </w:r>
            <w:r>
              <w:rPr>
                <w:rFonts w:hint="eastAsia"/>
                <w:highlight w:val="none"/>
                <w:u w:val="single"/>
                <w:lang w:eastAsia="zh-CN"/>
              </w:rPr>
              <w:t>医保信息设施硬件及网络安全运维服务</w:t>
            </w:r>
            <w:r>
              <w:rPr>
                <w:rFonts w:hint="eastAsia" w:ascii="微软雅黑" w:hAnsi="微软雅黑" w:eastAsia="微软雅黑" w:cs="微软雅黑"/>
                <w:color w:val="auto"/>
                <w:sz w:val="21"/>
                <w:szCs w:val="21"/>
                <w:highlight w:val="none"/>
              </w:rPr>
              <w:t>，属于</w:t>
            </w:r>
            <w:r>
              <w:rPr>
                <w:rFonts w:hint="eastAsia" w:ascii="微软雅黑" w:hAnsi="微软雅黑" w:cs="微软雅黑"/>
                <w:color w:val="auto"/>
                <w:sz w:val="21"/>
                <w:szCs w:val="21"/>
                <w:highlight w:val="none"/>
                <w:u w:val="single"/>
                <w:lang w:val="en-US" w:eastAsia="zh-CN"/>
              </w:rPr>
              <w:t>软件和信息技术服务</w:t>
            </w:r>
            <w:r>
              <w:rPr>
                <w:rFonts w:hint="eastAsia" w:ascii="微软雅黑" w:hAnsi="微软雅黑" w:eastAsia="微软雅黑" w:cs="微软雅黑"/>
                <w:color w:val="auto"/>
                <w:sz w:val="21"/>
                <w:szCs w:val="21"/>
                <w:highlight w:val="none"/>
                <w:u w:val="single"/>
              </w:rPr>
              <w:t>业</w:t>
            </w:r>
            <w:r>
              <w:rPr>
                <w:rFonts w:hint="eastAsia" w:ascii="微软雅黑" w:hAnsi="微软雅黑" w:eastAsia="微软雅黑" w:cs="微软雅黑"/>
                <w:color w:val="auto"/>
                <w:sz w:val="21"/>
                <w:szCs w:val="21"/>
                <w:highlight w:val="none"/>
              </w:rPr>
              <w:t>。</w:t>
            </w:r>
          </w:p>
        </w:tc>
      </w:tr>
      <w:tr w14:paraId="565C8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10" w:hRule="atLeast"/>
          <w:tblHeader/>
        </w:trPr>
        <w:tc>
          <w:tcPr>
            <w:tcW w:w="629" w:type="dxa"/>
            <w:tcBorders>
              <w:tl2br w:val="nil"/>
              <w:tr2bl w:val="nil"/>
            </w:tcBorders>
            <w:vAlign w:val="center"/>
          </w:tcPr>
          <w:p w14:paraId="6A3A6C1E">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12</w:t>
            </w:r>
          </w:p>
        </w:tc>
        <w:tc>
          <w:tcPr>
            <w:tcW w:w="2555" w:type="dxa"/>
            <w:tcBorders>
              <w:tl2br w:val="nil"/>
              <w:tr2bl w:val="nil"/>
            </w:tcBorders>
            <w:vAlign w:val="center"/>
          </w:tcPr>
          <w:p w14:paraId="28B859F5">
            <w:pPr>
              <w:snapToGrid w:val="0"/>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评标结果公告及中标通知书</w:t>
            </w:r>
          </w:p>
        </w:tc>
        <w:tc>
          <w:tcPr>
            <w:tcW w:w="5464" w:type="dxa"/>
            <w:tcBorders>
              <w:tl2br w:val="nil"/>
              <w:tr2bl w:val="nil"/>
            </w:tcBorders>
            <w:vAlign w:val="center"/>
          </w:tcPr>
          <w:p w14:paraId="558B73EB">
            <w:pPr>
              <w:autoSpaceDE w:val="0"/>
              <w:autoSpaceDN w:val="0"/>
              <w:snapToGrid w:val="0"/>
              <w:ind w:firstLine="0" w:firstLineChars="0"/>
              <w:textAlignment w:val="bottom"/>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评标结束后2个工作日内，评标结果公告于浙江政府采购网(http://www.zjzfcg.gov.cn/new/)</w:t>
            </w:r>
          </w:p>
          <w:p w14:paraId="4C540433">
            <w:pPr>
              <w:autoSpaceDE w:val="0"/>
              <w:autoSpaceDN w:val="0"/>
              <w:snapToGrid w:val="0"/>
              <w:ind w:firstLine="0" w:firstLineChars="0"/>
              <w:textAlignment w:val="bottom"/>
              <w:rPr>
                <w:rFonts w:hint="eastAsia" w:ascii="微软雅黑" w:hAnsi="微软雅黑" w:eastAsia="微软雅黑" w:cs="微软雅黑"/>
                <w:snapToGrid w:val="0"/>
                <w:color w:val="auto"/>
                <w:kern w:val="28"/>
                <w:sz w:val="21"/>
                <w:szCs w:val="21"/>
                <w:highlight w:val="none"/>
              </w:rPr>
            </w:pPr>
            <w:r>
              <w:rPr>
                <w:rFonts w:hint="eastAsia" w:ascii="微软雅黑" w:hAnsi="微软雅黑" w:eastAsia="微软雅黑" w:cs="微软雅黑"/>
                <w:color w:val="auto"/>
                <w:kern w:val="0"/>
                <w:sz w:val="21"/>
                <w:szCs w:val="21"/>
                <w:highlight w:val="none"/>
              </w:rPr>
              <w:t>中标公告期限为1个工作日</w:t>
            </w:r>
            <w:r>
              <w:rPr>
                <w:rFonts w:hint="eastAsia" w:ascii="微软雅黑" w:hAnsi="微软雅黑" w:eastAsia="微软雅黑" w:cs="微软雅黑"/>
                <w:b/>
                <w:bCs/>
                <w:color w:val="auto"/>
                <w:sz w:val="21"/>
                <w:szCs w:val="21"/>
                <w:highlight w:val="none"/>
              </w:rPr>
              <w:t>（中标供应商为小微企业的，其中小企业声明函将随中标结果同时公告）</w:t>
            </w:r>
            <w:r>
              <w:rPr>
                <w:rFonts w:hint="eastAsia" w:ascii="微软雅黑" w:hAnsi="微软雅黑" w:eastAsia="微软雅黑" w:cs="微软雅黑"/>
                <w:color w:val="auto"/>
                <w:kern w:val="0"/>
                <w:sz w:val="21"/>
                <w:szCs w:val="21"/>
                <w:highlight w:val="none"/>
              </w:rPr>
              <w:t>。在公告中标结果的同时，代理机构在政采云系统向中标供应商发出中标通知书。</w:t>
            </w:r>
          </w:p>
        </w:tc>
      </w:tr>
      <w:tr w14:paraId="06A29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79" w:hRule="atLeast"/>
          <w:tblHeader/>
        </w:trPr>
        <w:tc>
          <w:tcPr>
            <w:tcW w:w="629" w:type="dxa"/>
            <w:tcBorders>
              <w:tl2br w:val="nil"/>
              <w:tr2bl w:val="nil"/>
            </w:tcBorders>
            <w:vAlign w:val="center"/>
          </w:tcPr>
          <w:p w14:paraId="66F0A9BD">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13</w:t>
            </w:r>
          </w:p>
        </w:tc>
        <w:tc>
          <w:tcPr>
            <w:tcW w:w="2555" w:type="dxa"/>
            <w:tcBorders>
              <w:tl2br w:val="nil"/>
              <w:tr2bl w:val="nil"/>
            </w:tcBorders>
            <w:vAlign w:val="center"/>
          </w:tcPr>
          <w:p w14:paraId="55ACA5EB">
            <w:pPr>
              <w:autoSpaceDE w:val="0"/>
              <w:autoSpaceDN w:val="0"/>
              <w:snapToGrid w:val="0"/>
              <w:ind w:firstLine="0" w:firstLineChars="0"/>
              <w:jc w:val="center"/>
              <w:textAlignment w:val="bottom"/>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sz w:val="21"/>
                <w:szCs w:val="21"/>
                <w:highlight w:val="none"/>
              </w:rPr>
              <w:t>履约保证金</w:t>
            </w:r>
          </w:p>
        </w:tc>
        <w:tc>
          <w:tcPr>
            <w:tcW w:w="5464" w:type="dxa"/>
            <w:tcBorders>
              <w:tl2br w:val="nil"/>
              <w:tr2bl w:val="nil"/>
            </w:tcBorders>
            <w:vAlign w:val="center"/>
          </w:tcPr>
          <w:p w14:paraId="17B29E92">
            <w:pPr>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无</w:t>
            </w:r>
            <w:r>
              <w:rPr>
                <w:rFonts w:hint="eastAsia" w:ascii="微软雅黑" w:hAnsi="微软雅黑" w:eastAsia="微软雅黑" w:cs="微软雅黑"/>
                <w:color w:val="auto"/>
                <w:sz w:val="21"/>
                <w:szCs w:val="21"/>
                <w:highlight w:val="none"/>
              </w:rPr>
              <w:t>。</w:t>
            </w:r>
          </w:p>
        </w:tc>
      </w:tr>
      <w:tr w14:paraId="3B101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tblHeader/>
        </w:trPr>
        <w:tc>
          <w:tcPr>
            <w:tcW w:w="629" w:type="dxa"/>
            <w:tcBorders>
              <w:tl2br w:val="nil"/>
              <w:tr2bl w:val="nil"/>
            </w:tcBorders>
            <w:vAlign w:val="center"/>
          </w:tcPr>
          <w:p w14:paraId="2C463F81">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14</w:t>
            </w:r>
          </w:p>
        </w:tc>
        <w:tc>
          <w:tcPr>
            <w:tcW w:w="2555" w:type="dxa"/>
            <w:tcBorders>
              <w:tl2br w:val="nil"/>
              <w:tr2bl w:val="nil"/>
            </w:tcBorders>
            <w:vAlign w:val="center"/>
          </w:tcPr>
          <w:p w14:paraId="37BB1291">
            <w:pPr>
              <w:snapToGrid w:val="0"/>
              <w:ind w:firstLine="0" w:firstLineChars="0"/>
              <w:jc w:val="center"/>
              <w:rPr>
                <w:rFonts w:hint="eastAsia" w:ascii="微软雅黑" w:hAnsi="微软雅黑" w:eastAsia="微软雅黑" w:cs="微软雅黑"/>
                <w:b/>
                <w:strike/>
                <w:color w:val="auto"/>
                <w:sz w:val="21"/>
                <w:szCs w:val="21"/>
                <w:highlight w:val="none"/>
              </w:rPr>
            </w:pPr>
            <w:r>
              <w:rPr>
                <w:rFonts w:hint="eastAsia" w:ascii="微软雅黑" w:hAnsi="微软雅黑" w:eastAsia="微软雅黑" w:cs="微软雅黑"/>
                <w:b/>
                <w:color w:val="auto"/>
                <w:sz w:val="21"/>
                <w:szCs w:val="21"/>
                <w:highlight w:val="none"/>
              </w:rPr>
              <w:t>签订合同时间</w:t>
            </w:r>
          </w:p>
        </w:tc>
        <w:tc>
          <w:tcPr>
            <w:tcW w:w="5464" w:type="dxa"/>
            <w:tcBorders>
              <w:tl2br w:val="nil"/>
              <w:tr2bl w:val="nil"/>
            </w:tcBorders>
            <w:vAlign w:val="center"/>
          </w:tcPr>
          <w:p w14:paraId="3200B21A">
            <w:pPr>
              <w:autoSpaceDE w:val="0"/>
              <w:autoSpaceDN w:val="0"/>
              <w:snapToGrid w:val="0"/>
              <w:ind w:firstLine="0" w:firstLineChars="0"/>
              <w:textAlignment w:val="bottom"/>
              <w:rPr>
                <w:rFonts w:hint="eastAsia" w:ascii="微软雅黑" w:hAnsi="微软雅黑" w:eastAsia="微软雅黑" w:cs="微软雅黑"/>
                <w:strike/>
                <w:color w:val="auto"/>
                <w:kern w:val="28"/>
                <w:sz w:val="21"/>
                <w:szCs w:val="21"/>
                <w:highlight w:val="none"/>
              </w:rPr>
            </w:pPr>
            <w:r>
              <w:rPr>
                <w:rFonts w:hint="eastAsia" w:ascii="微软雅黑" w:hAnsi="微软雅黑" w:eastAsia="微软雅黑" w:cs="微软雅黑"/>
                <w:color w:val="auto"/>
                <w:sz w:val="21"/>
                <w:szCs w:val="21"/>
                <w:highlight w:val="none"/>
              </w:rPr>
              <w:t>中标通知书发出后30日内。</w:t>
            </w:r>
            <w:r>
              <w:rPr>
                <w:rFonts w:hint="eastAsia" w:ascii="微软雅黑" w:hAnsi="微软雅黑" w:eastAsia="微软雅黑" w:cs="微软雅黑"/>
                <w:color w:val="auto"/>
                <w:kern w:val="0"/>
                <w:sz w:val="21"/>
                <w:szCs w:val="21"/>
                <w:highlight w:val="none"/>
              </w:rPr>
              <w:t>建议采购人在对采购结果质疑期（自采购结果公告之日起七个工作日）后与中标供应商签订政府采购合同。</w:t>
            </w:r>
          </w:p>
        </w:tc>
      </w:tr>
      <w:tr w14:paraId="19564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9" w:hRule="atLeast"/>
          <w:tblHeader/>
        </w:trPr>
        <w:tc>
          <w:tcPr>
            <w:tcW w:w="629" w:type="dxa"/>
            <w:tcBorders>
              <w:tl2br w:val="nil"/>
              <w:tr2bl w:val="nil"/>
            </w:tcBorders>
            <w:vAlign w:val="center"/>
          </w:tcPr>
          <w:p w14:paraId="726B1523">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15</w:t>
            </w:r>
          </w:p>
        </w:tc>
        <w:tc>
          <w:tcPr>
            <w:tcW w:w="2555" w:type="dxa"/>
            <w:tcBorders>
              <w:tl2br w:val="nil"/>
              <w:tr2bl w:val="nil"/>
            </w:tcBorders>
            <w:vAlign w:val="center"/>
          </w:tcPr>
          <w:p w14:paraId="081D595D">
            <w:pPr>
              <w:snapToGrid w:val="0"/>
              <w:ind w:firstLine="0" w:firstLineChars="0"/>
              <w:jc w:val="center"/>
              <w:rPr>
                <w:rFonts w:hint="eastAsia" w:ascii="微软雅黑" w:hAnsi="微软雅黑" w:eastAsia="微软雅黑" w:cs="微软雅黑"/>
                <w:b/>
                <w:strike/>
                <w:color w:val="auto"/>
                <w:sz w:val="21"/>
                <w:szCs w:val="21"/>
                <w:highlight w:val="none"/>
              </w:rPr>
            </w:pPr>
            <w:r>
              <w:rPr>
                <w:rFonts w:hint="eastAsia" w:ascii="微软雅黑" w:hAnsi="微软雅黑" w:eastAsia="微软雅黑" w:cs="微软雅黑"/>
                <w:b/>
                <w:color w:val="auto"/>
                <w:sz w:val="21"/>
                <w:szCs w:val="21"/>
                <w:highlight w:val="none"/>
              </w:rPr>
              <w:t>本项目预算金额</w:t>
            </w:r>
          </w:p>
        </w:tc>
        <w:tc>
          <w:tcPr>
            <w:tcW w:w="5464" w:type="dxa"/>
            <w:tcBorders>
              <w:tl2br w:val="nil"/>
              <w:tr2bl w:val="nil"/>
            </w:tcBorders>
            <w:vAlign w:val="center"/>
          </w:tcPr>
          <w:p w14:paraId="7EB761FE">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预算价为人民币</w:t>
            </w:r>
            <w:r>
              <w:rPr>
                <w:rFonts w:hint="eastAsia" w:ascii="微软雅黑" w:hAnsi="微软雅黑" w:cs="微软雅黑"/>
                <w:color w:val="auto"/>
                <w:kern w:val="0"/>
                <w:sz w:val="21"/>
                <w:szCs w:val="21"/>
                <w:highlight w:val="none"/>
                <w:lang w:val="en-US" w:eastAsia="zh-CN"/>
              </w:rPr>
              <w:t>516800.00</w:t>
            </w:r>
            <w:r>
              <w:rPr>
                <w:rFonts w:hint="eastAsia" w:ascii="微软雅黑" w:hAnsi="微软雅黑" w:eastAsia="微软雅黑" w:cs="微软雅黑"/>
                <w:color w:val="auto"/>
                <w:sz w:val="21"/>
                <w:szCs w:val="21"/>
                <w:highlight w:val="none"/>
              </w:rPr>
              <w:t>元，</w:t>
            </w:r>
          </w:p>
          <w:p w14:paraId="79376012">
            <w:pPr>
              <w:ind w:firstLine="0" w:firstLineChars="0"/>
              <w:rPr>
                <w:rFonts w:hint="eastAsia" w:ascii="微软雅黑" w:hAnsi="微软雅黑" w:eastAsia="微软雅黑" w:cs="微软雅黑"/>
                <w:strike/>
                <w:color w:val="auto"/>
                <w:kern w:val="28"/>
                <w:sz w:val="21"/>
                <w:szCs w:val="21"/>
                <w:highlight w:val="none"/>
              </w:rPr>
            </w:pPr>
            <w:r>
              <w:rPr>
                <w:rFonts w:hint="eastAsia" w:ascii="微软雅黑" w:hAnsi="微软雅黑" w:eastAsia="微软雅黑" w:cs="微软雅黑"/>
                <w:color w:val="auto"/>
                <w:sz w:val="21"/>
                <w:szCs w:val="21"/>
                <w:highlight w:val="none"/>
              </w:rPr>
              <w:t>最限价为预算价，超预算价的响应文件无效。</w:t>
            </w:r>
          </w:p>
        </w:tc>
      </w:tr>
      <w:tr w14:paraId="7C1F3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500CD494">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16</w:t>
            </w:r>
          </w:p>
        </w:tc>
        <w:tc>
          <w:tcPr>
            <w:tcW w:w="2555" w:type="dxa"/>
            <w:tcBorders>
              <w:tl2br w:val="nil"/>
              <w:tr2bl w:val="nil"/>
            </w:tcBorders>
            <w:vAlign w:val="center"/>
          </w:tcPr>
          <w:p w14:paraId="39AC4752">
            <w:pPr>
              <w:snapToGrid w:val="0"/>
              <w:ind w:firstLine="0" w:firstLineChars="0"/>
              <w:jc w:val="center"/>
              <w:rPr>
                <w:rFonts w:hint="eastAsia" w:ascii="微软雅黑" w:hAnsi="微软雅黑" w:eastAsia="微软雅黑" w:cs="微软雅黑"/>
                <w:b/>
                <w:strike/>
                <w:color w:val="auto"/>
                <w:sz w:val="21"/>
                <w:szCs w:val="21"/>
                <w:highlight w:val="none"/>
              </w:rPr>
            </w:pPr>
            <w:r>
              <w:rPr>
                <w:rFonts w:hint="eastAsia" w:ascii="微软雅黑" w:hAnsi="微软雅黑" w:eastAsia="微软雅黑" w:cs="微软雅黑"/>
                <w:b/>
                <w:color w:val="auto"/>
                <w:sz w:val="21"/>
                <w:szCs w:val="21"/>
                <w:highlight w:val="none"/>
              </w:rPr>
              <w:t>响应文件有效期</w:t>
            </w:r>
          </w:p>
        </w:tc>
        <w:tc>
          <w:tcPr>
            <w:tcW w:w="5464" w:type="dxa"/>
            <w:tcBorders>
              <w:tl2br w:val="nil"/>
              <w:tr2bl w:val="nil"/>
            </w:tcBorders>
            <w:vAlign w:val="center"/>
          </w:tcPr>
          <w:p w14:paraId="0BFB640F">
            <w:pPr>
              <w:autoSpaceDE w:val="0"/>
              <w:autoSpaceDN w:val="0"/>
              <w:snapToGrid w:val="0"/>
              <w:ind w:firstLine="0" w:firstLineChars="0"/>
              <w:textAlignment w:val="bottom"/>
              <w:rPr>
                <w:rFonts w:hint="eastAsia" w:ascii="微软雅黑" w:hAnsi="微软雅黑" w:eastAsia="微软雅黑" w:cs="微软雅黑"/>
                <w:strike/>
                <w:color w:val="auto"/>
                <w:kern w:val="28"/>
                <w:sz w:val="21"/>
                <w:szCs w:val="21"/>
                <w:highlight w:val="none"/>
              </w:rPr>
            </w:pPr>
            <w:r>
              <w:rPr>
                <w:rFonts w:hint="eastAsia" w:ascii="微软雅黑" w:hAnsi="微软雅黑" w:eastAsia="微软雅黑" w:cs="微软雅黑"/>
                <w:color w:val="auto"/>
                <w:sz w:val="21"/>
                <w:szCs w:val="21"/>
                <w:highlight w:val="none"/>
                <w:u w:val="single"/>
              </w:rPr>
              <w:t>90</w:t>
            </w:r>
            <w:r>
              <w:rPr>
                <w:rFonts w:hint="eastAsia" w:ascii="微软雅黑" w:hAnsi="微软雅黑" w:eastAsia="微软雅黑" w:cs="微软雅黑"/>
                <w:color w:val="auto"/>
                <w:sz w:val="21"/>
                <w:szCs w:val="21"/>
                <w:highlight w:val="none"/>
              </w:rPr>
              <w:t>天</w:t>
            </w:r>
          </w:p>
        </w:tc>
      </w:tr>
      <w:tr w14:paraId="03684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048BA6B2">
            <w:pPr>
              <w:snapToGrid w:val="0"/>
              <w:spacing w:line="276" w:lineRule="auto"/>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17</w:t>
            </w:r>
          </w:p>
        </w:tc>
        <w:tc>
          <w:tcPr>
            <w:tcW w:w="2555" w:type="dxa"/>
            <w:tcBorders>
              <w:tl2br w:val="nil"/>
              <w:tr2bl w:val="nil"/>
            </w:tcBorders>
            <w:vAlign w:val="center"/>
          </w:tcPr>
          <w:p w14:paraId="3CAEC17E">
            <w:pPr>
              <w:snapToGrid w:val="0"/>
              <w:spacing w:line="276" w:lineRule="auto"/>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ab/>
            </w:r>
            <w:r>
              <w:rPr>
                <w:rFonts w:hint="eastAsia" w:ascii="微软雅黑" w:hAnsi="微软雅黑" w:eastAsia="微软雅黑" w:cs="微软雅黑"/>
                <w:b/>
                <w:color w:val="auto"/>
                <w:sz w:val="21"/>
                <w:szCs w:val="21"/>
                <w:highlight w:val="none"/>
              </w:rPr>
              <w:t>政策优惠</w:t>
            </w:r>
            <w:r>
              <w:rPr>
                <w:rFonts w:hint="eastAsia" w:ascii="微软雅黑" w:hAnsi="微软雅黑" w:eastAsia="微软雅黑" w:cs="微软雅黑"/>
                <w:b/>
                <w:color w:val="auto"/>
                <w:sz w:val="21"/>
                <w:szCs w:val="21"/>
                <w:highlight w:val="none"/>
              </w:rPr>
              <w:tab/>
            </w:r>
          </w:p>
        </w:tc>
        <w:tc>
          <w:tcPr>
            <w:tcW w:w="5464" w:type="dxa"/>
            <w:tcBorders>
              <w:tl2br w:val="nil"/>
              <w:tr2bl w:val="nil"/>
            </w:tcBorders>
            <w:vAlign w:val="center"/>
          </w:tcPr>
          <w:p w14:paraId="11393B02">
            <w:pPr>
              <w:autoSpaceDE w:val="0"/>
              <w:autoSpaceDN w:val="0"/>
              <w:snapToGrid w:val="0"/>
              <w:spacing w:line="276" w:lineRule="auto"/>
              <w:ind w:firstLine="0" w:firstLineChars="0"/>
              <w:textAlignment w:val="bottom"/>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color w:val="auto"/>
                <w:sz w:val="21"/>
                <w:szCs w:val="21"/>
                <w:highlight w:val="none"/>
              </w:rPr>
              <w:t>1.根据财库〔2020〕46号、财库〔2022〕19号等相关规定，在评审时对于未预留份额专门面向中小企业的政府采购货物或服务项目，以及预留份额政府采购货物或服务项目中的非预留部分标项，对小型和微型企业的</w:t>
            </w:r>
            <w:r>
              <w:rPr>
                <w:rFonts w:hint="eastAsia" w:ascii="微软雅黑" w:hAnsi="微软雅黑" w:eastAsia="微软雅黑" w:cs="微软雅黑"/>
                <w:color w:val="auto"/>
                <w:sz w:val="21"/>
                <w:szCs w:val="21"/>
                <w:highlight w:val="none"/>
                <w:lang w:val="en"/>
              </w:rPr>
              <w:t>投标报价给予</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
              </w:rPr>
              <w:t>0%的扣除</w:t>
            </w:r>
            <w:r>
              <w:rPr>
                <w:rFonts w:hint="eastAsia" w:ascii="微软雅黑" w:hAnsi="微软雅黑" w:eastAsia="微软雅黑" w:cs="微软雅黑"/>
                <w:color w:val="auto"/>
                <w:sz w:val="21"/>
                <w:szCs w:val="21"/>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w:t>
            </w:r>
            <w:r>
              <w:rPr>
                <w:rFonts w:hint="eastAsia" w:ascii="微软雅黑" w:hAnsi="微软雅黑" w:eastAsia="微软雅黑" w:cs="微软雅黑"/>
                <w:color w:val="auto"/>
                <w:sz w:val="21"/>
                <w:szCs w:val="21"/>
                <w:highlight w:val="none"/>
                <w:lang w:val="en"/>
              </w:rPr>
              <w:t>6</w:t>
            </w:r>
            <w:r>
              <w:rPr>
                <w:rFonts w:hint="eastAsia" w:ascii="微软雅黑" w:hAnsi="微软雅黑" w:eastAsia="微软雅黑" w:cs="微软雅黑"/>
                <w:color w:val="auto"/>
                <w:sz w:val="21"/>
                <w:szCs w:val="21"/>
                <w:highlight w:val="none"/>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55A33130">
            <w:pPr>
              <w:tabs>
                <w:tab w:val="left" w:pos="3870"/>
                <w:tab w:val="left" w:pos="4085"/>
              </w:tabs>
              <w:snapToGrid w:val="0"/>
              <w:spacing w:line="276" w:lineRule="auto"/>
              <w:ind w:firstLine="0" w:firstLineChars="0"/>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AA5BECB">
            <w:pPr>
              <w:autoSpaceDE w:val="0"/>
              <w:autoSpaceDN w:val="0"/>
              <w:snapToGrid w:val="0"/>
              <w:spacing w:line="276" w:lineRule="auto"/>
              <w:ind w:firstLine="0" w:firstLineChars="0"/>
              <w:textAlignment w:val="bottom"/>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snapToGrid w:val="0"/>
                <w:color w:val="auto"/>
                <w:kern w:val="0"/>
                <w:sz w:val="21"/>
                <w:szCs w:val="21"/>
                <w:highlight w:val="none"/>
              </w:rPr>
              <w:t>3.监狱企业同视为小型、微型企业，享受中小企业政策扶持。</w:t>
            </w:r>
          </w:p>
        </w:tc>
      </w:tr>
      <w:tr w14:paraId="7CE2D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4" w:hRule="atLeast"/>
          <w:tblHeader/>
        </w:trPr>
        <w:tc>
          <w:tcPr>
            <w:tcW w:w="629" w:type="dxa"/>
            <w:tcBorders>
              <w:tl2br w:val="nil"/>
              <w:tr2bl w:val="nil"/>
            </w:tcBorders>
            <w:vAlign w:val="center"/>
          </w:tcPr>
          <w:p w14:paraId="4422E786">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18</w:t>
            </w:r>
          </w:p>
        </w:tc>
        <w:tc>
          <w:tcPr>
            <w:tcW w:w="2555" w:type="dxa"/>
            <w:tcBorders>
              <w:tl2br w:val="nil"/>
              <w:tr2bl w:val="nil"/>
            </w:tcBorders>
            <w:vAlign w:val="center"/>
          </w:tcPr>
          <w:p w14:paraId="68448A55">
            <w:pPr>
              <w:snapToGrid w:val="0"/>
              <w:ind w:firstLine="0" w:firstLineChars="0"/>
              <w:jc w:val="center"/>
              <w:rPr>
                <w:rFonts w:hint="eastAsia" w:ascii="微软雅黑" w:hAnsi="微软雅黑" w:eastAsia="微软雅黑" w:cs="微软雅黑"/>
                <w:b/>
                <w:strike/>
                <w:color w:val="auto"/>
                <w:sz w:val="21"/>
                <w:szCs w:val="21"/>
                <w:highlight w:val="none"/>
              </w:rPr>
            </w:pPr>
            <w:r>
              <w:rPr>
                <w:rFonts w:hint="eastAsia" w:ascii="微软雅黑" w:hAnsi="微软雅黑" w:eastAsia="微软雅黑" w:cs="微软雅黑"/>
                <w:b/>
                <w:color w:val="auto"/>
                <w:sz w:val="21"/>
                <w:szCs w:val="21"/>
                <w:highlight w:val="none"/>
              </w:rPr>
              <w:t>特别说明</w:t>
            </w:r>
          </w:p>
        </w:tc>
        <w:tc>
          <w:tcPr>
            <w:tcW w:w="5464" w:type="dxa"/>
            <w:tcBorders>
              <w:tl2br w:val="nil"/>
              <w:tr2bl w:val="nil"/>
            </w:tcBorders>
            <w:vAlign w:val="center"/>
          </w:tcPr>
          <w:p w14:paraId="0ADF6B57">
            <w:pPr>
              <w:autoSpaceDE w:val="0"/>
              <w:autoSpaceDN w:val="0"/>
              <w:snapToGrid w:val="0"/>
              <w:ind w:firstLine="0" w:firstLineChars="0"/>
              <w:textAlignment w:val="bottom"/>
              <w:rPr>
                <w:rFonts w:hint="eastAsia" w:ascii="微软雅黑" w:hAnsi="微软雅黑" w:eastAsia="微软雅黑" w:cs="微软雅黑"/>
                <w:strike/>
                <w:color w:val="auto"/>
                <w:kern w:val="28"/>
                <w:sz w:val="21"/>
                <w:szCs w:val="21"/>
                <w:highlight w:val="none"/>
              </w:rPr>
            </w:pPr>
            <w:r>
              <w:rPr>
                <w:rFonts w:hint="eastAsia" w:ascii="微软雅黑" w:hAnsi="微软雅黑" w:eastAsia="微软雅黑" w:cs="微软雅黑"/>
                <w:snapToGrid w:val="0"/>
                <w:color w:val="auto"/>
                <w:kern w:val="0"/>
                <w:sz w:val="21"/>
                <w:szCs w:val="21"/>
                <w:highlight w:val="none"/>
              </w:rPr>
              <w:t>本磋商文件的解释权属于采购人</w:t>
            </w:r>
          </w:p>
        </w:tc>
      </w:tr>
    </w:tbl>
    <w:p w14:paraId="4FFA96F0">
      <w:pPr>
        <w:pStyle w:val="3"/>
        <w:ind w:firstLine="420"/>
        <w:rPr>
          <w:rFonts w:hint="eastAsia" w:ascii="微软雅黑" w:hAnsi="微软雅黑" w:eastAsia="微软雅黑" w:cs="微软雅黑"/>
          <w:color w:val="auto"/>
          <w:sz w:val="21"/>
          <w:szCs w:val="21"/>
          <w:highlight w:val="none"/>
        </w:rPr>
      </w:pPr>
      <w:bookmarkStart w:id="38" w:name="_Toc10112"/>
      <w:bookmarkStart w:id="39" w:name="_Toc493511580"/>
      <w:bookmarkStart w:id="40" w:name="_Toc177870536"/>
      <w:r>
        <w:rPr>
          <w:rFonts w:hint="eastAsia" w:ascii="微软雅黑" w:hAnsi="微软雅黑" w:eastAsia="微软雅黑" w:cs="微软雅黑"/>
          <w:color w:val="auto"/>
          <w:sz w:val="21"/>
          <w:szCs w:val="21"/>
          <w:highlight w:val="none"/>
        </w:rPr>
        <w:t>一、总  则</w:t>
      </w:r>
      <w:bookmarkEnd w:id="38"/>
      <w:bookmarkEnd w:id="39"/>
      <w:bookmarkEnd w:id="40"/>
    </w:p>
    <w:p w14:paraId="6601A891">
      <w:pPr>
        <w:snapToGrid w:val="0"/>
        <w:ind w:firstLine="412" w:firstLineChars="196"/>
        <w:outlineLvl w:val="2"/>
        <w:rPr>
          <w:rFonts w:hint="eastAsia" w:ascii="微软雅黑" w:hAnsi="微软雅黑" w:eastAsia="微软雅黑" w:cs="微软雅黑"/>
          <w:b/>
          <w:color w:val="auto"/>
          <w:sz w:val="21"/>
          <w:szCs w:val="21"/>
          <w:highlight w:val="none"/>
        </w:rPr>
      </w:pPr>
      <w:bookmarkStart w:id="41" w:name="_Toc164943190"/>
      <w:bookmarkStart w:id="42" w:name="_Toc397670919"/>
      <w:bookmarkStart w:id="43" w:name="_Toc397670948"/>
      <w:bookmarkStart w:id="44" w:name="_Toc493511613"/>
      <w:bookmarkStart w:id="45" w:name="_Toc177870544"/>
      <w:r>
        <w:rPr>
          <w:rFonts w:hint="eastAsia" w:ascii="微软雅黑" w:hAnsi="微软雅黑" w:eastAsia="微软雅黑" w:cs="微软雅黑"/>
          <w:b/>
          <w:color w:val="auto"/>
          <w:sz w:val="21"/>
          <w:szCs w:val="21"/>
          <w:highlight w:val="none"/>
        </w:rPr>
        <w:t>（一）适用范围</w:t>
      </w:r>
      <w:bookmarkEnd w:id="41"/>
    </w:p>
    <w:p w14:paraId="234B1666">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本磋商文件适用于该项目的招标、投标、评标、定标、验收、合同履约、付款等行为（法律、法规另有规定的，从其规定）。</w:t>
      </w:r>
    </w:p>
    <w:p w14:paraId="073A8382">
      <w:pPr>
        <w:snapToGrid w:val="0"/>
        <w:ind w:firstLine="309" w:firstLineChars="147"/>
        <w:outlineLvl w:val="2"/>
        <w:rPr>
          <w:rFonts w:hint="eastAsia" w:ascii="微软雅黑" w:hAnsi="微软雅黑" w:eastAsia="微软雅黑" w:cs="微软雅黑"/>
          <w:b/>
          <w:color w:val="auto"/>
          <w:sz w:val="21"/>
          <w:szCs w:val="21"/>
          <w:highlight w:val="none"/>
        </w:rPr>
      </w:pPr>
      <w:bookmarkStart w:id="46" w:name="_Toc164943191"/>
      <w:r>
        <w:rPr>
          <w:rFonts w:hint="eastAsia" w:ascii="微软雅黑" w:hAnsi="微软雅黑" w:eastAsia="微软雅黑" w:cs="微软雅黑"/>
          <w:b/>
          <w:color w:val="auto"/>
          <w:sz w:val="21"/>
          <w:szCs w:val="21"/>
          <w:highlight w:val="none"/>
        </w:rPr>
        <w:t>（二）定义</w:t>
      </w:r>
      <w:bookmarkEnd w:id="46"/>
    </w:p>
    <w:p w14:paraId="079D0869">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“采购人”系指招标公告中载明的本项目的采购人。</w:t>
      </w:r>
    </w:p>
    <w:p w14:paraId="44184464">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“采购代理机构”系指招标公告中载明的本项目的采购代理机构</w:t>
      </w:r>
    </w:p>
    <w:p w14:paraId="1B1BD500">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“供应商”系指是指响应招标、参加投标竞争的法人、其他组织或者自然人。</w:t>
      </w:r>
    </w:p>
    <w:p w14:paraId="703FC825">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“负责人”系指法人企业的法定负责人，或其他组织为法律、行政法规规定代表单位行使职权的主要负责人，或自然人本人。</w:t>
      </w:r>
    </w:p>
    <w:p w14:paraId="45FD6F7A">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“产品”系指供方按磋商文件规定，须向采购人提供的一切设备、保险、税金、备品备件、工具、手册及其他有关技术资料和材料。</w:t>
      </w:r>
    </w:p>
    <w:p w14:paraId="6CF34081">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“服务”系指磋商文件规定投标供应商须承担的安装、调试、技术协助、校准、培训、技术指导以及其他类似的义务。</w:t>
      </w:r>
    </w:p>
    <w:p w14:paraId="6A5F5873">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“项目”系指投标供应商按磋商文件规定向采购人提供的产品和服务。</w:t>
      </w:r>
    </w:p>
    <w:p w14:paraId="363FF544">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“书面形式”包括信函、传真、电报等。</w:t>
      </w:r>
    </w:p>
    <w:p w14:paraId="5A4151E5">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“电子签名”系指数据电文中以电子形式所含、所附用于识别签名人身份并表明签名人认可其中内容的数据；“公章”系指单位法定名称章。</w:t>
      </w:r>
    </w:p>
    <w:p w14:paraId="07925C8B">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“电子交易平台”是指本项目政府采购活动所依托的政府采购云平台（https://www.zcygov.cn/）。</w:t>
      </w:r>
    </w:p>
    <w:p w14:paraId="47350D6A">
      <w:pPr>
        <w:numPr>
          <w:ilvl w:val="0"/>
          <w:numId w:val="11"/>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“▲”系指实质性要求条款，不满足实行性要求条款的响应文件无效。“★”系指产品采购项目中核心产品。“</w:t>
      </w: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color w:val="auto"/>
          <w:sz w:val="21"/>
          <w:szCs w:val="21"/>
          <w:highlight w:val="none"/>
        </w:rPr>
        <w:t>” 系指适用本项目的要求，“</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rPr>
        <w:t>” 系指不适用本项目的要求。</w:t>
      </w:r>
    </w:p>
    <w:bookmarkEnd w:id="42"/>
    <w:bookmarkEnd w:id="43"/>
    <w:p w14:paraId="04226AD5">
      <w:pPr>
        <w:snapToGrid w:val="0"/>
        <w:ind w:firstLine="412" w:firstLineChars="196"/>
        <w:outlineLvl w:val="2"/>
        <w:rPr>
          <w:rFonts w:hint="eastAsia" w:ascii="微软雅黑" w:hAnsi="微软雅黑" w:eastAsia="微软雅黑" w:cs="微软雅黑"/>
          <w:b/>
          <w:color w:val="auto"/>
          <w:sz w:val="21"/>
          <w:szCs w:val="21"/>
          <w:highlight w:val="none"/>
        </w:rPr>
      </w:pPr>
      <w:bookmarkStart w:id="47" w:name="_Toc164943192"/>
      <w:bookmarkStart w:id="48" w:name="_Toc397670949"/>
      <w:bookmarkStart w:id="49" w:name="_Toc397670920"/>
      <w:r>
        <w:rPr>
          <w:rFonts w:hint="eastAsia" w:ascii="微软雅黑" w:hAnsi="微软雅黑" w:eastAsia="微软雅黑" w:cs="微软雅黑"/>
          <w:b/>
          <w:color w:val="auto"/>
          <w:sz w:val="21"/>
          <w:szCs w:val="21"/>
          <w:highlight w:val="none"/>
        </w:rPr>
        <w:t>（三）采购方式</w:t>
      </w:r>
      <w:bookmarkEnd w:id="47"/>
    </w:p>
    <w:p w14:paraId="2B8871D9">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本次招标采用竞争性磋商采购方式进行。</w:t>
      </w:r>
    </w:p>
    <w:bookmarkEnd w:id="48"/>
    <w:bookmarkEnd w:id="49"/>
    <w:p w14:paraId="2DC7998F">
      <w:pPr>
        <w:snapToGrid w:val="0"/>
        <w:spacing w:before="120" w:beforeLines="50"/>
        <w:ind w:firstLine="412" w:firstLineChars="196"/>
        <w:outlineLvl w:val="2"/>
        <w:rPr>
          <w:rFonts w:hint="eastAsia" w:ascii="微软雅黑" w:hAnsi="微软雅黑" w:eastAsia="微软雅黑" w:cs="微软雅黑"/>
          <w:b/>
          <w:color w:val="auto"/>
          <w:sz w:val="21"/>
          <w:szCs w:val="21"/>
          <w:highlight w:val="none"/>
        </w:rPr>
      </w:pPr>
      <w:bookmarkStart w:id="50" w:name="_Toc397670950"/>
      <w:bookmarkStart w:id="51" w:name="_Toc164943193"/>
      <w:bookmarkStart w:id="52" w:name="_Toc397670921"/>
      <w:r>
        <w:rPr>
          <w:rFonts w:hint="eastAsia" w:ascii="微软雅黑" w:hAnsi="微软雅黑" w:eastAsia="微软雅黑" w:cs="微软雅黑"/>
          <w:b/>
          <w:color w:val="auto"/>
          <w:sz w:val="21"/>
          <w:szCs w:val="21"/>
          <w:highlight w:val="none"/>
        </w:rPr>
        <w:t>（四）磋商费用</w:t>
      </w:r>
      <w:bookmarkEnd w:id="50"/>
      <w:bookmarkEnd w:id="51"/>
      <w:bookmarkEnd w:id="52"/>
    </w:p>
    <w:p w14:paraId="6C1F22FF">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不论磋商结果如何，供应商均应自行承担所有与投标有关的全部费用（磋商文件有相反规定除外）。</w:t>
      </w:r>
    </w:p>
    <w:p w14:paraId="66BB9A46">
      <w:pPr>
        <w:snapToGrid w:val="0"/>
        <w:spacing w:before="120" w:beforeLines="50"/>
        <w:ind w:firstLine="412" w:firstLineChars="196"/>
        <w:outlineLvl w:val="2"/>
        <w:rPr>
          <w:rFonts w:hint="eastAsia" w:ascii="微软雅黑" w:hAnsi="微软雅黑" w:eastAsia="微软雅黑" w:cs="微软雅黑"/>
          <w:b/>
          <w:color w:val="auto"/>
          <w:sz w:val="21"/>
          <w:szCs w:val="21"/>
          <w:highlight w:val="none"/>
        </w:rPr>
      </w:pPr>
      <w:bookmarkStart w:id="53" w:name="_Toc164943194"/>
      <w:r>
        <w:rPr>
          <w:rFonts w:hint="eastAsia" w:ascii="微软雅黑" w:hAnsi="微软雅黑" w:eastAsia="微软雅黑" w:cs="微软雅黑"/>
          <w:b/>
          <w:color w:val="auto"/>
          <w:sz w:val="21"/>
          <w:szCs w:val="21"/>
          <w:highlight w:val="none"/>
        </w:rPr>
        <w:t>（五）相关政府采购政策</w:t>
      </w:r>
      <w:bookmarkEnd w:id="53"/>
    </w:p>
    <w:p w14:paraId="1C38D034">
      <w:pPr>
        <w:numPr>
          <w:ilvl w:val="0"/>
          <w:numId w:val="12"/>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56588CF">
      <w:pPr>
        <w:numPr>
          <w:ilvl w:val="0"/>
          <w:numId w:val="12"/>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支持绿色发展</w:t>
      </w:r>
    </w:p>
    <w:p w14:paraId="5D6CC540">
      <w:pPr>
        <w:numPr>
          <w:ilvl w:val="1"/>
          <w:numId w:val="12"/>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磋商文件要求提供相关产品认证证书。▲采购人拟采购的产品属于政府强制采购的节能产品品目清单范围的，投标供应商未按磋商文件要求提供国家确定的认证机构出具的、处于有效期之内的节能产品认证证书的，投标无效。</w:t>
      </w:r>
    </w:p>
    <w:p w14:paraId="707760C7">
      <w:pPr>
        <w:numPr>
          <w:ilvl w:val="1"/>
          <w:numId w:val="12"/>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修缮、装修类项目采购建材的，采购人应将绿色建筑和绿色建材性能、指标等作为实质性条件纳入磋商文件和合同。</w:t>
      </w:r>
    </w:p>
    <w:p w14:paraId="2829B53B">
      <w:pPr>
        <w:numPr>
          <w:ilvl w:val="1"/>
          <w:numId w:val="12"/>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FFC95E6">
      <w:pPr>
        <w:numPr>
          <w:ilvl w:val="0"/>
          <w:numId w:val="12"/>
        </w:numPr>
        <w:snapToGrid w:val="0"/>
        <w:ind w:left="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支持中小企业发展</w:t>
      </w:r>
    </w:p>
    <w:p w14:paraId="641127D0">
      <w:pPr>
        <w:numPr>
          <w:ilvl w:val="1"/>
          <w:numId w:val="12"/>
        </w:numPr>
        <w:snapToGrid w:val="0"/>
        <w:ind w:left="7"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1D55E08">
      <w:pPr>
        <w:numPr>
          <w:ilvl w:val="1"/>
          <w:numId w:val="12"/>
        </w:numPr>
        <w:snapToGrid w:val="0"/>
        <w:ind w:left="7"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符合中小企业划分标准的个体工商户，在政府采购活动中视同中小企业。</w:t>
      </w:r>
    </w:p>
    <w:p w14:paraId="17164703">
      <w:pPr>
        <w:numPr>
          <w:ilvl w:val="1"/>
          <w:numId w:val="12"/>
        </w:numPr>
        <w:snapToGrid w:val="0"/>
        <w:ind w:left="7"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在政府采购活动中，投标供应商提供的货物、工程或者服务符合下列情形的，享受中小企业扶持政策：</w:t>
      </w:r>
    </w:p>
    <w:p w14:paraId="3B56A878">
      <w:pPr>
        <w:numPr>
          <w:ilvl w:val="2"/>
          <w:numId w:val="12"/>
        </w:numPr>
        <w:snapToGrid w:val="0"/>
        <w:ind w:left="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在货物采购项目中，货物由中小企业制造，即货物由中小企业生产且使用该中小企业商号或者注册商标；</w:t>
      </w:r>
    </w:p>
    <w:p w14:paraId="4F2695FF">
      <w:pPr>
        <w:numPr>
          <w:ilvl w:val="2"/>
          <w:numId w:val="12"/>
        </w:numPr>
        <w:snapToGrid w:val="0"/>
        <w:ind w:left="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在工程采购项目中，工程由中小企业承建，即工程施工单位为中小企业；</w:t>
      </w:r>
    </w:p>
    <w:p w14:paraId="6C11EBAD">
      <w:pPr>
        <w:numPr>
          <w:ilvl w:val="2"/>
          <w:numId w:val="12"/>
        </w:numPr>
        <w:snapToGrid w:val="0"/>
        <w:ind w:left="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在服务采购项目中，服务由中小企业承接，即提供服务的人员为中小企业依照《中华人民共和国劳动合同法》订立劳动合同的从业人员。</w:t>
      </w:r>
    </w:p>
    <w:p w14:paraId="65A27B59">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在货物采购项目中，投标供应商提供的货物既有中小企业制造货物，也有大型企业制造货物的，不享受中小企业扶持政策。</w:t>
      </w:r>
    </w:p>
    <w:p w14:paraId="73B9AFA3">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以联合体形式参加政府采购活动，联合体各方均为中小企业的，联合体视同中小企业。其中，联合体各方均为小微企业的，联合体视同小微企业。</w:t>
      </w:r>
    </w:p>
    <w:p w14:paraId="0E136C32">
      <w:pPr>
        <w:numPr>
          <w:ilvl w:val="1"/>
          <w:numId w:val="12"/>
        </w:numPr>
        <w:snapToGrid w:val="0"/>
        <w:ind w:left="7"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符合《关于促进残疾人就业政府采购政策的通知》（财库〔2017〕141号）规定的条件并提供《残疾人福利性单位声明函》（附件1）的残疾人福利性单位视同小型、微型企业；</w:t>
      </w:r>
    </w:p>
    <w:p w14:paraId="7EDBAEA5">
      <w:pPr>
        <w:numPr>
          <w:ilvl w:val="1"/>
          <w:numId w:val="12"/>
        </w:numPr>
        <w:snapToGrid w:val="0"/>
        <w:ind w:left="7"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896F7FF">
      <w:pPr>
        <w:numPr>
          <w:ilvl w:val="1"/>
          <w:numId w:val="12"/>
        </w:numPr>
        <w:snapToGrid w:val="0"/>
        <w:ind w:left="7"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可享受中小企业扶持政策的投标供应商应按照磋商文件格式要求提供《中小企业声明函》，投标供应商提供的《中小企业声明函》与实际情况不符的，不享受中小企业扶持政策。声明内容不实的，属于提供虚假材料谋取中标、成交的，依法承担法律责任。</w:t>
      </w:r>
    </w:p>
    <w:p w14:paraId="0AF0D6B1">
      <w:pPr>
        <w:numPr>
          <w:ilvl w:val="1"/>
          <w:numId w:val="12"/>
        </w:numPr>
        <w:snapToGrid w:val="0"/>
        <w:ind w:left="7" w:firstLine="411" w:firstLineChars="19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中小企业享受扶持政策获得政府采购合同的，小微企业不得将合同分包给大中型企业，中型企业不得将合同分包给大型企业。</w:t>
      </w:r>
    </w:p>
    <w:p w14:paraId="75F3158D">
      <w:pPr>
        <w:snapToGrid w:val="0"/>
        <w:ind w:firstLine="412" w:firstLineChars="196"/>
        <w:outlineLvl w:val="2"/>
        <w:rPr>
          <w:rFonts w:hint="eastAsia" w:ascii="微软雅黑" w:hAnsi="微软雅黑" w:eastAsia="微软雅黑" w:cs="微软雅黑"/>
          <w:b/>
          <w:color w:val="auto"/>
          <w:sz w:val="21"/>
          <w:szCs w:val="21"/>
          <w:highlight w:val="none"/>
        </w:rPr>
      </w:pPr>
      <w:bookmarkStart w:id="54" w:name="_Toc164943195"/>
      <w:r>
        <w:rPr>
          <w:rFonts w:hint="eastAsia" w:ascii="微软雅黑" w:hAnsi="微软雅黑" w:eastAsia="微软雅黑" w:cs="微软雅黑"/>
          <w:b/>
          <w:color w:val="auto"/>
          <w:sz w:val="21"/>
          <w:szCs w:val="21"/>
          <w:highlight w:val="none"/>
        </w:rPr>
        <w:t>（六）特别说明：</w:t>
      </w:r>
      <w:bookmarkEnd w:id="54"/>
    </w:p>
    <w:p w14:paraId="4EEC9B6D">
      <w:pPr>
        <w:pStyle w:val="28"/>
        <w:numPr>
          <w:ilvl w:val="0"/>
          <w:numId w:val="13"/>
        </w:numPr>
        <w:spacing w:line="360" w:lineRule="auto"/>
        <w:ind w:left="0" w:firstLine="420" w:firstLineChars="0"/>
        <w:outlineLvl w:val="9"/>
        <w:rPr>
          <w:rFonts w:hint="eastAsia" w:ascii="微软雅黑" w:hAnsi="微软雅黑" w:eastAsia="微软雅黑" w:cs="微软雅黑"/>
          <w:color w:val="auto"/>
          <w:sz w:val="21"/>
          <w:szCs w:val="21"/>
          <w:highlight w:val="none"/>
        </w:rPr>
      </w:pPr>
      <w:bookmarkStart w:id="55" w:name="_Toc19141"/>
      <w:r>
        <w:rPr>
          <w:rFonts w:hint="eastAsia" w:ascii="微软雅黑" w:hAnsi="微软雅黑" w:eastAsia="微软雅黑" w:cs="微软雅黑"/>
          <w:color w:val="auto"/>
          <w:sz w:val="21"/>
          <w:szCs w:val="21"/>
          <w:highlight w:val="none"/>
        </w:rPr>
        <w:t>采用最低评标价法的采购项目，提供相同品牌产品的不同投标供应商参加同一合同项下投标的，以其中通过资格审查、符合性审查且报价最低的参加评标；报价相同时，由采购人或者采购人委托评标委员会按照招标文件规定的方式确定1个参加评标的投标人，磋商文件未规定的采取随机抽取方式确定，其他投标无效。</w:t>
      </w:r>
      <w:bookmarkEnd w:id="55"/>
    </w:p>
    <w:p w14:paraId="79838ED0">
      <w:pPr>
        <w:pStyle w:val="28"/>
        <w:spacing w:line="360" w:lineRule="auto"/>
        <w:outlineLvl w:val="9"/>
        <w:rPr>
          <w:rFonts w:hint="eastAsia" w:ascii="微软雅黑" w:hAnsi="微软雅黑" w:eastAsia="微软雅黑" w:cs="微软雅黑"/>
          <w:color w:val="auto"/>
          <w:sz w:val="21"/>
          <w:szCs w:val="21"/>
          <w:highlight w:val="none"/>
        </w:rPr>
      </w:pPr>
      <w:bookmarkStart w:id="56" w:name="_Toc17406"/>
      <w:r>
        <w:rPr>
          <w:rFonts w:hint="eastAsia" w:ascii="微软雅黑" w:hAnsi="微软雅黑" w:eastAsia="微软雅黑" w:cs="微软雅黑"/>
          <w:color w:val="auto"/>
          <w:sz w:val="21"/>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磋商文件规定的方式确定一个投标供应商获得中标供应商推荐资格，磋商文件未规定的采取随机抽取方式确定，其他同品牌投标供应商不作为中标候选人。</w:t>
      </w:r>
      <w:bookmarkEnd w:id="56"/>
    </w:p>
    <w:p w14:paraId="4308B953">
      <w:pPr>
        <w:pStyle w:val="28"/>
        <w:numPr>
          <w:ilvl w:val="0"/>
          <w:numId w:val="13"/>
        </w:numPr>
        <w:spacing w:line="360" w:lineRule="auto"/>
        <w:ind w:left="0" w:firstLine="420" w:firstLineChars="0"/>
        <w:outlineLvl w:val="9"/>
        <w:rPr>
          <w:rFonts w:hint="eastAsia" w:ascii="微软雅黑" w:hAnsi="微软雅黑" w:eastAsia="微软雅黑" w:cs="微软雅黑"/>
          <w:color w:val="auto"/>
          <w:sz w:val="21"/>
          <w:szCs w:val="21"/>
          <w:highlight w:val="none"/>
        </w:rPr>
      </w:pPr>
      <w:bookmarkStart w:id="57" w:name="_Toc13609"/>
      <w:r>
        <w:rPr>
          <w:rFonts w:hint="eastAsia" w:ascii="微软雅黑" w:hAnsi="微软雅黑" w:eastAsia="微软雅黑" w:cs="微软雅黑"/>
          <w:color w:val="auto"/>
          <w:sz w:val="21"/>
          <w:szCs w:val="21"/>
          <w:highlight w:val="none"/>
        </w:rPr>
        <w:t>投标供应商投标所使用的资格、信誉、荣誉、业绩与企业认证必须为本法人所拥有。投标供应商投标所使用的采购项目实施人员必须为本法人员工（或必须为本法人或控股投标供应商正式员工）。</w:t>
      </w:r>
      <w:bookmarkEnd w:id="57"/>
    </w:p>
    <w:p w14:paraId="0E42CF2D">
      <w:pPr>
        <w:pStyle w:val="28"/>
        <w:numPr>
          <w:ilvl w:val="0"/>
          <w:numId w:val="13"/>
        </w:numPr>
        <w:spacing w:line="360" w:lineRule="auto"/>
        <w:ind w:left="0" w:firstLine="420" w:firstLineChars="0"/>
        <w:outlineLvl w:val="9"/>
        <w:rPr>
          <w:rFonts w:hint="eastAsia" w:ascii="微软雅黑" w:hAnsi="微软雅黑" w:eastAsia="微软雅黑" w:cs="微软雅黑"/>
          <w:color w:val="auto"/>
          <w:sz w:val="21"/>
          <w:szCs w:val="21"/>
          <w:highlight w:val="none"/>
        </w:rPr>
      </w:pPr>
      <w:bookmarkStart w:id="58" w:name="_Toc31061"/>
      <w:r>
        <w:rPr>
          <w:rFonts w:hint="eastAsia" w:ascii="微软雅黑" w:hAnsi="微软雅黑" w:eastAsia="微软雅黑" w:cs="微软雅黑"/>
          <w:color w:val="auto"/>
          <w:sz w:val="21"/>
          <w:szCs w:val="21"/>
          <w:highlight w:val="none"/>
        </w:rPr>
        <w:t>投标供应商应仔细阅读磋商文件的所有内容，按照磋商文件的要求提交响应文件，并对所提供的全部资料的真实性承担法律责任。</w:t>
      </w:r>
      <w:bookmarkEnd w:id="58"/>
    </w:p>
    <w:p w14:paraId="0182C593">
      <w:pPr>
        <w:pStyle w:val="28"/>
        <w:numPr>
          <w:ilvl w:val="0"/>
          <w:numId w:val="13"/>
        </w:numPr>
        <w:spacing w:line="360" w:lineRule="auto"/>
        <w:ind w:left="0" w:firstLine="420" w:firstLineChars="0"/>
        <w:outlineLvl w:val="9"/>
        <w:rPr>
          <w:rFonts w:hint="eastAsia" w:ascii="微软雅黑" w:hAnsi="微软雅黑" w:eastAsia="微软雅黑" w:cs="微软雅黑"/>
          <w:color w:val="auto"/>
          <w:sz w:val="21"/>
          <w:szCs w:val="21"/>
          <w:highlight w:val="none"/>
        </w:rPr>
      </w:pPr>
      <w:bookmarkStart w:id="59" w:name="_Toc6965"/>
      <w:r>
        <w:rPr>
          <w:rFonts w:hint="eastAsia" w:ascii="微软雅黑" w:hAnsi="微软雅黑" w:eastAsia="微软雅黑" w:cs="微软雅黑"/>
          <w:color w:val="auto"/>
          <w:sz w:val="21"/>
          <w:szCs w:val="21"/>
          <w:highlight w:val="none"/>
        </w:rPr>
        <w:t>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bookmarkEnd w:id="59"/>
    </w:p>
    <w:p w14:paraId="51AC5F37">
      <w:pPr>
        <w:pStyle w:val="28"/>
        <w:numPr>
          <w:ilvl w:val="0"/>
          <w:numId w:val="13"/>
        </w:numPr>
        <w:spacing w:line="360" w:lineRule="auto"/>
        <w:ind w:left="0" w:firstLine="420" w:firstLineChars="0"/>
        <w:outlineLvl w:val="9"/>
        <w:rPr>
          <w:rFonts w:hint="eastAsia" w:ascii="微软雅黑" w:hAnsi="微软雅黑" w:eastAsia="微软雅黑" w:cs="微软雅黑"/>
          <w:color w:val="auto"/>
          <w:sz w:val="21"/>
          <w:szCs w:val="21"/>
          <w:highlight w:val="none"/>
        </w:rPr>
      </w:pPr>
      <w:bookmarkStart w:id="60" w:name="_Toc2585"/>
      <w:r>
        <w:rPr>
          <w:rFonts w:hint="eastAsia" w:ascii="微软雅黑" w:hAnsi="微软雅黑" w:eastAsia="微软雅黑" w:cs="微软雅黑"/>
          <w:color w:val="auto"/>
          <w:sz w:val="21"/>
          <w:szCs w:val="21"/>
          <w:highlight w:val="none"/>
        </w:rPr>
        <w:t>采购人因建设、发展、改造、提升等原因，需要在服务周期内增加或减少相应岗位服务人员的，按中标单价进行核减或增加，经财政审批同意后，供应商须无条件服从，并签订合同补充协议。</w:t>
      </w:r>
      <w:bookmarkEnd w:id="60"/>
    </w:p>
    <w:p w14:paraId="7B5FE116">
      <w:pPr>
        <w:ind w:firstLine="4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（七）质疑和投诉</w:t>
      </w:r>
    </w:p>
    <w:p w14:paraId="4598EE7E">
      <w:pPr>
        <w:pStyle w:val="28"/>
        <w:numPr>
          <w:ilvl w:val="0"/>
          <w:numId w:val="14"/>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61" w:name="_Toc8403"/>
      <w:r>
        <w:rPr>
          <w:rFonts w:hint="eastAsia" w:ascii="微软雅黑" w:hAnsi="微软雅黑" w:eastAsia="微软雅黑" w:cs="微软雅黑"/>
          <w:color w:val="auto"/>
          <w:sz w:val="21"/>
          <w:szCs w:val="21"/>
          <w:highlight w:val="none"/>
        </w:rPr>
        <w:t>质疑和投诉应当满足《政府采购质疑和投诉办法》（中华人民共和国财政部令第94号）要求。</w:t>
      </w:r>
      <w:bookmarkEnd w:id="61"/>
    </w:p>
    <w:p w14:paraId="5F25AB36">
      <w:pPr>
        <w:pStyle w:val="28"/>
        <w:numPr>
          <w:ilvl w:val="0"/>
          <w:numId w:val="14"/>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62" w:name="_Toc20387"/>
      <w:r>
        <w:rPr>
          <w:rFonts w:hint="eastAsia" w:ascii="微软雅黑" w:hAnsi="微软雅黑" w:eastAsia="微软雅黑" w:cs="微软雅黑"/>
          <w:color w:val="auto"/>
          <w:sz w:val="21"/>
          <w:szCs w:val="21"/>
          <w:highlight w:val="none"/>
        </w:rPr>
        <w:t>磋商文件质疑：供应商可在获取磋商文件之日或者磋商文件公告期限届满之日（公告期限届满后获取磋商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bookmarkEnd w:id="62"/>
    </w:p>
    <w:p w14:paraId="2F16191A">
      <w:pPr>
        <w:pStyle w:val="28"/>
        <w:numPr>
          <w:ilvl w:val="0"/>
          <w:numId w:val="14"/>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63" w:name="_Toc21158"/>
      <w:r>
        <w:rPr>
          <w:rFonts w:hint="eastAsia" w:ascii="微软雅黑" w:hAnsi="微软雅黑" w:eastAsia="微软雅黑" w:cs="微软雅黑"/>
          <w:color w:val="auto"/>
          <w:sz w:val="21"/>
          <w:szCs w:val="21"/>
          <w:highlight w:val="none"/>
        </w:rPr>
        <w:t>供应商须在法定质疑期内一次性提出针对同一采购程序环节的质疑。</w:t>
      </w:r>
      <w:bookmarkEnd w:id="63"/>
    </w:p>
    <w:p w14:paraId="63902CA2">
      <w:pPr>
        <w:pStyle w:val="28"/>
        <w:numPr>
          <w:ilvl w:val="0"/>
          <w:numId w:val="14"/>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64" w:name="_Toc8694"/>
      <w:r>
        <w:rPr>
          <w:rFonts w:hint="eastAsia" w:ascii="微软雅黑" w:hAnsi="微软雅黑" w:eastAsia="微软雅黑" w:cs="微软雅黑"/>
          <w:color w:val="auto"/>
          <w:sz w:val="21"/>
          <w:szCs w:val="21"/>
          <w:highlight w:val="none"/>
        </w:rPr>
        <w:t>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bookmarkEnd w:id="64"/>
    </w:p>
    <w:p w14:paraId="4DC17303">
      <w:pPr>
        <w:pStyle w:val="3"/>
        <w:ind w:firstLine="420"/>
        <w:rPr>
          <w:rFonts w:hint="eastAsia" w:ascii="微软雅黑" w:hAnsi="微软雅黑" w:eastAsia="微软雅黑" w:cs="微软雅黑"/>
          <w:color w:val="auto"/>
          <w:sz w:val="21"/>
          <w:szCs w:val="21"/>
          <w:highlight w:val="none"/>
        </w:rPr>
      </w:pPr>
      <w:bookmarkStart w:id="65" w:name="_Toc22248"/>
      <w:r>
        <w:rPr>
          <w:rFonts w:hint="eastAsia" w:ascii="微软雅黑" w:hAnsi="微软雅黑" w:eastAsia="微软雅黑" w:cs="微软雅黑"/>
          <w:color w:val="auto"/>
          <w:sz w:val="21"/>
          <w:szCs w:val="21"/>
          <w:highlight w:val="none"/>
        </w:rPr>
        <w:t>二 、</w:t>
      </w:r>
      <w:bookmarkEnd w:id="44"/>
      <w:bookmarkEnd w:id="45"/>
      <w:r>
        <w:rPr>
          <w:rFonts w:hint="eastAsia" w:ascii="微软雅黑" w:hAnsi="微软雅黑" w:eastAsia="微软雅黑" w:cs="微软雅黑"/>
          <w:color w:val="auto"/>
          <w:sz w:val="21"/>
          <w:szCs w:val="21"/>
          <w:highlight w:val="none"/>
        </w:rPr>
        <w:t>磋商文件</w:t>
      </w:r>
      <w:bookmarkEnd w:id="65"/>
    </w:p>
    <w:p w14:paraId="7A87C931">
      <w:pPr>
        <w:snapToGrid w:val="0"/>
        <w:ind w:firstLine="412" w:firstLineChars="196"/>
        <w:rPr>
          <w:rFonts w:hint="eastAsia" w:ascii="微软雅黑" w:hAnsi="微软雅黑" w:eastAsia="微软雅黑" w:cs="微软雅黑"/>
          <w:b/>
          <w:color w:val="auto"/>
          <w:sz w:val="21"/>
          <w:szCs w:val="21"/>
          <w:highlight w:val="none"/>
        </w:rPr>
      </w:pPr>
      <w:bookmarkStart w:id="66" w:name="_Toc177870545"/>
      <w:bookmarkStart w:id="67" w:name="_Toc493511630"/>
      <w:r>
        <w:rPr>
          <w:rFonts w:hint="eastAsia" w:ascii="微软雅黑" w:hAnsi="微软雅黑" w:eastAsia="微软雅黑" w:cs="微软雅黑"/>
          <w:b/>
          <w:color w:val="auto"/>
          <w:sz w:val="21"/>
          <w:szCs w:val="21"/>
          <w:highlight w:val="none"/>
        </w:rPr>
        <w:t>（一）磋商文件的构成。本磋商文件由以下部分组成：</w:t>
      </w:r>
    </w:p>
    <w:p w14:paraId="093F5073">
      <w:pPr>
        <w:pStyle w:val="28"/>
        <w:numPr>
          <w:ilvl w:val="0"/>
          <w:numId w:val="15"/>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68" w:name="_Toc2975"/>
      <w:r>
        <w:rPr>
          <w:rFonts w:hint="eastAsia" w:ascii="微软雅黑" w:hAnsi="微软雅黑" w:eastAsia="微软雅黑" w:cs="微软雅黑"/>
          <w:color w:val="auto"/>
          <w:sz w:val="21"/>
          <w:szCs w:val="21"/>
          <w:highlight w:val="none"/>
        </w:rPr>
        <w:t>磋商公告</w:t>
      </w:r>
      <w:bookmarkEnd w:id="68"/>
    </w:p>
    <w:p w14:paraId="556E0DA1">
      <w:pPr>
        <w:pStyle w:val="28"/>
        <w:numPr>
          <w:ilvl w:val="0"/>
          <w:numId w:val="15"/>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69" w:name="_Toc32327"/>
      <w:r>
        <w:rPr>
          <w:rFonts w:hint="eastAsia" w:ascii="微软雅黑" w:hAnsi="微软雅黑" w:eastAsia="微软雅黑" w:cs="微软雅黑"/>
          <w:color w:val="auto"/>
          <w:sz w:val="21"/>
          <w:szCs w:val="21"/>
          <w:highlight w:val="none"/>
        </w:rPr>
        <w:t>磋商需求</w:t>
      </w:r>
      <w:bookmarkEnd w:id="69"/>
    </w:p>
    <w:p w14:paraId="7D468D8E">
      <w:pPr>
        <w:pStyle w:val="28"/>
        <w:numPr>
          <w:ilvl w:val="0"/>
          <w:numId w:val="15"/>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0" w:name="_Toc4507"/>
      <w:r>
        <w:rPr>
          <w:rFonts w:hint="eastAsia" w:ascii="微软雅黑" w:hAnsi="微软雅黑" w:eastAsia="微软雅黑" w:cs="微软雅黑"/>
          <w:color w:val="auto"/>
          <w:sz w:val="21"/>
          <w:szCs w:val="21"/>
          <w:highlight w:val="none"/>
        </w:rPr>
        <w:t>磋商供应商须知</w:t>
      </w:r>
      <w:bookmarkEnd w:id="70"/>
    </w:p>
    <w:p w14:paraId="57173B6A">
      <w:pPr>
        <w:pStyle w:val="28"/>
        <w:numPr>
          <w:ilvl w:val="0"/>
          <w:numId w:val="15"/>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1" w:name="_Toc31910"/>
      <w:r>
        <w:rPr>
          <w:rFonts w:hint="eastAsia" w:ascii="微软雅黑" w:hAnsi="微软雅黑" w:eastAsia="微软雅黑" w:cs="微软雅黑"/>
          <w:color w:val="auto"/>
          <w:sz w:val="21"/>
          <w:szCs w:val="21"/>
          <w:highlight w:val="none"/>
        </w:rPr>
        <w:t>磋商办法及磋商标准</w:t>
      </w:r>
      <w:bookmarkEnd w:id="71"/>
    </w:p>
    <w:p w14:paraId="39B1826A">
      <w:pPr>
        <w:pStyle w:val="28"/>
        <w:numPr>
          <w:ilvl w:val="0"/>
          <w:numId w:val="15"/>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2" w:name="_Toc22426"/>
      <w:r>
        <w:rPr>
          <w:rFonts w:hint="eastAsia" w:ascii="微软雅黑" w:hAnsi="微软雅黑" w:eastAsia="微软雅黑" w:cs="微软雅黑"/>
          <w:color w:val="auto"/>
          <w:sz w:val="21"/>
          <w:szCs w:val="21"/>
          <w:highlight w:val="none"/>
        </w:rPr>
        <w:t>合同主要条款</w:t>
      </w:r>
      <w:bookmarkEnd w:id="72"/>
    </w:p>
    <w:p w14:paraId="0AA0E105">
      <w:pPr>
        <w:pStyle w:val="28"/>
        <w:numPr>
          <w:ilvl w:val="0"/>
          <w:numId w:val="15"/>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3" w:name="_Toc4335"/>
      <w:r>
        <w:rPr>
          <w:rFonts w:hint="eastAsia" w:ascii="微软雅黑" w:hAnsi="微软雅黑" w:eastAsia="微软雅黑" w:cs="微软雅黑"/>
          <w:color w:val="auto"/>
          <w:sz w:val="21"/>
          <w:szCs w:val="21"/>
          <w:highlight w:val="none"/>
        </w:rPr>
        <w:t>响应文件格式</w:t>
      </w:r>
      <w:bookmarkEnd w:id="73"/>
    </w:p>
    <w:p w14:paraId="47C2E704">
      <w:pPr>
        <w:pStyle w:val="28"/>
        <w:numPr>
          <w:ilvl w:val="0"/>
          <w:numId w:val="15"/>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4" w:name="_Toc27404"/>
      <w:r>
        <w:rPr>
          <w:rFonts w:hint="eastAsia" w:ascii="微软雅黑" w:hAnsi="微软雅黑" w:eastAsia="微软雅黑" w:cs="微软雅黑"/>
          <w:color w:val="auto"/>
          <w:sz w:val="21"/>
          <w:szCs w:val="21"/>
          <w:highlight w:val="none"/>
        </w:rPr>
        <w:t>本项目磋商文件的澄清、答复、修改、补充的内容</w:t>
      </w:r>
      <w:bookmarkEnd w:id="74"/>
    </w:p>
    <w:p w14:paraId="00407ADD">
      <w:pPr>
        <w:snapToGrid w:val="0"/>
        <w:ind w:firstLine="412" w:firstLineChars="196"/>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（二）投标供应商的风险</w:t>
      </w:r>
    </w:p>
    <w:p w14:paraId="7F379EE4">
      <w:pPr>
        <w:pStyle w:val="42"/>
        <w:ind w:firstLine="424" w:firstLine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投标供应商没有按照磋商文件要求提供全部资料，或者投标供应商没有对磋商文件在各方面做出实质性响应是投标供应商的风险，并可能导致其投标为无效标。</w:t>
      </w:r>
    </w:p>
    <w:p w14:paraId="6227446A">
      <w:pPr>
        <w:pStyle w:val="290"/>
        <w:snapToGrid w:val="0"/>
        <w:spacing w:before="0"/>
        <w:ind w:left="480" w:firstLine="0" w:firstLine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（三）磋商文件的澄清与修改</w:t>
      </w:r>
    </w:p>
    <w:p w14:paraId="18B18177">
      <w:pPr>
        <w:pStyle w:val="28"/>
        <w:numPr>
          <w:ilvl w:val="0"/>
          <w:numId w:val="16"/>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5" w:name="_Toc23635"/>
      <w:r>
        <w:rPr>
          <w:rFonts w:hint="eastAsia" w:ascii="微软雅黑" w:hAnsi="微软雅黑" w:eastAsia="微软雅黑" w:cs="微软雅黑"/>
          <w:color w:val="auto"/>
          <w:sz w:val="21"/>
          <w:szCs w:val="21"/>
          <w:highlight w:val="none"/>
        </w:rPr>
        <w:t>投标供应商应认真阅读本磋商文件，发现其中有误或有不合理要求的，可要求招标采购人澄清。招标采购人对已发出的磋商文件进行必要澄清或者修改的，应当在磋商文件要求提交响应文件截止三日前，在财政部门指定的政府采购信息发布媒体上发布更正公告。</w:t>
      </w:r>
      <w:bookmarkEnd w:id="75"/>
    </w:p>
    <w:p w14:paraId="6F47C921">
      <w:pPr>
        <w:pStyle w:val="28"/>
        <w:numPr>
          <w:ilvl w:val="0"/>
          <w:numId w:val="16"/>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6" w:name="_Toc5081"/>
      <w:r>
        <w:rPr>
          <w:rFonts w:hint="eastAsia" w:ascii="微软雅黑" w:hAnsi="微软雅黑" w:eastAsia="微软雅黑" w:cs="微软雅黑"/>
          <w:color w:val="auto"/>
          <w:sz w:val="21"/>
          <w:szCs w:val="21"/>
          <w:highlight w:val="none"/>
        </w:rPr>
        <w:t>磋商文件澄清或者修改的内容为磋商文件的组成部分。当磋商文件与澄清或者修改就同一内容的表述不一致时，以最后发出的书面文件为准。</w:t>
      </w:r>
      <w:bookmarkEnd w:id="76"/>
    </w:p>
    <w:p w14:paraId="69215C4E">
      <w:pPr>
        <w:pStyle w:val="28"/>
        <w:numPr>
          <w:ilvl w:val="0"/>
          <w:numId w:val="16"/>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77" w:name="_Toc27817"/>
      <w:r>
        <w:rPr>
          <w:rFonts w:hint="eastAsia" w:ascii="微软雅黑" w:hAnsi="微软雅黑" w:eastAsia="微软雅黑" w:cs="微软雅黑"/>
          <w:color w:val="auto"/>
          <w:sz w:val="21"/>
          <w:szCs w:val="21"/>
          <w:highlight w:val="none"/>
        </w:rPr>
        <w:t>对磋商文件的澄清、答复、修改或补充都应该通过代理机构以法定形式发布，采购人非通过本机构，不得擅自澄清、答复、修改或补充磋商文件。</w:t>
      </w:r>
      <w:bookmarkEnd w:id="77"/>
    </w:p>
    <w:p w14:paraId="5F4DFB67">
      <w:pPr>
        <w:pStyle w:val="3"/>
        <w:ind w:firstLine="420"/>
        <w:rPr>
          <w:rFonts w:hint="eastAsia" w:ascii="微软雅黑" w:hAnsi="微软雅黑" w:eastAsia="微软雅黑" w:cs="微软雅黑"/>
          <w:color w:val="auto"/>
          <w:sz w:val="21"/>
          <w:szCs w:val="21"/>
          <w:highlight w:val="none"/>
        </w:rPr>
      </w:pPr>
      <w:bookmarkStart w:id="78" w:name="_Toc16319"/>
      <w:r>
        <w:rPr>
          <w:rFonts w:hint="eastAsia" w:ascii="微软雅黑" w:hAnsi="微软雅黑" w:eastAsia="微软雅黑" w:cs="微软雅黑"/>
          <w:color w:val="auto"/>
          <w:sz w:val="21"/>
          <w:szCs w:val="21"/>
          <w:highlight w:val="none"/>
        </w:rPr>
        <w:t>三、 响应文件的编制</w:t>
      </w:r>
      <w:bookmarkEnd w:id="66"/>
      <w:bookmarkEnd w:id="67"/>
      <w:bookmarkEnd w:id="78"/>
    </w:p>
    <w:p w14:paraId="3699DB91">
      <w:pPr>
        <w:ind w:firstLine="420"/>
        <w:rPr>
          <w:rFonts w:hint="eastAsia" w:ascii="微软雅黑" w:hAnsi="微软雅黑" w:eastAsia="微软雅黑" w:cs="微软雅黑"/>
          <w:b/>
          <w:bCs/>
          <w:color w:val="auto"/>
          <w:sz w:val="21"/>
          <w:szCs w:val="21"/>
          <w:highlight w:val="none"/>
        </w:rPr>
      </w:pPr>
      <w:bookmarkStart w:id="79" w:name="_Toc21392"/>
      <w:bookmarkStart w:id="80" w:name="_Toc14074"/>
      <w:bookmarkStart w:id="81" w:name="_Toc406402988"/>
      <w:bookmarkStart w:id="82" w:name="_Toc532218225"/>
      <w:bookmarkStart w:id="83" w:name="_Toc406402944"/>
      <w:bookmarkStart w:id="84" w:name="_Toc33535369"/>
      <w:bookmarkStart w:id="85" w:name="_Toc493511751"/>
      <w:r>
        <w:rPr>
          <w:rFonts w:hint="eastAsia" w:ascii="微软雅黑" w:hAnsi="微软雅黑" w:eastAsia="微软雅黑" w:cs="微软雅黑"/>
          <w:b/>
          <w:bCs/>
          <w:color w:val="auto"/>
          <w:sz w:val="21"/>
          <w:szCs w:val="21"/>
          <w:highlight w:val="none"/>
        </w:rPr>
        <w:t>本项目所涉响应文件格式请详见第六章，未给出的格式请自拟。商务、资信及其他及技术文件中不得出现报价，否则响应文件将被视为无效。</w:t>
      </w:r>
    </w:p>
    <w:p w14:paraId="6FDE1520">
      <w:pPr>
        <w:ind w:firstLine="4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注：电子响应文件按政采云平台供应商电子招投标操作指南及本磋商文件规定的格式和顺序编制电子响应文件并进行关联。建议根据磋商文件合格供应商的资格要求、响应文件的编制及评分标准等内容一一关联。</w:t>
      </w:r>
    </w:p>
    <w:p w14:paraId="287E4BD8">
      <w:pPr>
        <w:ind w:firstLine="4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路径：浙江省“项目采购电子交易系统/不见面开评标”学习专题-操作指南-供应商</w:t>
      </w:r>
    </w:p>
    <w:p w14:paraId="1170995E">
      <w:pPr>
        <w:ind w:firstLine="4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网址：</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
          <w:bCs/>
          <w:color w:val="auto"/>
          <w:sz w:val="21"/>
          <w:szCs w:val="21"/>
          <w:highlight w:val="none"/>
        </w:rPr>
        <w:t>https://edu.zcygov.cn/luban/e-biding</w:t>
      </w:r>
      <w:r>
        <w:rPr>
          <w:rFonts w:hint="eastAsia" w:ascii="微软雅黑" w:hAnsi="微软雅黑" w:eastAsia="微软雅黑" w:cs="微软雅黑"/>
          <w:b/>
          <w:bCs/>
          <w:color w:val="auto"/>
          <w:sz w:val="21"/>
          <w:szCs w:val="21"/>
          <w:highlight w:val="none"/>
        </w:rPr>
        <w:fldChar w:fldCharType="end"/>
      </w:r>
    </w:p>
    <w:p w14:paraId="6265B961">
      <w:pPr>
        <w:ind w:firstLine="4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总体要求：</w:t>
      </w:r>
    </w:p>
    <w:p w14:paraId="20A37807">
      <w:pPr>
        <w:pStyle w:val="28"/>
        <w:numPr>
          <w:ilvl w:val="0"/>
          <w:numId w:val="17"/>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86" w:name="_Toc23259"/>
      <w:r>
        <w:rPr>
          <w:rFonts w:hint="eastAsia" w:ascii="微软雅黑" w:hAnsi="微软雅黑" w:eastAsia="微软雅黑" w:cs="微软雅黑"/>
          <w:color w:val="auto"/>
          <w:sz w:val="21"/>
          <w:szCs w:val="21"/>
          <w:highlight w:val="none"/>
        </w:rPr>
        <w:t>供应商应仔细阅读磋商文件的所有内容，按本文件的要求提供响应文件，并保证所提供的全部资料的真实性，以使其响应文件对磋商文件作出实质性响应，否则，响应文件可能视为无效响应文件。</w:t>
      </w:r>
      <w:bookmarkEnd w:id="86"/>
      <w:r>
        <w:rPr>
          <w:rFonts w:hint="eastAsia" w:ascii="微软雅黑" w:hAnsi="微软雅黑" w:eastAsia="微软雅黑" w:cs="微软雅黑"/>
          <w:color w:val="auto"/>
          <w:sz w:val="21"/>
          <w:szCs w:val="21"/>
          <w:highlight w:val="none"/>
        </w:rPr>
        <w:t xml:space="preserve"> </w:t>
      </w:r>
    </w:p>
    <w:p w14:paraId="6722ED84">
      <w:pPr>
        <w:pStyle w:val="28"/>
        <w:numPr>
          <w:ilvl w:val="0"/>
          <w:numId w:val="17"/>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87" w:name="_Toc1441"/>
      <w:r>
        <w:rPr>
          <w:rFonts w:hint="eastAsia" w:ascii="微软雅黑" w:hAnsi="微软雅黑" w:eastAsia="微软雅黑" w:cs="微软雅黑"/>
          <w:color w:val="auto"/>
          <w:sz w:val="21"/>
          <w:szCs w:val="21"/>
          <w:highlight w:val="none"/>
        </w:rPr>
        <w:t>响应文件及供应商与采购有关的来往通知，函件和文件均应使用中文。</w:t>
      </w:r>
      <w:bookmarkEnd w:id="87"/>
    </w:p>
    <w:p w14:paraId="08BC9540">
      <w:pPr>
        <w:pStyle w:val="28"/>
        <w:numPr>
          <w:ilvl w:val="0"/>
          <w:numId w:val="17"/>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88" w:name="_Toc9584"/>
      <w:r>
        <w:rPr>
          <w:rFonts w:hint="eastAsia" w:ascii="微软雅黑" w:hAnsi="微软雅黑" w:eastAsia="微软雅黑" w:cs="微软雅黑"/>
          <w:color w:val="auto"/>
          <w:sz w:val="21"/>
          <w:szCs w:val="21"/>
          <w:highlight w:val="none"/>
        </w:rPr>
        <w:t>供应商应按本文件中提供的文件格式、内容和要求制作响应文件。</w:t>
      </w:r>
      <w:bookmarkEnd w:id="88"/>
    </w:p>
    <w:p w14:paraId="78ED721B">
      <w:pPr>
        <w:pStyle w:val="4"/>
        <w:ind w:firstLine="420"/>
        <w:rPr>
          <w:rFonts w:hint="eastAsia" w:ascii="微软雅黑" w:hAnsi="微软雅黑" w:eastAsia="微软雅黑" w:cs="微软雅黑"/>
          <w:color w:val="auto"/>
          <w:sz w:val="21"/>
          <w:szCs w:val="21"/>
          <w:highlight w:val="none"/>
        </w:rPr>
      </w:pPr>
      <w:bookmarkStart w:id="89" w:name="_Toc164943198"/>
      <w:bookmarkStart w:id="90" w:name="_Toc26703"/>
      <w:r>
        <w:rPr>
          <w:rFonts w:hint="eastAsia" w:ascii="微软雅黑" w:hAnsi="微软雅黑" w:eastAsia="微软雅黑" w:cs="微软雅黑"/>
          <w:color w:val="auto"/>
          <w:sz w:val="21"/>
          <w:szCs w:val="21"/>
          <w:highlight w:val="none"/>
        </w:rPr>
        <w:t>（一）响应文件的组成</w:t>
      </w:r>
      <w:bookmarkEnd w:id="79"/>
      <w:bookmarkEnd w:id="80"/>
      <w:bookmarkEnd w:id="89"/>
      <w:bookmarkEnd w:id="90"/>
    </w:p>
    <w:p w14:paraId="4B1CF71E">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电子响应文件和备份响应文件均由</w:t>
      </w:r>
      <w:r>
        <w:rPr>
          <w:rFonts w:hint="eastAsia" w:ascii="微软雅黑" w:hAnsi="微软雅黑" w:eastAsia="微软雅黑" w:cs="微软雅黑"/>
          <w:color w:val="auto"/>
          <w:sz w:val="21"/>
          <w:szCs w:val="21"/>
          <w:highlight w:val="none"/>
          <w:lang w:val="zh-CN"/>
        </w:rPr>
        <w:t>资格文件、商务技术文件、报价</w:t>
      </w:r>
      <w:r>
        <w:rPr>
          <w:rFonts w:hint="eastAsia" w:ascii="微软雅黑" w:hAnsi="微软雅黑" w:eastAsia="微软雅黑" w:cs="微软雅黑"/>
          <w:color w:val="auto"/>
          <w:sz w:val="21"/>
          <w:szCs w:val="21"/>
          <w:highlight w:val="none"/>
        </w:rPr>
        <w:t>文件三部分组成。响应文件中所须加盖公章部分均采用CA签章。</w:t>
      </w:r>
    </w:p>
    <w:bookmarkEnd w:id="81"/>
    <w:bookmarkEnd w:id="82"/>
    <w:bookmarkEnd w:id="83"/>
    <w:p w14:paraId="73BC7892">
      <w:pPr>
        <w:snapToGrid w:val="0"/>
        <w:ind w:firstLine="412" w:firstLineChars="196"/>
        <w:outlineLvl w:val="2"/>
        <w:rPr>
          <w:rFonts w:hint="eastAsia" w:ascii="微软雅黑" w:hAnsi="微软雅黑" w:eastAsia="微软雅黑" w:cs="微软雅黑"/>
          <w:b/>
          <w:color w:val="auto"/>
          <w:sz w:val="21"/>
          <w:szCs w:val="21"/>
          <w:highlight w:val="none"/>
        </w:rPr>
      </w:pPr>
      <w:bookmarkStart w:id="91" w:name="_Toc164943199"/>
      <w:r>
        <w:rPr>
          <w:rFonts w:hint="eastAsia" w:ascii="微软雅黑" w:hAnsi="微软雅黑" w:eastAsia="微软雅黑" w:cs="微软雅黑"/>
          <w:b/>
          <w:color w:val="auto"/>
          <w:sz w:val="21"/>
          <w:szCs w:val="21"/>
          <w:highlight w:val="none"/>
        </w:rPr>
        <w:t>（二）</w:t>
      </w:r>
      <w:r>
        <w:rPr>
          <w:rFonts w:hint="eastAsia" w:ascii="微软雅黑" w:hAnsi="微软雅黑" w:eastAsia="微软雅黑" w:cs="微软雅黑"/>
          <w:b/>
          <w:bCs/>
          <w:color w:val="auto"/>
          <w:sz w:val="21"/>
          <w:szCs w:val="21"/>
          <w:highlight w:val="none"/>
        </w:rPr>
        <w:t>响应文件的编制</w:t>
      </w:r>
      <w:bookmarkEnd w:id="91"/>
    </w:p>
    <w:p w14:paraId="20F66940">
      <w:pPr>
        <w:pStyle w:val="28"/>
        <w:numPr>
          <w:ilvl w:val="0"/>
          <w:numId w:val="18"/>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92" w:name="_Toc28858"/>
      <w:r>
        <w:rPr>
          <w:rFonts w:hint="eastAsia" w:ascii="微软雅黑" w:hAnsi="微软雅黑" w:eastAsia="微软雅黑" w:cs="微软雅黑"/>
          <w:color w:val="auto"/>
          <w:sz w:val="21"/>
          <w:szCs w:val="21"/>
          <w:highlight w:val="none"/>
          <w:lang w:val="zh-CN"/>
        </w:rPr>
        <w:t>响应文件分为资格文件、商务技术文件、报价文件三部分。各投标供应商在编制响应文件时请按照磋商文件规定的格式进行，混乱的编排导致响应文件被误读或评标委员会查找不到有效文件是投标供应商的风险。</w:t>
      </w:r>
      <w:bookmarkEnd w:id="92"/>
    </w:p>
    <w:p w14:paraId="48E95C93">
      <w:pPr>
        <w:pStyle w:val="28"/>
        <w:numPr>
          <w:ilvl w:val="0"/>
          <w:numId w:val="18"/>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93" w:name="_Toc31889"/>
      <w:r>
        <w:rPr>
          <w:rFonts w:hint="eastAsia" w:ascii="微软雅黑" w:hAnsi="微软雅黑" w:eastAsia="微软雅黑" w:cs="微软雅黑"/>
          <w:color w:val="auto"/>
          <w:sz w:val="21"/>
          <w:szCs w:val="21"/>
          <w:highlight w:val="none"/>
          <w:lang w:val="zh-CN"/>
        </w:rPr>
        <w:t>投标供应商进行电子投标应安装客户端软件—“政采云电子交易客户端”，并按照磋商文件和电子交易平台的要求编制并加密响应文件。投标供应商未按规定加密的响应文件，电子交易平台将拒收并提示。</w:t>
      </w:r>
      <w:bookmarkEnd w:id="93"/>
    </w:p>
    <w:p w14:paraId="132336CA">
      <w:pPr>
        <w:pStyle w:val="28"/>
        <w:numPr>
          <w:ilvl w:val="0"/>
          <w:numId w:val="18"/>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94" w:name="_Toc24887"/>
      <w:r>
        <w:rPr>
          <w:rFonts w:hint="eastAsia" w:ascii="微软雅黑" w:hAnsi="微软雅黑" w:eastAsia="微软雅黑" w:cs="微软雅黑"/>
          <w:color w:val="auto"/>
          <w:sz w:val="21"/>
          <w:szCs w:val="21"/>
          <w:highlight w:val="none"/>
          <w:lang w:val="zh-CN"/>
        </w:rPr>
        <w:t>使用“政采云电子交易客户端”需要提前申领CA数字证书，申领流程请自行前往“浙江政府采购网-下载专区-电子交易客户端-CA驱动和申领流程”进行查阅。</w:t>
      </w:r>
      <w:bookmarkEnd w:id="94"/>
    </w:p>
    <w:p w14:paraId="7A6359DE">
      <w:pPr>
        <w:pStyle w:val="28"/>
        <w:numPr>
          <w:ilvl w:val="0"/>
          <w:numId w:val="18"/>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95" w:name="_Toc29812"/>
      <w:r>
        <w:rPr>
          <w:rFonts w:hint="eastAsia" w:ascii="微软雅黑" w:hAnsi="微软雅黑" w:eastAsia="微软雅黑" w:cs="微软雅黑"/>
          <w:color w:val="auto"/>
          <w:sz w:val="21"/>
          <w:szCs w:val="21"/>
          <w:highlight w:val="none"/>
        </w:rPr>
        <w:t>响应文件按照磋商文件要求进行签署、盖章。</w:t>
      </w:r>
      <w:bookmarkEnd w:id="95"/>
    </w:p>
    <w:p w14:paraId="11B34246">
      <w:pPr>
        <w:pStyle w:val="28"/>
        <w:numPr>
          <w:ilvl w:val="0"/>
          <w:numId w:val="18"/>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96" w:name="_Toc10780"/>
      <w:r>
        <w:rPr>
          <w:rFonts w:hint="eastAsia" w:ascii="微软雅黑" w:hAnsi="微软雅黑" w:eastAsia="微软雅黑" w:cs="微软雅黑"/>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为确保网上操作合法、有效和安全，投标供应商应当在投标截止时间前完成在“政府采购云平台”的身份认证，确保在电子投标过程中能够对相关数据电文进行加密和使用电子签名。</w:t>
      </w:r>
      <w:bookmarkEnd w:id="96"/>
    </w:p>
    <w:p w14:paraId="6A49E8DC">
      <w:pPr>
        <w:pStyle w:val="28"/>
        <w:numPr>
          <w:ilvl w:val="0"/>
          <w:numId w:val="18"/>
        </w:numPr>
        <w:spacing w:line="360" w:lineRule="auto"/>
        <w:ind w:left="5" w:firstLine="415" w:firstLineChars="0"/>
        <w:outlineLvl w:val="9"/>
        <w:rPr>
          <w:rFonts w:hint="eastAsia" w:ascii="微软雅黑" w:hAnsi="微软雅黑" w:eastAsia="微软雅黑" w:cs="微软雅黑"/>
          <w:color w:val="auto"/>
          <w:sz w:val="21"/>
          <w:szCs w:val="21"/>
          <w:highlight w:val="none"/>
        </w:rPr>
      </w:pPr>
      <w:bookmarkStart w:id="97" w:name="_Toc25141"/>
      <w:r>
        <w:rPr>
          <w:rFonts w:hint="eastAsia" w:ascii="微软雅黑" w:hAnsi="微软雅黑" w:eastAsia="微软雅黑" w:cs="微软雅黑"/>
          <w:color w:val="auto"/>
          <w:sz w:val="21"/>
          <w:szCs w:val="21"/>
          <w:highlight w:val="none"/>
        </w:rPr>
        <w:t>磋商文件对响应文件签署、盖章的要求适用于电子签名。</w:t>
      </w:r>
      <w:bookmarkEnd w:id="97"/>
    </w:p>
    <w:p w14:paraId="3DF10203">
      <w:pPr>
        <w:snapToGrid w:val="0"/>
        <w:ind w:firstLine="412" w:firstLineChars="196"/>
        <w:outlineLvl w:val="2"/>
        <w:rPr>
          <w:rFonts w:hint="eastAsia" w:ascii="微软雅黑" w:hAnsi="微软雅黑" w:eastAsia="微软雅黑" w:cs="微软雅黑"/>
          <w:b/>
          <w:color w:val="auto"/>
          <w:sz w:val="21"/>
          <w:szCs w:val="21"/>
          <w:highlight w:val="none"/>
        </w:rPr>
      </w:pPr>
      <w:bookmarkStart w:id="98" w:name="_Toc532218227"/>
      <w:bookmarkStart w:id="99" w:name="_Toc164943200"/>
      <w:bookmarkStart w:id="100" w:name="_Toc402963084"/>
      <w:bookmarkStart w:id="101" w:name="_Toc406402990"/>
      <w:bookmarkStart w:id="102" w:name="_Toc385854146"/>
      <w:bookmarkStart w:id="103" w:name="_Toc402963117"/>
      <w:bookmarkStart w:id="104" w:name="_Toc385854100"/>
      <w:bookmarkStart w:id="105" w:name="_Toc406402946"/>
      <w:r>
        <w:rPr>
          <w:rFonts w:hint="eastAsia" w:ascii="微软雅黑" w:hAnsi="微软雅黑" w:eastAsia="微软雅黑" w:cs="微软雅黑"/>
          <w:b/>
          <w:color w:val="auto"/>
          <w:sz w:val="21"/>
          <w:szCs w:val="21"/>
          <w:highlight w:val="none"/>
        </w:rPr>
        <w:t>（三）响应文件的语言及计量</w:t>
      </w:r>
      <w:bookmarkEnd w:id="98"/>
      <w:bookmarkEnd w:id="99"/>
      <w:bookmarkEnd w:id="100"/>
      <w:bookmarkEnd w:id="101"/>
      <w:bookmarkEnd w:id="102"/>
      <w:bookmarkEnd w:id="103"/>
      <w:bookmarkEnd w:id="104"/>
      <w:bookmarkEnd w:id="105"/>
    </w:p>
    <w:p w14:paraId="6E61B063">
      <w:pPr>
        <w:pStyle w:val="28"/>
        <w:numPr>
          <w:ilvl w:val="0"/>
          <w:numId w:val="19"/>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06" w:name="_Toc31021"/>
      <w:r>
        <w:rPr>
          <w:rFonts w:hint="eastAsia" w:ascii="微软雅黑" w:hAnsi="微软雅黑" w:eastAsia="微软雅黑" w:cs="微软雅黑"/>
          <w:color w:val="auto"/>
          <w:sz w:val="21"/>
          <w:szCs w:val="21"/>
          <w:highlight w:val="none"/>
          <w:lang w:val="zh-CN"/>
        </w:rPr>
        <w:t>响应文件以及投标方与采购人就有关投标事宜的所有来往函电，均应以中文汉语书写。除签名、盖章、专用名称等特殊情形外，以中文汉语以外的文字表述的响应文件视同未提供。</w:t>
      </w:r>
      <w:bookmarkEnd w:id="106"/>
    </w:p>
    <w:p w14:paraId="567150F0">
      <w:pPr>
        <w:pStyle w:val="28"/>
        <w:numPr>
          <w:ilvl w:val="0"/>
          <w:numId w:val="19"/>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07" w:name="_Toc22323"/>
      <w:r>
        <w:rPr>
          <w:rFonts w:hint="eastAsia" w:ascii="微软雅黑" w:hAnsi="微软雅黑" w:eastAsia="微软雅黑" w:cs="微软雅黑"/>
          <w:color w:val="auto"/>
          <w:sz w:val="21"/>
          <w:szCs w:val="21"/>
          <w:highlight w:val="none"/>
          <w:lang w:val="zh-CN"/>
        </w:rPr>
        <w:t>投标计量单位，磋商文件已有明确规定的，使用磋商文件规定的计量单位；磋商文件没有规定的，应采用中华人民共和国法定计量单位（货币单位：人民币元），否则视同未响应。</w:t>
      </w:r>
      <w:bookmarkEnd w:id="107"/>
    </w:p>
    <w:p w14:paraId="23ACF48B">
      <w:pPr>
        <w:pStyle w:val="290"/>
        <w:spacing w:before="0"/>
        <w:ind w:firstLine="420"/>
        <w:outlineLvl w:val="2"/>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（四）响应文件的提交、补充、修改、撤回</w:t>
      </w:r>
    </w:p>
    <w:p w14:paraId="12EE563E">
      <w:pPr>
        <w:pStyle w:val="28"/>
        <w:numPr>
          <w:ilvl w:val="0"/>
          <w:numId w:val="20"/>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08" w:name="_Toc29251"/>
      <w:r>
        <w:rPr>
          <w:rFonts w:hint="eastAsia" w:ascii="微软雅黑" w:hAnsi="微软雅黑" w:eastAsia="微软雅黑" w:cs="微软雅黑"/>
          <w:color w:val="auto"/>
          <w:sz w:val="21"/>
          <w:szCs w:val="21"/>
          <w:highlight w:val="none"/>
          <w:lang w:val="zh-CN"/>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bookmarkEnd w:id="108"/>
    </w:p>
    <w:p w14:paraId="6A2A753A">
      <w:pPr>
        <w:pStyle w:val="28"/>
        <w:numPr>
          <w:ilvl w:val="0"/>
          <w:numId w:val="20"/>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09" w:name="_Toc26583"/>
      <w:r>
        <w:rPr>
          <w:rFonts w:hint="eastAsia" w:ascii="微软雅黑" w:hAnsi="微软雅黑" w:eastAsia="微软雅黑" w:cs="微软雅黑"/>
          <w:color w:val="auto"/>
          <w:sz w:val="21"/>
          <w:szCs w:val="21"/>
          <w:highlight w:val="none"/>
          <w:lang w:val="zh-CN"/>
        </w:rPr>
        <w:t>电子交易平台收到响应文件，将妥善保存并即时向供应商发出确认回执通知。在投标截止时间前，除供应商补充、修改或者撤回响应文件外，任何单位和个人不得解密或提取响应文件。</w:t>
      </w:r>
      <w:bookmarkEnd w:id="109"/>
    </w:p>
    <w:p w14:paraId="373B1A38">
      <w:pPr>
        <w:pStyle w:val="28"/>
        <w:numPr>
          <w:ilvl w:val="0"/>
          <w:numId w:val="20"/>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10" w:name="_Toc16446"/>
      <w:r>
        <w:rPr>
          <w:rFonts w:hint="eastAsia" w:ascii="微软雅黑" w:hAnsi="微软雅黑" w:eastAsia="微软雅黑" w:cs="微软雅黑"/>
          <w:color w:val="auto"/>
          <w:sz w:val="21"/>
          <w:szCs w:val="21"/>
          <w:highlight w:val="none"/>
          <w:lang w:val="zh-CN"/>
        </w:rPr>
        <w:t>采购人、采购机构可以视情况延长响应文件提交的截止时间。在上述情况下，采购机构与投标供应商以前在投标截止期方面的全部权利、责任和义务，将适用于延长至新的投标截止期。</w:t>
      </w:r>
      <w:bookmarkEnd w:id="110"/>
    </w:p>
    <w:p w14:paraId="5393178F">
      <w:pPr>
        <w:snapToGrid w:val="0"/>
        <w:ind w:firstLine="412" w:firstLineChars="196"/>
        <w:outlineLvl w:val="2"/>
        <w:rPr>
          <w:rFonts w:hint="eastAsia" w:ascii="微软雅黑" w:hAnsi="微软雅黑" w:eastAsia="微软雅黑" w:cs="微软雅黑"/>
          <w:b/>
          <w:color w:val="auto"/>
          <w:sz w:val="21"/>
          <w:szCs w:val="21"/>
          <w:highlight w:val="none"/>
        </w:rPr>
      </w:pPr>
      <w:bookmarkStart w:id="111" w:name="_Toc164943201"/>
      <w:bookmarkStart w:id="112" w:name="_Toc385854147"/>
      <w:bookmarkStart w:id="113" w:name="_Toc402963118"/>
      <w:bookmarkStart w:id="114" w:name="_Toc402963085"/>
      <w:bookmarkStart w:id="115" w:name="_Toc406402947"/>
      <w:bookmarkStart w:id="116" w:name="_Toc532218228"/>
      <w:bookmarkStart w:id="117" w:name="_Toc406402991"/>
      <w:bookmarkStart w:id="118" w:name="_Toc385854101"/>
      <w:r>
        <w:rPr>
          <w:rFonts w:hint="eastAsia" w:ascii="微软雅黑" w:hAnsi="微软雅黑" w:eastAsia="微软雅黑" w:cs="微软雅黑"/>
          <w:b/>
          <w:color w:val="auto"/>
          <w:sz w:val="21"/>
          <w:szCs w:val="21"/>
          <w:highlight w:val="none"/>
        </w:rPr>
        <w:t>（五）响应报价</w:t>
      </w:r>
      <w:bookmarkEnd w:id="111"/>
      <w:bookmarkEnd w:id="112"/>
      <w:bookmarkEnd w:id="113"/>
      <w:bookmarkEnd w:id="114"/>
      <w:bookmarkEnd w:id="115"/>
      <w:bookmarkEnd w:id="116"/>
      <w:bookmarkEnd w:id="117"/>
      <w:bookmarkEnd w:id="118"/>
    </w:p>
    <w:p w14:paraId="0AC15722">
      <w:pPr>
        <w:pStyle w:val="28"/>
        <w:numPr>
          <w:ilvl w:val="0"/>
          <w:numId w:val="21"/>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19" w:name="_Toc9042"/>
      <w:r>
        <w:rPr>
          <w:rFonts w:hint="eastAsia" w:ascii="微软雅黑" w:hAnsi="微软雅黑" w:eastAsia="微软雅黑" w:cs="微软雅黑"/>
          <w:color w:val="auto"/>
          <w:sz w:val="21"/>
          <w:szCs w:val="21"/>
          <w:highlight w:val="none"/>
          <w:lang w:val="zh-CN"/>
        </w:rPr>
        <w:t>响应报价应按磋商文件中相关附表格式填写。</w:t>
      </w:r>
      <w:bookmarkEnd w:id="119"/>
    </w:p>
    <w:p w14:paraId="2D192D1C">
      <w:pPr>
        <w:pStyle w:val="28"/>
        <w:numPr>
          <w:ilvl w:val="0"/>
          <w:numId w:val="21"/>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20" w:name="_Toc11818"/>
      <w:r>
        <w:rPr>
          <w:rFonts w:hint="eastAsia" w:ascii="微软雅黑" w:hAnsi="微软雅黑" w:eastAsia="微软雅黑" w:cs="微软雅黑"/>
          <w:color w:val="auto"/>
          <w:sz w:val="21"/>
          <w:szCs w:val="21"/>
          <w:highlight w:val="none"/>
          <w:lang w:val="zh-CN"/>
        </w:rPr>
        <w:t>响应报价是履行合同的最终价格，应包括人工费用、设备、劳务、管理、材料、维护、利润、税金及政策性文件规定等各项应有费用， 以及为完成本项目所需要的全部费用。</w:t>
      </w:r>
      <w:bookmarkEnd w:id="120"/>
    </w:p>
    <w:p w14:paraId="7FF46F17">
      <w:pPr>
        <w:pStyle w:val="28"/>
        <w:numPr>
          <w:ilvl w:val="0"/>
          <w:numId w:val="21"/>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21" w:name="_Toc18072"/>
      <w:r>
        <w:rPr>
          <w:rFonts w:hint="eastAsia" w:ascii="微软雅黑" w:hAnsi="微软雅黑" w:eastAsia="微软雅黑" w:cs="微软雅黑"/>
          <w:color w:val="auto"/>
          <w:sz w:val="21"/>
          <w:szCs w:val="21"/>
          <w:highlight w:val="none"/>
          <w:lang w:val="zh-CN"/>
        </w:rPr>
        <w:t>响应文件只允许有一个报价，有选择的或有条件的报价将不予接受。</w:t>
      </w:r>
      <w:bookmarkEnd w:id="121"/>
    </w:p>
    <w:p w14:paraId="6B35A719">
      <w:pPr>
        <w:snapToGrid w:val="0"/>
        <w:ind w:firstLine="412" w:firstLineChars="196"/>
        <w:outlineLvl w:val="2"/>
        <w:rPr>
          <w:rFonts w:hint="eastAsia" w:ascii="微软雅黑" w:hAnsi="微软雅黑" w:eastAsia="微软雅黑" w:cs="微软雅黑"/>
          <w:b/>
          <w:color w:val="auto"/>
          <w:sz w:val="21"/>
          <w:szCs w:val="21"/>
          <w:highlight w:val="none"/>
        </w:rPr>
      </w:pPr>
      <w:bookmarkStart w:id="122" w:name="_Toc164943202"/>
      <w:r>
        <w:rPr>
          <w:rFonts w:hint="eastAsia" w:ascii="微软雅黑" w:hAnsi="微软雅黑" w:eastAsia="微软雅黑" w:cs="微软雅黑"/>
          <w:b/>
          <w:color w:val="auto"/>
          <w:sz w:val="21"/>
          <w:szCs w:val="21"/>
          <w:highlight w:val="none"/>
        </w:rPr>
        <w:t>（六）响应文件的有效期</w:t>
      </w:r>
      <w:bookmarkEnd w:id="122"/>
    </w:p>
    <w:p w14:paraId="06383484">
      <w:pPr>
        <w:pStyle w:val="28"/>
        <w:numPr>
          <w:ilvl w:val="0"/>
          <w:numId w:val="22"/>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23" w:name="_Toc4829"/>
      <w:r>
        <w:rPr>
          <w:rFonts w:hint="eastAsia" w:ascii="微软雅黑" w:hAnsi="微软雅黑" w:eastAsia="微软雅黑" w:cs="微软雅黑"/>
          <w:color w:val="auto"/>
          <w:sz w:val="21"/>
          <w:szCs w:val="21"/>
          <w:highlight w:val="none"/>
          <w:lang w:val="zh-CN"/>
        </w:rPr>
        <w:t>自投标截止日起90天响应文件应保持有效。有效期不足的响应文件将被拒绝。</w:t>
      </w:r>
      <w:bookmarkEnd w:id="123"/>
    </w:p>
    <w:p w14:paraId="79E27F62">
      <w:pPr>
        <w:pStyle w:val="28"/>
        <w:numPr>
          <w:ilvl w:val="0"/>
          <w:numId w:val="22"/>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24" w:name="_Toc27663"/>
      <w:r>
        <w:rPr>
          <w:rFonts w:hint="eastAsia" w:ascii="微软雅黑" w:hAnsi="微软雅黑" w:eastAsia="微软雅黑" w:cs="微软雅黑"/>
          <w:color w:val="auto"/>
          <w:sz w:val="21"/>
          <w:szCs w:val="21"/>
          <w:highlight w:val="none"/>
          <w:lang w:val="zh-CN"/>
        </w:rPr>
        <w:t>在特殊情况下，采购人可与投标供应商协商延长投标书的有效期，这种要求和答复均以书面形式进行。</w:t>
      </w:r>
      <w:bookmarkEnd w:id="124"/>
    </w:p>
    <w:p w14:paraId="2E6C8884">
      <w:pPr>
        <w:pStyle w:val="28"/>
        <w:numPr>
          <w:ilvl w:val="0"/>
          <w:numId w:val="22"/>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25" w:name="_Toc532218229"/>
      <w:bookmarkStart w:id="126" w:name="_Toc27240"/>
      <w:bookmarkStart w:id="127" w:name="_Toc385854103"/>
      <w:bookmarkStart w:id="128" w:name="_Toc402963120"/>
      <w:bookmarkStart w:id="129" w:name="_Toc406402993"/>
      <w:bookmarkStart w:id="130" w:name="_Toc385854149"/>
      <w:bookmarkStart w:id="131" w:name="_Toc402963087"/>
      <w:bookmarkStart w:id="132" w:name="_Toc406402949"/>
      <w:r>
        <w:rPr>
          <w:rFonts w:hint="eastAsia" w:ascii="微软雅黑" w:hAnsi="微软雅黑" w:eastAsia="微软雅黑" w:cs="微软雅黑"/>
          <w:color w:val="auto"/>
          <w:sz w:val="21"/>
          <w:szCs w:val="21"/>
          <w:highlight w:val="none"/>
          <w:lang w:val="zh-CN"/>
        </w:rPr>
        <w:t>中标供应商的响应文件自开标之日起至合同履行完毕止均应保持有效。</w:t>
      </w:r>
      <w:bookmarkEnd w:id="125"/>
      <w:bookmarkEnd w:id="126"/>
      <w:bookmarkEnd w:id="127"/>
      <w:bookmarkEnd w:id="128"/>
      <w:bookmarkEnd w:id="129"/>
      <w:bookmarkEnd w:id="130"/>
      <w:bookmarkEnd w:id="131"/>
      <w:bookmarkEnd w:id="132"/>
    </w:p>
    <w:p w14:paraId="4F7017E9">
      <w:pPr>
        <w:pStyle w:val="28"/>
        <w:numPr>
          <w:ilvl w:val="0"/>
          <w:numId w:val="22"/>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33" w:name="_Toc17856"/>
      <w:r>
        <w:rPr>
          <w:rFonts w:hint="eastAsia" w:ascii="微软雅黑" w:hAnsi="微软雅黑" w:eastAsia="微软雅黑" w:cs="微软雅黑"/>
          <w:color w:val="auto"/>
          <w:sz w:val="21"/>
          <w:szCs w:val="21"/>
          <w:highlight w:val="none"/>
          <w:lang w:val="zh-CN"/>
        </w:rPr>
        <w:t>在原定投标有效期满之前，如果出现特殊情况，采购机构可以以书面形式通知投标供应商延长投标有效期。投标供应商同意延长的，不得要求或被允许修改其响应文件，投标供应商拒绝延长的，其投标无效。</w:t>
      </w:r>
      <w:bookmarkEnd w:id="133"/>
    </w:p>
    <w:p w14:paraId="5CFF67A4">
      <w:pPr>
        <w:snapToGrid w:val="0"/>
        <w:ind w:firstLine="420"/>
        <w:outlineLvl w:val="2"/>
        <w:rPr>
          <w:rFonts w:hint="eastAsia" w:ascii="微软雅黑" w:hAnsi="微软雅黑" w:eastAsia="微软雅黑" w:cs="微软雅黑"/>
          <w:b/>
          <w:color w:val="auto"/>
          <w:sz w:val="21"/>
          <w:szCs w:val="21"/>
          <w:highlight w:val="none"/>
        </w:rPr>
      </w:pPr>
      <w:bookmarkStart w:id="134" w:name="_Toc164943203"/>
      <w:r>
        <w:rPr>
          <w:rFonts w:hint="eastAsia" w:ascii="微软雅黑" w:hAnsi="微软雅黑" w:eastAsia="微软雅黑" w:cs="微软雅黑"/>
          <w:b/>
          <w:color w:val="auto"/>
          <w:sz w:val="21"/>
          <w:szCs w:val="21"/>
          <w:highlight w:val="none"/>
        </w:rPr>
        <w:t>（七）投标无效的情形</w:t>
      </w:r>
      <w:bookmarkEnd w:id="134"/>
    </w:p>
    <w:p w14:paraId="6AE35BD5">
      <w:pPr>
        <w:pStyle w:val="28"/>
        <w:numPr>
          <w:ilvl w:val="0"/>
          <w:numId w:val="23"/>
        </w:numPr>
        <w:spacing w:line="360" w:lineRule="auto"/>
        <w:ind w:left="5" w:firstLine="415" w:firstLineChars="0"/>
        <w:outlineLvl w:val="9"/>
        <w:rPr>
          <w:rFonts w:hint="eastAsia" w:ascii="微软雅黑" w:hAnsi="微软雅黑" w:eastAsia="微软雅黑" w:cs="微软雅黑"/>
          <w:b/>
          <w:bCs/>
          <w:color w:val="auto"/>
          <w:sz w:val="21"/>
          <w:szCs w:val="21"/>
          <w:highlight w:val="none"/>
          <w:lang w:val="zh-CN"/>
        </w:rPr>
      </w:pPr>
      <w:bookmarkStart w:id="135" w:name="_Toc5121"/>
      <w:r>
        <w:rPr>
          <w:rFonts w:hint="eastAsia" w:ascii="微软雅黑" w:hAnsi="微软雅黑" w:eastAsia="微软雅黑" w:cs="微软雅黑"/>
          <w:b/>
          <w:bCs/>
          <w:color w:val="auto"/>
          <w:sz w:val="21"/>
          <w:szCs w:val="21"/>
          <w:highlight w:val="none"/>
          <w:lang w:val="zh-CN"/>
        </w:rPr>
        <w:t>电子响应文件解密失败的，且未在规定时间内提交有效备份响应文件的。电子响应文件解密失败，虽然在规定时间内提交了备份响应文件，但是备份响应文件无法导入或者无法读取或者不符合本磋商文件和电子交易平台要求的。</w:t>
      </w:r>
      <w:bookmarkEnd w:id="135"/>
    </w:p>
    <w:p w14:paraId="21259D02">
      <w:pPr>
        <w:pStyle w:val="28"/>
        <w:numPr>
          <w:ilvl w:val="0"/>
          <w:numId w:val="23"/>
        </w:numPr>
        <w:spacing w:line="360" w:lineRule="auto"/>
        <w:ind w:left="5" w:firstLine="415" w:firstLineChars="0"/>
        <w:outlineLvl w:val="9"/>
        <w:rPr>
          <w:rFonts w:hint="eastAsia" w:ascii="微软雅黑" w:hAnsi="微软雅黑" w:eastAsia="微软雅黑" w:cs="微软雅黑"/>
          <w:b/>
          <w:bCs/>
          <w:color w:val="auto"/>
          <w:sz w:val="21"/>
          <w:szCs w:val="21"/>
          <w:highlight w:val="none"/>
          <w:lang w:val="zh-CN"/>
        </w:rPr>
      </w:pPr>
      <w:bookmarkStart w:id="136" w:name="_Toc7698"/>
      <w:r>
        <w:rPr>
          <w:rFonts w:hint="eastAsia" w:ascii="微软雅黑" w:hAnsi="微软雅黑" w:eastAsia="微软雅黑" w:cs="微软雅黑"/>
          <w:b/>
          <w:bCs/>
          <w:color w:val="auto"/>
          <w:sz w:val="21"/>
          <w:szCs w:val="21"/>
          <w:highlight w:val="none"/>
          <w:lang w:val="zh-CN"/>
        </w:rPr>
        <w:t>仅提交备份响应文件，没有在电子交易平台传输递交响应文件的。</w:t>
      </w:r>
      <w:bookmarkEnd w:id="136"/>
    </w:p>
    <w:p w14:paraId="317C7893">
      <w:pPr>
        <w:pStyle w:val="28"/>
        <w:numPr>
          <w:ilvl w:val="0"/>
          <w:numId w:val="23"/>
        </w:numPr>
        <w:spacing w:line="360" w:lineRule="auto"/>
        <w:ind w:left="5" w:firstLine="415" w:firstLineChars="0"/>
        <w:outlineLvl w:val="9"/>
        <w:rPr>
          <w:rFonts w:hint="eastAsia" w:ascii="微软雅黑" w:hAnsi="微软雅黑" w:eastAsia="微软雅黑" w:cs="微软雅黑"/>
          <w:b/>
          <w:bCs/>
          <w:color w:val="auto"/>
          <w:sz w:val="21"/>
          <w:szCs w:val="21"/>
          <w:highlight w:val="none"/>
          <w:lang w:val="zh-CN"/>
        </w:rPr>
      </w:pPr>
      <w:bookmarkStart w:id="137" w:name="_Toc8278"/>
      <w:r>
        <w:rPr>
          <w:rFonts w:hint="eastAsia" w:ascii="微软雅黑" w:hAnsi="微软雅黑" w:eastAsia="微软雅黑" w:cs="微软雅黑"/>
          <w:b/>
          <w:bCs/>
          <w:color w:val="auto"/>
          <w:sz w:val="21"/>
          <w:szCs w:val="21"/>
          <w:highlight w:val="none"/>
          <w:lang w:val="zh-CN"/>
        </w:rPr>
        <w:t>没有通过资格审查的，响应文件将被视为无效。</w:t>
      </w:r>
      <w:bookmarkEnd w:id="137"/>
    </w:p>
    <w:p w14:paraId="29FD6EE7">
      <w:pPr>
        <w:pStyle w:val="28"/>
        <w:numPr>
          <w:ilvl w:val="0"/>
          <w:numId w:val="23"/>
        </w:numPr>
        <w:spacing w:line="360" w:lineRule="auto"/>
        <w:ind w:left="5" w:firstLine="415" w:firstLineChars="0"/>
        <w:outlineLvl w:val="9"/>
        <w:rPr>
          <w:rFonts w:hint="eastAsia" w:ascii="微软雅黑" w:hAnsi="微软雅黑" w:eastAsia="微软雅黑" w:cs="微软雅黑"/>
          <w:b/>
          <w:bCs/>
          <w:color w:val="auto"/>
          <w:sz w:val="21"/>
          <w:szCs w:val="21"/>
          <w:highlight w:val="none"/>
          <w:lang w:val="zh-CN"/>
        </w:rPr>
      </w:pPr>
      <w:bookmarkStart w:id="138" w:name="_Toc31571"/>
      <w:r>
        <w:rPr>
          <w:rFonts w:hint="eastAsia" w:ascii="微软雅黑" w:hAnsi="微软雅黑" w:eastAsia="微软雅黑" w:cs="微软雅黑"/>
          <w:b/>
          <w:bCs/>
          <w:color w:val="auto"/>
          <w:sz w:val="21"/>
          <w:szCs w:val="21"/>
          <w:highlight w:val="none"/>
          <w:lang w:val="zh-CN"/>
        </w:rPr>
        <w:t>在符合性审查和商务评审时，如发现下列情形之一的，响应文件将被视为无效：</w:t>
      </w:r>
      <w:bookmarkEnd w:id="138"/>
    </w:p>
    <w:p w14:paraId="11268EA9">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39" w:name="_Toc15213"/>
      <w:r>
        <w:rPr>
          <w:rFonts w:hint="eastAsia" w:ascii="微软雅黑" w:hAnsi="微软雅黑" w:eastAsia="微软雅黑" w:cs="微软雅黑"/>
          <w:color w:val="auto"/>
          <w:sz w:val="21"/>
          <w:szCs w:val="21"/>
          <w:highlight w:val="none"/>
          <w:lang w:val="zh-CN"/>
        </w:rPr>
        <w:t>电子响应文件未按规定要求提供电子签章的。</w:t>
      </w:r>
      <w:bookmarkEnd w:id="139"/>
    </w:p>
    <w:p w14:paraId="3F2092EE">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40" w:name="_Toc25759"/>
      <w:r>
        <w:rPr>
          <w:rFonts w:hint="eastAsia" w:ascii="微软雅黑" w:hAnsi="微软雅黑" w:eastAsia="微软雅黑" w:cs="微软雅黑"/>
          <w:color w:val="auto"/>
          <w:sz w:val="21"/>
          <w:szCs w:val="21"/>
          <w:highlight w:val="none"/>
          <w:lang w:val="zh-CN"/>
        </w:rPr>
        <w:t>未按要求对资格文件进行承诺，或虚假承诺的。</w:t>
      </w:r>
      <w:bookmarkEnd w:id="140"/>
    </w:p>
    <w:p w14:paraId="401DB75C">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41" w:name="_Toc22132"/>
      <w:r>
        <w:rPr>
          <w:rFonts w:hint="eastAsia" w:ascii="微软雅黑" w:hAnsi="微软雅黑" w:eastAsia="微软雅黑" w:cs="微软雅黑"/>
          <w:color w:val="auto"/>
          <w:sz w:val="21"/>
          <w:szCs w:val="21"/>
          <w:highlight w:val="none"/>
          <w:lang w:val="zh-CN"/>
        </w:rPr>
        <w:t>未提供法定代表人授权委托书、投标函或者填写项目不齐全的。</w:t>
      </w:r>
      <w:bookmarkEnd w:id="141"/>
    </w:p>
    <w:p w14:paraId="773A4703">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42" w:name="_Toc31461"/>
      <w:r>
        <w:rPr>
          <w:rFonts w:hint="eastAsia" w:ascii="微软雅黑" w:hAnsi="微软雅黑" w:eastAsia="微软雅黑" w:cs="微软雅黑"/>
          <w:color w:val="auto"/>
          <w:sz w:val="21"/>
          <w:szCs w:val="21"/>
          <w:highlight w:val="none"/>
          <w:lang w:val="zh-CN"/>
        </w:rPr>
        <w:t>响应文件格式不规范、项目不齐全或者内容虚假的。</w:t>
      </w:r>
      <w:bookmarkEnd w:id="142"/>
    </w:p>
    <w:p w14:paraId="40CFDB63">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43" w:name="_Toc6453"/>
      <w:r>
        <w:rPr>
          <w:rFonts w:hint="eastAsia" w:ascii="微软雅黑" w:hAnsi="微软雅黑" w:eastAsia="微软雅黑" w:cs="微软雅黑"/>
          <w:color w:val="auto"/>
          <w:sz w:val="21"/>
          <w:szCs w:val="21"/>
          <w:highlight w:val="none"/>
          <w:lang w:val="zh-CN"/>
        </w:rPr>
        <w:t>响应文件的实质性内容未使用中文表述、意思表述不明确、前后矛盾或者使用计量单位不符合磋商文件要求的（经评标委员会认定并允许其当场更正的笔误除外）。</w:t>
      </w:r>
      <w:bookmarkEnd w:id="143"/>
    </w:p>
    <w:p w14:paraId="3004F4F1">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44" w:name="_Toc28432"/>
      <w:r>
        <w:rPr>
          <w:rFonts w:hint="eastAsia" w:ascii="微软雅黑" w:hAnsi="微软雅黑" w:eastAsia="微软雅黑" w:cs="微软雅黑"/>
          <w:color w:val="auto"/>
          <w:sz w:val="21"/>
          <w:szCs w:val="21"/>
          <w:highlight w:val="none"/>
          <w:lang w:val="zh-CN"/>
        </w:rPr>
        <w:t>投标有效期、服务承诺等商务条款不能满足磋商文件要求的。</w:t>
      </w:r>
      <w:bookmarkEnd w:id="144"/>
    </w:p>
    <w:p w14:paraId="17041884">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45" w:name="_Toc8201"/>
      <w:r>
        <w:rPr>
          <w:rFonts w:hint="eastAsia" w:ascii="微软雅黑" w:hAnsi="微软雅黑" w:eastAsia="微软雅黑" w:cs="微软雅黑"/>
          <w:color w:val="auto"/>
          <w:sz w:val="21"/>
          <w:szCs w:val="21"/>
          <w:highlight w:val="none"/>
          <w:lang w:val="zh-CN"/>
        </w:rPr>
        <w:t>未实质性响应磋商文件要求或者响应文件有采购人不能接受的附加条件的。</w:t>
      </w:r>
      <w:bookmarkEnd w:id="145"/>
    </w:p>
    <w:p w14:paraId="49E3700D">
      <w:pPr>
        <w:pStyle w:val="28"/>
        <w:numPr>
          <w:ilvl w:val="1"/>
          <w:numId w:val="23"/>
        </w:numPr>
        <w:spacing w:line="360" w:lineRule="auto"/>
        <w:ind w:left="0" w:firstLine="420" w:firstLineChars="200"/>
        <w:outlineLvl w:val="9"/>
        <w:rPr>
          <w:rFonts w:hint="eastAsia" w:ascii="微软雅黑" w:hAnsi="微软雅黑" w:eastAsia="微软雅黑" w:cs="微软雅黑"/>
          <w:color w:val="auto"/>
          <w:sz w:val="21"/>
          <w:szCs w:val="21"/>
          <w:highlight w:val="none"/>
          <w:lang w:val="zh-CN"/>
        </w:rPr>
      </w:pPr>
      <w:bookmarkStart w:id="146" w:name="_Toc26286"/>
      <w:r>
        <w:rPr>
          <w:rFonts w:hint="eastAsia" w:ascii="微软雅黑" w:hAnsi="微软雅黑" w:eastAsia="微软雅黑" w:cs="微软雅黑"/>
          <w:color w:val="auto"/>
          <w:sz w:val="21"/>
          <w:szCs w:val="21"/>
          <w:highlight w:val="none"/>
          <w:lang w:val="zh-CN"/>
        </w:rPr>
        <w:t>不符合本磋商文件中的实质性要求条款。</w:t>
      </w:r>
      <w:bookmarkEnd w:id="146"/>
    </w:p>
    <w:p w14:paraId="06C58DBA">
      <w:pPr>
        <w:pStyle w:val="28"/>
        <w:numPr>
          <w:ilvl w:val="0"/>
          <w:numId w:val="23"/>
        </w:numPr>
        <w:spacing w:line="360" w:lineRule="auto"/>
        <w:ind w:left="5" w:firstLine="415" w:firstLineChars="0"/>
        <w:outlineLvl w:val="9"/>
        <w:rPr>
          <w:rFonts w:hint="eastAsia" w:ascii="微软雅黑" w:hAnsi="微软雅黑" w:eastAsia="微软雅黑" w:cs="微软雅黑"/>
          <w:b/>
          <w:bCs/>
          <w:color w:val="auto"/>
          <w:sz w:val="21"/>
          <w:szCs w:val="21"/>
          <w:highlight w:val="none"/>
          <w:lang w:val="zh-CN"/>
        </w:rPr>
      </w:pPr>
      <w:bookmarkStart w:id="147" w:name="_Toc29310"/>
      <w:r>
        <w:rPr>
          <w:rFonts w:hint="eastAsia" w:ascii="微软雅黑" w:hAnsi="微软雅黑" w:eastAsia="微软雅黑" w:cs="微软雅黑"/>
          <w:b/>
          <w:bCs/>
          <w:color w:val="auto"/>
          <w:sz w:val="21"/>
          <w:szCs w:val="21"/>
          <w:highlight w:val="none"/>
          <w:lang w:val="zh-CN"/>
        </w:rPr>
        <w:t>在技术评审时，如发现下列情形之一的，响应文件将被视为无效：</w:t>
      </w:r>
      <w:bookmarkEnd w:id="147"/>
    </w:p>
    <w:p w14:paraId="41F73E77">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48" w:name="_Toc10883"/>
      <w:r>
        <w:rPr>
          <w:rFonts w:hint="eastAsia" w:ascii="微软雅黑" w:hAnsi="微软雅黑" w:eastAsia="微软雅黑" w:cs="微软雅黑"/>
          <w:color w:val="auto"/>
          <w:sz w:val="21"/>
          <w:szCs w:val="21"/>
          <w:highlight w:val="none"/>
          <w:lang w:val="zh-CN"/>
        </w:rPr>
        <w:t>未提供或未如实提供投标货物的技术参数，或者响应文件标明的响应或偏离与事实不符或虚假投标的。</w:t>
      </w:r>
      <w:bookmarkEnd w:id="148"/>
    </w:p>
    <w:p w14:paraId="0DFDF5F5">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49" w:name="_Toc16394"/>
      <w:r>
        <w:rPr>
          <w:rFonts w:hint="eastAsia" w:ascii="微软雅黑" w:hAnsi="微软雅黑" w:eastAsia="微软雅黑" w:cs="微软雅黑"/>
          <w:color w:val="auto"/>
          <w:sz w:val="21"/>
          <w:szCs w:val="21"/>
          <w:highlight w:val="none"/>
          <w:lang w:val="zh-CN"/>
        </w:rPr>
        <w:t>明显不符合磋商文件要求的规格型号、质量标准，或者与磋商文件中标“▲”的技术指标、主要功能项目发生实质性偏离的。</w:t>
      </w:r>
      <w:bookmarkEnd w:id="149"/>
    </w:p>
    <w:p w14:paraId="686BC60C">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50" w:name="_Toc5857"/>
      <w:r>
        <w:rPr>
          <w:rFonts w:hint="eastAsia" w:ascii="微软雅黑" w:hAnsi="微软雅黑" w:eastAsia="微软雅黑" w:cs="微软雅黑"/>
          <w:color w:val="auto"/>
          <w:sz w:val="21"/>
          <w:szCs w:val="21"/>
          <w:highlight w:val="none"/>
          <w:lang w:val="zh-CN"/>
        </w:rPr>
        <w:t>投标技术方案不明确，存在一个或一个以上备选（替代）投标方案的。</w:t>
      </w:r>
      <w:bookmarkEnd w:id="150"/>
    </w:p>
    <w:p w14:paraId="492D410A">
      <w:pPr>
        <w:pStyle w:val="28"/>
        <w:numPr>
          <w:ilvl w:val="0"/>
          <w:numId w:val="23"/>
        </w:numPr>
        <w:spacing w:line="360" w:lineRule="auto"/>
        <w:ind w:left="5" w:firstLine="415" w:firstLineChars="0"/>
        <w:outlineLvl w:val="9"/>
        <w:rPr>
          <w:rFonts w:hint="eastAsia" w:ascii="微软雅黑" w:hAnsi="微软雅黑" w:eastAsia="微软雅黑" w:cs="微软雅黑"/>
          <w:b/>
          <w:bCs/>
          <w:color w:val="auto"/>
          <w:sz w:val="21"/>
          <w:szCs w:val="21"/>
          <w:highlight w:val="none"/>
          <w:lang w:val="zh-CN"/>
        </w:rPr>
      </w:pPr>
      <w:bookmarkStart w:id="151" w:name="_Toc7045"/>
      <w:r>
        <w:rPr>
          <w:rFonts w:hint="eastAsia" w:ascii="微软雅黑" w:hAnsi="微软雅黑" w:eastAsia="微软雅黑" w:cs="微软雅黑"/>
          <w:b/>
          <w:bCs/>
          <w:color w:val="auto"/>
          <w:sz w:val="21"/>
          <w:szCs w:val="21"/>
          <w:highlight w:val="none"/>
          <w:lang w:val="zh-CN"/>
        </w:rPr>
        <w:t>在报价评审时，如发现下列情形之一的，响应文件将被视为无效：</w:t>
      </w:r>
      <w:bookmarkEnd w:id="151"/>
    </w:p>
    <w:p w14:paraId="5CD411F8">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52" w:name="_Toc17360"/>
      <w:r>
        <w:rPr>
          <w:rFonts w:hint="eastAsia" w:ascii="微软雅黑" w:hAnsi="微软雅黑" w:eastAsia="微软雅黑" w:cs="微软雅黑"/>
          <w:color w:val="auto"/>
          <w:sz w:val="21"/>
          <w:szCs w:val="21"/>
          <w:highlight w:val="none"/>
          <w:lang w:val="zh-CN"/>
        </w:rPr>
        <w:t>未按要求提供报价的。</w:t>
      </w:r>
      <w:bookmarkEnd w:id="152"/>
    </w:p>
    <w:p w14:paraId="67B06E40">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53" w:name="_Toc29501"/>
      <w:r>
        <w:rPr>
          <w:rFonts w:hint="eastAsia" w:ascii="微软雅黑" w:hAnsi="微软雅黑" w:eastAsia="微软雅黑" w:cs="微软雅黑"/>
          <w:color w:val="auto"/>
          <w:sz w:val="21"/>
          <w:szCs w:val="21"/>
          <w:highlight w:val="none"/>
          <w:lang w:val="zh-CN"/>
        </w:rPr>
        <w:t>未采用人民币报价或者未按照磋商文件标明的币种报价的。</w:t>
      </w:r>
      <w:bookmarkEnd w:id="153"/>
    </w:p>
    <w:p w14:paraId="17F3083B">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54" w:name="_Toc19258"/>
      <w:r>
        <w:rPr>
          <w:rFonts w:hint="eastAsia" w:ascii="微软雅黑" w:hAnsi="微软雅黑" w:eastAsia="微软雅黑" w:cs="微软雅黑"/>
          <w:color w:val="auto"/>
          <w:sz w:val="21"/>
          <w:szCs w:val="21"/>
          <w:highlight w:val="none"/>
          <w:lang w:val="zh-CN"/>
        </w:rPr>
        <w:t>最终报价超出最高限价的。</w:t>
      </w:r>
      <w:bookmarkEnd w:id="154"/>
    </w:p>
    <w:p w14:paraId="23C129FF">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55" w:name="_Toc13027"/>
      <w:r>
        <w:rPr>
          <w:rFonts w:hint="eastAsia" w:ascii="微软雅黑" w:hAnsi="微软雅黑" w:eastAsia="微软雅黑" w:cs="微软雅黑"/>
          <w:color w:val="auto"/>
          <w:sz w:val="21"/>
          <w:szCs w:val="21"/>
          <w:highlight w:val="none"/>
          <w:lang w:val="zh-CN"/>
        </w:rPr>
        <w:t>投标报价具有选择性，或者开标价格与响应文件承诺的优惠（折扣）价格不一致的。</w:t>
      </w:r>
      <w:bookmarkEnd w:id="155"/>
      <w:r>
        <w:rPr>
          <w:rFonts w:hint="eastAsia" w:ascii="微软雅黑" w:hAnsi="微软雅黑" w:eastAsia="微软雅黑" w:cs="微软雅黑"/>
          <w:color w:val="auto"/>
          <w:sz w:val="21"/>
          <w:szCs w:val="21"/>
          <w:highlight w:val="none"/>
          <w:lang w:val="zh-CN"/>
        </w:rPr>
        <w:t xml:space="preserve">   </w:t>
      </w:r>
    </w:p>
    <w:p w14:paraId="01A1E950">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56" w:name="_Toc1470"/>
      <w:r>
        <w:rPr>
          <w:rFonts w:hint="eastAsia" w:ascii="微软雅黑" w:hAnsi="微软雅黑" w:eastAsia="微软雅黑" w:cs="微软雅黑"/>
          <w:color w:val="auto"/>
          <w:sz w:val="21"/>
          <w:szCs w:val="21"/>
          <w:highlight w:val="none"/>
          <w:lang w:val="zh-CN"/>
        </w:rPr>
        <w:t>报价明显低于其他通过符合性审查投标供应商的报价，有可能影响产品质量或者不能诚信履约的，未能按要求提供书面说明或者提交相关证明材料，不能证明其报价合理性的;</w:t>
      </w:r>
      <w:bookmarkEnd w:id="156"/>
      <w:r>
        <w:rPr>
          <w:rFonts w:hint="eastAsia" w:ascii="微软雅黑" w:hAnsi="微软雅黑" w:eastAsia="微软雅黑" w:cs="微软雅黑"/>
          <w:color w:val="auto"/>
          <w:sz w:val="21"/>
          <w:szCs w:val="21"/>
          <w:highlight w:val="none"/>
          <w:lang w:val="zh-CN"/>
        </w:rPr>
        <w:t xml:space="preserve"> </w:t>
      </w:r>
    </w:p>
    <w:p w14:paraId="3BB6292A">
      <w:pPr>
        <w:pStyle w:val="28"/>
        <w:numPr>
          <w:ilvl w:val="1"/>
          <w:numId w:val="23"/>
        </w:numPr>
        <w:spacing w:line="360" w:lineRule="auto"/>
        <w:ind w:left="7" w:firstLine="411" w:firstLineChars="196"/>
        <w:outlineLvl w:val="9"/>
        <w:rPr>
          <w:rFonts w:hint="eastAsia" w:ascii="微软雅黑" w:hAnsi="微软雅黑" w:eastAsia="微软雅黑" w:cs="微软雅黑"/>
          <w:color w:val="auto"/>
          <w:sz w:val="21"/>
          <w:szCs w:val="21"/>
          <w:highlight w:val="none"/>
          <w:lang w:val="zh-CN"/>
        </w:rPr>
      </w:pPr>
      <w:bookmarkStart w:id="157" w:name="_Toc9630"/>
      <w:r>
        <w:rPr>
          <w:rFonts w:hint="eastAsia" w:ascii="微软雅黑" w:hAnsi="微软雅黑" w:eastAsia="微软雅黑" w:cs="微软雅黑"/>
          <w:color w:val="auto"/>
          <w:sz w:val="21"/>
          <w:szCs w:val="21"/>
          <w:highlight w:val="none"/>
          <w:lang w:val="zh-CN"/>
        </w:rPr>
        <w:t>报价一经涂改，应在涂改处加盖单位公章或者由法定代表人或被授权人签字（或盖章），否则其投标作无效标处理；</w:t>
      </w:r>
      <w:bookmarkEnd w:id="157"/>
      <w:r>
        <w:rPr>
          <w:rFonts w:hint="eastAsia" w:ascii="微软雅黑" w:hAnsi="微软雅黑" w:eastAsia="微软雅黑" w:cs="微软雅黑"/>
          <w:color w:val="auto"/>
          <w:sz w:val="21"/>
          <w:szCs w:val="21"/>
          <w:highlight w:val="none"/>
          <w:lang w:val="zh-CN"/>
        </w:rPr>
        <w:t xml:space="preserve">   </w:t>
      </w:r>
    </w:p>
    <w:p w14:paraId="1A5755AA">
      <w:pPr>
        <w:pStyle w:val="28"/>
        <w:numPr>
          <w:ilvl w:val="0"/>
          <w:numId w:val="23"/>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58" w:name="_Toc6870"/>
      <w:r>
        <w:rPr>
          <w:rFonts w:hint="eastAsia" w:ascii="微软雅黑" w:hAnsi="微软雅黑" w:eastAsia="微软雅黑" w:cs="微软雅黑"/>
          <w:color w:val="auto"/>
          <w:sz w:val="21"/>
          <w:szCs w:val="21"/>
          <w:highlight w:val="none"/>
          <w:lang w:val="zh-CN"/>
        </w:rPr>
        <w:t>投标供应商有恶意串通、妨碍其他投标供应商的竞争行为、损害采购人或者其他投标供应商的合法权益情形的，响应文件将被视为无效</w:t>
      </w:r>
      <w:bookmarkEnd w:id="158"/>
      <w:r>
        <w:rPr>
          <w:rFonts w:hint="eastAsia" w:ascii="微软雅黑" w:hAnsi="微软雅黑" w:eastAsia="微软雅黑" w:cs="微软雅黑"/>
          <w:color w:val="auto"/>
          <w:sz w:val="21"/>
          <w:szCs w:val="21"/>
          <w:highlight w:val="none"/>
          <w:lang w:val="zh-CN"/>
        </w:rPr>
        <w:t>：</w:t>
      </w:r>
    </w:p>
    <w:p w14:paraId="73512DBD">
      <w:pPr>
        <w:ind w:firstLine="420"/>
        <w:rPr>
          <w:rFonts w:hint="eastAsia" w:ascii="微软雅黑" w:hAnsi="微软雅黑" w:eastAsia="微软雅黑" w:cs="微软雅黑"/>
          <w:color w:val="auto"/>
          <w:kern w:val="0"/>
          <w:sz w:val="21"/>
          <w:szCs w:val="21"/>
          <w:highlight w:val="none"/>
          <w:shd w:val="clear" w:color="FFFFFF" w:fill="D9D9D9"/>
        </w:rPr>
      </w:pPr>
      <w:r>
        <w:rPr>
          <w:rFonts w:hint="eastAsia" w:ascii="微软雅黑" w:hAnsi="微软雅黑" w:eastAsia="微软雅黑" w:cs="微软雅黑"/>
          <w:color w:val="auto"/>
          <w:kern w:val="0"/>
          <w:sz w:val="21"/>
          <w:szCs w:val="21"/>
          <w:highlight w:val="none"/>
          <w:shd w:val="clear" w:color="FFFFFF" w:fill="D9D9D9"/>
        </w:rPr>
        <w:t>除政府采购法律法规规章规定的属于恶意串通、视为串通投标情形外，在不影响公平竞争的前提下，参与同一个采购包（标段）的供应商存在下列情形之一且无法合理解释的，其投标（响应）文件无效：</w:t>
      </w:r>
      <w:r>
        <w:rPr>
          <w:rFonts w:hint="eastAsia" w:ascii="微软雅黑" w:hAnsi="微软雅黑" w:eastAsia="微软雅黑" w:cs="微软雅黑"/>
          <w:color w:val="auto"/>
          <w:kern w:val="0"/>
          <w:sz w:val="21"/>
          <w:szCs w:val="21"/>
          <w:highlight w:val="none"/>
          <w:shd w:val="clear" w:color="FFFFFF" w:fill="D9D9D9"/>
          <w:lang w:eastAsia="zh"/>
        </w:rPr>
        <w:t>1.</w:t>
      </w:r>
      <w:r>
        <w:rPr>
          <w:rFonts w:hint="eastAsia" w:ascii="微软雅黑" w:hAnsi="微软雅黑" w:eastAsia="微软雅黑" w:cs="微软雅黑"/>
          <w:color w:val="auto"/>
          <w:kern w:val="0"/>
          <w:sz w:val="21"/>
          <w:szCs w:val="21"/>
          <w:highlight w:val="none"/>
          <w:shd w:val="clear" w:color="FFFFFF" w:fill="D9D9D9"/>
        </w:rPr>
        <w:t>不同供应商的电子投标（响应）文件上传计算机的网卡MAC地址或硬盘序列号等硬件信息相同的；</w:t>
      </w:r>
      <w:r>
        <w:rPr>
          <w:rFonts w:hint="eastAsia" w:ascii="微软雅黑" w:hAnsi="微软雅黑" w:eastAsia="微软雅黑" w:cs="微软雅黑"/>
          <w:color w:val="auto"/>
          <w:kern w:val="0"/>
          <w:sz w:val="21"/>
          <w:szCs w:val="21"/>
          <w:highlight w:val="none"/>
          <w:shd w:val="clear" w:color="FFFFFF" w:fill="D9D9D9"/>
          <w:lang w:eastAsia="zh"/>
        </w:rPr>
        <w:t>2.</w:t>
      </w:r>
      <w:r>
        <w:rPr>
          <w:rFonts w:hint="eastAsia" w:ascii="微软雅黑" w:hAnsi="微软雅黑" w:eastAsia="微软雅黑" w:cs="微软雅黑"/>
          <w:color w:val="auto"/>
          <w:kern w:val="0"/>
          <w:sz w:val="21"/>
          <w:szCs w:val="21"/>
          <w:highlight w:val="none"/>
          <w:shd w:val="clear" w:color="FFFFFF" w:fill="D9D9D9"/>
        </w:rPr>
        <w:t>上传的电子投标（响应）文件若出现使用本项目其他投标（响应）供应商的数字证书加密的，或者加盖本项目其他投标（响应）供应商的电子印章的；</w:t>
      </w:r>
      <w:r>
        <w:rPr>
          <w:rFonts w:hint="eastAsia" w:ascii="微软雅黑" w:hAnsi="微软雅黑" w:eastAsia="微软雅黑" w:cs="微软雅黑"/>
          <w:color w:val="auto"/>
          <w:kern w:val="0"/>
          <w:sz w:val="21"/>
          <w:szCs w:val="21"/>
          <w:highlight w:val="none"/>
          <w:shd w:val="clear" w:color="FFFFFF" w:fill="D9D9D9"/>
          <w:lang w:eastAsia="zh"/>
        </w:rPr>
        <w:t>3.</w:t>
      </w:r>
      <w:r>
        <w:rPr>
          <w:rFonts w:hint="eastAsia" w:ascii="微软雅黑" w:hAnsi="微软雅黑" w:eastAsia="微软雅黑" w:cs="微软雅黑"/>
          <w:color w:val="auto"/>
          <w:kern w:val="0"/>
          <w:sz w:val="21"/>
          <w:szCs w:val="21"/>
          <w:highlight w:val="none"/>
          <w:shd w:val="clear" w:color="FFFFFF" w:fill="D9D9D9"/>
        </w:rPr>
        <w:t>不同供应商的投标（响应）文件的内容存在</w:t>
      </w:r>
      <w:r>
        <w:rPr>
          <w:rFonts w:hint="eastAsia" w:ascii="微软雅黑" w:hAnsi="微软雅黑" w:eastAsia="微软雅黑" w:cs="微软雅黑"/>
          <w:color w:val="auto"/>
          <w:kern w:val="0"/>
          <w:sz w:val="21"/>
          <w:szCs w:val="21"/>
          <w:highlight w:val="none"/>
          <w:shd w:val="clear" w:color="FFFFFF" w:fill="D9D9D9"/>
          <w:lang w:eastAsia="zh"/>
        </w:rPr>
        <w:t>3</w:t>
      </w:r>
      <w:r>
        <w:rPr>
          <w:rFonts w:hint="eastAsia" w:ascii="微软雅黑" w:hAnsi="微软雅黑" w:eastAsia="微软雅黑" w:cs="微软雅黑"/>
          <w:color w:val="auto"/>
          <w:kern w:val="0"/>
          <w:sz w:val="21"/>
          <w:szCs w:val="21"/>
          <w:highlight w:val="none"/>
          <w:shd w:val="clear" w:color="FFFFFF" w:fill="D9D9D9"/>
        </w:rPr>
        <w:t>处（含）以上错误一致的；4</w:t>
      </w:r>
      <w:r>
        <w:rPr>
          <w:rFonts w:hint="eastAsia" w:ascii="微软雅黑" w:hAnsi="微软雅黑" w:eastAsia="微软雅黑" w:cs="微软雅黑"/>
          <w:color w:val="auto"/>
          <w:kern w:val="0"/>
          <w:sz w:val="21"/>
          <w:szCs w:val="21"/>
          <w:highlight w:val="none"/>
          <w:shd w:val="clear" w:color="FFFFFF" w:fill="D9D9D9"/>
          <w:lang w:eastAsia="zh"/>
        </w:rPr>
        <w:t>.</w:t>
      </w:r>
      <w:r>
        <w:rPr>
          <w:rFonts w:hint="eastAsia" w:ascii="微软雅黑" w:hAnsi="微软雅黑" w:eastAsia="微软雅黑" w:cs="微软雅黑"/>
          <w:color w:val="auto"/>
          <w:kern w:val="0"/>
          <w:sz w:val="21"/>
          <w:szCs w:val="21"/>
          <w:highlight w:val="none"/>
          <w:shd w:val="clear" w:color="FFFFFF" w:fill="D9D9D9"/>
        </w:rPr>
        <w:t>不同供应商联系人为同一人或不同联系人的联系电话一致的。</w:t>
      </w:r>
    </w:p>
    <w:p w14:paraId="5E1A1F22">
      <w:pPr>
        <w:pStyle w:val="28"/>
        <w:spacing w:line="360" w:lineRule="auto"/>
        <w:ind w:firstLine="420" w:firstLineChars="200"/>
        <w:outlineLvl w:val="9"/>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kern w:val="0"/>
          <w:sz w:val="21"/>
          <w:szCs w:val="21"/>
          <w:highlight w:val="none"/>
          <w:shd w:val="clear" w:color="FFFFFF" w:fill="D9D9D9"/>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r>
        <w:rPr>
          <w:rFonts w:hint="eastAsia" w:ascii="微软雅黑" w:hAnsi="微软雅黑" w:eastAsia="微软雅黑" w:cs="微软雅黑"/>
          <w:color w:val="auto"/>
          <w:sz w:val="21"/>
          <w:szCs w:val="21"/>
          <w:highlight w:val="none"/>
          <w:lang w:val="zh-CN"/>
        </w:rPr>
        <w:t xml:space="preserve"> </w:t>
      </w:r>
    </w:p>
    <w:p w14:paraId="4EE6E843">
      <w:pPr>
        <w:pStyle w:val="28"/>
        <w:numPr>
          <w:ilvl w:val="0"/>
          <w:numId w:val="23"/>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59" w:name="_Toc8719"/>
      <w:r>
        <w:rPr>
          <w:rFonts w:hint="eastAsia" w:ascii="微软雅黑" w:hAnsi="微软雅黑" w:eastAsia="微软雅黑" w:cs="微软雅黑"/>
          <w:color w:val="auto"/>
          <w:sz w:val="21"/>
          <w:szCs w:val="21"/>
          <w:highlight w:val="none"/>
          <w:lang w:val="zh-CN"/>
        </w:rPr>
        <w:t>法律、法规、规章（适用本市的）及省级以上规范性文件（适用本市的）规定的其他无效情形。</w:t>
      </w:r>
      <w:bookmarkEnd w:id="159"/>
      <w:r>
        <w:rPr>
          <w:rFonts w:hint="eastAsia" w:ascii="微软雅黑" w:hAnsi="微软雅黑" w:eastAsia="微软雅黑" w:cs="微软雅黑"/>
          <w:color w:val="auto"/>
          <w:sz w:val="21"/>
          <w:szCs w:val="21"/>
          <w:highlight w:val="none"/>
          <w:lang w:val="zh-CN"/>
        </w:rPr>
        <w:t xml:space="preserve">                                                                                    </w:t>
      </w:r>
    </w:p>
    <w:p w14:paraId="11D006A6">
      <w:pPr>
        <w:pStyle w:val="28"/>
        <w:numPr>
          <w:ilvl w:val="0"/>
          <w:numId w:val="23"/>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60" w:name="_Toc26486"/>
      <w:r>
        <w:rPr>
          <w:rFonts w:hint="eastAsia" w:ascii="微软雅黑" w:hAnsi="微软雅黑" w:eastAsia="微软雅黑" w:cs="微软雅黑"/>
          <w:color w:val="auto"/>
          <w:sz w:val="21"/>
          <w:szCs w:val="21"/>
          <w:highlight w:val="none"/>
          <w:lang w:val="zh-CN"/>
        </w:rPr>
        <w:t>被拒绝的响应文件为无效。</w:t>
      </w:r>
      <w:bookmarkEnd w:id="160"/>
    </w:p>
    <w:p w14:paraId="151D0089">
      <w:pPr>
        <w:pStyle w:val="20"/>
        <w:snapToGrid w:val="0"/>
        <w:spacing w:after="120" w:line="360" w:lineRule="auto"/>
        <w:ind w:firstLine="202" w:firstLineChars="1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（八）废标的情形</w:t>
      </w:r>
    </w:p>
    <w:p w14:paraId="6A16E0A3">
      <w:pPr>
        <w:pStyle w:val="20"/>
        <w:snapToGrid w:val="0"/>
        <w:spacing w:after="120" w:line="360" w:lineRule="auto"/>
        <w:ind w:firstLine="404"/>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根据《中华人民共和国政府采购法》第三十六条之规定，在采购中，出现下列情形之一的，应予废标：</w:t>
      </w:r>
    </w:p>
    <w:p w14:paraId="1DAC7B9A">
      <w:pPr>
        <w:pStyle w:val="28"/>
        <w:numPr>
          <w:ilvl w:val="0"/>
          <w:numId w:val="24"/>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61" w:name="_Toc5890"/>
      <w:r>
        <w:rPr>
          <w:rFonts w:hint="eastAsia" w:ascii="微软雅黑" w:hAnsi="微软雅黑" w:eastAsia="微软雅黑" w:cs="微软雅黑"/>
          <w:color w:val="auto"/>
          <w:sz w:val="21"/>
          <w:szCs w:val="21"/>
          <w:highlight w:val="none"/>
          <w:lang w:val="zh-CN"/>
        </w:rPr>
        <w:t>符合专业条件的供应商或者对磋商文件作实质响应的供应商不足3家的；</w:t>
      </w:r>
      <w:bookmarkEnd w:id="161"/>
    </w:p>
    <w:p w14:paraId="72989B0B">
      <w:pPr>
        <w:pStyle w:val="28"/>
        <w:numPr>
          <w:ilvl w:val="0"/>
          <w:numId w:val="24"/>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62" w:name="_Toc5704"/>
      <w:r>
        <w:rPr>
          <w:rFonts w:hint="eastAsia" w:ascii="微软雅黑" w:hAnsi="微软雅黑" w:eastAsia="微软雅黑" w:cs="微软雅黑"/>
          <w:color w:val="auto"/>
          <w:sz w:val="21"/>
          <w:szCs w:val="21"/>
          <w:highlight w:val="none"/>
          <w:lang w:val="zh-CN"/>
        </w:rPr>
        <w:t>出现影响采购公正的违法、违规行为的；</w:t>
      </w:r>
      <w:bookmarkEnd w:id="162"/>
    </w:p>
    <w:p w14:paraId="000B53D8">
      <w:pPr>
        <w:pStyle w:val="28"/>
        <w:numPr>
          <w:ilvl w:val="0"/>
          <w:numId w:val="24"/>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63" w:name="_Toc1828"/>
      <w:r>
        <w:rPr>
          <w:rFonts w:hint="eastAsia" w:ascii="微软雅黑" w:hAnsi="微软雅黑" w:eastAsia="微软雅黑" w:cs="微软雅黑"/>
          <w:color w:val="auto"/>
          <w:sz w:val="21"/>
          <w:szCs w:val="21"/>
          <w:highlight w:val="none"/>
          <w:lang w:val="zh-CN"/>
        </w:rPr>
        <w:t>投标供应商的报价均超过了采购预算，采购人不能支付的；</w:t>
      </w:r>
      <w:bookmarkEnd w:id="163"/>
    </w:p>
    <w:p w14:paraId="02AF97EB">
      <w:pPr>
        <w:pStyle w:val="28"/>
        <w:numPr>
          <w:ilvl w:val="0"/>
          <w:numId w:val="24"/>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64" w:name="_Toc24375"/>
      <w:r>
        <w:rPr>
          <w:rFonts w:hint="eastAsia" w:ascii="微软雅黑" w:hAnsi="微软雅黑" w:eastAsia="微软雅黑" w:cs="微软雅黑"/>
          <w:color w:val="auto"/>
          <w:sz w:val="21"/>
          <w:szCs w:val="21"/>
          <w:highlight w:val="none"/>
          <w:lang w:val="zh-CN"/>
        </w:rPr>
        <w:t>因重大变故，采购任务取消的。</w:t>
      </w:r>
      <w:bookmarkEnd w:id="164"/>
    </w:p>
    <w:p w14:paraId="0D77E3C8">
      <w:pPr>
        <w:pStyle w:val="20"/>
        <w:snapToGrid w:val="0"/>
        <w:spacing w:after="120" w:line="360" w:lineRule="auto"/>
        <w:ind w:firstLine="404"/>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废标后，采购机构应当将废标理由通知所有投标供应商。</w:t>
      </w:r>
    </w:p>
    <w:p w14:paraId="10DC32BE">
      <w:pPr>
        <w:pStyle w:val="3"/>
        <w:ind w:firstLine="420"/>
        <w:rPr>
          <w:rFonts w:hint="eastAsia" w:ascii="微软雅黑" w:hAnsi="微软雅黑" w:eastAsia="微软雅黑" w:cs="微软雅黑"/>
          <w:color w:val="auto"/>
          <w:sz w:val="21"/>
          <w:szCs w:val="21"/>
          <w:highlight w:val="none"/>
        </w:rPr>
      </w:pPr>
      <w:bookmarkStart w:id="165" w:name="_Toc13050"/>
      <w:r>
        <w:rPr>
          <w:rFonts w:hint="eastAsia" w:ascii="微软雅黑" w:hAnsi="微软雅黑" w:eastAsia="微软雅黑" w:cs="微软雅黑"/>
          <w:color w:val="auto"/>
          <w:sz w:val="21"/>
          <w:szCs w:val="21"/>
          <w:highlight w:val="none"/>
        </w:rPr>
        <w:t>四、开标</w:t>
      </w:r>
      <w:bookmarkEnd w:id="84"/>
      <w:bookmarkEnd w:id="165"/>
    </w:p>
    <w:p w14:paraId="40C1B5C8">
      <w:pPr>
        <w:pStyle w:val="28"/>
        <w:numPr>
          <w:ilvl w:val="0"/>
          <w:numId w:val="25"/>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66" w:name="_Toc20457"/>
      <w:r>
        <w:rPr>
          <w:rFonts w:hint="eastAsia" w:ascii="微软雅黑" w:hAnsi="微软雅黑" w:eastAsia="微软雅黑" w:cs="微软雅黑"/>
          <w:color w:val="auto"/>
          <w:sz w:val="21"/>
          <w:szCs w:val="21"/>
          <w:highlight w:val="none"/>
          <w:lang w:val="zh-CN"/>
        </w:rPr>
        <w:t>本项目实行电子开评标，供应商无需到开标现场，但须准时在线参加，直至评审结束。投标供应商不足3家的，不得开标。</w:t>
      </w:r>
      <w:bookmarkEnd w:id="166"/>
    </w:p>
    <w:p w14:paraId="00A66FFA">
      <w:pPr>
        <w:pStyle w:val="28"/>
        <w:numPr>
          <w:ilvl w:val="0"/>
          <w:numId w:val="25"/>
        </w:numPr>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67" w:name="_Toc27620"/>
      <w:r>
        <w:rPr>
          <w:rFonts w:hint="eastAsia" w:ascii="微软雅黑" w:hAnsi="微软雅黑" w:eastAsia="微软雅黑" w:cs="微软雅黑"/>
          <w:color w:val="auto"/>
          <w:sz w:val="21"/>
          <w:szCs w:val="21"/>
          <w:highlight w:val="none"/>
          <w:lang w:val="zh-CN"/>
        </w:rPr>
        <w:t>投标截止时间后的半小时内，由各供应商自行对电子响应文件进行解密请各供应商务必在规定时间内完成电子响应文件的解密工作；开启报价环节，供应商须在15分钟内在系统里CA签字确认。</w:t>
      </w:r>
      <w:bookmarkEnd w:id="167"/>
    </w:p>
    <w:p w14:paraId="6686BC0B">
      <w:pPr>
        <w:pStyle w:val="28"/>
        <w:numPr>
          <w:ilvl w:val="0"/>
          <w:numId w:val="25"/>
        </w:numPr>
        <w:spacing w:line="360" w:lineRule="auto"/>
        <w:ind w:left="5" w:firstLine="415" w:firstLineChars="0"/>
        <w:outlineLvl w:val="9"/>
        <w:rPr>
          <w:rFonts w:hint="eastAsia" w:ascii="微软雅黑" w:hAnsi="微软雅黑" w:eastAsia="微软雅黑" w:cs="微软雅黑"/>
          <w:color w:val="auto"/>
          <w:sz w:val="21"/>
          <w:szCs w:val="21"/>
          <w:highlight w:val="none"/>
          <w:shd w:val="clear" w:color="auto" w:fill="FFFFFF"/>
          <w:lang w:val="zh-CN"/>
        </w:rPr>
      </w:pPr>
      <w:bookmarkStart w:id="168" w:name="_Toc19788"/>
      <w:r>
        <w:rPr>
          <w:rFonts w:hint="eastAsia" w:ascii="微软雅黑" w:hAnsi="微软雅黑" w:eastAsia="微软雅黑" w:cs="微软雅黑"/>
          <w:color w:val="auto"/>
          <w:sz w:val="21"/>
          <w:szCs w:val="21"/>
          <w:highlight w:val="none"/>
          <w:lang w:val="zh-CN"/>
        </w:rPr>
        <w:t>响应文件未按时解密，投标供应商提供了备份响应文件的，以备份响应文件作为依据，否则视为响应文件撤回。响应文件已按时解密的，备份响应文件自动失效。</w:t>
      </w:r>
      <w:bookmarkEnd w:id="168"/>
    </w:p>
    <w:p w14:paraId="3DE032F4">
      <w:pPr>
        <w:pStyle w:val="3"/>
        <w:ind w:firstLine="420"/>
        <w:rPr>
          <w:rFonts w:hint="eastAsia" w:ascii="微软雅黑" w:hAnsi="微软雅黑" w:eastAsia="微软雅黑" w:cs="微软雅黑"/>
          <w:color w:val="auto"/>
          <w:sz w:val="21"/>
          <w:szCs w:val="21"/>
          <w:highlight w:val="none"/>
        </w:rPr>
      </w:pPr>
      <w:bookmarkStart w:id="169" w:name="_Toc33535370"/>
      <w:bookmarkStart w:id="170" w:name="_Toc8186"/>
      <w:r>
        <w:rPr>
          <w:rFonts w:hint="eastAsia" w:ascii="微软雅黑" w:hAnsi="微软雅黑" w:eastAsia="微软雅黑" w:cs="微软雅黑"/>
          <w:color w:val="auto"/>
          <w:sz w:val="21"/>
          <w:szCs w:val="21"/>
          <w:highlight w:val="none"/>
        </w:rPr>
        <w:t>五、磋商程序</w:t>
      </w:r>
      <w:bookmarkEnd w:id="169"/>
      <w:bookmarkEnd w:id="170"/>
    </w:p>
    <w:p w14:paraId="3CC98382">
      <w:pPr>
        <w:pStyle w:val="28"/>
        <w:spacing w:line="360" w:lineRule="auto"/>
        <w:rPr>
          <w:rFonts w:hint="eastAsia" w:ascii="微软雅黑" w:hAnsi="微软雅黑" w:eastAsia="微软雅黑" w:cs="微软雅黑"/>
          <w:color w:val="auto"/>
          <w:sz w:val="21"/>
          <w:szCs w:val="21"/>
          <w:highlight w:val="none"/>
        </w:rPr>
      </w:pPr>
      <w:bookmarkStart w:id="171" w:name="_Toc19546"/>
      <w:bookmarkStart w:id="172" w:name="_Toc24062"/>
      <w:bookmarkStart w:id="173" w:name="_Toc15983"/>
      <w:bookmarkStart w:id="174" w:name="_Toc191238334"/>
      <w:bookmarkStart w:id="175" w:name="_Toc33535371"/>
      <w:r>
        <w:rPr>
          <w:rFonts w:hint="eastAsia" w:ascii="微软雅黑" w:hAnsi="微软雅黑" w:eastAsia="微软雅黑" w:cs="微软雅黑"/>
          <w:color w:val="auto"/>
          <w:sz w:val="21"/>
          <w:szCs w:val="21"/>
          <w:highlight w:val="none"/>
        </w:rPr>
        <w:t>（一）组建</w:t>
      </w:r>
      <w:bookmarkEnd w:id="171"/>
      <w:r>
        <w:rPr>
          <w:rFonts w:hint="eastAsia" w:ascii="微软雅黑" w:hAnsi="微软雅黑" w:eastAsia="微软雅黑" w:cs="微软雅黑"/>
          <w:color w:val="auto"/>
          <w:sz w:val="21"/>
          <w:szCs w:val="21"/>
          <w:highlight w:val="none"/>
        </w:rPr>
        <w:t>磋商小组</w:t>
      </w:r>
      <w:bookmarkEnd w:id="172"/>
      <w:bookmarkEnd w:id="173"/>
      <w:bookmarkEnd w:id="174"/>
    </w:p>
    <w:p w14:paraId="6578947A">
      <w:pPr>
        <w:pStyle w:val="28"/>
        <w:spacing w:line="360" w:lineRule="auto"/>
        <w:rPr>
          <w:rFonts w:hint="eastAsia" w:ascii="微软雅黑" w:hAnsi="微软雅黑" w:eastAsia="微软雅黑" w:cs="微软雅黑"/>
          <w:color w:val="auto"/>
          <w:sz w:val="21"/>
          <w:szCs w:val="21"/>
          <w:highlight w:val="none"/>
        </w:rPr>
      </w:pPr>
      <w:bookmarkStart w:id="176" w:name="_Toc29865"/>
      <w:bookmarkStart w:id="177" w:name="_Toc191238335"/>
      <w:bookmarkStart w:id="178" w:name="_Toc22926"/>
      <w:bookmarkStart w:id="179" w:name="_Toc28157"/>
      <w:r>
        <w:rPr>
          <w:rFonts w:hint="eastAsia" w:ascii="微软雅黑" w:hAnsi="微软雅黑" w:eastAsia="微软雅黑" w:cs="微软雅黑"/>
          <w:color w:val="auto"/>
          <w:sz w:val="21"/>
          <w:szCs w:val="21"/>
          <w:highlight w:val="none"/>
        </w:rPr>
        <w:t>磋商小组由采购人代表和评审专家组成，政府采购评审专家</w:t>
      </w:r>
      <w:r>
        <w:rPr>
          <w:rFonts w:hint="eastAsia" w:ascii="微软雅黑" w:hAnsi="微软雅黑" w:eastAsia="微软雅黑" w:cs="微软雅黑"/>
          <w:color w:val="auto"/>
          <w:sz w:val="21"/>
          <w:szCs w:val="21"/>
          <w:highlight w:val="none"/>
          <w:u w:val="single"/>
        </w:rPr>
        <w:t>2</w:t>
      </w:r>
      <w:r>
        <w:rPr>
          <w:rFonts w:hint="eastAsia" w:ascii="微软雅黑" w:hAnsi="微软雅黑" w:eastAsia="微软雅黑" w:cs="微软雅黑"/>
          <w:color w:val="auto"/>
          <w:sz w:val="21"/>
          <w:szCs w:val="21"/>
          <w:highlight w:val="none"/>
        </w:rPr>
        <w:t>人和采购人代表</w:t>
      </w:r>
      <w:r>
        <w:rPr>
          <w:rFonts w:hint="eastAsia" w:ascii="微软雅黑" w:hAnsi="微软雅黑" w:eastAsia="微软雅黑" w:cs="微软雅黑"/>
          <w:color w:val="auto"/>
          <w:sz w:val="21"/>
          <w:szCs w:val="21"/>
          <w:highlight w:val="none"/>
          <w:u w:val="single"/>
        </w:rPr>
        <w:t xml:space="preserve"> 1 </w:t>
      </w:r>
      <w:r>
        <w:rPr>
          <w:rFonts w:hint="eastAsia" w:ascii="微软雅黑" w:hAnsi="微软雅黑" w:eastAsia="微软雅黑" w:cs="微软雅黑"/>
          <w:color w:val="auto"/>
          <w:sz w:val="21"/>
          <w:szCs w:val="21"/>
          <w:highlight w:val="none"/>
        </w:rPr>
        <w:t>人，共</w:t>
      </w:r>
      <w:r>
        <w:rPr>
          <w:rFonts w:hint="eastAsia" w:ascii="微软雅黑" w:hAnsi="微软雅黑" w:eastAsia="微软雅黑" w:cs="微软雅黑"/>
          <w:color w:val="auto"/>
          <w:sz w:val="21"/>
          <w:szCs w:val="21"/>
          <w:highlight w:val="none"/>
          <w:u w:val="single"/>
        </w:rPr>
        <w:t xml:space="preserve"> 3</w:t>
      </w:r>
      <w:r>
        <w:rPr>
          <w:rFonts w:hint="eastAsia" w:ascii="微软雅黑" w:hAnsi="微软雅黑" w:eastAsia="微软雅黑" w:cs="微软雅黑"/>
          <w:color w:val="auto"/>
          <w:sz w:val="21"/>
          <w:szCs w:val="21"/>
          <w:highlight w:val="none"/>
        </w:rPr>
        <w:t>人组成。</w:t>
      </w:r>
      <w:bookmarkEnd w:id="176"/>
      <w:bookmarkEnd w:id="177"/>
      <w:bookmarkEnd w:id="178"/>
      <w:bookmarkEnd w:id="179"/>
    </w:p>
    <w:p w14:paraId="3BD790FA">
      <w:pPr>
        <w:widowControl/>
        <w:shd w:val="clear" w:color="auto" w:fill="FFFFFF"/>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磋商小组</w:t>
      </w:r>
      <w:r>
        <w:rPr>
          <w:rFonts w:hint="eastAsia" w:ascii="微软雅黑" w:hAnsi="微软雅黑" w:eastAsia="微软雅黑" w:cs="微软雅黑"/>
          <w:color w:val="auto"/>
          <w:kern w:val="0"/>
          <w:sz w:val="21"/>
          <w:szCs w:val="21"/>
          <w:highlight w:val="none"/>
        </w:rPr>
        <w:t>负责具体评标事务，并独立履行下列职责：</w:t>
      </w:r>
    </w:p>
    <w:p w14:paraId="6BDFB7E9">
      <w:pPr>
        <w:pStyle w:val="28"/>
        <w:widowControl/>
        <w:numPr>
          <w:ilvl w:val="0"/>
          <w:numId w:val="26"/>
        </w:numPr>
        <w:shd w:val="clear" w:color="auto" w:fill="FFFFFF"/>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80" w:name="_Toc4923"/>
      <w:r>
        <w:rPr>
          <w:rFonts w:hint="eastAsia" w:ascii="微软雅黑" w:hAnsi="微软雅黑" w:eastAsia="微软雅黑" w:cs="微软雅黑"/>
          <w:color w:val="auto"/>
          <w:sz w:val="21"/>
          <w:szCs w:val="21"/>
          <w:highlight w:val="none"/>
          <w:lang w:val="zh-CN"/>
        </w:rPr>
        <w:t>审查、评价响应文件是否符合磋商文件的商务、技术等实质性要求。</w:t>
      </w:r>
      <w:bookmarkEnd w:id="180"/>
    </w:p>
    <w:p w14:paraId="28AAA8A6">
      <w:pPr>
        <w:pStyle w:val="28"/>
        <w:widowControl/>
        <w:numPr>
          <w:ilvl w:val="0"/>
          <w:numId w:val="26"/>
        </w:numPr>
        <w:shd w:val="clear" w:color="auto" w:fill="FFFFFF"/>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81" w:name="_Toc18875"/>
      <w:r>
        <w:rPr>
          <w:rFonts w:hint="eastAsia" w:ascii="微软雅黑" w:hAnsi="微软雅黑" w:eastAsia="微软雅黑" w:cs="微软雅黑"/>
          <w:color w:val="auto"/>
          <w:sz w:val="21"/>
          <w:szCs w:val="21"/>
          <w:highlight w:val="none"/>
          <w:lang w:val="zh-CN"/>
        </w:rPr>
        <w:t>要求投标供应商对响应文件有关事项做出澄清或者说明。</w:t>
      </w:r>
      <w:bookmarkEnd w:id="181"/>
    </w:p>
    <w:p w14:paraId="3F353559">
      <w:pPr>
        <w:pStyle w:val="28"/>
        <w:widowControl/>
        <w:numPr>
          <w:ilvl w:val="0"/>
          <w:numId w:val="26"/>
        </w:numPr>
        <w:shd w:val="clear" w:color="auto" w:fill="FFFFFF"/>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82" w:name="_Toc11714"/>
      <w:r>
        <w:rPr>
          <w:rFonts w:hint="eastAsia" w:ascii="微软雅黑" w:hAnsi="微软雅黑" w:eastAsia="微软雅黑" w:cs="微软雅黑"/>
          <w:color w:val="auto"/>
          <w:sz w:val="21"/>
          <w:szCs w:val="21"/>
          <w:highlight w:val="none"/>
          <w:lang w:val="zh-CN"/>
        </w:rPr>
        <w:t>对响应文件进行比较和评价。</w:t>
      </w:r>
      <w:bookmarkEnd w:id="182"/>
    </w:p>
    <w:p w14:paraId="43B727C0">
      <w:pPr>
        <w:pStyle w:val="28"/>
        <w:widowControl/>
        <w:numPr>
          <w:ilvl w:val="0"/>
          <w:numId w:val="26"/>
        </w:numPr>
        <w:shd w:val="clear" w:color="auto" w:fill="FFFFFF"/>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83" w:name="_Toc15500"/>
      <w:r>
        <w:rPr>
          <w:rFonts w:hint="eastAsia" w:ascii="微软雅黑" w:hAnsi="微软雅黑" w:eastAsia="微软雅黑" w:cs="微软雅黑"/>
          <w:color w:val="auto"/>
          <w:sz w:val="21"/>
          <w:szCs w:val="21"/>
          <w:highlight w:val="none"/>
          <w:lang w:val="zh-CN"/>
        </w:rPr>
        <w:t>确定中标供应商名单，以及根据采购人委托直接确定中标供应商。</w:t>
      </w:r>
      <w:bookmarkEnd w:id="183"/>
    </w:p>
    <w:p w14:paraId="05AEDAC5">
      <w:pPr>
        <w:pStyle w:val="28"/>
        <w:widowControl/>
        <w:numPr>
          <w:ilvl w:val="0"/>
          <w:numId w:val="26"/>
        </w:numPr>
        <w:shd w:val="clear" w:color="auto" w:fill="FFFFFF"/>
        <w:spacing w:line="360" w:lineRule="auto"/>
        <w:ind w:left="5" w:firstLine="415" w:firstLineChars="0"/>
        <w:outlineLvl w:val="9"/>
        <w:rPr>
          <w:rFonts w:hint="eastAsia" w:ascii="微软雅黑" w:hAnsi="微软雅黑" w:eastAsia="微软雅黑" w:cs="微软雅黑"/>
          <w:color w:val="auto"/>
          <w:sz w:val="21"/>
          <w:szCs w:val="21"/>
          <w:highlight w:val="none"/>
          <w:lang w:val="zh-CN"/>
        </w:rPr>
      </w:pPr>
      <w:bookmarkStart w:id="184" w:name="_Toc11072"/>
      <w:r>
        <w:rPr>
          <w:rFonts w:hint="eastAsia" w:ascii="微软雅黑" w:hAnsi="微软雅黑" w:eastAsia="微软雅黑" w:cs="微软雅黑"/>
          <w:color w:val="auto"/>
          <w:sz w:val="21"/>
          <w:szCs w:val="21"/>
          <w:highlight w:val="none"/>
          <w:lang w:val="zh-CN"/>
        </w:rPr>
        <w:t>向采购人、代理机构或者有关部门报告评标中发现的违法行为。</w:t>
      </w:r>
      <w:bookmarkEnd w:id="184"/>
    </w:p>
    <w:p w14:paraId="3F29FFDF">
      <w:pPr>
        <w:widowControl/>
        <w:shd w:val="clear" w:color="auto" w:fill="FFFFFF"/>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除采购人代表及所派纪检监察人员、评标现场组织人员外，采购人的其他工作人员以及与评标工作无关的人员不得进入评标现场。</w:t>
      </w:r>
    </w:p>
    <w:p w14:paraId="23A8D97C">
      <w:pPr>
        <w:snapToGrid w:val="0"/>
        <w:ind w:firstLine="42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（二）磋商的方式</w:t>
      </w:r>
    </w:p>
    <w:p w14:paraId="758537EF">
      <w:pPr>
        <w:snapToGrid w:val="0"/>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本项目采用不公开方式磋商，磋商的依据为竞争性磋商文件和响应文件。</w:t>
      </w:r>
    </w:p>
    <w:p w14:paraId="75D1CFD1">
      <w:pPr>
        <w:numPr>
          <w:ilvl w:val="0"/>
          <w:numId w:val="27"/>
        </w:numPr>
        <w:ind w:left="0" w:firstLine="420"/>
        <w:rPr>
          <w:rFonts w:hint="eastAsia" w:ascii="微软雅黑" w:hAnsi="微软雅黑" w:eastAsia="微软雅黑" w:cs="微软雅黑"/>
          <w:b/>
          <w:color w:val="auto"/>
          <w:sz w:val="21"/>
          <w:szCs w:val="21"/>
          <w:highlight w:val="none"/>
        </w:rPr>
      </w:pPr>
      <w:bookmarkStart w:id="185" w:name="_Toc192313120"/>
      <w:r>
        <w:rPr>
          <w:rFonts w:hint="eastAsia" w:ascii="微软雅黑" w:hAnsi="微软雅黑" w:eastAsia="微软雅黑" w:cs="微软雅黑"/>
          <w:b/>
          <w:color w:val="auto"/>
          <w:sz w:val="21"/>
          <w:szCs w:val="21"/>
          <w:highlight w:val="none"/>
        </w:rPr>
        <w:t>磋商步骤</w:t>
      </w:r>
    </w:p>
    <w:p w14:paraId="35E2BF26">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磋商小组讨论、通过磋商工作流程和磋商要点；</w:t>
      </w:r>
    </w:p>
    <w:p w14:paraId="474C646F">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经办人宣布磋商的有关事项；</w:t>
      </w:r>
    </w:p>
    <w:p w14:paraId="3B1A4ECA">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磋商小组对所提交的响应资信及商务、技术文件进行审查，审查结束后，由经办人公布无效响应方名单、响应无效的原因、情况；</w:t>
      </w:r>
    </w:p>
    <w:p w14:paraId="7AC0D12A">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磋商小组按标项与各供应商就项目需求、人员安排、服务事项、价格构成、付款方式等要素分别进行磋商。逐家磋商一次为一个轮次，磋商轮次可为二轮或以上。</w:t>
      </w:r>
    </w:p>
    <w:p w14:paraId="27A05A86">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在磋商过程中，采购人和磋商对象可就合同内容进行磋商，技术服务需求如双方都认为有必要的情况可作相应微调，但评分标准不作调整。</w:t>
      </w:r>
    </w:p>
    <w:p w14:paraId="7AD56E01">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如磋商过程中有调整的内容，在最后一轮报价前，采购代理机构和采购人将根据磋商内容将调整的部分发给符合参与最后一轮报价的供应商，以便其在最后一轮报价中调整报价。</w:t>
      </w:r>
    </w:p>
    <w:p w14:paraId="7679A6C9">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标项评审结束后，各供应商在规定时间内通过系统进行最后报价并CA签章确认。在规定时间内没有提交最后报价的供应商，视为退出磋商。</w:t>
      </w:r>
    </w:p>
    <w:p w14:paraId="352BEE4B">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在各供应商进行最后报价的同时，磋商小组根据本磋商文件的评审方法对各供应商的资信及商务、技术服务情况进行评审打分。经办人按照磋商小组独立评定结果进行算术平均值计算。</w:t>
      </w:r>
    </w:p>
    <w:p w14:paraId="087EE15E">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经办人系统查验按规定进入价格评审的最后报价。</w:t>
      </w:r>
    </w:p>
    <w:p w14:paraId="0BA77A2B">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.磋商小组对最后报价的合理性进行审核，决定是否结束磋商。若报价合理，磋商小组则根据第四章评审方法计算出总得分并按照排序由高到低的原则推荐候选供应商。</w:t>
      </w:r>
    </w:p>
    <w:p w14:paraId="64325C18">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评审结束后，经办人公布有效供应商的总得分结果和推荐排名。</w:t>
      </w:r>
    </w:p>
    <w:p w14:paraId="09E6AAC2">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原则：磋商小组必须公平、公正、客观，不带任何倾向性和启发性；不得向外界透露任何与磋商有关的内容；任何单位和个人不得干扰、影响磋商的正常进行；磋商小组及有关工作人员不得私下与响应方接触。</w:t>
      </w:r>
      <w:bookmarkStart w:id="186" w:name="_Toc522609461"/>
      <w:bookmarkStart w:id="187" w:name="_Toc332724041"/>
    </w:p>
    <w:p w14:paraId="66E81EB1">
      <w:pPr>
        <w:numPr>
          <w:ilvl w:val="0"/>
          <w:numId w:val="27"/>
        </w:numPr>
        <w:ind w:left="0"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响应文件的澄清</w:t>
      </w:r>
      <w:bookmarkEnd w:id="186"/>
      <w:bookmarkEnd w:id="187"/>
    </w:p>
    <w:p w14:paraId="233E5112">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在磋商期间，磋商小组有权要求供应商对其响应文件含义不明确、同类问题表述不一致或者有明显文字和计算错误的内容进行澄清。</w:t>
      </w:r>
    </w:p>
    <w:p w14:paraId="2BE51FFA">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磋商小组认为有必要，可要求供应商对某些问题作出必要的澄清、说明和纠正。供应商的澄清、说明或者补正应当采用在线形式。</w:t>
      </w:r>
    </w:p>
    <w:p w14:paraId="54186A80">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供应商不按磋商小组规定的时间作澄清，将视为放弃该权利。</w:t>
      </w:r>
    </w:p>
    <w:p w14:paraId="74F0E756">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并非每个供应商都将被询标。</w:t>
      </w:r>
      <w:bookmarkStart w:id="188" w:name="_Toc332724042"/>
      <w:bookmarkStart w:id="189" w:name="_Toc522609462"/>
    </w:p>
    <w:p w14:paraId="302BBB46">
      <w:pPr>
        <w:numPr>
          <w:ilvl w:val="0"/>
          <w:numId w:val="27"/>
        </w:numPr>
        <w:ind w:left="0"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确定成交供应商</w:t>
      </w:r>
      <w:bookmarkEnd w:id="188"/>
      <w:bookmarkEnd w:id="189"/>
    </w:p>
    <w:p w14:paraId="50EFB5D7">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磋商小组将对通过资格性审查和符合性审查的响应文件进行评价和比较。</w:t>
      </w:r>
    </w:p>
    <w:p w14:paraId="0A6CA2DF">
      <w:pPr>
        <w:numPr>
          <w:ilvl w:val="1"/>
          <w:numId w:val="27"/>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磋商小组按磋商文件公布的评审标准对响应文件进行评审，并将最终得分排名提交给采购人，采购人书面授权磋商小组直接确定成交供应商的，磋商小组确认成交供应商。最低报价等任何单项因素的最优不作为成交的保证。</w:t>
      </w:r>
      <w:bookmarkStart w:id="190" w:name="_Toc522609463"/>
      <w:bookmarkStart w:id="191" w:name="_Toc332724043"/>
    </w:p>
    <w:p w14:paraId="29BF78BE">
      <w:pPr>
        <w:numPr>
          <w:ilvl w:val="0"/>
          <w:numId w:val="27"/>
        </w:numPr>
        <w:ind w:left="0"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磋商过程保密</w:t>
      </w:r>
      <w:bookmarkEnd w:id="190"/>
      <w:bookmarkEnd w:id="191"/>
    </w:p>
    <w:p w14:paraId="07C46C6F">
      <w:pPr>
        <w:numPr>
          <w:ilvl w:val="1"/>
          <w:numId w:val="27"/>
        </w:numPr>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在宣布成交结果之前，凡属于审查、澄清、评价、比较响应文件等有关信息，相关当事人均不得泄露给任何供应商或与磋商工作无关的人员。</w:t>
      </w:r>
    </w:p>
    <w:p w14:paraId="41E4A655">
      <w:pPr>
        <w:numPr>
          <w:ilvl w:val="1"/>
          <w:numId w:val="27"/>
        </w:numPr>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供应商不得探听上述信息，不得以任何行为影响磋商过程，否则其响应文件将被作为无效响应文件。</w:t>
      </w:r>
    </w:p>
    <w:p w14:paraId="75336895">
      <w:pPr>
        <w:numPr>
          <w:ilvl w:val="1"/>
          <w:numId w:val="27"/>
        </w:numPr>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在磋商期间，采购代理机构将有专门人员与供应商进行联络。</w:t>
      </w:r>
    </w:p>
    <w:p w14:paraId="37D803AC">
      <w:pPr>
        <w:numPr>
          <w:ilvl w:val="1"/>
          <w:numId w:val="27"/>
        </w:numPr>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采购代理机构和磋商小组不向未成交的供应商解释未成交原因，也不对磋商过程中的细节问题进行公布。</w:t>
      </w:r>
      <w:bookmarkStart w:id="192" w:name="_Toc332724044"/>
      <w:bookmarkStart w:id="193" w:name="_Toc522609464"/>
    </w:p>
    <w:p w14:paraId="10B075CE">
      <w:pPr>
        <w:numPr>
          <w:ilvl w:val="0"/>
          <w:numId w:val="27"/>
        </w:numPr>
        <w:ind w:hanging="5" w:firstLine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供应商不足三家的处理</w:t>
      </w:r>
      <w:bookmarkEnd w:id="192"/>
      <w:bookmarkEnd w:id="193"/>
    </w:p>
    <w:p w14:paraId="425128E3">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至磋商报价截止时间，供应商不足3家以及在磋商期间出现符合专业条件的供应商或者对磋商文件做出实质性响应的供应商不足3家的，按照《财政部关于政府采购竞争性磋商采购人式管理暂行办法有关问题的补充通知》（财库【2015】124号）办理。</w:t>
      </w:r>
    </w:p>
    <w:p w14:paraId="20513E37">
      <w:pPr>
        <w:numPr>
          <w:ilvl w:val="0"/>
          <w:numId w:val="27"/>
        </w:numPr>
        <w:spacing w:before="120"/>
        <w:ind w:hanging="5" w:firstLine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错误修正</w:t>
      </w:r>
    </w:p>
    <w:p w14:paraId="1A655204">
      <w:pPr>
        <w:pStyle w:val="28"/>
        <w:spacing w:before="120" w:line="360" w:lineRule="auto"/>
        <w:ind w:firstLine="420" w:firstLineChars="200"/>
        <w:outlineLvl w:val="9"/>
        <w:rPr>
          <w:rFonts w:hint="eastAsia" w:ascii="微软雅黑" w:hAnsi="微软雅黑" w:eastAsia="微软雅黑" w:cs="微软雅黑"/>
          <w:color w:val="auto"/>
          <w:sz w:val="21"/>
          <w:szCs w:val="21"/>
          <w:highlight w:val="none"/>
        </w:rPr>
      </w:pPr>
      <w:bookmarkStart w:id="194" w:name="_Toc27357"/>
      <w:r>
        <w:rPr>
          <w:rFonts w:hint="eastAsia" w:ascii="微软雅黑" w:hAnsi="微软雅黑" w:eastAsia="微软雅黑" w:cs="微软雅黑"/>
          <w:color w:val="auto"/>
          <w:sz w:val="21"/>
          <w:szCs w:val="21"/>
          <w:highlight w:val="none"/>
        </w:rPr>
        <w:t>响应文件如果出现计算或表达上的错误，修正错误的原则如下：</w:t>
      </w:r>
      <w:bookmarkEnd w:id="194"/>
    </w:p>
    <w:p w14:paraId="4A8544D2">
      <w:pPr>
        <w:numPr>
          <w:ilvl w:val="1"/>
          <w:numId w:val="27"/>
        </w:numPr>
        <w:snapToGrid w:val="0"/>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报价一览表总价与报价明细表汇总数不一致的，以报价一览表为准；</w:t>
      </w:r>
    </w:p>
    <w:p w14:paraId="064437C6">
      <w:pPr>
        <w:numPr>
          <w:ilvl w:val="1"/>
          <w:numId w:val="27"/>
        </w:numPr>
        <w:spacing w:before="120"/>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响应文件的大写金额和小写金额不一致的，以大写金额为准；</w:t>
      </w:r>
    </w:p>
    <w:p w14:paraId="0C892849">
      <w:pPr>
        <w:numPr>
          <w:ilvl w:val="1"/>
          <w:numId w:val="27"/>
        </w:numPr>
        <w:spacing w:before="120"/>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总价金额与按单价汇总金额不一致的，以单价金额计算结果为准；</w:t>
      </w:r>
    </w:p>
    <w:p w14:paraId="28E4C54E">
      <w:pPr>
        <w:numPr>
          <w:ilvl w:val="1"/>
          <w:numId w:val="27"/>
        </w:numPr>
        <w:spacing w:before="120"/>
        <w:ind w:left="143" w:leftChars="68" w:firstLine="275" w:firstLineChars="131"/>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对不同文字文本响应文件的解释发生异议的，以中文文本为准。</w:t>
      </w:r>
    </w:p>
    <w:p w14:paraId="222D894E">
      <w:pPr>
        <w:pStyle w:val="28"/>
        <w:spacing w:before="120" w:line="360" w:lineRule="auto"/>
        <w:ind w:firstLine="420" w:firstLineChars="200"/>
        <w:outlineLvl w:val="9"/>
        <w:rPr>
          <w:rFonts w:hint="eastAsia" w:ascii="微软雅黑" w:hAnsi="微软雅黑" w:eastAsia="微软雅黑" w:cs="微软雅黑"/>
          <w:color w:val="auto"/>
          <w:sz w:val="21"/>
          <w:szCs w:val="21"/>
          <w:highlight w:val="none"/>
        </w:rPr>
      </w:pPr>
      <w:bookmarkStart w:id="195" w:name="_Toc12811"/>
      <w:r>
        <w:rPr>
          <w:rFonts w:hint="eastAsia" w:ascii="微软雅黑" w:hAnsi="微软雅黑" w:eastAsia="微软雅黑" w:cs="微软雅黑"/>
          <w:color w:val="auto"/>
          <w:sz w:val="21"/>
          <w:szCs w:val="21"/>
          <w:highlight w:val="none"/>
        </w:rPr>
        <w:t>按上述修正错误的原则及方法调整或修正响应文件的报价，供应商同意并签字确认后，调整后的报价对供应商具有约束作用。如果供应商不接受修正后的报价，则其响应将作为无效响应处理。</w:t>
      </w:r>
      <w:bookmarkEnd w:id="195"/>
    </w:p>
    <w:p w14:paraId="05263015">
      <w:pPr>
        <w:numPr>
          <w:ilvl w:val="0"/>
          <w:numId w:val="27"/>
        </w:numPr>
        <w:spacing w:before="120"/>
        <w:ind w:hanging="5" w:firstLine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评审过程的监控</w:t>
      </w:r>
    </w:p>
    <w:p w14:paraId="53F5D676">
      <w:pPr>
        <w:pStyle w:val="28"/>
        <w:spacing w:before="120" w:line="360" w:lineRule="auto"/>
        <w:ind w:firstLine="420" w:firstLineChars="200"/>
        <w:outlineLvl w:val="9"/>
        <w:rPr>
          <w:rFonts w:hint="eastAsia" w:ascii="微软雅黑" w:hAnsi="微软雅黑" w:eastAsia="微软雅黑" w:cs="微软雅黑"/>
          <w:color w:val="auto"/>
          <w:sz w:val="21"/>
          <w:szCs w:val="21"/>
          <w:highlight w:val="none"/>
        </w:rPr>
      </w:pPr>
      <w:bookmarkStart w:id="196" w:name="_Toc3808"/>
      <w:r>
        <w:rPr>
          <w:rFonts w:hint="eastAsia" w:ascii="微软雅黑" w:hAnsi="微软雅黑" w:eastAsia="微软雅黑" w:cs="微软雅黑"/>
          <w:color w:val="auto"/>
          <w:sz w:val="21"/>
          <w:szCs w:val="21"/>
          <w:highlight w:val="none"/>
        </w:rPr>
        <w:t>本项目评审过程实行全程录音、录像监控。供应商在评审过程中所进行的试图影响评审结果的不公正活动，可能导致其响应被拒绝。</w:t>
      </w:r>
      <w:bookmarkEnd w:id="185"/>
      <w:bookmarkEnd w:id="196"/>
    </w:p>
    <w:p w14:paraId="0250B94D">
      <w:pPr>
        <w:pStyle w:val="3"/>
        <w:ind w:firstLine="420"/>
        <w:rPr>
          <w:rFonts w:hint="eastAsia" w:ascii="微软雅黑" w:hAnsi="微软雅黑" w:eastAsia="微软雅黑" w:cs="微软雅黑"/>
          <w:color w:val="auto"/>
          <w:sz w:val="21"/>
          <w:szCs w:val="21"/>
          <w:highlight w:val="none"/>
        </w:rPr>
      </w:pPr>
      <w:bookmarkStart w:id="197" w:name="_Toc21497"/>
      <w:r>
        <w:rPr>
          <w:rFonts w:hint="eastAsia" w:ascii="微软雅黑" w:hAnsi="微软雅黑" w:eastAsia="微软雅黑" w:cs="微软雅黑"/>
          <w:color w:val="auto"/>
          <w:sz w:val="21"/>
          <w:szCs w:val="21"/>
          <w:highlight w:val="none"/>
        </w:rPr>
        <w:t>六、</w:t>
      </w:r>
      <w:bookmarkEnd w:id="175"/>
      <w:r>
        <w:rPr>
          <w:rFonts w:hint="eastAsia" w:ascii="微软雅黑" w:hAnsi="微软雅黑" w:eastAsia="微软雅黑" w:cs="微软雅黑"/>
          <w:color w:val="auto"/>
          <w:sz w:val="21"/>
          <w:szCs w:val="21"/>
          <w:highlight w:val="none"/>
        </w:rPr>
        <w:t>磋商结果的确定</w:t>
      </w:r>
      <w:bookmarkEnd w:id="197"/>
    </w:p>
    <w:p w14:paraId="6F9C00CB">
      <w:pPr>
        <w:pStyle w:val="28"/>
        <w:spacing w:line="360" w:lineRule="auto"/>
        <w:outlineLvl w:val="9"/>
        <w:rPr>
          <w:rFonts w:hint="eastAsia" w:ascii="微软雅黑" w:hAnsi="微软雅黑" w:eastAsia="微软雅黑" w:cs="微软雅黑"/>
          <w:color w:val="auto"/>
          <w:sz w:val="21"/>
          <w:szCs w:val="21"/>
          <w:highlight w:val="none"/>
        </w:rPr>
      </w:pPr>
      <w:bookmarkStart w:id="198" w:name="_Toc22993"/>
      <w:bookmarkStart w:id="199" w:name="_Toc33535372"/>
      <w:r>
        <w:rPr>
          <w:rFonts w:hint="eastAsia" w:ascii="微软雅黑" w:hAnsi="微软雅黑" w:eastAsia="微软雅黑" w:cs="微软雅黑"/>
          <w:color w:val="auto"/>
          <w:sz w:val="21"/>
          <w:szCs w:val="21"/>
          <w:highlight w:val="none"/>
        </w:rPr>
        <w:t>确定中标供应商：本项目由采购人确定中标供应商。</w:t>
      </w:r>
      <w:bookmarkEnd w:id="198"/>
    </w:p>
    <w:p w14:paraId="49669354">
      <w:pPr>
        <w:numPr>
          <w:ilvl w:val="0"/>
          <w:numId w:val="28"/>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代理机构在评标结束后2个工作日内将评标报告交采购人确认，同时在发布招标公告的网站上对评标结果进行公告。</w:t>
      </w:r>
    </w:p>
    <w:p w14:paraId="0C99CE89">
      <w:pPr>
        <w:numPr>
          <w:ilvl w:val="0"/>
          <w:numId w:val="28"/>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投标供应商对评标结果无异议的，采购人应在收到评标报告后5个工作日内对评标结果进行确认。如有投标供应商对评标结果提出质疑的，采购人可在质疑处理完毕后确定中标供应商。</w:t>
      </w:r>
    </w:p>
    <w:p w14:paraId="557A8FFD">
      <w:pPr>
        <w:numPr>
          <w:ilvl w:val="0"/>
          <w:numId w:val="28"/>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在公告中标结果的同时，代理机构向中标供应商发出成交通知书。</w:t>
      </w:r>
    </w:p>
    <w:p w14:paraId="0F0D9E99">
      <w:pPr>
        <w:pStyle w:val="3"/>
        <w:ind w:firstLine="420"/>
        <w:rPr>
          <w:rFonts w:hint="eastAsia" w:ascii="微软雅黑" w:hAnsi="微软雅黑" w:eastAsia="微软雅黑" w:cs="微软雅黑"/>
          <w:color w:val="auto"/>
          <w:sz w:val="21"/>
          <w:szCs w:val="21"/>
          <w:highlight w:val="none"/>
        </w:rPr>
      </w:pPr>
      <w:bookmarkStart w:id="200" w:name="_Toc20749"/>
      <w:r>
        <w:rPr>
          <w:rFonts w:hint="eastAsia" w:ascii="微软雅黑" w:hAnsi="微软雅黑" w:eastAsia="微软雅黑" w:cs="微软雅黑"/>
          <w:color w:val="auto"/>
          <w:sz w:val="21"/>
          <w:szCs w:val="21"/>
          <w:highlight w:val="none"/>
        </w:rPr>
        <w:t>七、合同授予</w:t>
      </w:r>
      <w:bookmarkEnd w:id="199"/>
      <w:bookmarkEnd w:id="200"/>
    </w:p>
    <w:p w14:paraId="7672590D">
      <w:pPr>
        <w:numPr>
          <w:ilvl w:val="0"/>
          <w:numId w:val="29"/>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采购人与中标供应商应当在《中标通知书》发出之日起30日内签订政府采购合同。</w:t>
      </w:r>
    </w:p>
    <w:p w14:paraId="5DCD88A1">
      <w:pPr>
        <w:numPr>
          <w:ilvl w:val="0"/>
          <w:numId w:val="29"/>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中标供应商拖延、拒签合同的，将被取消中标资格，并报监督管理部门依法处理。</w:t>
      </w:r>
    </w:p>
    <w:p w14:paraId="16D03B73">
      <w:pPr>
        <w:numPr>
          <w:ilvl w:val="0"/>
          <w:numId w:val="29"/>
        </w:numPr>
        <w:ind w:left="0"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采购人须在本项目政府采购合同签订之日起2个工作日内将合同发布于浙江政府采购网，但政府采购合同中涉及国家秘密、商业秘密的内容除外。</w:t>
      </w:r>
    </w:p>
    <w:p w14:paraId="4EF06568">
      <w:pPr>
        <w:pStyle w:val="3"/>
        <w:ind w:firstLine="420"/>
        <w:rPr>
          <w:rFonts w:hint="eastAsia" w:ascii="微软雅黑" w:hAnsi="微软雅黑" w:eastAsia="微软雅黑" w:cs="微软雅黑"/>
          <w:color w:val="auto"/>
          <w:sz w:val="21"/>
          <w:szCs w:val="21"/>
          <w:highlight w:val="none"/>
        </w:rPr>
      </w:pPr>
      <w:bookmarkStart w:id="201" w:name="_Toc30848"/>
      <w:r>
        <w:rPr>
          <w:rFonts w:hint="eastAsia" w:ascii="微软雅黑" w:hAnsi="微软雅黑" w:eastAsia="微软雅黑" w:cs="微软雅黑"/>
          <w:color w:val="auto"/>
          <w:sz w:val="21"/>
          <w:szCs w:val="21"/>
          <w:highlight w:val="none"/>
        </w:rPr>
        <w:t>八、验收</w:t>
      </w:r>
      <w:bookmarkEnd w:id="201"/>
    </w:p>
    <w:p w14:paraId="447F1E9F">
      <w:pPr>
        <w:numPr>
          <w:ilvl w:val="0"/>
          <w:numId w:val="30"/>
        </w:numPr>
        <w:ind w:left="0" w:firstLine="42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1F02CC">
      <w:pPr>
        <w:numPr>
          <w:ilvl w:val="0"/>
          <w:numId w:val="30"/>
        </w:numPr>
        <w:ind w:left="0" w:firstLine="42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采购人可以邀请参加本项目的其他投标供应商或者第三方机构参与验收。参与验收的投标供应商或者第三方机构的意见作为验收书的参考资料一并存档。</w:t>
      </w:r>
    </w:p>
    <w:p w14:paraId="10112B83">
      <w:pPr>
        <w:numPr>
          <w:ilvl w:val="0"/>
          <w:numId w:val="30"/>
        </w:numPr>
        <w:ind w:left="0" w:firstLine="42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274329">
      <w:pPr>
        <w:numPr>
          <w:ilvl w:val="0"/>
          <w:numId w:val="30"/>
        </w:numPr>
        <w:ind w:left="0" w:firstLine="42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202" w:name="_Hlt75236011"/>
      <w:bookmarkEnd w:id="202"/>
      <w:bookmarkStart w:id="203" w:name="_Hlt75236290"/>
      <w:bookmarkEnd w:id="203"/>
      <w:bookmarkStart w:id="204" w:name="_Hlt74730295"/>
      <w:bookmarkEnd w:id="204"/>
      <w:bookmarkStart w:id="205" w:name="_Hlt68057669"/>
      <w:bookmarkEnd w:id="205"/>
      <w:bookmarkStart w:id="206" w:name="_Hlt68072998"/>
      <w:bookmarkEnd w:id="206"/>
      <w:bookmarkStart w:id="207" w:name="_Hlt75236101"/>
      <w:bookmarkEnd w:id="207"/>
      <w:bookmarkStart w:id="208" w:name="_Hlt68073093"/>
      <w:bookmarkEnd w:id="208"/>
      <w:bookmarkStart w:id="209" w:name="_Hlt74729768"/>
      <w:bookmarkEnd w:id="209"/>
      <w:bookmarkStart w:id="210" w:name="_Hlt74714665"/>
      <w:bookmarkEnd w:id="210"/>
      <w:bookmarkStart w:id="211" w:name="_Hlt68403820"/>
      <w:bookmarkEnd w:id="211"/>
      <w:bookmarkStart w:id="212" w:name="_Hlt74707468"/>
      <w:bookmarkEnd w:id="212"/>
      <w:bookmarkStart w:id="213" w:name="_Hlt68072990"/>
      <w:bookmarkEnd w:id="213"/>
      <w:r>
        <w:rPr>
          <w:rFonts w:hint="eastAsia" w:ascii="微软雅黑" w:hAnsi="微软雅黑" w:eastAsia="微软雅黑" w:cs="微软雅黑"/>
          <w:bCs/>
          <w:color w:val="auto"/>
          <w:sz w:val="21"/>
          <w:szCs w:val="21"/>
          <w:highlight w:val="none"/>
        </w:rPr>
        <w:t>部门。</w:t>
      </w:r>
    </w:p>
    <w:p w14:paraId="749FDF1D">
      <w:pPr>
        <w:pStyle w:val="3"/>
        <w:ind w:firstLine="420"/>
        <w:rPr>
          <w:rFonts w:hint="eastAsia" w:ascii="微软雅黑" w:hAnsi="微软雅黑" w:eastAsia="微软雅黑" w:cs="微软雅黑"/>
          <w:color w:val="auto"/>
          <w:sz w:val="21"/>
          <w:szCs w:val="21"/>
          <w:highlight w:val="none"/>
        </w:rPr>
      </w:pPr>
      <w:bookmarkStart w:id="214" w:name="_Toc9315"/>
      <w:r>
        <w:rPr>
          <w:rFonts w:hint="eastAsia" w:ascii="微软雅黑" w:hAnsi="微软雅黑" w:eastAsia="微软雅黑" w:cs="微软雅黑"/>
          <w:color w:val="auto"/>
          <w:sz w:val="21"/>
          <w:szCs w:val="21"/>
          <w:highlight w:val="none"/>
        </w:rPr>
        <w:t>九、招标代理费</w:t>
      </w:r>
      <w:bookmarkEnd w:id="85"/>
      <w:bookmarkEnd w:id="214"/>
    </w:p>
    <w:p w14:paraId="7FCBF97B">
      <w:pPr>
        <w:ind w:firstLine="420"/>
        <w:rPr>
          <w:rFonts w:hint="eastAsia" w:ascii="微软雅黑" w:hAnsi="微软雅黑" w:eastAsia="微软雅黑" w:cs="微软雅黑"/>
          <w:color w:val="auto"/>
          <w:sz w:val="21"/>
          <w:szCs w:val="21"/>
          <w:highlight w:val="none"/>
        </w:rPr>
      </w:pPr>
      <w:bookmarkStart w:id="215" w:name="_Toc493511752"/>
      <w:r>
        <w:rPr>
          <w:rFonts w:hint="eastAsia" w:ascii="微软雅黑" w:hAnsi="微软雅黑" w:eastAsia="微软雅黑" w:cs="微软雅黑"/>
          <w:color w:val="auto"/>
          <w:sz w:val="21"/>
          <w:szCs w:val="21"/>
          <w:highlight w:val="none"/>
        </w:rPr>
        <w:t>1、根据“国家发展和改革委员会办公厅《关于招标代理服务收费有关问题的通知》（发改办价格【2003】857号、财库【2018】2号第十五条）”规定，招标代理机构向中标人收取招标代理服务费。</w:t>
      </w:r>
    </w:p>
    <w:p w14:paraId="2CE817DC">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2、中标人应在收取《中标通知书》时向采购代理机构交纳招标代理服务费，服务费的收费标准按浙价服〔2003〕77号文规定计算</w:t>
      </w:r>
      <w:bookmarkEnd w:id="215"/>
    </w:p>
    <w:tbl>
      <w:tblPr>
        <w:tblStyle w:val="52"/>
        <w:tblW w:w="6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14:paraId="7C7BB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58FD9A63">
            <w:pPr>
              <w:spacing w:line="240" w:lineRule="auto"/>
              <w:ind w:firstLine="0" w:firstLineChars="0"/>
              <w:rPr>
                <w:rFonts w:hint="eastAsia" w:ascii="微软雅黑" w:hAnsi="微软雅黑" w:eastAsia="微软雅黑" w:cs="微软雅黑"/>
                <w:color w:val="auto"/>
                <w:sz w:val="21"/>
                <w:szCs w:val="21"/>
                <w:highlight w:val="none"/>
              </w:rPr>
            </w:pPr>
            <w:bookmarkStart w:id="216" w:name="_Toc493511753"/>
            <w:r>
              <w:rPr>
                <w:rFonts w:hint="eastAsia" w:ascii="微软雅黑" w:hAnsi="微软雅黑" w:eastAsia="微软雅黑" w:cs="微软雅黑"/>
                <w:color w:val="auto"/>
                <w:sz w:val="21"/>
                <w:szCs w:val="21"/>
                <w:highlight w:val="none"/>
              </w:rPr>
              <w:t>中标金额（万元）</w:t>
            </w:r>
            <w:bookmarkEnd w:id="216"/>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680CC924">
            <w:pPr>
              <w:spacing w:line="240" w:lineRule="auto"/>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28E66F03">
            <w:pPr>
              <w:spacing w:line="240" w:lineRule="auto"/>
              <w:ind w:firstLine="0" w:firstLineChars="0"/>
              <w:rPr>
                <w:rFonts w:hint="eastAsia" w:ascii="微软雅黑" w:hAnsi="微软雅黑" w:eastAsia="微软雅黑" w:cs="微软雅黑"/>
                <w:color w:val="auto"/>
                <w:sz w:val="21"/>
                <w:szCs w:val="21"/>
                <w:highlight w:val="none"/>
              </w:rPr>
            </w:pPr>
            <w:bookmarkStart w:id="217" w:name="_Toc493511754"/>
            <w:r>
              <w:rPr>
                <w:rFonts w:hint="eastAsia" w:ascii="微软雅黑" w:hAnsi="微软雅黑" w:eastAsia="微软雅黑" w:cs="微软雅黑"/>
                <w:color w:val="auto"/>
                <w:sz w:val="21"/>
                <w:szCs w:val="21"/>
                <w:highlight w:val="none"/>
              </w:rPr>
              <w:t>服务类招标收费费率</w:t>
            </w:r>
            <w:bookmarkEnd w:id="217"/>
          </w:p>
        </w:tc>
      </w:tr>
      <w:tr w14:paraId="5AAB9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76F0AF07">
            <w:pPr>
              <w:spacing w:line="240" w:lineRule="auto"/>
              <w:ind w:firstLine="0" w:firstLineChars="0"/>
              <w:rPr>
                <w:rFonts w:hint="eastAsia" w:ascii="微软雅黑" w:hAnsi="微软雅黑" w:eastAsia="微软雅黑" w:cs="微软雅黑"/>
                <w:color w:val="auto"/>
                <w:sz w:val="21"/>
                <w:szCs w:val="21"/>
                <w:highlight w:val="none"/>
              </w:rPr>
            </w:pPr>
            <w:bookmarkStart w:id="218" w:name="_Toc493511755"/>
            <w:r>
              <w:rPr>
                <w:rFonts w:hint="eastAsia" w:ascii="微软雅黑" w:hAnsi="微软雅黑" w:eastAsia="微软雅黑" w:cs="微软雅黑"/>
                <w:color w:val="auto"/>
                <w:sz w:val="21"/>
                <w:szCs w:val="21"/>
                <w:highlight w:val="none"/>
              </w:rPr>
              <w:t>100以下</w:t>
            </w:r>
            <w:bookmarkEnd w:id="218"/>
          </w:p>
        </w:tc>
        <w:tc>
          <w:tcPr>
            <w:tcW w:w="2160" w:type="dxa"/>
            <w:tcBorders>
              <w:top w:val="single" w:color="auto" w:sz="6" w:space="0"/>
              <w:left w:val="single" w:color="auto" w:sz="6" w:space="0"/>
              <w:bottom w:val="single" w:color="auto" w:sz="6" w:space="0"/>
              <w:right w:val="single" w:color="auto" w:sz="6" w:space="0"/>
            </w:tcBorders>
          </w:tcPr>
          <w:p w14:paraId="05948B3C">
            <w:pPr>
              <w:spacing w:line="240" w:lineRule="auto"/>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w:t>
            </w:r>
          </w:p>
        </w:tc>
        <w:tc>
          <w:tcPr>
            <w:tcW w:w="2160" w:type="dxa"/>
            <w:tcBorders>
              <w:top w:val="single" w:color="auto" w:sz="6" w:space="0"/>
              <w:left w:val="single" w:color="auto" w:sz="6" w:space="0"/>
              <w:bottom w:val="single" w:color="auto" w:sz="6" w:space="0"/>
              <w:right w:val="double" w:color="auto" w:sz="4" w:space="0"/>
            </w:tcBorders>
            <w:vAlign w:val="center"/>
          </w:tcPr>
          <w:p w14:paraId="1266A426">
            <w:pPr>
              <w:spacing w:line="240" w:lineRule="auto"/>
              <w:ind w:firstLine="0" w:firstLineChars="0"/>
              <w:rPr>
                <w:rFonts w:hint="eastAsia" w:ascii="微软雅黑" w:hAnsi="微软雅黑" w:eastAsia="微软雅黑" w:cs="微软雅黑"/>
                <w:color w:val="auto"/>
                <w:sz w:val="21"/>
                <w:szCs w:val="21"/>
                <w:highlight w:val="none"/>
              </w:rPr>
            </w:pPr>
            <w:bookmarkStart w:id="219" w:name="_Toc493511756"/>
            <w:r>
              <w:rPr>
                <w:rFonts w:hint="eastAsia" w:ascii="微软雅黑" w:hAnsi="微软雅黑" w:eastAsia="微软雅黑" w:cs="微软雅黑"/>
                <w:color w:val="auto"/>
                <w:sz w:val="21"/>
                <w:szCs w:val="21"/>
                <w:highlight w:val="none"/>
              </w:rPr>
              <w:t>1.5％</w:t>
            </w:r>
            <w:bookmarkEnd w:id="219"/>
          </w:p>
        </w:tc>
      </w:tr>
      <w:tr w14:paraId="1BDF3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BA45969">
            <w:pPr>
              <w:spacing w:line="240" w:lineRule="auto"/>
              <w:ind w:firstLine="0" w:firstLineChars="0"/>
              <w:rPr>
                <w:rFonts w:hint="eastAsia" w:ascii="微软雅黑" w:hAnsi="微软雅黑" w:eastAsia="微软雅黑" w:cs="微软雅黑"/>
                <w:color w:val="auto"/>
                <w:sz w:val="21"/>
                <w:szCs w:val="21"/>
                <w:highlight w:val="none"/>
              </w:rPr>
            </w:pPr>
            <w:bookmarkStart w:id="220" w:name="_Toc493511757"/>
            <w:r>
              <w:rPr>
                <w:rFonts w:hint="eastAsia" w:ascii="微软雅黑" w:hAnsi="微软雅黑" w:eastAsia="微软雅黑" w:cs="微软雅黑"/>
                <w:color w:val="auto"/>
                <w:sz w:val="21"/>
                <w:szCs w:val="21"/>
                <w:highlight w:val="none"/>
              </w:rPr>
              <w:t>100-500</w:t>
            </w:r>
            <w:bookmarkEnd w:id="220"/>
          </w:p>
        </w:tc>
        <w:tc>
          <w:tcPr>
            <w:tcW w:w="2160" w:type="dxa"/>
            <w:tcBorders>
              <w:top w:val="single" w:color="auto" w:sz="6" w:space="0"/>
              <w:left w:val="single" w:color="auto" w:sz="6" w:space="0"/>
              <w:bottom w:val="single" w:color="auto" w:sz="6" w:space="0"/>
              <w:right w:val="single" w:color="auto" w:sz="6" w:space="0"/>
            </w:tcBorders>
          </w:tcPr>
          <w:p w14:paraId="69A1C37F">
            <w:pPr>
              <w:spacing w:line="240" w:lineRule="auto"/>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2160" w:type="dxa"/>
            <w:tcBorders>
              <w:top w:val="single" w:color="auto" w:sz="6" w:space="0"/>
              <w:left w:val="single" w:color="auto" w:sz="6" w:space="0"/>
              <w:bottom w:val="single" w:color="auto" w:sz="6" w:space="0"/>
              <w:right w:val="double" w:color="auto" w:sz="4" w:space="0"/>
            </w:tcBorders>
            <w:vAlign w:val="center"/>
          </w:tcPr>
          <w:p w14:paraId="33B5E794">
            <w:pPr>
              <w:spacing w:line="240" w:lineRule="auto"/>
              <w:ind w:firstLine="0" w:firstLineChars="0"/>
              <w:rPr>
                <w:rFonts w:hint="eastAsia" w:ascii="微软雅黑" w:hAnsi="微软雅黑" w:eastAsia="微软雅黑" w:cs="微软雅黑"/>
                <w:color w:val="auto"/>
                <w:sz w:val="21"/>
                <w:szCs w:val="21"/>
                <w:highlight w:val="none"/>
              </w:rPr>
            </w:pPr>
            <w:bookmarkStart w:id="221" w:name="_Toc493511758"/>
            <w:r>
              <w:rPr>
                <w:rFonts w:hint="eastAsia" w:ascii="微软雅黑" w:hAnsi="微软雅黑" w:eastAsia="微软雅黑" w:cs="微软雅黑"/>
                <w:color w:val="auto"/>
                <w:sz w:val="21"/>
                <w:szCs w:val="21"/>
                <w:highlight w:val="none"/>
              </w:rPr>
              <w:t>0.8％</w:t>
            </w:r>
            <w:bookmarkEnd w:id="221"/>
          </w:p>
        </w:tc>
      </w:tr>
      <w:tr w14:paraId="466E4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3B3D2BC8">
            <w:pPr>
              <w:spacing w:line="240" w:lineRule="auto"/>
              <w:ind w:firstLine="0" w:firstLineChars="0"/>
              <w:rPr>
                <w:rFonts w:hint="eastAsia" w:ascii="微软雅黑" w:hAnsi="微软雅黑" w:eastAsia="微软雅黑" w:cs="微软雅黑"/>
                <w:color w:val="auto"/>
                <w:sz w:val="21"/>
                <w:szCs w:val="21"/>
                <w:highlight w:val="none"/>
              </w:rPr>
            </w:pPr>
            <w:bookmarkStart w:id="222" w:name="_Toc493511759"/>
            <w:r>
              <w:rPr>
                <w:rFonts w:hint="eastAsia" w:ascii="微软雅黑" w:hAnsi="微软雅黑" w:eastAsia="微软雅黑" w:cs="微软雅黑"/>
                <w:color w:val="auto"/>
                <w:sz w:val="21"/>
                <w:szCs w:val="21"/>
                <w:highlight w:val="none"/>
              </w:rPr>
              <w:t>500-1000</w:t>
            </w:r>
            <w:bookmarkEnd w:id="222"/>
          </w:p>
        </w:tc>
        <w:tc>
          <w:tcPr>
            <w:tcW w:w="2160" w:type="dxa"/>
            <w:tcBorders>
              <w:top w:val="single" w:color="auto" w:sz="6" w:space="0"/>
              <w:left w:val="single" w:color="auto" w:sz="6" w:space="0"/>
              <w:bottom w:val="single" w:color="auto" w:sz="6" w:space="0"/>
              <w:right w:val="single" w:color="auto" w:sz="6" w:space="0"/>
            </w:tcBorders>
          </w:tcPr>
          <w:p w14:paraId="4659350F">
            <w:pPr>
              <w:spacing w:line="240" w:lineRule="auto"/>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w:t>
            </w:r>
          </w:p>
        </w:tc>
        <w:tc>
          <w:tcPr>
            <w:tcW w:w="2160" w:type="dxa"/>
            <w:tcBorders>
              <w:top w:val="single" w:color="auto" w:sz="6" w:space="0"/>
              <w:left w:val="single" w:color="auto" w:sz="6" w:space="0"/>
              <w:bottom w:val="single" w:color="auto" w:sz="6" w:space="0"/>
              <w:right w:val="double" w:color="auto" w:sz="4" w:space="0"/>
            </w:tcBorders>
            <w:vAlign w:val="center"/>
          </w:tcPr>
          <w:p w14:paraId="56F19C0E">
            <w:pPr>
              <w:spacing w:line="240" w:lineRule="auto"/>
              <w:ind w:firstLine="0" w:firstLineChars="0"/>
              <w:rPr>
                <w:rFonts w:hint="eastAsia" w:ascii="微软雅黑" w:hAnsi="微软雅黑" w:eastAsia="微软雅黑" w:cs="微软雅黑"/>
                <w:color w:val="auto"/>
                <w:sz w:val="21"/>
                <w:szCs w:val="21"/>
                <w:highlight w:val="none"/>
              </w:rPr>
            </w:pPr>
            <w:bookmarkStart w:id="223" w:name="_Toc493511760"/>
            <w:r>
              <w:rPr>
                <w:rFonts w:hint="eastAsia" w:ascii="微软雅黑" w:hAnsi="微软雅黑" w:eastAsia="微软雅黑" w:cs="微软雅黑"/>
                <w:color w:val="auto"/>
                <w:sz w:val="21"/>
                <w:szCs w:val="21"/>
                <w:highlight w:val="none"/>
              </w:rPr>
              <w:t>0.45％</w:t>
            </w:r>
            <w:bookmarkEnd w:id="223"/>
          </w:p>
        </w:tc>
      </w:tr>
    </w:tbl>
    <w:p w14:paraId="5F9386E6">
      <w:pPr>
        <w:ind w:firstLine="420"/>
        <w:rPr>
          <w:rFonts w:hint="eastAsia" w:ascii="微软雅黑" w:hAnsi="微软雅黑" w:eastAsia="微软雅黑" w:cs="微软雅黑"/>
          <w:color w:val="auto"/>
          <w:sz w:val="21"/>
          <w:szCs w:val="21"/>
          <w:highlight w:val="none"/>
        </w:rPr>
      </w:pPr>
      <w:bookmarkStart w:id="224" w:name="_Toc493511761"/>
      <w:r>
        <w:rPr>
          <w:rFonts w:hint="eastAsia" w:ascii="微软雅黑" w:hAnsi="微软雅黑" w:eastAsia="微软雅黑" w:cs="微软雅黑"/>
          <w:color w:val="auto"/>
          <w:sz w:val="21"/>
          <w:szCs w:val="21"/>
          <w:highlight w:val="none"/>
        </w:rPr>
        <w:t>例如：某项目服务类招标代理业务中标金额为900万元，计算中标服务费收费额如下：</w:t>
      </w:r>
      <w:bookmarkEnd w:id="224"/>
    </w:p>
    <w:p w14:paraId="3FD8D5B7">
      <w:pPr>
        <w:ind w:firstLine="420"/>
        <w:rPr>
          <w:rFonts w:hint="eastAsia" w:ascii="微软雅黑" w:hAnsi="微软雅黑" w:eastAsia="微软雅黑" w:cs="微软雅黑"/>
          <w:color w:val="auto"/>
          <w:sz w:val="21"/>
          <w:szCs w:val="21"/>
          <w:highlight w:val="none"/>
        </w:rPr>
      </w:pPr>
      <w:bookmarkStart w:id="225" w:name="_Toc493511762"/>
      <w:r>
        <w:rPr>
          <w:rFonts w:hint="eastAsia" w:ascii="微软雅黑" w:hAnsi="微软雅黑" w:eastAsia="微软雅黑" w:cs="微软雅黑"/>
          <w:color w:val="auto"/>
          <w:sz w:val="21"/>
          <w:szCs w:val="21"/>
          <w:highlight w:val="none"/>
        </w:rPr>
        <w:t>100万元 × 1.5% = 1.5万元</w:t>
      </w:r>
      <w:bookmarkEnd w:id="225"/>
    </w:p>
    <w:p w14:paraId="5419F7DE">
      <w:pPr>
        <w:ind w:firstLine="420"/>
        <w:rPr>
          <w:rFonts w:hint="eastAsia" w:ascii="微软雅黑" w:hAnsi="微软雅黑" w:eastAsia="微软雅黑" w:cs="微软雅黑"/>
          <w:color w:val="auto"/>
          <w:sz w:val="21"/>
          <w:szCs w:val="21"/>
          <w:highlight w:val="none"/>
        </w:rPr>
      </w:pPr>
      <w:bookmarkStart w:id="226" w:name="_Toc493511763"/>
      <w:r>
        <w:rPr>
          <w:rFonts w:hint="eastAsia" w:ascii="微软雅黑" w:hAnsi="微软雅黑" w:eastAsia="微软雅黑" w:cs="微软雅黑"/>
          <w:color w:val="auto"/>
          <w:sz w:val="21"/>
          <w:szCs w:val="21"/>
          <w:highlight w:val="none"/>
        </w:rPr>
        <w:t>（500-100）万元 × 0.8% = 3.2万元</w:t>
      </w:r>
      <w:bookmarkEnd w:id="226"/>
    </w:p>
    <w:p w14:paraId="3394C5D9">
      <w:pPr>
        <w:ind w:firstLine="420"/>
        <w:rPr>
          <w:rFonts w:hint="eastAsia" w:ascii="微软雅黑" w:hAnsi="微软雅黑" w:eastAsia="微软雅黑" w:cs="微软雅黑"/>
          <w:color w:val="auto"/>
          <w:sz w:val="21"/>
          <w:szCs w:val="21"/>
          <w:highlight w:val="none"/>
        </w:rPr>
      </w:pPr>
      <w:bookmarkStart w:id="227" w:name="_Toc493511764"/>
      <w:r>
        <w:rPr>
          <w:rFonts w:hint="eastAsia" w:ascii="微软雅黑" w:hAnsi="微软雅黑" w:eastAsia="微软雅黑" w:cs="微软雅黑"/>
          <w:color w:val="auto"/>
          <w:sz w:val="21"/>
          <w:szCs w:val="21"/>
          <w:highlight w:val="none"/>
        </w:rPr>
        <w:t>（900-500）万元×0.45% = 1.8万元</w:t>
      </w:r>
      <w:bookmarkEnd w:id="227"/>
    </w:p>
    <w:p w14:paraId="33D1ACDE">
      <w:pPr>
        <w:ind w:firstLine="420"/>
        <w:rPr>
          <w:rFonts w:hint="eastAsia" w:ascii="微软雅黑" w:hAnsi="微软雅黑" w:eastAsia="微软雅黑" w:cs="微软雅黑"/>
          <w:color w:val="auto"/>
          <w:sz w:val="21"/>
          <w:szCs w:val="21"/>
          <w:highlight w:val="none"/>
        </w:rPr>
      </w:pPr>
      <w:bookmarkStart w:id="228" w:name="_Toc493511765"/>
      <w:r>
        <w:rPr>
          <w:rFonts w:hint="eastAsia" w:ascii="微软雅黑" w:hAnsi="微软雅黑" w:eastAsia="微软雅黑" w:cs="微软雅黑"/>
          <w:color w:val="auto"/>
          <w:sz w:val="21"/>
          <w:szCs w:val="21"/>
          <w:highlight w:val="none"/>
        </w:rPr>
        <w:t>计收费 = 1.5万元 + 3.2万元+1.8万元 = 6.5万元</w:t>
      </w:r>
      <w:bookmarkEnd w:id="228"/>
    </w:p>
    <w:p w14:paraId="5F21D1AB">
      <w:pPr>
        <w:ind w:firstLine="420"/>
        <w:rPr>
          <w:rFonts w:hint="eastAsia" w:ascii="微软雅黑" w:hAnsi="微软雅黑" w:eastAsia="微软雅黑" w:cs="微软雅黑"/>
          <w:color w:val="auto"/>
          <w:sz w:val="21"/>
          <w:szCs w:val="21"/>
          <w:highlight w:val="none"/>
        </w:rPr>
      </w:pPr>
      <w:bookmarkStart w:id="229" w:name="_Toc493511766"/>
      <w:r>
        <w:rPr>
          <w:rFonts w:hint="eastAsia" w:ascii="微软雅黑" w:hAnsi="微软雅黑" w:eastAsia="微软雅黑" w:cs="微软雅黑"/>
          <w:color w:val="auto"/>
          <w:sz w:val="21"/>
          <w:szCs w:val="21"/>
          <w:highlight w:val="none"/>
        </w:rPr>
        <w:t>3、</w:t>
      </w:r>
      <w:bookmarkEnd w:id="229"/>
      <w:r>
        <w:rPr>
          <w:rFonts w:hint="eastAsia" w:ascii="微软雅黑" w:hAnsi="微软雅黑" w:cs="微软雅黑"/>
          <w:szCs w:val="21"/>
        </w:rPr>
        <w:t>本项目以服务类招标收费标准的68%收取中标服务费</w:t>
      </w:r>
      <w:r>
        <w:rPr>
          <w:rFonts w:hint="eastAsia" w:ascii="微软雅黑" w:hAnsi="微软雅黑" w:cs="微软雅黑"/>
        </w:rPr>
        <w:t>（</w:t>
      </w:r>
      <w:r>
        <w:rPr>
          <w:rFonts w:hint="eastAsia" w:ascii="微软雅黑" w:hAnsi="微软雅黑" w:cs="微软雅黑"/>
          <w:szCs w:val="21"/>
        </w:rPr>
        <w:t>单个项目保底4000</w:t>
      </w:r>
      <w:r>
        <w:rPr>
          <w:rFonts w:ascii="微软雅黑" w:hAnsi="微软雅黑" w:cs="微软雅黑"/>
          <w:szCs w:val="21"/>
        </w:rPr>
        <w:t>元</w:t>
      </w:r>
      <w:r>
        <w:rPr>
          <w:rFonts w:hint="eastAsia" w:ascii="微软雅黑" w:hAnsi="微软雅黑" w:cs="微软雅黑"/>
        </w:rPr>
        <w:t>）</w:t>
      </w:r>
      <w:r>
        <w:rPr>
          <w:rFonts w:hint="eastAsia" w:ascii="微软雅黑" w:hAnsi="微软雅黑" w:eastAsia="微软雅黑" w:cs="微软雅黑"/>
          <w:color w:val="auto"/>
          <w:sz w:val="21"/>
          <w:szCs w:val="21"/>
          <w:highlight w:val="none"/>
        </w:rPr>
        <w:t>。</w:t>
      </w:r>
    </w:p>
    <w:p w14:paraId="68BF5222">
      <w:pPr>
        <w:ind w:firstLine="420"/>
        <w:rPr>
          <w:rFonts w:hint="eastAsia" w:ascii="微软雅黑" w:hAnsi="微软雅黑" w:eastAsia="微软雅黑" w:cs="微软雅黑"/>
          <w:color w:val="auto"/>
          <w:sz w:val="21"/>
          <w:szCs w:val="21"/>
          <w:highlight w:val="none"/>
        </w:rPr>
      </w:pPr>
      <w:bookmarkStart w:id="230" w:name="_Toc493511767"/>
      <w:r>
        <w:rPr>
          <w:rFonts w:hint="eastAsia" w:ascii="微软雅黑" w:hAnsi="微软雅黑" w:eastAsia="微软雅黑" w:cs="微软雅黑"/>
          <w:color w:val="auto"/>
          <w:sz w:val="21"/>
          <w:szCs w:val="21"/>
          <w:highlight w:val="none"/>
        </w:rPr>
        <w:t>4、服务费的货币为人民币。</w:t>
      </w:r>
      <w:bookmarkEnd w:id="230"/>
    </w:p>
    <w:p w14:paraId="1AECD54B">
      <w:pPr>
        <w:ind w:firstLine="420"/>
        <w:rPr>
          <w:rFonts w:hint="eastAsia" w:ascii="微软雅黑" w:hAnsi="微软雅黑" w:eastAsia="微软雅黑" w:cs="微软雅黑"/>
          <w:color w:val="auto"/>
          <w:sz w:val="21"/>
          <w:szCs w:val="21"/>
          <w:highlight w:val="none"/>
        </w:rPr>
      </w:pPr>
      <w:bookmarkStart w:id="231" w:name="_Toc493511768"/>
      <w:r>
        <w:rPr>
          <w:rFonts w:hint="eastAsia" w:ascii="微软雅黑" w:hAnsi="微软雅黑" w:eastAsia="微软雅黑" w:cs="微软雅黑"/>
          <w:color w:val="auto"/>
          <w:sz w:val="21"/>
          <w:szCs w:val="21"/>
          <w:highlight w:val="none"/>
        </w:rPr>
        <w:t>5、服务费支付方式：一次性以银行划账、电汇、汇票或支票的形式支付。</w:t>
      </w:r>
      <w:bookmarkEnd w:id="231"/>
    </w:p>
    <w:p w14:paraId="02C1B277">
      <w:pPr>
        <w:ind w:firstLine="420"/>
        <w:rPr>
          <w:rFonts w:hint="eastAsia" w:ascii="微软雅黑" w:hAnsi="微软雅黑" w:eastAsia="微软雅黑" w:cs="微软雅黑"/>
          <w:color w:val="auto"/>
          <w:sz w:val="21"/>
          <w:szCs w:val="21"/>
          <w:highlight w:val="none"/>
        </w:rPr>
      </w:pPr>
      <w:bookmarkStart w:id="232" w:name="_Toc493511769"/>
      <w:r>
        <w:rPr>
          <w:rFonts w:hint="eastAsia" w:ascii="微软雅黑" w:hAnsi="微软雅黑" w:eastAsia="微软雅黑" w:cs="微软雅黑"/>
          <w:color w:val="auto"/>
          <w:sz w:val="21"/>
          <w:szCs w:val="21"/>
          <w:highlight w:val="none"/>
        </w:rPr>
        <w:t>6、服务费以银行划账方式按下列要求提交：</w:t>
      </w:r>
      <w:bookmarkEnd w:id="232"/>
    </w:p>
    <w:p w14:paraId="1283681C">
      <w:pPr>
        <w:ind w:firstLine="420"/>
        <w:rPr>
          <w:rFonts w:hint="eastAsia" w:ascii="微软雅黑" w:hAnsi="微软雅黑" w:eastAsia="微软雅黑" w:cs="微软雅黑"/>
          <w:color w:val="auto"/>
          <w:sz w:val="21"/>
          <w:szCs w:val="21"/>
          <w:highlight w:val="none"/>
        </w:rPr>
      </w:pPr>
      <w:bookmarkStart w:id="233" w:name="_Toc493511770"/>
      <w:r>
        <w:rPr>
          <w:rFonts w:hint="eastAsia" w:ascii="微软雅黑" w:hAnsi="微软雅黑" w:eastAsia="微软雅黑" w:cs="微软雅黑"/>
          <w:color w:val="auto"/>
          <w:sz w:val="21"/>
          <w:szCs w:val="21"/>
          <w:highlight w:val="none"/>
        </w:rPr>
        <w:t>收款人：嘉兴市千秋工程咨询有限公司</w:t>
      </w:r>
      <w:bookmarkEnd w:id="233"/>
    </w:p>
    <w:p w14:paraId="2798A235">
      <w:pPr>
        <w:ind w:firstLine="420"/>
        <w:rPr>
          <w:rFonts w:hint="eastAsia" w:ascii="微软雅黑" w:hAnsi="微软雅黑" w:eastAsia="微软雅黑" w:cs="微软雅黑"/>
          <w:color w:val="auto"/>
          <w:sz w:val="21"/>
          <w:szCs w:val="21"/>
          <w:highlight w:val="none"/>
        </w:rPr>
      </w:pPr>
      <w:bookmarkStart w:id="234" w:name="_Toc493511771"/>
      <w:r>
        <w:rPr>
          <w:rFonts w:hint="eastAsia" w:ascii="微软雅黑" w:hAnsi="微软雅黑" w:eastAsia="微软雅黑" w:cs="微软雅黑"/>
          <w:color w:val="auto"/>
          <w:sz w:val="21"/>
          <w:szCs w:val="21"/>
          <w:highlight w:val="none"/>
        </w:rPr>
        <w:t>户名：嘉兴市千秋工程咨询有限公司</w:t>
      </w:r>
      <w:bookmarkEnd w:id="234"/>
    </w:p>
    <w:p w14:paraId="7AFBF3CF">
      <w:pPr>
        <w:ind w:firstLine="420"/>
        <w:rPr>
          <w:rFonts w:hint="eastAsia" w:ascii="微软雅黑" w:hAnsi="微软雅黑" w:eastAsia="微软雅黑" w:cs="微软雅黑"/>
          <w:color w:val="auto"/>
          <w:sz w:val="21"/>
          <w:szCs w:val="21"/>
          <w:highlight w:val="none"/>
        </w:rPr>
      </w:pPr>
      <w:bookmarkStart w:id="235" w:name="_Toc493511772"/>
      <w:r>
        <w:rPr>
          <w:rFonts w:hint="eastAsia" w:ascii="微软雅黑" w:hAnsi="微软雅黑" w:eastAsia="微软雅黑" w:cs="微软雅黑"/>
          <w:color w:val="auto"/>
          <w:sz w:val="21"/>
          <w:szCs w:val="21"/>
          <w:highlight w:val="none"/>
        </w:rPr>
        <w:t>开户银行：交通银行嘉兴分行</w:t>
      </w:r>
      <w:bookmarkEnd w:id="235"/>
    </w:p>
    <w:p w14:paraId="0691AA5D">
      <w:pPr>
        <w:ind w:firstLine="420"/>
        <w:rPr>
          <w:rFonts w:hint="eastAsia" w:ascii="微软雅黑" w:hAnsi="微软雅黑" w:eastAsia="微软雅黑" w:cs="微软雅黑"/>
          <w:color w:val="auto"/>
          <w:sz w:val="21"/>
          <w:szCs w:val="21"/>
          <w:highlight w:val="none"/>
        </w:rPr>
      </w:pPr>
      <w:bookmarkStart w:id="236" w:name="_Toc493511773"/>
      <w:r>
        <w:rPr>
          <w:rFonts w:hint="eastAsia" w:ascii="微软雅黑" w:hAnsi="微软雅黑" w:eastAsia="微软雅黑" w:cs="微软雅黑"/>
          <w:color w:val="auto"/>
          <w:sz w:val="21"/>
          <w:szCs w:val="21"/>
          <w:highlight w:val="none"/>
        </w:rPr>
        <w:t>账号：334601000018170160050</w:t>
      </w:r>
      <w:bookmarkEnd w:id="236"/>
    </w:p>
    <w:p w14:paraId="0157C37B">
      <w:pPr>
        <w:ind w:firstLine="420"/>
        <w:rPr>
          <w:rFonts w:hint="eastAsia" w:ascii="微软雅黑" w:hAnsi="微软雅黑" w:eastAsia="微软雅黑" w:cs="微软雅黑"/>
          <w:color w:val="auto"/>
          <w:sz w:val="21"/>
          <w:szCs w:val="21"/>
          <w:highlight w:val="none"/>
        </w:rPr>
      </w:pPr>
      <w:bookmarkStart w:id="237" w:name="_Toc493511775"/>
      <w:r>
        <w:rPr>
          <w:rFonts w:hint="eastAsia" w:ascii="微软雅黑" w:hAnsi="微软雅黑" w:eastAsia="微软雅黑" w:cs="微软雅黑"/>
          <w:color w:val="auto"/>
          <w:sz w:val="21"/>
          <w:szCs w:val="21"/>
          <w:highlight w:val="none"/>
        </w:rPr>
        <w:t>7、服务费不在投标报价中单列。</w:t>
      </w:r>
      <w:bookmarkEnd w:id="237"/>
    </w:p>
    <w:p w14:paraId="22C17C55">
      <w:pPr>
        <w:pStyle w:val="49"/>
        <w:spacing w:before="0" w:after="0"/>
        <w:ind w:firstLine="640"/>
        <w:outlineLvl w:val="9"/>
        <w:rPr>
          <w:rFonts w:hint="eastAsia" w:ascii="微软雅黑" w:hAnsi="微软雅黑" w:eastAsia="微软雅黑" w:cs="微软雅黑"/>
          <w:color w:val="auto"/>
          <w:sz w:val="21"/>
          <w:szCs w:val="21"/>
          <w:highlight w:val="none"/>
        </w:rPr>
        <w:sectPr>
          <w:footerReference r:id="rId17" w:type="first"/>
          <w:footerReference r:id="rId16" w:type="default"/>
          <w:pgSz w:w="11906" w:h="16838"/>
          <w:pgMar w:top="1474" w:right="1797" w:bottom="1247" w:left="1797" w:header="851" w:footer="851" w:gutter="0"/>
          <w:cols w:space="720" w:num="1"/>
          <w:docGrid w:linePitch="312" w:charSpace="0"/>
        </w:sectPr>
      </w:pPr>
      <w:bookmarkStart w:id="238" w:name="_Toc25435"/>
      <w:bookmarkStart w:id="239" w:name="_Toc493511776"/>
      <w:bookmarkStart w:id="240" w:name="_Toc177870559"/>
      <w:bookmarkStart w:id="241" w:name="_Toc170792807"/>
      <w:bookmarkStart w:id="242" w:name="_Toc417992896"/>
      <w:bookmarkStart w:id="243" w:name="_Toc416422800"/>
      <w:bookmarkStart w:id="244" w:name="_Toc493511826"/>
      <w:bookmarkStart w:id="245" w:name="_Toc170792802"/>
    </w:p>
    <w:p w14:paraId="28D871A8">
      <w:pPr>
        <w:pStyle w:val="2"/>
        <w:numPr>
          <w:ilvl w:val="0"/>
          <w:numId w:val="4"/>
        </w:numPr>
        <w:rPr>
          <w:rStyle w:val="65"/>
          <w:rFonts w:hint="eastAsia" w:ascii="微软雅黑" w:hAnsi="微软雅黑" w:eastAsia="微软雅黑" w:cs="微软雅黑"/>
          <w:b/>
          <w:bCs/>
          <w:color w:val="auto"/>
          <w:sz w:val="21"/>
          <w:szCs w:val="21"/>
          <w:highlight w:val="none"/>
        </w:rPr>
      </w:pPr>
      <w:r>
        <w:rPr>
          <w:rStyle w:val="65"/>
          <w:rFonts w:hint="eastAsia" w:ascii="微软雅黑" w:hAnsi="微软雅黑" w:eastAsia="微软雅黑" w:cs="微软雅黑"/>
          <w:b/>
          <w:bCs/>
          <w:color w:val="auto"/>
          <w:sz w:val="21"/>
          <w:szCs w:val="21"/>
          <w:highlight w:val="none"/>
        </w:rPr>
        <w:t xml:space="preserve">  </w:t>
      </w:r>
      <w:bookmarkStart w:id="246" w:name="_Toc191238336"/>
      <w:bookmarkStart w:id="247" w:name="_Toc7414"/>
      <w:r>
        <w:rPr>
          <w:rStyle w:val="65"/>
          <w:rFonts w:hint="eastAsia" w:ascii="微软雅黑" w:hAnsi="微软雅黑" w:eastAsia="微软雅黑" w:cs="微软雅黑"/>
          <w:b/>
          <w:bCs/>
          <w:color w:val="auto"/>
          <w:sz w:val="21"/>
          <w:szCs w:val="21"/>
          <w:highlight w:val="none"/>
        </w:rPr>
        <w:t>磋商办法及磋商标准</w:t>
      </w:r>
      <w:bookmarkEnd w:id="238"/>
      <w:bookmarkEnd w:id="239"/>
      <w:bookmarkEnd w:id="246"/>
      <w:bookmarkEnd w:id="247"/>
    </w:p>
    <w:p w14:paraId="0DBE1CB2">
      <w:pPr>
        <w:spacing w:before="120" w:beforeLines="50" w:after="120" w:afterLines="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为公正、公平、科学地选择中标供应商，根据《中华人民共和国政府采购法》等有关法律法规的规定，并结合本项目的实际，制定本办法。</w:t>
      </w:r>
    </w:p>
    <w:p w14:paraId="351538FA">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本办法适用于本项目的评标。</w:t>
      </w:r>
    </w:p>
    <w:bookmarkEnd w:id="240"/>
    <w:bookmarkEnd w:id="241"/>
    <w:p w14:paraId="1F0C0FC9">
      <w:pPr>
        <w:pStyle w:val="3"/>
        <w:ind w:firstLine="420"/>
        <w:jc w:val="left"/>
        <w:rPr>
          <w:rFonts w:hint="eastAsia" w:ascii="微软雅黑" w:hAnsi="微软雅黑" w:eastAsia="微软雅黑" w:cs="微软雅黑"/>
          <w:b w:val="0"/>
          <w:color w:val="auto"/>
          <w:sz w:val="21"/>
          <w:szCs w:val="21"/>
          <w:highlight w:val="none"/>
        </w:rPr>
      </w:pPr>
      <w:bookmarkStart w:id="248" w:name="_Toc21944"/>
      <w:r>
        <w:rPr>
          <w:rFonts w:hint="eastAsia" w:ascii="微软雅黑" w:hAnsi="微软雅黑" w:eastAsia="微软雅黑" w:cs="微软雅黑"/>
          <w:color w:val="auto"/>
          <w:sz w:val="21"/>
          <w:szCs w:val="21"/>
          <w:highlight w:val="none"/>
        </w:rPr>
        <w:t>一、总则</w:t>
      </w:r>
      <w:bookmarkEnd w:id="248"/>
    </w:p>
    <w:p w14:paraId="7D99FA68">
      <w:pPr>
        <w:spacing w:before="120" w:beforeLines="50" w:after="120" w:afterLines="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次磋商采用综合评分法，总分为100分。合格供应商的评标得分为各项目汇总得分，成交候选资格按评标得分由高到低顺序排列，得分相同的，按响应报价由低到高顺序排列；得分且响应报价相同的，按商务技术得分由高到低顺序排列，仍不能分出前后的，以投标解密先后顺序确定中标候选供应商。成交候选供应商数量：1家，采购人应从评审报告确定的成交候选供应商名单中按顺序确定中标供应商，成交供应商拒绝与采购人签订合同的，确定下一候选供应商为成交供应商，也可以重新开展政府采购活动。评分过程中采用四舍五入法，并保留小数2位。</w:t>
      </w:r>
    </w:p>
    <w:p w14:paraId="65D2AED0">
      <w:pPr>
        <w:spacing w:before="120" w:beforeLines="50" w:after="120" w:afterLines="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供应商评标综合得分=价格分+技术分+资信及其他分</w:t>
      </w:r>
    </w:p>
    <w:p w14:paraId="227CF4B6">
      <w:pPr>
        <w:pStyle w:val="3"/>
        <w:ind w:firstLine="420"/>
        <w:jc w:val="left"/>
        <w:rPr>
          <w:rFonts w:hint="eastAsia" w:ascii="微软雅黑" w:hAnsi="微软雅黑" w:eastAsia="微软雅黑" w:cs="微软雅黑"/>
          <w:b w:val="0"/>
          <w:color w:val="auto"/>
          <w:sz w:val="21"/>
          <w:szCs w:val="21"/>
          <w:highlight w:val="none"/>
        </w:rPr>
      </w:pPr>
      <w:bookmarkStart w:id="249" w:name="_Toc7173"/>
      <w:r>
        <w:rPr>
          <w:rFonts w:hint="eastAsia" w:ascii="微软雅黑" w:hAnsi="微软雅黑" w:eastAsia="微软雅黑" w:cs="微软雅黑"/>
          <w:color w:val="auto"/>
          <w:sz w:val="21"/>
          <w:szCs w:val="21"/>
          <w:highlight w:val="none"/>
        </w:rPr>
        <w:t>二、磋商办法及标准</w:t>
      </w:r>
      <w:bookmarkEnd w:id="249"/>
    </w:p>
    <w:p w14:paraId="42FCC02D">
      <w:pPr>
        <w:numPr>
          <w:ilvl w:val="0"/>
          <w:numId w:val="31"/>
        </w:numPr>
        <w:tabs>
          <w:tab w:val="left" w:pos="3870"/>
          <w:tab w:val="left" w:pos="4085"/>
        </w:tabs>
        <w:snapToGrid w:val="0"/>
        <w:spacing w:before="120" w:beforeLines="50" w:after="120" w:afterLines="50"/>
        <w:ind w:left="0" w:leftChars="0" w:firstLine="420" w:firstLineChars="0"/>
        <w:outlineLvl w:val="1"/>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价格分（</w:t>
      </w:r>
      <w:r>
        <w:rPr>
          <w:rFonts w:hint="eastAsia" w:ascii="微软雅黑" w:hAnsi="微软雅黑" w:cs="微软雅黑"/>
          <w:b/>
          <w:bCs/>
          <w:color w:val="auto"/>
          <w:sz w:val="21"/>
          <w:szCs w:val="21"/>
          <w:highlight w:val="none"/>
          <w:lang w:val="en-US" w:eastAsia="zh-CN"/>
        </w:rPr>
        <w:t>15</w:t>
      </w:r>
      <w:r>
        <w:rPr>
          <w:rFonts w:hint="eastAsia" w:ascii="微软雅黑" w:hAnsi="微软雅黑" w:eastAsia="微软雅黑" w:cs="微软雅黑"/>
          <w:b/>
          <w:bCs/>
          <w:color w:val="auto"/>
          <w:sz w:val="21"/>
          <w:szCs w:val="21"/>
          <w:highlight w:val="none"/>
        </w:rPr>
        <w:t>分）</w:t>
      </w:r>
    </w:p>
    <w:p w14:paraId="1DFF5048">
      <w:pPr>
        <w:pStyle w:val="20"/>
        <w:spacing w:before="120" w:beforeLines="50" w:after="120" w:afterLines="50" w:line="360" w:lineRule="auto"/>
        <w:ind w:firstLine="404"/>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1.价格分采用低价优先法计算，即满足磋商文件要求且磋商价格最低的投标报价为评标基准价，其他供应商的价格分按照下列公式计算：</w:t>
      </w:r>
    </w:p>
    <w:p w14:paraId="4420E389">
      <w:pPr>
        <w:spacing w:before="120" w:beforeLines="50" w:after="120" w:afterLines="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价格分=（评标基准价/投标报价）×</w:t>
      </w:r>
      <w:r>
        <w:rPr>
          <w:rFonts w:hint="eastAsia" w:ascii="微软雅黑" w:hAnsi="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%×100</w:t>
      </w:r>
    </w:p>
    <w:p w14:paraId="782913B5">
      <w:pPr>
        <w:pStyle w:val="20"/>
        <w:spacing w:before="120" w:beforeLines="50" w:after="120" w:afterLines="50" w:line="360" w:lineRule="auto"/>
        <w:ind w:firstLine="404"/>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242"/>
    <w:bookmarkEnd w:id="243"/>
    <w:bookmarkEnd w:id="244"/>
    <w:p w14:paraId="67E44AB5">
      <w:pPr>
        <w:numPr>
          <w:ilvl w:val="0"/>
          <w:numId w:val="31"/>
        </w:numPr>
        <w:tabs>
          <w:tab w:val="left" w:pos="3870"/>
          <w:tab w:val="left" w:pos="4085"/>
        </w:tabs>
        <w:snapToGrid w:val="0"/>
        <w:spacing w:before="120" w:beforeLines="50" w:after="120" w:afterLines="50"/>
        <w:ind w:left="0" w:leftChars="0" w:firstLine="420" w:firstLineChars="0"/>
        <w:outlineLvl w:val="1"/>
        <w:rPr>
          <w:rFonts w:hint="eastAsia" w:ascii="微软雅黑" w:hAnsi="微软雅黑" w:eastAsia="微软雅黑" w:cs="微软雅黑"/>
          <w:b/>
          <w:bCs/>
          <w:color w:val="auto"/>
          <w:sz w:val="21"/>
          <w:szCs w:val="21"/>
          <w:highlight w:val="none"/>
        </w:rPr>
        <w:sectPr>
          <w:footerReference r:id="rId18" w:type="default"/>
          <w:pgSz w:w="11906" w:h="16838"/>
          <w:pgMar w:top="1474" w:right="1797" w:bottom="1247" w:left="1797" w:header="851" w:footer="851" w:gutter="0"/>
          <w:cols w:space="720" w:num="1"/>
          <w:docGrid w:linePitch="312" w:charSpace="0"/>
        </w:sectPr>
      </w:pPr>
      <w:r>
        <w:rPr>
          <w:rFonts w:hint="eastAsia" w:ascii="微软雅黑" w:hAnsi="微软雅黑" w:cs="微软雅黑"/>
          <w:b/>
          <w:bCs/>
          <w:color w:val="auto"/>
          <w:sz w:val="21"/>
          <w:szCs w:val="21"/>
          <w:highlight w:val="none"/>
          <w:lang w:val="en-US" w:eastAsia="zh-CN"/>
        </w:rPr>
        <w:t>技术</w:t>
      </w:r>
      <w:r>
        <w:rPr>
          <w:rFonts w:hint="eastAsia" w:ascii="微软雅黑" w:hAnsi="微软雅黑" w:eastAsia="微软雅黑" w:cs="微软雅黑"/>
          <w:b/>
          <w:bCs/>
          <w:color w:val="auto"/>
          <w:sz w:val="21"/>
          <w:szCs w:val="21"/>
          <w:highlight w:val="none"/>
        </w:rPr>
        <w:t>分</w:t>
      </w:r>
    </w:p>
    <w:tbl>
      <w:tblPr>
        <w:tblStyle w:val="52"/>
        <w:tblW w:w="9395"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743"/>
        <w:gridCol w:w="6698"/>
        <w:gridCol w:w="750"/>
        <w:gridCol w:w="729"/>
      </w:tblGrid>
      <w:tr w14:paraId="7FEF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BD7B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7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074D8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b/>
                <w:bCs/>
                <w:i w:val="0"/>
                <w:iCs w:val="0"/>
                <w:color w:val="auto"/>
                <w:sz w:val="21"/>
                <w:szCs w:val="21"/>
                <w:highlight w:val="none"/>
                <w:u w:val="none"/>
              </w:rPr>
            </w:pPr>
          </w:p>
        </w:tc>
        <w:tc>
          <w:tcPr>
            <w:tcW w:w="6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BF4C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评审标准</w:t>
            </w:r>
          </w:p>
        </w:tc>
        <w:tc>
          <w:tcPr>
            <w:tcW w:w="750" w:type="dxa"/>
            <w:tcBorders>
              <w:top w:val="single" w:color="000000" w:sz="8" w:space="0"/>
              <w:left w:val="single" w:color="000000" w:sz="8" w:space="0"/>
              <w:bottom w:val="nil"/>
              <w:right w:val="single" w:color="000000" w:sz="8" w:space="0"/>
            </w:tcBorders>
            <w:shd w:val="clear" w:color="auto" w:fill="auto"/>
            <w:vAlign w:val="center"/>
          </w:tcPr>
          <w:p w14:paraId="1CF8D2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最高</w:t>
            </w:r>
          </w:p>
        </w:tc>
        <w:tc>
          <w:tcPr>
            <w:tcW w:w="729" w:type="dxa"/>
            <w:tcBorders>
              <w:top w:val="single" w:color="000000" w:sz="8" w:space="0"/>
              <w:left w:val="single" w:color="000000" w:sz="8" w:space="0"/>
              <w:bottom w:val="nil"/>
              <w:right w:val="single" w:color="000000" w:sz="8" w:space="0"/>
            </w:tcBorders>
            <w:shd w:val="clear" w:color="auto" w:fill="auto"/>
            <w:vAlign w:val="center"/>
          </w:tcPr>
          <w:p w14:paraId="463C1B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评分</w:t>
            </w:r>
          </w:p>
        </w:tc>
      </w:tr>
      <w:tr w14:paraId="4DAD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48F3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b/>
                <w:bCs/>
                <w:i w:val="0"/>
                <w:iCs w:val="0"/>
                <w:color w:val="auto"/>
                <w:sz w:val="21"/>
                <w:szCs w:val="21"/>
                <w:highlight w:val="none"/>
                <w:u w:val="none"/>
              </w:rPr>
            </w:pPr>
          </w:p>
        </w:tc>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5E0F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b/>
                <w:bCs/>
                <w:i w:val="0"/>
                <w:iCs w:val="0"/>
                <w:color w:val="auto"/>
                <w:sz w:val="21"/>
                <w:szCs w:val="21"/>
                <w:highlight w:val="none"/>
                <w:u w:val="none"/>
              </w:rPr>
            </w:pPr>
          </w:p>
        </w:tc>
        <w:tc>
          <w:tcPr>
            <w:tcW w:w="6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1720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b/>
                <w:bCs/>
                <w:i w:val="0"/>
                <w:iCs w:val="0"/>
                <w:color w:val="auto"/>
                <w:sz w:val="21"/>
                <w:szCs w:val="21"/>
                <w:highlight w:val="none"/>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91C92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分值</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62DF94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设置</w:t>
            </w:r>
          </w:p>
        </w:tc>
      </w:tr>
      <w:tr w14:paraId="23C5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3C4978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w:t>
            </w:r>
          </w:p>
        </w:tc>
        <w:tc>
          <w:tcPr>
            <w:tcW w:w="743" w:type="dxa"/>
            <w:vMerge w:val="restart"/>
            <w:tcBorders>
              <w:top w:val="nil"/>
              <w:left w:val="single" w:color="000000" w:sz="8" w:space="0"/>
              <w:bottom w:val="single" w:color="000000" w:sz="8" w:space="0"/>
              <w:right w:val="single" w:color="000000" w:sz="8" w:space="0"/>
            </w:tcBorders>
            <w:shd w:val="clear" w:color="auto" w:fill="auto"/>
            <w:vAlign w:val="center"/>
          </w:tcPr>
          <w:p w14:paraId="6D26C6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对本项目目标的理解</w:t>
            </w: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6B5498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根据投标供应商对对采购人需求的理解和分析阐述是否与采购需求符合性或匹配度进行打分，理解、分析透彻的得</w:t>
            </w:r>
            <w:r>
              <w:rPr>
                <w:rFonts w:hint="eastAsia" w:ascii="微软雅黑" w:hAnsi="微软雅黑" w:cs="微软雅黑"/>
                <w:i w:val="0"/>
                <w:iCs w:val="0"/>
                <w:color w:val="auto"/>
                <w:kern w:val="0"/>
                <w:sz w:val="21"/>
                <w:szCs w:val="21"/>
                <w:highlight w:val="none"/>
                <w:u w:val="none"/>
                <w:lang w:val="en-US" w:eastAsia="zh-CN" w:bidi="ar"/>
              </w:rPr>
              <w:t>3</w:t>
            </w:r>
            <w:r>
              <w:rPr>
                <w:rFonts w:hint="eastAsia" w:ascii="微软雅黑" w:hAnsi="微软雅黑" w:eastAsia="微软雅黑" w:cs="微软雅黑"/>
                <w:i w:val="0"/>
                <w:iCs w:val="0"/>
                <w:color w:val="auto"/>
                <w:kern w:val="0"/>
                <w:sz w:val="21"/>
                <w:szCs w:val="21"/>
                <w:highlight w:val="none"/>
                <w:u w:val="none"/>
                <w:lang w:val="en-US" w:eastAsia="zh-CN" w:bidi="ar"/>
              </w:rPr>
              <w:t>分，基本理解的得</w:t>
            </w:r>
            <w:r>
              <w:rPr>
                <w:rFonts w:hint="eastAsia" w:ascii="微软雅黑" w:hAnsi="微软雅黑" w:cs="微软雅黑"/>
                <w:i w:val="0"/>
                <w:iCs w:val="0"/>
                <w:color w:val="auto"/>
                <w:kern w:val="0"/>
                <w:sz w:val="21"/>
                <w:szCs w:val="21"/>
                <w:highlight w:val="none"/>
                <w:u w:val="none"/>
                <w:lang w:val="en-US" w:eastAsia="zh-CN" w:bidi="ar"/>
              </w:rPr>
              <w:t>2</w:t>
            </w:r>
            <w:r>
              <w:rPr>
                <w:rFonts w:hint="eastAsia" w:ascii="微软雅黑" w:hAnsi="微软雅黑" w:eastAsia="微软雅黑" w:cs="微软雅黑"/>
                <w:i w:val="0"/>
                <w:iCs w:val="0"/>
                <w:color w:val="auto"/>
                <w:kern w:val="0"/>
                <w:sz w:val="21"/>
                <w:szCs w:val="21"/>
                <w:highlight w:val="none"/>
                <w:u w:val="none"/>
                <w:lang w:val="en-US" w:eastAsia="zh-CN" w:bidi="ar"/>
              </w:rPr>
              <w:t>分，理解的不够全面的得</w:t>
            </w:r>
            <w:r>
              <w:rPr>
                <w:rFonts w:hint="eastAsia" w:ascii="微软雅黑" w:hAnsi="微软雅黑" w:cs="微软雅黑"/>
                <w:i w:val="0"/>
                <w:iCs w:val="0"/>
                <w:color w:val="auto"/>
                <w:kern w:val="0"/>
                <w:sz w:val="21"/>
                <w:szCs w:val="21"/>
                <w:highlight w:val="none"/>
                <w:u w:val="none"/>
                <w:lang w:val="en-US" w:eastAsia="zh-CN" w:bidi="ar"/>
              </w:rPr>
              <w:t>1</w:t>
            </w:r>
            <w:r>
              <w:rPr>
                <w:rFonts w:hint="eastAsia" w:ascii="微软雅黑" w:hAnsi="微软雅黑" w:eastAsia="微软雅黑" w:cs="微软雅黑"/>
                <w:i w:val="0"/>
                <w:iCs w:val="0"/>
                <w:color w:val="auto"/>
                <w:kern w:val="0"/>
                <w:sz w:val="21"/>
                <w:szCs w:val="21"/>
                <w:highlight w:val="none"/>
                <w:u w:val="none"/>
                <w:lang w:val="en-US" w:eastAsia="zh-CN" w:bidi="ar"/>
              </w:rPr>
              <w:t>分；不提供不不得分。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440909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5DC8B2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主</w:t>
            </w:r>
            <w:r>
              <w:rPr>
                <w:rFonts w:hint="eastAsia" w:ascii="微软雅黑" w:hAnsi="微软雅黑" w:eastAsia="微软雅黑" w:cs="微软雅黑"/>
                <w:i w:val="0"/>
                <w:iCs w:val="0"/>
                <w:color w:val="auto"/>
                <w:kern w:val="0"/>
                <w:sz w:val="21"/>
                <w:szCs w:val="21"/>
                <w:highlight w:val="none"/>
                <w:u w:val="none"/>
                <w:lang w:val="en-US" w:eastAsia="zh-CN" w:bidi="ar"/>
              </w:rPr>
              <w:t>观</w:t>
            </w:r>
          </w:p>
        </w:tc>
      </w:tr>
      <w:tr w14:paraId="7B59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47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AE45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2</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40BB17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nil"/>
              <w:right w:val="single" w:color="000000" w:sz="8" w:space="0"/>
            </w:tcBorders>
            <w:shd w:val="clear" w:color="auto" w:fill="auto"/>
            <w:vAlign w:val="center"/>
          </w:tcPr>
          <w:p w14:paraId="2BD4BA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对嘉兴市医疗保障局系统的理解描述（包括医保局网络情况、省智慧医保对接情况、市级全接入区运维情况、云HIS专区和本地HIS专区情况、数据交换隔离区情况、网络拓扑及网络安全的描述、医保骨干网网络安全监管对象的网络现状的了解与剖析并提供安全规划）是否与采购需求符合性或匹配度进行打分）。每类分别打分：</w:t>
            </w:r>
          </w:p>
        </w:tc>
        <w:tc>
          <w:tcPr>
            <w:tcW w:w="750" w:type="dxa"/>
            <w:vMerge w:val="restart"/>
            <w:tcBorders>
              <w:top w:val="nil"/>
              <w:left w:val="single" w:color="000000" w:sz="8" w:space="0"/>
              <w:bottom w:val="single" w:color="000000" w:sz="8" w:space="0"/>
              <w:right w:val="single" w:color="000000" w:sz="8" w:space="0"/>
            </w:tcBorders>
            <w:shd w:val="clear" w:color="auto" w:fill="auto"/>
            <w:vAlign w:val="center"/>
          </w:tcPr>
          <w:p w14:paraId="0CA3BB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7</w:t>
            </w:r>
          </w:p>
        </w:tc>
        <w:tc>
          <w:tcPr>
            <w:tcW w:w="729" w:type="dxa"/>
            <w:vMerge w:val="restart"/>
            <w:tcBorders>
              <w:top w:val="nil"/>
              <w:left w:val="single" w:color="000000" w:sz="8" w:space="0"/>
              <w:bottom w:val="single" w:color="000000" w:sz="8" w:space="0"/>
              <w:right w:val="single" w:color="000000" w:sz="8" w:space="0"/>
            </w:tcBorders>
            <w:shd w:val="clear" w:color="auto" w:fill="auto"/>
            <w:vAlign w:val="center"/>
          </w:tcPr>
          <w:p w14:paraId="36ECCF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主</w:t>
            </w:r>
            <w:r>
              <w:rPr>
                <w:rFonts w:hint="eastAsia" w:ascii="微软雅黑" w:hAnsi="微软雅黑" w:eastAsia="微软雅黑" w:cs="微软雅黑"/>
                <w:i w:val="0"/>
                <w:iCs w:val="0"/>
                <w:color w:val="auto"/>
                <w:kern w:val="0"/>
                <w:sz w:val="21"/>
                <w:szCs w:val="21"/>
                <w:highlight w:val="none"/>
                <w:u w:val="none"/>
                <w:lang w:val="en-US" w:eastAsia="zh-CN" w:bidi="ar"/>
              </w:rPr>
              <w:t>观</w:t>
            </w:r>
          </w:p>
        </w:tc>
      </w:tr>
      <w:tr w14:paraId="449B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698D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40BCEC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01D8EE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描述的清晰、内容全面的每类得1分；内容有欠缺得0.5分，内容相差很多得0.2分；（不提供不得分）</w:t>
            </w: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14:paraId="054284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14:paraId="0EA8E8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r>
      <w:tr w14:paraId="45AC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6618AA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43" w:type="dxa"/>
            <w:tcBorders>
              <w:top w:val="nil"/>
              <w:left w:val="single" w:color="000000" w:sz="8" w:space="0"/>
              <w:bottom w:val="single" w:color="000000" w:sz="8" w:space="0"/>
              <w:right w:val="single" w:color="000000" w:sz="8" w:space="0"/>
            </w:tcBorders>
            <w:shd w:val="clear" w:color="auto" w:fill="auto"/>
            <w:vAlign w:val="center"/>
          </w:tcPr>
          <w:p w14:paraId="7FE3B0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整体运维方案</w:t>
            </w: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61418A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运维方案：根据投标供应商提供针对本项目的完整总体技术解决方案是否与采购需求符合性或匹配度进行打分，科学合理、实用有效的，得</w:t>
            </w:r>
            <w:r>
              <w:rPr>
                <w:rFonts w:hint="eastAsia" w:ascii="微软雅黑" w:hAnsi="微软雅黑" w:cs="微软雅黑"/>
                <w:i w:val="0"/>
                <w:iCs w:val="0"/>
                <w:color w:val="auto"/>
                <w:kern w:val="0"/>
                <w:sz w:val="21"/>
                <w:szCs w:val="21"/>
                <w:highlight w:val="none"/>
                <w:u w:val="none"/>
                <w:lang w:val="en-US" w:eastAsia="zh-CN" w:bidi="ar"/>
              </w:rPr>
              <w:t>3</w:t>
            </w:r>
            <w:r>
              <w:rPr>
                <w:rFonts w:hint="eastAsia" w:ascii="微软雅黑" w:hAnsi="微软雅黑" w:eastAsia="微软雅黑" w:cs="微软雅黑"/>
                <w:i w:val="0"/>
                <w:iCs w:val="0"/>
                <w:color w:val="auto"/>
                <w:kern w:val="0"/>
                <w:sz w:val="21"/>
                <w:szCs w:val="21"/>
                <w:highlight w:val="none"/>
                <w:u w:val="none"/>
                <w:lang w:val="en-US" w:eastAsia="zh-CN" w:bidi="ar"/>
              </w:rPr>
              <w:t>分；能基本满足采购需求的，得</w:t>
            </w:r>
            <w:r>
              <w:rPr>
                <w:rFonts w:hint="eastAsia" w:ascii="微软雅黑" w:hAnsi="微软雅黑" w:cs="微软雅黑"/>
                <w:i w:val="0"/>
                <w:iCs w:val="0"/>
                <w:color w:val="auto"/>
                <w:kern w:val="0"/>
                <w:sz w:val="21"/>
                <w:szCs w:val="21"/>
                <w:highlight w:val="none"/>
                <w:u w:val="none"/>
                <w:lang w:val="en-US" w:eastAsia="zh-CN" w:bidi="ar"/>
              </w:rPr>
              <w:t>2</w:t>
            </w:r>
            <w:r>
              <w:rPr>
                <w:rFonts w:hint="eastAsia" w:ascii="微软雅黑" w:hAnsi="微软雅黑" w:eastAsia="微软雅黑" w:cs="微软雅黑"/>
                <w:i w:val="0"/>
                <w:iCs w:val="0"/>
                <w:color w:val="auto"/>
                <w:kern w:val="0"/>
                <w:sz w:val="21"/>
                <w:szCs w:val="21"/>
                <w:highlight w:val="none"/>
                <w:u w:val="none"/>
                <w:lang w:val="en-US" w:eastAsia="zh-CN" w:bidi="ar"/>
              </w:rPr>
              <w:t>分；运维方案欠合理且存在不足，得1分。（不提供不得分）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383EC4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349FDB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主</w:t>
            </w:r>
            <w:r>
              <w:rPr>
                <w:rFonts w:hint="eastAsia" w:ascii="微软雅黑" w:hAnsi="微软雅黑" w:eastAsia="微软雅黑" w:cs="微软雅黑"/>
                <w:i w:val="0"/>
                <w:iCs w:val="0"/>
                <w:color w:val="auto"/>
                <w:kern w:val="0"/>
                <w:sz w:val="21"/>
                <w:szCs w:val="21"/>
                <w:highlight w:val="none"/>
                <w:u w:val="none"/>
                <w:lang w:val="en-US" w:eastAsia="zh-CN" w:bidi="ar"/>
              </w:rPr>
              <w:t>观</w:t>
            </w:r>
          </w:p>
        </w:tc>
      </w:tr>
      <w:tr w14:paraId="4DC4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1645C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4</w:t>
            </w:r>
          </w:p>
        </w:tc>
        <w:tc>
          <w:tcPr>
            <w:tcW w:w="743" w:type="dxa"/>
            <w:vMerge w:val="restart"/>
            <w:tcBorders>
              <w:top w:val="nil"/>
              <w:left w:val="single" w:color="000000" w:sz="8" w:space="0"/>
              <w:bottom w:val="single" w:color="000000" w:sz="8" w:space="0"/>
              <w:right w:val="single" w:color="000000" w:sz="8" w:space="0"/>
            </w:tcBorders>
            <w:shd w:val="clear" w:color="auto" w:fill="auto"/>
            <w:vAlign w:val="center"/>
          </w:tcPr>
          <w:p w14:paraId="0E2979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流程管理</w:t>
            </w:r>
          </w:p>
        </w:tc>
        <w:tc>
          <w:tcPr>
            <w:tcW w:w="6698" w:type="dxa"/>
            <w:tcBorders>
              <w:top w:val="nil"/>
              <w:left w:val="single" w:color="000000" w:sz="8" w:space="0"/>
              <w:bottom w:val="nil"/>
              <w:right w:val="single" w:color="000000" w:sz="8" w:space="0"/>
            </w:tcBorders>
            <w:shd w:val="clear" w:color="auto" w:fill="auto"/>
            <w:vAlign w:val="center"/>
          </w:tcPr>
          <w:p w14:paraId="3BF10A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根据投标供应商提出的明确定期巡检流程，故障响应流程，提供巡检报告文档；提供故障应急预案是否与采购需求符合性或匹配度进行打分；</w:t>
            </w:r>
          </w:p>
        </w:tc>
        <w:tc>
          <w:tcPr>
            <w:tcW w:w="750" w:type="dxa"/>
            <w:vMerge w:val="restart"/>
            <w:tcBorders>
              <w:top w:val="nil"/>
              <w:left w:val="single" w:color="000000" w:sz="8" w:space="0"/>
              <w:bottom w:val="single" w:color="000000" w:sz="8" w:space="0"/>
              <w:right w:val="single" w:color="000000" w:sz="8" w:space="0"/>
            </w:tcBorders>
            <w:shd w:val="clear" w:color="auto" w:fill="auto"/>
            <w:vAlign w:val="center"/>
          </w:tcPr>
          <w:p w14:paraId="44340B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4</w:t>
            </w:r>
          </w:p>
        </w:tc>
        <w:tc>
          <w:tcPr>
            <w:tcW w:w="729" w:type="dxa"/>
            <w:vMerge w:val="restart"/>
            <w:tcBorders>
              <w:top w:val="nil"/>
              <w:left w:val="single" w:color="000000" w:sz="8" w:space="0"/>
              <w:bottom w:val="single" w:color="000000" w:sz="8" w:space="0"/>
              <w:right w:val="single" w:color="000000" w:sz="8" w:space="0"/>
            </w:tcBorders>
            <w:shd w:val="clear" w:color="auto" w:fill="auto"/>
            <w:vAlign w:val="center"/>
          </w:tcPr>
          <w:p w14:paraId="31CEE5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主</w:t>
            </w:r>
            <w:r>
              <w:rPr>
                <w:rFonts w:hint="eastAsia" w:ascii="微软雅黑" w:hAnsi="微软雅黑" w:eastAsia="微软雅黑" w:cs="微软雅黑"/>
                <w:i w:val="0"/>
                <w:iCs w:val="0"/>
                <w:color w:val="auto"/>
                <w:kern w:val="0"/>
                <w:sz w:val="21"/>
                <w:szCs w:val="21"/>
                <w:highlight w:val="none"/>
                <w:u w:val="none"/>
                <w:lang w:val="en-US" w:eastAsia="zh-CN" w:bidi="ar"/>
              </w:rPr>
              <w:t>观</w:t>
            </w:r>
          </w:p>
        </w:tc>
      </w:tr>
      <w:tr w14:paraId="525B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F7F9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6DC2DB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nil"/>
              <w:right w:val="single" w:color="000000" w:sz="8" w:space="0"/>
            </w:tcBorders>
            <w:shd w:val="clear" w:color="auto" w:fill="auto"/>
            <w:vAlign w:val="center"/>
          </w:tcPr>
          <w:p w14:paraId="1AB1DA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能充分体现系统在出现故障时业务的应急思路及保障措施的得4分；</w:t>
            </w: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14:paraId="2BBB48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14:paraId="7EA246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r>
      <w:tr w14:paraId="0BBE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21CA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1B170D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nil"/>
              <w:right w:val="single" w:color="000000" w:sz="8" w:space="0"/>
            </w:tcBorders>
            <w:shd w:val="clear" w:color="auto" w:fill="auto"/>
            <w:vAlign w:val="center"/>
          </w:tcPr>
          <w:p w14:paraId="711EBA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基本满足采购单位要求的得3分；</w:t>
            </w: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14:paraId="757D9D4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14:paraId="5DB2ED6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r>
      <w:tr w14:paraId="6916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46E0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1DE6398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nil"/>
              <w:right w:val="single" w:color="000000" w:sz="8" w:space="0"/>
            </w:tcBorders>
            <w:shd w:val="clear" w:color="auto" w:fill="auto"/>
            <w:vAlign w:val="center"/>
          </w:tcPr>
          <w:p w14:paraId="15C7FD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流程中有部分缺陷得2分；</w:t>
            </w: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14:paraId="5E8711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14:paraId="00FBF60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r>
      <w:tr w14:paraId="314F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61AF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46AEFD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nil"/>
              <w:right w:val="single" w:color="000000" w:sz="8" w:space="0"/>
            </w:tcBorders>
            <w:shd w:val="clear" w:color="auto" w:fill="auto"/>
            <w:vAlign w:val="center"/>
          </w:tcPr>
          <w:p w14:paraId="5FC34D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流程中有明显缺陷有可能影响项目实施的得1分；</w:t>
            </w: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14:paraId="595A80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14:paraId="471AEF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r>
      <w:tr w14:paraId="766E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B46DE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4F4D205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166A83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（不提供不得分）。</w:t>
            </w: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14:paraId="6F658A8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729" w:type="dxa"/>
            <w:vMerge w:val="continue"/>
            <w:tcBorders>
              <w:top w:val="nil"/>
              <w:left w:val="single" w:color="000000" w:sz="8" w:space="0"/>
              <w:bottom w:val="single" w:color="000000" w:sz="8" w:space="0"/>
              <w:right w:val="single" w:color="000000" w:sz="8" w:space="0"/>
            </w:tcBorders>
            <w:shd w:val="clear" w:color="auto" w:fill="auto"/>
            <w:vAlign w:val="center"/>
          </w:tcPr>
          <w:p w14:paraId="303BFA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r>
      <w:tr w14:paraId="1D7C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70CC4C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c>
          <w:tcPr>
            <w:tcW w:w="743" w:type="dxa"/>
            <w:vMerge w:val="restart"/>
            <w:tcBorders>
              <w:top w:val="nil"/>
              <w:left w:val="single" w:color="000000" w:sz="8" w:space="0"/>
              <w:bottom w:val="single" w:color="000000" w:sz="8" w:space="0"/>
              <w:right w:val="single" w:color="000000" w:sz="8" w:space="0"/>
            </w:tcBorders>
            <w:shd w:val="clear" w:color="auto" w:fill="auto"/>
            <w:vAlign w:val="center"/>
          </w:tcPr>
          <w:p w14:paraId="2A940B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对整体业务系统的符合性运维能力</w:t>
            </w: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55FFE2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根据投标供应商针对嘉兴市医保整体网络及安全部署的实际情况，提出合理化运维协同方案是否与采购需求符合性或匹配度进行打分；（评分范围：3/2/1，不得供不得分）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DCBF7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2A4DC6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7275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715E71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6</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79E2038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5D922C3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根据投标供应商针对嘉兴医保相关数据库部署及备份的实际情况，提出合理化运维方案是否与采购需求符合性或匹配度进行打分；（评分范围：3/2/1，不得供不得分）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5CA3C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24F9B0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6649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378E09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7</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330735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0F1D63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根据投标供应商针对嘉兴医保系统相关数据迁移服务保障应急措施的实际情况，提出合理化运维方案是否与采购需求符合性或匹配度进行打分；（评分范围：2/1，不得供不得分）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7FAE6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2</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029C53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1008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42102A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8</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312EA9A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5C26C5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根据投标供应商针对PC服务器运维服务技术响应程度是否与采购需求符合性或匹配度进行打分；（评分范围：3/2/1，不得供不得分）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7A988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158144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13EC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5E327E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9</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052C71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6CB77EB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根据投标供应商针对数据库服务技术响应程度是否与采购需求符合性或匹配度进行打分；（评分范围：3/2/1，不得供不得分）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1E017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616B58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077F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63CBF3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10</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6006A1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596C79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根据投标供应商针对网络设备日常运维服务技术响应程度是否与采购需求符合性或匹配度进行打分；（评分范围：3/2/1，不得供不得分）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313DB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1DA6EE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11CE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1099E4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11</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7D47E6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2B3CEA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网络改造升级部署配置技术响应程度是否与采购需求符合性或匹配度进行打分；（评分范围：3/2/1，不得供不得分）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2C6A4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486A55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2C5A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429AC5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12</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408F39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4F1E14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“智慧医保”市级安全隔离数据交换平台运维技术响应程度是否与采购需求符合性或匹配度进行打分；（评分范围：3/2/1，不得供不得分）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B5CD0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024AB0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06A9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48734A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13</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650F3B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44E885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网络安全管理技术响应程度是否与采购需求符合性或匹配度进行打分；（评分范围：3/2/1，不得供不得分）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29DD65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731718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20EE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72F46D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14</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3F0C92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46055F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医保局</w:t>
            </w:r>
            <w:r>
              <w:rPr>
                <w:rFonts w:hint="eastAsia" w:ascii="微软雅黑" w:hAnsi="微软雅黑" w:eastAsia="微软雅黑" w:cs="微软雅黑"/>
                <w:i w:val="0"/>
                <w:iCs w:val="0"/>
                <w:color w:val="auto"/>
                <w:kern w:val="0"/>
                <w:sz w:val="21"/>
                <w:szCs w:val="21"/>
                <w:highlight w:val="none"/>
                <w:u w:val="none"/>
                <w:lang w:val="en-US" w:eastAsia="zh-CN" w:bidi="ar"/>
              </w:rPr>
              <w:t>网络运维安全技术响应程度，根据运维能力和技术响应程度否与采购需求符合性或匹配度进行打分；（评分范围：3/2/1，不得供不得分）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4832E3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0DDA2A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0269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5B65F1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cs="微软雅黑"/>
                <w:i w:val="0"/>
                <w:iCs w:val="0"/>
                <w:color w:val="auto"/>
                <w:kern w:val="0"/>
                <w:sz w:val="21"/>
                <w:szCs w:val="21"/>
                <w:highlight w:val="none"/>
                <w:u w:val="none"/>
                <w:lang w:val="en-US" w:eastAsia="zh-CN" w:bidi="ar"/>
              </w:rPr>
              <w:t>15</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1A80B1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2B03B1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“智慧医保”嘉兴市市级全接入区运维支撑要求响应程度，根据运维能力和技术响应程度否与采购需求符合性或匹配度进行打分；（评分范围：3</w:t>
            </w:r>
            <w:r>
              <w:rPr>
                <w:rFonts w:hint="eastAsia" w:ascii="微软雅黑" w:hAnsi="微软雅黑" w:cs="微软雅黑"/>
                <w:i w:val="0"/>
                <w:iCs w:val="0"/>
                <w:color w:val="auto"/>
                <w:kern w:val="0"/>
                <w:sz w:val="21"/>
                <w:szCs w:val="21"/>
                <w:highlight w:val="none"/>
                <w:u w:val="none"/>
                <w:lang w:val="en-US" w:eastAsia="zh-CN" w:bidi="ar"/>
              </w:rPr>
              <w:t>.5</w:t>
            </w:r>
            <w:r>
              <w:rPr>
                <w:rFonts w:hint="eastAsia" w:ascii="微软雅黑" w:hAnsi="微软雅黑" w:eastAsia="微软雅黑" w:cs="微软雅黑"/>
                <w:i w:val="0"/>
                <w:iCs w:val="0"/>
                <w:color w:val="auto"/>
                <w:kern w:val="0"/>
                <w:sz w:val="21"/>
                <w:szCs w:val="21"/>
                <w:highlight w:val="none"/>
                <w:u w:val="none"/>
                <w:lang w:val="en-US" w:eastAsia="zh-CN" w:bidi="ar"/>
              </w:rPr>
              <w:t>/2/1，不得供不得分）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E662F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3</w:t>
            </w:r>
            <w:r>
              <w:rPr>
                <w:rFonts w:hint="eastAsia" w:ascii="微软雅黑" w:hAnsi="微软雅黑" w:cs="微软雅黑"/>
                <w:i w:val="0"/>
                <w:iCs w:val="0"/>
                <w:color w:val="auto"/>
                <w:kern w:val="0"/>
                <w:sz w:val="21"/>
                <w:szCs w:val="21"/>
                <w:highlight w:val="none"/>
                <w:u w:val="none"/>
                <w:lang w:val="en-US" w:eastAsia="zh-CN" w:bidi="ar"/>
              </w:rPr>
              <w:t>.5</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0A3665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43E9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57F2B9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cs="微软雅黑"/>
                <w:i w:val="0"/>
                <w:iCs w:val="0"/>
                <w:color w:val="auto"/>
                <w:kern w:val="0"/>
                <w:sz w:val="21"/>
                <w:szCs w:val="21"/>
                <w:highlight w:val="none"/>
                <w:u w:val="none"/>
                <w:lang w:val="en-US" w:eastAsia="zh-CN" w:bidi="ar"/>
              </w:rPr>
              <w:t>16</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19B94D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11D1CC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医保HIS专区改造运维支撑要求响应程度，根据运维能力和技术响应程度否与采购需求符合性或匹配度进行打分；（评分范围：3/2/1，不得供不得分）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2201F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508CD0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483F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71C07B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w:t>
            </w:r>
            <w:r>
              <w:rPr>
                <w:rFonts w:hint="eastAsia" w:ascii="微软雅黑" w:hAnsi="微软雅黑" w:cs="微软雅黑"/>
                <w:i w:val="0"/>
                <w:iCs w:val="0"/>
                <w:color w:val="auto"/>
                <w:kern w:val="0"/>
                <w:sz w:val="21"/>
                <w:szCs w:val="21"/>
                <w:highlight w:val="none"/>
                <w:u w:val="none"/>
                <w:lang w:val="en-US" w:eastAsia="zh-CN" w:bidi="ar"/>
              </w:rPr>
              <w:t>7</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74DB28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6D9B47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医保审计服务技术响应程度，根据运维能力和技术响应程度否与采购需求符合性或匹配度进行打分；（评分范围：2/1，不得供不得分）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42AF48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2</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055243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2C91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2F4A5B7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w:t>
            </w:r>
            <w:r>
              <w:rPr>
                <w:rFonts w:hint="eastAsia" w:ascii="微软雅黑" w:hAnsi="微软雅黑" w:cs="微软雅黑"/>
                <w:i w:val="0"/>
                <w:iCs w:val="0"/>
                <w:color w:val="auto"/>
                <w:kern w:val="0"/>
                <w:sz w:val="21"/>
                <w:szCs w:val="21"/>
                <w:highlight w:val="none"/>
                <w:u w:val="none"/>
                <w:lang w:val="en-US" w:eastAsia="zh-CN" w:bidi="ar"/>
              </w:rPr>
              <w:t>8</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3CA55D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2A920B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核心设备备品备件及应急处理服务等技术响应程度，根据运维能力和技术响应程度否与采购需求符合性或匹配度进行打分；（评分范围：3/2/1，不得供不得分）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DFD06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5AB33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3744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273361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w:t>
            </w:r>
            <w:r>
              <w:rPr>
                <w:rFonts w:hint="eastAsia" w:ascii="微软雅黑" w:hAnsi="微软雅黑" w:cs="微软雅黑"/>
                <w:i w:val="0"/>
                <w:iCs w:val="0"/>
                <w:color w:val="auto"/>
                <w:kern w:val="0"/>
                <w:sz w:val="21"/>
                <w:szCs w:val="21"/>
                <w:highlight w:val="none"/>
                <w:u w:val="none"/>
                <w:lang w:val="en-US" w:eastAsia="zh-CN" w:bidi="ar"/>
              </w:rPr>
              <w:t>9</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26F02D4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60C1B0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配合等级测评保护工作技术技术响应程度，根据运维能力和技术响应程度否与采购需求符合性或匹配度进行打分；（评分范围：3/2/1，不得供不得分）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4D05B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0B1719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2245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495401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cs="微软雅黑"/>
                <w:i w:val="0"/>
                <w:iCs w:val="0"/>
                <w:color w:val="auto"/>
                <w:kern w:val="0"/>
                <w:sz w:val="21"/>
                <w:szCs w:val="21"/>
                <w:highlight w:val="none"/>
                <w:u w:val="none"/>
                <w:lang w:val="en-US" w:eastAsia="zh-CN" w:bidi="ar"/>
              </w:rPr>
              <w:t>20</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027E2A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5750E5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系统测试环境搭建及部署技术响应程度，根据运维能力和技术响应程度否与采购需求符合性或匹配度进行打分；（评分范围：3/2/1，不得供不得分）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18D64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110540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5E1B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2448AB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cs="微软雅黑"/>
                <w:i w:val="0"/>
                <w:iCs w:val="0"/>
                <w:color w:val="auto"/>
                <w:kern w:val="0"/>
                <w:sz w:val="21"/>
                <w:szCs w:val="21"/>
                <w:highlight w:val="none"/>
                <w:u w:val="none"/>
                <w:lang w:val="en-US" w:eastAsia="zh-CN" w:bidi="ar"/>
              </w:rPr>
              <w:t>21</w:t>
            </w:r>
          </w:p>
        </w:tc>
        <w:tc>
          <w:tcPr>
            <w:tcW w:w="743" w:type="dxa"/>
            <w:vMerge w:val="continue"/>
            <w:tcBorders>
              <w:top w:val="nil"/>
              <w:left w:val="single" w:color="000000" w:sz="8" w:space="0"/>
              <w:bottom w:val="single" w:color="000000" w:sz="8" w:space="0"/>
              <w:right w:val="single" w:color="000000" w:sz="8" w:space="0"/>
            </w:tcBorders>
            <w:shd w:val="clear" w:color="auto" w:fill="auto"/>
            <w:vAlign w:val="center"/>
          </w:tcPr>
          <w:p w14:paraId="093494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p>
        </w:tc>
        <w:tc>
          <w:tcPr>
            <w:tcW w:w="6698" w:type="dxa"/>
            <w:tcBorders>
              <w:top w:val="nil"/>
              <w:left w:val="single" w:color="000000" w:sz="8" w:space="0"/>
              <w:bottom w:val="single" w:color="000000" w:sz="8" w:space="0"/>
              <w:right w:val="single" w:color="000000" w:sz="8" w:space="0"/>
            </w:tcBorders>
            <w:shd w:val="clear" w:color="auto" w:fill="auto"/>
            <w:vAlign w:val="center"/>
          </w:tcPr>
          <w:p w14:paraId="62B529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建立维护服务技术档案响应程度，根据运维能力和技术响应程度否与采购需求符合性或匹配度进行打分；（评分范围：3/2/1，不得供不得分）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3FF386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268F73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0A09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512FFE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2</w:t>
            </w:r>
            <w:r>
              <w:rPr>
                <w:rFonts w:hint="eastAsia" w:ascii="微软雅黑" w:hAnsi="微软雅黑" w:cs="微软雅黑"/>
                <w:i w:val="0"/>
                <w:iCs w:val="0"/>
                <w:color w:val="auto"/>
                <w:kern w:val="0"/>
                <w:sz w:val="21"/>
                <w:szCs w:val="21"/>
                <w:highlight w:val="none"/>
                <w:u w:val="none"/>
                <w:lang w:val="en-US" w:eastAsia="zh-CN" w:bidi="ar"/>
              </w:rPr>
              <w:t>2</w:t>
            </w:r>
          </w:p>
        </w:tc>
        <w:tc>
          <w:tcPr>
            <w:tcW w:w="7441" w:type="dxa"/>
            <w:gridSpan w:val="2"/>
            <w:tcBorders>
              <w:top w:val="nil"/>
              <w:left w:val="single" w:color="000000" w:sz="8" w:space="0"/>
              <w:bottom w:val="single" w:color="000000" w:sz="8" w:space="0"/>
              <w:right w:val="single" w:color="000000" w:sz="8" w:space="0"/>
            </w:tcBorders>
            <w:shd w:val="clear" w:color="auto" w:fill="auto"/>
            <w:vAlign w:val="center"/>
          </w:tcPr>
          <w:p w14:paraId="623ECD5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现场驻场人员及技术支撑人员的运维能力评估（需提供驻场人员名单、社保证明、工作履历等）是否与采购需求符合性或匹配度进行打分；（评分范围：3/2/1，不得供不得分）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24A46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3D528C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5CF2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611AB7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2</w:t>
            </w:r>
            <w:r>
              <w:rPr>
                <w:rFonts w:hint="eastAsia" w:ascii="微软雅黑" w:hAnsi="微软雅黑" w:cs="微软雅黑"/>
                <w:i w:val="0"/>
                <w:iCs w:val="0"/>
                <w:color w:val="auto"/>
                <w:kern w:val="0"/>
                <w:sz w:val="21"/>
                <w:szCs w:val="21"/>
                <w:highlight w:val="none"/>
                <w:u w:val="none"/>
                <w:lang w:val="en-US" w:eastAsia="zh-CN" w:bidi="ar"/>
              </w:rPr>
              <w:t>3</w:t>
            </w:r>
          </w:p>
        </w:tc>
        <w:tc>
          <w:tcPr>
            <w:tcW w:w="7441" w:type="dxa"/>
            <w:gridSpan w:val="2"/>
            <w:tcBorders>
              <w:top w:val="nil"/>
              <w:left w:val="single" w:color="000000" w:sz="8" w:space="0"/>
              <w:bottom w:val="single" w:color="000000" w:sz="8" w:space="0"/>
              <w:right w:val="single" w:color="000000" w:sz="8" w:space="0"/>
            </w:tcBorders>
            <w:shd w:val="clear" w:color="auto" w:fill="auto"/>
            <w:vAlign w:val="center"/>
          </w:tcPr>
          <w:p w14:paraId="372771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项目管理：管理组织、项目实施规范和管理制度是否与采购需求符合性或匹配度进行打分；（评分范围：3/2/1，不得供不得分）。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6D6E9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65EE9B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2A96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586DA5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2</w:t>
            </w:r>
            <w:r>
              <w:rPr>
                <w:rFonts w:hint="eastAsia" w:ascii="微软雅黑" w:hAnsi="微软雅黑" w:cs="微软雅黑"/>
                <w:i w:val="0"/>
                <w:iCs w:val="0"/>
                <w:color w:val="auto"/>
                <w:kern w:val="0"/>
                <w:sz w:val="21"/>
                <w:szCs w:val="21"/>
                <w:highlight w:val="none"/>
                <w:u w:val="none"/>
                <w:lang w:val="en-US" w:eastAsia="zh-CN" w:bidi="ar"/>
              </w:rPr>
              <w:t>4</w:t>
            </w:r>
          </w:p>
        </w:tc>
        <w:tc>
          <w:tcPr>
            <w:tcW w:w="7441" w:type="dxa"/>
            <w:gridSpan w:val="2"/>
            <w:tcBorders>
              <w:top w:val="nil"/>
              <w:left w:val="single" w:color="000000" w:sz="8" w:space="0"/>
              <w:bottom w:val="single" w:color="000000" w:sz="8" w:space="0"/>
              <w:right w:val="single" w:color="000000" w:sz="8" w:space="0"/>
            </w:tcBorders>
            <w:shd w:val="clear" w:color="auto" w:fill="auto"/>
            <w:vAlign w:val="center"/>
          </w:tcPr>
          <w:p w14:paraId="7DF5CE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培训：根据投标供应商针对本项目制订的培训方案是否与采购需求符合性或匹配度进行打分；（评分范围：2/1，不得供不得分）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E0D9D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cs="微软雅黑"/>
                <w:i w:val="0"/>
                <w:iCs w:val="0"/>
                <w:color w:val="auto"/>
                <w:kern w:val="0"/>
                <w:sz w:val="21"/>
                <w:szCs w:val="21"/>
                <w:highlight w:val="none"/>
                <w:u w:val="none"/>
                <w:lang w:val="en-US" w:eastAsia="zh-CN" w:bidi="ar"/>
              </w:rPr>
              <w:t>2</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4CFE07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0132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5BC28C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2</w:t>
            </w:r>
            <w:r>
              <w:rPr>
                <w:rFonts w:hint="eastAsia" w:ascii="微软雅黑" w:hAnsi="微软雅黑" w:cs="微软雅黑"/>
                <w:i w:val="0"/>
                <w:iCs w:val="0"/>
                <w:color w:val="auto"/>
                <w:kern w:val="0"/>
                <w:sz w:val="21"/>
                <w:szCs w:val="21"/>
                <w:highlight w:val="none"/>
                <w:u w:val="none"/>
                <w:lang w:val="en-US" w:eastAsia="zh-CN" w:bidi="ar"/>
              </w:rPr>
              <w:t>5</w:t>
            </w:r>
          </w:p>
        </w:tc>
        <w:tc>
          <w:tcPr>
            <w:tcW w:w="7441" w:type="dxa"/>
            <w:gridSpan w:val="2"/>
            <w:tcBorders>
              <w:top w:val="nil"/>
              <w:left w:val="single" w:color="000000" w:sz="8" w:space="0"/>
              <w:bottom w:val="single" w:color="000000" w:sz="8" w:space="0"/>
              <w:right w:val="single" w:color="000000" w:sz="8" w:space="0"/>
            </w:tcBorders>
            <w:shd w:val="clear" w:color="auto" w:fill="auto"/>
            <w:vAlign w:val="center"/>
          </w:tcPr>
          <w:p w14:paraId="4998E4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优惠承诺：根据投标供应商提出的优惠条件和承诺情况是否与采购需求符合性或匹配度进行打分；（评分范围：3/2/1，不得供不得分）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701F5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59C558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主观</w:t>
            </w:r>
          </w:p>
        </w:tc>
      </w:tr>
      <w:tr w14:paraId="325F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5" w:type="dxa"/>
            <w:tcBorders>
              <w:top w:val="nil"/>
              <w:left w:val="single" w:color="000000" w:sz="8" w:space="0"/>
              <w:bottom w:val="single" w:color="000000" w:sz="8" w:space="0"/>
              <w:right w:val="single" w:color="000000" w:sz="8" w:space="0"/>
            </w:tcBorders>
            <w:shd w:val="clear" w:color="auto" w:fill="auto"/>
            <w:noWrap/>
            <w:vAlign w:val="center"/>
          </w:tcPr>
          <w:p w14:paraId="6BDC60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cs="微软雅黑"/>
                <w:i w:val="0"/>
                <w:iCs w:val="0"/>
                <w:color w:val="auto"/>
                <w:kern w:val="0"/>
                <w:sz w:val="21"/>
                <w:szCs w:val="21"/>
                <w:highlight w:val="none"/>
                <w:u w:val="none"/>
                <w:lang w:val="en-US" w:eastAsia="zh-CN" w:bidi="ar"/>
              </w:rPr>
              <w:t>26</w:t>
            </w:r>
          </w:p>
        </w:tc>
        <w:tc>
          <w:tcPr>
            <w:tcW w:w="7441" w:type="dxa"/>
            <w:gridSpan w:val="2"/>
            <w:tcBorders>
              <w:top w:val="nil"/>
              <w:left w:val="single" w:color="000000" w:sz="8" w:space="0"/>
              <w:bottom w:val="single" w:color="000000" w:sz="8" w:space="0"/>
              <w:right w:val="single" w:color="000000" w:sz="8" w:space="0"/>
            </w:tcBorders>
            <w:shd w:val="clear" w:color="auto" w:fill="auto"/>
            <w:vAlign w:val="center"/>
          </w:tcPr>
          <w:p w14:paraId="7F8F52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根据投标供应商针对本项目投入项目负责人具有与本项目相关的技术类高级及以上职称的，得2分；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F9CB9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2</w:t>
            </w:r>
          </w:p>
        </w:tc>
        <w:tc>
          <w:tcPr>
            <w:tcW w:w="729" w:type="dxa"/>
            <w:tcBorders>
              <w:top w:val="nil"/>
              <w:left w:val="single" w:color="000000" w:sz="8" w:space="0"/>
              <w:bottom w:val="single" w:color="000000" w:sz="8" w:space="0"/>
              <w:right w:val="single" w:color="000000" w:sz="8" w:space="0"/>
            </w:tcBorders>
            <w:shd w:val="clear" w:color="auto" w:fill="auto"/>
            <w:vAlign w:val="center"/>
          </w:tcPr>
          <w:p w14:paraId="640860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客观</w:t>
            </w:r>
          </w:p>
        </w:tc>
      </w:tr>
      <w:tr w14:paraId="095A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75" w:type="dxa"/>
            <w:tcBorders>
              <w:top w:val="nil"/>
              <w:left w:val="single" w:color="000000" w:sz="8" w:space="0"/>
              <w:bottom w:val="single" w:color="auto" w:sz="4" w:space="0"/>
              <w:right w:val="single" w:color="000000" w:sz="8" w:space="0"/>
            </w:tcBorders>
            <w:shd w:val="clear" w:color="auto" w:fill="auto"/>
            <w:noWrap/>
            <w:vAlign w:val="center"/>
          </w:tcPr>
          <w:p w14:paraId="046B78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2</w:t>
            </w:r>
            <w:r>
              <w:rPr>
                <w:rFonts w:hint="eastAsia" w:ascii="微软雅黑" w:hAnsi="微软雅黑" w:cs="微软雅黑"/>
                <w:i w:val="0"/>
                <w:iCs w:val="0"/>
                <w:color w:val="auto"/>
                <w:kern w:val="0"/>
                <w:sz w:val="21"/>
                <w:szCs w:val="21"/>
                <w:highlight w:val="none"/>
                <w:u w:val="none"/>
                <w:lang w:val="en-US" w:eastAsia="zh-CN" w:bidi="ar"/>
              </w:rPr>
              <w:t>7</w:t>
            </w:r>
          </w:p>
        </w:tc>
        <w:tc>
          <w:tcPr>
            <w:tcW w:w="7441" w:type="dxa"/>
            <w:gridSpan w:val="2"/>
            <w:tcBorders>
              <w:top w:val="nil"/>
              <w:left w:val="single" w:color="000000" w:sz="8" w:space="0"/>
              <w:bottom w:val="single" w:color="auto" w:sz="4" w:space="0"/>
              <w:right w:val="single" w:color="000000" w:sz="8" w:space="0"/>
            </w:tcBorders>
            <w:shd w:val="clear" w:color="auto" w:fill="auto"/>
            <w:vAlign w:val="center"/>
          </w:tcPr>
          <w:p w14:paraId="0B3EBB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根据投标供应商派驻本项目服务的工程师具有达梦数据库服务认证工程师的，每位得1分，（提供投标截止时间前三个月中任意一个月投标供应商缴纳的社保证明以及证书复印件，否则不得分）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068D62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lang w:val="en-US" w:eastAsia="zh-CN"/>
              </w:rPr>
            </w:pPr>
            <w:r>
              <w:rPr>
                <w:rFonts w:hint="eastAsia" w:ascii="微软雅黑" w:hAnsi="微软雅黑" w:cs="微软雅黑"/>
                <w:i w:val="0"/>
                <w:iCs w:val="0"/>
                <w:color w:val="auto"/>
                <w:sz w:val="21"/>
                <w:szCs w:val="21"/>
                <w:highlight w:val="none"/>
                <w:u w:val="none"/>
                <w:lang w:val="en-US" w:eastAsia="zh-CN"/>
              </w:rPr>
              <w:t>1</w:t>
            </w:r>
          </w:p>
        </w:tc>
        <w:tc>
          <w:tcPr>
            <w:tcW w:w="729" w:type="dxa"/>
            <w:tcBorders>
              <w:top w:val="nil"/>
              <w:left w:val="single" w:color="000000" w:sz="8" w:space="0"/>
              <w:bottom w:val="single" w:color="auto" w:sz="4" w:space="0"/>
              <w:right w:val="single" w:color="000000" w:sz="8" w:space="0"/>
            </w:tcBorders>
            <w:shd w:val="clear" w:color="auto" w:fill="auto"/>
            <w:vAlign w:val="center"/>
          </w:tcPr>
          <w:p w14:paraId="7A9DDE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客观</w:t>
            </w:r>
          </w:p>
        </w:tc>
      </w:tr>
      <w:tr w14:paraId="56AE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75"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6B1AE0D">
            <w:pPr>
              <w:keepNext w:val="0"/>
              <w:keepLines w:val="0"/>
              <w:pageBreakBefore w:val="0"/>
              <w:widowControl/>
              <w:kinsoku/>
              <w:wordWrap/>
              <w:overflowPunct/>
              <w:topLinePunct w:val="0"/>
              <w:autoSpaceDE/>
              <w:autoSpaceDN/>
              <w:bidi w:val="0"/>
              <w:adjustRightInd/>
              <w:snapToGrid/>
              <w:ind w:firstLine="0" w:firstLineChars="0"/>
              <w:jc w:val="center"/>
              <w:rPr>
                <w:rFonts w:hint="default" w:ascii="微软雅黑" w:hAnsi="微软雅黑" w:eastAsia="微软雅黑" w:cs="微软雅黑"/>
                <w:i w:val="0"/>
                <w:iCs w:val="0"/>
                <w:color w:val="auto"/>
                <w:sz w:val="21"/>
                <w:szCs w:val="21"/>
                <w:highlight w:val="none"/>
                <w:u w:val="none"/>
                <w:lang w:val="en-US" w:eastAsia="zh-CN"/>
              </w:rPr>
            </w:pPr>
            <w:r>
              <w:rPr>
                <w:rFonts w:hint="eastAsia" w:ascii="微软雅黑" w:hAnsi="微软雅黑" w:cs="微软雅黑"/>
                <w:i w:val="0"/>
                <w:iCs w:val="0"/>
                <w:color w:val="auto"/>
                <w:sz w:val="21"/>
                <w:szCs w:val="21"/>
                <w:highlight w:val="none"/>
                <w:u w:val="none"/>
                <w:lang w:val="en-US" w:eastAsia="zh-CN"/>
              </w:rPr>
              <w:t>28</w:t>
            </w:r>
          </w:p>
        </w:tc>
        <w:tc>
          <w:tcPr>
            <w:tcW w:w="7441"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14:paraId="52AD9F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具有计算机软件资格考试网络工程师的得1分（提供投标截止时间前三个月中任意一个月投标供应商缴纳的社保证明以及证书复印件，否则不得分；</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630B243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lang w:val="en-US" w:eastAsia="zh-CN"/>
              </w:rPr>
            </w:pPr>
            <w:r>
              <w:rPr>
                <w:rFonts w:hint="eastAsia" w:ascii="微软雅黑" w:hAnsi="微软雅黑" w:cs="微软雅黑"/>
                <w:i w:val="0"/>
                <w:iCs w:val="0"/>
                <w:color w:val="auto"/>
                <w:sz w:val="21"/>
                <w:szCs w:val="21"/>
                <w:highlight w:val="none"/>
                <w:u w:val="none"/>
                <w:lang w:val="en-US" w:eastAsia="zh-CN"/>
              </w:rPr>
              <w:t>1</w:t>
            </w:r>
          </w:p>
        </w:tc>
        <w:tc>
          <w:tcPr>
            <w:tcW w:w="729" w:type="dxa"/>
            <w:tcBorders>
              <w:top w:val="single" w:color="auto" w:sz="4" w:space="0"/>
              <w:left w:val="single" w:color="000000" w:sz="8" w:space="0"/>
              <w:bottom w:val="single" w:color="auto" w:sz="4" w:space="0"/>
              <w:right w:val="single" w:color="000000" w:sz="8" w:space="0"/>
            </w:tcBorders>
            <w:shd w:val="clear" w:color="auto" w:fill="auto"/>
            <w:vAlign w:val="center"/>
          </w:tcPr>
          <w:p w14:paraId="78A57A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客观</w:t>
            </w:r>
          </w:p>
        </w:tc>
      </w:tr>
      <w:tr w14:paraId="3A4F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6" w:type="dxa"/>
            <w:gridSpan w:val="3"/>
            <w:tcBorders>
              <w:top w:val="nil"/>
              <w:left w:val="single" w:color="000000" w:sz="8" w:space="0"/>
              <w:bottom w:val="single" w:color="000000" w:sz="8" w:space="0"/>
              <w:right w:val="single" w:color="000000" w:sz="8" w:space="0"/>
            </w:tcBorders>
            <w:shd w:val="clear" w:color="auto" w:fill="auto"/>
            <w:noWrap/>
            <w:vAlign w:val="center"/>
          </w:tcPr>
          <w:p w14:paraId="77EFA4E8">
            <w:pPr>
              <w:keepNext w:val="0"/>
              <w:keepLines w:val="0"/>
              <w:pageBreakBefore w:val="0"/>
              <w:widowControl/>
              <w:kinsoku/>
              <w:wordWrap/>
              <w:overflowPunct/>
              <w:topLinePunct w:val="0"/>
              <w:autoSpaceDE/>
              <w:autoSpaceDN/>
              <w:bidi w:val="0"/>
              <w:adjustRightInd/>
              <w:snapToGrid/>
              <w:ind w:firstLine="0" w:firstLineChars="0"/>
              <w:rPr>
                <w:rFonts w:hint="eastAsia" w:ascii="微软雅黑" w:hAnsi="微软雅黑" w:eastAsia="微软雅黑" w:cs="微软雅黑"/>
                <w:i w:val="0"/>
                <w:iCs w:val="0"/>
                <w:color w:val="auto"/>
                <w:sz w:val="21"/>
                <w:szCs w:val="21"/>
                <w:highlight w:val="none"/>
                <w:u w:val="none"/>
                <w:lang w:eastAsia="zh-CN"/>
              </w:rPr>
            </w:pPr>
            <w:r>
              <w:rPr>
                <w:rFonts w:hint="eastAsia" w:ascii="微软雅黑" w:hAnsi="微软雅黑" w:cs="微软雅黑"/>
                <w:i w:val="0"/>
                <w:iCs w:val="0"/>
                <w:color w:val="auto"/>
                <w:sz w:val="21"/>
                <w:szCs w:val="21"/>
                <w:highlight w:val="none"/>
                <w:u w:val="none"/>
                <w:lang w:eastAsia="zh-CN"/>
              </w:rPr>
              <w:t>小计</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7CA57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81</w:t>
            </w:r>
            <w:r>
              <w:rPr>
                <w:rFonts w:hint="eastAsia" w:ascii="微软雅黑" w:hAnsi="微软雅黑" w:cs="微软雅黑"/>
                <w:i w:val="0"/>
                <w:iCs w:val="0"/>
                <w:color w:val="auto"/>
                <w:kern w:val="0"/>
                <w:sz w:val="21"/>
                <w:szCs w:val="21"/>
                <w:highlight w:val="none"/>
                <w:u w:val="none"/>
                <w:lang w:val="en-US" w:eastAsia="zh-CN" w:bidi="ar"/>
              </w:rPr>
              <w:t>.5</w:t>
            </w:r>
          </w:p>
        </w:tc>
        <w:tc>
          <w:tcPr>
            <w:tcW w:w="729"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518202A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auto"/>
                <w:sz w:val="21"/>
                <w:szCs w:val="21"/>
                <w:highlight w:val="none"/>
                <w:u w:val="none"/>
              </w:rPr>
            </w:pPr>
          </w:p>
        </w:tc>
      </w:tr>
    </w:tbl>
    <w:p w14:paraId="27C8E158">
      <w:pPr>
        <w:numPr>
          <w:ilvl w:val="0"/>
          <w:numId w:val="31"/>
        </w:numPr>
        <w:tabs>
          <w:tab w:val="left" w:pos="3870"/>
          <w:tab w:val="left" w:pos="4085"/>
        </w:tabs>
        <w:snapToGrid w:val="0"/>
        <w:spacing w:before="120" w:beforeLines="50" w:after="120" w:afterLines="50"/>
        <w:ind w:left="0" w:leftChars="0" w:firstLine="420" w:firstLineChars="0"/>
        <w:outlineLvl w:val="1"/>
        <w:rPr>
          <w:rFonts w:hint="eastAsia" w:ascii="微软雅黑" w:hAnsi="微软雅黑" w:cs="微软雅黑"/>
          <w:b/>
          <w:bCs/>
          <w:color w:val="auto"/>
          <w:sz w:val="21"/>
          <w:szCs w:val="21"/>
          <w:highlight w:val="none"/>
          <w:lang w:val="en-US" w:eastAsia="zh-CN"/>
        </w:rPr>
      </w:pPr>
      <w:r>
        <w:rPr>
          <w:rFonts w:hint="eastAsia" w:ascii="微软雅黑" w:hAnsi="微软雅黑" w:cs="微软雅黑"/>
          <w:b/>
          <w:bCs/>
          <w:color w:val="auto"/>
          <w:sz w:val="21"/>
          <w:szCs w:val="21"/>
          <w:highlight w:val="none"/>
          <w:lang w:val="en-US" w:eastAsia="zh-CN"/>
        </w:rPr>
        <w:t>商务、资信与其它分：</w:t>
      </w:r>
    </w:p>
    <w:tbl>
      <w:tblPr>
        <w:tblStyle w:val="52"/>
        <w:tblpPr w:leftFromText="180" w:rightFromText="180" w:vertAnchor="text" w:horzAnchor="page" w:tblpX="1442" w:tblpY="407"/>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265"/>
        <w:gridCol w:w="705"/>
        <w:gridCol w:w="720"/>
      </w:tblGrid>
      <w:tr w14:paraId="46F6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05" w:type="dxa"/>
            <w:noWrap/>
            <w:vAlign w:val="center"/>
          </w:tcPr>
          <w:p w14:paraId="6A2765FD">
            <w:pPr>
              <w:widowControl/>
              <w:spacing w:line="288" w:lineRule="auto"/>
              <w:ind w:firstLine="0" w:firstLineChars="0"/>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7265" w:type="dxa"/>
            <w:vAlign w:val="center"/>
          </w:tcPr>
          <w:p w14:paraId="42746314">
            <w:pPr>
              <w:widowControl/>
              <w:spacing w:line="288" w:lineRule="auto"/>
              <w:ind w:firstLine="0" w:firstLineChars="0"/>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评审标准</w:t>
            </w:r>
          </w:p>
        </w:tc>
        <w:tc>
          <w:tcPr>
            <w:tcW w:w="705" w:type="dxa"/>
            <w:vAlign w:val="center"/>
          </w:tcPr>
          <w:p w14:paraId="6B2135F6">
            <w:pPr>
              <w:widowControl/>
              <w:spacing w:line="288" w:lineRule="auto"/>
              <w:ind w:firstLine="0" w:firstLineChars="0"/>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最高</w:t>
            </w:r>
          </w:p>
          <w:p w14:paraId="0AE2E11F">
            <w:pPr>
              <w:widowControl/>
              <w:spacing w:line="288" w:lineRule="auto"/>
              <w:ind w:firstLine="0" w:firstLineChars="0"/>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分值</w:t>
            </w:r>
          </w:p>
        </w:tc>
        <w:tc>
          <w:tcPr>
            <w:tcW w:w="720" w:type="dxa"/>
            <w:vAlign w:val="center"/>
          </w:tcPr>
          <w:p w14:paraId="3260336C">
            <w:pPr>
              <w:widowControl/>
              <w:spacing w:line="288" w:lineRule="auto"/>
              <w:ind w:firstLine="0" w:firstLineChars="0"/>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w:t>
            </w:r>
          </w:p>
          <w:p w14:paraId="156DFC01">
            <w:pPr>
              <w:widowControl/>
              <w:spacing w:line="288" w:lineRule="auto"/>
              <w:ind w:firstLine="0" w:firstLineChars="0"/>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设置</w:t>
            </w:r>
          </w:p>
        </w:tc>
      </w:tr>
      <w:tr w14:paraId="6E73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05" w:type="dxa"/>
            <w:noWrap/>
            <w:vAlign w:val="center"/>
          </w:tcPr>
          <w:p w14:paraId="719644E1">
            <w:pPr>
              <w:widowControl/>
              <w:spacing w:line="288" w:lineRule="auto"/>
              <w:ind w:firstLine="0" w:firstLineChars="0"/>
              <w:contextualSpacing/>
              <w:jc w:val="center"/>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29</w:t>
            </w:r>
          </w:p>
        </w:tc>
        <w:tc>
          <w:tcPr>
            <w:tcW w:w="7265" w:type="dxa"/>
            <w:vAlign w:val="center"/>
          </w:tcPr>
          <w:p w14:paraId="28339396">
            <w:pPr>
              <w:spacing w:line="360" w:lineRule="exact"/>
              <w:ind w:firstLine="0" w:firstLineChars="0"/>
              <w:rPr>
                <w:rStyle w:val="277"/>
                <w:rFonts w:hint="eastAsia" w:ascii="微软雅黑" w:hAnsi="微软雅黑" w:eastAsia="微软雅黑" w:cs="微软雅黑"/>
                <w:sz w:val="21"/>
                <w:szCs w:val="21"/>
                <w:highlight w:val="none"/>
                <w:lang w:val="en-US" w:eastAsia="zh-CN"/>
              </w:rPr>
            </w:pPr>
            <w:r>
              <w:rPr>
                <w:rStyle w:val="277"/>
                <w:rFonts w:hint="eastAsia" w:ascii="微软雅黑" w:hAnsi="微软雅黑" w:eastAsia="微软雅黑" w:cs="微软雅黑"/>
                <w:sz w:val="21"/>
                <w:szCs w:val="21"/>
                <w:highlight w:val="none"/>
                <w:lang w:val="en-US" w:eastAsia="zh-CN"/>
              </w:rPr>
              <w:t>投标供应商具备国家级科技型高新技术企业认证资质证书得1分；省级及以上专精特新中小企业证书得1分；（证书复印件做在投标文件中）</w:t>
            </w:r>
          </w:p>
        </w:tc>
        <w:tc>
          <w:tcPr>
            <w:tcW w:w="705" w:type="dxa"/>
            <w:vAlign w:val="center"/>
          </w:tcPr>
          <w:p w14:paraId="10EFF1B5">
            <w:pPr>
              <w:widowControl/>
              <w:spacing w:line="288" w:lineRule="auto"/>
              <w:ind w:firstLine="0" w:firstLineChars="0"/>
              <w:contextualSpacing/>
              <w:jc w:val="center"/>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2</w:t>
            </w:r>
          </w:p>
        </w:tc>
        <w:tc>
          <w:tcPr>
            <w:tcW w:w="720" w:type="dxa"/>
            <w:shd w:val="clear" w:color="auto" w:fill="auto"/>
            <w:vAlign w:val="center"/>
          </w:tcPr>
          <w:p w14:paraId="2257E3E1">
            <w:pPr>
              <w:widowControl/>
              <w:spacing w:line="288" w:lineRule="auto"/>
              <w:ind w:firstLine="0" w:firstLineChars="0"/>
              <w:contextualSpacing/>
              <w:jc w:val="center"/>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客观</w:t>
            </w:r>
          </w:p>
        </w:tc>
      </w:tr>
      <w:tr w14:paraId="3A1D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05" w:type="dxa"/>
            <w:noWrap/>
            <w:vAlign w:val="center"/>
          </w:tcPr>
          <w:p w14:paraId="7F14CAC8">
            <w:pPr>
              <w:widowControl/>
              <w:spacing w:line="288" w:lineRule="auto"/>
              <w:ind w:firstLine="0" w:firstLineChars="0"/>
              <w:contextualSpacing/>
              <w:jc w:val="center"/>
              <w:rPr>
                <w:rFonts w:hint="default" w:ascii="微软雅黑" w:hAnsi="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30</w:t>
            </w:r>
          </w:p>
        </w:tc>
        <w:tc>
          <w:tcPr>
            <w:tcW w:w="7265" w:type="dxa"/>
            <w:vAlign w:val="center"/>
          </w:tcPr>
          <w:p w14:paraId="366B0037">
            <w:pPr>
              <w:spacing w:line="360" w:lineRule="exact"/>
              <w:ind w:firstLine="0" w:firstLineChars="0"/>
              <w:rPr>
                <w:rStyle w:val="277"/>
                <w:rFonts w:hint="default" w:ascii="微软雅黑" w:hAnsi="微软雅黑" w:eastAsia="微软雅黑" w:cs="微软雅黑"/>
                <w:sz w:val="21"/>
                <w:szCs w:val="21"/>
                <w:highlight w:val="none"/>
                <w:lang w:val="en-US" w:eastAsia="zh-CN"/>
              </w:rPr>
            </w:pPr>
            <w:r>
              <w:rPr>
                <w:rStyle w:val="277"/>
                <w:rFonts w:hint="eastAsia" w:ascii="微软雅黑" w:hAnsi="微软雅黑" w:eastAsia="微软雅黑" w:cs="微软雅黑"/>
                <w:sz w:val="21"/>
                <w:szCs w:val="21"/>
                <w:highlight w:val="none"/>
                <w:lang w:val="en-US" w:eastAsia="zh-CN"/>
              </w:rPr>
              <w:t>投标供应商提供最近三年内类似项目每个</w:t>
            </w:r>
            <w:r>
              <w:rPr>
                <w:rStyle w:val="277"/>
                <w:rFonts w:hint="eastAsia" w:ascii="微软雅黑" w:hAnsi="微软雅黑" w:cs="微软雅黑"/>
                <w:sz w:val="21"/>
                <w:szCs w:val="21"/>
                <w:highlight w:val="none"/>
                <w:lang w:val="en-US" w:eastAsia="zh-CN"/>
              </w:rPr>
              <w:t>0.5</w:t>
            </w:r>
            <w:r>
              <w:rPr>
                <w:rStyle w:val="277"/>
                <w:rFonts w:hint="eastAsia" w:ascii="微软雅黑" w:hAnsi="微软雅黑" w:eastAsia="微软雅黑" w:cs="微软雅黑"/>
                <w:sz w:val="21"/>
                <w:szCs w:val="21"/>
                <w:highlight w:val="none"/>
                <w:lang w:val="en-US" w:eastAsia="zh-CN"/>
              </w:rPr>
              <w:t>分，最高</w:t>
            </w:r>
            <w:r>
              <w:rPr>
                <w:rStyle w:val="277"/>
                <w:rFonts w:hint="eastAsia" w:ascii="微软雅黑" w:hAnsi="微软雅黑" w:cs="微软雅黑"/>
                <w:sz w:val="21"/>
                <w:szCs w:val="21"/>
                <w:highlight w:val="none"/>
                <w:lang w:val="en-US" w:eastAsia="zh-CN"/>
              </w:rPr>
              <w:t>1.5</w:t>
            </w:r>
            <w:r>
              <w:rPr>
                <w:rStyle w:val="277"/>
                <w:rFonts w:hint="eastAsia" w:ascii="微软雅黑" w:hAnsi="微软雅黑" w:eastAsia="微软雅黑" w:cs="微软雅黑"/>
                <w:sz w:val="21"/>
                <w:szCs w:val="21"/>
                <w:highlight w:val="none"/>
                <w:lang w:val="en-US" w:eastAsia="zh-CN"/>
              </w:rPr>
              <w:t>分;（提供相关合同复印件做在投标文件中）</w:t>
            </w:r>
          </w:p>
        </w:tc>
        <w:tc>
          <w:tcPr>
            <w:tcW w:w="705" w:type="dxa"/>
            <w:vAlign w:val="center"/>
          </w:tcPr>
          <w:p w14:paraId="0258DE2A">
            <w:pPr>
              <w:widowControl/>
              <w:spacing w:line="288" w:lineRule="auto"/>
              <w:ind w:firstLine="0" w:firstLineChars="0"/>
              <w:contextualSpacing/>
              <w:jc w:val="center"/>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1.5</w:t>
            </w:r>
          </w:p>
        </w:tc>
        <w:tc>
          <w:tcPr>
            <w:tcW w:w="720" w:type="dxa"/>
            <w:shd w:val="clear" w:color="auto" w:fill="auto"/>
            <w:vAlign w:val="center"/>
          </w:tcPr>
          <w:p w14:paraId="38B97294">
            <w:pPr>
              <w:widowControl/>
              <w:spacing w:line="288" w:lineRule="auto"/>
              <w:ind w:firstLine="0" w:firstLineChars="0"/>
              <w:contextualSpacing/>
              <w:jc w:val="center"/>
              <w:rPr>
                <w:rFonts w:hint="eastAsia" w:ascii="微软雅黑" w:hAnsi="微软雅黑" w:eastAsia="微软雅黑" w:cs="微软雅黑"/>
                <w:color w:val="auto"/>
                <w:kern w:val="0"/>
                <w:sz w:val="21"/>
                <w:szCs w:val="21"/>
                <w:highlight w:val="none"/>
                <w:lang w:eastAsia="zh-CN"/>
              </w:rPr>
            </w:pPr>
            <w:r>
              <w:rPr>
                <w:rFonts w:hint="eastAsia" w:ascii="微软雅黑" w:hAnsi="微软雅黑" w:cs="微软雅黑"/>
                <w:color w:val="auto"/>
                <w:kern w:val="0"/>
                <w:sz w:val="21"/>
                <w:szCs w:val="21"/>
                <w:highlight w:val="none"/>
                <w:lang w:eastAsia="zh-CN"/>
              </w:rPr>
              <w:t>客观</w:t>
            </w:r>
          </w:p>
        </w:tc>
      </w:tr>
      <w:tr w14:paraId="41EA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05" w:type="dxa"/>
            <w:noWrap/>
            <w:vAlign w:val="center"/>
          </w:tcPr>
          <w:p w14:paraId="7F433C92">
            <w:pPr>
              <w:widowControl/>
              <w:spacing w:line="288" w:lineRule="auto"/>
              <w:ind w:firstLine="0" w:firstLineChars="0"/>
              <w:contextualSpacing/>
              <w:jc w:val="center"/>
              <w:rPr>
                <w:rFonts w:hint="eastAsia" w:ascii="微软雅黑" w:hAnsi="微软雅黑" w:cs="微软雅黑"/>
                <w:color w:val="auto"/>
                <w:kern w:val="0"/>
                <w:sz w:val="21"/>
                <w:szCs w:val="21"/>
                <w:highlight w:val="none"/>
                <w:lang w:val="en-US" w:eastAsia="zh-CN"/>
              </w:rPr>
            </w:pPr>
          </w:p>
        </w:tc>
        <w:tc>
          <w:tcPr>
            <w:tcW w:w="7265" w:type="dxa"/>
            <w:vAlign w:val="center"/>
          </w:tcPr>
          <w:p w14:paraId="567FCF0F">
            <w:pPr>
              <w:pStyle w:val="301"/>
              <w:snapToGrid w:val="0"/>
              <w:spacing w:before="120" w:line="360" w:lineRule="auto"/>
              <w:ind w:left="0" w:leftChars="0" w:firstLine="0" w:firstLineChars="0"/>
              <w:rPr>
                <w:rFonts w:hint="eastAsia" w:ascii="微软雅黑" w:hAnsi="微软雅黑" w:cs="微软雅黑"/>
                <w:color w:val="auto"/>
                <w:kern w:val="0"/>
                <w:sz w:val="21"/>
                <w:szCs w:val="21"/>
                <w:highlight w:val="none"/>
                <w:lang w:val="en-US" w:eastAsia="zh-CN"/>
              </w:rPr>
            </w:pPr>
          </w:p>
        </w:tc>
        <w:tc>
          <w:tcPr>
            <w:tcW w:w="705" w:type="dxa"/>
            <w:vAlign w:val="center"/>
          </w:tcPr>
          <w:p w14:paraId="021AB283">
            <w:pPr>
              <w:widowControl/>
              <w:spacing w:line="288" w:lineRule="auto"/>
              <w:ind w:firstLine="0" w:firstLineChars="0"/>
              <w:contextualSpacing/>
              <w:jc w:val="center"/>
              <w:rPr>
                <w:rFonts w:hint="default" w:ascii="微软雅黑" w:hAnsi="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3.5</w:t>
            </w:r>
          </w:p>
        </w:tc>
        <w:tc>
          <w:tcPr>
            <w:tcW w:w="720" w:type="dxa"/>
            <w:shd w:val="clear" w:color="auto" w:fill="auto"/>
            <w:vAlign w:val="center"/>
          </w:tcPr>
          <w:p w14:paraId="1CAE993A">
            <w:pPr>
              <w:widowControl/>
              <w:spacing w:line="288" w:lineRule="auto"/>
              <w:ind w:firstLine="0" w:firstLineChars="0"/>
              <w:contextualSpacing/>
              <w:jc w:val="center"/>
              <w:rPr>
                <w:rFonts w:hint="eastAsia" w:ascii="微软雅黑" w:hAnsi="微软雅黑" w:eastAsia="微软雅黑" w:cs="微软雅黑"/>
                <w:color w:val="auto"/>
                <w:kern w:val="0"/>
                <w:sz w:val="21"/>
                <w:szCs w:val="21"/>
                <w:highlight w:val="none"/>
              </w:rPr>
            </w:pPr>
          </w:p>
        </w:tc>
      </w:tr>
    </w:tbl>
    <w:p w14:paraId="73DA5724">
      <w:pPr>
        <w:rPr>
          <w:rFonts w:hint="eastAsia"/>
          <w:highlight w:val="none"/>
          <w:lang w:val="en-US" w:eastAsia="zh-CN"/>
        </w:rPr>
      </w:pPr>
    </w:p>
    <w:p w14:paraId="369F20DC">
      <w:pPr>
        <w:pStyle w:val="20"/>
        <w:rPr>
          <w:rFonts w:hint="default"/>
          <w:highlight w:val="none"/>
          <w:lang w:val="en-US" w:eastAsia="zh-CN"/>
        </w:rPr>
        <w:sectPr>
          <w:pgSz w:w="11906" w:h="16838"/>
          <w:pgMar w:top="1474" w:right="1797" w:bottom="1247" w:left="1797" w:header="851" w:footer="851" w:gutter="0"/>
          <w:cols w:space="720" w:num="1"/>
          <w:docGrid w:linePitch="312" w:charSpace="0"/>
        </w:sectPr>
      </w:pPr>
    </w:p>
    <w:p w14:paraId="0A21E823">
      <w:pPr>
        <w:pStyle w:val="2"/>
        <w:numPr>
          <w:ilvl w:val="0"/>
          <w:numId w:val="4"/>
        </w:numPr>
        <w:rPr>
          <w:rStyle w:val="65"/>
          <w:rFonts w:hint="eastAsia" w:ascii="微软雅黑" w:hAnsi="微软雅黑" w:eastAsia="微软雅黑" w:cs="微软雅黑"/>
          <w:b/>
          <w:bCs/>
          <w:color w:val="auto"/>
          <w:sz w:val="21"/>
          <w:szCs w:val="21"/>
          <w:highlight w:val="none"/>
        </w:rPr>
      </w:pPr>
      <w:r>
        <w:rPr>
          <w:rStyle w:val="65"/>
          <w:rFonts w:hint="eastAsia" w:ascii="微软雅黑" w:hAnsi="微软雅黑" w:eastAsia="微软雅黑" w:cs="微软雅黑"/>
          <w:b/>
          <w:bCs/>
          <w:color w:val="auto"/>
          <w:sz w:val="21"/>
          <w:szCs w:val="21"/>
          <w:highlight w:val="none"/>
        </w:rPr>
        <w:t xml:space="preserve">  </w:t>
      </w:r>
      <w:bookmarkStart w:id="250" w:name="_Toc191238338"/>
      <w:bookmarkStart w:id="251" w:name="_Toc2562"/>
      <w:r>
        <w:rPr>
          <w:rStyle w:val="65"/>
          <w:rFonts w:hint="eastAsia" w:ascii="微软雅黑" w:hAnsi="微软雅黑" w:eastAsia="微软雅黑" w:cs="微软雅黑"/>
          <w:b/>
          <w:bCs/>
          <w:color w:val="auto"/>
          <w:sz w:val="21"/>
          <w:szCs w:val="21"/>
          <w:highlight w:val="none"/>
        </w:rPr>
        <w:t>采购合同（指引）</w:t>
      </w:r>
      <w:bookmarkEnd w:id="250"/>
      <w:bookmarkEnd w:id="251"/>
    </w:p>
    <w:p w14:paraId="7265E9B7">
      <w:pPr>
        <w:pStyle w:val="3"/>
        <w:ind w:firstLine="420"/>
        <w:rPr>
          <w:rFonts w:hint="eastAsia" w:ascii="微软雅黑" w:hAnsi="微软雅黑" w:eastAsia="微软雅黑" w:cs="微软雅黑"/>
          <w:color w:val="auto"/>
          <w:sz w:val="21"/>
          <w:szCs w:val="21"/>
          <w:highlight w:val="none"/>
        </w:rPr>
      </w:pPr>
      <w:bookmarkStart w:id="252" w:name="_Toc507"/>
      <w:bookmarkStart w:id="253" w:name="_Hlk111018671"/>
      <w:r>
        <w:rPr>
          <w:rFonts w:hint="eastAsia" w:ascii="微软雅黑" w:hAnsi="微软雅黑" w:eastAsia="微软雅黑" w:cs="微软雅黑"/>
          <w:color w:val="auto"/>
          <w:sz w:val="21"/>
          <w:szCs w:val="21"/>
          <w:highlight w:val="none"/>
        </w:rPr>
        <w:t>通用条款部分</w:t>
      </w:r>
      <w:bookmarkEnd w:id="252"/>
    </w:p>
    <w:p w14:paraId="34EDF2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合同编号： </w:t>
      </w:r>
    </w:p>
    <w:p w14:paraId="0E82D742">
      <w:pPr>
        <w:tabs>
          <w:tab w:val="left" w:pos="8306"/>
        </w:tabs>
        <w:ind w:right="84"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项目名称： </w:t>
      </w:r>
    </w:p>
    <w:p w14:paraId="33991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项目编号：</w:t>
      </w:r>
    </w:p>
    <w:p w14:paraId="3BD078E6">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政府采购计划（预算）确认书号： </w:t>
      </w:r>
    </w:p>
    <w:p w14:paraId="219D1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采购人（以下称甲方）：</w:t>
      </w:r>
      <w:r>
        <w:rPr>
          <w:rFonts w:hint="eastAsia" w:ascii="微软雅黑" w:hAnsi="微软雅黑" w:eastAsia="微软雅黑" w:cs="微软雅黑"/>
          <w:color w:val="auto"/>
          <w:sz w:val="21"/>
          <w:szCs w:val="21"/>
          <w:highlight w:val="none"/>
          <w:lang w:eastAsia="zh-CN"/>
        </w:rPr>
        <w:t>嘉兴市医疗保障局</w:t>
      </w:r>
    </w:p>
    <w:p w14:paraId="281305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供应商（以下称乙方）：</w:t>
      </w:r>
    </w:p>
    <w:p w14:paraId="68E18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采购代理机构：嘉兴市千秋工程咨询有限公司 </w:t>
      </w:r>
    </w:p>
    <w:p w14:paraId="46CF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采购方式： 竞争性磋商</w:t>
      </w:r>
    </w:p>
    <w:p w14:paraId="6C5A5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根据《中华人民共和国政府采购法》、《民法典》等法律法规的规定，甲乙双方按照 </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sz w:val="21"/>
          <w:szCs w:val="21"/>
          <w:highlight w:val="none"/>
          <w:u w:val="single"/>
        </w:rPr>
        <w:t>项目（项目编号 ：           ）</w:t>
      </w:r>
      <w:r>
        <w:rPr>
          <w:rFonts w:hint="eastAsia" w:ascii="微软雅黑" w:hAnsi="微软雅黑" w:eastAsia="微软雅黑" w:cs="微软雅黑"/>
          <w:color w:val="auto"/>
          <w:kern w:val="0"/>
          <w:sz w:val="21"/>
          <w:szCs w:val="21"/>
          <w:highlight w:val="none"/>
        </w:rPr>
        <w:t>采购结果签订本合同。</w:t>
      </w:r>
    </w:p>
    <w:p w14:paraId="30B41381">
      <w:pPr>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合同组成</w:t>
      </w:r>
    </w:p>
    <w:p w14:paraId="641ED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本次采购活动的相关文件为本合同的组成部分，与本合同具有同等法律效力,这些文件包括但不限于：</w:t>
      </w:r>
    </w:p>
    <w:p w14:paraId="2808A95A">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1.甲方的采购文件与采购补充文件。</w:t>
      </w:r>
    </w:p>
    <w:p w14:paraId="30AAC995">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2.成交供应商响应文件。</w:t>
      </w:r>
    </w:p>
    <w:p w14:paraId="6767F665">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3.答疑纪要和承诺书。</w:t>
      </w:r>
    </w:p>
    <w:p w14:paraId="19756A23">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4.中标通知书。</w:t>
      </w:r>
    </w:p>
    <w:p w14:paraId="64536E17">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组成本合同的所有文件必须为书面形式。组成本合同的文件的优先顺序为：（1）本合同；（2）答疑纪要和承诺书；（3）甲方的采购文件与采购补充文件；（4）中标通知书；（5）成交供应商响应文件。</w:t>
      </w:r>
    </w:p>
    <w:p w14:paraId="6FED5B5B">
      <w:pPr>
        <w:pStyle w:val="28"/>
        <w:numPr>
          <w:ilvl w:val="0"/>
          <w:numId w:val="33"/>
        </w:numPr>
        <w:spacing w:line="360" w:lineRule="auto"/>
        <w:ind w:firstLineChars="0"/>
        <w:outlineLvl w:val="9"/>
        <w:rPr>
          <w:rFonts w:hint="eastAsia" w:ascii="微软雅黑" w:hAnsi="微软雅黑" w:eastAsia="微软雅黑" w:cs="微软雅黑"/>
          <w:color w:val="auto"/>
          <w:sz w:val="21"/>
          <w:szCs w:val="21"/>
          <w:highlight w:val="none"/>
        </w:rPr>
      </w:pPr>
      <w:bookmarkStart w:id="254" w:name="_Toc4526"/>
      <w:r>
        <w:rPr>
          <w:rFonts w:hint="eastAsia" w:ascii="微软雅黑" w:hAnsi="微软雅黑" w:eastAsia="微软雅黑" w:cs="微软雅黑"/>
          <w:color w:val="auto"/>
          <w:sz w:val="21"/>
          <w:szCs w:val="21"/>
          <w:highlight w:val="none"/>
        </w:rPr>
        <w:t>合同标的</w:t>
      </w:r>
      <w:bookmarkEnd w:id="254"/>
    </w:p>
    <w:p w14:paraId="2AC89429">
      <w:pPr>
        <w:ind w:firstLine="424" w:firstLineChars="202"/>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本次采购的是</w:t>
      </w:r>
    </w:p>
    <w:tbl>
      <w:tblPr>
        <w:tblStyle w:val="52"/>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14:paraId="1F2E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16170C9">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7E2CDDBB">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服务内容</w:t>
            </w:r>
          </w:p>
        </w:tc>
        <w:tc>
          <w:tcPr>
            <w:tcW w:w="1701" w:type="dxa"/>
            <w:tcBorders>
              <w:top w:val="single" w:color="auto" w:sz="4" w:space="0"/>
              <w:left w:val="single" w:color="auto" w:sz="4" w:space="0"/>
              <w:bottom w:val="single" w:color="auto" w:sz="4" w:space="0"/>
              <w:right w:val="single" w:color="auto" w:sz="4" w:space="0"/>
            </w:tcBorders>
            <w:vAlign w:val="center"/>
          </w:tcPr>
          <w:p w14:paraId="691DE86D">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配置人数</w:t>
            </w:r>
          </w:p>
        </w:tc>
        <w:tc>
          <w:tcPr>
            <w:tcW w:w="3507" w:type="dxa"/>
            <w:tcBorders>
              <w:top w:val="single" w:color="auto" w:sz="4" w:space="0"/>
              <w:left w:val="single" w:color="auto" w:sz="4" w:space="0"/>
              <w:bottom w:val="single" w:color="auto" w:sz="4" w:space="0"/>
              <w:right w:val="single" w:color="auto" w:sz="4" w:space="0"/>
            </w:tcBorders>
            <w:vAlign w:val="center"/>
          </w:tcPr>
          <w:p w14:paraId="19413DBE">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服务要求</w:t>
            </w:r>
          </w:p>
        </w:tc>
      </w:tr>
      <w:tr w14:paraId="1E0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5257990">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5D21B620">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14:paraId="4018372A">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520B8A07">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tc>
      </w:tr>
      <w:tr w14:paraId="3F76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2E454B1">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14:paraId="44C66461">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14:paraId="0BD3BD4D">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71020DCB">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tc>
      </w:tr>
      <w:tr w14:paraId="3ED5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364A8A8">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3</w:t>
            </w:r>
          </w:p>
        </w:tc>
        <w:tc>
          <w:tcPr>
            <w:tcW w:w="2551" w:type="dxa"/>
            <w:tcBorders>
              <w:top w:val="single" w:color="auto" w:sz="4" w:space="0"/>
              <w:left w:val="single" w:color="auto" w:sz="4" w:space="0"/>
              <w:bottom w:val="single" w:color="auto" w:sz="4" w:space="0"/>
              <w:right w:val="single" w:color="auto" w:sz="4" w:space="0"/>
            </w:tcBorders>
            <w:vAlign w:val="center"/>
          </w:tcPr>
          <w:p w14:paraId="71469D51">
            <w:pPr>
              <w:ind w:firstLine="0" w:firstLine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14:paraId="7C117018">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0E967271">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tc>
      </w:tr>
      <w:tr w14:paraId="4008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80ED220">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14:paraId="373CB83C">
            <w:pPr>
              <w:ind w:firstLine="0" w:firstLine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14:paraId="2C5A7C85">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14:paraId="050E2889">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tc>
      </w:tr>
      <w:tr w14:paraId="2687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CD290B1">
            <w:pPr>
              <w:ind w:firstLine="0" w:firstLineChars="0"/>
              <w:jc w:val="center"/>
              <w:rPr>
                <w:rFonts w:hint="eastAsia" w:ascii="微软雅黑" w:hAnsi="微软雅黑" w:eastAsia="微软雅黑" w:cs="微软雅黑"/>
                <w:b/>
                <w:color w:val="auto"/>
                <w:sz w:val="21"/>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652FA8B">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合 计</w:t>
            </w:r>
          </w:p>
        </w:tc>
        <w:tc>
          <w:tcPr>
            <w:tcW w:w="5208" w:type="dxa"/>
            <w:gridSpan w:val="2"/>
            <w:tcBorders>
              <w:top w:val="single" w:color="auto" w:sz="4" w:space="0"/>
              <w:left w:val="single" w:color="auto" w:sz="4" w:space="0"/>
              <w:bottom w:val="single" w:color="auto" w:sz="4" w:space="0"/>
              <w:right w:val="single" w:color="auto" w:sz="4" w:space="0"/>
            </w:tcBorders>
            <w:vAlign w:val="center"/>
          </w:tcPr>
          <w:p w14:paraId="4A515B41">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万元</w:t>
            </w:r>
          </w:p>
        </w:tc>
      </w:tr>
    </w:tbl>
    <w:p w14:paraId="3F327B44">
      <w:pPr>
        <w:pStyle w:val="28"/>
        <w:spacing w:line="360" w:lineRule="auto"/>
        <w:outlineLvl w:val="9"/>
        <w:rPr>
          <w:rFonts w:hint="eastAsia" w:ascii="微软雅黑" w:hAnsi="微软雅黑" w:eastAsia="微软雅黑" w:cs="微软雅黑"/>
          <w:color w:val="auto"/>
          <w:sz w:val="21"/>
          <w:szCs w:val="21"/>
          <w:highlight w:val="none"/>
        </w:rPr>
      </w:pPr>
      <w:bookmarkStart w:id="255" w:name="_Toc875"/>
      <w:r>
        <w:rPr>
          <w:rFonts w:hint="eastAsia" w:ascii="微软雅黑" w:hAnsi="微软雅黑" w:eastAsia="微软雅黑" w:cs="微软雅黑"/>
          <w:color w:val="auto"/>
          <w:sz w:val="21"/>
          <w:szCs w:val="21"/>
          <w:highlight w:val="none"/>
        </w:rPr>
        <w:t>三、合同价款及付款方式</w:t>
      </w:r>
      <w:bookmarkEnd w:id="255"/>
    </w:p>
    <w:p w14:paraId="3D3BE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1、本合同项下总价款为（大写）人民币</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，小写：     万元。</w:t>
      </w:r>
    </w:p>
    <w:p w14:paraId="2528E0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2、服务期限：壹年，自</w:t>
      </w:r>
      <w:r>
        <w:rPr>
          <w:rFonts w:hint="eastAsia" w:ascii="微软雅黑" w:hAnsi="微软雅黑" w:eastAsia="微软雅黑" w:cs="微软雅黑"/>
          <w:color w:val="auto"/>
          <w:kern w:val="0"/>
          <w:sz w:val="21"/>
          <w:szCs w:val="21"/>
          <w:highlight w:val="none"/>
          <w:u w:val="single"/>
        </w:rPr>
        <w:t>20  年  月  日至20  年  月  日</w:t>
      </w:r>
      <w:r>
        <w:rPr>
          <w:rFonts w:hint="eastAsia" w:ascii="微软雅黑" w:hAnsi="微软雅黑" w:eastAsia="微软雅黑" w:cs="微软雅黑"/>
          <w:color w:val="auto"/>
          <w:kern w:val="0"/>
          <w:sz w:val="21"/>
          <w:szCs w:val="21"/>
          <w:highlight w:val="none"/>
        </w:rPr>
        <w:t>。。</w:t>
      </w:r>
    </w:p>
    <w:p w14:paraId="09E1A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3、本合同总价款包括所有服务、人员、货物设计、材料、制造、包装、运输、安装、调试、检测、售后服务、税费等全部费用。</w:t>
      </w:r>
    </w:p>
    <w:p w14:paraId="4F538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4、本合同付款方式为以下第</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项：</w:t>
      </w:r>
    </w:p>
    <w:p w14:paraId="5E99D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（1）本合同项下的采购资金系甲方自行支付，付款程序为</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2DD77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（2）本合同项下的采购资金须财政直接支付，付款程序为</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5EE34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（3）其他方式：</w:t>
      </w:r>
    </w:p>
    <w:p w14:paraId="5F97A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5、本合同项下的采购资金付款进度按招响应文件规定，未规定时按以下第</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项支付：</w:t>
      </w:r>
    </w:p>
    <w:p w14:paraId="4A131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（1）一次性付款：乙方合同履行达到</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（条件）时，一次性付款；</w:t>
      </w:r>
    </w:p>
    <w:p w14:paraId="73A27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（2）分期付款：乙方合同履行达到</w:t>
      </w:r>
      <w:r>
        <w:rPr>
          <w:rFonts w:hint="eastAsia" w:ascii="微软雅黑" w:hAnsi="微软雅黑" w:eastAsia="微软雅黑" w:cs="微软雅黑"/>
          <w:color w:val="auto"/>
          <w:kern w:val="0"/>
          <w:sz w:val="21"/>
          <w:szCs w:val="21"/>
          <w:highlight w:val="none"/>
          <w:u w:val="single"/>
        </w:rPr>
        <w:t xml:space="preserve"> 磋商文件和甲方要求时，</w:t>
      </w:r>
      <w:r>
        <w:rPr>
          <w:rFonts w:hint="eastAsia" w:ascii="微软雅黑" w:hAnsi="微软雅黑" w:eastAsia="微软雅黑" w:cs="微软雅黑"/>
          <w:color w:val="auto"/>
          <w:kern w:val="0"/>
          <w:sz w:val="21"/>
          <w:szCs w:val="21"/>
          <w:highlight w:val="none"/>
        </w:rPr>
        <w:t>甲方</w:t>
      </w:r>
      <w:r>
        <w:rPr>
          <w:rFonts w:hint="eastAsia" w:ascii="微软雅黑" w:hAnsi="微软雅黑" w:eastAsia="微软雅黑" w:cs="微软雅黑"/>
          <w:color w:val="auto"/>
          <w:kern w:val="0"/>
          <w:sz w:val="21"/>
          <w:szCs w:val="21"/>
          <w:highlight w:val="none"/>
          <w:u w:val="single"/>
        </w:rPr>
        <w:t xml:space="preserve">按   </w:t>
      </w:r>
      <w:r>
        <w:rPr>
          <w:rFonts w:hint="eastAsia" w:ascii="微软雅黑" w:hAnsi="微软雅黑" w:eastAsia="微软雅黑" w:cs="微软雅黑"/>
          <w:color w:val="auto"/>
          <w:kern w:val="0"/>
          <w:sz w:val="21"/>
          <w:szCs w:val="21"/>
          <w:highlight w:val="none"/>
        </w:rPr>
        <w:t>进行支付，乙方凭有效发票、验收单等提交甲方进行支付流程。</w:t>
      </w:r>
    </w:p>
    <w:p w14:paraId="12BC1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若收取了履约保证金，则不应重复设置尾款支付条件。</w:t>
      </w:r>
    </w:p>
    <w:p w14:paraId="5CAB9D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四、</w:t>
      </w:r>
      <w:r>
        <w:rPr>
          <w:rFonts w:hint="eastAsia" w:ascii="微软雅黑" w:hAnsi="微软雅黑" w:eastAsia="微软雅黑" w:cs="微软雅黑"/>
          <w:b/>
          <w:color w:val="auto"/>
          <w:kern w:val="0"/>
          <w:sz w:val="21"/>
          <w:szCs w:val="21"/>
          <w:highlight w:val="none"/>
        </w:rPr>
        <w:t>履约保证金</w:t>
      </w:r>
    </w:p>
    <w:p w14:paraId="15A8C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color w:val="auto"/>
          <w:kern w:val="0"/>
          <w:sz w:val="21"/>
          <w:szCs w:val="21"/>
          <w:highlight w:val="none"/>
        </w:rPr>
        <w:t>按以下第_________项处理：</w:t>
      </w:r>
    </w:p>
    <w:p w14:paraId="6B59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1、本项目设置履约保证金，乙方应于_________（时间）向甲方提交履约保证金_________元（不得高于本合同金额的1%）。履约保证金在_________（时间）退还乙方。</w:t>
      </w:r>
    </w:p>
    <w:p w14:paraId="72055F3D">
      <w:pPr>
        <w:pStyle w:val="28"/>
        <w:spacing w:line="360" w:lineRule="auto"/>
        <w:outlineLvl w:val="9"/>
        <w:rPr>
          <w:rFonts w:hint="eastAsia" w:ascii="微软雅黑" w:hAnsi="微软雅黑" w:eastAsia="微软雅黑" w:cs="微软雅黑"/>
          <w:color w:val="auto"/>
          <w:sz w:val="21"/>
          <w:szCs w:val="21"/>
          <w:highlight w:val="none"/>
        </w:rPr>
      </w:pPr>
      <w:bookmarkStart w:id="256" w:name="_Toc29860"/>
      <w:r>
        <w:rPr>
          <w:rFonts w:hint="eastAsia" w:ascii="微软雅黑" w:hAnsi="微软雅黑" w:eastAsia="微软雅黑" w:cs="微软雅黑"/>
          <w:color w:val="auto"/>
          <w:sz w:val="21"/>
          <w:szCs w:val="21"/>
          <w:highlight w:val="none"/>
        </w:rPr>
        <w:t>2、本项目不设置履约保证金。</w:t>
      </w:r>
      <w:bookmarkEnd w:id="256"/>
    </w:p>
    <w:p w14:paraId="3A6C9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五、</w:t>
      </w:r>
      <w:r>
        <w:rPr>
          <w:rFonts w:hint="eastAsia" w:ascii="微软雅黑" w:hAnsi="微软雅黑" w:eastAsia="微软雅黑" w:cs="微软雅黑"/>
          <w:b/>
          <w:color w:val="auto"/>
          <w:kern w:val="0"/>
          <w:sz w:val="21"/>
          <w:szCs w:val="21"/>
          <w:highlight w:val="none"/>
        </w:rPr>
        <w:t>质量保证及售后服务</w:t>
      </w:r>
    </w:p>
    <w:p w14:paraId="7164C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1、乙方按磋商文件规定的时间和要求完成各项服务、考核。</w:t>
      </w:r>
    </w:p>
    <w:p w14:paraId="090AC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color w:val="auto"/>
          <w:sz w:val="21"/>
          <w:szCs w:val="21"/>
          <w:highlight w:val="none"/>
        </w:rPr>
        <w:t>2、甲方其他服务需求。</w:t>
      </w:r>
    </w:p>
    <w:p w14:paraId="3C942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六、</w:t>
      </w:r>
      <w:r>
        <w:rPr>
          <w:rFonts w:hint="eastAsia" w:ascii="微软雅黑" w:hAnsi="微软雅黑" w:eastAsia="微软雅黑" w:cs="微软雅黑"/>
          <w:b/>
          <w:color w:val="auto"/>
          <w:kern w:val="0"/>
          <w:sz w:val="21"/>
          <w:szCs w:val="21"/>
          <w:highlight w:val="none"/>
        </w:rPr>
        <w:t>合同的变更和终止</w:t>
      </w:r>
    </w:p>
    <w:p w14:paraId="4FF4D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除《政府采购法》第49条、第50条第二款规定的情形外，本合同一经签订，甲乙双方不得擅自终止合同或对合同实质性条款进行变更。确有特殊情况的，须经同级财政部门批准。</w:t>
      </w:r>
    </w:p>
    <w:p w14:paraId="551002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七、</w:t>
      </w:r>
      <w:r>
        <w:rPr>
          <w:rFonts w:hint="eastAsia" w:ascii="微软雅黑" w:hAnsi="微软雅黑" w:eastAsia="微软雅黑" w:cs="微软雅黑"/>
          <w:b/>
          <w:color w:val="auto"/>
          <w:kern w:val="0"/>
          <w:sz w:val="21"/>
          <w:szCs w:val="21"/>
          <w:highlight w:val="none"/>
        </w:rPr>
        <w:t>合同的转让与分包</w:t>
      </w:r>
    </w:p>
    <w:p w14:paraId="092039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乙方不得擅自部分或全部转让其应履行的合同义务。乙方分包的，应经过甲方书面同意。</w:t>
      </w:r>
    </w:p>
    <w:p w14:paraId="7ACDC6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十、</w:t>
      </w:r>
      <w:r>
        <w:rPr>
          <w:rFonts w:hint="eastAsia" w:ascii="微软雅黑" w:hAnsi="微软雅黑" w:eastAsia="微软雅黑" w:cs="微软雅黑"/>
          <w:b/>
          <w:color w:val="auto"/>
          <w:kern w:val="0"/>
          <w:sz w:val="21"/>
          <w:szCs w:val="21"/>
          <w:highlight w:val="none"/>
        </w:rPr>
        <w:t>违约责任</w:t>
      </w:r>
    </w:p>
    <w:p w14:paraId="68CA0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14:paraId="30B5DE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21639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除不可抗力外，任何一方未能履行本合同约定的其他主要义务，经催告后在合理期限内仍未履行的，或者任何一方有其他违约行为致使不能实现合同目标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3FB4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444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CBC1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0C52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十一、</w:t>
      </w:r>
      <w:r>
        <w:rPr>
          <w:rFonts w:hint="eastAsia" w:ascii="微软雅黑" w:hAnsi="微软雅黑" w:eastAsia="微软雅黑" w:cs="微软雅黑"/>
          <w:b/>
          <w:color w:val="auto"/>
          <w:kern w:val="0"/>
          <w:sz w:val="21"/>
          <w:szCs w:val="21"/>
          <w:highlight w:val="none"/>
        </w:rPr>
        <w:t>不可抗力事件处理</w:t>
      </w:r>
    </w:p>
    <w:p w14:paraId="176836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1、在合同有效期内，任何一方因不可抗力事件导致不能履行合同的，合同履行期可延长，其延长期与不可抗力影响期相同。</w:t>
      </w:r>
    </w:p>
    <w:p w14:paraId="04B93E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2、不可抗力事件发生后，应立即通知对方，并寄送有关权威机构出具的证明。</w:t>
      </w:r>
    </w:p>
    <w:p w14:paraId="7FE82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3、不可抗力事件延续120天以上，双方应通过友好协商，确定是否继续履行合同。</w:t>
      </w:r>
    </w:p>
    <w:p w14:paraId="49A27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十二、</w:t>
      </w:r>
      <w:r>
        <w:rPr>
          <w:rFonts w:hint="eastAsia" w:ascii="微软雅黑" w:hAnsi="微软雅黑" w:eastAsia="微软雅黑" w:cs="微软雅黑"/>
          <w:b/>
          <w:color w:val="auto"/>
          <w:kern w:val="0"/>
          <w:sz w:val="21"/>
          <w:szCs w:val="21"/>
          <w:highlight w:val="none"/>
        </w:rPr>
        <w:t>争议的解决</w:t>
      </w:r>
    </w:p>
    <w:p w14:paraId="5BD30A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1、因履行本合同引起的或与本合同有关的争议，甲、乙双方应首先通过友好协商解决，如果协商不能解决争议，则采取以下第</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种方式解决争议：</w:t>
      </w:r>
    </w:p>
    <w:p w14:paraId="7AE0A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（1）向甲方所在地有管辖权的人民法院提起诉讼；</w:t>
      </w:r>
    </w:p>
    <w:p w14:paraId="16397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（2）向</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仲裁委员申请仲裁。</w:t>
      </w:r>
    </w:p>
    <w:p w14:paraId="074AF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十三、</w:t>
      </w:r>
      <w:r>
        <w:rPr>
          <w:rFonts w:hint="eastAsia" w:ascii="微软雅黑" w:hAnsi="微软雅黑" w:eastAsia="微软雅黑" w:cs="微软雅黑"/>
          <w:b/>
          <w:color w:val="auto"/>
          <w:kern w:val="0"/>
          <w:sz w:val="21"/>
          <w:szCs w:val="21"/>
          <w:highlight w:val="none"/>
        </w:rPr>
        <w:t>合同公告、合同生效及备案</w:t>
      </w:r>
    </w:p>
    <w:p w14:paraId="29D73A84">
      <w:pPr>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1、合同公告：本项目政府采购合同将于签订之日起2个工作日内发布于浙江政府采购网，但政府采购合同中涉及国家秘密、商业秘密的内容除外。</w:t>
      </w:r>
    </w:p>
    <w:p w14:paraId="1D9DDEB4">
      <w:pPr>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2、合同经双方法定代表人或被授权人签字并加盖单位公章后生效。</w:t>
      </w:r>
    </w:p>
    <w:p w14:paraId="27E8D26D">
      <w:pPr>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3、合同执行中涉及采购资金和采购内容修改或补充的，须经财政部门审批，并签书面补充协议报政府部门备案，方可作为主合同不可分割的一部分。</w:t>
      </w:r>
    </w:p>
    <w:p w14:paraId="217A2589">
      <w:pPr>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4、本合同未尽事宜，遵照《民法典》有关条文执行。</w:t>
      </w:r>
    </w:p>
    <w:p w14:paraId="590AFB8F">
      <w:pPr>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5、本合同一式</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份，甲乙双方各执</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份。若执行政采贷，另加</w:t>
      </w:r>
      <w:r>
        <w:rPr>
          <w:rFonts w:hint="eastAsia" w:ascii="微软雅黑" w:hAnsi="微软雅黑" w:eastAsia="微软雅黑" w:cs="微软雅黑"/>
          <w:color w:val="auto"/>
          <w:kern w:val="0"/>
          <w:sz w:val="21"/>
          <w:szCs w:val="21"/>
          <w:highlight w:val="none"/>
          <w:u w:val="single"/>
        </w:rPr>
        <w:t xml:space="preserve"> 贰 </w:t>
      </w:r>
      <w:r>
        <w:rPr>
          <w:rFonts w:hint="eastAsia" w:ascii="微软雅黑" w:hAnsi="微软雅黑" w:eastAsia="微软雅黑" w:cs="微软雅黑"/>
          <w:color w:val="auto"/>
          <w:kern w:val="0"/>
          <w:sz w:val="21"/>
          <w:szCs w:val="21"/>
          <w:highlight w:val="none"/>
        </w:rPr>
        <w:t>份。</w:t>
      </w:r>
    </w:p>
    <w:p w14:paraId="174C3456">
      <w:pPr>
        <w:ind w:firstLine="420"/>
        <w:jc w:val="center"/>
        <w:rPr>
          <w:rFonts w:hint="eastAsia" w:ascii="微软雅黑" w:hAnsi="微软雅黑" w:eastAsia="微软雅黑" w:cs="微软雅黑"/>
          <w:color w:val="auto"/>
          <w:sz w:val="21"/>
          <w:szCs w:val="21"/>
          <w:highlight w:val="none"/>
        </w:rPr>
      </w:pPr>
    </w:p>
    <w:p w14:paraId="43129DFE">
      <w:pPr>
        <w:pStyle w:val="3"/>
        <w:ind w:firstLine="420"/>
        <w:rPr>
          <w:rFonts w:hint="eastAsia" w:ascii="微软雅黑" w:hAnsi="微软雅黑" w:eastAsia="微软雅黑" w:cs="微软雅黑"/>
          <w:color w:val="auto"/>
          <w:sz w:val="21"/>
          <w:szCs w:val="21"/>
          <w:highlight w:val="none"/>
        </w:rPr>
      </w:pPr>
      <w:bookmarkStart w:id="257" w:name="_Toc23848"/>
      <w:bookmarkStart w:id="258" w:name="_Toc4827"/>
      <w:bookmarkStart w:id="259" w:name="_Toc20276"/>
      <w:r>
        <w:rPr>
          <w:rFonts w:hint="eastAsia" w:ascii="微软雅黑" w:hAnsi="微软雅黑" w:eastAsia="微软雅黑" w:cs="微软雅黑"/>
          <w:color w:val="auto"/>
          <w:sz w:val="21"/>
          <w:szCs w:val="21"/>
          <w:highlight w:val="none"/>
        </w:rPr>
        <w:t>特殊专用条款部分</w:t>
      </w:r>
      <w:bookmarkEnd w:id="257"/>
      <w:bookmarkEnd w:id="258"/>
      <w:bookmarkEnd w:id="259"/>
    </w:p>
    <w:p w14:paraId="407F9B18">
      <w:pPr>
        <w:pStyle w:val="28"/>
        <w:spacing w:line="360" w:lineRule="auto"/>
        <w:outlineLvl w:val="9"/>
        <w:rPr>
          <w:rFonts w:hint="eastAsia" w:ascii="微软雅黑" w:hAnsi="微软雅黑" w:eastAsia="微软雅黑" w:cs="微软雅黑"/>
          <w:color w:val="auto"/>
          <w:sz w:val="21"/>
          <w:szCs w:val="21"/>
          <w:highlight w:val="none"/>
        </w:rPr>
      </w:pPr>
      <w:bookmarkStart w:id="260" w:name="_Toc21251"/>
      <w:r>
        <w:rPr>
          <w:rFonts w:hint="eastAsia" w:ascii="微软雅黑" w:hAnsi="微软雅黑" w:eastAsia="微软雅黑" w:cs="微软雅黑"/>
          <w:color w:val="auto"/>
          <w:sz w:val="21"/>
          <w:szCs w:val="21"/>
          <w:highlight w:val="none"/>
        </w:rPr>
        <w:t>……</w:t>
      </w:r>
      <w:bookmarkEnd w:id="260"/>
    </w:p>
    <w:p w14:paraId="6BC156CC">
      <w:pPr>
        <w:pStyle w:val="28"/>
        <w:spacing w:line="360" w:lineRule="auto"/>
        <w:outlineLvl w:val="9"/>
        <w:rPr>
          <w:rFonts w:hint="eastAsia" w:ascii="微软雅黑" w:hAnsi="微软雅黑" w:eastAsia="微软雅黑" w:cs="微软雅黑"/>
          <w:color w:val="auto"/>
          <w:sz w:val="21"/>
          <w:szCs w:val="21"/>
          <w:highlight w:val="none"/>
        </w:rPr>
      </w:pPr>
      <w:bookmarkStart w:id="261" w:name="_Toc12502"/>
      <w:r>
        <w:rPr>
          <w:rFonts w:hint="eastAsia" w:ascii="微软雅黑" w:hAnsi="微软雅黑" w:eastAsia="微软雅黑" w:cs="微软雅黑"/>
          <w:color w:val="auto"/>
          <w:sz w:val="21"/>
          <w:szCs w:val="21"/>
          <w:highlight w:val="none"/>
        </w:rPr>
        <w:t>甲方：                             乙方：</w:t>
      </w:r>
      <w:bookmarkEnd w:id="261"/>
      <w:r>
        <w:rPr>
          <w:rFonts w:hint="eastAsia" w:ascii="微软雅黑" w:hAnsi="微软雅黑" w:eastAsia="微软雅黑" w:cs="微软雅黑"/>
          <w:color w:val="auto"/>
          <w:sz w:val="21"/>
          <w:szCs w:val="21"/>
          <w:highlight w:val="none"/>
        </w:rPr>
        <w:t xml:space="preserve"> </w:t>
      </w:r>
    </w:p>
    <w:p w14:paraId="6BA6DCFA">
      <w:pPr>
        <w:pStyle w:val="28"/>
        <w:spacing w:line="360" w:lineRule="auto"/>
        <w:outlineLvl w:val="9"/>
        <w:rPr>
          <w:rFonts w:hint="eastAsia" w:ascii="微软雅黑" w:hAnsi="微软雅黑" w:eastAsia="微软雅黑" w:cs="微软雅黑"/>
          <w:bCs/>
          <w:color w:val="auto"/>
          <w:sz w:val="21"/>
          <w:szCs w:val="21"/>
          <w:highlight w:val="none"/>
        </w:rPr>
      </w:pPr>
      <w:bookmarkStart w:id="262" w:name="_Toc12392"/>
      <w:r>
        <w:rPr>
          <w:rFonts w:hint="eastAsia" w:ascii="微软雅黑" w:hAnsi="微软雅黑" w:eastAsia="微软雅黑" w:cs="微软雅黑"/>
          <w:color w:val="auto"/>
          <w:sz w:val="21"/>
          <w:szCs w:val="21"/>
          <w:highlight w:val="none"/>
        </w:rPr>
        <w:t>地址：                             地址：</w:t>
      </w:r>
      <w:bookmarkEnd w:id="262"/>
      <w:r>
        <w:rPr>
          <w:rFonts w:hint="eastAsia" w:ascii="微软雅黑" w:hAnsi="微软雅黑" w:eastAsia="微软雅黑" w:cs="微软雅黑"/>
          <w:color w:val="auto"/>
          <w:sz w:val="21"/>
          <w:szCs w:val="21"/>
          <w:highlight w:val="none"/>
        </w:rPr>
        <w:t xml:space="preserve"> </w:t>
      </w:r>
    </w:p>
    <w:p w14:paraId="0606720A">
      <w:pPr>
        <w:pStyle w:val="28"/>
        <w:spacing w:line="360" w:lineRule="auto"/>
        <w:outlineLvl w:val="9"/>
        <w:rPr>
          <w:rFonts w:hint="eastAsia" w:ascii="微软雅黑" w:hAnsi="微软雅黑" w:eastAsia="微软雅黑" w:cs="微软雅黑"/>
          <w:color w:val="auto"/>
          <w:sz w:val="21"/>
          <w:szCs w:val="21"/>
          <w:highlight w:val="none"/>
        </w:rPr>
      </w:pPr>
      <w:bookmarkStart w:id="263" w:name="_Toc19138"/>
      <w:r>
        <w:rPr>
          <w:rFonts w:hint="eastAsia" w:ascii="微软雅黑" w:hAnsi="微软雅黑" w:eastAsia="微软雅黑" w:cs="微软雅黑"/>
          <w:color w:val="auto"/>
          <w:sz w:val="21"/>
          <w:szCs w:val="21"/>
          <w:highlight w:val="none"/>
        </w:rPr>
        <w:t>法定代表人或被授权人：             法定代表人或被授权人：</w:t>
      </w:r>
      <w:bookmarkEnd w:id="263"/>
    </w:p>
    <w:p w14:paraId="687DF647">
      <w:pPr>
        <w:pStyle w:val="28"/>
        <w:spacing w:line="360" w:lineRule="auto"/>
        <w:outlineLvl w:val="9"/>
        <w:rPr>
          <w:rFonts w:hint="eastAsia" w:ascii="微软雅黑" w:hAnsi="微软雅黑" w:eastAsia="微软雅黑" w:cs="微软雅黑"/>
          <w:color w:val="auto"/>
          <w:sz w:val="21"/>
          <w:szCs w:val="21"/>
          <w:highlight w:val="none"/>
        </w:rPr>
      </w:pPr>
      <w:bookmarkStart w:id="264" w:name="_Toc17401"/>
      <w:r>
        <w:rPr>
          <w:rFonts w:hint="eastAsia" w:ascii="微软雅黑" w:hAnsi="微软雅黑" w:eastAsia="微软雅黑" w:cs="微软雅黑"/>
          <w:color w:val="auto"/>
          <w:sz w:val="21"/>
          <w:szCs w:val="21"/>
          <w:highlight w:val="none"/>
        </w:rPr>
        <w:t>签订地点：</w:t>
      </w:r>
      <w:bookmarkEnd w:id="264"/>
      <w:r>
        <w:rPr>
          <w:rFonts w:hint="eastAsia" w:ascii="微软雅黑" w:hAnsi="微软雅黑" w:eastAsia="微软雅黑" w:cs="微软雅黑"/>
          <w:color w:val="auto"/>
          <w:sz w:val="21"/>
          <w:szCs w:val="21"/>
          <w:highlight w:val="none"/>
        </w:rPr>
        <w:t xml:space="preserve">                  </w:t>
      </w:r>
    </w:p>
    <w:p w14:paraId="6ACB7660">
      <w:pPr>
        <w:pStyle w:val="28"/>
        <w:spacing w:line="360" w:lineRule="auto"/>
        <w:outlineLvl w:val="9"/>
        <w:rPr>
          <w:rFonts w:hint="eastAsia" w:ascii="微软雅黑" w:hAnsi="微软雅黑" w:eastAsia="微软雅黑" w:cs="微软雅黑"/>
          <w:color w:val="auto"/>
          <w:sz w:val="21"/>
          <w:szCs w:val="21"/>
          <w:highlight w:val="none"/>
        </w:rPr>
        <w:sectPr>
          <w:pgSz w:w="11906" w:h="16838"/>
          <w:pgMar w:top="1474" w:right="1797" w:bottom="1247" w:left="1797" w:header="851" w:footer="851" w:gutter="0"/>
          <w:cols w:space="720" w:num="1"/>
          <w:docGrid w:linePitch="312" w:charSpace="0"/>
        </w:sectPr>
      </w:pPr>
      <w:bookmarkStart w:id="265" w:name="_Toc1330"/>
      <w:r>
        <w:rPr>
          <w:rFonts w:hint="eastAsia" w:ascii="微软雅黑" w:hAnsi="微软雅黑" w:eastAsia="微软雅黑" w:cs="微软雅黑"/>
          <w:color w:val="auto"/>
          <w:sz w:val="21"/>
          <w:szCs w:val="21"/>
          <w:highlight w:val="none"/>
        </w:rPr>
        <w:t>签订日期：      年  月  日</w:t>
      </w:r>
      <w:bookmarkEnd w:id="265"/>
    </w:p>
    <w:p w14:paraId="07938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p>
    <w:p w14:paraId="22ABD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sz w:val="21"/>
          <w:szCs w:val="21"/>
          <w:highlight w:val="none"/>
        </w:rPr>
      </w:pPr>
    </w:p>
    <w:bookmarkEnd w:id="253"/>
    <w:tbl>
      <w:tblPr>
        <w:tblStyle w:val="52"/>
        <w:tblpPr w:leftFromText="180" w:rightFromText="180" w:vertAnchor="page" w:horzAnchor="margin" w:tblpXSpec="center" w:tblpY="2071"/>
        <w:tblW w:w="8472" w:type="dxa"/>
        <w:tblInd w:w="0" w:type="dxa"/>
        <w:tblLayout w:type="fixed"/>
        <w:tblCellMar>
          <w:top w:w="0" w:type="dxa"/>
          <w:left w:w="108" w:type="dxa"/>
          <w:bottom w:w="0" w:type="dxa"/>
          <w:right w:w="108" w:type="dxa"/>
        </w:tblCellMar>
      </w:tblPr>
      <w:tblGrid>
        <w:gridCol w:w="2779"/>
        <w:gridCol w:w="2911"/>
        <w:gridCol w:w="769"/>
        <w:gridCol w:w="962"/>
        <w:gridCol w:w="1051"/>
      </w:tblGrid>
      <w:tr w14:paraId="2CEE9E62">
        <w:tblPrEx>
          <w:tblCellMar>
            <w:top w:w="0" w:type="dxa"/>
            <w:left w:w="108" w:type="dxa"/>
            <w:bottom w:w="0" w:type="dxa"/>
            <w:right w:w="108" w:type="dxa"/>
          </w:tblCellMar>
        </w:tblPrEx>
        <w:trPr>
          <w:trHeight w:val="336" w:hRule="atLeast"/>
        </w:trPr>
        <w:tc>
          <w:tcPr>
            <w:tcW w:w="8472" w:type="dxa"/>
            <w:gridSpan w:val="5"/>
            <w:tcBorders>
              <w:top w:val="nil"/>
              <w:left w:val="nil"/>
              <w:bottom w:val="nil"/>
              <w:right w:val="nil"/>
            </w:tcBorders>
            <w:vAlign w:val="center"/>
          </w:tcPr>
          <w:p w14:paraId="1E9F904A">
            <w:pPr>
              <w:pStyle w:val="3"/>
              <w:ind w:firstLine="420"/>
              <w:rPr>
                <w:rFonts w:hint="eastAsia" w:ascii="微软雅黑" w:hAnsi="微软雅黑" w:eastAsia="微软雅黑" w:cs="微软雅黑"/>
                <w:color w:val="auto"/>
                <w:sz w:val="21"/>
                <w:szCs w:val="21"/>
                <w:highlight w:val="none"/>
              </w:rPr>
            </w:pPr>
            <w:bookmarkStart w:id="266" w:name="_Toc27098"/>
            <w:r>
              <w:rPr>
                <w:rFonts w:hint="eastAsia" w:ascii="微软雅黑" w:hAnsi="微软雅黑" w:eastAsia="微软雅黑" w:cs="微软雅黑"/>
                <w:color w:val="auto"/>
                <w:sz w:val="21"/>
                <w:szCs w:val="21"/>
                <w:highlight w:val="none"/>
              </w:rPr>
              <w:t>政 府 采 购 项 目 验 收 单</w:t>
            </w:r>
            <w:bookmarkEnd w:id="266"/>
          </w:p>
        </w:tc>
      </w:tr>
      <w:tr w14:paraId="5AA58CC5">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31D37DB6">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按照采购计划文号：      ，</w:t>
            </w:r>
          </w:p>
          <w:p w14:paraId="789DFBF3">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项目编号：                                       ,</w:t>
            </w:r>
          </w:p>
          <w:p w14:paraId="16969718">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合同号：  </w:t>
            </w:r>
          </w:p>
        </w:tc>
      </w:tr>
      <w:tr w14:paraId="0253BDF8">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7925E57E">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以下项目已采购到位并验收合格。</w:t>
            </w:r>
          </w:p>
        </w:tc>
      </w:tr>
      <w:tr w14:paraId="550EA9F5">
        <w:tblPrEx>
          <w:tblCellMar>
            <w:top w:w="0" w:type="dxa"/>
            <w:left w:w="108" w:type="dxa"/>
            <w:bottom w:w="0" w:type="dxa"/>
            <w:right w:w="108" w:type="dxa"/>
          </w:tblCellMar>
        </w:tblPrEx>
        <w:trPr>
          <w:trHeight w:val="398" w:hRule="atLeast"/>
        </w:trPr>
        <w:tc>
          <w:tcPr>
            <w:tcW w:w="2779" w:type="dxa"/>
            <w:tcBorders>
              <w:top w:val="single" w:color="auto" w:sz="4" w:space="0"/>
              <w:left w:val="single" w:color="auto" w:sz="4" w:space="0"/>
              <w:bottom w:val="nil"/>
              <w:right w:val="single" w:color="auto" w:sz="4" w:space="0"/>
            </w:tcBorders>
            <w:vAlign w:val="center"/>
          </w:tcPr>
          <w:p w14:paraId="3A1BE9D6">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服务名称</w:t>
            </w:r>
          </w:p>
        </w:tc>
        <w:tc>
          <w:tcPr>
            <w:tcW w:w="2911" w:type="dxa"/>
            <w:tcBorders>
              <w:top w:val="single" w:color="auto" w:sz="4" w:space="0"/>
              <w:left w:val="nil"/>
              <w:bottom w:val="nil"/>
              <w:right w:val="single" w:color="auto" w:sz="4" w:space="0"/>
            </w:tcBorders>
            <w:vAlign w:val="center"/>
          </w:tcPr>
          <w:p w14:paraId="7191B810">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服务内容</w:t>
            </w:r>
          </w:p>
        </w:tc>
        <w:tc>
          <w:tcPr>
            <w:tcW w:w="769" w:type="dxa"/>
            <w:tcBorders>
              <w:top w:val="single" w:color="auto" w:sz="4" w:space="0"/>
              <w:left w:val="nil"/>
              <w:bottom w:val="nil"/>
              <w:right w:val="single" w:color="auto" w:sz="4" w:space="0"/>
            </w:tcBorders>
            <w:vAlign w:val="center"/>
          </w:tcPr>
          <w:p w14:paraId="351308C3">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数量</w:t>
            </w:r>
          </w:p>
        </w:tc>
        <w:tc>
          <w:tcPr>
            <w:tcW w:w="962" w:type="dxa"/>
            <w:tcBorders>
              <w:top w:val="single" w:color="auto" w:sz="4" w:space="0"/>
              <w:left w:val="nil"/>
              <w:bottom w:val="nil"/>
              <w:right w:val="single" w:color="auto" w:sz="4" w:space="0"/>
            </w:tcBorders>
            <w:vAlign w:val="center"/>
          </w:tcPr>
          <w:p w14:paraId="5BA30313">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核定总价</w:t>
            </w:r>
          </w:p>
        </w:tc>
        <w:tc>
          <w:tcPr>
            <w:tcW w:w="1051" w:type="dxa"/>
            <w:tcBorders>
              <w:top w:val="single" w:color="auto" w:sz="4" w:space="0"/>
              <w:left w:val="nil"/>
              <w:bottom w:val="single" w:color="auto" w:sz="4" w:space="0"/>
              <w:right w:val="single" w:color="auto" w:sz="4" w:space="0"/>
            </w:tcBorders>
            <w:vAlign w:val="center"/>
          </w:tcPr>
          <w:p w14:paraId="0D71AFCC">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采购人</w:t>
            </w:r>
          </w:p>
          <w:p w14:paraId="5C2C7FE7">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验收意见</w:t>
            </w:r>
          </w:p>
        </w:tc>
      </w:tr>
      <w:tr w14:paraId="496ECD35">
        <w:tblPrEx>
          <w:tblCellMar>
            <w:top w:w="0" w:type="dxa"/>
            <w:left w:w="108" w:type="dxa"/>
            <w:bottom w:w="0" w:type="dxa"/>
            <w:right w:w="108" w:type="dxa"/>
          </w:tblCellMar>
        </w:tblPrEx>
        <w:trPr>
          <w:trHeight w:val="324" w:hRule="atLeast"/>
        </w:trPr>
        <w:tc>
          <w:tcPr>
            <w:tcW w:w="2779" w:type="dxa"/>
            <w:tcBorders>
              <w:top w:val="single" w:color="auto" w:sz="4" w:space="0"/>
              <w:left w:val="single" w:color="auto" w:sz="4" w:space="0"/>
              <w:bottom w:val="single" w:color="auto" w:sz="4" w:space="0"/>
              <w:right w:val="single" w:color="auto" w:sz="4" w:space="0"/>
            </w:tcBorders>
            <w:vAlign w:val="center"/>
          </w:tcPr>
          <w:p w14:paraId="0E147F46">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2911" w:type="dxa"/>
            <w:tcBorders>
              <w:top w:val="single" w:color="auto" w:sz="4" w:space="0"/>
              <w:left w:val="nil"/>
              <w:bottom w:val="single" w:color="auto" w:sz="4" w:space="0"/>
              <w:right w:val="single" w:color="auto" w:sz="4" w:space="0"/>
            </w:tcBorders>
            <w:vAlign w:val="center"/>
          </w:tcPr>
          <w:p w14:paraId="278F27EA">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769" w:type="dxa"/>
            <w:tcBorders>
              <w:top w:val="single" w:color="auto" w:sz="4" w:space="0"/>
              <w:left w:val="nil"/>
              <w:bottom w:val="single" w:color="auto" w:sz="4" w:space="0"/>
              <w:right w:val="single" w:color="auto" w:sz="4" w:space="0"/>
            </w:tcBorders>
            <w:vAlign w:val="center"/>
          </w:tcPr>
          <w:p w14:paraId="7FA42848">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962" w:type="dxa"/>
            <w:tcBorders>
              <w:top w:val="single" w:color="auto" w:sz="4" w:space="0"/>
              <w:left w:val="nil"/>
              <w:bottom w:val="single" w:color="auto" w:sz="4" w:space="0"/>
              <w:right w:val="single" w:color="auto" w:sz="4" w:space="0"/>
            </w:tcBorders>
            <w:vAlign w:val="center"/>
          </w:tcPr>
          <w:p w14:paraId="76FBC9DA">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1051" w:type="dxa"/>
            <w:tcBorders>
              <w:top w:val="nil"/>
              <w:left w:val="nil"/>
              <w:bottom w:val="single" w:color="auto" w:sz="4" w:space="0"/>
              <w:right w:val="single" w:color="auto" w:sz="4" w:space="0"/>
            </w:tcBorders>
            <w:vAlign w:val="bottom"/>
          </w:tcPr>
          <w:p w14:paraId="71CEF399">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6A8D5C1">
        <w:tblPrEx>
          <w:tblCellMar>
            <w:top w:w="0" w:type="dxa"/>
            <w:left w:w="108" w:type="dxa"/>
            <w:bottom w:w="0" w:type="dxa"/>
            <w:right w:w="108" w:type="dxa"/>
          </w:tblCellMar>
        </w:tblPrEx>
        <w:trPr>
          <w:trHeight w:val="343" w:hRule="atLeast"/>
        </w:trPr>
        <w:tc>
          <w:tcPr>
            <w:tcW w:w="2779" w:type="dxa"/>
            <w:tcBorders>
              <w:top w:val="nil"/>
              <w:left w:val="single" w:color="auto" w:sz="4" w:space="0"/>
              <w:bottom w:val="single" w:color="auto" w:sz="4" w:space="0"/>
              <w:right w:val="single" w:color="auto" w:sz="4" w:space="0"/>
            </w:tcBorders>
            <w:vAlign w:val="center"/>
          </w:tcPr>
          <w:p w14:paraId="40F0B6DC">
            <w:pPr>
              <w:widowControl/>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合计总价款（人民币）</w:t>
            </w:r>
          </w:p>
        </w:tc>
        <w:tc>
          <w:tcPr>
            <w:tcW w:w="5693" w:type="dxa"/>
            <w:gridSpan w:val="4"/>
            <w:tcBorders>
              <w:top w:val="nil"/>
              <w:left w:val="nil"/>
              <w:bottom w:val="single" w:color="auto" w:sz="4" w:space="0"/>
              <w:right w:val="single" w:color="000000" w:sz="4" w:space="0"/>
            </w:tcBorders>
            <w:vAlign w:val="center"/>
          </w:tcPr>
          <w:p w14:paraId="5F9D5E02">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人民币</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 xml:space="preserve">元整。       ￥: </w:t>
            </w:r>
            <w:r>
              <w:rPr>
                <w:rFonts w:hint="eastAsia" w:ascii="微软雅黑" w:hAnsi="微软雅黑" w:eastAsia="微软雅黑" w:cs="微软雅黑"/>
                <w:color w:val="auto"/>
                <w:kern w:val="0"/>
                <w:sz w:val="21"/>
                <w:szCs w:val="21"/>
                <w:highlight w:val="none"/>
                <w:u w:val="single"/>
              </w:rPr>
              <w:t xml:space="preserve">             </w:t>
            </w:r>
          </w:p>
        </w:tc>
      </w:tr>
      <w:tr w14:paraId="1CEFA251">
        <w:tblPrEx>
          <w:tblCellMar>
            <w:top w:w="0" w:type="dxa"/>
            <w:left w:w="108" w:type="dxa"/>
            <w:bottom w:w="0" w:type="dxa"/>
            <w:right w:w="108" w:type="dxa"/>
          </w:tblCellMar>
        </w:tblPrEx>
        <w:trPr>
          <w:trHeight w:val="316" w:hRule="atLeast"/>
        </w:trPr>
        <w:tc>
          <w:tcPr>
            <w:tcW w:w="2779" w:type="dxa"/>
            <w:tcBorders>
              <w:top w:val="nil"/>
              <w:left w:val="single" w:color="auto" w:sz="4" w:space="0"/>
              <w:bottom w:val="nil"/>
              <w:right w:val="nil"/>
            </w:tcBorders>
            <w:vAlign w:val="bottom"/>
          </w:tcPr>
          <w:p w14:paraId="352B4613">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供货单位（盖章）：                     </w:t>
            </w:r>
          </w:p>
        </w:tc>
        <w:tc>
          <w:tcPr>
            <w:tcW w:w="2911" w:type="dxa"/>
            <w:tcBorders>
              <w:top w:val="nil"/>
              <w:left w:val="nil"/>
              <w:bottom w:val="nil"/>
              <w:right w:val="nil"/>
            </w:tcBorders>
            <w:vAlign w:val="center"/>
          </w:tcPr>
          <w:p w14:paraId="0DD211D5">
            <w:pPr>
              <w:widowControl/>
              <w:ind w:firstLine="0" w:firstLineChars="0"/>
              <w:jc w:val="righ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采购人（盖章）:</w:t>
            </w:r>
          </w:p>
        </w:tc>
        <w:tc>
          <w:tcPr>
            <w:tcW w:w="1731" w:type="dxa"/>
            <w:gridSpan w:val="2"/>
            <w:tcBorders>
              <w:top w:val="nil"/>
              <w:left w:val="nil"/>
              <w:bottom w:val="nil"/>
              <w:right w:val="nil"/>
            </w:tcBorders>
            <w:vAlign w:val="bottom"/>
          </w:tcPr>
          <w:p w14:paraId="6751B149">
            <w:pPr>
              <w:widowControl/>
              <w:ind w:firstLine="0" w:firstLineChars="0"/>
              <w:rPr>
                <w:rFonts w:hint="eastAsia" w:ascii="微软雅黑" w:hAnsi="微软雅黑" w:eastAsia="微软雅黑" w:cs="微软雅黑"/>
                <w:color w:val="auto"/>
                <w:kern w:val="0"/>
                <w:sz w:val="21"/>
                <w:szCs w:val="21"/>
                <w:highlight w:val="none"/>
              </w:rPr>
            </w:pPr>
          </w:p>
        </w:tc>
        <w:tc>
          <w:tcPr>
            <w:tcW w:w="1051" w:type="dxa"/>
            <w:tcBorders>
              <w:top w:val="nil"/>
              <w:left w:val="nil"/>
              <w:bottom w:val="nil"/>
              <w:right w:val="single" w:color="auto" w:sz="4" w:space="0"/>
            </w:tcBorders>
            <w:vAlign w:val="bottom"/>
          </w:tcPr>
          <w:p w14:paraId="6C0621EB">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A4DA8F2">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1678DDE7">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经办项目负责人：</w:t>
            </w:r>
          </w:p>
        </w:tc>
        <w:tc>
          <w:tcPr>
            <w:tcW w:w="2911" w:type="dxa"/>
            <w:tcBorders>
              <w:top w:val="nil"/>
              <w:left w:val="nil"/>
              <w:bottom w:val="nil"/>
              <w:right w:val="nil"/>
            </w:tcBorders>
            <w:vAlign w:val="center"/>
          </w:tcPr>
          <w:p w14:paraId="33EFD1F9">
            <w:pPr>
              <w:widowControl/>
              <w:ind w:firstLine="0" w:firstLineChars="0"/>
              <w:jc w:val="righ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项目验收组组长：</w:t>
            </w:r>
          </w:p>
        </w:tc>
        <w:tc>
          <w:tcPr>
            <w:tcW w:w="1731" w:type="dxa"/>
            <w:gridSpan w:val="2"/>
            <w:tcBorders>
              <w:top w:val="nil"/>
              <w:left w:val="nil"/>
              <w:bottom w:val="nil"/>
              <w:right w:val="nil"/>
            </w:tcBorders>
            <w:vAlign w:val="bottom"/>
          </w:tcPr>
          <w:p w14:paraId="6CDEA61D">
            <w:pPr>
              <w:widowControl/>
              <w:ind w:firstLine="0" w:firstLineChars="0"/>
              <w:rPr>
                <w:rFonts w:hint="eastAsia" w:ascii="微软雅黑" w:hAnsi="微软雅黑" w:eastAsia="微软雅黑" w:cs="微软雅黑"/>
                <w:color w:val="auto"/>
                <w:kern w:val="0"/>
                <w:sz w:val="21"/>
                <w:szCs w:val="21"/>
                <w:highlight w:val="none"/>
              </w:rPr>
            </w:pPr>
          </w:p>
        </w:tc>
        <w:tc>
          <w:tcPr>
            <w:tcW w:w="1051" w:type="dxa"/>
            <w:tcBorders>
              <w:top w:val="nil"/>
              <w:left w:val="nil"/>
              <w:bottom w:val="nil"/>
              <w:right w:val="single" w:color="auto" w:sz="4" w:space="0"/>
            </w:tcBorders>
            <w:vAlign w:val="bottom"/>
          </w:tcPr>
          <w:p w14:paraId="30E7E955">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7BB07869">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7118F76F">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联系电话：</w:t>
            </w:r>
          </w:p>
        </w:tc>
        <w:tc>
          <w:tcPr>
            <w:tcW w:w="2911" w:type="dxa"/>
            <w:tcBorders>
              <w:top w:val="nil"/>
              <w:left w:val="nil"/>
              <w:bottom w:val="nil"/>
              <w:right w:val="nil"/>
            </w:tcBorders>
            <w:vAlign w:val="center"/>
          </w:tcPr>
          <w:p w14:paraId="37D17A72">
            <w:pPr>
              <w:widowControl/>
              <w:ind w:firstLine="0" w:firstLineChars="0"/>
              <w:jc w:val="righ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联系电话：</w:t>
            </w:r>
          </w:p>
        </w:tc>
        <w:tc>
          <w:tcPr>
            <w:tcW w:w="769" w:type="dxa"/>
            <w:tcBorders>
              <w:top w:val="nil"/>
              <w:left w:val="nil"/>
              <w:bottom w:val="nil"/>
              <w:right w:val="nil"/>
            </w:tcBorders>
            <w:vAlign w:val="bottom"/>
          </w:tcPr>
          <w:p w14:paraId="3F2840F7">
            <w:pPr>
              <w:widowControl/>
              <w:ind w:firstLine="0" w:firstLineChars="0"/>
              <w:rPr>
                <w:rFonts w:hint="eastAsia" w:ascii="微软雅黑" w:hAnsi="微软雅黑" w:eastAsia="微软雅黑" w:cs="微软雅黑"/>
                <w:color w:val="auto"/>
                <w:kern w:val="0"/>
                <w:sz w:val="21"/>
                <w:szCs w:val="21"/>
                <w:highlight w:val="none"/>
              </w:rPr>
            </w:pPr>
          </w:p>
        </w:tc>
        <w:tc>
          <w:tcPr>
            <w:tcW w:w="962" w:type="dxa"/>
            <w:tcBorders>
              <w:top w:val="nil"/>
              <w:left w:val="nil"/>
              <w:bottom w:val="nil"/>
              <w:right w:val="nil"/>
            </w:tcBorders>
            <w:vAlign w:val="bottom"/>
          </w:tcPr>
          <w:p w14:paraId="51E80782">
            <w:pPr>
              <w:widowControl/>
              <w:ind w:firstLine="0" w:firstLineChars="0"/>
              <w:rPr>
                <w:rFonts w:hint="eastAsia" w:ascii="微软雅黑" w:hAnsi="微软雅黑" w:eastAsia="微软雅黑" w:cs="微软雅黑"/>
                <w:color w:val="auto"/>
                <w:kern w:val="0"/>
                <w:sz w:val="21"/>
                <w:szCs w:val="21"/>
                <w:highlight w:val="none"/>
              </w:rPr>
            </w:pPr>
          </w:p>
        </w:tc>
        <w:tc>
          <w:tcPr>
            <w:tcW w:w="1051" w:type="dxa"/>
            <w:tcBorders>
              <w:top w:val="nil"/>
              <w:left w:val="nil"/>
              <w:bottom w:val="nil"/>
              <w:right w:val="single" w:color="auto" w:sz="4" w:space="0"/>
            </w:tcBorders>
            <w:vAlign w:val="bottom"/>
          </w:tcPr>
          <w:p w14:paraId="4A450746">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0AD1FF7A">
        <w:tblPrEx>
          <w:tblCellMar>
            <w:top w:w="0" w:type="dxa"/>
            <w:left w:w="108" w:type="dxa"/>
            <w:bottom w:w="0" w:type="dxa"/>
            <w:right w:w="108" w:type="dxa"/>
          </w:tblCellMar>
        </w:tblPrEx>
        <w:trPr>
          <w:trHeight w:val="247" w:hRule="atLeast"/>
        </w:trPr>
        <w:tc>
          <w:tcPr>
            <w:tcW w:w="2779" w:type="dxa"/>
            <w:tcBorders>
              <w:top w:val="nil"/>
              <w:left w:val="single" w:color="auto" w:sz="4" w:space="0"/>
              <w:bottom w:val="nil"/>
              <w:right w:val="nil"/>
            </w:tcBorders>
            <w:vAlign w:val="bottom"/>
          </w:tcPr>
          <w:p w14:paraId="65D70DE2">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开户银行：</w:t>
            </w:r>
          </w:p>
        </w:tc>
        <w:tc>
          <w:tcPr>
            <w:tcW w:w="2911" w:type="dxa"/>
            <w:tcBorders>
              <w:top w:val="nil"/>
              <w:left w:val="nil"/>
              <w:bottom w:val="nil"/>
              <w:right w:val="nil"/>
            </w:tcBorders>
            <w:vAlign w:val="center"/>
          </w:tcPr>
          <w:p w14:paraId="5ECBAC7F">
            <w:pPr>
              <w:widowControl/>
              <w:ind w:firstLine="0" w:firstLineChars="0"/>
              <w:jc w:val="righ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项目验收组成员（签名）：</w:t>
            </w:r>
          </w:p>
        </w:tc>
        <w:tc>
          <w:tcPr>
            <w:tcW w:w="769" w:type="dxa"/>
            <w:tcBorders>
              <w:top w:val="nil"/>
              <w:left w:val="nil"/>
              <w:bottom w:val="nil"/>
              <w:right w:val="nil"/>
            </w:tcBorders>
            <w:vAlign w:val="bottom"/>
          </w:tcPr>
          <w:p w14:paraId="702D5410">
            <w:pPr>
              <w:widowControl/>
              <w:ind w:firstLine="0" w:firstLineChars="0"/>
              <w:rPr>
                <w:rFonts w:hint="eastAsia" w:ascii="微软雅黑" w:hAnsi="微软雅黑" w:eastAsia="微软雅黑" w:cs="微软雅黑"/>
                <w:color w:val="auto"/>
                <w:kern w:val="0"/>
                <w:sz w:val="21"/>
                <w:szCs w:val="21"/>
                <w:highlight w:val="none"/>
              </w:rPr>
            </w:pPr>
          </w:p>
        </w:tc>
        <w:tc>
          <w:tcPr>
            <w:tcW w:w="962" w:type="dxa"/>
            <w:tcBorders>
              <w:top w:val="nil"/>
              <w:left w:val="nil"/>
              <w:bottom w:val="nil"/>
              <w:right w:val="nil"/>
            </w:tcBorders>
            <w:vAlign w:val="bottom"/>
          </w:tcPr>
          <w:p w14:paraId="2CDA96BE">
            <w:pPr>
              <w:widowControl/>
              <w:ind w:firstLine="0" w:firstLineChars="0"/>
              <w:rPr>
                <w:rFonts w:hint="eastAsia" w:ascii="微软雅黑" w:hAnsi="微软雅黑" w:eastAsia="微软雅黑" w:cs="微软雅黑"/>
                <w:color w:val="auto"/>
                <w:kern w:val="0"/>
                <w:sz w:val="21"/>
                <w:szCs w:val="21"/>
                <w:highlight w:val="none"/>
              </w:rPr>
            </w:pPr>
          </w:p>
        </w:tc>
        <w:tc>
          <w:tcPr>
            <w:tcW w:w="1051" w:type="dxa"/>
            <w:tcBorders>
              <w:top w:val="nil"/>
              <w:left w:val="nil"/>
              <w:bottom w:val="nil"/>
              <w:right w:val="single" w:color="auto" w:sz="4" w:space="0"/>
            </w:tcBorders>
            <w:vAlign w:val="bottom"/>
          </w:tcPr>
          <w:p w14:paraId="2174FF91">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57BF5551">
        <w:tblPrEx>
          <w:tblCellMar>
            <w:top w:w="0" w:type="dxa"/>
            <w:left w:w="108" w:type="dxa"/>
            <w:bottom w:w="0" w:type="dxa"/>
            <w:right w:w="108" w:type="dxa"/>
          </w:tblCellMar>
        </w:tblPrEx>
        <w:trPr>
          <w:trHeight w:val="309" w:hRule="atLeast"/>
        </w:trPr>
        <w:tc>
          <w:tcPr>
            <w:tcW w:w="2779" w:type="dxa"/>
            <w:tcBorders>
              <w:top w:val="nil"/>
              <w:left w:val="single" w:color="auto" w:sz="4" w:space="0"/>
              <w:bottom w:val="single" w:color="auto" w:sz="4" w:space="0"/>
              <w:right w:val="nil"/>
            </w:tcBorders>
            <w:vAlign w:val="center"/>
          </w:tcPr>
          <w:p w14:paraId="2A545E2F">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银行帐号：</w:t>
            </w:r>
          </w:p>
        </w:tc>
        <w:tc>
          <w:tcPr>
            <w:tcW w:w="2911" w:type="dxa"/>
            <w:tcBorders>
              <w:top w:val="nil"/>
              <w:left w:val="nil"/>
              <w:bottom w:val="single" w:color="auto" w:sz="4" w:space="0"/>
              <w:right w:val="nil"/>
            </w:tcBorders>
            <w:vAlign w:val="bottom"/>
          </w:tcPr>
          <w:p w14:paraId="12AE5205">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2782" w:type="dxa"/>
            <w:gridSpan w:val="3"/>
            <w:tcBorders>
              <w:top w:val="nil"/>
              <w:left w:val="nil"/>
              <w:bottom w:val="single" w:color="auto" w:sz="4" w:space="0"/>
              <w:right w:val="single" w:color="000000" w:sz="4" w:space="0"/>
            </w:tcBorders>
            <w:vAlign w:val="center"/>
          </w:tcPr>
          <w:p w14:paraId="1F6FAA36">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验收时间：       年     月     日</w:t>
            </w:r>
          </w:p>
        </w:tc>
      </w:tr>
      <w:tr w14:paraId="336039C1">
        <w:tblPrEx>
          <w:tblCellMar>
            <w:top w:w="0" w:type="dxa"/>
            <w:left w:w="108" w:type="dxa"/>
            <w:bottom w:w="0" w:type="dxa"/>
            <w:right w:w="108" w:type="dxa"/>
          </w:tblCellMar>
        </w:tblPrEx>
        <w:trPr>
          <w:trHeight w:val="157" w:hRule="atLeast"/>
        </w:trPr>
        <w:tc>
          <w:tcPr>
            <w:tcW w:w="8472" w:type="dxa"/>
            <w:gridSpan w:val="5"/>
            <w:tcBorders>
              <w:top w:val="single" w:color="auto" w:sz="4" w:space="0"/>
              <w:left w:val="nil"/>
              <w:bottom w:val="nil"/>
              <w:right w:val="nil"/>
            </w:tcBorders>
            <w:vAlign w:val="center"/>
          </w:tcPr>
          <w:p w14:paraId="1B4348F9">
            <w:pPr>
              <w:widowControl/>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本单一式四联：第一联采购人留存，第二联作为财政支付凭证，第三联供货单位留存。</w:t>
            </w:r>
          </w:p>
        </w:tc>
      </w:tr>
    </w:tbl>
    <w:p w14:paraId="0735CF08">
      <w:pPr>
        <w:pStyle w:val="28"/>
        <w:spacing w:line="360" w:lineRule="auto"/>
        <w:outlineLvl w:val="9"/>
        <w:rPr>
          <w:rStyle w:val="65"/>
          <w:rFonts w:hint="eastAsia" w:ascii="微软雅黑" w:hAnsi="微软雅黑" w:eastAsia="微软雅黑" w:cs="微软雅黑"/>
          <w:color w:val="auto"/>
          <w:sz w:val="21"/>
          <w:szCs w:val="21"/>
          <w:highlight w:val="none"/>
        </w:rPr>
        <w:sectPr>
          <w:pgSz w:w="11906" w:h="16838"/>
          <w:pgMar w:top="1474" w:right="1797" w:bottom="1247" w:left="1797" w:header="851" w:footer="851" w:gutter="0"/>
          <w:cols w:space="720" w:num="1"/>
          <w:docGrid w:linePitch="312" w:charSpace="0"/>
        </w:sect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rPr>
        <w:br w:type="page"/>
      </w:r>
      <w:bookmarkEnd w:id="245"/>
      <w:bookmarkStart w:id="267" w:name="_Toc493511828"/>
      <w:bookmarkStart w:id="268" w:name="_Toc25864"/>
    </w:p>
    <w:p w14:paraId="661B5B13">
      <w:pPr>
        <w:pStyle w:val="2"/>
        <w:numPr>
          <w:ilvl w:val="0"/>
          <w:numId w:val="4"/>
        </w:numPr>
        <w:rPr>
          <w:rStyle w:val="65"/>
          <w:rFonts w:hint="eastAsia" w:ascii="微软雅黑" w:hAnsi="微软雅黑" w:eastAsia="微软雅黑" w:cs="微软雅黑"/>
          <w:b/>
          <w:bCs/>
          <w:color w:val="auto"/>
          <w:sz w:val="21"/>
          <w:szCs w:val="21"/>
          <w:highlight w:val="none"/>
        </w:rPr>
      </w:pPr>
      <w:r>
        <w:rPr>
          <w:rStyle w:val="65"/>
          <w:rFonts w:hint="eastAsia" w:ascii="微软雅黑" w:hAnsi="微软雅黑" w:eastAsia="微软雅黑" w:cs="微软雅黑"/>
          <w:b/>
          <w:bCs/>
          <w:color w:val="auto"/>
          <w:sz w:val="21"/>
          <w:szCs w:val="21"/>
          <w:highlight w:val="none"/>
        </w:rPr>
        <w:t xml:space="preserve">  </w:t>
      </w:r>
      <w:bookmarkStart w:id="269" w:name="_Toc30233"/>
      <w:bookmarkStart w:id="270" w:name="_Toc191238339"/>
      <w:r>
        <w:rPr>
          <w:rStyle w:val="65"/>
          <w:rFonts w:hint="eastAsia" w:ascii="微软雅黑" w:hAnsi="微软雅黑" w:eastAsia="微软雅黑" w:cs="微软雅黑"/>
          <w:b/>
          <w:bCs/>
          <w:color w:val="auto"/>
          <w:sz w:val="21"/>
          <w:szCs w:val="21"/>
          <w:highlight w:val="none"/>
        </w:rPr>
        <w:t>响应文件相关格式</w:t>
      </w:r>
      <w:bookmarkEnd w:id="267"/>
      <w:bookmarkEnd w:id="268"/>
      <w:bookmarkEnd w:id="269"/>
      <w:bookmarkEnd w:id="270"/>
      <w:bookmarkStart w:id="271" w:name="_Toc430786287"/>
    </w:p>
    <w:bookmarkEnd w:id="271"/>
    <w:p w14:paraId="34003FE5">
      <w:pPr>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资格文件部分</w:t>
      </w:r>
    </w:p>
    <w:p w14:paraId="576AB09E">
      <w:pPr>
        <w:spacing w:line="240" w:lineRule="auto"/>
        <w:ind w:firstLine="420"/>
        <w:jc w:val="center"/>
        <w:rPr>
          <w:rFonts w:hint="eastAsia" w:ascii="微软雅黑" w:hAnsi="微软雅黑" w:eastAsia="微软雅黑" w:cs="微软雅黑"/>
          <w:b/>
          <w:color w:val="auto"/>
          <w:kern w:val="0"/>
          <w:sz w:val="21"/>
          <w:szCs w:val="21"/>
          <w:highlight w:val="none"/>
        </w:rPr>
      </w:pPr>
      <w:bookmarkStart w:id="272" w:name="_Toc164943223"/>
      <w:r>
        <w:rPr>
          <w:rFonts w:hint="eastAsia" w:ascii="微软雅黑" w:hAnsi="微软雅黑" w:eastAsia="微软雅黑" w:cs="微软雅黑"/>
          <w:b/>
          <w:color w:val="auto"/>
          <w:kern w:val="0"/>
          <w:sz w:val="21"/>
          <w:szCs w:val="21"/>
          <w:highlight w:val="none"/>
        </w:rPr>
        <w:t>目录</w:t>
      </w:r>
      <w:bookmarkEnd w:id="272"/>
    </w:p>
    <w:p w14:paraId="078FCC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（1）符合参加政府采购活动应当具备的一般条件的承诺函……………（页码）</w:t>
      </w:r>
    </w:p>
    <w:p w14:paraId="67691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（2）落实政府采购政策需满足的资格要求……………（页码）</w:t>
      </w:r>
    </w:p>
    <w:p w14:paraId="565A9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（3）投标人营业执照副本复印件…………………………………………………（页码）</w:t>
      </w:r>
    </w:p>
    <w:p w14:paraId="70B1178A">
      <w:pPr>
        <w:pStyle w:val="5"/>
        <w:rPr>
          <w:rFonts w:hint="eastAsia" w:ascii="微软雅黑" w:hAnsi="微软雅黑" w:eastAsia="微软雅黑" w:cs="微软雅黑"/>
          <w:color w:val="auto"/>
          <w:sz w:val="21"/>
          <w:szCs w:val="21"/>
          <w:highlight w:val="none"/>
        </w:rPr>
      </w:pPr>
    </w:p>
    <w:p w14:paraId="010E2ACE">
      <w:pPr>
        <w:snapToGrid w:val="0"/>
        <w:ind w:right="480" w:firstLine="420"/>
        <w:jc w:val="both"/>
        <w:rPr>
          <w:rFonts w:hint="eastAsia" w:ascii="微软雅黑" w:hAnsi="微软雅黑" w:eastAsia="微软雅黑" w:cs="微软雅黑"/>
          <w:b/>
          <w:color w:val="auto"/>
          <w:kern w:val="0"/>
          <w:sz w:val="21"/>
          <w:szCs w:val="21"/>
          <w:highlight w:val="none"/>
        </w:rPr>
        <w:sectPr>
          <w:footerReference r:id="rId19" w:type="default"/>
          <w:pgSz w:w="11906" w:h="16838"/>
          <w:pgMar w:top="1276" w:right="1418" w:bottom="1247" w:left="1418" w:header="851" w:footer="992" w:gutter="0"/>
          <w:cols w:space="720" w:num="1"/>
          <w:titlePg/>
          <w:docGrid w:linePitch="312" w:charSpace="0"/>
        </w:sectPr>
      </w:pPr>
    </w:p>
    <w:p w14:paraId="7BD8B9A7">
      <w:pPr>
        <w:snapToGrid w:val="0"/>
        <w:ind w:right="480" w:firstLine="420"/>
        <w:jc w:val="both"/>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一、 符合参加政府采购活动应当具备的一般条件的承诺函</w:t>
      </w:r>
    </w:p>
    <w:p w14:paraId="63CE8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u w:val="single"/>
        </w:rPr>
        <w:t>（采购人）、（采购代理机构）</w:t>
      </w:r>
      <w:r>
        <w:rPr>
          <w:rFonts w:hint="eastAsia" w:ascii="微软雅黑" w:hAnsi="微软雅黑" w:eastAsia="微软雅黑" w:cs="微软雅黑"/>
          <w:color w:val="auto"/>
          <w:kern w:val="0"/>
          <w:sz w:val="21"/>
          <w:szCs w:val="21"/>
          <w:highlight w:val="none"/>
        </w:rPr>
        <w:t>：</w:t>
      </w:r>
    </w:p>
    <w:p w14:paraId="06F40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我方参与（项目名称）【项目编号】政府采购活动，郑重承诺：</w:t>
      </w:r>
    </w:p>
    <w:p w14:paraId="16817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（一）具备《中华人民共和国政府采购法》第二十二条第一款规定的条件：</w:t>
      </w:r>
    </w:p>
    <w:p w14:paraId="68505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1、具有独立承担民事责任的能力；</w:t>
      </w:r>
    </w:p>
    <w:p w14:paraId="4131FE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2、具有良好的商业信誉和健全的财务会计制度； </w:t>
      </w:r>
    </w:p>
    <w:p w14:paraId="19ED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3、具有履行合同所必需的设备和专业技术能力；</w:t>
      </w:r>
    </w:p>
    <w:p w14:paraId="2A7DC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4、有依法缴纳税收和社会保障资金的良好记录；</w:t>
      </w:r>
    </w:p>
    <w:p w14:paraId="3682F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5、参加政府采购活动前三年内，在经营活动中没有重大违法记录；</w:t>
      </w:r>
    </w:p>
    <w:p w14:paraId="32722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6、具有法律、行政法规规定的其他条件。</w:t>
      </w:r>
    </w:p>
    <w:p w14:paraId="07B5A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（二）未被信用中国（www.creditchina.gov.cn)、中国政府采购网（www.ccgp.gov.cn）列入失信被执行人、重大税收违法案件当事人名单、政府采购严重违法失信行为记录名单。</w:t>
      </w:r>
    </w:p>
    <w:p w14:paraId="54CB2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（三）不存在以下情况：</w:t>
      </w:r>
    </w:p>
    <w:p w14:paraId="31E40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1、单位负责人为同一人或者存在直接控股、管理关系的不同供应商参加同一合同项下的政府采购活动的；</w:t>
      </w:r>
    </w:p>
    <w:p w14:paraId="2C2D4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2、为采购项目提供整体设计、规范编制或者项目管理、监理、检测等服务后再参加该采购项目的其他采购活动的。</w:t>
      </w:r>
    </w:p>
    <w:p w14:paraId="4A799D18">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424CF036">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5804E856">
      <w:pPr>
        <w:pStyle w:val="120"/>
        <w:ind w:firstLine="420"/>
        <w:jc w:val="center"/>
        <w:rPr>
          <w:rFonts w:hint="eastAsia" w:ascii="微软雅黑" w:hAnsi="微软雅黑" w:eastAsia="微软雅黑" w:cs="微软雅黑"/>
          <w:color w:val="auto"/>
          <w:sz w:val="21"/>
          <w:szCs w:val="21"/>
          <w:highlight w:val="none"/>
        </w:rPr>
        <w:sectPr>
          <w:pgSz w:w="11906" w:h="16838"/>
          <w:pgMar w:top="1276" w:right="1418" w:bottom="1247" w:left="1418" w:header="851" w:footer="992" w:gutter="0"/>
          <w:cols w:space="720" w:num="1"/>
          <w:titlePg/>
          <w:docGrid w:linePitch="312" w:charSpace="0"/>
        </w:sectPr>
      </w:pPr>
      <w:r>
        <w:rPr>
          <w:rFonts w:hint="eastAsia" w:ascii="微软雅黑" w:hAnsi="微软雅黑" w:eastAsia="微软雅黑" w:cs="微软雅黑"/>
          <w:color w:val="auto"/>
          <w:sz w:val="21"/>
          <w:szCs w:val="21"/>
          <w:highlight w:val="none"/>
        </w:rPr>
        <w:t xml:space="preserve">          日期： 年 月 日</w:t>
      </w:r>
    </w:p>
    <w:p w14:paraId="679EC230">
      <w:pPr>
        <w:snapToGrid w:val="0"/>
        <w:ind w:firstLine="420"/>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二、落实政府采购政策需满足的资格要求</w:t>
      </w:r>
    </w:p>
    <w:p w14:paraId="68417980">
      <w:pPr>
        <w:pStyle w:val="102"/>
        <w:widowControl/>
        <w:numPr>
          <w:ilvl w:val="0"/>
          <w:numId w:val="0"/>
        </w:numPr>
        <w:ind w:firstLine="424" w:firstLineChars="202"/>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落实政府采购政策需满足的资格要求为“无”即本项目或标项未预留份额专门面向中小企业的情况下，如非中企业可不提供。]</w:t>
      </w:r>
      <w:r>
        <w:rPr>
          <w:rFonts w:hint="eastAsia" w:ascii="微软雅黑" w:hAnsi="微软雅黑" w:eastAsia="微软雅黑" w:cs="微软雅黑"/>
          <w:color w:val="auto"/>
          <w:kern w:val="0"/>
          <w:sz w:val="21"/>
          <w:szCs w:val="21"/>
          <w:highlight w:val="none"/>
        </w:rPr>
        <w:t xml:space="preserve"> </w:t>
      </w:r>
    </w:p>
    <w:p w14:paraId="734E4DB6">
      <w:pPr>
        <w:snapToGrid w:val="0"/>
        <w:ind w:firstLine="420"/>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中小企业声明函</w:t>
      </w:r>
    </w:p>
    <w:p w14:paraId="7719F18F">
      <w:pPr>
        <w:ind w:firstLine="408"/>
        <w:rPr>
          <w:rFonts w:hint="eastAsia" w:ascii="微软雅黑" w:hAnsi="微软雅黑" w:eastAsia="微软雅黑" w:cs="微软雅黑"/>
          <w:color w:val="auto"/>
          <w:spacing w:val="-3"/>
          <w:sz w:val="21"/>
          <w:szCs w:val="21"/>
          <w:highlight w:val="none"/>
        </w:rPr>
      </w:pPr>
      <w:r>
        <w:rPr>
          <w:rFonts w:hint="eastAsia" w:ascii="微软雅黑" w:hAnsi="微软雅黑" w:eastAsia="微软雅黑" w:cs="微软雅黑"/>
          <w:color w:val="auto"/>
          <w:spacing w:val="-3"/>
          <w:sz w:val="21"/>
          <w:szCs w:val="21"/>
          <w:highlight w:val="none"/>
        </w:rPr>
        <w:t>本公司郑重声明，根据《政府采购促进中小企业发展管理办法》（财库﹝2020﹞46 号）的规定，本公司参加</w:t>
      </w:r>
      <w:r>
        <w:rPr>
          <w:rFonts w:hint="eastAsia" w:ascii="微软雅黑" w:hAnsi="微软雅黑" w:eastAsia="微软雅黑" w:cs="微软雅黑"/>
          <w:color w:val="auto"/>
          <w:spacing w:val="-3"/>
          <w:sz w:val="21"/>
          <w:szCs w:val="21"/>
          <w:highlight w:val="none"/>
          <w:u w:val="single"/>
        </w:rPr>
        <w:t xml:space="preserve">（单位名称） </w:t>
      </w:r>
      <w:r>
        <w:rPr>
          <w:rFonts w:hint="eastAsia" w:ascii="微软雅黑" w:hAnsi="微软雅黑" w:eastAsia="微软雅黑" w:cs="微软雅黑"/>
          <w:color w:val="auto"/>
          <w:spacing w:val="-3"/>
          <w:sz w:val="21"/>
          <w:szCs w:val="21"/>
          <w:highlight w:val="none"/>
        </w:rPr>
        <w:t xml:space="preserve"> 的 </w:t>
      </w:r>
      <w:r>
        <w:rPr>
          <w:rFonts w:hint="eastAsia" w:ascii="微软雅黑" w:hAnsi="微软雅黑" w:eastAsia="微软雅黑" w:cs="微软雅黑"/>
          <w:color w:val="auto"/>
          <w:spacing w:val="-3"/>
          <w:sz w:val="21"/>
          <w:szCs w:val="21"/>
          <w:highlight w:val="none"/>
          <w:u w:val="single"/>
        </w:rPr>
        <w:t xml:space="preserve">  （项目名称）</w:t>
      </w:r>
      <w:r>
        <w:rPr>
          <w:rFonts w:hint="eastAsia" w:ascii="微软雅黑" w:hAnsi="微软雅黑" w:eastAsia="微软雅黑" w:cs="微软雅黑"/>
          <w:color w:val="auto"/>
          <w:spacing w:val="-3"/>
          <w:sz w:val="21"/>
          <w:szCs w:val="21"/>
          <w:highlight w:val="none"/>
        </w:rPr>
        <w:t>采购活动，服务全部由符合政策要求的中小企业承接。相关企业</w:t>
      </w:r>
      <w:r>
        <w:rPr>
          <w:rFonts w:hint="eastAsia" w:ascii="微软雅黑" w:hAnsi="微软雅黑" w:eastAsia="微软雅黑" w:cs="微软雅黑"/>
          <w:color w:val="auto"/>
          <w:sz w:val="21"/>
          <w:szCs w:val="21"/>
          <w:highlight w:val="none"/>
        </w:rPr>
        <w:t>的具体情况如下：</w:t>
      </w:r>
    </w:p>
    <w:p w14:paraId="08C59661">
      <w:pPr>
        <w:ind w:firstLine="408"/>
        <w:rPr>
          <w:rFonts w:hint="eastAsia" w:ascii="微软雅黑" w:hAnsi="微软雅黑" w:eastAsia="微软雅黑" w:cs="微软雅黑"/>
          <w:color w:val="auto"/>
          <w:spacing w:val="-3"/>
          <w:sz w:val="21"/>
          <w:szCs w:val="21"/>
          <w:highlight w:val="none"/>
        </w:rPr>
      </w:pPr>
      <w:r>
        <w:rPr>
          <w:rFonts w:hint="eastAsia" w:ascii="微软雅黑" w:hAnsi="微软雅黑" w:eastAsia="微软雅黑" w:cs="微软雅黑"/>
          <w:color w:val="auto"/>
          <w:spacing w:val="-3"/>
          <w:sz w:val="21"/>
          <w:szCs w:val="21"/>
          <w:highlight w:val="none"/>
        </w:rPr>
        <w:t>1.</w:t>
      </w:r>
      <w:r>
        <w:rPr>
          <w:rFonts w:hint="eastAsia" w:ascii="微软雅黑" w:hAnsi="微软雅黑" w:eastAsia="微软雅黑" w:cs="微软雅黑"/>
          <w:color w:val="auto"/>
          <w:spacing w:val="-3"/>
          <w:sz w:val="21"/>
          <w:szCs w:val="21"/>
          <w:highlight w:val="none"/>
          <w:u w:val="single"/>
        </w:rPr>
        <w:t>（标的名称）</w:t>
      </w:r>
      <w:r>
        <w:rPr>
          <w:rFonts w:hint="eastAsia" w:ascii="微软雅黑" w:hAnsi="微软雅黑" w:eastAsia="微软雅黑" w:cs="微软雅黑"/>
          <w:color w:val="auto"/>
          <w:spacing w:val="-3"/>
          <w:sz w:val="21"/>
          <w:szCs w:val="21"/>
          <w:highlight w:val="none"/>
        </w:rPr>
        <w:t>，属于</w:t>
      </w:r>
      <w:r>
        <w:rPr>
          <w:rFonts w:hint="eastAsia" w:ascii="微软雅黑" w:hAnsi="微软雅黑" w:eastAsia="微软雅黑" w:cs="微软雅黑"/>
          <w:color w:val="auto"/>
          <w:spacing w:val="-3"/>
          <w:sz w:val="21"/>
          <w:szCs w:val="21"/>
          <w:highlight w:val="none"/>
          <w:u w:val="single"/>
        </w:rPr>
        <w:t>（磋商文件中明确所属行业）</w:t>
      </w:r>
      <w:r>
        <w:rPr>
          <w:rFonts w:hint="eastAsia" w:ascii="微软雅黑" w:hAnsi="微软雅黑" w:eastAsia="微软雅黑" w:cs="微软雅黑"/>
          <w:color w:val="auto"/>
          <w:spacing w:val="-3"/>
          <w:sz w:val="21"/>
          <w:szCs w:val="21"/>
          <w:highlight w:val="none"/>
        </w:rPr>
        <w:t>承接企业为</w:t>
      </w:r>
      <w:r>
        <w:rPr>
          <w:rFonts w:hint="eastAsia" w:ascii="微软雅黑" w:hAnsi="微软雅黑" w:eastAsia="微软雅黑" w:cs="微软雅黑"/>
          <w:color w:val="auto"/>
          <w:spacing w:val="-3"/>
          <w:sz w:val="21"/>
          <w:szCs w:val="21"/>
          <w:highlight w:val="none"/>
          <w:u w:val="single"/>
        </w:rPr>
        <w:t>（企业名称）</w:t>
      </w:r>
      <w:r>
        <w:rPr>
          <w:rFonts w:hint="eastAsia" w:ascii="微软雅黑" w:hAnsi="微软雅黑" w:eastAsia="微软雅黑" w:cs="微软雅黑"/>
          <w:color w:val="auto"/>
          <w:spacing w:val="-3"/>
          <w:sz w:val="21"/>
          <w:szCs w:val="21"/>
          <w:highlight w:val="none"/>
        </w:rPr>
        <w:t>从业人员</w:t>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u w:val="single"/>
        </w:rPr>
        <w:tab/>
      </w:r>
      <w:r>
        <w:rPr>
          <w:rFonts w:hint="eastAsia" w:ascii="微软雅黑" w:hAnsi="微软雅黑" w:eastAsia="微软雅黑" w:cs="微软雅黑"/>
          <w:color w:val="auto"/>
          <w:spacing w:val="-3"/>
          <w:sz w:val="21"/>
          <w:szCs w:val="21"/>
          <w:highlight w:val="none"/>
        </w:rPr>
        <w:t>人，营业收入为</w:t>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u w:val="single"/>
        </w:rPr>
        <w:tab/>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rPr>
        <w:t>万元，资产总额为</w:t>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rPr>
        <w:t>万元¹，属于</w:t>
      </w:r>
      <w:r>
        <w:rPr>
          <w:rFonts w:hint="eastAsia" w:ascii="微软雅黑" w:hAnsi="微软雅黑" w:eastAsia="微软雅黑" w:cs="微软雅黑"/>
          <w:color w:val="auto"/>
          <w:spacing w:val="-3"/>
          <w:sz w:val="21"/>
          <w:szCs w:val="21"/>
          <w:highlight w:val="none"/>
          <w:u w:val="single"/>
        </w:rPr>
        <w:t>（</w:t>
      </w:r>
      <w:r>
        <w:rPr>
          <w:rFonts w:hint="eastAsia" w:ascii="微软雅黑" w:hAnsi="微软雅黑" w:eastAsia="微软雅黑" w:cs="微软雅黑"/>
          <w:color w:val="auto"/>
          <w:sz w:val="21"/>
          <w:szCs w:val="21"/>
          <w:highlight w:val="none"/>
          <w:u w:val="single"/>
        </w:rPr>
        <w:sym w:font="Wingdings" w:char="00A8"/>
      </w:r>
      <w:r>
        <w:rPr>
          <w:rFonts w:hint="eastAsia" w:ascii="微软雅黑" w:hAnsi="微软雅黑" w:eastAsia="微软雅黑" w:cs="微软雅黑"/>
          <w:color w:val="auto"/>
          <w:sz w:val="21"/>
          <w:szCs w:val="21"/>
          <w:highlight w:val="none"/>
          <w:u w:val="single"/>
        </w:rPr>
        <w:t>中型企业、</w:t>
      </w:r>
      <w:r>
        <w:rPr>
          <w:rFonts w:hint="eastAsia" w:ascii="微软雅黑" w:hAnsi="微软雅黑" w:eastAsia="微软雅黑" w:cs="微软雅黑"/>
          <w:color w:val="auto"/>
          <w:sz w:val="21"/>
          <w:szCs w:val="21"/>
          <w:highlight w:val="none"/>
          <w:u w:val="single"/>
        </w:rPr>
        <w:sym w:font="Wingdings" w:char="00A8"/>
      </w:r>
      <w:r>
        <w:rPr>
          <w:rFonts w:hint="eastAsia" w:ascii="微软雅黑" w:hAnsi="微软雅黑" w:eastAsia="微软雅黑" w:cs="微软雅黑"/>
          <w:color w:val="auto"/>
          <w:sz w:val="21"/>
          <w:szCs w:val="21"/>
          <w:highlight w:val="none"/>
          <w:u w:val="single"/>
        </w:rPr>
        <w:t>小型企业、</w:t>
      </w:r>
      <w:r>
        <w:rPr>
          <w:rFonts w:hint="eastAsia" w:ascii="微软雅黑" w:hAnsi="微软雅黑" w:eastAsia="微软雅黑" w:cs="微软雅黑"/>
          <w:color w:val="auto"/>
          <w:sz w:val="21"/>
          <w:szCs w:val="21"/>
          <w:highlight w:val="none"/>
          <w:u w:val="single"/>
        </w:rPr>
        <w:sym w:font="Wingdings" w:char="00A8"/>
      </w:r>
      <w:r>
        <w:rPr>
          <w:rFonts w:hint="eastAsia" w:ascii="微软雅黑" w:hAnsi="微软雅黑" w:eastAsia="微软雅黑" w:cs="微软雅黑"/>
          <w:color w:val="auto"/>
          <w:sz w:val="21"/>
          <w:szCs w:val="21"/>
          <w:highlight w:val="none"/>
          <w:u w:val="single"/>
        </w:rPr>
        <w:t>微型企业</w:t>
      </w:r>
      <w:r>
        <w:rPr>
          <w:rFonts w:hint="eastAsia" w:ascii="微软雅黑" w:hAnsi="微软雅黑" w:eastAsia="微软雅黑" w:cs="微软雅黑"/>
          <w:color w:val="auto"/>
          <w:spacing w:val="-3"/>
          <w:sz w:val="21"/>
          <w:szCs w:val="21"/>
          <w:highlight w:val="none"/>
          <w:u w:val="single"/>
        </w:rPr>
        <w:t>）</w:t>
      </w:r>
      <w:r>
        <w:rPr>
          <w:rFonts w:hint="eastAsia" w:ascii="微软雅黑" w:hAnsi="微软雅黑" w:eastAsia="微软雅黑" w:cs="微软雅黑"/>
          <w:color w:val="auto"/>
          <w:spacing w:val="-3"/>
          <w:sz w:val="21"/>
          <w:szCs w:val="21"/>
          <w:highlight w:val="none"/>
        </w:rPr>
        <w:t>；</w:t>
      </w:r>
    </w:p>
    <w:p w14:paraId="5D890A9C">
      <w:pPr>
        <w:ind w:firstLine="408"/>
        <w:rPr>
          <w:rFonts w:hint="eastAsia" w:ascii="微软雅黑" w:hAnsi="微软雅黑" w:eastAsia="微软雅黑" w:cs="微软雅黑"/>
          <w:color w:val="auto"/>
          <w:spacing w:val="-3"/>
          <w:sz w:val="21"/>
          <w:szCs w:val="21"/>
          <w:highlight w:val="none"/>
        </w:rPr>
      </w:pPr>
      <w:r>
        <w:rPr>
          <w:rFonts w:hint="eastAsia" w:ascii="微软雅黑" w:hAnsi="微软雅黑" w:eastAsia="微软雅黑" w:cs="微软雅黑"/>
          <w:color w:val="auto"/>
          <w:spacing w:val="-3"/>
          <w:sz w:val="21"/>
          <w:szCs w:val="21"/>
          <w:highlight w:val="none"/>
          <w:lang w:val="en-US" w:eastAsia="zh-CN"/>
        </w:rPr>
        <w:t>2</w:t>
      </w:r>
      <w:r>
        <w:rPr>
          <w:rFonts w:hint="eastAsia" w:ascii="微软雅黑" w:hAnsi="微软雅黑" w:eastAsia="微软雅黑" w:cs="微软雅黑"/>
          <w:color w:val="auto"/>
          <w:spacing w:val="-3"/>
          <w:sz w:val="21"/>
          <w:szCs w:val="21"/>
          <w:highlight w:val="none"/>
        </w:rPr>
        <w:t>.</w:t>
      </w:r>
      <w:r>
        <w:rPr>
          <w:rFonts w:hint="eastAsia" w:ascii="微软雅黑" w:hAnsi="微软雅黑" w:eastAsia="微软雅黑" w:cs="微软雅黑"/>
          <w:color w:val="auto"/>
          <w:spacing w:val="-3"/>
          <w:sz w:val="21"/>
          <w:szCs w:val="21"/>
          <w:highlight w:val="none"/>
          <w:u w:val="single"/>
        </w:rPr>
        <w:t>（标的名称）</w:t>
      </w:r>
      <w:r>
        <w:rPr>
          <w:rFonts w:hint="eastAsia" w:ascii="微软雅黑" w:hAnsi="微软雅黑" w:eastAsia="微软雅黑" w:cs="微软雅黑"/>
          <w:color w:val="auto"/>
          <w:spacing w:val="-3"/>
          <w:sz w:val="21"/>
          <w:szCs w:val="21"/>
          <w:highlight w:val="none"/>
        </w:rPr>
        <w:t>，属于</w:t>
      </w:r>
      <w:r>
        <w:rPr>
          <w:rFonts w:hint="eastAsia" w:ascii="微软雅黑" w:hAnsi="微软雅黑" w:eastAsia="微软雅黑" w:cs="微软雅黑"/>
          <w:color w:val="auto"/>
          <w:spacing w:val="-3"/>
          <w:sz w:val="21"/>
          <w:szCs w:val="21"/>
          <w:highlight w:val="none"/>
          <w:u w:val="single"/>
        </w:rPr>
        <w:t>（磋商文件中明确所属行业）</w:t>
      </w:r>
      <w:r>
        <w:rPr>
          <w:rFonts w:hint="eastAsia" w:ascii="微软雅黑" w:hAnsi="微软雅黑" w:eastAsia="微软雅黑" w:cs="微软雅黑"/>
          <w:color w:val="auto"/>
          <w:spacing w:val="-3"/>
          <w:sz w:val="21"/>
          <w:szCs w:val="21"/>
          <w:highlight w:val="none"/>
        </w:rPr>
        <w:t>承接企业为</w:t>
      </w:r>
      <w:r>
        <w:rPr>
          <w:rFonts w:hint="eastAsia" w:ascii="微软雅黑" w:hAnsi="微软雅黑" w:eastAsia="微软雅黑" w:cs="微软雅黑"/>
          <w:color w:val="auto"/>
          <w:spacing w:val="-3"/>
          <w:sz w:val="21"/>
          <w:szCs w:val="21"/>
          <w:highlight w:val="none"/>
          <w:u w:val="single"/>
        </w:rPr>
        <w:t>（企业名称）</w:t>
      </w:r>
      <w:r>
        <w:rPr>
          <w:rFonts w:hint="eastAsia" w:ascii="微软雅黑" w:hAnsi="微软雅黑" w:eastAsia="微软雅黑" w:cs="微软雅黑"/>
          <w:color w:val="auto"/>
          <w:spacing w:val="-3"/>
          <w:sz w:val="21"/>
          <w:szCs w:val="21"/>
          <w:highlight w:val="none"/>
        </w:rPr>
        <w:t>从业人员</w:t>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u w:val="single"/>
        </w:rPr>
        <w:tab/>
      </w:r>
      <w:r>
        <w:rPr>
          <w:rFonts w:hint="eastAsia" w:ascii="微软雅黑" w:hAnsi="微软雅黑" w:eastAsia="微软雅黑" w:cs="微软雅黑"/>
          <w:color w:val="auto"/>
          <w:spacing w:val="-3"/>
          <w:sz w:val="21"/>
          <w:szCs w:val="21"/>
          <w:highlight w:val="none"/>
        </w:rPr>
        <w:t>人，营业收入为</w:t>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u w:val="single"/>
        </w:rPr>
        <w:tab/>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rPr>
        <w:t>万元，资产总额为</w:t>
      </w:r>
      <w:r>
        <w:rPr>
          <w:rFonts w:hint="eastAsia" w:ascii="微软雅黑" w:hAnsi="微软雅黑" w:eastAsia="微软雅黑" w:cs="微软雅黑"/>
          <w:color w:val="auto"/>
          <w:spacing w:val="-3"/>
          <w:sz w:val="21"/>
          <w:szCs w:val="21"/>
          <w:highlight w:val="none"/>
          <w:u w:val="single"/>
        </w:rPr>
        <w:t xml:space="preserve">       </w:t>
      </w:r>
      <w:r>
        <w:rPr>
          <w:rFonts w:hint="eastAsia" w:ascii="微软雅黑" w:hAnsi="微软雅黑" w:eastAsia="微软雅黑" w:cs="微软雅黑"/>
          <w:color w:val="auto"/>
          <w:spacing w:val="-3"/>
          <w:sz w:val="21"/>
          <w:szCs w:val="21"/>
          <w:highlight w:val="none"/>
        </w:rPr>
        <w:t>万元¹，属于</w:t>
      </w:r>
      <w:r>
        <w:rPr>
          <w:rFonts w:hint="eastAsia" w:ascii="微软雅黑" w:hAnsi="微软雅黑" w:eastAsia="微软雅黑" w:cs="微软雅黑"/>
          <w:color w:val="auto"/>
          <w:spacing w:val="-3"/>
          <w:sz w:val="21"/>
          <w:szCs w:val="21"/>
          <w:highlight w:val="none"/>
          <w:u w:val="single"/>
        </w:rPr>
        <w:t>（</w:t>
      </w:r>
      <w:r>
        <w:rPr>
          <w:rFonts w:hint="eastAsia" w:ascii="微软雅黑" w:hAnsi="微软雅黑" w:eastAsia="微软雅黑" w:cs="微软雅黑"/>
          <w:color w:val="auto"/>
          <w:sz w:val="21"/>
          <w:szCs w:val="21"/>
          <w:highlight w:val="none"/>
          <w:u w:val="single"/>
        </w:rPr>
        <w:sym w:font="Wingdings" w:char="00A8"/>
      </w:r>
      <w:r>
        <w:rPr>
          <w:rFonts w:hint="eastAsia" w:ascii="微软雅黑" w:hAnsi="微软雅黑" w:eastAsia="微软雅黑" w:cs="微软雅黑"/>
          <w:color w:val="auto"/>
          <w:sz w:val="21"/>
          <w:szCs w:val="21"/>
          <w:highlight w:val="none"/>
          <w:u w:val="single"/>
        </w:rPr>
        <w:t>中型企业、</w:t>
      </w:r>
      <w:r>
        <w:rPr>
          <w:rFonts w:hint="eastAsia" w:ascii="微软雅黑" w:hAnsi="微软雅黑" w:eastAsia="微软雅黑" w:cs="微软雅黑"/>
          <w:color w:val="auto"/>
          <w:sz w:val="21"/>
          <w:szCs w:val="21"/>
          <w:highlight w:val="none"/>
          <w:u w:val="single"/>
        </w:rPr>
        <w:sym w:font="Wingdings" w:char="00A8"/>
      </w:r>
      <w:r>
        <w:rPr>
          <w:rFonts w:hint="eastAsia" w:ascii="微软雅黑" w:hAnsi="微软雅黑" w:eastAsia="微软雅黑" w:cs="微软雅黑"/>
          <w:color w:val="auto"/>
          <w:sz w:val="21"/>
          <w:szCs w:val="21"/>
          <w:highlight w:val="none"/>
          <w:u w:val="single"/>
        </w:rPr>
        <w:t>小型企业、</w:t>
      </w:r>
      <w:r>
        <w:rPr>
          <w:rFonts w:hint="eastAsia" w:ascii="微软雅黑" w:hAnsi="微软雅黑" w:eastAsia="微软雅黑" w:cs="微软雅黑"/>
          <w:color w:val="auto"/>
          <w:sz w:val="21"/>
          <w:szCs w:val="21"/>
          <w:highlight w:val="none"/>
          <w:u w:val="single"/>
        </w:rPr>
        <w:sym w:font="Wingdings" w:char="00A8"/>
      </w:r>
      <w:r>
        <w:rPr>
          <w:rFonts w:hint="eastAsia" w:ascii="微软雅黑" w:hAnsi="微软雅黑" w:eastAsia="微软雅黑" w:cs="微软雅黑"/>
          <w:color w:val="auto"/>
          <w:sz w:val="21"/>
          <w:szCs w:val="21"/>
          <w:highlight w:val="none"/>
          <w:u w:val="single"/>
        </w:rPr>
        <w:t>微型企业</w:t>
      </w:r>
      <w:r>
        <w:rPr>
          <w:rFonts w:hint="eastAsia" w:ascii="微软雅黑" w:hAnsi="微软雅黑" w:eastAsia="微软雅黑" w:cs="微软雅黑"/>
          <w:color w:val="auto"/>
          <w:spacing w:val="-3"/>
          <w:sz w:val="21"/>
          <w:szCs w:val="21"/>
          <w:highlight w:val="none"/>
          <w:u w:val="single"/>
        </w:rPr>
        <w:t>）</w:t>
      </w:r>
      <w:r>
        <w:rPr>
          <w:rFonts w:hint="eastAsia" w:ascii="微软雅黑" w:hAnsi="微软雅黑" w:eastAsia="微软雅黑" w:cs="微软雅黑"/>
          <w:color w:val="auto"/>
          <w:spacing w:val="-3"/>
          <w:sz w:val="21"/>
          <w:szCs w:val="21"/>
          <w:highlight w:val="none"/>
        </w:rPr>
        <w:t>；</w:t>
      </w:r>
    </w:p>
    <w:p w14:paraId="7BFABB32">
      <w:pPr>
        <w:ind w:firstLine="408"/>
        <w:rPr>
          <w:rFonts w:hint="eastAsia" w:ascii="微软雅黑" w:hAnsi="微软雅黑" w:eastAsia="微软雅黑" w:cs="微软雅黑"/>
          <w:color w:val="auto"/>
          <w:spacing w:val="-3"/>
          <w:sz w:val="21"/>
          <w:szCs w:val="21"/>
          <w:highlight w:val="none"/>
        </w:rPr>
      </w:pPr>
    </w:p>
    <w:p w14:paraId="1445643D">
      <w:pPr>
        <w:ind w:firstLine="408"/>
        <w:rPr>
          <w:rFonts w:hint="eastAsia" w:ascii="微软雅黑" w:hAnsi="微软雅黑" w:eastAsia="微软雅黑" w:cs="微软雅黑"/>
          <w:color w:val="auto"/>
          <w:spacing w:val="-3"/>
          <w:sz w:val="21"/>
          <w:szCs w:val="21"/>
          <w:highlight w:val="none"/>
        </w:rPr>
      </w:pPr>
      <w:r>
        <w:rPr>
          <w:rFonts w:hint="eastAsia" w:ascii="微软雅黑" w:hAnsi="微软雅黑" w:eastAsia="微软雅黑" w:cs="微软雅黑"/>
          <w:color w:val="auto"/>
          <w:spacing w:val="-3"/>
          <w:sz w:val="21"/>
          <w:szCs w:val="21"/>
          <w:highlight w:val="none"/>
        </w:rPr>
        <w:t>……</w:t>
      </w:r>
    </w:p>
    <w:p w14:paraId="36A584BB">
      <w:pPr>
        <w:ind w:firstLine="408"/>
        <w:rPr>
          <w:rFonts w:hint="eastAsia" w:ascii="微软雅黑" w:hAnsi="微软雅黑" w:eastAsia="微软雅黑" w:cs="微软雅黑"/>
          <w:color w:val="auto"/>
          <w:spacing w:val="-3"/>
          <w:sz w:val="21"/>
          <w:szCs w:val="21"/>
          <w:highlight w:val="none"/>
        </w:rPr>
      </w:pPr>
      <w:r>
        <w:rPr>
          <w:rFonts w:hint="eastAsia" w:ascii="微软雅黑" w:hAnsi="微软雅黑" w:eastAsia="微软雅黑" w:cs="微软雅黑"/>
          <w:color w:val="auto"/>
          <w:spacing w:val="-3"/>
          <w:sz w:val="21"/>
          <w:szCs w:val="21"/>
          <w:highlight w:val="none"/>
        </w:rPr>
        <w:t>以上企业，不属于大企业的分支机构，不存在控股股东为大企业的情形，也不存在与大企业的负责人为同一人的情形。</w:t>
      </w:r>
    </w:p>
    <w:p w14:paraId="4BA50A96">
      <w:pPr>
        <w:ind w:firstLine="408"/>
        <w:rPr>
          <w:rFonts w:hint="eastAsia" w:ascii="微软雅黑" w:hAnsi="微软雅黑" w:eastAsia="微软雅黑" w:cs="微软雅黑"/>
          <w:color w:val="auto"/>
          <w:spacing w:val="-3"/>
          <w:sz w:val="21"/>
          <w:szCs w:val="21"/>
          <w:highlight w:val="none"/>
        </w:rPr>
      </w:pPr>
      <w:r>
        <w:rPr>
          <w:rFonts w:hint="eastAsia" w:ascii="微软雅黑" w:hAnsi="微软雅黑" w:eastAsia="微软雅黑" w:cs="微软雅黑"/>
          <w:color w:val="auto"/>
          <w:spacing w:val="-3"/>
          <w:sz w:val="21"/>
          <w:szCs w:val="21"/>
          <w:highlight w:val="none"/>
        </w:rPr>
        <w:t>本企业对上述声明内容的真实性负责。如有虚假，将依法承担相应责任。</w:t>
      </w:r>
    </w:p>
    <w:p w14:paraId="1EF13DDA">
      <w:pPr>
        <w:ind w:firstLine="408"/>
        <w:rPr>
          <w:rFonts w:hint="eastAsia" w:ascii="微软雅黑" w:hAnsi="微软雅黑" w:eastAsia="微软雅黑" w:cs="微软雅黑"/>
          <w:color w:val="auto"/>
          <w:spacing w:val="-3"/>
          <w:sz w:val="21"/>
          <w:szCs w:val="21"/>
          <w:highlight w:val="none"/>
        </w:rPr>
      </w:pPr>
    </w:p>
    <w:p w14:paraId="04783573">
      <w:pPr>
        <w:wordWrap w:val="0"/>
        <w:snapToGrid w:val="0"/>
        <w:ind w:firstLine="408"/>
        <w:jc w:val="righ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3"/>
          <w:sz w:val="21"/>
          <w:szCs w:val="21"/>
          <w:highlight w:val="none"/>
        </w:rPr>
        <w:t xml:space="preserve">              </w:t>
      </w:r>
      <w:r>
        <w:rPr>
          <w:rFonts w:hint="eastAsia" w:ascii="微软雅黑" w:hAnsi="微软雅黑" w:eastAsia="微软雅黑" w:cs="微软雅黑"/>
          <w:color w:val="auto"/>
          <w:sz w:val="21"/>
          <w:szCs w:val="21"/>
          <w:highlight w:val="none"/>
        </w:rPr>
        <w:t xml:space="preserve">法定代表人或被授权人签字（或盖章）：    </w:t>
      </w:r>
    </w:p>
    <w:p w14:paraId="3318D7A3">
      <w:pPr>
        <w:snapToGrid w:val="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投标供应商（公章）：      　　　　　　　　　　　　　</w:t>
      </w:r>
    </w:p>
    <w:p w14:paraId="687B97EB">
      <w:pPr>
        <w:ind w:firstLine="420"/>
        <w:jc w:val="center"/>
        <w:rPr>
          <w:rFonts w:hint="eastAsia" w:ascii="微软雅黑" w:hAnsi="微软雅黑" w:eastAsia="微软雅黑" w:cs="微软雅黑"/>
          <w:color w:val="auto"/>
          <w:spacing w:val="-3"/>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0E316E4F">
      <w:pPr>
        <w:ind w:firstLine="408"/>
        <w:rPr>
          <w:rFonts w:hint="eastAsia" w:ascii="微软雅黑" w:hAnsi="微软雅黑" w:eastAsia="微软雅黑" w:cs="微软雅黑"/>
          <w:color w:val="auto"/>
          <w:spacing w:val="-3"/>
          <w:sz w:val="21"/>
          <w:szCs w:val="21"/>
          <w:highlight w:val="none"/>
        </w:rPr>
      </w:pPr>
    </w:p>
    <w:p w14:paraId="7785DD51">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w:t>
      </w:r>
    </w:p>
    <w:p w14:paraId="4E601DE9">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填写要求：①“标的名称”、“采购文件中明确的所属行业”依据磋商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6DD2B7B3">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F7C4F5">
      <w:pPr>
        <w:snapToGrid w:val="0"/>
        <w:ind w:firstLine="420"/>
        <w:rPr>
          <w:rFonts w:hint="eastAsia" w:ascii="微软雅黑" w:hAnsi="微软雅黑" w:eastAsia="微软雅黑" w:cs="微软雅黑"/>
          <w:b/>
          <w:bCs/>
          <w:color w:val="auto"/>
          <w:sz w:val="21"/>
          <w:szCs w:val="21"/>
          <w:highlight w:val="none"/>
        </w:rPr>
        <w:sectPr>
          <w:pgSz w:w="11906" w:h="16838"/>
          <w:pgMar w:top="1276" w:right="1418" w:bottom="1247" w:left="1418" w:header="851" w:footer="992" w:gutter="0"/>
          <w:cols w:space="720" w:num="1"/>
          <w:titlePg/>
          <w:docGrid w:linePitch="312" w:charSpace="0"/>
        </w:sectPr>
      </w:pPr>
      <w:r>
        <w:rPr>
          <w:rFonts w:hint="eastAsia" w:ascii="微软雅黑" w:hAnsi="微软雅黑" w:eastAsia="微软雅黑" w:cs="微软雅黑"/>
          <w:b/>
          <w:bCs/>
          <w:color w:val="auto"/>
          <w:sz w:val="21"/>
          <w:szCs w:val="21"/>
          <w:highlight w:val="none"/>
        </w:rPr>
        <w:t>3.根据实际情况，在（</w:t>
      </w:r>
      <w:r>
        <w:rPr>
          <w:rFonts w:hint="eastAsia" w:ascii="微软雅黑" w:hAnsi="微软雅黑" w:eastAsia="微软雅黑" w:cs="微软雅黑"/>
          <w:b/>
          <w:bCs/>
          <w:color w:val="auto"/>
          <w:sz w:val="21"/>
          <w:szCs w:val="21"/>
          <w:highlight w:val="none"/>
        </w:rPr>
        <w:sym w:font="Wingdings" w:char="00A8"/>
      </w:r>
      <w:r>
        <w:rPr>
          <w:rFonts w:hint="eastAsia" w:ascii="微软雅黑" w:hAnsi="微软雅黑" w:eastAsia="微软雅黑" w:cs="微软雅黑"/>
          <w:b/>
          <w:bCs/>
          <w:color w:val="auto"/>
          <w:sz w:val="21"/>
          <w:szCs w:val="21"/>
          <w:highlight w:val="none"/>
        </w:rPr>
        <w:t>中型企业、</w:t>
      </w:r>
      <w:r>
        <w:rPr>
          <w:rFonts w:hint="eastAsia" w:ascii="微软雅黑" w:hAnsi="微软雅黑" w:eastAsia="微软雅黑" w:cs="微软雅黑"/>
          <w:b/>
          <w:bCs/>
          <w:color w:val="auto"/>
          <w:sz w:val="21"/>
          <w:szCs w:val="21"/>
          <w:highlight w:val="none"/>
        </w:rPr>
        <w:sym w:font="Wingdings" w:char="00A8"/>
      </w:r>
      <w:r>
        <w:rPr>
          <w:rFonts w:hint="eastAsia" w:ascii="微软雅黑" w:hAnsi="微软雅黑" w:eastAsia="微软雅黑" w:cs="微软雅黑"/>
          <w:b/>
          <w:bCs/>
          <w:color w:val="auto"/>
          <w:sz w:val="21"/>
          <w:szCs w:val="21"/>
          <w:highlight w:val="none"/>
        </w:rPr>
        <w:t>小型企业、</w:t>
      </w:r>
      <w:r>
        <w:rPr>
          <w:rFonts w:hint="eastAsia" w:ascii="微软雅黑" w:hAnsi="微软雅黑" w:eastAsia="微软雅黑" w:cs="微软雅黑"/>
          <w:b/>
          <w:bCs/>
          <w:color w:val="auto"/>
          <w:sz w:val="21"/>
          <w:szCs w:val="21"/>
          <w:highlight w:val="none"/>
        </w:rPr>
        <w:sym w:font="Wingdings" w:char="00A8"/>
      </w:r>
      <w:r>
        <w:rPr>
          <w:rFonts w:hint="eastAsia" w:ascii="微软雅黑" w:hAnsi="微软雅黑" w:eastAsia="微软雅黑" w:cs="微软雅黑"/>
          <w:b/>
          <w:bCs/>
          <w:color w:val="auto"/>
          <w:sz w:val="21"/>
          <w:szCs w:val="21"/>
          <w:highlight w:val="none"/>
        </w:rPr>
        <w:t>微型企业）处进行勾选。</w:t>
      </w:r>
    </w:p>
    <w:p w14:paraId="24F417B9">
      <w:pPr>
        <w:pStyle w:val="292"/>
        <w:keepNext w:val="0"/>
        <w:tabs>
          <w:tab w:val="clear" w:pos="720"/>
        </w:tabs>
        <w:snapToGrid w:val="0"/>
        <w:spacing w:before="120" w:after="120"/>
        <w:ind w:firstLine="640"/>
        <w:outlineLvl w:val="9"/>
        <w:rPr>
          <w:rFonts w:hint="eastAsia" w:ascii="微软雅黑" w:hAnsi="微软雅黑" w:eastAsia="微软雅黑" w:cs="微软雅黑"/>
          <w:color w:val="auto"/>
          <w:kern w:val="2"/>
          <w:sz w:val="21"/>
          <w:szCs w:val="21"/>
          <w:highlight w:val="none"/>
        </w:rPr>
      </w:pPr>
      <w:bookmarkStart w:id="273" w:name="_Toc18728"/>
      <w:r>
        <w:rPr>
          <w:rFonts w:hint="eastAsia" w:ascii="微软雅黑" w:hAnsi="微软雅黑" w:eastAsia="微软雅黑" w:cs="微软雅黑"/>
          <w:color w:val="auto"/>
          <w:kern w:val="2"/>
          <w:sz w:val="21"/>
          <w:szCs w:val="21"/>
          <w:highlight w:val="none"/>
        </w:rPr>
        <w:t>残疾人福利性单位声明函</w:t>
      </w:r>
      <w:bookmarkEnd w:id="273"/>
    </w:p>
    <w:p w14:paraId="0205F134">
      <w:pPr>
        <w:widowControl/>
        <w:ind w:firstLine="420"/>
        <w:textAlignment w:val="top"/>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F3C04A">
      <w:pPr>
        <w:widowControl/>
        <w:ind w:firstLine="420"/>
        <w:textAlignment w:val="top"/>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本单位对上述声明的真实性负责。如有虚假，将依法承担相应责任。</w:t>
      </w:r>
    </w:p>
    <w:p w14:paraId="11B78FAE">
      <w:pPr>
        <w:snapToGrid w:val="0"/>
        <w:spacing w:before="120" w:beforeLines="50"/>
        <w:ind w:firstLine="420"/>
        <w:jc w:val="center"/>
        <w:rPr>
          <w:rFonts w:hint="eastAsia" w:ascii="微软雅黑" w:hAnsi="微软雅黑" w:eastAsia="微软雅黑" w:cs="微软雅黑"/>
          <w:color w:val="auto"/>
          <w:kern w:val="0"/>
          <w:sz w:val="21"/>
          <w:szCs w:val="21"/>
          <w:highlight w:val="none"/>
        </w:rPr>
      </w:pPr>
    </w:p>
    <w:p w14:paraId="76E512C9">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7888725A">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06C98FCC">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33955718">
      <w:pPr>
        <w:widowControl/>
        <w:ind w:right="480" w:firstLine="6825" w:firstLineChars="3250"/>
        <w:textAlignment w:val="top"/>
        <w:rPr>
          <w:rFonts w:hint="eastAsia" w:ascii="微软雅黑" w:hAnsi="微软雅黑" w:eastAsia="微软雅黑" w:cs="微软雅黑"/>
          <w:color w:val="auto"/>
          <w:kern w:val="0"/>
          <w:sz w:val="21"/>
          <w:szCs w:val="21"/>
          <w:highlight w:val="none"/>
        </w:rPr>
      </w:pPr>
    </w:p>
    <w:p w14:paraId="3D5D1023">
      <w:pPr>
        <w:pStyle w:val="18"/>
        <w:ind w:firstLine="420"/>
        <w:rPr>
          <w:rFonts w:hint="eastAsia" w:ascii="微软雅黑" w:hAnsi="微软雅黑" w:eastAsia="微软雅黑" w:cs="微软雅黑"/>
          <w:color w:val="auto"/>
          <w:sz w:val="21"/>
          <w:szCs w:val="21"/>
          <w:highlight w:val="none"/>
        </w:rPr>
      </w:pPr>
    </w:p>
    <w:p w14:paraId="013E481F">
      <w:pPr>
        <w:pStyle w:val="18"/>
        <w:ind w:firstLine="420"/>
        <w:rPr>
          <w:rFonts w:hint="eastAsia" w:ascii="微软雅黑" w:hAnsi="微软雅黑" w:eastAsia="微软雅黑" w:cs="微软雅黑"/>
          <w:color w:val="auto"/>
          <w:sz w:val="21"/>
          <w:szCs w:val="21"/>
          <w:highlight w:val="none"/>
        </w:rPr>
      </w:pPr>
    </w:p>
    <w:p w14:paraId="08B89B30">
      <w:pPr>
        <w:pStyle w:val="19"/>
        <w:ind w:firstLine="480"/>
        <w:rPr>
          <w:rFonts w:hint="eastAsia" w:ascii="微软雅黑" w:hAnsi="微软雅黑" w:eastAsia="微软雅黑" w:cs="微软雅黑"/>
          <w:color w:val="auto"/>
          <w:sz w:val="21"/>
          <w:szCs w:val="21"/>
          <w:highlight w:val="none"/>
        </w:rPr>
      </w:pPr>
    </w:p>
    <w:p w14:paraId="6305C414">
      <w:pPr>
        <w:pStyle w:val="19"/>
        <w:ind w:firstLine="480"/>
        <w:rPr>
          <w:rFonts w:hint="eastAsia" w:ascii="微软雅黑" w:hAnsi="微软雅黑" w:eastAsia="微软雅黑" w:cs="微软雅黑"/>
          <w:color w:val="auto"/>
          <w:sz w:val="21"/>
          <w:szCs w:val="21"/>
          <w:highlight w:val="none"/>
        </w:rPr>
      </w:pPr>
    </w:p>
    <w:p w14:paraId="21985E2B">
      <w:pPr>
        <w:pStyle w:val="19"/>
        <w:ind w:firstLine="480"/>
        <w:rPr>
          <w:rFonts w:hint="eastAsia" w:ascii="微软雅黑" w:hAnsi="微软雅黑" w:eastAsia="微软雅黑" w:cs="微软雅黑"/>
          <w:color w:val="auto"/>
          <w:sz w:val="21"/>
          <w:szCs w:val="21"/>
          <w:highlight w:val="none"/>
        </w:rPr>
      </w:pPr>
    </w:p>
    <w:p w14:paraId="4AD7F09B">
      <w:pPr>
        <w:pStyle w:val="19"/>
        <w:ind w:firstLine="480"/>
        <w:rPr>
          <w:rFonts w:hint="eastAsia" w:ascii="微软雅黑" w:hAnsi="微软雅黑" w:eastAsia="微软雅黑" w:cs="微软雅黑"/>
          <w:color w:val="auto"/>
          <w:sz w:val="21"/>
          <w:szCs w:val="21"/>
          <w:highlight w:val="none"/>
        </w:rPr>
      </w:pPr>
    </w:p>
    <w:p w14:paraId="0CF65173">
      <w:pPr>
        <w:pStyle w:val="18"/>
        <w:ind w:firstLine="420"/>
        <w:rPr>
          <w:rFonts w:hint="eastAsia" w:ascii="微软雅黑" w:hAnsi="微软雅黑" w:eastAsia="微软雅黑" w:cs="微软雅黑"/>
          <w:color w:val="auto"/>
          <w:sz w:val="21"/>
          <w:szCs w:val="21"/>
          <w:highlight w:val="none"/>
        </w:rPr>
      </w:pPr>
    </w:p>
    <w:p w14:paraId="1EC3C1D9">
      <w:pPr>
        <w:pStyle w:val="19"/>
        <w:ind w:firstLine="480"/>
        <w:rPr>
          <w:rFonts w:hint="eastAsia" w:ascii="微软雅黑" w:hAnsi="微软雅黑" w:eastAsia="微软雅黑" w:cs="微软雅黑"/>
          <w:color w:val="auto"/>
          <w:sz w:val="21"/>
          <w:szCs w:val="21"/>
          <w:highlight w:val="none"/>
        </w:rPr>
      </w:pPr>
    </w:p>
    <w:p w14:paraId="712E7BE0">
      <w:pPr>
        <w:widowControl/>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p>
    <w:p w14:paraId="693318D8">
      <w:pPr>
        <w:ind w:firstLine="4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监狱企业证明文件</w:t>
      </w:r>
    </w:p>
    <w:p w14:paraId="2F54921F">
      <w:pPr>
        <w:ind w:firstLine="420"/>
        <w:jc w:val="center"/>
        <w:rPr>
          <w:rFonts w:hint="eastAsia" w:ascii="微软雅黑" w:hAnsi="微软雅黑" w:eastAsia="微软雅黑" w:cs="微软雅黑"/>
          <w:b/>
          <w:color w:val="auto"/>
          <w:sz w:val="21"/>
          <w:szCs w:val="21"/>
          <w:highlight w:val="none"/>
        </w:rPr>
      </w:pPr>
      <w:bookmarkStart w:id="274" w:name="_Toc12078"/>
      <w:bookmarkStart w:id="275" w:name="_Toc164943234"/>
      <w:r>
        <w:rPr>
          <w:rFonts w:hint="eastAsia" w:ascii="微软雅黑" w:hAnsi="微软雅黑" w:eastAsia="微软雅黑" w:cs="微软雅黑"/>
          <w:b/>
          <w:color w:val="auto"/>
          <w:sz w:val="21"/>
          <w:szCs w:val="21"/>
          <w:highlight w:val="none"/>
        </w:rPr>
        <w:t>监狱企业证明文件</w:t>
      </w:r>
      <w:bookmarkEnd w:id="274"/>
      <w:bookmarkEnd w:id="275"/>
    </w:p>
    <w:tbl>
      <w:tblPr>
        <w:tblStyle w:val="52"/>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59CA707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1A9A6D8D">
            <w:pPr>
              <w:ind w:firstLine="42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相关部门出具的监狱企业证明文件</w:t>
            </w:r>
          </w:p>
          <w:p w14:paraId="7CB7E187">
            <w:pPr>
              <w:ind w:firstLine="420"/>
              <w:jc w:val="center"/>
              <w:rPr>
                <w:rFonts w:hint="eastAsia" w:ascii="微软雅黑" w:hAnsi="微软雅黑" w:eastAsia="微软雅黑" w:cs="微软雅黑"/>
                <w:b/>
                <w:i/>
                <w:color w:val="auto"/>
                <w:kern w:val="0"/>
                <w:sz w:val="21"/>
                <w:szCs w:val="21"/>
                <w:highlight w:val="none"/>
              </w:rPr>
            </w:pPr>
            <w:r>
              <w:rPr>
                <w:rFonts w:hint="eastAsia" w:ascii="微软雅黑" w:hAnsi="微软雅黑" w:eastAsia="微软雅黑" w:cs="微软雅黑"/>
                <w:color w:val="auto"/>
                <w:sz w:val="21"/>
                <w:szCs w:val="21"/>
                <w:highlight w:val="none"/>
              </w:rPr>
              <w:t>（如是，提供</w:t>
            </w:r>
            <w:r>
              <w:rPr>
                <w:rFonts w:hint="eastAsia" w:ascii="微软雅黑" w:hAnsi="微软雅黑" w:eastAsia="微软雅黑" w:cs="微软雅黑"/>
                <w:color w:val="auto"/>
                <w:kern w:val="0"/>
                <w:sz w:val="21"/>
                <w:szCs w:val="21"/>
                <w:highlight w:val="none"/>
              </w:rPr>
              <w:t>复印件加盖投标供应商公章）</w:t>
            </w:r>
          </w:p>
        </w:tc>
      </w:tr>
    </w:tbl>
    <w:p w14:paraId="76298C89">
      <w:pPr>
        <w:ind w:firstLine="420"/>
        <w:rPr>
          <w:rFonts w:hint="eastAsia" w:ascii="微软雅黑" w:hAnsi="微软雅黑" w:eastAsia="微软雅黑" w:cs="微软雅黑"/>
          <w:i/>
          <w:color w:val="auto"/>
          <w:sz w:val="21"/>
          <w:szCs w:val="21"/>
          <w:highlight w:val="none"/>
        </w:rPr>
      </w:pPr>
    </w:p>
    <w:p w14:paraId="55F30CC0">
      <w:pPr>
        <w:snapToGrid w:val="0"/>
        <w:ind w:firstLine="0" w:firstLineChars="0"/>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投标人名称：（盖章）</w:t>
      </w:r>
    </w:p>
    <w:p w14:paraId="7D87AAA3">
      <w:pPr>
        <w:snapToGrid w:val="0"/>
        <w:ind w:firstLine="0" w:firstLineChars="0"/>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法定代表人或授权代表（签字）：</w:t>
      </w:r>
    </w:p>
    <w:p w14:paraId="5BB3518E">
      <w:pPr>
        <w:snapToGrid w:val="0"/>
        <w:ind w:firstLine="0" w:firstLineChars="0"/>
        <w:rPr>
          <w:rFonts w:hint="eastAsia" w:ascii="微软雅黑" w:hAnsi="微软雅黑" w:eastAsia="微软雅黑" w:cs="微软雅黑"/>
          <w:color w:val="auto"/>
          <w:sz w:val="21"/>
          <w:szCs w:val="21"/>
          <w:highlight w:val="none"/>
          <w:shd w:val="clear" w:color="auto" w:fill="FFFFFF"/>
        </w:rPr>
        <w:sectPr>
          <w:pgSz w:w="11906" w:h="16838"/>
          <w:pgMar w:top="1276" w:right="1418" w:bottom="1247" w:left="1418" w:header="851" w:footer="992" w:gutter="0"/>
          <w:cols w:space="720" w:num="1"/>
          <w:titlePg/>
          <w:docGrid w:linePitch="312" w:charSpace="0"/>
        </w:sectPr>
      </w:pPr>
      <w:r>
        <w:rPr>
          <w:rFonts w:hint="eastAsia" w:ascii="微软雅黑" w:hAnsi="微软雅黑" w:eastAsia="微软雅黑" w:cs="微软雅黑"/>
          <w:color w:val="auto"/>
          <w:sz w:val="21"/>
          <w:szCs w:val="21"/>
          <w:highlight w:val="none"/>
          <w:shd w:val="clear" w:color="auto" w:fill="FFFFFF"/>
        </w:rPr>
        <w:t>投标日期： 年 月 日</w:t>
      </w:r>
    </w:p>
    <w:p w14:paraId="7C6A6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lang w:val="en-US" w:eastAsia="zh-CN"/>
        </w:rPr>
        <w:t>三、</w:t>
      </w:r>
      <w:r>
        <w:rPr>
          <w:rFonts w:hint="eastAsia" w:ascii="微软雅黑" w:hAnsi="微软雅黑" w:eastAsia="微软雅黑" w:cs="微软雅黑"/>
          <w:b/>
          <w:bCs/>
          <w:color w:val="auto"/>
          <w:kern w:val="0"/>
          <w:sz w:val="21"/>
          <w:szCs w:val="21"/>
          <w:highlight w:val="none"/>
        </w:rPr>
        <w:t>投标人营业执照副本复印件</w:t>
      </w:r>
    </w:p>
    <w:p w14:paraId="5E8C67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微软雅黑" w:hAnsi="微软雅黑" w:eastAsia="微软雅黑" w:cs="微软雅黑"/>
          <w:b/>
          <w:bCs/>
          <w:color w:val="auto"/>
          <w:kern w:val="0"/>
          <w:sz w:val="21"/>
          <w:szCs w:val="21"/>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0283C6">
      <w:pPr>
        <w:pStyle w:val="5"/>
        <w:rPr>
          <w:rFonts w:hint="eastAsia" w:ascii="微软雅黑" w:hAnsi="微软雅黑" w:eastAsia="微软雅黑" w:cs="微软雅黑"/>
          <w:color w:val="auto"/>
          <w:sz w:val="21"/>
          <w:szCs w:val="21"/>
          <w:highlight w:val="none"/>
        </w:rPr>
      </w:pPr>
    </w:p>
    <w:p w14:paraId="162F990D">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商务技术文件部分</w:t>
      </w:r>
    </w:p>
    <w:p w14:paraId="448BCD41">
      <w:pPr>
        <w:ind w:firstLine="420"/>
        <w:jc w:val="center"/>
        <w:rPr>
          <w:rFonts w:hint="eastAsia" w:ascii="微软雅黑" w:hAnsi="微软雅黑" w:eastAsia="微软雅黑" w:cs="微软雅黑"/>
          <w:b/>
          <w:color w:val="auto"/>
          <w:kern w:val="0"/>
          <w:sz w:val="21"/>
          <w:szCs w:val="21"/>
          <w:highlight w:val="none"/>
        </w:rPr>
      </w:pPr>
      <w:bookmarkStart w:id="276" w:name="_Toc164943225"/>
      <w:r>
        <w:rPr>
          <w:rFonts w:hint="eastAsia" w:ascii="微软雅黑" w:hAnsi="微软雅黑" w:eastAsia="微软雅黑" w:cs="微软雅黑"/>
          <w:b/>
          <w:color w:val="auto"/>
          <w:kern w:val="0"/>
          <w:sz w:val="21"/>
          <w:szCs w:val="21"/>
          <w:highlight w:val="none"/>
        </w:rPr>
        <w:t>目录</w:t>
      </w:r>
      <w:bookmarkEnd w:id="276"/>
    </w:p>
    <w:p w14:paraId="1518BB70">
      <w:pPr>
        <w:numPr>
          <w:ilvl w:val="0"/>
          <w:numId w:val="34"/>
        </w:numPr>
        <w:ind w:firstLineChars="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投标函……………………………………………………………………（页码）</w:t>
      </w:r>
    </w:p>
    <w:p w14:paraId="194499A4">
      <w:pPr>
        <w:numPr>
          <w:ilvl w:val="0"/>
          <w:numId w:val="34"/>
        </w:numPr>
        <w:ind w:firstLineChars="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法定代表人授权委托书…………………………………………………（页码）</w:t>
      </w:r>
    </w:p>
    <w:p w14:paraId="1534EB45">
      <w:pPr>
        <w:ind w:firstLine="42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（3）政府采购活动现场确认声明书…………………………………………（页码）</w:t>
      </w:r>
    </w:p>
    <w:p w14:paraId="07C3FEE7">
      <w:pPr>
        <w:ind w:firstLine="42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（4）符合性审查资料…………………………………………………………（页码）</w:t>
      </w:r>
    </w:p>
    <w:p w14:paraId="163A59AD">
      <w:pPr>
        <w:ind w:firstLine="42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（5）评分对应表………………………………………………………………（页码）</w:t>
      </w:r>
    </w:p>
    <w:p w14:paraId="6716353B">
      <w:pPr>
        <w:ind w:firstLine="42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（6）商务响应表………………………………………………………………（页码）</w:t>
      </w:r>
    </w:p>
    <w:p w14:paraId="5047C188">
      <w:pPr>
        <w:ind w:firstLine="420"/>
        <w:jc w:val="both"/>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lang w:val="zh-CN"/>
        </w:rPr>
        <w:t>）评标标准相应的商务技术资料</w:t>
      </w:r>
      <w:r>
        <w:rPr>
          <w:rFonts w:hint="eastAsia" w:ascii="微软雅黑" w:hAnsi="微软雅黑" w:eastAsia="微软雅黑" w:cs="微软雅黑"/>
          <w:color w:val="auto"/>
          <w:sz w:val="21"/>
          <w:szCs w:val="21"/>
          <w:highlight w:val="none"/>
        </w:rPr>
        <w:t>…………………………………………（页码）</w:t>
      </w:r>
    </w:p>
    <w:p w14:paraId="45256971">
      <w:pPr>
        <w:snapToGrid w:val="0"/>
        <w:ind w:firstLine="420"/>
        <w:jc w:val="center"/>
        <w:rPr>
          <w:rFonts w:hint="eastAsia" w:ascii="微软雅黑" w:hAnsi="微软雅黑" w:eastAsia="微软雅黑" w:cs="微软雅黑"/>
          <w:b/>
          <w:color w:val="auto"/>
          <w:kern w:val="0"/>
          <w:sz w:val="21"/>
          <w:szCs w:val="21"/>
          <w:highlight w:val="none"/>
        </w:rPr>
        <w:sectPr>
          <w:pgSz w:w="11906" w:h="16838"/>
          <w:pgMar w:top="1276" w:right="1418" w:bottom="1247" w:left="1418" w:header="851" w:footer="992" w:gutter="0"/>
          <w:cols w:space="720" w:num="1"/>
          <w:titlePg/>
          <w:docGrid w:linePitch="312" w:charSpace="0"/>
        </w:sectPr>
      </w:pPr>
    </w:p>
    <w:p w14:paraId="52DFF7CE">
      <w:pPr>
        <w:snapToGrid w:val="0"/>
        <w:spacing w:before="120" w:beforeLines="50" w:after="50"/>
        <w:ind w:firstLine="42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一、投标函</w:t>
      </w:r>
    </w:p>
    <w:p w14:paraId="0CED6CF0">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（采购人）、（采购代理机构）</w:t>
      </w:r>
      <w:r>
        <w:rPr>
          <w:rFonts w:hint="eastAsia" w:ascii="微软雅黑" w:hAnsi="微软雅黑" w:eastAsia="微软雅黑" w:cs="微软雅黑"/>
          <w:color w:val="auto"/>
          <w:sz w:val="21"/>
          <w:szCs w:val="21"/>
          <w:highlight w:val="none"/>
        </w:rPr>
        <w:t>：</w:t>
      </w:r>
    </w:p>
    <w:p w14:paraId="46CC884E">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我方参加你方组织的（项目名称）【项目编号】招标的有关活动，并对此项目进行投标。为此：</w:t>
      </w:r>
    </w:p>
    <w:p w14:paraId="6D07423A">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1、我方承诺投标有效期从提交响应文件的截止之日起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天（不少于90天），本响应文件在投标有效期满之前均具有约束力。</w:t>
      </w:r>
    </w:p>
    <w:p w14:paraId="1DB3A07B">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2、我方的响应文件包括以下内容：</w:t>
      </w:r>
    </w:p>
    <w:p w14:paraId="2C917913">
      <w:pPr>
        <w:snapToGrid w:val="0"/>
        <w:ind w:left="210" w:leftChars="1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2.1资格文件：</w:t>
      </w:r>
    </w:p>
    <w:p w14:paraId="22B4F87C">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2.1.1符合参加政府采购活动应当具备的一般条件的承诺函；</w:t>
      </w:r>
    </w:p>
    <w:p w14:paraId="56919053">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2.1.2</w:t>
      </w:r>
      <w:r>
        <w:rPr>
          <w:rFonts w:hint="eastAsia" w:ascii="微软雅黑" w:hAnsi="微软雅黑" w:eastAsia="微软雅黑" w:cs="微软雅黑"/>
          <w:color w:val="auto"/>
          <w:kern w:val="0"/>
          <w:sz w:val="21"/>
          <w:szCs w:val="21"/>
          <w:highlight w:val="none"/>
        </w:rPr>
        <w:t>落实政府采购政策需满足的资格要求</w:t>
      </w:r>
      <w:r>
        <w:rPr>
          <w:rFonts w:hint="eastAsia" w:ascii="微软雅黑" w:hAnsi="微软雅黑" w:eastAsia="微软雅黑" w:cs="微软雅黑"/>
          <w:color w:val="auto"/>
          <w:sz w:val="21"/>
          <w:szCs w:val="21"/>
          <w:highlight w:val="none"/>
        </w:rPr>
        <w:t>；</w:t>
      </w:r>
    </w:p>
    <w:p w14:paraId="27024035">
      <w:pPr>
        <w:snapToGrid w:val="0"/>
        <w:ind w:left="420" w:leftChars="200" w:firstLine="430" w:firstLineChars="205"/>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2.1.3</w:t>
      </w:r>
      <w:r>
        <w:rPr>
          <w:rFonts w:hint="eastAsia" w:ascii="微软雅黑" w:hAnsi="微软雅黑" w:eastAsia="微软雅黑" w:cs="微软雅黑"/>
          <w:color w:val="auto"/>
          <w:kern w:val="0"/>
          <w:sz w:val="21"/>
          <w:szCs w:val="21"/>
          <w:highlight w:val="none"/>
        </w:rPr>
        <w:t>企业法人营业执照副本复印件</w:t>
      </w:r>
      <w:r>
        <w:rPr>
          <w:rFonts w:hint="eastAsia" w:ascii="微软雅黑" w:hAnsi="微软雅黑" w:eastAsia="微软雅黑" w:cs="微软雅黑"/>
          <w:color w:val="auto"/>
          <w:sz w:val="21"/>
          <w:szCs w:val="21"/>
          <w:highlight w:val="none"/>
        </w:rPr>
        <w:t>；</w:t>
      </w:r>
    </w:p>
    <w:p w14:paraId="61FB8CC4">
      <w:pPr>
        <w:snapToGrid w:val="0"/>
        <w:ind w:left="420" w:leftChars="200" w:firstLine="430" w:firstLineChars="205"/>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联合体协议（如是）</w:t>
      </w:r>
    </w:p>
    <w:p w14:paraId="630A78DC">
      <w:pPr>
        <w:snapToGrid w:val="0"/>
        <w:ind w:left="210" w:leftChars="100" w:firstLine="420"/>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 xml:space="preserve"> </w:t>
      </w:r>
      <w:r>
        <w:rPr>
          <w:rFonts w:hint="eastAsia" w:ascii="微软雅黑" w:hAnsi="微软雅黑" w:eastAsia="微软雅黑" w:cs="微软雅黑"/>
          <w:color w:val="auto"/>
          <w:sz w:val="21"/>
          <w:szCs w:val="21"/>
          <w:highlight w:val="none"/>
        </w:rPr>
        <w:t>商务技术</w:t>
      </w:r>
      <w:r>
        <w:rPr>
          <w:rFonts w:hint="eastAsia" w:ascii="微软雅黑" w:hAnsi="微软雅黑" w:eastAsia="微软雅黑" w:cs="微软雅黑"/>
          <w:color w:val="auto"/>
          <w:sz w:val="21"/>
          <w:szCs w:val="21"/>
          <w:highlight w:val="none"/>
          <w:lang w:val="zh-CN"/>
        </w:rPr>
        <w:t>文件：</w:t>
      </w:r>
    </w:p>
    <w:p w14:paraId="5D53FB3C">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2.2.1投标函；</w:t>
      </w:r>
      <w:r>
        <w:rPr>
          <w:rFonts w:hint="eastAsia" w:ascii="微软雅黑" w:hAnsi="微软雅黑" w:eastAsia="微软雅黑" w:cs="微软雅黑"/>
          <w:color w:val="auto"/>
          <w:sz w:val="21"/>
          <w:szCs w:val="21"/>
          <w:highlight w:val="none"/>
          <w:lang w:val="zh-CN"/>
        </w:rPr>
        <w:t xml:space="preserve"> </w:t>
      </w:r>
    </w:p>
    <w:p w14:paraId="64810832">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2.2.2授权委托书或法定代表人（单位负责人）身份证明；</w:t>
      </w:r>
    </w:p>
    <w:p w14:paraId="5F44A3B9">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2.2.3政府采购活动现场确认声明书；</w:t>
      </w:r>
    </w:p>
    <w:p w14:paraId="6939E5D8">
      <w:pPr>
        <w:snapToGrid w:val="0"/>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2.2.4符合性审查资料；</w:t>
      </w:r>
    </w:p>
    <w:p w14:paraId="20FBA9EA">
      <w:pPr>
        <w:snapToGrid w:val="0"/>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2.2.5商务响应表；</w:t>
      </w:r>
    </w:p>
    <w:p w14:paraId="52166167">
      <w:pPr>
        <w:snapToGrid w:val="0"/>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2.2.6技术响应表；</w:t>
      </w:r>
    </w:p>
    <w:p w14:paraId="44BFA628">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2.2.7评标标准相应的商务技术资料；</w:t>
      </w:r>
    </w:p>
    <w:p w14:paraId="03DCE47C">
      <w:pPr>
        <w:snapToGrid w:val="0"/>
        <w:ind w:firstLine="840" w:firstLineChars="400"/>
        <w:rPr>
          <w:rFonts w:hint="eastAsia" w:ascii="微软雅黑" w:hAnsi="微软雅黑" w:eastAsia="微软雅黑" w:cs="微软雅黑"/>
          <w:color w:val="auto"/>
          <w:sz w:val="21"/>
          <w:szCs w:val="21"/>
          <w:highlight w:val="none"/>
          <w:lang w:val="en"/>
        </w:rPr>
      </w:pPr>
      <w:r>
        <w:rPr>
          <w:rFonts w:hint="eastAsia" w:ascii="微软雅黑" w:hAnsi="微软雅黑" w:eastAsia="微软雅黑" w:cs="微软雅黑"/>
          <w:color w:val="auto"/>
          <w:sz w:val="21"/>
          <w:szCs w:val="21"/>
          <w:highlight w:val="none"/>
        </w:rPr>
        <w:t>2.2.8评分对应表</w:t>
      </w:r>
      <w:r>
        <w:rPr>
          <w:rFonts w:hint="eastAsia" w:ascii="微软雅黑" w:hAnsi="微软雅黑" w:eastAsia="微软雅黑" w:cs="微软雅黑"/>
          <w:color w:val="auto"/>
          <w:sz w:val="21"/>
          <w:szCs w:val="21"/>
          <w:highlight w:val="none"/>
          <w:lang w:val="en"/>
        </w:rPr>
        <w:t>；</w:t>
      </w:r>
    </w:p>
    <w:p w14:paraId="0E944E27">
      <w:pPr>
        <w:snapToGrid w:val="0"/>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
        </w:rPr>
        <w:t>2.2.</w:t>
      </w:r>
      <w:r>
        <w:rPr>
          <w:rFonts w:hint="eastAsia" w:ascii="微软雅黑" w:hAnsi="微软雅黑" w:eastAsia="微软雅黑" w:cs="微软雅黑"/>
          <w:color w:val="auto"/>
          <w:sz w:val="21"/>
          <w:szCs w:val="21"/>
          <w:highlight w:val="none"/>
        </w:rPr>
        <w:t>9供应商认为需要提供的其他文件及资料（格式自拟）。</w:t>
      </w:r>
    </w:p>
    <w:p w14:paraId="5E664859">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3报价文件</w:t>
      </w:r>
    </w:p>
    <w:p w14:paraId="2286DD9D">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2.3.1开标一览表（报价表）；</w:t>
      </w:r>
    </w:p>
    <w:p w14:paraId="280F43B4">
      <w:pPr>
        <w:ind w:firstLine="840" w:firstLineChars="4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2.3.</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投标供应商针对报价需要说明的其他文件和说明。</w:t>
      </w:r>
    </w:p>
    <w:p w14:paraId="72BFC0BB">
      <w:pPr>
        <w:snapToGrid w:val="0"/>
        <w:ind w:left="420" w:leftChars="2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法定代表人授权委托书、投标函、开标一览表必须有法定代表人或被</w:t>
      </w:r>
      <w:r>
        <w:rPr>
          <w:rFonts w:hint="eastAsia" w:ascii="微软雅黑" w:hAnsi="微软雅黑" w:eastAsia="微软雅黑" w:cs="微软雅黑"/>
          <w:b/>
          <w:color w:val="auto"/>
          <w:sz w:val="21"/>
          <w:szCs w:val="21"/>
          <w:highlight w:val="none"/>
        </w:rPr>
        <w:t>授权</w:t>
      </w:r>
      <w:r>
        <w:rPr>
          <w:rFonts w:hint="eastAsia" w:ascii="微软雅黑" w:hAnsi="微软雅黑" w:eastAsia="微软雅黑" w:cs="微软雅黑"/>
          <w:b/>
          <w:bCs/>
          <w:color w:val="auto"/>
          <w:sz w:val="21"/>
          <w:szCs w:val="21"/>
          <w:highlight w:val="none"/>
        </w:rPr>
        <w:t>人签字（或签章）并加盖单位公章。</w:t>
      </w:r>
    </w:p>
    <w:p w14:paraId="60C44976">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3、我方承诺除商务技术响应表列出的偏离外，我方响应磋商文件的全部要求。</w:t>
      </w:r>
    </w:p>
    <w:p w14:paraId="17915134">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4、如我方中标，我方承诺：</w:t>
      </w:r>
    </w:p>
    <w:p w14:paraId="43A57CA8">
      <w:pPr>
        <w:snapToGrid w:val="0"/>
        <w:ind w:left="210" w:leftChars="1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4.1在收到中标通知书后，在中标通知书规定的期限内与你方签订合同； </w:t>
      </w:r>
    </w:p>
    <w:p w14:paraId="0176B428">
      <w:pPr>
        <w:snapToGrid w:val="0"/>
        <w:ind w:left="210" w:leftChars="1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4.2在签订合同时不向你方提出附加条件； </w:t>
      </w:r>
    </w:p>
    <w:p w14:paraId="35674487">
      <w:pPr>
        <w:snapToGrid w:val="0"/>
        <w:ind w:left="210" w:leftChars="1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4.3按照磋商文件要求提交履约保证金； </w:t>
      </w:r>
    </w:p>
    <w:p w14:paraId="7228809C">
      <w:pPr>
        <w:snapToGrid w:val="0"/>
        <w:ind w:left="210" w:leftChars="1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4.4在合同约定的期限内完成合同规定的全部义务。 </w:t>
      </w:r>
    </w:p>
    <w:p w14:paraId="64D13C75">
      <w:pPr>
        <w:snapToGrid w:val="0"/>
        <w:ind w:left="210" w:leftChars="100"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5、其他补充说明:</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4A9E57F2">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44993C04">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6C1D2492">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315520D9">
      <w:pPr>
        <w:snapToGrid w:val="0"/>
        <w:spacing w:before="120" w:beforeLines="50" w:after="50"/>
        <w:ind w:firstLine="640"/>
        <w:jc w:val="center"/>
        <w:rPr>
          <w:rFonts w:hint="eastAsia" w:ascii="微软雅黑" w:hAnsi="微软雅黑" w:eastAsia="微软雅黑" w:cs="微软雅黑"/>
          <w:b/>
          <w:color w:val="auto"/>
          <w:sz w:val="21"/>
          <w:szCs w:val="21"/>
          <w:highlight w:val="none"/>
        </w:rPr>
      </w:pPr>
    </w:p>
    <w:p w14:paraId="3DDC3A44">
      <w:pPr>
        <w:snapToGrid w:val="0"/>
        <w:spacing w:before="120" w:beforeLines="50" w:after="50"/>
        <w:ind w:firstLine="640"/>
        <w:jc w:val="center"/>
        <w:rPr>
          <w:rFonts w:hint="eastAsia" w:ascii="微软雅黑" w:hAnsi="微软雅黑" w:eastAsia="微软雅黑" w:cs="微软雅黑"/>
          <w:b/>
          <w:color w:val="auto"/>
          <w:sz w:val="21"/>
          <w:szCs w:val="21"/>
          <w:highlight w:val="none"/>
        </w:rPr>
        <w:sectPr>
          <w:pgSz w:w="11906" w:h="16838"/>
          <w:pgMar w:top="1276" w:right="1418" w:bottom="1247" w:left="1418" w:header="851" w:footer="992" w:gutter="0"/>
          <w:cols w:space="720" w:num="1"/>
          <w:titlePg/>
          <w:docGrid w:linePitch="312" w:charSpace="0"/>
        </w:sectPr>
      </w:pPr>
    </w:p>
    <w:p w14:paraId="72835BFE">
      <w:pPr>
        <w:snapToGrid w:val="0"/>
        <w:spacing w:before="120" w:beforeLines="50" w:after="50"/>
        <w:ind w:firstLine="42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二、法定代表人授权委托书</w:t>
      </w:r>
    </w:p>
    <w:p w14:paraId="5A95FDC1">
      <w:pPr>
        <w:snapToGrid w:val="0"/>
        <w:ind w:firstLine="420"/>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（采购人）、（采购代理机构）：</w:t>
      </w:r>
    </w:p>
    <w:p w14:paraId="6303B583">
      <w:pPr>
        <w:snapToGrid w:val="0"/>
        <w:spacing w:before="120" w:beforeLines="50" w:after="50"/>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（姓名）系</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（投标供应商名称）的法定代表人，现授权委托（姓名）以我方的名义参加</w:t>
      </w:r>
      <w:r>
        <w:rPr>
          <w:rFonts w:hint="eastAsia" w:ascii="微软雅黑" w:hAnsi="微软雅黑" w:eastAsia="微软雅黑" w:cs="微软雅黑"/>
          <w:color w:val="auto"/>
          <w:sz w:val="21"/>
          <w:szCs w:val="21"/>
          <w:highlight w:val="none"/>
          <w:u w:val="single"/>
        </w:rPr>
        <w:t xml:space="preserve">                项目</w:t>
      </w:r>
      <w:r>
        <w:rPr>
          <w:rFonts w:hint="eastAsia" w:ascii="微软雅黑" w:hAnsi="微软雅黑" w:eastAsia="微软雅黑" w:cs="微软雅黑"/>
          <w:color w:val="auto"/>
          <w:sz w:val="21"/>
          <w:szCs w:val="21"/>
          <w:highlight w:val="none"/>
        </w:rPr>
        <w:t>的投标活动，并代表我方全权办理针对上述项目的投标、开标、评标、签约等具体事务和签署相关文件。</w:t>
      </w:r>
    </w:p>
    <w:p w14:paraId="45D1AF4D">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我方对被授权人的签字事项负全部责任。</w:t>
      </w:r>
    </w:p>
    <w:p w14:paraId="6E0C09F9">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在撤销授权的书面通知以前，本授权书一直有效。</w:t>
      </w:r>
      <w:r>
        <w:rPr>
          <w:rFonts w:hint="eastAsia" w:ascii="微软雅黑" w:hAnsi="微软雅黑" w:eastAsia="微软雅黑" w:cs="微软雅黑"/>
          <w:color w:val="auto"/>
          <w:sz w:val="21"/>
          <w:szCs w:val="21"/>
          <w:highlight w:val="none"/>
        </w:rPr>
        <w:t>被授权人在授权书有效期内签署的所有文件不因授权的撤销而失效。</w:t>
      </w:r>
    </w:p>
    <w:p w14:paraId="7053B43F">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被授权人无转委托权，特此委托。</w:t>
      </w:r>
    </w:p>
    <w:p w14:paraId="33003484">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身份证粘贴处：                   身份证粘贴处：</w:t>
      </w:r>
    </w:p>
    <w:p w14:paraId="4B902642">
      <w:pPr>
        <w:snapToGrid w:val="0"/>
        <w:spacing w:before="120" w:beforeLines="50" w:after="50"/>
        <w:ind w:firstLine="420"/>
        <w:rPr>
          <w:rFonts w:hint="eastAsia" w:ascii="微软雅黑" w:hAnsi="微软雅黑" w:eastAsia="微软雅黑" w:cs="微软雅黑"/>
          <w:color w:val="auto"/>
          <w:sz w:val="21"/>
          <w:szCs w:val="21"/>
          <w:highlight w:val="none"/>
        </w:rPr>
      </w:pPr>
    </w:p>
    <w:p w14:paraId="06194655">
      <w:pPr>
        <w:snapToGrid w:val="0"/>
        <w:spacing w:before="120" w:beforeLines="50" w:after="50"/>
        <w:ind w:firstLine="420"/>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法定代表人签字（或盖章）：          被授权人签字（或盖章）：</w:t>
      </w:r>
    </w:p>
    <w:p w14:paraId="232B8A10">
      <w:pPr>
        <w:snapToGrid w:val="0"/>
        <w:spacing w:before="120" w:beforeLines="50" w:after="50"/>
        <w:ind w:firstLine="420"/>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职务：                              职务：</w:t>
      </w:r>
    </w:p>
    <w:p w14:paraId="17D2E9F7">
      <w:pPr>
        <w:snapToGrid w:val="0"/>
        <w:spacing w:before="120" w:beforeLines="50" w:after="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供应商名称（公章）：               年  月  日</w:t>
      </w:r>
    </w:p>
    <w:p w14:paraId="7BF75970">
      <w:pPr>
        <w:ind w:firstLine="640"/>
        <w:jc w:val="center"/>
        <w:rPr>
          <w:rFonts w:hint="eastAsia" w:ascii="微软雅黑" w:hAnsi="微软雅黑" w:eastAsia="微软雅黑" w:cs="微软雅黑"/>
          <w:b/>
          <w:color w:val="auto"/>
          <w:kern w:val="0"/>
          <w:sz w:val="21"/>
          <w:szCs w:val="21"/>
          <w:highlight w:val="none"/>
        </w:rPr>
      </w:pPr>
    </w:p>
    <w:p w14:paraId="2D62D723">
      <w:pPr>
        <w:snapToGrid w:val="0"/>
        <w:spacing w:before="120" w:beforeLines="50" w:after="50"/>
        <w:ind w:firstLine="640"/>
        <w:jc w:val="center"/>
        <w:rPr>
          <w:rFonts w:hint="eastAsia" w:ascii="微软雅黑" w:hAnsi="微软雅黑" w:eastAsia="微软雅黑" w:cs="微软雅黑"/>
          <w:b/>
          <w:color w:val="auto"/>
          <w:sz w:val="21"/>
          <w:szCs w:val="21"/>
          <w:highlight w:val="none"/>
        </w:rPr>
        <w:sectPr>
          <w:pgSz w:w="11906" w:h="16838"/>
          <w:pgMar w:top="1276" w:right="1418" w:bottom="1247" w:left="1418" w:header="851" w:footer="992" w:gutter="0"/>
          <w:cols w:space="720" w:num="1"/>
          <w:titlePg/>
          <w:docGrid w:linePitch="312" w:charSpace="0"/>
        </w:sectPr>
      </w:pPr>
    </w:p>
    <w:p w14:paraId="7CA8910F">
      <w:pPr>
        <w:snapToGrid w:val="0"/>
        <w:spacing w:before="120" w:beforeLines="50" w:after="50"/>
        <w:ind w:firstLine="42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三、政府采购活动现场确认声明书</w:t>
      </w:r>
    </w:p>
    <w:p w14:paraId="40EA0DCF">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（采购人）、（采购代理机构）：</w:t>
      </w:r>
      <w:r>
        <w:rPr>
          <w:rFonts w:hint="eastAsia" w:ascii="微软雅黑" w:hAnsi="微软雅黑" w:eastAsia="微软雅黑" w:cs="微软雅黑"/>
          <w:color w:val="auto"/>
          <w:sz w:val="21"/>
          <w:szCs w:val="21"/>
          <w:highlight w:val="none"/>
        </w:rPr>
        <w:t>:</w:t>
      </w:r>
    </w:p>
    <w:p w14:paraId="01479554">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本人 ____________（授权代表姓名），经由______________________________（单位） ____________ （法定代表人姓名）合法授权参加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cs="微软雅黑"/>
          <w:color w:val="auto"/>
          <w:sz w:val="21"/>
          <w:szCs w:val="21"/>
          <w:highlight w:val="none"/>
          <w:u w:val="single"/>
          <w:lang w:eastAsia="zh-CN"/>
        </w:rPr>
        <w:t>嘉兴市医疗保障局2025年度医保信息设施硬件及网络安全运维服务项目（第二次）</w:t>
      </w:r>
      <w:r>
        <w:rPr>
          <w:rFonts w:hint="eastAsia" w:ascii="微软雅黑" w:hAnsi="微软雅黑" w:eastAsia="微软雅黑" w:cs="微软雅黑"/>
          <w:color w:val="auto"/>
          <w:sz w:val="21"/>
          <w:szCs w:val="21"/>
          <w:highlight w:val="none"/>
          <w:u w:val="single"/>
        </w:rPr>
        <w:t>（编号：       ）</w:t>
      </w:r>
      <w:r>
        <w:rPr>
          <w:rFonts w:hint="eastAsia" w:ascii="微软雅黑" w:hAnsi="微软雅黑" w:eastAsia="微软雅黑" w:cs="微软雅黑"/>
          <w:color w:val="auto"/>
          <w:sz w:val="21"/>
          <w:szCs w:val="21"/>
          <w:highlight w:val="none"/>
        </w:rPr>
        <w:t>政府采购活动．经与本单位法人代表（负责人）联系确认，现就有关公平竞争事项郑重声明如下:</w:t>
      </w:r>
    </w:p>
    <w:p w14:paraId="4A780BB7">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一、本单位与采购人之间口不存在利害关系口存在下列利害关系：</w:t>
      </w:r>
    </w:p>
    <w:p w14:paraId="56882E78">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A．投资关系 B．行政隶属关系 C．业务指导关系D．其他可能影响采购公正的利害关系（如有，请如实说明）。</w:t>
      </w:r>
    </w:p>
    <w:p w14:paraId="51EDBA36">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二、现已清楚知道参加本项目采购活动的其他所有供应商名称，本单位 口与其他所有供应商之间均不存在利害关系 口与______________（供应商名称）之间存在下列利害关系:</w:t>
      </w:r>
    </w:p>
    <w:p w14:paraId="18300606">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A．法定代表人或负责人或实际控制人是同一人</w:t>
      </w:r>
    </w:p>
    <w:p w14:paraId="2B1427F3">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B．法定代表人或负责人或实际控制人是夫妻关系</w:t>
      </w:r>
    </w:p>
    <w:p w14:paraId="78CD1C1D">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C．法定代表人或负责人或实际控制人是直系血亲关系</w:t>
      </w:r>
    </w:p>
    <w:p w14:paraId="637D638F">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D．法定代表人或负责人或实际控制人存在三代以内旁系血亲关系</w:t>
      </w:r>
    </w:p>
    <w:p w14:paraId="5D2E3316">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E．法定代表人或负责人或实际控制人存在近姻亲关系</w:t>
      </w:r>
    </w:p>
    <w:p w14:paraId="1277973E">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F．法定代表人或负责人或实际控制人存在股份控制或实际控制关系</w:t>
      </w:r>
    </w:p>
    <w:p w14:paraId="47374DE5">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G．存在共同直接或间接投资设立子公司、联营企业和合营企业情况</w:t>
      </w:r>
    </w:p>
    <w:p w14:paraId="5084F501">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H．存在分级代理或代销关系、同一生产制造商关系、管理关系、重要业务（占主营业务收入 50 ％以上）或重要财务往来关系（如融资）等其他实质性控制关系</w:t>
      </w:r>
    </w:p>
    <w:p w14:paraId="6F593094">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I．其他利害关系情况 ________________________________________。</w:t>
      </w:r>
    </w:p>
    <w:p w14:paraId="4560DD07">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三、现已清楚知道并严格遵守政府采购法律法规和现场纪律。</w:t>
      </w:r>
    </w:p>
    <w:p w14:paraId="38D6AC3E">
      <w:pPr>
        <w:snapToGrid w:val="0"/>
        <w:spacing w:before="120" w:beforeLines="50" w:after="5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四、我发现 ____________________供应商之间存在或可能存在上述第二条第 ____________项利害关系。</w:t>
      </w:r>
    </w:p>
    <w:p w14:paraId="4D6E9E7E">
      <w:pPr>
        <w:snapToGrid w:val="0"/>
        <w:spacing w:before="120" w:beforeLines="50" w:after="50"/>
        <w:ind w:firstLine="420"/>
        <w:jc w:val="righ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（供应商代表签名）:</w:t>
      </w:r>
    </w:p>
    <w:p w14:paraId="430FE2DE">
      <w:pPr>
        <w:snapToGrid w:val="0"/>
        <w:spacing w:before="120" w:beforeLines="50" w:after="50"/>
        <w:ind w:firstLine="420"/>
        <w:jc w:val="right"/>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color w:val="auto"/>
          <w:sz w:val="21"/>
          <w:szCs w:val="21"/>
          <w:highlight w:val="none"/>
        </w:rPr>
        <w:t xml:space="preserve">    年  月  日</w:t>
      </w:r>
    </w:p>
    <w:p w14:paraId="5F72FABD">
      <w:pPr>
        <w:ind w:firstLine="420"/>
        <w:jc w:val="center"/>
        <w:rPr>
          <w:rFonts w:hint="eastAsia" w:ascii="微软雅黑" w:hAnsi="微软雅黑" w:eastAsia="微软雅黑" w:cs="微软雅黑"/>
          <w:b/>
          <w:color w:val="auto"/>
          <w:kern w:val="0"/>
          <w:sz w:val="21"/>
          <w:szCs w:val="21"/>
          <w:highlight w:val="none"/>
        </w:rPr>
        <w:sectPr>
          <w:pgSz w:w="11906" w:h="16838"/>
          <w:pgMar w:top="1276" w:right="1418" w:bottom="1247" w:left="1418" w:header="851" w:footer="992" w:gutter="0"/>
          <w:cols w:space="720" w:num="1"/>
          <w:titlePg/>
          <w:docGrid w:linePitch="312" w:charSpace="0"/>
        </w:sectPr>
      </w:pPr>
    </w:p>
    <w:p w14:paraId="76E91527">
      <w:pPr>
        <w:ind w:firstLine="420"/>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四、符合性审查资料</w:t>
      </w:r>
    </w:p>
    <w:tbl>
      <w:tblPr>
        <w:tblStyle w:val="52"/>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551"/>
        <w:gridCol w:w="2006"/>
      </w:tblGrid>
      <w:tr w14:paraId="1CE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C93D87">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4140" w:type="dxa"/>
            <w:vAlign w:val="center"/>
          </w:tcPr>
          <w:p w14:paraId="6188B6F7">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实质性要求</w:t>
            </w:r>
          </w:p>
        </w:tc>
        <w:tc>
          <w:tcPr>
            <w:tcW w:w="2551" w:type="dxa"/>
            <w:vAlign w:val="center"/>
          </w:tcPr>
          <w:p w14:paraId="5C6BB816">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需要提供的符合性审查资料</w:t>
            </w:r>
          </w:p>
        </w:tc>
        <w:tc>
          <w:tcPr>
            <w:tcW w:w="2006" w:type="dxa"/>
            <w:vAlign w:val="center"/>
          </w:tcPr>
          <w:p w14:paraId="420D6BBE">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响应文件中的</w:t>
            </w:r>
          </w:p>
          <w:p w14:paraId="2369C3EA">
            <w:pPr>
              <w:snapToGrid w:val="0"/>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页码位置</w:t>
            </w:r>
          </w:p>
        </w:tc>
      </w:tr>
      <w:tr w14:paraId="3FA6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6AFCAD">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4140" w:type="dxa"/>
          </w:tcPr>
          <w:p w14:paraId="7E09DFEB">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响应文件按照磋商文件要求签署、盖章。</w:t>
            </w:r>
          </w:p>
        </w:tc>
        <w:tc>
          <w:tcPr>
            <w:tcW w:w="2551" w:type="dxa"/>
            <w:vAlign w:val="center"/>
          </w:tcPr>
          <w:p w14:paraId="67AEF821">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需要使用电子签名或者签字盖章的响应文件的组成部分</w:t>
            </w:r>
          </w:p>
        </w:tc>
        <w:tc>
          <w:tcPr>
            <w:tcW w:w="2006" w:type="dxa"/>
          </w:tcPr>
          <w:p w14:paraId="705361C2">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见响应文件</w:t>
            </w:r>
          </w:p>
          <w:p w14:paraId="70F4E13A">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页</w:t>
            </w:r>
          </w:p>
        </w:tc>
      </w:tr>
      <w:tr w14:paraId="4BC8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578789">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4140" w:type="dxa"/>
          </w:tcPr>
          <w:p w14:paraId="6C493FCA">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响应文件中承诺的投标有效期不少于磋商文件中载明的投标有效期。</w:t>
            </w:r>
          </w:p>
        </w:tc>
        <w:tc>
          <w:tcPr>
            <w:tcW w:w="2551" w:type="dxa"/>
            <w:vAlign w:val="center"/>
          </w:tcPr>
          <w:p w14:paraId="640EDF38">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投标函</w:t>
            </w:r>
          </w:p>
        </w:tc>
        <w:tc>
          <w:tcPr>
            <w:tcW w:w="2006" w:type="dxa"/>
          </w:tcPr>
          <w:p w14:paraId="56577E03">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见响应文件第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页</w:t>
            </w:r>
          </w:p>
        </w:tc>
      </w:tr>
      <w:tr w14:paraId="2992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33D93E">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4140" w:type="dxa"/>
          </w:tcPr>
          <w:p w14:paraId="4DE76766">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响应文件满足磋商文件的其它实质性要求。</w:t>
            </w:r>
          </w:p>
        </w:tc>
        <w:tc>
          <w:tcPr>
            <w:tcW w:w="2551" w:type="dxa"/>
            <w:vAlign w:val="center"/>
          </w:tcPr>
          <w:p w14:paraId="75D21ABD">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磋商文件其它实质性要求相应的材料（“▲” 系指实质性要求条款，磋商文件无其它实质性要求的，无需提供）</w:t>
            </w:r>
          </w:p>
        </w:tc>
        <w:tc>
          <w:tcPr>
            <w:tcW w:w="2006" w:type="dxa"/>
          </w:tcPr>
          <w:p w14:paraId="27835873">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见响应文件第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页</w:t>
            </w:r>
          </w:p>
        </w:tc>
      </w:tr>
    </w:tbl>
    <w:p w14:paraId="7229092C">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003E3D2F">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36571AE2">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34920F1F">
      <w:pPr>
        <w:ind w:firstLine="640"/>
        <w:jc w:val="both"/>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 xml:space="preserve">            </w:t>
      </w:r>
    </w:p>
    <w:p w14:paraId="1802C4CC">
      <w:pPr>
        <w:ind w:firstLine="640"/>
        <w:jc w:val="center"/>
        <w:rPr>
          <w:rFonts w:hint="eastAsia" w:ascii="微软雅黑" w:hAnsi="微软雅黑" w:eastAsia="微软雅黑" w:cs="微软雅黑"/>
          <w:b/>
          <w:color w:val="auto"/>
          <w:kern w:val="0"/>
          <w:sz w:val="21"/>
          <w:szCs w:val="21"/>
          <w:highlight w:val="none"/>
        </w:rPr>
        <w:sectPr>
          <w:pgSz w:w="11906" w:h="16838"/>
          <w:pgMar w:top="1276" w:right="1418" w:bottom="1247" w:left="1418" w:header="851" w:footer="992" w:gutter="0"/>
          <w:cols w:space="720" w:num="1"/>
          <w:titlePg/>
          <w:docGrid w:linePitch="312" w:charSpace="0"/>
        </w:sectPr>
      </w:pPr>
    </w:p>
    <w:p w14:paraId="56D66242">
      <w:pPr>
        <w:ind w:firstLine="420"/>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五、评分对应表</w:t>
      </w:r>
    </w:p>
    <w:tbl>
      <w:tblPr>
        <w:tblStyle w:val="52"/>
        <w:tblW w:w="94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26"/>
        <w:gridCol w:w="2622"/>
        <w:gridCol w:w="2478"/>
      </w:tblGrid>
      <w:tr w14:paraId="378BB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326" w:type="dxa"/>
            <w:tcBorders>
              <w:top w:val="single" w:color="auto" w:sz="4" w:space="0"/>
              <w:left w:val="single" w:color="auto" w:sz="4" w:space="0"/>
              <w:bottom w:val="single" w:color="auto" w:sz="4" w:space="0"/>
              <w:right w:val="single" w:color="auto" w:sz="4" w:space="0"/>
            </w:tcBorders>
            <w:vAlign w:val="center"/>
          </w:tcPr>
          <w:p w14:paraId="26ED0182">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评分项目</w:t>
            </w:r>
          </w:p>
        </w:tc>
        <w:tc>
          <w:tcPr>
            <w:tcW w:w="2622" w:type="dxa"/>
            <w:tcBorders>
              <w:top w:val="single" w:color="auto" w:sz="4" w:space="0"/>
              <w:left w:val="single" w:color="auto" w:sz="4" w:space="0"/>
              <w:bottom w:val="single" w:color="auto" w:sz="4" w:space="0"/>
              <w:right w:val="single" w:color="auto" w:sz="4" w:space="0"/>
            </w:tcBorders>
            <w:vAlign w:val="center"/>
          </w:tcPr>
          <w:p w14:paraId="790AF084">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响应文件对应资料</w:t>
            </w:r>
          </w:p>
        </w:tc>
        <w:tc>
          <w:tcPr>
            <w:tcW w:w="2478" w:type="dxa"/>
            <w:tcBorders>
              <w:top w:val="single" w:color="auto" w:sz="4" w:space="0"/>
              <w:left w:val="single" w:color="auto" w:sz="4" w:space="0"/>
              <w:bottom w:val="single" w:color="auto" w:sz="4" w:space="0"/>
              <w:right w:val="single" w:color="auto" w:sz="4" w:space="0"/>
            </w:tcBorders>
            <w:vAlign w:val="center"/>
          </w:tcPr>
          <w:p w14:paraId="6B406D48">
            <w:pPr>
              <w:snapToGrid w:val="0"/>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响应文件中的页码位置</w:t>
            </w:r>
          </w:p>
        </w:tc>
      </w:tr>
      <w:tr w14:paraId="6E69B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0230C8A3">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对应第四章评分办法及评分标准（报价除外）</w:t>
            </w:r>
          </w:p>
        </w:tc>
        <w:tc>
          <w:tcPr>
            <w:tcW w:w="2622" w:type="dxa"/>
            <w:tcBorders>
              <w:top w:val="single" w:color="auto" w:sz="4" w:space="0"/>
              <w:left w:val="single" w:color="auto" w:sz="4" w:space="0"/>
              <w:bottom w:val="single" w:color="auto" w:sz="4" w:space="0"/>
              <w:right w:val="single" w:color="auto" w:sz="4" w:space="0"/>
            </w:tcBorders>
          </w:tcPr>
          <w:p w14:paraId="2A69F984">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23F71F2E">
            <w:pPr>
              <w:snapToGrid w:val="0"/>
              <w:ind w:firstLine="0" w:firstLineChars="0"/>
              <w:rPr>
                <w:rFonts w:hint="eastAsia" w:ascii="微软雅黑" w:hAnsi="微软雅黑" w:eastAsia="微软雅黑" w:cs="微软雅黑"/>
                <w:color w:val="auto"/>
                <w:sz w:val="21"/>
                <w:szCs w:val="21"/>
                <w:highlight w:val="none"/>
              </w:rPr>
            </w:pPr>
          </w:p>
        </w:tc>
      </w:tr>
      <w:tr w14:paraId="1C40E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1B969376">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2622" w:type="dxa"/>
            <w:tcBorders>
              <w:top w:val="single" w:color="auto" w:sz="4" w:space="0"/>
              <w:left w:val="single" w:color="auto" w:sz="4" w:space="0"/>
              <w:bottom w:val="single" w:color="auto" w:sz="4" w:space="0"/>
              <w:right w:val="single" w:color="auto" w:sz="4" w:space="0"/>
            </w:tcBorders>
          </w:tcPr>
          <w:p w14:paraId="2D7010CC">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A6DF8A0">
            <w:pPr>
              <w:snapToGrid w:val="0"/>
              <w:ind w:firstLine="0" w:firstLineChars="0"/>
              <w:rPr>
                <w:rFonts w:hint="eastAsia" w:ascii="微软雅黑" w:hAnsi="微软雅黑" w:eastAsia="微软雅黑" w:cs="微软雅黑"/>
                <w:color w:val="auto"/>
                <w:sz w:val="21"/>
                <w:szCs w:val="21"/>
                <w:highlight w:val="none"/>
              </w:rPr>
            </w:pPr>
          </w:p>
        </w:tc>
      </w:tr>
      <w:tr w14:paraId="2AF36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0C24D33B">
            <w:pPr>
              <w:snapToGrid w:val="0"/>
              <w:ind w:firstLine="0" w:firstLineChars="0"/>
              <w:rPr>
                <w:rFonts w:hint="eastAsia" w:ascii="微软雅黑" w:hAnsi="微软雅黑" w:eastAsia="微软雅黑" w:cs="微软雅黑"/>
                <w:color w:val="auto"/>
                <w:sz w:val="21"/>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06BD84D6">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5AFCF76">
            <w:pPr>
              <w:snapToGrid w:val="0"/>
              <w:ind w:firstLine="0" w:firstLineChars="0"/>
              <w:rPr>
                <w:rFonts w:hint="eastAsia" w:ascii="微软雅黑" w:hAnsi="微软雅黑" w:eastAsia="微软雅黑" w:cs="微软雅黑"/>
                <w:color w:val="auto"/>
                <w:sz w:val="21"/>
                <w:szCs w:val="21"/>
                <w:highlight w:val="none"/>
              </w:rPr>
            </w:pPr>
          </w:p>
        </w:tc>
      </w:tr>
      <w:tr w14:paraId="3A1F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630B12F7">
            <w:pPr>
              <w:snapToGrid w:val="0"/>
              <w:ind w:firstLine="0" w:firstLineChars="0"/>
              <w:rPr>
                <w:rFonts w:hint="eastAsia" w:ascii="微软雅黑" w:hAnsi="微软雅黑" w:eastAsia="微软雅黑" w:cs="微软雅黑"/>
                <w:color w:val="auto"/>
                <w:sz w:val="21"/>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14F68759">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4303BCC3">
            <w:pPr>
              <w:snapToGrid w:val="0"/>
              <w:ind w:firstLine="0" w:firstLineChars="0"/>
              <w:rPr>
                <w:rFonts w:hint="eastAsia" w:ascii="微软雅黑" w:hAnsi="微软雅黑" w:eastAsia="微软雅黑" w:cs="微软雅黑"/>
                <w:color w:val="auto"/>
                <w:sz w:val="21"/>
                <w:szCs w:val="21"/>
                <w:highlight w:val="none"/>
              </w:rPr>
            </w:pPr>
          </w:p>
        </w:tc>
      </w:tr>
      <w:tr w14:paraId="29EB8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4FB3EA53">
            <w:pPr>
              <w:snapToGrid w:val="0"/>
              <w:ind w:firstLine="0" w:firstLineChars="0"/>
              <w:rPr>
                <w:rFonts w:hint="eastAsia" w:ascii="微软雅黑" w:hAnsi="微软雅黑" w:eastAsia="微软雅黑" w:cs="微软雅黑"/>
                <w:color w:val="auto"/>
                <w:sz w:val="21"/>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514125C6">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7C8816D">
            <w:pPr>
              <w:snapToGrid w:val="0"/>
              <w:ind w:firstLine="0" w:firstLineChars="0"/>
              <w:rPr>
                <w:rFonts w:hint="eastAsia" w:ascii="微软雅黑" w:hAnsi="微软雅黑" w:eastAsia="微软雅黑" w:cs="微软雅黑"/>
                <w:color w:val="auto"/>
                <w:sz w:val="21"/>
                <w:szCs w:val="21"/>
                <w:highlight w:val="none"/>
              </w:rPr>
            </w:pPr>
          </w:p>
        </w:tc>
      </w:tr>
      <w:tr w14:paraId="07FD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044BDEE2">
            <w:pPr>
              <w:snapToGrid w:val="0"/>
              <w:ind w:firstLine="0" w:firstLineChars="0"/>
              <w:rPr>
                <w:rFonts w:hint="eastAsia" w:ascii="微软雅黑" w:hAnsi="微软雅黑" w:eastAsia="微软雅黑" w:cs="微软雅黑"/>
                <w:color w:val="auto"/>
                <w:sz w:val="21"/>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05AA6308">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BEB67EC">
            <w:pPr>
              <w:snapToGrid w:val="0"/>
              <w:ind w:firstLine="0" w:firstLineChars="0"/>
              <w:rPr>
                <w:rFonts w:hint="eastAsia" w:ascii="微软雅黑" w:hAnsi="微软雅黑" w:eastAsia="微软雅黑" w:cs="微软雅黑"/>
                <w:color w:val="auto"/>
                <w:sz w:val="21"/>
                <w:szCs w:val="21"/>
                <w:highlight w:val="none"/>
              </w:rPr>
            </w:pPr>
          </w:p>
        </w:tc>
      </w:tr>
      <w:tr w14:paraId="3945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59AF28F9">
            <w:pPr>
              <w:snapToGrid w:val="0"/>
              <w:ind w:firstLine="0" w:firstLineChars="0"/>
              <w:rPr>
                <w:rFonts w:hint="eastAsia" w:ascii="微软雅黑" w:hAnsi="微软雅黑" w:eastAsia="微软雅黑" w:cs="微软雅黑"/>
                <w:color w:val="auto"/>
                <w:sz w:val="21"/>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1E04ED32">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084A55B8">
            <w:pPr>
              <w:snapToGrid w:val="0"/>
              <w:ind w:firstLine="0" w:firstLineChars="0"/>
              <w:rPr>
                <w:rFonts w:hint="eastAsia" w:ascii="微软雅黑" w:hAnsi="微软雅黑" w:eastAsia="微软雅黑" w:cs="微软雅黑"/>
                <w:color w:val="auto"/>
                <w:sz w:val="21"/>
                <w:szCs w:val="21"/>
                <w:highlight w:val="none"/>
              </w:rPr>
            </w:pPr>
          </w:p>
        </w:tc>
      </w:tr>
      <w:tr w14:paraId="1A060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3C43E309">
            <w:pPr>
              <w:snapToGrid w:val="0"/>
              <w:ind w:firstLine="0" w:firstLineChars="0"/>
              <w:rPr>
                <w:rFonts w:hint="eastAsia" w:ascii="微软雅黑" w:hAnsi="微软雅黑" w:eastAsia="微软雅黑" w:cs="微软雅黑"/>
                <w:color w:val="auto"/>
                <w:sz w:val="21"/>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643BF64E">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5D5719CF">
            <w:pPr>
              <w:snapToGrid w:val="0"/>
              <w:ind w:firstLine="0" w:firstLineChars="0"/>
              <w:rPr>
                <w:rFonts w:hint="eastAsia" w:ascii="微软雅黑" w:hAnsi="微软雅黑" w:eastAsia="微软雅黑" w:cs="微软雅黑"/>
                <w:color w:val="auto"/>
                <w:sz w:val="21"/>
                <w:szCs w:val="21"/>
                <w:highlight w:val="none"/>
              </w:rPr>
            </w:pPr>
          </w:p>
        </w:tc>
      </w:tr>
      <w:tr w14:paraId="68EB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40B69BFB">
            <w:pPr>
              <w:snapToGrid w:val="0"/>
              <w:ind w:firstLine="0" w:firstLineChars="0"/>
              <w:rPr>
                <w:rFonts w:hint="eastAsia" w:ascii="微软雅黑" w:hAnsi="微软雅黑" w:eastAsia="微软雅黑" w:cs="微软雅黑"/>
                <w:color w:val="auto"/>
                <w:sz w:val="21"/>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43BC145">
            <w:pPr>
              <w:snapToGrid w:val="0"/>
              <w:ind w:firstLine="0" w:firstLineChars="0"/>
              <w:rPr>
                <w:rFonts w:hint="eastAsia" w:ascii="微软雅黑" w:hAnsi="微软雅黑" w:eastAsia="微软雅黑" w:cs="微软雅黑"/>
                <w:color w:val="auto"/>
                <w:sz w:val="21"/>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74A42C7E">
            <w:pPr>
              <w:snapToGrid w:val="0"/>
              <w:ind w:firstLine="0" w:firstLineChars="0"/>
              <w:rPr>
                <w:rFonts w:hint="eastAsia" w:ascii="微软雅黑" w:hAnsi="微软雅黑" w:eastAsia="微软雅黑" w:cs="微软雅黑"/>
                <w:color w:val="auto"/>
                <w:sz w:val="21"/>
                <w:szCs w:val="21"/>
                <w:highlight w:val="none"/>
              </w:rPr>
            </w:pPr>
          </w:p>
        </w:tc>
      </w:tr>
    </w:tbl>
    <w:p w14:paraId="284AFE20">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1CD2DADE">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1C4386E1">
      <w:pPr>
        <w:pStyle w:val="120"/>
        <w:ind w:firstLine="420"/>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060B0AA3">
      <w:pPr>
        <w:ind w:firstLine="420"/>
        <w:jc w:val="center"/>
        <w:rPr>
          <w:rFonts w:hint="eastAsia" w:ascii="微软雅黑" w:hAnsi="微软雅黑" w:eastAsia="微软雅黑" w:cs="微软雅黑"/>
          <w:b/>
          <w:color w:val="auto"/>
          <w:kern w:val="0"/>
          <w:sz w:val="21"/>
          <w:szCs w:val="21"/>
          <w:highlight w:val="none"/>
        </w:rPr>
      </w:pPr>
    </w:p>
    <w:p w14:paraId="5B9B1F7E">
      <w:pPr>
        <w:ind w:firstLine="420"/>
        <w:jc w:val="center"/>
        <w:rPr>
          <w:rFonts w:hint="eastAsia" w:ascii="微软雅黑" w:hAnsi="微软雅黑" w:eastAsia="微软雅黑" w:cs="微软雅黑"/>
          <w:b/>
          <w:color w:val="auto"/>
          <w:kern w:val="0"/>
          <w:sz w:val="21"/>
          <w:szCs w:val="21"/>
          <w:highlight w:val="none"/>
        </w:rPr>
        <w:sectPr>
          <w:pgSz w:w="11906" w:h="16838"/>
          <w:pgMar w:top="1276" w:right="1418" w:bottom="1247" w:left="1418" w:header="851" w:footer="992" w:gutter="0"/>
          <w:cols w:space="720" w:num="1"/>
          <w:titlePg/>
          <w:docGrid w:linePitch="312" w:charSpace="0"/>
        </w:sectPr>
      </w:pPr>
    </w:p>
    <w:p w14:paraId="4B8FA7E7">
      <w:pPr>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kern w:val="0"/>
          <w:sz w:val="21"/>
          <w:szCs w:val="21"/>
          <w:highlight w:val="none"/>
        </w:rPr>
        <w:t>六、评标标准相应的商务技术资料</w:t>
      </w:r>
    </w:p>
    <w:p w14:paraId="0533C50E">
      <w:pPr>
        <w:widowControl/>
        <w:ind w:firstLine="560"/>
        <w:rPr>
          <w:rFonts w:hint="eastAsia" w:ascii="微软雅黑" w:hAnsi="微软雅黑" w:eastAsia="微软雅黑" w:cs="微软雅黑"/>
          <w:b/>
          <w:bCs/>
          <w:color w:val="auto"/>
          <w:sz w:val="21"/>
          <w:szCs w:val="21"/>
          <w:highlight w:val="none"/>
          <w:shd w:val="pct10" w:color="auto" w:fill="FFFFFF"/>
        </w:rPr>
      </w:pPr>
      <w:r>
        <w:rPr>
          <w:rFonts w:hint="eastAsia" w:ascii="微软雅黑" w:hAnsi="微软雅黑" w:eastAsia="微软雅黑" w:cs="微软雅黑"/>
          <w:b/>
          <w:bCs/>
          <w:color w:val="auto"/>
          <w:kern w:val="0"/>
          <w:sz w:val="21"/>
          <w:szCs w:val="21"/>
          <w:highlight w:val="none"/>
          <w:shd w:val="pct10" w:color="auto" w:fill="FFFFFF"/>
          <w:lang w:bidi="ar"/>
        </w:rPr>
        <w:t>（根据采购需求、评标办法及标准要求，各供应商自行选取提供，除以下响应文件格式外相关资料由供应商自拟。）</w:t>
      </w:r>
    </w:p>
    <w:p w14:paraId="75821E6D">
      <w:pPr>
        <w:pStyle w:val="120"/>
        <w:jc w:val="both"/>
        <w:rPr>
          <w:rFonts w:hint="eastAsia" w:ascii="微软雅黑" w:hAnsi="微软雅黑" w:eastAsia="微软雅黑" w:cs="微软雅黑"/>
          <w:b/>
          <w:color w:val="auto"/>
          <w:sz w:val="21"/>
          <w:szCs w:val="21"/>
          <w:highlight w:val="none"/>
        </w:rPr>
      </w:pPr>
    </w:p>
    <w:p w14:paraId="107705B3">
      <w:pPr>
        <w:pStyle w:val="120"/>
        <w:ind w:firstLine="42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1.同类项目业绩一览表</w:t>
      </w:r>
    </w:p>
    <w:p w14:paraId="2DF994B8">
      <w:pPr>
        <w:pStyle w:val="120"/>
        <w:ind w:firstLine="42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同类项目业绩一览表</w:t>
      </w:r>
    </w:p>
    <w:tbl>
      <w:tblPr>
        <w:tblStyle w:val="52"/>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30DF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14F2E823">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578" w:type="dxa"/>
            <w:vAlign w:val="center"/>
          </w:tcPr>
          <w:p w14:paraId="7B4CA584">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采购人</w:t>
            </w:r>
          </w:p>
          <w:p w14:paraId="1EC936F0">
            <w:pPr>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名  称</w:t>
            </w:r>
          </w:p>
        </w:tc>
        <w:tc>
          <w:tcPr>
            <w:tcW w:w="2003" w:type="dxa"/>
            <w:vAlign w:val="center"/>
          </w:tcPr>
          <w:p w14:paraId="5899FE8C">
            <w:pPr>
              <w:tabs>
                <w:tab w:val="left" w:pos="6252"/>
              </w:tabs>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项目名称</w:t>
            </w:r>
          </w:p>
        </w:tc>
        <w:tc>
          <w:tcPr>
            <w:tcW w:w="1798" w:type="dxa"/>
            <w:vAlign w:val="center"/>
          </w:tcPr>
          <w:p w14:paraId="7F99E294">
            <w:pPr>
              <w:tabs>
                <w:tab w:val="left" w:pos="6252"/>
              </w:tabs>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项目起止时间</w:t>
            </w:r>
          </w:p>
        </w:tc>
        <w:tc>
          <w:tcPr>
            <w:tcW w:w="1291" w:type="dxa"/>
            <w:vAlign w:val="center"/>
          </w:tcPr>
          <w:p w14:paraId="7FE94188">
            <w:pPr>
              <w:tabs>
                <w:tab w:val="left" w:pos="6252"/>
              </w:tabs>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合同金额</w:t>
            </w:r>
          </w:p>
          <w:p w14:paraId="79D370D5">
            <w:pPr>
              <w:tabs>
                <w:tab w:val="left" w:pos="6252"/>
              </w:tabs>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（万元）</w:t>
            </w:r>
          </w:p>
        </w:tc>
        <w:tc>
          <w:tcPr>
            <w:tcW w:w="2193" w:type="dxa"/>
            <w:vAlign w:val="center"/>
          </w:tcPr>
          <w:p w14:paraId="7DD2CED0">
            <w:pPr>
              <w:tabs>
                <w:tab w:val="left" w:pos="6252"/>
              </w:tabs>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采购人联系人及联系电话</w:t>
            </w:r>
          </w:p>
        </w:tc>
      </w:tr>
      <w:tr w14:paraId="008E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25A69DB0">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578" w:type="dxa"/>
            <w:vAlign w:val="center"/>
          </w:tcPr>
          <w:p w14:paraId="6C6E1231">
            <w:pPr>
              <w:ind w:firstLine="0" w:firstLineChars="0"/>
              <w:jc w:val="center"/>
              <w:rPr>
                <w:rFonts w:hint="eastAsia" w:ascii="微软雅黑" w:hAnsi="微软雅黑" w:eastAsia="微软雅黑" w:cs="微软雅黑"/>
                <w:color w:val="auto"/>
                <w:sz w:val="21"/>
                <w:szCs w:val="21"/>
                <w:highlight w:val="none"/>
              </w:rPr>
            </w:pPr>
          </w:p>
        </w:tc>
        <w:tc>
          <w:tcPr>
            <w:tcW w:w="2003" w:type="dxa"/>
          </w:tcPr>
          <w:p w14:paraId="22803812">
            <w:pPr>
              <w:ind w:firstLine="0" w:firstLineChars="0"/>
              <w:jc w:val="center"/>
              <w:rPr>
                <w:rFonts w:hint="eastAsia" w:ascii="微软雅黑" w:hAnsi="微软雅黑" w:eastAsia="微软雅黑" w:cs="微软雅黑"/>
                <w:color w:val="auto"/>
                <w:sz w:val="21"/>
                <w:szCs w:val="21"/>
                <w:highlight w:val="none"/>
              </w:rPr>
            </w:pPr>
          </w:p>
        </w:tc>
        <w:tc>
          <w:tcPr>
            <w:tcW w:w="1798" w:type="dxa"/>
          </w:tcPr>
          <w:p w14:paraId="249F725F">
            <w:pPr>
              <w:ind w:firstLine="0" w:firstLineChars="0"/>
              <w:jc w:val="center"/>
              <w:rPr>
                <w:rFonts w:hint="eastAsia" w:ascii="微软雅黑" w:hAnsi="微软雅黑" w:eastAsia="微软雅黑" w:cs="微软雅黑"/>
                <w:color w:val="auto"/>
                <w:sz w:val="21"/>
                <w:szCs w:val="21"/>
                <w:highlight w:val="none"/>
              </w:rPr>
            </w:pPr>
          </w:p>
        </w:tc>
        <w:tc>
          <w:tcPr>
            <w:tcW w:w="1291" w:type="dxa"/>
            <w:vAlign w:val="center"/>
          </w:tcPr>
          <w:p w14:paraId="0854B7D3">
            <w:pPr>
              <w:ind w:firstLine="0" w:firstLineChars="0"/>
              <w:jc w:val="center"/>
              <w:rPr>
                <w:rFonts w:hint="eastAsia" w:ascii="微软雅黑" w:hAnsi="微软雅黑" w:eastAsia="微软雅黑" w:cs="微软雅黑"/>
                <w:color w:val="auto"/>
                <w:sz w:val="21"/>
                <w:szCs w:val="21"/>
                <w:highlight w:val="none"/>
              </w:rPr>
            </w:pPr>
          </w:p>
        </w:tc>
        <w:tc>
          <w:tcPr>
            <w:tcW w:w="2193" w:type="dxa"/>
            <w:vAlign w:val="center"/>
          </w:tcPr>
          <w:p w14:paraId="6EF65CD7">
            <w:pPr>
              <w:ind w:firstLine="0" w:firstLineChars="0"/>
              <w:jc w:val="center"/>
              <w:rPr>
                <w:rFonts w:hint="eastAsia" w:ascii="微软雅黑" w:hAnsi="微软雅黑" w:eastAsia="微软雅黑" w:cs="微软雅黑"/>
                <w:color w:val="auto"/>
                <w:sz w:val="21"/>
                <w:szCs w:val="21"/>
                <w:highlight w:val="none"/>
              </w:rPr>
            </w:pPr>
          </w:p>
        </w:tc>
      </w:tr>
      <w:tr w14:paraId="370F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723262A7">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578" w:type="dxa"/>
            <w:vAlign w:val="center"/>
          </w:tcPr>
          <w:p w14:paraId="4E407B5E">
            <w:pPr>
              <w:ind w:firstLine="0" w:firstLineChars="0"/>
              <w:jc w:val="center"/>
              <w:rPr>
                <w:rFonts w:hint="eastAsia" w:ascii="微软雅黑" w:hAnsi="微软雅黑" w:eastAsia="微软雅黑" w:cs="微软雅黑"/>
                <w:color w:val="auto"/>
                <w:sz w:val="21"/>
                <w:szCs w:val="21"/>
                <w:highlight w:val="none"/>
              </w:rPr>
            </w:pPr>
          </w:p>
        </w:tc>
        <w:tc>
          <w:tcPr>
            <w:tcW w:w="2003" w:type="dxa"/>
          </w:tcPr>
          <w:p w14:paraId="1998D042">
            <w:pPr>
              <w:ind w:firstLine="0" w:firstLineChars="0"/>
              <w:jc w:val="center"/>
              <w:rPr>
                <w:rFonts w:hint="eastAsia" w:ascii="微软雅黑" w:hAnsi="微软雅黑" w:eastAsia="微软雅黑" w:cs="微软雅黑"/>
                <w:color w:val="auto"/>
                <w:sz w:val="21"/>
                <w:szCs w:val="21"/>
                <w:highlight w:val="none"/>
              </w:rPr>
            </w:pPr>
          </w:p>
        </w:tc>
        <w:tc>
          <w:tcPr>
            <w:tcW w:w="1798" w:type="dxa"/>
          </w:tcPr>
          <w:p w14:paraId="25FD5371">
            <w:pPr>
              <w:ind w:firstLine="0" w:firstLineChars="0"/>
              <w:jc w:val="center"/>
              <w:rPr>
                <w:rFonts w:hint="eastAsia" w:ascii="微软雅黑" w:hAnsi="微软雅黑" w:eastAsia="微软雅黑" w:cs="微软雅黑"/>
                <w:color w:val="auto"/>
                <w:sz w:val="21"/>
                <w:szCs w:val="21"/>
                <w:highlight w:val="none"/>
              </w:rPr>
            </w:pPr>
          </w:p>
        </w:tc>
        <w:tc>
          <w:tcPr>
            <w:tcW w:w="1291" w:type="dxa"/>
            <w:vAlign w:val="center"/>
          </w:tcPr>
          <w:p w14:paraId="39D7D033">
            <w:pPr>
              <w:ind w:firstLine="0" w:firstLineChars="0"/>
              <w:jc w:val="center"/>
              <w:rPr>
                <w:rFonts w:hint="eastAsia" w:ascii="微软雅黑" w:hAnsi="微软雅黑" w:eastAsia="微软雅黑" w:cs="微软雅黑"/>
                <w:color w:val="auto"/>
                <w:sz w:val="21"/>
                <w:szCs w:val="21"/>
                <w:highlight w:val="none"/>
              </w:rPr>
            </w:pPr>
          </w:p>
        </w:tc>
        <w:tc>
          <w:tcPr>
            <w:tcW w:w="2193" w:type="dxa"/>
            <w:vAlign w:val="center"/>
          </w:tcPr>
          <w:p w14:paraId="1ED83274">
            <w:pPr>
              <w:ind w:firstLine="0" w:firstLineChars="0"/>
              <w:jc w:val="center"/>
              <w:rPr>
                <w:rFonts w:hint="eastAsia" w:ascii="微软雅黑" w:hAnsi="微软雅黑" w:eastAsia="微软雅黑" w:cs="微软雅黑"/>
                <w:color w:val="auto"/>
                <w:sz w:val="21"/>
                <w:szCs w:val="21"/>
                <w:highlight w:val="none"/>
              </w:rPr>
            </w:pPr>
          </w:p>
        </w:tc>
      </w:tr>
      <w:tr w14:paraId="5784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2C3270D9">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578" w:type="dxa"/>
            <w:vAlign w:val="center"/>
          </w:tcPr>
          <w:p w14:paraId="6642815C">
            <w:pPr>
              <w:ind w:firstLine="0" w:firstLineChars="0"/>
              <w:jc w:val="center"/>
              <w:rPr>
                <w:rFonts w:hint="eastAsia" w:ascii="微软雅黑" w:hAnsi="微软雅黑" w:eastAsia="微软雅黑" w:cs="微软雅黑"/>
                <w:color w:val="auto"/>
                <w:sz w:val="21"/>
                <w:szCs w:val="21"/>
                <w:highlight w:val="none"/>
              </w:rPr>
            </w:pPr>
          </w:p>
        </w:tc>
        <w:tc>
          <w:tcPr>
            <w:tcW w:w="2003" w:type="dxa"/>
          </w:tcPr>
          <w:p w14:paraId="465B945E">
            <w:pPr>
              <w:ind w:firstLine="0" w:firstLineChars="0"/>
              <w:jc w:val="center"/>
              <w:rPr>
                <w:rFonts w:hint="eastAsia" w:ascii="微软雅黑" w:hAnsi="微软雅黑" w:eastAsia="微软雅黑" w:cs="微软雅黑"/>
                <w:color w:val="auto"/>
                <w:sz w:val="21"/>
                <w:szCs w:val="21"/>
                <w:highlight w:val="none"/>
              </w:rPr>
            </w:pPr>
          </w:p>
        </w:tc>
        <w:tc>
          <w:tcPr>
            <w:tcW w:w="1798" w:type="dxa"/>
          </w:tcPr>
          <w:p w14:paraId="06363C4F">
            <w:pPr>
              <w:ind w:firstLine="0" w:firstLineChars="0"/>
              <w:jc w:val="center"/>
              <w:rPr>
                <w:rFonts w:hint="eastAsia" w:ascii="微软雅黑" w:hAnsi="微软雅黑" w:eastAsia="微软雅黑" w:cs="微软雅黑"/>
                <w:color w:val="auto"/>
                <w:sz w:val="21"/>
                <w:szCs w:val="21"/>
                <w:highlight w:val="none"/>
              </w:rPr>
            </w:pPr>
          </w:p>
        </w:tc>
        <w:tc>
          <w:tcPr>
            <w:tcW w:w="1291" w:type="dxa"/>
            <w:vAlign w:val="center"/>
          </w:tcPr>
          <w:p w14:paraId="4C2CB499">
            <w:pPr>
              <w:ind w:firstLine="0" w:firstLineChars="0"/>
              <w:jc w:val="center"/>
              <w:rPr>
                <w:rFonts w:hint="eastAsia" w:ascii="微软雅黑" w:hAnsi="微软雅黑" w:eastAsia="微软雅黑" w:cs="微软雅黑"/>
                <w:color w:val="auto"/>
                <w:sz w:val="21"/>
                <w:szCs w:val="21"/>
                <w:highlight w:val="none"/>
              </w:rPr>
            </w:pPr>
          </w:p>
        </w:tc>
        <w:tc>
          <w:tcPr>
            <w:tcW w:w="2193" w:type="dxa"/>
            <w:vAlign w:val="center"/>
          </w:tcPr>
          <w:p w14:paraId="06909B41">
            <w:pPr>
              <w:ind w:firstLine="0" w:firstLineChars="0"/>
              <w:jc w:val="center"/>
              <w:rPr>
                <w:rFonts w:hint="eastAsia" w:ascii="微软雅黑" w:hAnsi="微软雅黑" w:eastAsia="微软雅黑" w:cs="微软雅黑"/>
                <w:color w:val="auto"/>
                <w:sz w:val="21"/>
                <w:szCs w:val="21"/>
                <w:highlight w:val="none"/>
              </w:rPr>
            </w:pPr>
          </w:p>
        </w:tc>
      </w:tr>
    </w:tbl>
    <w:p w14:paraId="0509C709">
      <w:pPr>
        <w:pStyle w:val="120"/>
        <w:ind w:firstLine="420"/>
        <w:jc w:val="center"/>
        <w:rPr>
          <w:rFonts w:hint="eastAsia" w:ascii="微软雅黑" w:hAnsi="微软雅黑" w:eastAsia="微软雅黑" w:cs="微软雅黑"/>
          <w:b/>
          <w:color w:val="auto"/>
          <w:sz w:val="21"/>
          <w:szCs w:val="21"/>
          <w:highlight w:val="none"/>
        </w:rPr>
      </w:pPr>
    </w:p>
    <w:p w14:paraId="438FE671">
      <w:pPr>
        <w:snapToGrid w:val="0"/>
        <w:spacing w:before="120" w:beforeLines="50"/>
        <w:ind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注：</w:t>
      </w:r>
      <w:r>
        <w:rPr>
          <w:rFonts w:hint="eastAsia" w:ascii="微软雅黑" w:hAnsi="微软雅黑" w:eastAsia="微软雅黑" w:cs="微软雅黑"/>
          <w:color w:val="auto"/>
          <w:sz w:val="21"/>
          <w:szCs w:val="21"/>
          <w:highlight w:val="none"/>
        </w:rPr>
        <w:t>须同时提供合同复印件证明材料加盖公章</w:t>
      </w:r>
    </w:p>
    <w:p w14:paraId="24E5BF98">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6146047C">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4D487146">
      <w:pPr>
        <w:ind w:firstLine="420"/>
        <w:rPr>
          <w:rFonts w:hint="eastAsia" w:ascii="微软雅黑" w:hAnsi="微软雅黑" w:eastAsia="微软雅黑" w:cs="微软雅黑"/>
          <w:b/>
          <w:color w:val="auto"/>
          <w:sz w:val="21"/>
          <w:szCs w:val="21"/>
          <w:highlight w:val="none"/>
        </w:rPr>
        <w:sectPr>
          <w:pgSz w:w="11906" w:h="16838"/>
          <w:pgMar w:top="1276" w:right="1418" w:bottom="1247" w:left="1418" w:header="851" w:footer="992" w:gutter="0"/>
          <w:cols w:space="720" w:num="1"/>
          <w:titlePg/>
          <w:docGrid w:linePitch="312" w:charSpace="0"/>
        </w:sectPr>
      </w:pPr>
      <w:r>
        <w:rPr>
          <w:rFonts w:hint="eastAsia" w:ascii="微软雅黑" w:hAnsi="微软雅黑" w:eastAsia="微软雅黑" w:cs="微软雅黑"/>
          <w:color w:val="auto"/>
          <w:sz w:val="21"/>
          <w:szCs w:val="21"/>
          <w:highlight w:val="none"/>
        </w:rPr>
        <w:t xml:space="preserve">          日期： 年 月 日</w:t>
      </w:r>
    </w:p>
    <w:p w14:paraId="404A702B">
      <w:pP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sz w:val="21"/>
          <w:szCs w:val="21"/>
          <w:highlight w:val="none"/>
        </w:rPr>
        <w:t>2.商务响应表格式：</w:t>
      </w:r>
    </w:p>
    <w:p w14:paraId="565BC617">
      <w:pPr>
        <w:ind w:firstLine="420"/>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商务响应表</w:t>
      </w:r>
    </w:p>
    <w:tbl>
      <w:tblPr>
        <w:tblStyle w:val="52"/>
        <w:tblW w:w="9026"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14:paraId="54B1B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63378C45">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3086" w:type="dxa"/>
          </w:tcPr>
          <w:p w14:paraId="4CC7938F">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磋商文件的规定</w:t>
            </w:r>
          </w:p>
        </w:tc>
        <w:tc>
          <w:tcPr>
            <w:tcW w:w="3710" w:type="dxa"/>
          </w:tcPr>
          <w:p w14:paraId="00BBA450">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响应文件的响应</w:t>
            </w:r>
          </w:p>
        </w:tc>
        <w:tc>
          <w:tcPr>
            <w:tcW w:w="1320" w:type="dxa"/>
          </w:tcPr>
          <w:p w14:paraId="1241BEDB">
            <w:pPr>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偏离说明</w:t>
            </w:r>
          </w:p>
        </w:tc>
      </w:tr>
      <w:tr w14:paraId="6E806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22EDA2CC">
            <w:pPr>
              <w:ind w:firstLine="0" w:firstLineChars="0"/>
              <w:rPr>
                <w:rFonts w:hint="eastAsia" w:ascii="微软雅黑" w:hAnsi="微软雅黑" w:eastAsia="微软雅黑" w:cs="微软雅黑"/>
                <w:color w:val="auto"/>
                <w:sz w:val="21"/>
                <w:szCs w:val="21"/>
                <w:highlight w:val="none"/>
              </w:rPr>
            </w:pPr>
          </w:p>
        </w:tc>
        <w:tc>
          <w:tcPr>
            <w:tcW w:w="3086" w:type="dxa"/>
          </w:tcPr>
          <w:p w14:paraId="552FB186">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服务期限</w:t>
            </w:r>
          </w:p>
        </w:tc>
        <w:tc>
          <w:tcPr>
            <w:tcW w:w="3710" w:type="dxa"/>
          </w:tcPr>
          <w:p w14:paraId="2DC6FD33">
            <w:pPr>
              <w:ind w:firstLine="0" w:firstLineChars="0"/>
              <w:rPr>
                <w:rFonts w:hint="eastAsia" w:ascii="微软雅黑" w:hAnsi="微软雅黑" w:eastAsia="微软雅黑" w:cs="微软雅黑"/>
                <w:color w:val="auto"/>
                <w:sz w:val="21"/>
                <w:szCs w:val="21"/>
                <w:highlight w:val="none"/>
              </w:rPr>
            </w:pPr>
          </w:p>
        </w:tc>
        <w:tc>
          <w:tcPr>
            <w:tcW w:w="1320" w:type="dxa"/>
          </w:tcPr>
          <w:p w14:paraId="38A448C2">
            <w:pPr>
              <w:ind w:firstLine="0" w:firstLineChars="0"/>
              <w:rPr>
                <w:rFonts w:hint="eastAsia" w:ascii="微软雅黑" w:hAnsi="微软雅黑" w:eastAsia="微软雅黑" w:cs="微软雅黑"/>
                <w:color w:val="auto"/>
                <w:sz w:val="21"/>
                <w:szCs w:val="21"/>
                <w:highlight w:val="none"/>
              </w:rPr>
            </w:pPr>
          </w:p>
        </w:tc>
      </w:tr>
      <w:tr w14:paraId="05273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14:paraId="6678AD2A">
            <w:pPr>
              <w:ind w:firstLine="0" w:firstLineChars="0"/>
              <w:rPr>
                <w:rFonts w:hint="eastAsia" w:ascii="微软雅黑" w:hAnsi="微软雅黑" w:eastAsia="微软雅黑" w:cs="微软雅黑"/>
                <w:color w:val="auto"/>
                <w:sz w:val="21"/>
                <w:szCs w:val="21"/>
                <w:highlight w:val="none"/>
              </w:rPr>
            </w:pPr>
          </w:p>
        </w:tc>
        <w:tc>
          <w:tcPr>
            <w:tcW w:w="3086" w:type="dxa"/>
          </w:tcPr>
          <w:p w14:paraId="1E486885">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付款方式</w:t>
            </w:r>
          </w:p>
        </w:tc>
        <w:tc>
          <w:tcPr>
            <w:tcW w:w="3710" w:type="dxa"/>
          </w:tcPr>
          <w:p w14:paraId="1D0C5B81">
            <w:pPr>
              <w:ind w:firstLine="0" w:firstLineChars="0"/>
              <w:rPr>
                <w:rFonts w:hint="eastAsia" w:ascii="微软雅黑" w:hAnsi="微软雅黑" w:eastAsia="微软雅黑" w:cs="微软雅黑"/>
                <w:color w:val="auto"/>
                <w:sz w:val="21"/>
                <w:szCs w:val="21"/>
                <w:highlight w:val="none"/>
              </w:rPr>
            </w:pPr>
          </w:p>
        </w:tc>
        <w:tc>
          <w:tcPr>
            <w:tcW w:w="1320" w:type="dxa"/>
          </w:tcPr>
          <w:p w14:paraId="2FAE9C58">
            <w:pPr>
              <w:ind w:firstLine="0" w:firstLineChars="0"/>
              <w:rPr>
                <w:rFonts w:hint="eastAsia" w:ascii="微软雅黑" w:hAnsi="微软雅黑" w:eastAsia="微软雅黑" w:cs="微软雅黑"/>
                <w:color w:val="auto"/>
                <w:sz w:val="21"/>
                <w:szCs w:val="21"/>
                <w:highlight w:val="none"/>
              </w:rPr>
            </w:pPr>
          </w:p>
        </w:tc>
      </w:tr>
      <w:tr w14:paraId="2FED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10908DCD">
            <w:pPr>
              <w:ind w:firstLine="0" w:firstLineChars="0"/>
              <w:rPr>
                <w:rFonts w:hint="eastAsia" w:ascii="微软雅黑" w:hAnsi="微软雅黑" w:eastAsia="微软雅黑" w:cs="微软雅黑"/>
                <w:color w:val="auto"/>
                <w:sz w:val="21"/>
                <w:szCs w:val="21"/>
                <w:highlight w:val="none"/>
              </w:rPr>
            </w:pPr>
          </w:p>
        </w:tc>
        <w:tc>
          <w:tcPr>
            <w:tcW w:w="3086" w:type="dxa"/>
          </w:tcPr>
          <w:p w14:paraId="22D7D67C">
            <w:pPr>
              <w:ind w:firstLine="0" w:firstLineChars="0"/>
              <w:rPr>
                <w:rFonts w:hint="eastAsia" w:ascii="微软雅黑" w:hAnsi="微软雅黑" w:eastAsia="微软雅黑" w:cs="微软雅黑"/>
                <w:color w:val="auto"/>
                <w:sz w:val="21"/>
                <w:szCs w:val="21"/>
                <w:highlight w:val="none"/>
              </w:rPr>
            </w:pPr>
          </w:p>
        </w:tc>
        <w:tc>
          <w:tcPr>
            <w:tcW w:w="3710" w:type="dxa"/>
          </w:tcPr>
          <w:p w14:paraId="3E59D507">
            <w:pPr>
              <w:ind w:firstLine="0" w:firstLineChars="0"/>
              <w:rPr>
                <w:rFonts w:hint="eastAsia" w:ascii="微软雅黑" w:hAnsi="微软雅黑" w:eastAsia="微软雅黑" w:cs="微软雅黑"/>
                <w:color w:val="auto"/>
                <w:sz w:val="21"/>
                <w:szCs w:val="21"/>
                <w:highlight w:val="none"/>
              </w:rPr>
            </w:pPr>
          </w:p>
        </w:tc>
        <w:tc>
          <w:tcPr>
            <w:tcW w:w="1320" w:type="dxa"/>
          </w:tcPr>
          <w:p w14:paraId="60738390">
            <w:pPr>
              <w:ind w:firstLine="0" w:firstLineChars="0"/>
              <w:rPr>
                <w:rFonts w:hint="eastAsia" w:ascii="微软雅黑" w:hAnsi="微软雅黑" w:eastAsia="微软雅黑" w:cs="微软雅黑"/>
                <w:color w:val="auto"/>
                <w:sz w:val="21"/>
                <w:szCs w:val="21"/>
                <w:highlight w:val="none"/>
              </w:rPr>
            </w:pPr>
          </w:p>
        </w:tc>
      </w:tr>
    </w:tbl>
    <w:p w14:paraId="76EC1B08">
      <w:pPr>
        <w:ind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注：投标供应商的响应文件（除技术规格部分）与磋商文件之规定存在偏离的，应在此表中如实说明。未在上表中说明的，将被认为完全响应磋商文件的规定。</w:t>
      </w:r>
    </w:p>
    <w:p w14:paraId="2DE0C8CA">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15E1A09C">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0F0722ED">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12016DA6">
      <w:pPr>
        <w:ind w:firstLine="640"/>
        <w:jc w:val="center"/>
        <w:rPr>
          <w:rFonts w:hint="eastAsia" w:ascii="微软雅黑" w:hAnsi="微软雅黑" w:eastAsia="微软雅黑" w:cs="微软雅黑"/>
          <w:b/>
          <w:color w:val="auto"/>
          <w:kern w:val="0"/>
          <w:sz w:val="21"/>
          <w:szCs w:val="21"/>
          <w:highlight w:val="none"/>
        </w:rPr>
      </w:pPr>
    </w:p>
    <w:p w14:paraId="3935E1B1">
      <w:pPr>
        <w:ind w:firstLine="640"/>
        <w:jc w:val="center"/>
        <w:rPr>
          <w:rFonts w:hint="eastAsia" w:ascii="微软雅黑" w:hAnsi="微软雅黑" w:eastAsia="微软雅黑" w:cs="微软雅黑"/>
          <w:b/>
          <w:color w:val="auto"/>
          <w:kern w:val="0"/>
          <w:sz w:val="21"/>
          <w:szCs w:val="21"/>
          <w:highlight w:val="none"/>
        </w:rPr>
      </w:pPr>
    </w:p>
    <w:p w14:paraId="1FD76886">
      <w:pPr>
        <w:snapToGrid w:val="0"/>
        <w:spacing w:before="50" w:after="120" w:afterLines="50"/>
        <w:rPr>
          <w:rFonts w:hint="eastAsia" w:ascii="微软雅黑" w:hAnsi="微软雅黑" w:eastAsia="微软雅黑" w:cs="微软雅黑"/>
          <w:b/>
          <w:color w:val="auto"/>
          <w:sz w:val="21"/>
          <w:szCs w:val="21"/>
          <w:highlight w:val="none"/>
        </w:rPr>
        <w:sectPr>
          <w:pgSz w:w="11906" w:h="16838"/>
          <w:pgMar w:top="1276" w:right="1418" w:bottom="1247" w:left="1418" w:header="851" w:footer="992" w:gutter="0"/>
          <w:cols w:space="720" w:num="1"/>
          <w:titlePg/>
          <w:docGrid w:linePitch="312" w:charSpace="0"/>
        </w:sectPr>
      </w:pPr>
    </w:p>
    <w:p w14:paraId="6EF599BF">
      <w:pPr>
        <w:snapToGrid w:val="0"/>
        <w:spacing w:before="50" w:after="120" w:afterLines="50"/>
        <w:ind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3.技术响应表格式：</w:t>
      </w:r>
    </w:p>
    <w:p w14:paraId="212FC800">
      <w:pPr>
        <w:snapToGrid w:val="0"/>
        <w:spacing w:before="50" w:after="120" w:after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b/>
          <w:color w:val="auto"/>
          <w:sz w:val="21"/>
          <w:szCs w:val="21"/>
          <w:highlight w:val="none"/>
        </w:rPr>
        <w:t>技术响应表</w:t>
      </w:r>
    </w:p>
    <w:tbl>
      <w:tblPr>
        <w:tblStyle w:val="52"/>
        <w:tblW w:w="82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14:paraId="60D1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14:paraId="53F4D946">
            <w:pPr>
              <w:pStyle w:val="28"/>
              <w:spacing w:after="0" w:line="360" w:lineRule="auto"/>
              <w:ind w:firstLine="0" w:firstLineChars="0"/>
              <w:rPr>
                <w:rFonts w:hint="eastAsia" w:ascii="微软雅黑" w:hAnsi="微软雅黑" w:eastAsia="微软雅黑" w:cs="微软雅黑"/>
                <w:color w:val="auto"/>
                <w:sz w:val="21"/>
                <w:szCs w:val="21"/>
                <w:highlight w:val="none"/>
              </w:rPr>
            </w:pPr>
            <w:bookmarkStart w:id="277" w:name="_Toc191238340"/>
            <w:bookmarkStart w:id="278" w:name="_Toc25932"/>
            <w:bookmarkStart w:id="279" w:name="_Toc13640"/>
            <w:bookmarkStart w:id="280" w:name="_Toc25538"/>
            <w:bookmarkStart w:id="281" w:name="_Toc465368115"/>
            <w:bookmarkStart w:id="282" w:name="_Toc164943227"/>
            <w:r>
              <w:rPr>
                <w:rFonts w:hint="eastAsia" w:ascii="微软雅黑" w:hAnsi="微软雅黑" w:eastAsia="微软雅黑" w:cs="微软雅黑"/>
                <w:color w:val="auto"/>
                <w:sz w:val="21"/>
                <w:szCs w:val="21"/>
                <w:highlight w:val="none"/>
              </w:rPr>
              <w:t>序号</w:t>
            </w:r>
            <w:bookmarkEnd w:id="277"/>
            <w:bookmarkEnd w:id="278"/>
            <w:bookmarkEnd w:id="279"/>
            <w:bookmarkEnd w:id="280"/>
            <w:bookmarkEnd w:id="281"/>
            <w:bookmarkEnd w:id="282"/>
          </w:p>
        </w:tc>
        <w:tc>
          <w:tcPr>
            <w:tcW w:w="1056" w:type="dxa"/>
            <w:tcBorders>
              <w:top w:val="single" w:color="auto" w:sz="4" w:space="0"/>
              <w:left w:val="single" w:color="auto" w:sz="4" w:space="0"/>
              <w:bottom w:val="single" w:color="auto" w:sz="4" w:space="0"/>
              <w:right w:val="single" w:color="auto" w:sz="4" w:space="0"/>
            </w:tcBorders>
          </w:tcPr>
          <w:p w14:paraId="07B69656">
            <w:pPr>
              <w:pStyle w:val="28"/>
              <w:spacing w:after="0" w:line="360" w:lineRule="auto"/>
              <w:ind w:firstLine="0" w:firstLineChars="0"/>
              <w:rPr>
                <w:rFonts w:hint="eastAsia" w:ascii="微软雅黑" w:hAnsi="微软雅黑" w:eastAsia="微软雅黑" w:cs="微软雅黑"/>
                <w:color w:val="auto"/>
                <w:sz w:val="21"/>
                <w:szCs w:val="21"/>
                <w:highlight w:val="none"/>
              </w:rPr>
            </w:pPr>
            <w:bookmarkStart w:id="283" w:name="_Toc164943228"/>
            <w:bookmarkStart w:id="284" w:name="_Toc6894"/>
            <w:bookmarkStart w:id="285" w:name="_Toc702241305"/>
            <w:bookmarkStart w:id="286" w:name="_Toc10032"/>
            <w:bookmarkStart w:id="287" w:name="_Toc26241"/>
            <w:bookmarkStart w:id="288" w:name="_Toc191238341"/>
            <w:r>
              <w:rPr>
                <w:rFonts w:hint="eastAsia" w:ascii="微软雅黑" w:hAnsi="微软雅黑" w:eastAsia="微软雅黑" w:cs="微软雅黑"/>
                <w:color w:val="auto"/>
                <w:sz w:val="21"/>
                <w:szCs w:val="21"/>
                <w:highlight w:val="none"/>
              </w:rPr>
              <w:t>服务</w:t>
            </w:r>
            <w:bookmarkEnd w:id="283"/>
            <w:bookmarkEnd w:id="284"/>
            <w:bookmarkEnd w:id="285"/>
            <w:bookmarkEnd w:id="286"/>
            <w:bookmarkEnd w:id="287"/>
            <w:r>
              <w:rPr>
                <w:rFonts w:hint="eastAsia" w:ascii="微软雅黑" w:hAnsi="微软雅黑" w:eastAsia="微软雅黑" w:cs="微软雅黑"/>
                <w:color w:val="auto"/>
                <w:sz w:val="21"/>
                <w:szCs w:val="21"/>
                <w:highlight w:val="none"/>
              </w:rPr>
              <w:t>内容</w:t>
            </w:r>
            <w:bookmarkEnd w:id="288"/>
          </w:p>
        </w:tc>
        <w:tc>
          <w:tcPr>
            <w:tcW w:w="1896" w:type="dxa"/>
            <w:tcBorders>
              <w:top w:val="single" w:color="auto" w:sz="4" w:space="0"/>
              <w:left w:val="single" w:color="auto" w:sz="4" w:space="0"/>
              <w:bottom w:val="single" w:color="auto" w:sz="4" w:space="0"/>
              <w:right w:val="single" w:color="auto" w:sz="4" w:space="0"/>
            </w:tcBorders>
          </w:tcPr>
          <w:p w14:paraId="23954B3A">
            <w:pPr>
              <w:pStyle w:val="28"/>
              <w:spacing w:after="0" w:line="360" w:lineRule="auto"/>
              <w:ind w:firstLine="0" w:firstLineChars="0"/>
              <w:rPr>
                <w:rFonts w:hint="eastAsia" w:ascii="微软雅黑" w:hAnsi="微软雅黑" w:eastAsia="微软雅黑" w:cs="微软雅黑"/>
                <w:color w:val="auto"/>
                <w:sz w:val="21"/>
                <w:szCs w:val="21"/>
                <w:highlight w:val="none"/>
              </w:rPr>
            </w:pPr>
            <w:bookmarkStart w:id="289" w:name="_Toc402963128"/>
            <w:bookmarkStart w:id="290" w:name="_Toc382928118"/>
            <w:bookmarkStart w:id="291" w:name="_Toc402963095"/>
            <w:bookmarkStart w:id="292" w:name="_Toc385854110"/>
            <w:bookmarkStart w:id="293" w:name="_Toc377028119"/>
            <w:bookmarkStart w:id="294" w:name="_Toc385854156"/>
            <w:bookmarkStart w:id="295" w:name="_Toc401570314"/>
            <w:bookmarkStart w:id="296" w:name="_Toc382928236"/>
            <w:bookmarkStart w:id="297" w:name="_Toc406403001"/>
            <w:bookmarkStart w:id="298" w:name="_Toc377653976"/>
            <w:bookmarkStart w:id="299" w:name="_Toc406402957"/>
            <w:bookmarkStart w:id="300" w:name="_Toc377028057"/>
            <w:bookmarkStart w:id="301" w:name="_Toc381081903"/>
            <w:bookmarkStart w:id="302" w:name="_Toc401570290"/>
            <w:bookmarkStart w:id="303" w:name="_Toc406403005"/>
            <w:bookmarkStart w:id="304" w:name="_Toc7704"/>
            <w:bookmarkStart w:id="305" w:name="_Toc381081907"/>
            <w:bookmarkStart w:id="306" w:name="_Toc164943229"/>
            <w:bookmarkStart w:id="307" w:name="_Toc406402961"/>
            <w:bookmarkStart w:id="308" w:name="_Toc401570318"/>
            <w:bookmarkStart w:id="309" w:name="_Toc402963099"/>
            <w:bookmarkStart w:id="310" w:name="_Toc401570294"/>
            <w:bookmarkStart w:id="311" w:name="_Toc382928240"/>
            <w:bookmarkStart w:id="312" w:name="_Toc385854114"/>
            <w:bookmarkStart w:id="313" w:name="_Toc25293"/>
            <w:bookmarkStart w:id="314" w:name="_Toc402963132"/>
            <w:bookmarkStart w:id="315" w:name="_Toc377028123"/>
            <w:bookmarkStart w:id="316" w:name="_Toc377653980"/>
            <w:bookmarkStart w:id="317" w:name="_Toc191238342"/>
            <w:bookmarkStart w:id="318" w:name="_Toc382928122"/>
            <w:bookmarkStart w:id="319" w:name="_Toc14953"/>
            <w:bookmarkStart w:id="320" w:name="_Toc377028061"/>
            <w:bookmarkStart w:id="321" w:name="_Toc734611807"/>
            <w:bookmarkStart w:id="322" w:name="_Toc385854160"/>
            <w:r>
              <w:rPr>
                <w:rFonts w:hint="eastAsia" w:ascii="微软雅黑" w:hAnsi="微软雅黑" w:eastAsia="微软雅黑" w:cs="微软雅黑"/>
                <w:color w:val="auto"/>
                <w:sz w:val="21"/>
                <w:szCs w:val="21"/>
                <w:highlight w:val="none"/>
              </w:rPr>
              <w:t>磋商文件要求</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hint="eastAsia" w:ascii="微软雅黑" w:hAnsi="微软雅黑" w:eastAsia="微软雅黑" w:cs="微软雅黑"/>
                <w:color w:val="auto"/>
                <w:sz w:val="21"/>
                <w:szCs w:val="21"/>
                <w:highlight w:val="none"/>
              </w:rPr>
              <w:t>要求</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tc>
        <w:tc>
          <w:tcPr>
            <w:tcW w:w="1896" w:type="dxa"/>
            <w:tcBorders>
              <w:top w:val="single" w:color="auto" w:sz="4" w:space="0"/>
              <w:left w:val="single" w:color="auto" w:sz="4" w:space="0"/>
              <w:bottom w:val="single" w:color="auto" w:sz="4" w:space="0"/>
              <w:right w:val="single" w:color="auto" w:sz="4" w:space="0"/>
            </w:tcBorders>
          </w:tcPr>
          <w:p w14:paraId="485147F5">
            <w:pPr>
              <w:pStyle w:val="28"/>
              <w:spacing w:after="0" w:line="360" w:lineRule="auto"/>
              <w:ind w:firstLine="0" w:firstLineChars="0"/>
              <w:rPr>
                <w:rFonts w:hint="eastAsia" w:ascii="微软雅黑" w:hAnsi="微软雅黑" w:eastAsia="微软雅黑" w:cs="微软雅黑"/>
                <w:color w:val="auto"/>
                <w:sz w:val="21"/>
                <w:szCs w:val="21"/>
                <w:highlight w:val="none"/>
              </w:rPr>
            </w:pPr>
            <w:bookmarkStart w:id="323" w:name="_Toc8630"/>
            <w:bookmarkStart w:id="324" w:name="_Toc6139"/>
            <w:bookmarkStart w:id="325" w:name="_Toc191238343"/>
            <w:bookmarkStart w:id="326" w:name="_Toc929162729"/>
            <w:bookmarkStart w:id="327" w:name="_Toc18303"/>
            <w:bookmarkStart w:id="328" w:name="_Toc164943230"/>
            <w:r>
              <w:rPr>
                <w:rFonts w:hint="eastAsia" w:ascii="微软雅黑" w:hAnsi="微软雅黑" w:eastAsia="微软雅黑" w:cs="微软雅黑"/>
                <w:color w:val="auto"/>
                <w:sz w:val="21"/>
                <w:szCs w:val="21"/>
                <w:highlight w:val="none"/>
              </w:rPr>
              <w:t>响应文件性能指标</w:t>
            </w:r>
            <w:bookmarkEnd w:id="323"/>
            <w:bookmarkEnd w:id="324"/>
            <w:bookmarkEnd w:id="325"/>
            <w:bookmarkEnd w:id="326"/>
            <w:bookmarkEnd w:id="327"/>
            <w:bookmarkEnd w:id="328"/>
          </w:p>
        </w:tc>
        <w:tc>
          <w:tcPr>
            <w:tcW w:w="2106" w:type="dxa"/>
            <w:tcBorders>
              <w:top w:val="single" w:color="auto" w:sz="4" w:space="0"/>
              <w:left w:val="single" w:color="auto" w:sz="4" w:space="0"/>
              <w:bottom w:val="single" w:color="auto" w:sz="4" w:space="0"/>
              <w:right w:val="single" w:color="auto" w:sz="4" w:space="0"/>
            </w:tcBorders>
          </w:tcPr>
          <w:p w14:paraId="72AC2CF0">
            <w:pPr>
              <w:pStyle w:val="28"/>
              <w:spacing w:after="0" w:line="360" w:lineRule="auto"/>
              <w:ind w:firstLine="0" w:firstLineChars="0"/>
              <w:rPr>
                <w:rFonts w:hint="eastAsia" w:ascii="微软雅黑" w:hAnsi="微软雅黑" w:eastAsia="微软雅黑" w:cs="微软雅黑"/>
                <w:color w:val="auto"/>
                <w:sz w:val="21"/>
                <w:szCs w:val="21"/>
                <w:highlight w:val="none"/>
              </w:rPr>
            </w:pPr>
            <w:bookmarkStart w:id="329" w:name="_Toc406402959"/>
            <w:bookmarkStart w:id="330" w:name="_Toc385854112"/>
            <w:bookmarkStart w:id="331" w:name="_Toc377028059"/>
            <w:bookmarkStart w:id="332" w:name="_Toc406403003"/>
            <w:bookmarkStart w:id="333" w:name="_Toc385854158"/>
            <w:bookmarkStart w:id="334" w:name="_Toc382928238"/>
            <w:bookmarkStart w:id="335" w:name="_Toc377653978"/>
            <w:bookmarkStart w:id="336" w:name="_Toc401570316"/>
            <w:bookmarkStart w:id="337" w:name="_Toc402963097"/>
            <w:bookmarkStart w:id="338" w:name="_Toc402963130"/>
            <w:bookmarkStart w:id="339" w:name="_Toc377028121"/>
            <w:bookmarkStart w:id="340" w:name="_Toc381081905"/>
            <w:bookmarkStart w:id="341" w:name="_Toc382928120"/>
            <w:bookmarkStart w:id="342" w:name="_Toc401570292"/>
            <w:bookmarkStart w:id="343" w:name="_Toc961276098"/>
            <w:bookmarkStart w:id="344" w:name="_Toc6064"/>
            <w:bookmarkStart w:id="345" w:name="_Toc4910"/>
            <w:bookmarkStart w:id="346" w:name="_Toc13109"/>
            <w:bookmarkStart w:id="347" w:name="_Toc191238344"/>
            <w:bookmarkStart w:id="348" w:name="_Toc164943231"/>
            <w:r>
              <w:rPr>
                <w:rFonts w:hint="eastAsia" w:ascii="微软雅黑" w:hAnsi="微软雅黑" w:eastAsia="微软雅黑" w:cs="微软雅黑"/>
                <w:color w:val="auto"/>
                <w:sz w:val="21"/>
                <w:szCs w:val="21"/>
                <w:highlight w:val="none"/>
              </w:rPr>
              <w:t>偏离情况</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hint="eastAsia" w:ascii="微软雅黑" w:hAnsi="微软雅黑" w:eastAsia="微软雅黑" w:cs="微软雅黑"/>
                <w:color w:val="auto"/>
                <w:sz w:val="21"/>
                <w:szCs w:val="21"/>
                <w:highlight w:val="none"/>
              </w:rPr>
              <w:t>及证明材料</w:t>
            </w:r>
            <w:bookmarkEnd w:id="343"/>
            <w:bookmarkEnd w:id="344"/>
            <w:bookmarkEnd w:id="345"/>
            <w:bookmarkEnd w:id="346"/>
            <w:bookmarkEnd w:id="347"/>
            <w:bookmarkEnd w:id="348"/>
          </w:p>
        </w:tc>
        <w:tc>
          <w:tcPr>
            <w:tcW w:w="636" w:type="dxa"/>
            <w:tcBorders>
              <w:top w:val="single" w:color="auto" w:sz="4" w:space="0"/>
              <w:left w:val="single" w:color="auto" w:sz="4" w:space="0"/>
              <w:bottom w:val="single" w:color="auto" w:sz="4" w:space="0"/>
              <w:right w:val="single" w:color="auto" w:sz="4" w:space="0"/>
            </w:tcBorders>
            <w:vAlign w:val="center"/>
          </w:tcPr>
          <w:p w14:paraId="3E98F347">
            <w:pPr>
              <w:widowControl/>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r>
      <w:tr w14:paraId="6E609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09B7854E">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3E33ABE1">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8BB3675">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3DEB0A9D">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5CD481CE">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tcPr>
          <w:p w14:paraId="6B0308A4">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r>
      <w:tr w14:paraId="450EE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6DCA79DD">
            <w:pPr>
              <w:widowControl/>
              <w:ind w:firstLine="0" w:firstLineChars="0"/>
              <w:rPr>
                <w:rFonts w:hint="eastAsia" w:ascii="微软雅黑" w:hAnsi="微软雅黑" w:eastAsia="微软雅黑" w:cs="微软雅黑"/>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41417B34">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88B33C2">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77F2F2B5">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4B6D5D21">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tcPr>
          <w:p w14:paraId="40AF7E3D">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r>
      <w:tr w14:paraId="6B363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962F1A3">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1667FB80">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52596799">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29C32A76">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7757C55D">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tcPr>
          <w:p w14:paraId="7C1593E9">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r>
      <w:tr w14:paraId="31BD3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0E745A04">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241EDE42">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6437670">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076C1675">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075AAF8A">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tcPr>
          <w:p w14:paraId="57FDC9C0">
            <w:pPr>
              <w:pStyle w:val="28"/>
              <w:spacing w:after="0" w:line="360" w:lineRule="auto"/>
              <w:ind w:firstLine="0" w:firstLineChars="0"/>
              <w:outlineLvl w:val="9"/>
              <w:rPr>
                <w:rFonts w:hint="eastAsia" w:ascii="微软雅黑" w:hAnsi="微软雅黑" w:eastAsia="微软雅黑" w:cs="微软雅黑"/>
                <w:color w:val="auto"/>
                <w:sz w:val="21"/>
                <w:szCs w:val="21"/>
                <w:highlight w:val="none"/>
              </w:rPr>
            </w:pPr>
          </w:p>
        </w:tc>
      </w:tr>
    </w:tbl>
    <w:p w14:paraId="602A2054">
      <w:pPr>
        <w:pStyle w:val="17"/>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注：供应商应根据投标</w:t>
      </w:r>
      <w:r>
        <w:rPr>
          <w:rFonts w:hint="eastAsia" w:ascii="微软雅黑" w:hAnsi="微软雅黑" w:cs="微软雅黑"/>
          <w:color w:val="auto"/>
          <w:sz w:val="21"/>
          <w:szCs w:val="21"/>
          <w:highlight w:val="none"/>
          <w:lang w:val="en-US" w:eastAsia="zh-CN"/>
        </w:rPr>
        <w:t>的服务</w:t>
      </w:r>
      <w:r>
        <w:rPr>
          <w:rFonts w:hint="eastAsia" w:ascii="微软雅黑" w:hAnsi="微软雅黑" w:eastAsia="微软雅黑" w:cs="微软雅黑"/>
          <w:color w:val="auto"/>
          <w:sz w:val="21"/>
          <w:szCs w:val="21"/>
          <w:highlight w:val="none"/>
        </w:rPr>
        <w:t>指标、对照磋商文件要求注明“正偏离”、“负偏离”或“无偏离”。</w:t>
      </w:r>
    </w:p>
    <w:p w14:paraId="015A1B20">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48793E90">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09CE8752">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32624727">
      <w:pPr>
        <w:pStyle w:val="291"/>
        <w:spacing w:line="360" w:lineRule="auto"/>
        <w:ind w:firstLine="482"/>
        <w:rPr>
          <w:rFonts w:hint="eastAsia" w:ascii="微软雅黑" w:hAnsi="微软雅黑" w:eastAsia="微软雅黑" w:cs="微软雅黑"/>
          <w:b/>
          <w:color w:val="auto"/>
          <w:sz w:val="21"/>
          <w:szCs w:val="21"/>
          <w:highlight w:val="none"/>
        </w:rPr>
      </w:pPr>
    </w:p>
    <w:p w14:paraId="5ECFD7B0">
      <w:pPr>
        <w:pStyle w:val="291"/>
        <w:spacing w:line="360" w:lineRule="auto"/>
        <w:ind w:firstLine="482"/>
        <w:rPr>
          <w:rFonts w:hint="eastAsia" w:ascii="微软雅黑" w:hAnsi="微软雅黑" w:eastAsia="微软雅黑" w:cs="微软雅黑"/>
          <w:b/>
          <w:color w:val="auto"/>
          <w:sz w:val="21"/>
          <w:szCs w:val="21"/>
          <w:highlight w:val="none"/>
        </w:rPr>
        <w:sectPr>
          <w:pgSz w:w="11906" w:h="16838"/>
          <w:pgMar w:top="1276" w:right="1418" w:bottom="1247" w:left="1418" w:header="851" w:footer="992" w:gutter="0"/>
          <w:cols w:space="720" w:num="1"/>
          <w:titlePg/>
          <w:docGrid w:linePitch="312" w:charSpace="0"/>
        </w:sectPr>
      </w:pPr>
    </w:p>
    <w:p w14:paraId="43016667">
      <w:pPr>
        <w:pStyle w:val="291"/>
        <w:spacing w:line="360" w:lineRule="auto"/>
        <w:ind w:firstLine="482"/>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4. 项目实施人员一览表</w:t>
      </w:r>
    </w:p>
    <w:p w14:paraId="6EB473BE">
      <w:pPr>
        <w:pStyle w:val="28"/>
        <w:spacing w:line="360" w:lineRule="auto"/>
        <w:outlineLvl w:val="9"/>
        <w:rPr>
          <w:rFonts w:hint="eastAsia" w:ascii="微软雅黑" w:hAnsi="微软雅黑" w:eastAsia="微软雅黑" w:cs="微软雅黑"/>
          <w:color w:val="auto"/>
          <w:sz w:val="21"/>
          <w:szCs w:val="21"/>
          <w:highlight w:val="none"/>
        </w:rPr>
      </w:pPr>
      <w:bookmarkStart w:id="349" w:name="_Toc7839"/>
      <w:r>
        <w:rPr>
          <w:rFonts w:hint="eastAsia" w:ascii="微软雅黑" w:hAnsi="微软雅黑" w:eastAsia="微软雅黑" w:cs="微软雅黑"/>
          <w:color w:val="auto"/>
          <w:sz w:val="21"/>
          <w:szCs w:val="21"/>
          <w:highlight w:val="none"/>
        </w:rPr>
        <w:t>项目实施人员一览表</w:t>
      </w:r>
      <w:bookmarkEnd w:id="349"/>
    </w:p>
    <w:tbl>
      <w:tblPr>
        <w:tblStyle w:val="5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47402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522CDDC2">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3E873605">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49E252E6">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4C6A4563">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5A33D44F">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4E981ED0">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26DB4F70">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77FB4EBB">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典型业务</w:t>
            </w:r>
          </w:p>
          <w:p w14:paraId="46323F32">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与技术专长</w:t>
            </w:r>
          </w:p>
        </w:tc>
      </w:tr>
      <w:tr w14:paraId="25050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EA041E9">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4D19D39B">
            <w:pPr>
              <w:pStyle w:val="33"/>
              <w:ind w:firstLine="0" w:firstLineChars="0"/>
              <w:jc w:val="center"/>
              <w:rPr>
                <w:rFonts w:hint="eastAsia" w:ascii="微软雅黑" w:hAnsi="微软雅黑" w:eastAsia="微软雅黑" w:cs="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18BCA6D">
            <w:pPr>
              <w:pStyle w:val="33"/>
              <w:ind w:firstLine="0" w:firstLineChars="0"/>
              <w:jc w:val="center"/>
              <w:rPr>
                <w:rFonts w:hint="eastAsia" w:ascii="微软雅黑" w:hAnsi="微软雅黑" w:eastAsia="微软雅黑" w:cs="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F91FBA7">
            <w:pPr>
              <w:pStyle w:val="33"/>
              <w:ind w:firstLine="0" w:firstLineChars="0"/>
              <w:jc w:val="center"/>
              <w:rPr>
                <w:rFonts w:hint="eastAsia" w:ascii="微软雅黑" w:hAnsi="微软雅黑" w:eastAsia="微软雅黑" w:cs="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FDBA235">
            <w:pPr>
              <w:pStyle w:val="33"/>
              <w:ind w:firstLine="0" w:firstLineChars="0"/>
              <w:jc w:val="center"/>
              <w:rPr>
                <w:rFonts w:hint="eastAsia" w:ascii="微软雅黑" w:hAnsi="微软雅黑" w:eastAsia="微软雅黑" w:cs="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78811599">
            <w:pPr>
              <w:pStyle w:val="33"/>
              <w:ind w:firstLine="0" w:firstLineChars="0"/>
              <w:jc w:val="center"/>
              <w:rPr>
                <w:rFonts w:hint="eastAsia" w:ascii="微软雅黑" w:hAnsi="微软雅黑" w:eastAsia="微软雅黑" w:cs="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859ECF">
            <w:pPr>
              <w:pStyle w:val="33"/>
              <w:ind w:firstLine="0" w:firstLineChars="0"/>
              <w:jc w:val="center"/>
              <w:rPr>
                <w:rFonts w:hint="eastAsia" w:ascii="微软雅黑" w:hAnsi="微软雅黑" w:eastAsia="微软雅黑" w:cs="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953830F">
            <w:pPr>
              <w:pStyle w:val="33"/>
              <w:ind w:firstLine="0" w:firstLineChars="0"/>
              <w:jc w:val="center"/>
              <w:rPr>
                <w:rFonts w:hint="eastAsia" w:ascii="微软雅黑" w:hAnsi="微软雅黑" w:eastAsia="微软雅黑" w:cs="微软雅黑"/>
                <w:color w:val="auto"/>
                <w:sz w:val="21"/>
                <w:szCs w:val="21"/>
                <w:highlight w:val="none"/>
              </w:rPr>
            </w:pPr>
          </w:p>
        </w:tc>
      </w:tr>
      <w:tr w14:paraId="285B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FDD2F6D">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37FCF0CF">
            <w:pPr>
              <w:pStyle w:val="33"/>
              <w:ind w:firstLine="0" w:firstLineChars="0"/>
              <w:jc w:val="center"/>
              <w:rPr>
                <w:rFonts w:hint="eastAsia" w:ascii="微软雅黑" w:hAnsi="微软雅黑" w:eastAsia="微软雅黑" w:cs="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528CB3D">
            <w:pPr>
              <w:pStyle w:val="33"/>
              <w:ind w:firstLine="0" w:firstLineChars="0"/>
              <w:jc w:val="center"/>
              <w:rPr>
                <w:rFonts w:hint="eastAsia" w:ascii="微软雅黑" w:hAnsi="微软雅黑" w:eastAsia="微软雅黑" w:cs="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B94A7B">
            <w:pPr>
              <w:pStyle w:val="33"/>
              <w:ind w:firstLine="0" w:firstLineChars="0"/>
              <w:jc w:val="center"/>
              <w:rPr>
                <w:rFonts w:hint="eastAsia" w:ascii="微软雅黑" w:hAnsi="微软雅黑" w:eastAsia="微软雅黑" w:cs="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E71C217">
            <w:pPr>
              <w:pStyle w:val="33"/>
              <w:ind w:firstLine="0" w:firstLineChars="0"/>
              <w:jc w:val="center"/>
              <w:rPr>
                <w:rFonts w:hint="eastAsia" w:ascii="微软雅黑" w:hAnsi="微软雅黑" w:eastAsia="微软雅黑" w:cs="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276B673">
            <w:pPr>
              <w:pStyle w:val="33"/>
              <w:ind w:firstLine="0" w:firstLineChars="0"/>
              <w:jc w:val="center"/>
              <w:rPr>
                <w:rFonts w:hint="eastAsia" w:ascii="微软雅黑" w:hAnsi="微软雅黑" w:eastAsia="微软雅黑" w:cs="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FCC43A">
            <w:pPr>
              <w:pStyle w:val="33"/>
              <w:ind w:firstLine="0" w:firstLineChars="0"/>
              <w:jc w:val="center"/>
              <w:rPr>
                <w:rFonts w:hint="eastAsia" w:ascii="微软雅黑" w:hAnsi="微软雅黑" w:eastAsia="微软雅黑" w:cs="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76BA5A8">
            <w:pPr>
              <w:pStyle w:val="33"/>
              <w:ind w:firstLine="0" w:firstLineChars="0"/>
              <w:jc w:val="center"/>
              <w:rPr>
                <w:rFonts w:hint="eastAsia" w:ascii="微软雅黑" w:hAnsi="微软雅黑" w:eastAsia="微软雅黑" w:cs="微软雅黑"/>
                <w:color w:val="auto"/>
                <w:sz w:val="21"/>
                <w:szCs w:val="21"/>
                <w:highlight w:val="none"/>
              </w:rPr>
            </w:pPr>
          </w:p>
        </w:tc>
      </w:tr>
      <w:tr w14:paraId="1471A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E7F0FE8">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1D139D53">
            <w:pPr>
              <w:pStyle w:val="33"/>
              <w:ind w:firstLine="0" w:firstLineChars="0"/>
              <w:jc w:val="center"/>
              <w:rPr>
                <w:rFonts w:hint="eastAsia" w:ascii="微软雅黑" w:hAnsi="微软雅黑" w:eastAsia="微软雅黑" w:cs="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84399F6">
            <w:pPr>
              <w:pStyle w:val="33"/>
              <w:ind w:firstLine="0" w:firstLineChars="0"/>
              <w:jc w:val="center"/>
              <w:rPr>
                <w:rFonts w:hint="eastAsia" w:ascii="微软雅黑" w:hAnsi="微软雅黑" w:eastAsia="微软雅黑" w:cs="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F435F1C">
            <w:pPr>
              <w:pStyle w:val="33"/>
              <w:ind w:firstLine="0" w:firstLineChars="0"/>
              <w:jc w:val="center"/>
              <w:rPr>
                <w:rFonts w:hint="eastAsia" w:ascii="微软雅黑" w:hAnsi="微软雅黑" w:eastAsia="微软雅黑" w:cs="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D7E9874">
            <w:pPr>
              <w:pStyle w:val="33"/>
              <w:ind w:firstLine="0" w:firstLineChars="0"/>
              <w:jc w:val="center"/>
              <w:rPr>
                <w:rFonts w:hint="eastAsia" w:ascii="微软雅黑" w:hAnsi="微软雅黑" w:eastAsia="微软雅黑" w:cs="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90D543F">
            <w:pPr>
              <w:pStyle w:val="33"/>
              <w:ind w:firstLine="0" w:firstLineChars="0"/>
              <w:jc w:val="center"/>
              <w:rPr>
                <w:rFonts w:hint="eastAsia" w:ascii="微软雅黑" w:hAnsi="微软雅黑" w:eastAsia="微软雅黑" w:cs="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A36D4A">
            <w:pPr>
              <w:pStyle w:val="33"/>
              <w:ind w:firstLine="0" w:firstLineChars="0"/>
              <w:jc w:val="center"/>
              <w:rPr>
                <w:rFonts w:hint="eastAsia" w:ascii="微软雅黑" w:hAnsi="微软雅黑" w:eastAsia="微软雅黑" w:cs="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BE2DCEE">
            <w:pPr>
              <w:pStyle w:val="33"/>
              <w:ind w:firstLine="0" w:firstLineChars="0"/>
              <w:jc w:val="center"/>
              <w:rPr>
                <w:rFonts w:hint="eastAsia" w:ascii="微软雅黑" w:hAnsi="微软雅黑" w:eastAsia="微软雅黑" w:cs="微软雅黑"/>
                <w:color w:val="auto"/>
                <w:sz w:val="21"/>
                <w:szCs w:val="21"/>
                <w:highlight w:val="none"/>
              </w:rPr>
            </w:pPr>
          </w:p>
        </w:tc>
      </w:tr>
      <w:tr w14:paraId="1C78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950FD8A">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14:paraId="50BE4EB2">
            <w:pPr>
              <w:pStyle w:val="33"/>
              <w:ind w:firstLine="0" w:firstLineChars="0"/>
              <w:jc w:val="center"/>
              <w:rPr>
                <w:rFonts w:hint="eastAsia" w:ascii="微软雅黑" w:hAnsi="微软雅黑" w:eastAsia="微软雅黑" w:cs="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AD37A3A">
            <w:pPr>
              <w:pStyle w:val="33"/>
              <w:ind w:firstLine="0" w:firstLineChars="0"/>
              <w:jc w:val="center"/>
              <w:rPr>
                <w:rFonts w:hint="eastAsia" w:ascii="微软雅黑" w:hAnsi="微软雅黑" w:eastAsia="微软雅黑" w:cs="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48C6614">
            <w:pPr>
              <w:pStyle w:val="33"/>
              <w:ind w:firstLine="0" w:firstLineChars="0"/>
              <w:jc w:val="center"/>
              <w:rPr>
                <w:rFonts w:hint="eastAsia" w:ascii="微软雅黑" w:hAnsi="微软雅黑" w:eastAsia="微软雅黑" w:cs="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0F03973">
            <w:pPr>
              <w:pStyle w:val="33"/>
              <w:ind w:firstLine="0" w:firstLineChars="0"/>
              <w:jc w:val="center"/>
              <w:rPr>
                <w:rFonts w:hint="eastAsia" w:ascii="微软雅黑" w:hAnsi="微软雅黑" w:eastAsia="微软雅黑" w:cs="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C550797">
            <w:pPr>
              <w:pStyle w:val="33"/>
              <w:ind w:firstLine="0" w:firstLineChars="0"/>
              <w:jc w:val="center"/>
              <w:rPr>
                <w:rFonts w:hint="eastAsia" w:ascii="微软雅黑" w:hAnsi="微软雅黑" w:eastAsia="微软雅黑" w:cs="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26B7E9">
            <w:pPr>
              <w:pStyle w:val="33"/>
              <w:ind w:firstLine="0" w:firstLineChars="0"/>
              <w:jc w:val="center"/>
              <w:rPr>
                <w:rFonts w:hint="eastAsia" w:ascii="微软雅黑" w:hAnsi="微软雅黑" w:eastAsia="微软雅黑" w:cs="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B63F18D">
            <w:pPr>
              <w:pStyle w:val="33"/>
              <w:ind w:firstLine="0" w:firstLineChars="0"/>
              <w:jc w:val="center"/>
              <w:rPr>
                <w:rFonts w:hint="eastAsia" w:ascii="微软雅黑" w:hAnsi="微软雅黑" w:eastAsia="微软雅黑" w:cs="微软雅黑"/>
                <w:color w:val="auto"/>
                <w:sz w:val="21"/>
                <w:szCs w:val="21"/>
                <w:highlight w:val="none"/>
              </w:rPr>
            </w:pPr>
          </w:p>
        </w:tc>
      </w:tr>
      <w:tr w14:paraId="02C42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F283AFB">
            <w:pPr>
              <w:pStyle w:val="33"/>
              <w:ind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1074" w:type="dxa"/>
            <w:tcBorders>
              <w:top w:val="single" w:color="auto" w:sz="4" w:space="0"/>
              <w:left w:val="single" w:color="auto" w:sz="4" w:space="0"/>
              <w:bottom w:val="single" w:color="auto" w:sz="4" w:space="0"/>
              <w:right w:val="single" w:color="auto" w:sz="4" w:space="0"/>
            </w:tcBorders>
            <w:vAlign w:val="center"/>
          </w:tcPr>
          <w:p w14:paraId="4E9B2E82">
            <w:pPr>
              <w:pStyle w:val="33"/>
              <w:ind w:firstLine="0" w:firstLineChars="0"/>
              <w:jc w:val="center"/>
              <w:rPr>
                <w:rFonts w:hint="eastAsia" w:ascii="微软雅黑" w:hAnsi="微软雅黑" w:eastAsia="微软雅黑" w:cs="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61AA69D">
            <w:pPr>
              <w:pStyle w:val="33"/>
              <w:ind w:firstLine="0" w:firstLineChars="0"/>
              <w:jc w:val="center"/>
              <w:rPr>
                <w:rFonts w:hint="eastAsia" w:ascii="微软雅黑" w:hAnsi="微软雅黑" w:eastAsia="微软雅黑" w:cs="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51E5D00">
            <w:pPr>
              <w:pStyle w:val="33"/>
              <w:ind w:firstLine="0" w:firstLineChars="0"/>
              <w:jc w:val="center"/>
              <w:rPr>
                <w:rFonts w:hint="eastAsia" w:ascii="微软雅黑" w:hAnsi="微软雅黑" w:eastAsia="微软雅黑" w:cs="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2D03B2F">
            <w:pPr>
              <w:pStyle w:val="33"/>
              <w:ind w:firstLine="0" w:firstLineChars="0"/>
              <w:jc w:val="center"/>
              <w:rPr>
                <w:rFonts w:hint="eastAsia" w:ascii="微软雅黑" w:hAnsi="微软雅黑" w:eastAsia="微软雅黑" w:cs="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0103CC90">
            <w:pPr>
              <w:pStyle w:val="33"/>
              <w:ind w:firstLine="0" w:firstLineChars="0"/>
              <w:jc w:val="center"/>
              <w:rPr>
                <w:rFonts w:hint="eastAsia" w:ascii="微软雅黑" w:hAnsi="微软雅黑" w:eastAsia="微软雅黑" w:cs="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316A6E">
            <w:pPr>
              <w:pStyle w:val="33"/>
              <w:ind w:firstLine="0" w:firstLineChars="0"/>
              <w:jc w:val="center"/>
              <w:rPr>
                <w:rFonts w:hint="eastAsia" w:ascii="微软雅黑" w:hAnsi="微软雅黑" w:eastAsia="微软雅黑" w:cs="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0B7801A">
            <w:pPr>
              <w:pStyle w:val="33"/>
              <w:ind w:firstLine="0" w:firstLineChars="0"/>
              <w:jc w:val="center"/>
              <w:rPr>
                <w:rFonts w:hint="eastAsia" w:ascii="微软雅黑" w:hAnsi="微软雅黑" w:eastAsia="微软雅黑" w:cs="微软雅黑"/>
                <w:color w:val="auto"/>
                <w:sz w:val="21"/>
                <w:szCs w:val="21"/>
                <w:highlight w:val="none"/>
              </w:rPr>
            </w:pPr>
          </w:p>
        </w:tc>
      </w:tr>
      <w:tr w14:paraId="2213F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B70B7A9">
            <w:pPr>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641680D8">
            <w:pPr>
              <w:ind w:firstLine="0" w:firstLineChars="0"/>
              <w:rPr>
                <w:rFonts w:hint="eastAsia" w:ascii="微软雅黑" w:hAnsi="微软雅黑" w:eastAsia="微软雅黑" w:cs="微软雅黑"/>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8EE68D3">
            <w:pPr>
              <w:ind w:firstLine="0" w:firstLineChars="0"/>
              <w:rPr>
                <w:rFonts w:hint="eastAsia" w:ascii="微软雅黑" w:hAnsi="微软雅黑" w:eastAsia="微软雅黑" w:cs="微软雅黑"/>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95D02C">
            <w:pPr>
              <w:ind w:firstLine="0" w:firstLineChars="0"/>
              <w:rPr>
                <w:rFonts w:hint="eastAsia" w:ascii="微软雅黑" w:hAnsi="微软雅黑" w:eastAsia="微软雅黑" w:cs="微软雅黑"/>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793ECB0">
            <w:pPr>
              <w:ind w:firstLine="0" w:firstLineChars="0"/>
              <w:rPr>
                <w:rFonts w:hint="eastAsia" w:ascii="微软雅黑" w:hAnsi="微软雅黑" w:eastAsia="微软雅黑" w:cs="微软雅黑"/>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995A6FB">
            <w:pPr>
              <w:ind w:firstLine="0" w:firstLineChars="0"/>
              <w:rPr>
                <w:rFonts w:hint="eastAsia" w:ascii="微软雅黑" w:hAnsi="微软雅黑" w:eastAsia="微软雅黑" w:cs="微软雅黑"/>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0A274E">
            <w:pPr>
              <w:ind w:firstLine="0" w:firstLineChars="0"/>
              <w:rPr>
                <w:rFonts w:hint="eastAsia" w:ascii="微软雅黑" w:hAnsi="微软雅黑" w:eastAsia="微软雅黑" w:cs="微软雅黑"/>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A3587E9">
            <w:pPr>
              <w:ind w:firstLine="0" w:firstLineChars="0"/>
              <w:rPr>
                <w:rFonts w:hint="eastAsia" w:ascii="微软雅黑" w:hAnsi="微软雅黑" w:eastAsia="微软雅黑" w:cs="微软雅黑"/>
                <w:color w:val="auto"/>
                <w:sz w:val="21"/>
                <w:szCs w:val="21"/>
                <w:highlight w:val="none"/>
              </w:rPr>
            </w:pPr>
          </w:p>
        </w:tc>
      </w:tr>
    </w:tbl>
    <w:p w14:paraId="43E50412">
      <w:pPr>
        <w:ind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注：1、“项目实施人员”指投标单位针对该项目实施所配备的人员。</w:t>
      </w:r>
    </w:p>
    <w:p w14:paraId="6237C420">
      <w:pPr>
        <w:ind w:firstLine="840" w:firstLineChars="4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2、附各专业人员简历及相关证明材料复印件；</w:t>
      </w:r>
    </w:p>
    <w:p w14:paraId="6E3DB2E8">
      <w:pPr>
        <w:ind w:firstLine="840" w:firstLineChars="4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3、表格不够填写可添加。</w:t>
      </w:r>
    </w:p>
    <w:p w14:paraId="79FC3389">
      <w:pPr>
        <w:snapToGrid w:val="0"/>
        <w:spacing w:before="120" w:beforeLines="50"/>
        <w:ind w:firstLine="420"/>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 xml:space="preserve"> 法定代表人或</w:t>
      </w:r>
      <w:r>
        <w:rPr>
          <w:rFonts w:hint="eastAsia" w:ascii="微软雅黑" w:hAnsi="微软雅黑" w:eastAsia="微软雅黑" w:cs="微软雅黑"/>
          <w:color w:val="auto"/>
          <w:sz w:val="21"/>
          <w:szCs w:val="21"/>
          <w:highlight w:val="none"/>
        </w:rPr>
        <w:t>被授权人签字（或盖章）：</w:t>
      </w:r>
    </w:p>
    <w:p w14:paraId="18543FFB">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供应商名称（公章）：</w:t>
      </w:r>
    </w:p>
    <w:p w14:paraId="0B5E090D">
      <w:pPr>
        <w:pStyle w:val="12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2B7CD149">
      <w:pPr>
        <w:pStyle w:val="291"/>
        <w:spacing w:line="360" w:lineRule="auto"/>
        <w:ind w:firstLine="482"/>
        <w:rPr>
          <w:rFonts w:hint="eastAsia" w:ascii="微软雅黑" w:hAnsi="微软雅黑" w:eastAsia="微软雅黑" w:cs="微软雅黑"/>
          <w:b/>
          <w:color w:val="auto"/>
          <w:sz w:val="21"/>
          <w:szCs w:val="21"/>
          <w:highlight w:val="none"/>
        </w:rPr>
        <w:sectPr>
          <w:pgSz w:w="11906" w:h="16838"/>
          <w:pgMar w:top="1276" w:right="1418" w:bottom="1247" w:left="1418" w:header="851" w:footer="992" w:gutter="0"/>
          <w:cols w:space="720" w:num="1"/>
          <w:titlePg/>
          <w:docGrid w:linePitch="312" w:charSpace="0"/>
        </w:sectPr>
      </w:pPr>
    </w:p>
    <w:p w14:paraId="61C2DAC9">
      <w:pPr>
        <w:pStyle w:val="291"/>
        <w:spacing w:line="360" w:lineRule="auto"/>
        <w:ind w:firstLine="482"/>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5.诚信承诺函</w:t>
      </w:r>
    </w:p>
    <w:p w14:paraId="30836D9D">
      <w:pPr>
        <w:pStyle w:val="5"/>
        <w:overflowPunct w:val="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诚信承诺函</w:t>
      </w:r>
    </w:p>
    <w:p w14:paraId="2D6AC4AC">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致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b/>
          <w:color w:val="auto"/>
          <w:sz w:val="21"/>
          <w:szCs w:val="21"/>
          <w:highlight w:val="none"/>
          <w:u w:val="single"/>
        </w:rPr>
        <w:t xml:space="preserve">（采购人）       </w:t>
      </w:r>
      <w:r>
        <w:rPr>
          <w:rFonts w:hint="eastAsia" w:ascii="微软雅黑" w:hAnsi="微软雅黑" w:eastAsia="微软雅黑" w:cs="微软雅黑"/>
          <w:color w:val="auto"/>
          <w:sz w:val="21"/>
          <w:szCs w:val="21"/>
          <w:highlight w:val="none"/>
        </w:rPr>
        <w:t>：</w:t>
      </w:r>
    </w:p>
    <w:p w14:paraId="7C0F6EF3">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我方在参加贵单位的</w:t>
      </w:r>
      <w:r>
        <w:rPr>
          <w:rFonts w:hint="eastAsia" w:ascii="微软雅黑" w:hAnsi="微软雅黑" w:eastAsia="微软雅黑" w:cs="微软雅黑"/>
          <w:color w:val="auto"/>
          <w:sz w:val="21"/>
          <w:szCs w:val="21"/>
          <w:highlight w:val="none"/>
          <w:u w:val="single"/>
        </w:rPr>
        <w:t xml:space="preserve">           政府采购项目</w:t>
      </w:r>
      <w:r>
        <w:rPr>
          <w:rFonts w:hint="eastAsia" w:ascii="微软雅黑" w:hAnsi="微软雅黑" w:eastAsia="微软雅黑" w:cs="微软雅黑"/>
          <w:color w:val="auto"/>
          <w:sz w:val="21"/>
          <w:szCs w:val="21"/>
          <w:highlight w:val="none"/>
        </w:rPr>
        <w:t>的招投标活动中，郑重承诺如下：</w:t>
      </w:r>
    </w:p>
    <w:p w14:paraId="2C117C0E">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1.我方申报的所有资料都是真实、准确、完整的；</w:t>
      </w:r>
    </w:p>
    <w:p w14:paraId="0A09DA05">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2.我方无资质挂靠情形，保证不参与串标、围标及抬标；</w:t>
      </w:r>
    </w:p>
    <w:p w14:paraId="59F73B0D">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3.我方未处于被各级行政主管部门做出停止市场行为处罚的期限内；</w:t>
      </w:r>
    </w:p>
    <w:p w14:paraId="780D5FCA">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4.我方参加本项目政府采购活动前3年内在经营活动中没有受到行政处罚、行政处理(含通报)，未被记入不良行为，没有重大违法记录；</w:t>
      </w:r>
    </w:p>
    <w:p w14:paraId="276AED48">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5.若我方中标，将严格按照规定及时与采购人签订合同；</w:t>
      </w:r>
    </w:p>
    <w:p w14:paraId="276D3ED0">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6.若我方中标，将严格按照磋商文件要求及响应文件承诺的报价、质量、工期、投标方案、项目负责人等内容组织实施；</w:t>
      </w:r>
    </w:p>
    <w:p w14:paraId="7E6D1838">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8B10D44">
      <w:pPr>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特此承诺。</w:t>
      </w:r>
    </w:p>
    <w:p w14:paraId="3ADA67D6">
      <w:pPr>
        <w:wordWrap w:val="0"/>
        <w:snapToGrid w:val="0"/>
        <w:spacing w:before="50" w:after="50"/>
        <w:ind w:firstLine="420"/>
        <w:jc w:val="righ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法定代表人或被授权人签字（或盖章）：    </w:t>
      </w:r>
    </w:p>
    <w:p w14:paraId="2C772C61">
      <w:pPr>
        <w:snapToGrid w:val="0"/>
        <w:spacing w:before="50" w:after="50"/>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投标供应商（公章）：      　　　　　　　　　　　　　</w:t>
      </w:r>
    </w:p>
    <w:p w14:paraId="105594BC">
      <w:pPr>
        <w:spacing w:before="108" w:after="120"/>
        <w:ind w:right="417"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   年  月  日</w:t>
      </w:r>
    </w:p>
    <w:p w14:paraId="1166113E">
      <w:pPr>
        <w:ind w:firstLine="420"/>
        <w:rPr>
          <w:rFonts w:hint="eastAsia" w:ascii="微软雅黑" w:hAnsi="微软雅黑" w:eastAsia="微软雅黑" w:cs="微软雅黑"/>
          <w:color w:val="auto"/>
          <w:sz w:val="21"/>
          <w:szCs w:val="21"/>
          <w:highlight w:val="none"/>
        </w:rPr>
      </w:pPr>
    </w:p>
    <w:p w14:paraId="16646451">
      <w:pPr>
        <w:snapToGrid w:val="0"/>
        <w:ind w:firstLine="640"/>
        <w:jc w:val="center"/>
        <w:rPr>
          <w:rFonts w:hint="eastAsia" w:ascii="微软雅黑" w:hAnsi="微软雅黑" w:eastAsia="微软雅黑" w:cs="微软雅黑"/>
          <w:b/>
          <w:color w:val="auto"/>
          <w:sz w:val="21"/>
          <w:szCs w:val="21"/>
          <w:highlight w:val="none"/>
        </w:rPr>
        <w:sectPr>
          <w:pgSz w:w="11906" w:h="16838"/>
          <w:pgMar w:top="1276" w:right="1418" w:bottom="1247" w:left="1418" w:header="851" w:footer="992" w:gutter="0"/>
          <w:cols w:space="720" w:num="1"/>
          <w:titlePg/>
          <w:docGrid w:linePitch="312" w:charSpace="0"/>
        </w:sectPr>
      </w:pPr>
    </w:p>
    <w:p w14:paraId="1ECD8797">
      <w:pPr>
        <w:snapToGrid w:val="0"/>
        <w:ind w:firstLine="42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劳动用工书面承诺</w:t>
      </w:r>
    </w:p>
    <w:p w14:paraId="4FBAC510">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如我公司在本次招投标中标后成为中标供应商，我公司将严格遵守《民法典》及《劳动合同法》的相关规定，按磋商文件的要求及我公司响应文件配置服务人员，按国家规定为员工缴纳社会保险，员工的工资标准不低于嘉兴市最低工资标准，并将所有条款写入劳动用工合同。</w:t>
      </w:r>
    </w:p>
    <w:p w14:paraId="2414F026">
      <w:pPr>
        <w:snapToGrid w:val="0"/>
        <w:ind w:firstLine="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特此承诺。</w:t>
      </w:r>
    </w:p>
    <w:p w14:paraId="5D08A625">
      <w:pPr>
        <w:snapToGrid w:val="0"/>
        <w:ind w:left="630" w:leftChars="100" w:hanging="420" w:hangingChars="20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法定代表人或其授权代表（签名）：</w:t>
      </w:r>
    </w:p>
    <w:p w14:paraId="084E5BD6">
      <w:pPr>
        <w:snapToGrid w:val="0"/>
        <w:ind w:left="630" w:leftChars="100" w:hanging="420" w:hangingChars="20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投标供应商（盖章）：</w:t>
      </w:r>
    </w:p>
    <w:p w14:paraId="27987C57">
      <w:pPr>
        <w:snapToGrid w:val="0"/>
        <w:ind w:left="630" w:leftChars="100" w:hanging="420" w:hangingChars="20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日期：</w:t>
      </w:r>
    </w:p>
    <w:p w14:paraId="214C41EB">
      <w:pPr>
        <w:pStyle w:val="23"/>
        <w:ind w:left="0" w:firstLine="420"/>
        <w:rPr>
          <w:rFonts w:hint="eastAsia" w:ascii="微软雅黑" w:hAnsi="微软雅黑" w:eastAsia="微软雅黑" w:cs="微软雅黑"/>
          <w:b/>
          <w:color w:val="auto"/>
          <w:kern w:val="0"/>
          <w:sz w:val="21"/>
          <w:szCs w:val="21"/>
          <w:highlight w:val="none"/>
        </w:rPr>
      </w:pPr>
    </w:p>
    <w:p w14:paraId="12CAF48E">
      <w:pPr>
        <w:ind w:firstLine="420"/>
        <w:rPr>
          <w:rFonts w:hint="eastAsia" w:ascii="微软雅黑" w:hAnsi="微软雅黑" w:eastAsia="微软雅黑" w:cs="微软雅黑"/>
          <w:color w:val="auto"/>
          <w:sz w:val="21"/>
          <w:szCs w:val="21"/>
          <w:highlight w:val="none"/>
        </w:rPr>
      </w:pPr>
    </w:p>
    <w:p w14:paraId="4396E3D5">
      <w:pPr>
        <w:ind w:firstLine="640"/>
        <w:jc w:val="center"/>
        <w:rPr>
          <w:rFonts w:hint="eastAsia" w:ascii="微软雅黑" w:hAnsi="微软雅黑" w:eastAsia="微软雅黑" w:cs="微软雅黑"/>
          <w:b/>
          <w:color w:val="auto"/>
          <w:kern w:val="0"/>
          <w:sz w:val="21"/>
          <w:szCs w:val="21"/>
          <w:highlight w:val="none"/>
        </w:rPr>
      </w:pPr>
    </w:p>
    <w:p w14:paraId="2C782832">
      <w:pPr>
        <w:ind w:firstLine="640"/>
        <w:jc w:val="center"/>
        <w:rPr>
          <w:rFonts w:hint="eastAsia" w:ascii="微软雅黑" w:hAnsi="微软雅黑" w:eastAsia="微软雅黑" w:cs="微软雅黑"/>
          <w:b/>
          <w:color w:val="auto"/>
          <w:kern w:val="0"/>
          <w:sz w:val="21"/>
          <w:szCs w:val="21"/>
          <w:highlight w:val="none"/>
        </w:rPr>
      </w:pPr>
    </w:p>
    <w:p w14:paraId="4908A620">
      <w:pPr>
        <w:ind w:firstLine="640"/>
        <w:jc w:val="center"/>
        <w:rPr>
          <w:rFonts w:hint="eastAsia" w:ascii="微软雅黑" w:hAnsi="微软雅黑" w:eastAsia="微软雅黑" w:cs="微软雅黑"/>
          <w:b/>
          <w:color w:val="auto"/>
          <w:kern w:val="0"/>
          <w:sz w:val="21"/>
          <w:szCs w:val="21"/>
          <w:highlight w:val="none"/>
        </w:rPr>
      </w:pPr>
    </w:p>
    <w:p w14:paraId="7E3F20EE">
      <w:pPr>
        <w:ind w:firstLine="640"/>
        <w:jc w:val="both"/>
        <w:rPr>
          <w:rFonts w:hint="eastAsia" w:ascii="微软雅黑" w:hAnsi="微软雅黑" w:eastAsia="微软雅黑" w:cs="微软雅黑"/>
          <w:b/>
          <w:color w:val="auto"/>
          <w:kern w:val="0"/>
          <w:sz w:val="21"/>
          <w:szCs w:val="21"/>
          <w:highlight w:val="none"/>
        </w:rPr>
      </w:pPr>
    </w:p>
    <w:p w14:paraId="37808C0B">
      <w:pPr>
        <w:ind w:firstLine="640"/>
        <w:jc w:val="center"/>
        <w:rPr>
          <w:rFonts w:hint="eastAsia" w:ascii="微软雅黑" w:hAnsi="微软雅黑" w:eastAsia="微软雅黑" w:cs="微软雅黑"/>
          <w:b/>
          <w:color w:val="auto"/>
          <w:kern w:val="0"/>
          <w:sz w:val="21"/>
          <w:szCs w:val="21"/>
          <w:highlight w:val="none"/>
        </w:rPr>
      </w:pPr>
    </w:p>
    <w:p w14:paraId="15D972A2">
      <w:pPr>
        <w:jc w:val="both"/>
        <w:rPr>
          <w:rFonts w:hint="eastAsia" w:ascii="微软雅黑" w:hAnsi="微软雅黑" w:eastAsia="微软雅黑" w:cs="微软雅黑"/>
          <w:b/>
          <w:bCs/>
          <w:color w:val="auto"/>
          <w:sz w:val="21"/>
          <w:szCs w:val="21"/>
          <w:highlight w:val="none"/>
        </w:rPr>
        <w:sectPr>
          <w:pgSz w:w="11906" w:h="16838"/>
          <w:pgMar w:top="1276" w:right="1418" w:bottom="1247" w:left="1418" w:header="851" w:footer="992" w:gutter="0"/>
          <w:cols w:space="720" w:num="1"/>
          <w:titlePg/>
          <w:docGrid w:linePitch="312" w:charSpace="0"/>
        </w:sectPr>
      </w:pPr>
    </w:p>
    <w:p w14:paraId="2A6F2E01">
      <w:pPr>
        <w:ind w:firstLine="4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报价文件部分</w:t>
      </w:r>
    </w:p>
    <w:p w14:paraId="585E8EB2">
      <w:pPr>
        <w:ind w:firstLine="420"/>
        <w:jc w:val="center"/>
        <w:rPr>
          <w:rFonts w:hint="eastAsia" w:ascii="微软雅黑" w:hAnsi="微软雅黑" w:eastAsia="微软雅黑" w:cs="微软雅黑"/>
          <w:b/>
          <w:color w:val="auto"/>
          <w:kern w:val="0"/>
          <w:sz w:val="21"/>
          <w:szCs w:val="21"/>
          <w:highlight w:val="none"/>
        </w:rPr>
      </w:pPr>
      <w:bookmarkStart w:id="350" w:name="_Toc164943233"/>
      <w:r>
        <w:rPr>
          <w:rFonts w:hint="eastAsia" w:ascii="微软雅黑" w:hAnsi="微软雅黑" w:eastAsia="微软雅黑" w:cs="微软雅黑"/>
          <w:b/>
          <w:color w:val="auto"/>
          <w:kern w:val="0"/>
          <w:sz w:val="21"/>
          <w:szCs w:val="21"/>
          <w:highlight w:val="none"/>
        </w:rPr>
        <w:t>目录</w:t>
      </w:r>
      <w:bookmarkEnd w:id="350"/>
    </w:p>
    <w:p w14:paraId="56D92F1F">
      <w:pPr>
        <w:pStyle w:val="102"/>
        <w:numPr>
          <w:ilvl w:val="0"/>
          <w:numId w:val="0"/>
        </w:numPr>
        <w:snapToGrid w:val="0"/>
        <w:spacing w:line="360" w:lineRule="auto"/>
        <w:ind w:firstLine="426"/>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（1）开标一览表（报价表）………………………………………………………（页码）</w:t>
      </w:r>
    </w:p>
    <w:p w14:paraId="3DA30A9C">
      <w:pPr>
        <w:pStyle w:val="102"/>
        <w:numPr>
          <w:ilvl w:val="0"/>
          <w:numId w:val="0"/>
        </w:numPr>
        <w:snapToGrid w:val="0"/>
        <w:spacing w:line="360" w:lineRule="auto"/>
        <w:ind w:firstLine="426"/>
        <w:rPr>
          <w:rFonts w:hint="eastAsia" w:ascii="微软雅黑" w:hAnsi="微软雅黑" w:eastAsia="微软雅黑" w:cs="微软雅黑"/>
          <w:color w:val="auto"/>
          <w:sz w:val="21"/>
          <w:szCs w:val="21"/>
          <w:highlight w:val="none"/>
        </w:rPr>
      </w:pPr>
    </w:p>
    <w:p w14:paraId="14E859B1">
      <w:pPr>
        <w:snapToGrid w:val="0"/>
        <w:ind w:right="480" w:firstLine="640"/>
        <w:jc w:val="center"/>
        <w:rPr>
          <w:rFonts w:hint="eastAsia" w:ascii="微软雅黑" w:hAnsi="微软雅黑" w:eastAsia="微软雅黑" w:cs="微软雅黑"/>
          <w:b/>
          <w:color w:val="auto"/>
          <w:kern w:val="0"/>
          <w:sz w:val="21"/>
          <w:szCs w:val="21"/>
          <w:highlight w:val="none"/>
        </w:rPr>
      </w:pPr>
    </w:p>
    <w:p w14:paraId="67BD7D92">
      <w:pPr>
        <w:snapToGrid w:val="0"/>
        <w:ind w:right="480" w:firstLine="640"/>
        <w:jc w:val="center"/>
        <w:rPr>
          <w:rFonts w:hint="eastAsia" w:ascii="微软雅黑" w:hAnsi="微软雅黑" w:eastAsia="微软雅黑" w:cs="微软雅黑"/>
          <w:b/>
          <w:color w:val="auto"/>
          <w:kern w:val="0"/>
          <w:sz w:val="21"/>
          <w:szCs w:val="21"/>
          <w:highlight w:val="none"/>
        </w:rPr>
      </w:pPr>
    </w:p>
    <w:p w14:paraId="3D534A71">
      <w:pPr>
        <w:snapToGrid w:val="0"/>
        <w:ind w:right="480" w:firstLine="640"/>
        <w:jc w:val="center"/>
        <w:rPr>
          <w:rFonts w:hint="eastAsia" w:ascii="微软雅黑" w:hAnsi="微软雅黑" w:eastAsia="微软雅黑" w:cs="微软雅黑"/>
          <w:b/>
          <w:color w:val="auto"/>
          <w:kern w:val="0"/>
          <w:sz w:val="21"/>
          <w:szCs w:val="21"/>
          <w:highlight w:val="none"/>
        </w:rPr>
      </w:pPr>
    </w:p>
    <w:p w14:paraId="0D11CB40">
      <w:pPr>
        <w:snapToGrid w:val="0"/>
        <w:ind w:right="480" w:firstLine="640"/>
        <w:jc w:val="center"/>
        <w:rPr>
          <w:rFonts w:hint="eastAsia" w:ascii="微软雅黑" w:hAnsi="微软雅黑" w:eastAsia="微软雅黑" w:cs="微软雅黑"/>
          <w:b/>
          <w:color w:val="auto"/>
          <w:kern w:val="0"/>
          <w:sz w:val="21"/>
          <w:szCs w:val="21"/>
          <w:highlight w:val="none"/>
        </w:rPr>
      </w:pPr>
    </w:p>
    <w:p w14:paraId="1F88D005">
      <w:pPr>
        <w:snapToGrid w:val="0"/>
        <w:ind w:right="480" w:firstLine="640"/>
        <w:jc w:val="center"/>
        <w:rPr>
          <w:rFonts w:hint="eastAsia" w:ascii="微软雅黑" w:hAnsi="微软雅黑" w:eastAsia="微软雅黑" w:cs="微软雅黑"/>
          <w:b/>
          <w:color w:val="auto"/>
          <w:kern w:val="0"/>
          <w:sz w:val="21"/>
          <w:szCs w:val="21"/>
          <w:highlight w:val="none"/>
        </w:rPr>
      </w:pPr>
    </w:p>
    <w:p w14:paraId="0B9EC906">
      <w:pPr>
        <w:snapToGrid w:val="0"/>
        <w:ind w:right="480" w:firstLine="640"/>
        <w:jc w:val="center"/>
        <w:rPr>
          <w:rFonts w:hint="eastAsia" w:ascii="微软雅黑" w:hAnsi="微软雅黑" w:eastAsia="微软雅黑" w:cs="微软雅黑"/>
          <w:b/>
          <w:color w:val="auto"/>
          <w:kern w:val="0"/>
          <w:sz w:val="21"/>
          <w:szCs w:val="21"/>
          <w:highlight w:val="none"/>
        </w:rPr>
      </w:pPr>
    </w:p>
    <w:p w14:paraId="54D92DDC">
      <w:pPr>
        <w:snapToGrid w:val="0"/>
        <w:ind w:right="480" w:firstLine="640"/>
        <w:jc w:val="center"/>
        <w:rPr>
          <w:rFonts w:hint="eastAsia" w:ascii="微软雅黑" w:hAnsi="微软雅黑" w:eastAsia="微软雅黑" w:cs="微软雅黑"/>
          <w:b/>
          <w:color w:val="auto"/>
          <w:kern w:val="0"/>
          <w:sz w:val="21"/>
          <w:szCs w:val="21"/>
          <w:highlight w:val="none"/>
        </w:rPr>
      </w:pPr>
    </w:p>
    <w:p w14:paraId="2F799335">
      <w:pPr>
        <w:snapToGrid w:val="0"/>
        <w:ind w:right="480" w:firstLine="640"/>
        <w:jc w:val="center"/>
        <w:rPr>
          <w:rFonts w:hint="eastAsia" w:ascii="微软雅黑" w:hAnsi="微软雅黑" w:eastAsia="微软雅黑" w:cs="微软雅黑"/>
          <w:b/>
          <w:color w:val="auto"/>
          <w:kern w:val="0"/>
          <w:sz w:val="21"/>
          <w:szCs w:val="21"/>
          <w:highlight w:val="none"/>
        </w:rPr>
      </w:pPr>
    </w:p>
    <w:p w14:paraId="0D4BE465">
      <w:pPr>
        <w:snapToGrid w:val="0"/>
        <w:ind w:right="480" w:firstLine="640"/>
        <w:jc w:val="center"/>
        <w:rPr>
          <w:rFonts w:hint="eastAsia" w:ascii="微软雅黑" w:hAnsi="微软雅黑" w:eastAsia="微软雅黑" w:cs="微软雅黑"/>
          <w:b/>
          <w:color w:val="auto"/>
          <w:kern w:val="0"/>
          <w:sz w:val="21"/>
          <w:szCs w:val="21"/>
          <w:highlight w:val="none"/>
        </w:rPr>
      </w:pPr>
    </w:p>
    <w:p w14:paraId="21AD1BAD">
      <w:pPr>
        <w:snapToGrid w:val="0"/>
        <w:ind w:right="480" w:firstLine="640"/>
        <w:jc w:val="center"/>
        <w:rPr>
          <w:rFonts w:hint="eastAsia" w:ascii="微软雅黑" w:hAnsi="微软雅黑" w:eastAsia="微软雅黑" w:cs="微软雅黑"/>
          <w:b/>
          <w:color w:val="auto"/>
          <w:kern w:val="0"/>
          <w:sz w:val="21"/>
          <w:szCs w:val="21"/>
          <w:highlight w:val="none"/>
        </w:rPr>
      </w:pPr>
    </w:p>
    <w:p w14:paraId="5EA173A2">
      <w:pPr>
        <w:snapToGrid w:val="0"/>
        <w:ind w:right="480" w:firstLine="640"/>
        <w:jc w:val="center"/>
        <w:rPr>
          <w:rFonts w:hint="eastAsia" w:ascii="微软雅黑" w:hAnsi="微软雅黑" w:eastAsia="微软雅黑" w:cs="微软雅黑"/>
          <w:b/>
          <w:color w:val="auto"/>
          <w:kern w:val="0"/>
          <w:sz w:val="21"/>
          <w:szCs w:val="21"/>
          <w:highlight w:val="none"/>
        </w:rPr>
      </w:pPr>
    </w:p>
    <w:p w14:paraId="011AB42A">
      <w:pPr>
        <w:ind w:firstLine="420"/>
        <w:rPr>
          <w:rFonts w:hint="eastAsia" w:ascii="微软雅黑" w:hAnsi="微软雅黑" w:eastAsia="微软雅黑" w:cs="微软雅黑"/>
          <w:color w:val="auto"/>
          <w:sz w:val="21"/>
          <w:szCs w:val="21"/>
          <w:highlight w:val="none"/>
        </w:rPr>
        <w:sectPr>
          <w:headerReference r:id="rId20" w:type="default"/>
          <w:footerReference r:id="rId21" w:type="default"/>
          <w:pgSz w:w="11906" w:h="16838"/>
          <w:pgMar w:top="1276" w:right="1418" w:bottom="1247" w:left="1418" w:header="851" w:footer="992" w:gutter="0"/>
          <w:cols w:space="720" w:num="1"/>
          <w:titlePg/>
          <w:docGrid w:linePitch="312" w:charSpace="0"/>
        </w:sectPr>
      </w:pPr>
    </w:p>
    <w:p w14:paraId="2761DDA1">
      <w:pPr>
        <w:pStyle w:val="292"/>
        <w:keepNext w:val="0"/>
        <w:tabs>
          <w:tab w:val="clear" w:pos="720"/>
        </w:tabs>
        <w:snapToGrid w:val="0"/>
        <w:spacing w:before="120" w:after="120"/>
        <w:ind w:firstLine="640"/>
        <w:outlineLvl w:val="9"/>
        <w:rPr>
          <w:rFonts w:hint="eastAsia" w:ascii="微软雅黑" w:hAnsi="微软雅黑" w:eastAsia="微软雅黑" w:cs="微软雅黑"/>
          <w:color w:val="auto"/>
          <w:kern w:val="2"/>
          <w:sz w:val="21"/>
          <w:szCs w:val="21"/>
          <w:highlight w:val="none"/>
        </w:rPr>
      </w:pPr>
      <w:bookmarkStart w:id="351" w:name="_Toc5722"/>
      <w:r>
        <w:rPr>
          <w:rFonts w:hint="eastAsia" w:ascii="微软雅黑" w:hAnsi="微软雅黑" w:eastAsia="微软雅黑" w:cs="微软雅黑"/>
          <w:color w:val="auto"/>
          <w:kern w:val="2"/>
          <w:sz w:val="21"/>
          <w:szCs w:val="21"/>
          <w:highlight w:val="none"/>
        </w:rPr>
        <w:t>一、开标一览表（报价表）</w:t>
      </w:r>
      <w:bookmarkEnd w:id="351"/>
    </w:p>
    <w:p w14:paraId="5B7004BA">
      <w:pPr>
        <w:snapToGrid w:val="0"/>
        <w:spacing w:before="50" w:after="50"/>
        <w:ind w:firstLine="420"/>
        <w:rPr>
          <w:rFonts w:hint="eastAsia" w:ascii="微软雅黑" w:hAnsi="微软雅黑" w:eastAsia="微软雅黑" w:cs="微软雅黑"/>
          <w:bCs/>
          <w:color w:val="auto"/>
          <w:sz w:val="21"/>
          <w:szCs w:val="21"/>
          <w:highlight w:val="none"/>
          <w:u w:val="single"/>
        </w:rPr>
      </w:pPr>
      <w:r>
        <w:rPr>
          <w:rFonts w:hint="eastAsia" w:ascii="微软雅黑" w:hAnsi="微软雅黑" w:eastAsia="微软雅黑" w:cs="微软雅黑"/>
          <w:color w:val="auto"/>
          <w:sz w:val="21"/>
          <w:szCs w:val="21"/>
          <w:highlight w:val="none"/>
        </w:rPr>
        <w:t>项目编号 ：</w:t>
      </w:r>
      <w:r>
        <w:rPr>
          <w:rFonts w:hint="eastAsia" w:ascii="微软雅黑" w:hAnsi="微软雅黑" w:eastAsia="微软雅黑" w:cs="微软雅黑"/>
          <w:bCs/>
          <w:color w:val="auto"/>
          <w:sz w:val="21"/>
          <w:szCs w:val="21"/>
          <w:highlight w:val="none"/>
          <w:u w:val="single"/>
        </w:rPr>
        <w:t>　　　　　　　　　　　　　　　　　　</w:t>
      </w:r>
    </w:p>
    <w:p w14:paraId="10139A78">
      <w:pPr>
        <w:snapToGrid w:val="0"/>
        <w:spacing w:before="50" w:after="50"/>
        <w:ind w:firstLine="420"/>
        <w:rPr>
          <w:rFonts w:hint="eastAsia" w:ascii="微软雅黑" w:hAnsi="微软雅黑" w:eastAsia="微软雅黑" w:cs="微软雅黑"/>
          <w:bCs/>
          <w:color w:val="auto"/>
          <w:sz w:val="21"/>
          <w:szCs w:val="21"/>
          <w:highlight w:val="none"/>
          <w:u w:val="single"/>
        </w:rPr>
      </w:pPr>
      <w:r>
        <w:rPr>
          <w:rFonts w:hint="eastAsia" w:ascii="微软雅黑" w:hAnsi="微软雅黑" w:eastAsia="微软雅黑" w:cs="微软雅黑"/>
          <w:color w:val="auto"/>
          <w:sz w:val="21"/>
          <w:szCs w:val="21"/>
          <w:highlight w:val="none"/>
        </w:rPr>
        <w:t>供应商名称：</w:t>
      </w:r>
      <w:r>
        <w:rPr>
          <w:rFonts w:hint="eastAsia" w:ascii="微软雅黑" w:hAnsi="微软雅黑" w:eastAsia="微软雅黑" w:cs="微软雅黑"/>
          <w:color w:val="auto"/>
          <w:sz w:val="21"/>
          <w:szCs w:val="21"/>
          <w:highlight w:val="none"/>
          <w:u w:val="single"/>
        </w:rPr>
        <w:t>　　　　　　　　　　　　　　　　</w:t>
      </w:r>
    </w:p>
    <w:p w14:paraId="46667FA7">
      <w:pPr>
        <w:snapToGrid w:val="0"/>
        <w:ind w:firstLine="0" w:firstLineChars="0"/>
        <w:rPr>
          <w:rFonts w:hint="eastAsia" w:ascii="微软雅黑" w:hAnsi="微软雅黑" w:eastAsia="微软雅黑" w:cs="微软雅黑"/>
          <w:color w:val="auto"/>
          <w:sz w:val="21"/>
          <w:szCs w:val="21"/>
          <w:highlight w:val="none"/>
        </w:rPr>
      </w:pPr>
      <w:bookmarkStart w:id="352" w:name="_Toc1030053926"/>
      <w:bookmarkStart w:id="353" w:name="_Toc1899345925"/>
      <w:bookmarkStart w:id="354" w:name="_Toc1148016959"/>
      <w:r>
        <w:rPr>
          <w:rFonts w:hint="eastAsia" w:ascii="微软雅黑" w:hAnsi="微软雅黑" w:eastAsia="微软雅黑" w:cs="微软雅黑"/>
          <w:color w:val="auto"/>
          <w:sz w:val="21"/>
          <w:szCs w:val="21"/>
          <w:highlight w:val="none"/>
        </w:rPr>
        <w:t>金额单位：人民币（元）</w:t>
      </w:r>
    </w:p>
    <w:tbl>
      <w:tblPr>
        <w:tblStyle w:val="52"/>
        <w:tblW w:w="86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98"/>
        <w:gridCol w:w="735"/>
        <w:gridCol w:w="855"/>
        <w:gridCol w:w="2518"/>
      </w:tblGrid>
      <w:tr w14:paraId="44FA7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4498" w:type="dxa"/>
            <w:tcBorders>
              <w:right w:val="single" w:color="auto" w:sz="4" w:space="0"/>
            </w:tcBorders>
            <w:vAlign w:val="center"/>
          </w:tcPr>
          <w:p w14:paraId="6D584DDA">
            <w:pPr>
              <w:ind w:firstLine="500"/>
              <w:jc w:val="center"/>
              <w:rPr>
                <w:rFonts w:hint="eastAsia" w:ascii="微软雅黑" w:hAnsi="微软雅黑" w:eastAsia="微软雅黑" w:cs="微软雅黑"/>
                <w:color w:val="auto"/>
                <w:spacing w:val="20"/>
                <w:sz w:val="21"/>
                <w:szCs w:val="21"/>
                <w:highlight w:val="none"/>
              </w:rPr>
            </w:pPr>
            <w:r>
              <w:rPr>
                <w:rFonts w:hint="eastAsia" w:ascii="微软雅黑" w:hAnsi="微软雅黑" w:eastAsia="微软雅黑" w:cs="微软雅黑"/>
                <w:color w:val="auto"/>
                <w:spacing w:val="20"/>
                <w:sz w:val="21"/>
                <w:szCs w:val="21"/>
                <w:highlight w:val="none"/>
              </w:rPr>
              <w:t>项目</w:t>
            </w:r>
          </w:p>
        </w:tc>
        <w:tc>
          <w:tcPr>
            <w:tcW w:w="735" w:type="dxa"/>
            <w:tcBorders>
              <w:left w:val="single" w:color="auto" w:sz="4" w:space="0"/>
              <w:right w:val="single" w:color="auto" w:sz="4" w:space="0"/>
            </w:tcBorders>
            <w:vAlign w:val="center"/>
          </w:tcPr>
          <w:p w14:paraId="5071D957">
            <w:pPr>
              <w:ind w:firstLine="0" w:firstLineChars="0"/>
              <w:jc w:val="center"/>
              <w:rPr>
                <w:rFonts w:hint="eastAsia" w:ascii="微软雅黑" w:hAnsi="微软雅黑" w:eastAsia="微软雅黑" w:cs="微软雅黑"/>
                <w:color w:val="auto"/>
                <w:spacing w:val="20"/>
                <w:sz w:val="21"/>
                <w:szCs w:val="21"/>
                <w:highlight w:val="none"/>
              </w:rPr>
            </w:pPr>
            <w:r>
              <w:rPr>
                <w:rFonts w:hint="eastAsia" w:ascii="微软雅黑" w:hAnsi="微软雅黑" w:eastAsia="微软雅黑" w:cs="微软雅黑"/>
                <w:color w:val="auto"/>
                <w:spacing w:val="20"/>
                <w:sz w:val="21"/>
                <w:szCs w:val="21"/>
                <w:highlight w:val="none"/>
              </w:rPr>
              <w:t>单位</w:t>
            </w:r>
          </w:p>
        </w:tc>
        <w:tc>
          <w:tcPr>
            <w:tcW w:w="855" w:type="dxa"/>
            <w:tcBorders>
              <w:left w:val="single" w:color="auto" w:sz="4" w:space="0"/>
              <w:right w:val="single" w:color="auto" w:sz="4" w:space="0"/>
            </w:tcBorders>
            <w:vAlign w:val="center"/>
          </w:tcPr>
          <w:p w14:paraId="06AADE9D">
            <w:pPr>
              <w:ind w:firstLine="0" w:firstLineChars="0"/>
              <w:jc w:val="center"/>
              <w:rPr>
                <w:rFonts w:hint="eastAsia" w:ascii="微软雅黑" w:hAnsi="微软雅黑" w:eastAsia="微软雅黑" w:cs="微软雅黑"/>
                <w:color w:val="auto"/>
                <w:spacing w:val="20"/>
                <w:sz w:val="21"/>
                <w:szCs w:val="21"/>
                <w:highlight w:val="none"/>
              </w:rPr>
            </w:pPr>
            <w:r>
              <w:rPr>
                <w:rFonts w:hint="eastAsia" w:ascii="微软雅黑" w:hAnsi="微软雅黑" w:eastAsia="微软雅黑" w:cs="微软雅黑"/>
                <w:color w:val="auto"/>
                <w:spacing w:val="20"/>
                <w:sz w:val="21"/>
                <w:szCs w:val="21"/>
                <w:highlight w:val="none"/>
              </w:rPr>
              <w:t>数量</w:t>
            </w:r>
          </w:p>
        </w:tc>
        <w:tc>
          <w:tcPr>
            <w:tcW w:w="2518" w:type="dxa"/>
            <w:tcBorders>
              <w:left w:val="single" w:color="auto" w:sz="4" w:space="0"/>
            </w:tcBorders>
            <w:vAlign w:val="center"/>
          </w:tcPr>
          <w:p w14:paraId="19B7D1E8">
            <w:pPr>
              <w:ind w:firstLine="0" w:firstLineChars="0"/>
              <w:jc w:val="center"/>
              <w:rPr>
                <w:rFonts w:hint="eastAsia" w:ascii="微软雅黑" w:hAnsi="微软雅黑" w:eastAsia="微软雅黑" w:cs="微软雅黑"/>
                <w:color w:val="auto"/>
                <w:spacing w:val="20"/>
                <w:sz w:val="21"/>
                <w:szCs w:val="21"/>
                <w:highlight w:val="none"/>
              </w:rPr>
            </w:pPr>
            <w:r>
              <w:rPr>
                <w:rFonts w:hint="eastAsia" w:ascii="微软雅黑" w:hAnsi="微软雅黑" w:eastAsia="微软雅黑" w:cs="微软雅黑"/>
                <w:color w:val="auto"/>
                <w:spacing w:val="20"/>
                <w:sz w:val="21"/>
                <w:szCs w:val="21"/>
                <w:highlight w:val="none"/>
              </w:rPr>
              <w:t>投标金额</w:t>
            </w:r>
          </w:p>
        </w:tc>
      </w:tr>
      <w:tr w14:paraId="5BDB4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jc w:val="center"/>
        </w:trPr>
        <w:tc>
          <w:tcPr>
            <w:tcW w:w="4498" w:type="dxa"/>
            <w:tcBorders>
              <w:right w:val="single" w:color="auto" w:sz="4" w:space="0"/>
            </w:tcBorders>
            <w:vAlign w:val="center"/>
          </w:tcPr>
          <w:p w14:paraId="1526819D">
            <w:pPr>
              <w:ind w:firstLine="0" w:firstLineChars="0"/>
              <w:rPr>
                <w:rFonts w:hint="eastAsia" w:ascii="微软雅黑" w:hAnsi="微软雅黑" w:eastAsia="微软雅黑" w:cs="微软雅黑"/>
                <w:color w:val="auto"/>
                <w:spacing w:val="20"/>
                <w:sz w:val="21"/>
                <w:szCs w:val="21"/>
                <w:highlight w:val="none"/>
                <w:lang w:eastAsia="zh-CN"/>
              </w:rPr>
            </w:pPr>
            <w:r>
              <w:rPr>
                <w:rFonts w:hint="eastAsia" w:ascii="微软雅黑" w:hAnsi="微软雅黑" w:cs="微软雅黑"/>
                <w:color w:val="auto"/>
                <w:sz w:val="21"/>
                <w:szCs w:val="21"/>
                <w:highlight w:val="none"/>
                <w:lang w:eastAsia="zh-CN"/>
              </w:rPr>
              <w:t>嘉兴市医疗保障局2025年度医保信息设施硬件及网络安全运维服务项目（第二次）</w:t>
            </w:r>
          </w:p>
        </w:tc>
        <w:tc>
          <w:tcPr>
            <w:tcW w:w="735" w:type="dxa"/>
            <w:tcBorders>
              <w:left w:val="single" w:color="auto" w:sz="4" w:space="0"/>
              <w:right w:val="single" w:color="auto" w:sz="4" w:space="0"/>
            </w:tcBorders>
            <w:vAlign w:val="center"/>
          </w:tcPr>
          <w:p w14:paraId="2E819BA5">
            <w:pPr>
              <w:ind w:firstLine="0" w:firstLineChars="0"/>
              <w:jc w:val="center"/>
              <w:rPr>
                <w:rFonts w:hint="eastAsia" w:ascii="微软雅黑" w:hAnsi="微软雅黑" w:eastAsia="微软雅黑" w:cs="微软雅黑"/>
                <w:color w:val="auto"/>
                <w:spacing w:val="20"/>
                <w:sz w:val="21"/>
                <w:szCs w:val="21"/>
                <w:highlight w:val="none"/>
              </w:rPr>
            </w:pPr>
            <w:r>
              <w:rPr>
                <w:rFonts w:hint="eastAsia" w:ascii="微软雅黑" w:hAnsi="微软雅黑" w:eastAsia="微软雅黑" w:cs="微软雅黑"/>
                <w:color w:val="auto"/>
                <w:spacing w:val="20"/>
                <w:sz w:val="21"/>
                <w:szCs w:val="21"/>
                <w:highlight w:val="none"/>
              </w:rPr>
              <w:t>项</w:t>
            </w:r>
          </w:p>
        </w:tc>
        <w:tc>
          <w:tcPr>
            <w:tcW w:w="855" w:type="dxa"/>
            <w:tcBorders>
              <w:left w:val="single" w:color="auto" w:sz="4" w:space="0"/>
              <w:right w:val="single" w:color="auto" w:sz="4" w:space="0"/>
            </w:tcBorders>
            <w:vAlign w:val="center"/>
          </w:tcPr>
          <w:p w14:paraId="255D4AAC">
            <w:pPr>
              <w:ind w:firstLine="0" w:firstLineChars="0"/>
              <w:jc w:val="center"/>
              <w:rPr>
                <w:rFonts w:hint="eastAsia" w:ascii="微软雅黑" w:hAnsi="微软雅黑" w:eastAsia="微软雅黑" w:cs="微软雅黑"/>
                <w:color w:val="auto"/>
                <w:spacing w:val="20"/>
                <w:sz w:val="21"/>
                <w:szCs w:val="21"/>
                <w:highlight w:val="none"/>
              </w:rPr>
            </w:pPr>
            <w:r>
              <w:rPr>
                <w:rFonts w:hint="eastAsia" w:ascii="微软雅黑" w:hAnsi="微软雅黑" w:eastAsia="微软雅黑" w:cs="微软雅黑"/>
                <w:color w:val="auto"/>
                <w:spacing w:val="20"/>
                <w:sz w:val="21"/>
                <w:szCs w:val="21"/>
                <w:highlight w:val="none"/>
              </w:rPr>
              <w:t>1</w:t>
            </w:r>
          </w:p>
        </w:tc>
        <w:tc>
          <w:tcPr>
            <w:tcW w:w="2518" w:type="dxa"/>
            <w:tcBorders>
              <w:left w:val="single" w:color="auto" w:sz="4" w:space="0"/>
            </w:tcBorders>
            <w:vAlign w:val="center"/>
          </w:tcPr>
          <w:p w14:paraId="016F9E70">
            <w:pPr>
              <w:ind w:firstLine="0" w:firstLineChars="0"/>
              <w:jc w:val="center"/>
              <w:rPr>
                <w:rFonts w:hint="eastAsia" w:ascii="微软雅黑" w:hAnsi="微软雅黑" w:eastAsia="微软雅黑" w:cs="微软雅黑"/>
                <w:color w:val="auto"/>
                <w:spacing w:val="20"/>
                <w:sz w:val="21"/>
                <w:szCs w:val="21"/>
                <w:highlight w:val="none"/>
              </w:rPr>
            </w:pPr>
          </w:p>
        </w:tc>
      </w:tr>
      <w:tr w14:paraId="41B10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606" w:type="dxa"/>
            <w:gridSpan w:val="4"/>
            <w:tcBorders>
              <w:top w:val="single" w:color="auto" w:sz="4" w:space="0"/>
            </w:tcBorders>
            <w:vAlign w:val="center"/>
          </w:tcPr>
          <w:p w14:paraId="720C51AD">
            <w:pPr>
              <w:ind w:firstLine="500"/>
              <w:jc w:val="both"/>
              <w:rPr>
                <w:rFonts w:hint="eastAsia" w:ascii="微软雅黑" w:hAnsi="微软雅黑" w:eastAsia="微软雅黑" w:cs="微软雅黑"/>
                <w:color w:val="auto"/>
                <w:spacing w:val="20"/>
                <w:sz w:val="21"/>
                <w:szCs w:val="21"/>
                <w:highlight w:val="none"/>
              </w:rPr>
            </w:pPr>
            <w:r>
              <w:rPr>
                <w:rFonts w:hint="eastAsia" w:ascii="微软雅黑" w:hAnsi="微软雅黑" w:eastAsia="微软雅黑" w:cs="微软雅黑"/>
                <w:color w:val="auto"/>
                <w:spacing w:val="20"/>
                <w:sz w:val="21"/>
                <w:szCs w:val="21"/>
                <w:highlight w:val="none"/>
              </w:rPr>
              <w:t>合计：大写（人民币）：                   小写：</w:t>
            </w:r>
          </w:p>
        </w:tc>
      </w:tr>
    </w:tbl>
    <w:p w14:paraId="712A3E7C">
      <w:pPr>
        <w:pStyle w:val="28"/>
        <w:spacing w:line="360" w:lineRule="auto"/>
        <w:outlineLvl w:val="9"/>
        <w:rPr>
          <w:rFonts w:hint="eastAsia" w:ascii="微软雅黑" w:hAnsi="微软雅黑" w:eastAsia="微软雅黑" w:cs="微软雅黑"/>
          <w:color w:val="auto"/>
          <w:sz w:val="21"/>
          <w:szCs w:val="21"/>
          <w:highlight w:val="none"/>
        </w:rPr>
      </w:pPr>
      <w:bookmarkStart w:id="355" w:name="_Toc19058"/>
      <w:r>
        <w:rPr>
          <w:rFonts w:hint="eastAsia" w:ascii="微软雅黑" w:hAnsi="微软雅黑" w:eastAsia="微软雅黑" w:cs="微软雅黑"/>
          <w:color w:val="auto"/>
          <w:sz w:val="21"/>
          <w:szCs w:val="21"/>
          <w:highlight w:val="none"/>
        </w:rPr>
        <w:t>注：1、投标总价应包括履行合同的最终价格，应包括人力成本、管理费、税金等项目所需的一切费用；</w:t>
      </w:r>
      <w:bookmarkEnd w:id="355"/>
    </w:p>
    <w:p w14:paraId="52AF84A9">
      <w:pPr>
        <w:pStyle w:val="28"/>
        <w:spacing w:line="360" w:lineRule="auto"/>
        <w:jc w:val="right"/>
        <w:outlineLvl w:val="9"/>
        <w:rPr>
          <w:rFonts w:hint="eastAsia" w:ascii="微软雅黑" w:hAnsi="微软雅黑" w:eastAsia="微软雅黑" w:cs="微软雅黑"/>
          <w:color w:val="auto"/>
          <w:sz w:val="21"/>
          <w:szCs w:val="21"/>
          <w:highlight w:val="none"/>
        </w:rPr>
      </w:pPr>
    </w:p>
    <w:p w14:paraId="476CEE88">
      <w:pPr>
        <w:pStyle w:val="28"/>
        <w:spacing w:line="360" w:lineRule="auto"/>
        <w:jc w:val="right"/>
        <w:outlineLvl w:val="9"/>
        <w:rPr>
          <w:rFonts w:hint="eastAsia" w:ascii="微软雅黑" w:hAnsi="微软雅黑" w:eastAsia="微软雅黑" w:cs="微软雅黑"/>
          <w:color w:val="auto"/>
          <w:sz w:val="21"/>
          <w:szCs w:val="21"/>
          <w:highlight w:val="none"/>
        </w:rPr>
      </w:pPr>
    </w:p>
    <w:p w14:paraId="52E9381C">
      <w:pPr>
        <w:pStyle w:val="28"/>
        <w:spacing w:line="360" w:lineRule="auto"/>
        <w:jc w:val="right"/>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法定代表人或被授权人签字（或盖章）：   </w:t>
      </w:r>
    </w:p>
    <w:p w14:paraId="09919A46">
      <w:pPr>
        <w:snapToGrid w:val="0"/>
        <w:ind w:firstLine="0" w:firstLineChars="0"/>
        <w:jc w:val="righ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投标供应商（公章）：   </w:t>
      </w:r>
    </w:p>
    <w:p w14:paraId="772F75AE">
      <w:pPr>
        <w:snapToGrid w:val="0"/>
        <w:ind w:firstLine="0" w:firstLineChars="0"/>
        <w:jc w:val="right"/>
        <w:rPr>
          <w:rFonts w:hint="eastAsia" w:ascii="微软雅黑" w:hAnsi="微软雅黑" w:eastAsia="微软雅黑" w:cs="微软雅黑"/>
          <w:color w:val="auto"/>
          <w:sz w:val="21"/>
          <w:szCs w:val="21"/>
          <w:highlight w:val="none"/>
        </w:rPr>
        <w:sectPr>
          <w:footerReference r:id="rId22" w:type="default"/>
          <w:pgSz w:w="11906" w:h="16838"/>
          <w:pgMar w:top="1474" w:right="1797" w:bottom="1247" w:left="1797" w:header="851" w:footer="992" w:gutter="0"/>
          <w:cols w:space="720" w:num="1"/>
          <w:docGrid w:linePitch="312" w:charSpace="0"/>
        </w:sectPr>
      </w:pPr>
      <w:r>
        <w:rPr>
          <w:rFonts w:hint="eastAsia" w:ascii="微软雅黑" w:hAnsi="微软雅黑" w:eastAsia="微软雅黑" w:cs="微软雅黑"/>
          <w:color w:val="auto"/>
          <w:sz w:val="21"/>
          <w:szCs w:val="21"/>
          <w:highlight w:val="none"/>
        </w:rPr>
        <w:t>日期：年 月 日</w:t>
      </w:r>
    </w:p>
    <w:bookmarkEnd w:id="352"/>
    <w:bookmarkEnd w:id="353"/>
    <w:bookmarkEnd w:id="354"/>
    <w:p w14:paraId="07DE4292">
      <w:pPr>
        <w:shd w:val="clear" w:color="auto" w:fill="FFFFFF"/>
        <w:ind w:firstLine="42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附件：</w:t>
      </w:r>
    </w:p>
    <w:p w14:paraId="6747B574">
      <w:pPr>
        <w:shd w:val="clear" w:color="auto" w:fill="FFFFFF"/>
        <w:ind w:firstLine="420"/>
        <w:jc w:val="center"/>
        <w:rPr>
          <w:rFonts w:hint="eastAsia" w:ascii="微软雅黑" w:hAnsi="微软雅黑" w:eastAsia="微软雅黑" w:cs="微软雅黑"/>
          <w:b/>
          <w:color w:val="auto"/>
          <w:sz w:val="21"/>
          <w:szCs w:val="21"/>
          <w:highlight w:val="none"/>
        </w:rPr>
      </w:pPr>
    </w:p>
    <w:p w14:paraId="0F9C0C91">
      <w:pPr>
        <w:shd w:val="clear" w:color="auto" w:fill="FFFFFF"/>
        <w:ind w:firstLine="420"/>
        <w:jc w:val="center"/>
        <w:rPr>
          <w:rFonts w:hint="eastAsia" w:ascii="微软雅黑" w:hAnsi="微软雅黑" w:eastAsia="微软雅黑" w:cs="微软雅黑"/>
          <w:bCs/>
          <w:color w:val="auto"/>
          <w:sz w:val="21"/>
          <w:szCs w:val="21"/>
          <w:highlight w:val="none"/>
        </w:rPr>
      </w:pPr>
      <w:bookmarkStart w:id="356" w:name="_Toc164943235"/>
      <w:bookmarkStart w:id="357" w:name="_Toc23088"/>
      <w:r>
        <w:rPr>
          <w:rFonts w:hint="eastAsia" w:ascii="微软雅黑" w:hAnsi="微软雅黑" w:eastAsia="微软雅黑" w:cs="微软雅黑"/>
          <w:b/>
          <w:color w:val="auto"/>
          <w:sz w:val="21"/>
          <w:szCs w:val="21"/>
          <w:highlight w:val="none"/>
        </w:rPr>
        <w:t>国家统计局关于印发统计上大中小微型企业划分办法的通知</w:t>
      </w:r>
      <w:bookmarkEnd w:id="356"/>
      <w:bookmarkEnd w:id="357"/>
    </w:p>
    <w:p w14:paraId="6A619073">
      <w:pPr>
        <w:shd w:val="clear" w:color="auto" w:fill="FFFFFF"/>
        <w:ind w:firstLine="42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国统字〔2011〕75号</w:t>
      </w:r>
    </w:p>
    <w:p w14:paraId="392C7FE0">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p>
    <w:p w14:paraId="2D96E49F">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各省、自治区、直辖市统计局，新疆生产建设兵团统计局，国家统计局各调查总队，国务院有关部门：</w:t>
      </w:r>
    </w:p>
    <w:p w14:paraId="6FFD310D">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p>
    <w:p w14:paraId="4A5BFF2C">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DC07AA4">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p>
    <w:p w14:paraId="768C1CE3">
      <w:pPr>
        <w:shd w:val="clear" w:color="auto" w:fill="FFFFFF"/>
        <w:ind w:firstLine="420"/>
        <w:jc w:val="righ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国家统计局 </w:t>
      </w:r>
    </w:p>
    <w:p w14:paraId="3C41C015">
      <w:pPr>
        <w:shd w:val="clear" w:color="auto" w:fill="FFFFFF"/>
        <w:ind w:firstLine="420"/>
        <w:jc w:val="righ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二〇一一年九月二日</w:t>
      </w:r>
    </w:p>
    <w:p w14:paraId="1CB00B47">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p>
    <w:p w14:paraId="74E94C99">
      <w:pPr>
        <w:shd w:val="clear" w:color="auto" w:fill="FFFFFF"/>
        <w:ind w:firstLine="420"/>
        <w:jc w:val="center"/>
        <w:rPr>
          <w:rFonts w:hint="eastAsia" w:ascii="微软雅黑" w:hAnsi="微软雅黑" w:eastAsia="微软雅黑" w:cs="微软雅黑"/>
          <w:bCs/>
          <w:color w:val="auto"/>
          <w:sz w:val="21"/>
          <w:szCs w:val="21"/>
          <w:highlight w:val="none"/>
        </w:rPr>
      </w:pPr>
      <w:bookmarkStart w:id="358" w:name="_Toc23951"/>
      <w:bookmarkStart w:id="359" w:name="_Toc164943236"/>
      <w:r>
        <w:rPr>
          <w:rFonts w:hint="eastAsia" w:ascii="微软雅黑" w:hAnsi="微软雅黑" w:eastAsia="微软雅黑" w:cs="微软雅黑"/>
          <w:b/>
          <w:color w:val="auto"/>
          <w:sz w:val="21"/>
          <w:szCs w:val="21"/>
          <w:highlight w:val="none"/>
        </w:rPr>
        <w:t>统计上大中小微型企业划分办法</w:t>
      </w:r>
      <w:bookmarkEnd w:id="358"/>
      <w:bookmarkEnd w:id="359"/>
    </w:p>
    <w:p w14:paraId="3F1D3987">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p>
    <w:p w14:paraId="257E7326">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一、根据工业和信息化部、国家统计局、国家发展改革委、财政部《关于印发中小企业划型标准规定的通知》（工信部联企业〔2011〕300号），结合统计工作的实际情况，特制定本办法。</w:t>
      </w:r>
    </w:p>
    <w:p w14:paraId="02AB6CFD">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p>
    <w:p w14:paraId="4D474724">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二、本办法适用对象为在中华人民共和国境内依法设立的各种组织形式的法人企业或单位。个体工商户参照本办法进行划分。</w:t>
      </w:r>
    </w:p>
    <w:p w14:paraId="49133299">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EC1AE25">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14:paraId="22FFE712">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五、企业划分由政府综合统计部门根据统计年报每年确定一次，定报统计原则上不进行调整。</w:t>
      </w:r>
    </w:p>
    <w:p w14:paraId="42D2C38C">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六、本办法自印发之日起执行，国家统计局2003年印发的《统计上大中小型企业划分办法（暂行）》（国统字〔2003〕17号）同时废止。</w:t>
      </w:r>
    </w:p>
    <w:p w14:paraId="504511B1">
      <w:pPr>
        <w:shd w:val="clear" w:color="auto" w:fill="FFFFFF"/>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 </w:t>
      </w:r>
      <w:r>
        <w:rPr>
          <w:rFonts w:hint="eastAsia" w:ascii="微软雅黑" w:hAnsi="微软雅黑" w:eastAsia="微软雅黑" w:cs="微软雅黑"/>
          <w:color w:val="auto"/>
          <w:sz w:val="21"/>
          <w:szCs w:val="21"/>
          <w:highlight w:val="none"/>
        </w:rPr>
        <w:t>　　附表：</w:t>
      </w:r>
    </w:p>
    <w:p w14:paraId="5ECD26D1">
      <w:pPr>
        <w:shd w:val="clear" w:color="auto" w:fill="FFFFFF"/>
        <w:ind w:firstLine="42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r>
        <w:rPr>
          <w:rFonts w:hint="eastAsia" w:ascii="微软雅黑" w:hAnsi="微软雅黑" w:eastAsia="微软雅黑" w:cs="微软雅黑"/>
          <w:b/>
          <w:color w:val="auto"/>
          <w:sz w:val="21"/>
          <w:szCs w:val="21"/>
          <w:highlight w:val="none"/>
        </w:rPr>
        <w:t>统计上大中小微型企业划分标准</w:t>
      </w:r>
    </w:p>
    <w:tbl>
      <w:tblPr>
        <w:tblStyle w:val="52"/>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5E7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shd w:val="clear" w:color="auto" w:fill="auto"/>
            <w:tcMar>
              <w:top w:w="0" w:type="dxa"/>
              <w:left w:w="108" w:type="dxa"/>
              <w:bottom w:w="0" w:type="dxa"/>
              <w:right w:w="108" w:type="dxa"/>
            </w:tcMar>
            <w:vAlign w:val="center"/>
          </w:tcPr>
          <w:p w14:paraId="39C7EECD">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r>
              <w:rPr>
                <w:rFonts w:hint="eastAsia" w:ascii="微软雅黑" w:hAnsi="微软雅黑" w:eastAsia="微软雅黑" w:cs="微软雅黑"/>
                <w:b/>
                <w:color w:val="auto"/>
                <w:sz w:val="21"/>
                <w:szCs w:val="21"/>
                <w:highlight w:val="none"/>
              </w:rPr>
              <w:t>行业名称</w:t>
            </w:r>
          </w:p>
        </w:tc>
        <w:tc>
          <w:tcPr>
            <w:tcW w:w="1281" w:type="dxa"/>
            <w:shd w:val="clear" w:color="auto" w:fill="auto"/>
            <w:tcMar>
              <w:top w:w="0" w:type="dxa"/>
              <w:left w:w="108" w:type="dxa"/>
              <w:bottom w:w="0" w:type="dxa"/>
              <w:right w:w="108" w:type="dxa"/>
            </w:tcMar>
            <w:vAlign w:val="center"/>
          </w:tcPr>
          <w:p w14:paraId="534D29EF">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指标名称</w:t>
            </w:r>
          </w:p>
        </w:tc>
        <w:tc>
          <w:tcPr>
            <w:tcW w:w="758" w:type="dxa"/>
            <w:shd w:val="clear" w:color="auto" w:fill="auto"/>
            <w:tcMar>
              <w:top w:w="0" w:type="dxa"/>
              <w:left w:w="108" w:type="dxa"/>
              <w:bottom w:w="0" w:type="dxa"/>
              <w:right w:w="108" w:type="dxa"/>
            </w:tcMar>
            <w:vAlign w:val="center"/>
          </w:tcPr>
          <w:p w14:paraId="49DF53A6">
            <w:pPr>
              <w:spacing w:line="240" w:lineRule="auto"/>
              <w:ind w:firstLine="0" w:firstLine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计量</w:t>
            </w:r>
          </w:p>
          <w:p w14:paraId="0CA654AD">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单位</w:t>
            </w:r>
          </w:p>
        </w:tc>
        <w:tc>
          <w:tcPr>
            <w:tcW w:w="993" w:type="dxa"/>
            <w:shd w:val="clear" w:color="auto" w:fill="auto"/>
            <w:tcMar>
              <w:top w:w="0" w:type="dxa"/>
              <w:left w:w="108" w:type="dxa"/>
              <w:bottom w:w="0" w:type="dxa"/>
              <w:right w:w="108" w:type="dxa"/>
            </w:tcMar>
            <w:vAlign w:val="center"/>
          </w:tcPr>
          <w:p w14:paraId="46C91908">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大型</w:t>
            </w:r>
          </w:p>
        </w:tc>
        <w:tc>
          <w:tcPr>
            <w:tcW w:w="1491" w:type="dxa"/>
            <w:shd w:val="clear" w:color="auto" w:fill="auto"/>
            <w:tcMar>
              <w:top w:w="0" w:type="dxa"/>
              <w:left w:w="108" w:type="dxa"/>
              <w:bottom w:w="0" w:type="dxa"/>
              <w:right w:w="108" w:type="dxa"/>
            </w:tcMar>
            <w:vAlign w:val="center"/>
          </w:tcPr>
          <w:p w14:paraId="6E9F4BC0">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中型</w:t>
            </w:r>
          </w:p>
        </w:tc>
        <w:tc>
          <w:tcPr>
            <w:tcW w:w="1315" w:type="dxa"/>
            <w:shd w:val="clear" w:color="auto" w:fill="auto"/>
            <w:tcMar>
              <w:top w:w="0" w:type="dxa"/>
              <w:left w:w="108" w:type="dxa"/>
              <w:bottom w:w="0" w:type="dxa"/>
              <w:right w:w="108" w:type="dxa"/>
            </w:tcMar>
            <w:vAlign w:val="center"/>
          </w:tcPr>
          <w:p w14:paraId="12F2DB4B">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小型</w:t>
            </w:r>
          </w:p>
        </w:tc>
        <w:tc>
          <w:tcPr>
            <w:tcW w:w="908" w:type="dxa"/>
            <w:shd w:val="clear" w:color="auto" w:fill="auto"/>
            <w:tcMar>
              <w:top w:w="0" w:type="dxa"/>
              <w:left w:w="108" w:type="dxa"/>
              <w:bottom w:w="0" w:type="dxa"/>
              <w:right w:w="108" w:type="dxa"/>
            </w:tcMar>
            <w:vAlign w:val="center"/>
          </w:tcPr>
          <w:p w14:paraId="65029D8C">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color w:val="auto"/>
                <w:sz w:val="21"/>
                <w:szCs w:val="21"/>
                <w:highlight w:val="none"/>
              </w:rPr>
              <w:t>微型</w:t>
            </w:r>
          </w:p>
        </w:tc>
      </w:tr>
      <w:tr w14:paraId="3C5D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4A77E43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农、林、牧、渔业</w:t>
            </w:r>
          </w:p>
        </w:tc>
        <w:tc>
          <w:tcPr>
            <w:tcW w:w="1281" w:type="dxa"/>
            <w:shd w:val="clear" w:color="auto" w:fill="auto"/>
            <w:tcMar>
              <w:top w:w="0" w:type="dxa"/>
              <w:left w:w="108" w:type="dxa"/>
              <w:bottom w:w="0" w:type="dxa"/>
              <w:right w:w="108" w:type="dxa"/>
            </w:tcMar>
            <w:vAlign w:val="center"/>
          </w:tcPr>
          <w:p w14:paraId="1C4823E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5BFE85A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61326CB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Y≥20000</w:t>
            </w:r>
          </w:p>
        </w:tc>
        <w:tc>
          <w:tcPr>
            <w:tcW w:w="1491" w:type="dxa"/>
            <w:shd w:val="clear" w:color="auto" w:fill="auto"/>
            <w:tcMar>
              <w:top w:w="0" w:type="dxa"/>
              <w:left w:w="108" w:type="dxa"/>
              <w:bottom w:w="0" w:type="dxa"/>
              <w:right w:w="108" w:type="dxa"/>
            </w:tcMar>
            <w:vAlign w:val="center"/>
          </w:tcPr>
          <w:p w14:paraId="41C8DFE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500≤Y＜20000</w:t>
            </w:r>
          </w:p>
        </w:tc>
        <w:tc>
          <w:tcPr>
            <w:tcW w:w="1315" w:type="dxa"/>
            <w:shd w:val="clear" w:color="auto" w:fill="auto"/>
            <w:tcMar>
              <w:top w:w="0" w:type="dxa"/>
              <w:left w:w="108" w:type="dxa"/>
              <w:bottom w:w="0" w:type="dxa"/>
              <w:right w:w="108" w:type="dxa"/>
            </w:tcMar>
            <w:vAlign w:val="center"/>
          </w:tcPr>
          <w:p w14:paraId="60C5BA0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50≤Y＜500</w:t>
            </w:r>
          </w:p>
        </w:tc>
        <w:tc>
          <w:tcPr>
            <w:tcW w:w="908" w:type="dxa"/>
            <w:shd w:val="clear" w:color="auto" w:fill="auto"/>
            <w:tcMar>
              <w:top w:w="0" w:type="dxa"/>
              <w:left w:w="108" w:type="dxa"/>
              <w:bottom w:w="0" w:type="dxa"/>
              <w:right w:w="108" w:type="dxa"/>
            </w:tcMar>
            <w:vAlign w:val="center"/>
          </w:tcPr>
          <w:p w14:paraId="02FFAA3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Y＜50</w:t>
            </w:r>
          </w:p>
        </w:tc>
      </w:tr>
      <w:tr w14:paraId="029E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2ED4D7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工业 *</w:t>
            </w:r>
          </w:p>
        </w:tc>
        <w:tc>
          <w:tcPr>
            <w:tcW w:w="1281" w:type="dxa"/>
            <w:shd w:val="clear" w:color="auto" w:fill="auto"/>
            <w:tcMar>
              <w:top w:w="0" w:type="dxa"/>
              <w:left w:w="108" w:type="dxa"/>
              <w:bottom w:w="0" w:type="dxa"/>
              <w:right w:w="108" w:type="dxa"/>
            </w:tcMar>
            <w:vAlign w:val="center"/>
          </w:tcPr>
          <w:p w14:paraId="71EA51D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55FDEE9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3C7AD78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X≥1000</w:t>
            </w:r>
          </w:p>
        </w:tc>
        <w:tc>
          <w:tcPr>
            <w:tcW w:w="1491" w:type="dxa"/>
            <w:shd w:val="clear" w:color="auto" w:fill="auto"/>
            <w:tcMar>
              <w:top w:w="0" w:type="dxa"/>
              <w:left w:w="108" w:type="dxa"/>
              <w:bottom w:w="0" w:type="dxa"/>
              <w:right w:w="108" w:type="dxa"/>
            </w:tcMar>
            <w:vAlign w:val="center"/>
          </w:tcPr>
          <w:p w14:paraId="10C1C0B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300≤X＜1000</w:t>
            </w:r>
          </w:p>
        </w:tc>
        <w:tc>
          <w:tcPr>
            <w:tcW w:w="1315" w:type="dxa"/>
            <w:shd w:val="clear" w:color="auto" w:fill="auto"/>
            <w:tcMar>
              <w:top w:w="0" w:type="dxa"/>
              <w:left w:w="108" w:type="dxa"/>
              <w:bottom w:w="0" w:type="dxa"/>
              <w:right w:w="108" w:type="dxa"/>
            </w:tcMar>
            <w:vAlign w:val="center"/>
          </w:tcPr>
          <w:p w14:paraId="2B458B2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20≤X＜300</w:t>
            </w:r>
          </w:p>
        </w:tc>
        <w:tc>
          <w:tcPr>
            <w:tcW w:w="908" w:type="dxa"/>
            <w:shd w:val="clear" w:color="auto" w:fill="auto"/>
            <w:tcMar>
              <w:top w:w="0" w:type="dxa"/>
              <w:left w:w="108" w:type="dxa"/>
              <w:bottom w:w="0" w:type="dxa"/>
              <w:right w:w="108" w:type="dxa"/>
            </w:tcMar>
            <w:vAlign w:val="center"/>
          </w:tcPr>
          <w:p w14:paraId="1C73B1D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X＜20</w:t>
            </w:r>
          </w:p>
        </w:tc>
      </w:tr>
      <w:tr w14:paraId="17A2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7CA5DFC">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5C973EB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69249BE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5FBFC9D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Y≥40000</w:t>
            </w:r>
          </w:p>
        </w:tc>
        <w:tc>
          <w:tcPr>
            <w:tcW w:w="1491" w:type="dxa"/>
            <w:shd w:val="clear" w:color="auto" w:fill="auto"/>
            <w:tcMar>
              <w:top w:w="0" w:type="dxa"/>
              <w:left w:w="108" w:type="dxa"/>
              <w:bottom w:w="0" w:type="dxa"/>
              <w:right w:w="108" w:type="dxa"/>
            </w:tcMar>
            <w:vAlign w:val="center"/>
          </w:tcPr>
          <w:p w14:paraId="6F5232A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2000≤Y＜40000</w:t>
            </w:r>
          </w:p>
        </w:tc>
        <w:tc>
          <w:tcPr>
            <w:tcW w:w="1315" w:type="dxa"/>
            <w:shd w:val="clear" w:color="auto" w:fill="auto"/>
            <w:tcMar>
              <w:top w:w="0" w:type="dxa"/>
              <w:left w:w="108" w:type="dxa"/>
              <w:bottom w:w="0" w:type="dxa"/>
              <w:right w:w="108" w:type="dxa"/>
            </w:tcMar>
            <w:vAlign w:val="center"/>
          </w:tcPr>
          <w:p w14:paraId="6CC5E80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300≤Y＜2000</w:t>
            </w:r>
          </w:p>
        </w:tc>
        <w:tc>
          <w:tcPr>
            <w:tcW w:w="908" w:type="dxa"/>
            <w:shd w:val="clear" w:color="auto" w:fill="auto"/>
            <w:tcMar>
              <w:top w:w="0" w:type="dxa"/>
              <w:left w:w="108" w:type="dxa"/>
              <w:bottom w:w="0" w:type="dxa"/>
              <w:right w:w="108" w:type="dxa"/>
            </w:tcMar>
            <w:vAlign w:val="center"/>
          </w:tcPr>
          <w:p w14:paraId="0A31F7F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Y＜300</w:t>
            </w:r>
          </w:p>
        </w:tc>
      </w:tr>
      <w:tr w14:paraId="098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0DF105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建筑业</w:t>
            </w:r>
          </w:p>
        </w:tc>
        <w:tc>
          <w:tcPr>
            <w:tcW w:w="1281" w:type="dxa"/>
            <w:shd w:val="clear" w:color="auto" w:fill="auto"/>
            <w:tcMar>
              <w:top w:w="0" w:type="dxa"/>
              <w:left w:w="108" w:type="dxa"/>
              <w:bottom w:w="0" w:type="dxa"/>
              <w:right w:w="108" w:type="dxa"/>
            </w:tcMar>
            <w:vAlign w:val="center"/>
          </w:tcPr>
          <w:p w14:paraId="54DD5A0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218FDCF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174E0CC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Y≥80000</w:t>
            </w:r>
          </w:p>
        </w:tc>
        <w:tc>
          <w:tcPr>
            <w:tcW w:w="1491" w:type="dxa"/>
            <w:shd w:val="clear" w:color="auto" w:fill="auto"/>
            <w:tcMar>
              <w:top w:w="0" w:type="dxa"/>
              <w:left w:w="108" w:type="dxa"/>
              <w:bottom w:w="0" w:type="dxa"/>
              <w:right w:w="108" w:type="dxa"/>
            </w:tcMar>
            <w:vAlign w:val="center"/>
          </w:tcPr>
          <w:p w14:paraId="7580680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6000≤Y＜80000</w:t>
            </w:r>
          </w:p>
        </w:tc>
        <w:tc>
          <w:tcPr>
            <w:tcW w:w="1315" w:type="dxa"/>
            <w:shd w:val="clear" w:color="auto" w:fill="auto"/>
            <w:tcMar>
              <w:top w:w="0" w:type="dxa"/>
              <w:left w:w="108" w:type="dxa"/>
              <w:bottom w:w="0" w:type="dxa"/>
              <w:right w:w="108" w:type="dxa"/>
            </w:tcMar>
            <w:vAlign w:val="center"/>
          </w:tcPr>
          <w:p w14:paraId="5D2016A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300≤Y＜6000</w:t>
            </w:r>
          </w:p>
        </w:tc>
        <w:tc>
          <w:tcPr>
            <w:tcW w:w="908" w:type="dxa"/>
            <w:shd w:val="clear" w:color="auto" w:fill="auto"/>
            <w:tcMar>
              <w:top w:w="0" w:type="dxa"/>
              <w:left w:w="108" w:type="dxa"/>
              <w:bottom w:w="0" w:type="dxa"/>
              <w:right w:w="108" w:type="dxa"/>
            </w:tcMar>
            <w:vAlign w:val="center"/>
          </w:tcPr>
          <w:p w14:paraId="66C1D77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Y＜300</w:t>
            </w:r>
          </w:p>
        </w:tc>
      </w:tr>
      <w:tr w14:paraId="5842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20FB7AB">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008111E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资产总额(Z)</w:t>
            </w:r>
          </w:p>
        </w:tc>
        <w:tc>
          <w:tcPr>
            <w:tcW w:w="758" w:type="dxa"/>
            <w:shd w:val="clear" w:color="auto" w:fill="auto"/>
            <w:tcMar>
              <w:top w:w="0" w:type="dxa"/>
              <w:left w:w="108" w:type="dxa"/>
              <w:bottom w:w="0" w:type="dxa"/>
              <w:right w:w="108" w:type="dxa"/>
            </w:tcMar>
            <w:vAlign w:val="center"/>
          </w:tcPr>
          <w:p w14:paraId="2906473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6F20E9C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Z≥80000</w:t>
            </w:r>
          </w:p>
        </w:tc>
        <w:tc>
          <w:tcPr>
            <w:tcW w:w="1491" w:type="dxa"/>
            <w:shd w:val="clear" w:color="auto" w:fill="auto"/>
            <w:tcMar>
              <w:top w:w="0" w:type="dxa"/>
              <w:left w:w="108" w:type="dxa"/>
              <w:bottom w:w="0" w:type="dxa"/>
              <w:right w:w="108" w:type="dxa"/>
            </w:tcMar>
            <w:vAlign w:val="center"/>
          </w:tcPr>
          <w:p w14:paraId="190519C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5000≤Z＜80000</w:t>
            </w:r>
          </w:p>
        </w:tc>
        <w:tc>
          <w:tcPr>
            <w:tcW w:w="1315" w:type="dxa"/>
            <w:shd w:val="clear" w:color="auto" w:fill="auto"/>
            <w:tcMar>
              <w:top w:w="0" w:type="dxa"/>
              <w:left w:w="108" w:type="dxa"/>
              <w:bottom w:w="0" w:type="dxa"/>
              <w:right w:w="108" w:type="dxa"/>
            </w:tcMar>
            <w:vAlign w:val="center"/>
          </w:tcPr>
          <w:p w14:paraId="22F22EE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300≤Z＜5000</w:t>
            </w:r>
          </w:p>
        </w:tc>
        <w:tc>
          <w:tcPr>
            <w:tcW w:w="908" w:type="dxa"/>
            <w:shd w:val="clear" w:color="auto" w:fill="auto"/>
            <w:tcMar>
              <w:top w:w="0" w:type="dxa"/>
              <w:left w:w="108" w:type="dxa"/>
              <w:bottom w:w="0" w:type="dxa"/>
              <w:right w:w="108" w:type="dxa"/>
            </w:tcMar>
            <w:vAlign w:val="center"/>
          </w:tcPr>
          <w:p w14:paraId="79C2C4D6">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Z＜300</w:t>
            </w:r>
          </w:p>
        </w:tc>
      </w:tr>
      <w:tr w14:paraId="1DD7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EDE8D5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批发业</w:t>
            </w:r>
          </w:p>
        </w:tc>
        <w:tc>
          <w:tcPr>
            <w:tcW w:w="1281" w:type="dxa"/>
            <w:shd w:val="clear" w:color="auto" w:fill="auto"/>
            <w:tcMar>
              <w:top w:w="0" w:type="dxa"/>
              <w:left w:w="108" w:type="dxa"/>
              <w:bottom w:w="0" w:type="dxa"/>
              <w:right w:w="108" w:type="dxa"/>
            </w:tcMar>
            <w:vAlign w:val="center"/>
          </w:tcPr>
          <w:p w14:paraId="70B50AE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08F74E2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5E981C3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X≥200</w:t>
            </w:r>
          </w:p>
        </w:tc>
        <w:tc>
          <w:tcPr>
            <w:tcW w:w="1491" w:type="dxa"/>
            <w:shd w:val="clear" w:color="auto" w:fill="auto"/>
            <w:tcMar>
              <w:top w:w="0" w:type="dxa"/>
              <w:left w:w="108" w:type="dxa"/>
              <w:bottom w:w="0" w:type="dxa"/>
              <w:right w:w="108" w:type="dxa"/>
            </w:tcMar>
            <w:vAlign w:val="center"/>
          </w:tcPr>
          <w:p w14:paraId="1E3422B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20≤X＜200</w:t>
            </w:r>
          </w:p>
        </w:tc>
        <w:tc>
          <w:tcPr>
            <w:tcW w:w="1315" w:type="dxa"/>
            <w:shd w:val="clear" w:color="auto" w:fill="auto"/>
            <w:tcMar>
              <w:top w:w="0" w:type="dxa"/>
              <w:left w:w="108" w:type="dxa"/>
              <w:bottom w:w="0" w:type="dxa"/>
              <w:right w:w="108" w:type="dxa"/>
            </w:tcMar>
            <w:vAlign w:val="center"/>
          </w:tcPr>
          <w:p w14:paraId="0CBF5AB6">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5≤X＜20</w:t>
            </w:r>
          </w:p>
        </w:tc>
        <w:tc>
          <w:tcPr>
            <w:tcW w:w="908" w:type="dxa"/>
            <w:shd w:val="clear" w:color="auto" w:fill="auto"/>
            <w:tcMar>
              <w:top w:w="0" w:type="dxa"/>
              <w:left w:w="108" w:type="dxa"/>
              <w:bottom w:w="0" w:type="dxa"/>
              <w:right w:w="108" w:type="dxa"/>
            </w:tcMar>
            <w:vAlign w:val="center"/>
          </w:tcPr>
          <w:p w14:paraId="6429E22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X＜5</w:t>
            </w:r>
          </w:p>
        </w:tc>
      </w:tr>
      <w:tr w14:paraId="6D08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71DE492">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33F477B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3C8FF9B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0C60E80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Y≥40000</w:t>
            </w:r>
          </w:p>
        </w:tc>
        <w:tc>
          <w:tcPr>
            <w:tcW w:w="1491" w:type="dxa"/>
            <w:shd w:val="clear" w:color="auto" w:fill="auto"/>
            <w:tcMar>
              <w:top w:w="0" w:type="dxa"/>
              <w:left w:w="108" w:type="dxa"/>
              <w:bottom w:w="0" w:type="dxa"/>
              <w:right w:w="108" w:type="dxa"/>
            </w:tcMar>
            <w:vAlign w:val="center"/>
          </w:tcPr>
          <w:p w14:paraId="0FA7AF3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5000≤Y＜40000</w:t>
            </w:r>
          </w:p>
        </w:tc>
        <w:tc>
          <w:tcPr>
            <w:tcW w:w="1315" w:type="dxa"/>
            <w:shd w:val="clear" w:color="auto" w:fill="auto"/>
            <w:tcMar>
              <w:top w:w="0" w:type="dxa"/>
              <w:left w:w="108" w:type="dxa"/>
              <w:bottom w:w="0" w:type="dxa"/>
              <w:right w:w="108" w:type="dxa"/>
            </w:tcMar>
            <w:vAlign w:val="center"/>
          </w:tcPr>
          <w:p w14:paraId="329CFD0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1000≤Y＜5000</w:t>
            </w:r>
          </w:p>
        </w:tc>
        <w:tc>
          <w:tcPr>
            <w:tcW w:w="908" w:type="dxa"/>
            <w:shd w:val="clear" w:color="auto" w:fill="auto"/>
            <w:tcMar>
              <w:top w:w="0" w:type="dxa"/>
              <w:left w:w="108" w:type="dxa"/>
              <w:bottom w:w="0" w:type="dxa"/>
              <w:right w:w="108" w:type="dxa"/>
            </w:tcMar>
            <w:vAlign w:val="center"/>
          </w:tcPr>
          <w:p w14:paraId="7D0B6EF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Y＜1000</w:t>
            </w:r>
          </w:p>
        </w:tc>
      </w:tr>
      <w:tr w14:paraId="0451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4EB0935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零售业</w:t>
            </w:r>
          </w:p>
        </w:tc>
        <w:tc>
          <w:tcPr>
            <w:tcW w:w="1281" w:type="dxa"/>
            <w:shd w:val="clear" w:color="auto" w:fill="auto"/>
            <w:tcMar>
              <w:top w:w="0" w:type="dxa"/>
              <w:left w:w="108" w:type="dxa"/>
              <w:bottom w:w="0" w:type="dxa"/>
              <w:right w:w="108" w:type="dxa"/>
            </w:tcMar>
            <w:vAlign w:val="center"/>
          </w:tcPr>
          <w:p w14:paraId="7BCD520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1528CB6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3AFBE68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X≥300</w:t>
            </w:r>
          </w:p>
        </w:tc>
        <w:tc>
          <w:tcPr>
            <w:tcW w:w="1491" w:type="dxa"/>
            <w:shd w:val="clear" w:color="auto" w:fill="auto"/>
            <w:tcMar>
              <w:top w:w="0" w:type="dxa"/>
              <w:left w:w="108" w:type="dxa"/>
              <w:bottom w:w="0" w:type="dxa"/>
              <w:right w:w="108" w:type="dxa"/>
            </w:tcMar>
            <w:vAlign w:val="center"/>
          </w:tcPr>
          <w:p w14:paraId="558DBFB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50≤X＜300</w:t>
            </w:r>
          </w:p>
        </w:tc>
        <w:tc>
          <w:tcPr>
            <w:tcW w:w="1315" w:type="dxa"/>
            <w:shd w:val="clear" w:color="auto" w:fill="auto"/>
            <w:tcMar>
              <w:top w:w="0" w:type="dxa"/>
              <w:left w:w="108" w:type="dxa"/>
              <w:bottom w:w="0" w:type="dxa"/>
              <w:right w:w="108" w:type="dxa"/>
            </w:tcMar>
            <w:vAlign w:val="center"/>
          </w:tcPr>
          <w:p w14:paraId="21289BC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10≤X＜50</w:t>
            </w:r>
          </w:p>
        </w:tc>
        <w:tc>
          <w:tcPr>
            <w:tcW w:w="908" w:type="dxa"/>
            <w:shd w:val="clear" w:color="auto" w:fill="auto"/>
            <w:tcMar>
              <w:top w:w="0" w:type="dxa"/>
              <w:left w:w="108" w:type="dxa"/>
              <w:bottom w:w="0" w:type="dxa"/>
              <w:right w:w="108" w:type="dxa"/>
            </w:tcMar>
            <w:vAlign w:val="center"/>
          </w:tcPr>
          <w:p w14:paraId="4681AB7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w:t>
            </w:r>
          </w:p>
        </w:tc>
      </w:tr>
      <w:tr w14:paraId="3C15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0C1E74B">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02881D4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7F4DE24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5A8BD1E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Y≥20000</w:t>
            </w:r>
          </w:p>
        </w:tc>
        <w:tc>
          <w:tcPr>
            <w:tcW w:w="1491" w:type="dxa"/>
            <w:shd w:val="clear" w:color="auto" w:fill="auto"/>
            <w:tcMar>
              <w:top w:w="0" w:type="dxa"/>
              <w:left w:w="108" w:type="dxa"/>
              <w:bottom w:w="0" w:type="dxa"/>
              <w:right w:w="108" w:type="dxa"/>
            </w:tcMar>
            <w:vAlign w:val="center"/>
          </w:tcPr>
          <w:p w14:paraId="36D7FBE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500≤Y＜20000</w:t>
            </w:r>
          </w:p>
        </w:tc>
        <w:tc>
          <w:tcPr>
            <w:tcW w:w="1315" w:type="dxa"/>
            <w:shd w:val="clear" w:color="auto" w:fill="auto"/>
            <w:tcMar>
              <w:top w:w="0" w:type="dxa"/>
              <w:left w:w="108" w:type="dxa"/>
              <w:bottom w:w="0" w:type="dxa"/>
              <w:right w:w="108" w:type="dxa"/>
            </w:tcMar>
            <w:vAlign w:val="center"/>
          </w:tcPr>
          <w:p w14:paraId="135E59B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100≤Y＜500</w:t>
            </w:r>
          </w:p>
        </w:tc>
        <w:tc>
          <w:tcPr>
            <w:tcW w:w="908" w:type="dxa"/>
            <w:shd w:val="clear" w:color="auto" w:fill="auto"/>
            <w:tcMar>
              <w:top w:w="0" w:type="dxa"/>
              <w:left w:w="108" w:type="dxa"/>
              <w:bottom w:w="0" w:type="dxa"/>
              <w:right w:w="108" w:type="dxa"/>
            </w:tcMar>
            <w:vAlign w:val="center"/>
          </w:tcPr>
          <w:p w14:paraId="0D950F7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w:t>
            </w:r>
          </w:p>
        </w:tc>
      </w:tr>
      <w:tr w14:paraId="5F72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B4C310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交通运输业 *</w:t>
            </w:r>
          </w:p>
        </w:tc>
        <w:tc>
          <w:tcPr>
            <w:tcW w:w="1281" w:type="dxa"/>
            <w:shd w:val="clear" w:color="auto" w:fill="auto"/>
            <w:tcMar>
              <w:top w:w="0" w:type="dxa"/>
              <w:left w:w="108" w:type="dxa"/>
              <w:bottom w:w="0" w:type="dxa"/>
              <w:right w:w="108" w:type="dxa"/>
            </w:tcMar>
            <w:vAlign w:val="center"/>
          </w:tcPr>
          <w:p w14:paraId="0F6F2D7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7E10FDE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7CADA59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X≥1000</w:t>
            </w:r>
          </w:p>
        </w:tc>
        <w:tc>
          <w:tcPr>
            <w:tcW w:w="1491" w:type="dxa"/>
            <w:shd w:val="clear" w:color="auto" w:fill="auto"/>
            <w:tcMar>
              <w:top w:w="0" w:type="dxa"/>
              <w:left w:w="108" w:type="dxa"/>
              <w:bottom w:w="0" w:type="dxa"/>
              <w:right w:w="108" w:type="dxa"/>
            </w:tcMar>
            <w:vAlign w:val="center"/>
          </w:tcPr>
          <w:p w14:paraId="6030BC1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300≤X＜1000</w:t>
            </w:r>
          </w:p>
        </w:tc>
        <w:tc>
          <w:tcPr>
            <w:tcW w:w="1315" w:type="dxa"/>
            <w:shd w:val="clear" w:color="auto" w:fill="auto"/>
            <w:tcMar>
              <w:top w:w="0" w:type="dxa"/>
              <w:left w:w="108" w:type="dxa"/>
              <w:bottom w:w="0" w:type="dxa"/>
              <w:right w:w="108" w:type="dxa"/>
            </w:tcMar>
            <w:vAlign w:val="center"/>
          </w:tcPr>
          <w:p w14:paraId="4B61237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20≤X＜300</w:t>
            </w:r>
          </w:p>
        </w:tc>
        <w:tc>
          <w:tcPr>
            <w:tcW w:w="908" w:type="dxa"/>
            <w:shd w:val="clear" w:color="auto" w:fill="auto"/>
            <w:tcMar>
              <w:top w:w="0" w:type="dxa"/>
              <w:left w:w="108" w:type="dxa"/>
              <w:bottom w:w="0" w:type="dxa"/>
              <w:right w:w="108" w:type="dxa"/>
            </w:tcMar>
            <w:vAlign w:val="center"/>
          </w:tcPr>
          <w:p w14:paraId="71DC58C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X＜20</w:t>
            </w:r>
          </w:p>
        </w:tc>
      </w:tr>
      <w:tr w14:paraId="5A8E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3630768">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0470853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1AAEB16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5C4B370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Y≥30000</w:t>
            </w:r>
          </w:p>
        </w:tc>
        <w:tc>
          <w:tcPr>
            <w:tcW w:w="1491" w:type="dxa"/>
            <w:shd w:val="clear" w:color="auto" w:fill="auto"/>
            <w:tcMar>
              <w:top w:w="0" w:type="dxa"/>
              <w:left w:w="108" w:type="dxa"/>
              <w:bottom w:w="0" w:type="dxa"/>
              <w:right w:w="108" w:type="dxa"/>
            </w:tcMar>
            <w:vAlign w:val="center"/>
          </w:tcPr>
          <w:p w14:paraId="1B5B84D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3000≤Y＜30000</w:t>
            </w:r>
          </w:p>
        </w:tc>
        <w:tc>
          <w:tcPr>
            <w:tcW w:w="1315" w:type="dxa"/>
            <w:shd w:val="clear" w:color="auto" w:fill="auto"/>
            <w:tcMar>
              <w:top w:w="0" w:type="dxa"/>
              <w:left w:w="108" w:type="dxa"/>
              <w:bottom w:w="0" w:type="dxa"/>
              <w:right w:w="108" w:type="dxa"/>
            </w:tcMar>
            <w:vAlign w:val="center"/>
          </w:tcPr>
          <w:p w14:paraId="6218A96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200≤Y＜3000</w:t>
            </w:r>
          </w:p>
        </w:tc>
        <w:tc>
          <w:tcPr>
            <w:tcW w:w="908" w:type="dxa"/>
            <w:shd w:val="clear" w:color="auto" w:fill="auto"/>
            <w:tcMar>
              <w:top w:w="0" w:type="dxa"/>
              <w:left w:w="108" w:type="dxa"/>
              <w:bottom w:w="0" w:type="dxa"/>
              <w:right w:w="108" w:type="dxa"/>
            </w:tcMar>
            <w:vAlign w:val="center"/>
          </w:tcPr>
          <w:p w14:paraId="1CEAE10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Y＜200</w:t>
            </w:r>
          </w:p>
        </w:tc>
      </w:tr>
      <w:tr w14:paraId="1E8F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50E99C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仓储业</w:t>
            </w:r>
          </w:p>
        </w:tc>
        <w:tc>
          <w:tcPr>
            <w:tcW w:w="1281" w:type="dxa"/>
            <w:shd w:val="clear" w:color="auto" w:fill="auto"/>
            <w:tcMar>
              <w:top w:w="0" w:type="dxa"/>
              <w:left w:w="108" w:type="dxa"/>
              <w:bottom w:w="0" w:type="dxa"/>
              <w:right w:w="108" w:type="dxa"/>
            </w:tcMar>
            <w:vAlign w:val="center"/>
          </w:tcPr>
          <w:p w14:paraId="2D21CD5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76A71C4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3D1AB2B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X≥200</w:t>
            </w:r>
          </w:p>
        </w:tc>
        <w:tc>
          <w:tcPr>
            <w:tcW w:w="1491" w:type="dxa"/>
            <w:shd w:val="clear" w:color="auto" w:fill="auto"/>
            <w:tcMar>
              <w:top w:w="0" w:type="dxa"/>
              <w:left w:w="108" w:type="dxa"/>
              <w:bottom w:w="0" w:type="dxa"/>
              <w:right w:w="108" w:type="dxa"/>
            </w:tcMar>
            <w:vAlign w:val="center"/>
          </w:tcPr>
          <w:p w14:paraId="5399E2B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100≤X＜200</w:t>
            </w:r>
          </w:p>
        </w:tc>
        <w:tc>
          <w:tcPr>
            <w:tcW w:w="1315" w:type="dxa"/>
            <w:shd w:val="clear" w:color="auto" w:fill="auto"/>
            <w:tcMar>
              <w:top w:w="0" w:type="dxa"/>
              <w:left w:w="108" w:type="dxa"/>
              <w:bottom w:w="0" w:type="dxa"/>
              <w:right w:w="108" w:type="dxa"/>
            </w:tcMar>
            <w:vAlign w:val="center"/>
          </w:tcPr>
          <w:p w14:paraId="1B095A8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20≤X＜100</w:t>
            </w:r>
          </w:p>
        </w:tc>
        <w:tc>
          <w:tcPr>
            <w:tcW w:w="908" w:type="dxa"/>
            <w:shd w:val="clear" w:color="auto" w:fill="auto"/>
            <w:tcMar>
              <w:top w:w="0" w:type="dxa"/>
              <w:left w:w="108" w:type="dxa"/>
              <w:bottom w:w="0" w:type="dxa"/>
              <w:right w:w="108" w:type="dxa"/>
            </w:tcMar>
            <w:vAlign w:val="center"/>
          </w:tcPr>
          <w:p w14:paraId="2E1D8A4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X＜20</w:t>
            </w:r>
          </w:p>
        </w:tc>
      </w:tr>
      <w:tr w14:paraId="09BF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0E109F9">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0E5A102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716FD8A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54D2AC0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Y≥30000</w:t>
            </w:r>
          </w:p>
        </w:tc>
        <w:tc>
          <w:tcPr>
            <w:tcW w:w="1491" w:type="dxa"/>
            <w:shd w:val="clear" w:color="auto" w:fill="auto"/>
            <w:tcMar>
              <w:top w:w="0" w:type="dxa"/>
              <w:left w:w="108" w:type="dxa"/>
              <w:bottom w:w="0" w:type="dxa"/>
              <w:right w:w="108" w:type="dxa"/>
            </w:tcMar>
            <w:vAlign w:val="center"/>
          </w:tcPr>
          <w:p w14:paraId="7019C5B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1000≤Y＜30000</w:t>
            </w:r>
          </w:p>
        </w:tc>
        <w:tc>
          <w:tcPr>
            <w:tcW w:w="1315" w:type="dxa"/>
            <w:shd w:val="clear" w:color="auto" w:fill="auto"/>
            <w:tcMar>
              <w:top w:w="0" w:type="dxa"/>
              <w:left w:w="108" w:type="dxa"/>
              <w:bottom w:w="0" w:type="dxa"/>
              <w:right w:w="108" w:type="dxa"/>
            </w:tcMar>
            <w:vAlign w:val="center"/>
          </w:tcPr>
          <w:p w14:paraId="5B58678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100≤Y＜1000</w:t>
            </w:r>
          </w:p>
        </w:tc>
        <w:tc>
          <w:tcPr>
            <w:tcW w:w="908" w:type="dxa"/>
            <w:shd w:val="clear" w:color="auto" w:fill="auto"/>
            <w:tcMar>
              <w:top w:w="0" w:type="dxa"/>
              <w:left w:w="108" w:type="dxa"/>
              <w:bottom w:w="0" w:type="dxa"/>
              <w:right w:w="108" w:type="dxa"/>
            </w:tcMar>
            <w:vAlign w:val="center"/>
          </w:tcPr>
          <w:p w14:paraId="67E2DAB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w:t>
            </w:r>
          </w:p>
        </w:tc>
      </w:tr>
      <w:tr w14:paraId="2DB5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7C4F3E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邮政业</w:t>
            </w:r>
          </w:p>
        </w:tc>
        <w:tc>
          <w:tcPr>
            <w:tcW w:w="1281" w:type="dxa"/>
            <w:shd w:val="clear" w:color="auto" w:fill="auto"/>
            <w:tcMar>
              <w:top w:w="0" w:type="dxa"/>
              <w:left w:w="108" w:type="dxa"/>
              <w:bottom w:w="0" w:type="dxa"/>
              <w:right w:w="108" w:type="dxa"/>
            </w:tcMar>
            <w:vAlign w:val="center"/>
          </w:tcPr>
          <w:p w14:paraId="39257A2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3547FD6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48A4D2C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X≥1000</w:t>
            </w:r>
          </w:p>
        </w:tc>
        <w:tc>
          <w:tcPr>
            <w:tcW w:w="1491" w:type="dxa"/>
            <w:shd w:val="clear" w:color="auto" w:fill="auto"/>
            <w:tcMar>
              <w:top w:w="0" w:type="dxa"/>
              <w:left w:w="108" w:type="dxa"/>
              <w:bottom w:w="0" w:type="dxa"/>
              <w:right w:w="108" w:type="dxa"/>
            </w:tcMar>
            <w:vAlign w:val="center"/>
          </w:tcPr>
          <w:p w14:paraId="6BBE4E3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300≤X＜1000</w:t>
            </w:r>
          </w:p>
        </w:tc>
        <w:tc>
          <w:tcPr>
            <w:tcW w:w="1315" w:type="dxa"/>
            <w:shd w:val="clear" w:color="auto" w:fill="auto"/>
            <w:tcMar>
              <w:top w:w="0" w:type="dxa"/>
              <w:left w:w="108" w:type="dxa"/>
              <w:bottom w:w="0" w:type="dxa"/>
              <w:right w:w="108" w:type="dxa"/>
            </w:tcMar>
            <w:vAlign w:val="center"/>
          </w:tcPr>
          <w:p w14:paraId="1877607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20≤X＜300</w:t>
            </w:r>
          </w:p>
        </w:tc>
        <w:tc>
          <w:tcPr>
            <w:tcW w:w="908" w:type="dxa"/>
            <w:shd w:val="clear" w:color="auto" w:fill="auto"/>
            <w:tcMar>
              <w:top w:w="0" w:type="dxa"/>
              <w:left w:w="108" w:type="dxa"/>
              <w:bottom w:w="0" w:type="dxa"/>
              <w:right w:w="108" w:type="dxa"/>
            </w:tcMar>
            <w:vAlign w:val="center"/>
          </w:tcPr>
          <w:p w14:paraId="6C8EA7A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X＜20</w:t>
            </w:r>
          </w:p>
        </w:tc>
      </w:tr>
      <w:tr w14:paraId="069E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2748208">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2048F61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23A1B3C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2C32781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Y≥30000</w:t>
            </w:r>
          </w:p>
        </w:tc>
        <w:tc>
          <w:tcPr>
            <w:tcW w:w="1491" w:type="dxa"/>
            <w:shd w:val="clear" w:color="auto" w:fill="auto"/>
            <w:tcMar>
              <w:top w:w="0" w:type="dxa"/>
              <w:left w:w="108" w:type="dxa"/>
              <w:bottom w:w="0" w:type="dxa"/>
              <w:right w:w="108" w:type="dxa"/>
            </w:tcMar>
            <w:vAlign w:val="center"/>
          </w:tcPr>
          <w:p w14:paraId="3143719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2000≤Y＜30000</w:t>
            </w:r>
          </w:p>
        </w:tc>
        <w:tc>
          <w:tcPr>
            <w:tcW w:w="1315" w:type="dxa"/>
            <w:shd w:val="clear" w:color="auto" w:fill="auto"/>
            <w:tcMar>
              <w:top w:w="0" w:type="dxa"/>
              <w:left w:w="108" w:type="dxa"/>
              <w:bottom w:w="0" w:type="dxa"/>
              <w:right w:w="108" w:type="dxa"/>
            </w:tcMar>
            <w:vAlign w:val="center"/>
          </w:tcPr>
          <w:p w14:paraId="68AE55B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100≤Y＜2000</w:t>
            </w:r>
          </w:p>
        </w:tc>
        <w:tc>
          <w:tcPr>
            <w:tcW w:w="908" w:type="dxa"/>
            <w:shd w:val="clear" w:color="auto" w:fill="auto"/>
            <w:tcMar>
              <w:top w:w="0" w:type="dxa"/>
              <w:left w:w="108" w:type="dxa"/>
              <w:bottom w:w="0" w:type="dxa"/>
              <w:right w:w="108" w:type="dxa"/>
            </w:tcMar>
            <w:vAlign w:val="center"/>
          </w:tcPr>
          <w:p w14:paraId="48D7C0F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w:t>
            </w:r>
          </w:p>
        </w:tc>
      </w:tr>
      <w:tr w14:paraId="03A5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384187C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住宿业</w:t>
            </w:r>
          </w:p>
        </w:tc>
        <w:tc>
          <w:tcPr>
            <w:tcW w:w="1281" w:type="dxa"/>
            <w:shd w:val="clear" w:color="auto" w:fill="auto"/>
            <w:tcMar>
              <w:top w:w="0" w:type="dxa"/>
              <w:left w:w="108" w:type="dxa"/>
              <w:bottom w:w="0" w:type="dxa"/>
              <w:right w:w="108" w:type="dxa"/>
            </w:tcMar>
            <w:vAlign w:val="center"/>
          </w:tcPr>
          <w:p w14:paraId="109573A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7AAE344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05B7D4F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X≥300</w:t>
            </w:r>
          </w:p>
        </w:tc>
        <w:tc>
          <w:tcPr>
            <w:tcW w:w="1491" w:type="dxa"/>
            <w:shd w:val="clear" w:color="auto" w:fill="auto"/>
            <w:tcMar>
              <w:top w:w="0" w:type="dxa"/>
              <w:left w:w="108" w:type="dxa"/>
              <w:bottom w:w="0" w:type="dxa"/>
              <w:right w:w="108" w:type="dxa"/>
            </w:tcMar>
            <w:vAlign w:val="center"/>
          </w:tcPr>
          <w:p w14:paraId="4D33524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100≤X＜300</w:t>
            </w:r>
          </w:p>
        </w:tc>
        <w:tc>
          <w:tcPr>
            <w:tcW w:w="1315" w:type="dxa"/>
            <w:shd w:val="clear" w:color="auto" w:fill="auto"/>
            <w:tcMar>
              <w:top w:w="0" w:type="dxa"/>
              <w:left w:w="108" w:type="dxa"/>
              <w:bottom w:w="0" w:type="dxa"/>
              <w:right w:w="108" w:type="dxa"/>
            </w:tcMar>
            <w:vAlign w:val="center"/>
          </w:tcPr>
          <w:p w14:paraId="53858DA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10≤X＜100</w:t>
            </w:r>
          </w:p>
        </w:tc>
        <w:tc>
          <w:tcPr>
            <w:tcW w:w="908" w:type="dxa"/>
            <w:shd w:val="clear" w:color="auto" w:fill="auto"/>
            <w:tcMar>
              <w:top w:w="0" w:type="dxa"/>
              <w:left w:w="108" w:type="dxa"/>
              <w:bottom w:w="0" w:type="dxa"/>
              <w:right w:w="108" w:type="dxa"/>
            </w:tcMar>
            <w:vAlign w:val="center"/>
          </w:tcPr>
          <w:p w14:paraId="6DA49496">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w:t>
            </w:r>
          </w:p>
        </w:tc>
      </w:tr>
      <w:tr w14:paraId="0E47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E08AADC">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131A6B4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5AFE4A0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46CC8AE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Y≥10000</w:t>
            </w:r>
          </w:p>
        </w:tc>
        <w:tc>
          <w:tcPr>
            <w:tcW w:w="1491" w:type="dxa"/>
            <w:shd w:val="clear" w:color="auto" w:fill="auto"/>
            <w:tcMar>
              <w:top w:w="0" w:type="dxa"/>
              <w:left w:w="108" w:type="dxa"/>
              <w:bottom w:w="0" w:type="dxa"/>
              <w:right w:w="108" w:type="dxa"/>
            </w:tcMar>
            <w:vAlign w:val="center"/>
          </w:tcPr>
          <w:p w14:paraId="77B8D90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2000≤Y＜10000</w:t>
            </w:r>
          </w:p>
        </w:tc>
        <w:tc>
          <w:tcPr>
            <w:tcW w:w="1315" w:type="dxa"/>
            <w:shd w:val="clear" w:color="auto" w:fill="auto"/>
            <w:tcMar>
              <w:top w:w="0" w:type="dxa"/>
              <w:left w:w="108" w:type="dxa"/>
              <w:bottom w:w="0" w:type="dxa"/>
              <w:right w:w="108" w:type="dxa"/>
            </w:tcMar>
            <w:vAlign w:val="center"/>
          </w:tcPr>
          <w:p w14:paraId="3EC42C5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100≤Y＜2000</w:t>
            </w:r>
          </w:p>
        </w:tc>
        <w:tc>
          <w:tcPr>
            <w:tcW w:w="908" w:type="dxa"/>
            <w:shd w:val="clear" w:color="auto" w:fill="auto"/>
            <w:tcMar>
              <w:top w:w="0" w:type="dxa"/>
              <w:left w:w="108" w:type="dxa"/>
              <w:bottom w:w="0" w:type="dxa"/>
              <w:right w:w="108" w:type="dxa"/>
            </w:tcMar>
            <w:vAlign w:val="center"/>
          </w:tcPr>
          <w:p w14:paraId="643EE6B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w:t>
            </w:r>
          </w:p>
        </w:tc>
      </w:tr>
      <w:tr w14:paraId="09A5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8D98F6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餐饮业</w:t>
            </w:r>
          </w:p>
        </w:tc>
        <w:tc>
          <w:tcPr>
            <w:tcW w:w="1281" w:type="dxa"/>
            <w:shd w:val="clear" w:color="auto" w:fill="auto"/>
            <w:tcMar>
              <w:top w:w="0" w:type="dxa"/>
              <w:left w:w="108" w:type="dxa"/>
              <w:bottom w:w="0" w:type="dxa"/>
              <w:right w:w="108" w:type="dxa"/>
            </w:tcMar>
            <w:vAlign w:val="center"/>
          </w:tcPr>
          <w:p w14:paraId="0F66187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2C9DBDC6">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4F17EBB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X≥300</w:t>
            </w:r>
          </w:p>
        </w:tc>
        <w:tc>
          <w:tcPr>
            <w:tcW w:w="1491" w:type="dxa"/>
            <w:shd w:val="clear" w:color="auto" w:fill="auto"/>
            <w:tcMar>
              <w:top w:w="0" w:type="dxa"/>
              <w:left w:w="108" w:type="dxa"/>
              <w:bottom w:w="0" w:type="dxa"/>
              <w:right w:w="108" w:type="dxa"/>
            </w:tcMar>
            <w:vAlign w:val="center"/>
          </w:tcPr>
          <w:p w14:paraId="688CDD9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100≤X＜300</w:t>
            </w:r>
          </w:p>
        </w:tc>
        <w:tc>
          <w:tcPr>
            <w:tcW w:w="1315" w:type="dxa"/>
            <w:shd w:val="clear" w:color="auto" w:fill="auto"/>
            <w:tcMar>
              <w:top w:w="0" w:type="dxa"/>
              <w:left w:w="108" w:type="dxa"/>
              <w:bottom w:w="0" w:type="dxa"/>
              <w:right w:w="108" w:type="dxa"/>
            </w:tcMar>
            <w:vAlign w:val="center"/>
          </w:tcPr>
          <w:p w14:paraId="2CFED5E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10≤X＜100</w:t>
            </w:r>
          </w:p>
        </w:tc>
        <w:tc>
          <w:tcPr>
            <w:tcW w:w="908" w:type="dxa"/>
            <w:shd w:val="clear" w:color="auto" w:fill="auto"/>
            <w:tcMar>
              <w:top w:w="0" w:type="dxa"/>
              <w:left w:w="108" w:type="dxa"/>
              <w:bottom w:w="0" w:type="dxa"/>
              <w:right w:w="108" w:type="dxa"/>
            </w:tcMar>
            <w:vAlign w:val="center"/>
          </w:tcPr>
          <w:p w14:paraId="72DDCDF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w:t>
            </w:r>
          </w:p>
        </w:tc>
      </w:tr>
      <w:tr w14:paraId="667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31356EA">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6BCD14C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45C1976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00B3B17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Y≥10000</w:t>
            </w:r>
          </w:p>
        </w:tc>
        <w:tc>
          <w:tcPr>
            <w:tcW w:w="1491" w:type="dxa"/>
            <w:shd w:val="clear" w:color="auto" w:fill="auto"/>
            <w:tcMar>
              <w:top w:w="0" w:type="dxa"/>
              <w:left w:w="108" w:type="dxa"/>
              <w:bottom w:w="0" w:type="dxa"/>
              <w:right w:w="108" w:type="dxa"/>
            </w:tcMar>
            <w:vAlign w:val="center"/>
          </w:tcPr>
          <w:p w14:paraId="432D971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2000≤Y＜10000</w:t>
            </w:r>
          </w:p>
        </w:tc>
        <w:tc>
          <w:tcPr>
            <w:tcW w:w="1315" w:type="dxa"/>
            <w:shd w:val="clear" w:color="auto" w:fill="auto"/>
            <w:tcMar>
              <w:top w:w="0" w:type="dxa"/>
              <w:left w:w="108" w:type="dxa"/>
              <w:bottom w:w="0" w:type="dxa"/>
              <w:right w:w="108" w:type="dxa"/>
            </w:tcMar>
            <w:vAlign w:val="center"/>
          </w:tcPr>
          <w:p w14:paraId="6D3FB8DF">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100≤Y＜2000</w:t>
            </w:r>
          </w:p>
        </w:tc>
        <w:tc>
          <w:tcPr>
            <w:tcW w:w="908" w:type="dxa"/>
            <w:shd w:val="clear" w:color="auto" w:fill="auto"/>
            <w:tcMar>
              <w:top w:w="0" w:type="dxa"/>
              <w:left w:w="108" w:type="dxa"/>
              <w:bottom w:w="0" w:type="dxa"/>
              <w:right w:w="108" w:type="dxa"/>
            </w:tcMar>
            <w:vAlign w:val="center"/>
          </w:tcPr>
          <w:p w14:paraId="5EB2584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w:t>
            </w:r>
          </w:p>
        </w:tc>
      </w:tr>
      <w:tr w14:paraId="39B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1DF3F7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信息传输业 *</w:t>
            </w:r>
          </w:p>
        </w:tc>
        <w:tc>
          <w:tcPr>
            <w:tcW w:w="1281" w:type="dxa"/>
            <w:shd w:val="clear" w:color="auto" w:fill="auto"/>
            <w:tcMar>
              <w:top w:w="0" w:type="dxa"/>
              <w:left w:w="108" w:type="dxa"/>
              <w:bottom w:w="0" w:type="dxa"/>
              <w:right w:w="108" w:type="dxa"/>
            </w:tcMar>
            <w:vAlign w:val="center"/>
          </w:tcPr>
          <w:p w14:paraId="7501D48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7430193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5705589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X≥2000</w:t>
            </w:r>
          </w:p>
        </w:tc>
        <w:tc>
          <w:tcPr>
            <w:tcW w:w="1491" w:type="dxa"/>
            <w:shd w:val="clear" w:color="auto" w:fill="auto"/>
            <w:tcMar>
              <w:top w:w="0" w:type="dxa"/>
              <w:left w:w="108" w:type="dxa"/>
              <w:bottom w:w="0" w:type="dxa"/>
              <w:right w:w="108" w:type="dxa"/>
            </w:tcMar>
            <w:vAlign w:val="center"/>
          </w:tcPr>
          <w:p w14:paraId="4044C2C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100≤X＜2000</w:t>
            </w:r>
          </w:p>
        </w:tc>
        <w:tc>
          <w:tcPr>
            <w:tcW w:w="1315" w:type="dxa"/>
            <w:shd w:val="clear" w:color="auto" w:fill="auto"/>
            <w:tcMar>
              <w:top w:w="0" w:type="dxa"/>
              <w:left w:w="108" w:type="dxa"/>
              <w:bottom w:w="0" w:type="dxa"/>
              <w:right w:w="108" w:type="dxa"/>
            </w:tcMar>
            <w:vAlign w:val="center"/>
          </w:tcPr>
          <w:p w14:paraId="5702B4E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10≤X＜100</w:t>
            </w:r>
          </w:p>
        </w:tc>
        <w:tc>
          <w:tcPr>
            <w:tcW w:w="908" w:type="dxa"/>
            <w:shd w:val="clear" w:color="auto" w:fill="auto"/>
            <w:tcMar>
              <w:top w:w="0" w:type="dxa"/>
              <w:left w:w="108" w:type="dxa"/>
              <w:bottom w:w="0" w:type="dxa"/>
              <w:right w:w="108" w:type="dxa"/>
            </w:tcMar>
            <w:vAlign w:val="center"/>
          </w:tcPr>
          <w:p w14:paraId="72613FE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w:t>
            </w:r>
          </w:p>
        </w:tc>
      </w:tr>
      <w:tr w14:paraId="5CF2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1F21E9F">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028118D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06EB962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449A706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Y≥100000</w:t>
            </w:r>
          </w:p>
        </w:tc>
        <w:tc>
          <w:tcPr>
            <w:tcW w:w="1491" w:type="dxa"/>
            <w:shd w:val="clear" w:color="auto" w:fill="auto"/>
            <w:tcMar>
              <w:top w:w="0" w:type="dxa"/>
              <w:left w:w="108" w:type="dxa"/>
              <w:bottom w:w="0" w:type="dxa"/>
              <w:right w:w="108" w:type="dxa"/>
            </w:tcMar>
            <w:vAlign w:val="center"/>
          </w:tcPr>
          <w:p w14:paraId="58D4F6F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1000≤Y＜100000</w:t>
            </w:r>
          </w:p>
        </w:tc>
        <w:tc>
          <w:tcPr>
            <w:tcW w:w="1315" w:type="dxa"/>
            <w:shd w:val="clear" w:color="auto" w:fill="auto"/>
            <w:tcMar>
              <w:top w:w="0" w:type="dxa"/>
              <w:left w:w="108" w:type="dxa"/>
              <w:bottom w:w="0" w:type="dxa"/>
              <w:right w:w="108" w:type="dxa"/>
            </w:tcMar>
            <w:vAlign w:val="center"/>
          </w:tcPr>
          <w:p w14:paraId="3389F008">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100≤Y＜1000</w:t>
            </w:r>
          </w:p>
        </w:tc>
        <w:tc>
          <w:tcPr>
            <w:tcW w:w="908" w:type="dxa"/>
            <w:shd w:val="clear" w:color="auto" w:fill="auto"/>
            <w:tcMar>
              <w:top w:w="0" w:type="dxa"/>
              <w:left w:w="108" w:type="dxa"/>
              <w:bottom w:w="0" w:type="dxa"/>
              <w:right w:w="108" w:type="dxa"/>
            </w:tcMar>
            <w:vAlign w:val="center"/>
          </w:tcPr>
          <w:p w14:paraId="25154EA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w:t>
            </w:r>
          </w:p>
        </w:tc>
      </w:tr>
      <w:tr w14:paraId="50AC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1452C7E6">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pacing w:val="-12"/>
                <w:sz w:val="21"/>
                <w:szCs w:val="21"/>
                <w:highlight w:val="none"/>
              </w:rPr>
              <w:t>软件和信息技术服</w:t>
            </w:r>
            <w:r>
              <w:rPr>
                <w:rFonts w:hint="eastAsia" w:ascii="微软雅黑" w:hAnsi="微软雅黑" w:eastAsia="微软雅黑" w:cs="微软雅黑"/>
                <w:color w:val="auto"/>
                <w:sz w:val="21"/>
                <w:szCs w:val="21"/>
                <w:highlight w:val="none"/>
              </w:rPr>
              <w:t>务业</w:t>
            </w:r>
          </w:p>
        </w:tc>
        <w:tc>
          <w:tcPr>
            <w:tcW w:w="1281" w:type="dxa"/>
            <w:shd w:val="clear" w:color="auto" w:fill="auto"/>
            <w:tcMar>
              <w:top w:w="0" w:type="dxa"/>
              <w:left w:w="108" w:type="dxa"/>
              <w:bottom w:w="0" w:type="dxa"/>
              <w:right w:w="108" w:type="dxa"/>
            </w:tcMar>
            <w:vAlign w:val="center"/>
          </w:tcPr>
          <w:p w14:paraId="39FF0F3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336604B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42B013DF">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X≥300</w:t>
            </w:r>
          </w:p>
        </w:tc>
        <w:tc>
          <w:tcPr>
            <w:tcW w:w="1491" w:type="dxa"/>
            <w:shd w:val="clear" w:color="auto" w:fill="auto"/>
            <w:tcMar>
              <w:top w:w="0" w:type="dxa"/>
              <w:left w:w="108" w:type="dxa"/>
              <w:bottom w:w="0" w:type="dxa"/>
              <w:right w:w="108" w:type="dxa"/>
            </w:tcMar>
            <w:vAlign w:val="center"/>
          </w:tcPr>
          <w:p w14:paraId="525EA775">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100≤X＜300</w:t>
            </w:r>
          </w:p>
        </w:tc>
        <w:tc>
          <w:tcPr>
            <w:tcW w:w="1315" w:type="dxa"/>
            <w:shd w:val="clear" w:color="auto" w:fill="auto"/>
            <w:tcMar>
              <w:top w:w="0" w:type="dxa"/>
              <w:left w:w="108" w:type="dxa"/>
              <w:bottom w:w="0" w:type="dxa"/>
              <w:right w:w="108" w:type="dxa"/>
            </w:tcMar>
            <w:vAlign w:val="center"/>
          </w:tcPr>
          <w:p w14:paraId="631B048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10≤X＜100</w:t>
            </w:r>
          </w:p>
        </w:tc>
        <w:tc>
          <w:tcPr>
            <w:tcW w:w="908" w:type="dxa"/>
            <w:shd w:val="clear" w:color="auto" w:fill="auto"/>
            <w:tcMar>
              <w:top w:w="0" w:type="dxa"/>
              <w:left w:w="108" w:type="dxa"/>
              <w:bottom w:w="0" w:type="dxa"/>
              <w:right w:w="108" w:type="dxa"/>
            </w:tcMar>
            <w:vAlign w:val="center"/>
          </w:tcPr>
          <w:p w14:paraId="347ECE96">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w:t>
            </w:r>
          </w:p>
        </w:tc>
      </w:tr>
      <w:tr w14:paraId="3745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15F9546">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710B705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3BB06A2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21E89BA4">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Y≥10000</w:t>
            </w:r>
          </w:p>
        </w:tc>
        <w:tc>
          <w:tcPr>
            <w:tcW w:w="1491" w:type="dxa"/>
            <w:shd w:val="clear" w:color="auto" w:fill="auto"/>
            <w:tcMar>
              <w:top w:w="0" w:type="dxa"/>
              <w:left w:w="108" w:type="dxa"/>
              <w:bottom w:w="0" w:type="dxa"/>
              <w:right w:w="108" w:type="dxa"/>
            </w:tcMar>
            <w:vAlign w:val="center"/>
          </w:tcPr>
          <w:p w14:paraId="3A7D5D5F">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1000≤Y＜10000</w:t>
            </w:r>
          </w:p>
        </w:tc>
        <w:tc>
          <w:tcPr>
            <w:tcW w:w="1315" w:type="dxa"/>
            <w:shd w:val="clear" w:color="auto" w:fill="auto"/>
            <w:tcMar>
              <w:top w:w="0" w:type="dxa"/>
              <w:left w:w="108" w:type="dxa"/>
              <w:bottom w:w="0" w:type="dxa"/>
              <w:right w:w="108" w:type="dxa"/>
            </w:tcMar>
            <w:vAlign w:val="center"/>
          </w:tcPr>
          <w:p w14:paraId="084C8A3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50≤Y＜1000</w:t>
            </w:r>
          </w:p>
        </w:tc>
        <w:tc>
          <w:tcPr>
            <w:tcW w:w="908" w:type="dxa"/>
            <w:shd w:val="clear" w:color="auto" w:fill="auto"/>
            <w:tcMar>
              <w:top w:w="0" w:type="dxa"/>
              <w:left w:w="108" w:type="dxa"/>
              <w:bottom w:w="0" w:type="dxa"/>
              <w:right w:w="108" w:type="dxa"/>
            </w:tcMar>
            <w:vAlign w:val="center"/>
          </w:tcPr>
          <w:p w14:paraId="24EEDB2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Y＜50</w:t>
            </w:r>
          </w:p>
        </w:tc>
      </w:tr>
      <w:tr w14:paraId="4FEB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209201F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房地产开发经营</w:t>
            </w:r>
          </w:p>
        </w:tc>
        <w:tc>
          <w:tcPr>
            <w:tcW w:w="1281" w:type="dxa"/>
            <w:shd w:val="clear" w:color="auto" w:fill="auto"/>
            <w:tcMar>
              <w:top w:w="0" w:type="dxa"/>
              <w:left w:w="108" w:type="dxa"/>
              <w:bottom w:w="0" w:type="dxa"/>
              <w:right w:w="108" w:type="dxa"/>
            </w:tcMar>
            <w:vAlign w:val="center"/>
          </w:tcPr>
          <w:p w14:paraId="4A0745C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0D4BC84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30034AE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Y≥200000</w:t>
            </w:r>
          </w:p>
        </w:tc>
        <w:tc>
          <w:tcPr>
            <w:tcW w:w="1491" w:type="dxa"/>
            <w:shd w:val="clear" w:color="auto" w:fill="auto"/>
            <w:tcMar>
              <w:top w:w="0" w:type="dxa"/>
              <w:left w:w="108" w:type="dxa"/>
              <w:bottom w:w="0" w:type="dxa"/>
              <w:right w:w="108" w:type="dxa"/>
            </w:tcMar>
            <w:vAlign w:val="center"/>
          </w:tcPr>
          <w:p w14:paraId="483C7D82">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1000≤Y＜200000</w:t>
            </w:r>
          </w:p>
        </w:tc>
        <w:tc>
          <w:tcPr>
            <w:tcW w:w="1315" w:type="dxa"/>
            <w:shd w:val="clear" w:color="auto" w:fill="auto"/>
            <w:tcMar>
              <w:top w:w="0" w:type="dxa"/>
              <w:left w:w="108" w:type="dxa"/>
              <w:bottom w:w="0" w:type="dxa"/>
              <w:right w:w="108" w:type="dxa"/>
            </w:tcMar>
            <w:vAlign w:val="center"/>
          </w:tcPr>
          <w:p w14:paraId="7B82204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100≤Y＜1000</w:t>
            </w:r>
          </w:p>
        </w:tc>
        <w:tc>
          <w:tcPr>
            <w:tcW w:w="908" w:type="dxa"/>
            <w:shd w:val="clear" w:color="auto" w:fill="auto"/>
            <w:tcMar>
              <w:top w:w="0" w:type="dxa"/>
              <w:left w:w="108" w:type="dxa"/>
              <w:bottom w:w="0" w:type="dxa"/>
              <w:right w:w="108" w:type="dxa"/>
            </w:tcMar>
            <w:vAlign w:val="center"/>
          </w:tcPr>
          <w:p w14:paraId="0A007600">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Y＜100</w:t>
            </w:r>
          </w:p>
        </w:tc>
      </w:tr>
      <w:tr w14:paraId="3EED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B279A52">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58A079B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资产总额(Z)</w:t>
            </w:r>
          </w:p>
        </w:tc>
        <w:tc>
          <w:tcPr>
            <w:tcW w:w="758" w:type="dxa"/>
            <w:shd w:val="clear" w:color="auto" w:fill="auto"/>
            <w:tcMar>
              <w:top w:w="0" w:type="dxa"/>
              <w:left w:w="108" w:type="dxa"/>
              <w:bottom w:w="0" w:type="dxa"/>
              <w:right w:w="108" w:type="dxa"/>
            </w:tcMar>
            <w:vAlign w:val="center"/>
          </w:tcPr>
          <w:p w14:paraId="49F7B3C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1BB5BA7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Z≥10000</w:t>
            </w:r>
          </w:p>
        </w:tc>
        <w:tc>
          <w:tcPr>
            <w:tcW w:w="1491" w:type="dxa"/>
            <w:shd w:val="clear" w:color="auto" w:fill="auto"/>
            <w:tcMar>
              <w:top w:w="0" w:type="dxa"/>
              <w:left w:w="108" w:type="dxa"/>
              <w:bottom w:w="0" w:type="dxa"/>
              <w:right w:w="108" w:type="dxa"/>
            </w:tcMar>
            <w:vAlign w:val="center"/>
          </w:tcPr>
          <w:p w14:paraId="53DBDCC9">
            <w:pPr>
              <w:spacing w:line="240" w:lineRule="auto"/>
              <w:ind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5000≤Z＜10000</w:t>
            </w:r>
          </w:p>
        </w:tc>
        <w:tc>
          <w:tcPr>
            <w:tcW w:w="1315" w:type="dxa"/>
            <w:shd w:val="clear" w:color="auto" w:fill="auto"/>
            <w:tcMar>
              <w:top w:w="0" w:type="dxa"/>
              <w:left w:w="108" w:type="dxa"/>
              <w:bottom w:w="0" w:type="dxa"/>
              <w:right w:w="108" w:type="dxa"/>
            </w:tcMar>
            <w:vAlign w:val="center"/>
          </w:tcPr>
          <w:p w14:paraId="100613C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2000≤Z＜5000  </w:t>
            </w:r>
          </w:p>
        </w:tc>
        <w:tc>
          <w:tcPr>
            <w:tcW w:w="908" w:type="dxa"/>
            <w:shd w:val="clear" w:color="auto" w:fill="auto"/>
            <w:tcMar>
              <w:top w:w="0" w:type="dxa"/>
              <w:left w:w="108" w:type="dxa"/>
              <w:bottom w:w="0" w:type="dxa"/>
              <w:right w:w="108" w:type="dxa"/>
            </w:tcMar>
            <w:vAlign w:val="center"/>
          </w:tcPr>
          <w:p w14:paraId="24C4DCB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Z＜2000</w:t>
            </w:r>
          </w:p>
        </w:tc>
      </w:tr>
      <w:tr w14:paraId="0EFB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5E49143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物业管理</w:t>
            </w:r>
          </w:p>
        </w:tc>
        <w:tc>
          <w:tcPr>
            <w:tcW w:w="1281" w:type="dxa"/>
            <w:shd w:val="clear" w:color="auto" w:fill="auto"/>
            <w:tcMar>
              <w:top w:w="0" w:type="dxa"/>
              <w:left w:w="108" w:type="dxa"/>
              <w:bottom w:w="0" w:type="dxa"/>
              <w:right w:w="108" w:type="dxa"/>
            </w:tcMar>
            <w:vAlign w:val="center"/>
          </w:tcPr>
          <w:p w14:paraId="328375F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2D23E93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18B34B4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X≥1000</w:t>
            </w:r>
          </w:p>
        </w:tc>
        <w:tc>
          <w:tcPr>
            <w:tcW w:w="1491" w:type="dxa"/>
            <w:shd w:val="clear" w:color="auto" w:fill="auto"/>
            <w:tcMar>
              <w:top w:w="0" w:type="dxa"/>
              <w:left w:w="108" w:type="dxa"/>
              <w:bottom w:w="0" w:type="dxa"/>
              <w:right w:w="108" w:type="dxa"/>
            </w:tcMar>
            <w:vAlign w:val="center"/>
          </w:tcPr>
          <w:p w14:paraId="788543F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300≤X＜1000</w:t>
            </w:r>
          </w:p>
        </w:tc>
        <w:tc>
          <w:tcPr>
            <w:tcW w:w="1315" w:type="dxa"/>
            <w:shd w:val="clear" w:color="auto" w:fill="auto"/>
            <w:tcMar>
              <w:top w:w="0" w:type="dxa"/>
              <w:left w:w="108" w:type="dxa"/>
              <w:bottom w:w="0" w:type="dxa"/>
              <w:right w:w="108" w:type="dxa"/>
            </w:tcMar>
            <w:vAlign w:val="center"/>
          </w:tcPr>
          <w:p w14:paraId="0FF3FB4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100≤X＜300</w:t>
            </w:r>
          </w:p>
        </w:tc>
        <w:tc>
          <w:tcPr>
            <w:tcW w:w="908" w:type="dxa"/>
            <w:shd w:val="clear" w:color="auto" w:fill="auto"/>
            <w:tcMar>
              <w:top w:w="0" w:type="dxa"/>
              <w:left w:w="108" w:type="dxa"/>
              <w:bottom w:w="0" w:type="dxa"/>
              <w:right w:w="108" w:type="dxa"/>
            </w:tcMar>
            <w:vAlign w:val="center"/>
          </w:tcPr>
          <w:p w14:paraId="31AC4ED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X＜100</w:t>
            </w:r>
          </w:p>
        </w:tc>
      </w:tr>
      <w:tr w14:paraId="5BC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5499194">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0B9D745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营业收入(Y)</w:t>
            </w:r>
          </w:p>
        </w:tc>
        <w:tc>
          <w:tcPr>
            <w:tcW w:w="758" w:type="dxa"/>
            <w:shd w:val="clear" w:color="auto" w:fill="auto"/>
            <w:tcMar>
              <w:top w:w="0" w:type="dxa"/>
              <w:left w:w="108" w:type="dxa"/>
              <w:bottom w:w="0" w:type="dxa"/>
              <w:right w:w="108" w:type="dxa"/>
            </w:tcMar>
            <w:vAlign w:val="center"/>
          </w:tcPr>
          <w:p w14:paraId="3E44A3C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43DDE0CB">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Y≥5000</w:t>
            </w:r>
          </w:p>
        </w:tc>
        <w:tc>
          <w:tcPr>
            <w:tcW w:w="1491" w:type="dxa"/>
            <w:shd w:val="clear" w:color="auto" w:fill="auto"/>
            <w:tcMar>
              <w:top w:w="0" w:type="dxa"/>
              <w:left w:w="108" w:type="dxa"/>
              <w:bottom w:w="0" w:type="dxa"/>
              <w:right w:w="108" w:type="dxa"/>
            </w:tcMar>
            <w:vAlign w:val="center"/>
          </w:tcPr>
          <w:p w14:paraId="282942C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1000≤Y＜5000</w:t>
            </w:r>
          </w:p>
        </w:tc>
        <w:tc>
          <w:tcPr>
            <w:tcW w:w="1315" w:type="dxa"/>
            <w:shd w:val="clear" w:color="auto" w:fill="auto"/>
            <w:tcMar>
              <w:top w:w="0" w:type="dxa"/>
              <w:left w:w="108" w:type="dxa"/>
              <w:bottom w:w="0" w:type="dxa"/>
              <w:right w:w="108" w:type="dxa"/>
            </w:tcMar>
            <w:vAlign w:val="center"/>
          </w:tcPr>
          <w:p w14:paraId="44F424C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500≤Y＜1000</w:t>
            </w:r>
          </w:p>
        </w:tc>
        <w:tc>
          <w:tcPr>
            <w:tcW w:w="908" w:type="dxa"/>
            <w:shd w:val="clear" w:color="auto" w:fill="auto"/>
            <w:tcMar>
              <w:top w:w="0" w:type="dxa"/>
              <w:left w:w="108" w:type="dxa"/>
              <w:bottom w:w="0" w:type="dxa"/>
              <w:right w:w="108" w:type="dxa"/>
            </w:tcMar>
            <w:vAlign w:val="center"/>
          </w:tcPr>
          <w:p w14:paraId="5CA9BEC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Y＜500</w:t>
            </w:r>
          </w:p>
        </w:tc>
      </w:tr>
      <w:tr w14:paraId="2D2B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7B20BE1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租赁和商务服务业</w:t>
            </w:r>
          </w:p>
        </w:tc>
        <w:tc>
          <w:tcPr>
            <w:tcW w:w="1281" w:type="dxa"/>
            <w:shd w:val="clear" w:color="auto" w:fill="auto"/>
            <w:tcMar>
              <w:top w:w="0" w:type="dxa"/>
              <w:left w:w="108" w:type="dxa"/>
              <w:bottom w:w="0" w:type="dxa"/>
              <w:right w:w="108" w:type="dxa"/>
            </w:tcMar>
            <w:vAlign w:val="center"/>
          </w:tcPr>
          <w:p w14:paraId="5485FF9D">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0E9C925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1E88189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X≥300</w:t>
            </w:r>
          </w:p>
        </w:tc>
        <w:tc>
          <w:tcPr>
            <w:tcW w:w="1491" w:type="dxa"/>
            <w:shd w:val="clear" w:color="auto" w:fill="auto"/>
            <w:tcMar>
              <w:top w:w="0" w:type="dxa"/>
              <w:left w:w="108" w:type="dxa"/>
              <w:bottom w:w="0" w:type="dxa"/>
              <w:right w:w="108" w:type="dxa"/>
            </w:tcMar>
            <w:vAlign w:val="center"/>
          </w:tcPr>
          <w:p w14:paraId="69B31CA3">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100≤X＜300</w:t>
            </w:r>
          </w:p>
        </w:tc>
        <w:tc>
          <w:tcPr>
            <w:tcW w:w="1315" w:type="dxa"/>
            <w:shd w:val="clear" w:color="auto" w:fill="auto"/>
            <w:tcMar>
              <w:top w:w="0" w:type="dxa"/>
              <w:left w:w="108" w:type="dxa"/>
              <w:bottom w:w="0" w:type="dxa"/>
              <w:right w:w="108" w:type="dxa"/>
            </w:tcMar>
            <w:vAlign w:val="center"/>
          </w:tcPr>
          <w:p w14:paraId="53642CE5">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10≤X＜100</w:t>
            </w:r>
          </w:p>
        </w:tc>
        <w:tc>
          <w:tcPr>
            <w:tcW w:w="908" w:type="dxa"/>
            <w:shd w:val="clear" w:color="auto" w:fill="auto"/>
            <w:tcMar>
              <w:top w:w="0" w:type="dxa"/>
              <w:left w:w="108" w:type="dxa"/>
              <w:bottom w:w="0" w:type="dxa"/>
              <w:right w:w="108" w:type="dxa"/>
            </w:tcMar>
            <w:vAlign w:val="center"/>
          </w:tcPr>
          <w:p w14:paraId="5BBB6F8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w:t>
            </w:r>
          </w:p>
        </w:tc>
      </w:tr>
      <w:tr w14:paraId="5F93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5AF70EC">
            <w:pPr>
              <w:spacing w:line="240" w:lineRule="auto"/>
              <w:ind w:firstLine="0" w:firstLineChars="0"/>
              <w:rPr>
                <w:rFonts w:hint="eastAsia" w:ascii="微软雅黑" w:hAnsi="微软雅黑" w:eastAsia="微软雅黑" w:cs="微软雅黑"/>
                <w:bCs/>
                <w:color w:val="auto"/>
                <w:sz w:val="21"/>
                <w:szCs w:val="21"/>
                <w:highlight w:val="none"/>
              </w:rPr>
            </w:pPr>
          </w:p>
        </w:tc>
        <w:tc>
          <w:tcPr>
            <w:tcW w:w="1281" w:type="dxa"/>
            <w:shd w:val="clear" w:color="auto" w:fill="auto"/>
            <w:tcMar>
              <w:top w:w="0" w:type="dxa"/>
              <w:left w:w="108" w:type="dxa"/>
              <w:bottom w:w="0" w:type="dxa"/>
              <w:right w:w="108" w:type="dxa"/>
            </w:tcMar>
            <w:vAlign w:val="center"/>
          </w:tcPr>
          <w:p w14:paraId="03710E4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资产总额(Z)</w:t>
            </w:r>
          </w:p>
        </w:tc>
        <w:tc>
          <w:tcPr>
            <w:tcW w:w="758" w:type="dxa"/>
            <w:shd w:val="clear" w:color="auto" w:fill="auto"/>
            <w:tcMar>
              <w:top w:w="0" w:type="dxa"/>
              <w:left w:w="108" w:type="dxa"/>
              <w:bottom w:w="0" w:type="dxa"/>
              <w:right w:w="108" w:type="dxa"/>
            </w:tcMar>
            <w:vAlign w:val="center"/>
          </w:tcPr>
          <w:p w14:paraId="54CEA464">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993" w:type="dxa"/>
            <w:shd w:val="clear" w:color="auto" w:fill="auto"/>
            <w:tcMar>
              <w:top w:w="0" w:type="dxa"/>
              <w:left w:w="108" w:type="dxa"/>
              <w:bottom w:w="0" w:type="dxa"/>
              <w:right w:w="108" w:type="dxa"/>
            </w:tcMar>
            <w:vAlign w:val="center"/>
          </w:tcPr>
          <w:p w14:paraId="05968561">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Z≥120000</w:t>
            </w:r>
          </w:p>
        </w:tc>
        <w:tc>
          <w:tcPr>
            <w:tcW w:w="1491" w:type="dxa"/>
            <w:shd w:val="clear" w:color="auto" w:fill="auto"/>
            <w:tcMar>
              <w:top w:w="0" w:type="dxa"/>
              <w:left w:w="108" w:type="dxa"/>
              <w:bottom w:w="0" w:type="dxa"/>
              <w:right w:w="108" w:type="dxa"/>
            </w:tcMar>
            <w:vAlign w:val="center"/>
          </w:tcPr>
          <w:p w14:paraId="3CD0F70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8000≤Z＜120000</w:t>
            </w:r>
          </w:p>
        </w:tc>
        <w:tc>
          <w:tcPr>
            <w:tcW w:w="1315" w:type="dxa"/>
            <w:shd w:val="clear" w:color="auto" w:fill="auto"/>
            <w:tcMar>
              <w:top w:w="0" w:type="dxa"/>
              <w:left w:w="108" w:type="dxa"/>
              <w:bottom w:w="0" w:type="dxa"/>
              <w:right w:w="108" w:type="dxa"/>
            </w:tcMar>
            <w:vAlign w:val="center"/>
          </w:tcPr>
          <w:p w14:paraId="3B3E9AEA">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100≤Z＜8000</w:t>
            </w:r>
          </w:p>
        </w:tc>
        <w:tc>
          <w:tcPr>
            <w:tcW w:w="908" w:type="dxa"/>
            <w:shd w:val="clear" w:color="auto" w:fill="auto"/>
            <w:tcMar>
              <w:top w:w="0" w:type="dxa"/>
              <w:left w:w="108" w:type="dxa"/>
              <w:bottom w:w="0" w:type="dxa"/>
              <w:right w:w="108" w:type="dxa"/>
            </w:tcMar>
            <w:vAlign w:val="center"/>
          </w:tcPr>
          <w:p w14:paraId="2634CA06">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Z＜100</w:t>
            </w:r>
          </w:p>
        </w:tc>
      </w:tr>
      <w:tr w14:paraId="096A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14A24DE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其他未列明行业 *</w:t>
            </w:r>
          </w:p>
        </w:tc>
        <w:tc>
          <w:tcPr>
            <w:tcW w:w="1281" w:type="dxa"/>
            <w:shd w:val="clear" w:color="auto" w:fill="auto"/>
            <w:tcMar>
              <w:top w:w="0" w:type="dxa"/>
              <w:left w:w="108" w:type="dxa"/>
              <w:bottom w:w="0" w:type="dxa"/>
              <w:right w:w="108" w:type="dxa"/>
            </w:tcMar>
            <w:vAlign w:val="center"/>
          </w:tcPr>
          <w:p w14:paraId="68CB5AE2">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从业人员(X)</w:t>
            </w:r>
          </w:p>
        </w:tc>
        <w:tc>
          <w:tcPr>
            <w:tcW w:w="758" w:type="dxa"/>
            <w:shd w:val="clear" w:color="auto" w:fill="auto"/>
            <w:tcMar>
              <w:top w:w="0" w:type="dxa"/>
              <w:left w:w="108" w:type="dxa"/>
              <w:bottom w:w="0" w:type="dxa"/>
              <w:right w:w="108" w:type="dxa"/>
            </w:tcMar>
            <w:vAlign w:val="center"/>
          </w:tcPr>
          <w:p w14:paraId="56E5038E">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人</w:t>
            </w:r>
          </w:p>
        </w:tc>
        <w:tc>
          <w:tcPr>
            <w:tcW w:w="993" w:type="dxa"/>
            <w:shd w:val="clear" w:color="auto" w:fill="auto"/>
            <w:tcMar>
              <w:top w:w="0" w:type="dxa"/>
              <w:left w:w="108" w:type="dxa"/>
              <w:bottom w:w="0" w:type="dxa"/>
              <w:right w:w="108" w:type="dxa"/>
            </w:tcMar>
            <w:vAlign w:val="center"/>
          </w:tcPr>
          <w:p w14:paraId="53CC2797">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X≥300</w:t>
            </w:r>
          </w:p>
        </w:tc>
        <w:tc>
          <w:tcPr>
            <w:tcW w:w="1491" w:type="dxa"/>
            <w:shd w:val="clear" w:color="auto" w:fill="auto"/>
            <w:tcMar>
              <w:top w:w="0" w:type="dxa"/>
              <w:left w:w="108" w:type="dxa"/>
              <w:bottom w:w="0" w:type="dxa"/>
              <w:right w:w="108" w:type="dxa"/>
            </w:tcMar>
            <w:vAlign w:val="center"/>
          </w:tcPr>
          <w:p w14:paraId="6D1CE00C">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100≤X＜300</w:t>
            </w:r>
          </w:p>
        </w:tc>
        <w:tc>
          <w:tcPr>
            <w:tcW w:w="1315" w:type="dxa"/>
            <w:shd w:val="clear" w:color="auto" w:fill="auto"/>
            <w:tcMar>
              <w:top w:w="0" w:type="dxa"/>
              <w:left w:w="108" w:type="dxa"/>
              <w:bottom w:w="0" w:type="dxa"/>
              <w:right w:w="108" w:type="dxa"/>
            </w:tcMar>
            <w:vAlign w:val="center"/>
          </w:tcPr>
          <w:p w14:paraId="2E7B6EF9">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10≤X＜100</w:t>
            </w:r>
          </w:p>
        </w:tc>
        <w:tc>
          <w:tcPr>
            <w:tcW w:w="908" w:type="dxa"/>
            <w:shd w:val="clear" w:color="auto" w:fill="auto"/>
            <w:tcMar>
              <w:top w:w="0" w:type="dxa"/>
              <w:left w:w="108" w:type="dxa"/>
              <w:bottom w:w="0" w:type="dxa"/>
              <w:right w:w="108" w:type="dxa"/>
            </w:tcMar>
            <w:vAlign w:val="center"/>
          </w:tcPr>
          <w:p w14:paraId="2AF3A3DF">
            <w:pPr>
              <w:spacing w:line="240" w:lineRule="auto"/>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X＜10</w:t>
            </w:r>
          </w:p>
        </w:tc>
      </w:tr>
    </w:tbl>
    <w:p w14:paraId="0CF3F833">
      <w:pPr>
        <w:shd w:val="clear" w:color="auto" w:fill="FFFFFF"/>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 </w:t>
      </w:r>
      <w:r>
        <w:rPr>
          <w:rFonts w:hint="eastAsia" w:ascii="微软雅黑" w:hAnsi="微软雅黑" w:eastAsia="微软雅黑" w:cs="微软雅黑"/>
          <w:color w:val="auto"/>
          <w:spacing w:val="8"/>
          <w:sz w:val="21"/>
          <w:szCs w:val="21"/>
          <w:highlight w:val="none"/>
        </w:rPr>
        <w:t>　　说明：</w:t>
      </w:r>
    </w:p>
    <w:p w14:paraId="39D44BBF">
      <w:pPr>
        <w:shd w:val="clear" w:color="auto" w:fill="FFFFFF"/>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pacing w:val="8"/>
          <w:sz w:val="21"/>
          <w:szCs w:val="21"/>
          <w:highlight w:val="none"/>
        </w:rPr>
        <w:t> 　　1.大型、中型和小型企业须同时满足所列指标的下限，否则下划一档；微型企业只须满足所列指标中的一项即可。</w:t>
      </w:r>
    </w:p>
    <w:p w14:paraId="6210189E">
      <w:pPr>
        <w:shd w:val="clear" w:color="auto" w:fill="FFFFFF"/>
        <w:ind w:firstLine="0" w:firstLineChars="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pacing w:val="8"/>
          <w:sz w:val="21"/>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31A283">
      <w:pPr>
        <w:shd w:val="clear" w:color="auto" w:fill="FFFFFF"/>
        <w:ind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8"/>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8"/>
      <w:pgMar w:top="1474" w:right="1289"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7C3805-E3E4-48F7-880E-1B6986BBD12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5A26B1-06FC-46F5-A812-CC54234CB693}"/>
  </w:font>
  <w:font w:name="微软雅黑">
    <w:panose1 w:val="020B0503020204020204"/>
    <w:charset w:val="86"/>
    <w:family w:val="swiss"/>
    <w:pitch w:val="default"/>
    <w:sig w:usb0="80000287" w:usb1="2ACF3C50" w:usb2="00000016" w:usb3="00000000" w:csb0="0004001F" w:csb1="00000000"/>
    <w:embedRegular r:id="rId3" w:fontKey="{DC05BAEC-EA79-455A-9E0D-519184D9209F}"/>
  </w:font>
  <w:font w:name="仿宋_GB2312">
    <w:panose1 w:val="02010609030101010101"/>
    <w:charset w:val="86"/>
    <w:family w:val="modern"/>
    <w:pitch w:val="default"/>
    <w:sig w:usb0="00000001" w:usb1="080E0000" w:usb2="00000000" w:usb3="00000000" w:csb0="00040000" w:csb1="00000000"/>
    <w:embedRegular r:id="rId4" w:fontKey="{BA203650-704A-4761-A621-9DE02F67070D}"/>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embedRegular r:id="rId5" w:fontKey="{321963FE-BFE4-4482-B3D9-8539BAA8D5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B1AD">
    <w:pPr>
      <w:pStyle w:val="3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97A8">
    <w:pPr>
      <w:pStyle w:val="34"/>
      <w:ind w:left="360"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45D7929A">
                          <w:pPr>
                            <w:pStyle w:val="34"/>
                            <w:ind w:firstLine="360"/>
                            <w:jc w:val="cente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yN309BICAAALBAAADgAAAGRycy9lMm9Eb2MueG1srVPLjtMwFN0j&#10;8Q+W9zRtRdtp1HQ0TFWENDykgQ9wHaexSHyta7dJ+QD4A1Zs2PNd/Q6unaQMw2YWbKIb2/fcc46P&#10;V9dtXbGjQqfBZHwyGnOmjIRcm33GP33cvrjizHlhclGBURk/Kcev18+frRqbqimUUOUKGYEYlzY2&#10;46X3Nk0SJ0tVCzcCqwxtFoC18PSL+yRH0RB6XSXT8XieNIC5RZDKOVrddJu8R8SnAEJRaKk2IA+1&#10;Mr5DRVUJT5Jcqa3j68i2KJT074vCKc+qjJNSH780hOpd+CbrlUj3KGypZU9BPIXCI0210IaGXqA2&#10;wgt2QP0PVK0lgoPCjyTUSSckOkIqJuNH3tyXwqqohax29mK6+3+w8t3xAzKdUxLmy/liPl+MyRoj&#10;arr58/dv5x+/zj+/smnwqbEupeP3lhp8+wpa6omanb0D+dkxA7elMHt1gwhNqUROPCehM3nQ2uG4&#10;ALJr3kJOc8TBQwRqC6yDiWQLI3QicrrckWo9k7S4XEwnVzPOJG1NXi6Ws1mcINKh2aLzrxXULBQZ&#10;R4pABBfHO+cDGZEOR8IsA1tdVTEGlflrgQ6GlUg+8O2Y+3bX9mbsID+RDIQuVfSmqCgBv3DWUKIy&#10;bugBcVa9MWRECN9Q4FDshkIYSY0Z95x15a3vQnqwqPcl4Q5W35BZWx2FBFc7Dj1LykjU1+c5hPDh&#10;fzz15w2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naTQ0gAAAAQBAAAPAAAAAAAAAAEAIAAA&#10;ACIAAABkcnMvZG93bnJldi54bWxQSwECFAAUAAAACACHTuJAyN309BICAAALBAAADgAAAAAAAAAB&#10;ACAAAAAhAQAAZHJzL2Uyb0RvYy54bWxQSwUGAAAAAAYABgBZAQAApQUAAAAA&#10;">
              <v:fill on="f" focussize="0,0"/>
              <v:stroke on="f"/>
              <v:imagedata o:title=""/>
              <o:lock v:ext="edit" aspectratio="f"/>
              <v:textbox inset="0mm,0mm,0mm,0mm" style="mso-fit-shape-to-text:t;">
                <w:txbxContent>
                  <w:p w14:paraId="45D7929A">
                    <w:pPr>
                      <w:pStyle w:val="34"/>
                      <w:ind w:firstLine="360"/>
                      <w:jc w:val="center"/>
                    </w:pPr>
                  </w:p>
                </w:txbxContent>
              </v:textbox>
            </v:shape>
          </w:pict>
        </mc:Fallback>
      </mc:AlternateContent>
    </w:r>
  </w:p>
  <w:p w14:paraId="31BCBD73">
    <w:pPr>
      <w:ind w:firstLine="42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70093"/>
    </w:sdtPr>
    <w:sdtContent>
      <w:p w14:paraId="14D0699B">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14:paraId="2E274EA7">
    <w:pPr>
      <w:ind w:firstLine="42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8D96">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25C4">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4DF3">
    <w:pPr>
      <w:pStyle w:val="34"/>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5E64">
    <w:pPr>
      <w:pStyle w:val="34"/>
      <w:ind w:firstLine="360"/>
      <w:jc w:val="center"/>
    </w:pPr>
    <w:r>
      <w:fldChar w:fldCharType="begin"/>
    </w:r>
    <w:r>
      <w:instrText xml:space="preserve">PAGE   \* MERGEFORMAT</w:instrText>
    </w:r>
    <w:r>
      <w:fldChar w:fldCharType="separate"/>
    </w:r>
    <w:r>
      <w:rPr>
        <w:lang w:val="zh-CN"/>
      </w:rPr>
      <w:t>41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907130"/>
    </w:sdtPr>
    <w:sdtContent>
      <w:p w14:paraId="48DE56CF">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14:paraId="7114DB26">
    <w:pPr>
      <w:pStyle w:val="34"/>
      <w:ind w:right="720" w:firstLine="210" w:firstLineChars="100"/>
      <w:jc w:val="center"/>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9282789">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14:paraId="0A105260">
    <w:pPr>
      <w:pStyle w:val="3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A4E1">
    <w:pPr>
      <w:pStyle w:val="34"/>
      <w:framePr w:wrap="around" w:vAnchor="text" w:hAnchor="margin" w:xAlign="center" w:y="1"/>
      <w:ind w:right="360" w:firstLine="360"/>
      <w:rPr>
        <w:rStyle w:val="58"/>
      </w:rPr>
    </w:pPr>
  </w:p>
  <w:p w14:paraId="0E4FE0DF">
    <w:pPr>
      <w:pStyle w:val="34"/>
      <w:ind w:firstLine="7920" w:firstLineChars="4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0C4E2719">
                          <w:pPr>
                            <w:pStyle w:val="34"/>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1312;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v:fill on="f" focussize="0,0"/>
              <v:stroke on="f"/>
              <v:imagedata o:title=""/>
              <o:lock v:ext="edit" aspectratio="f"/>
              <v:textbox inset="0mm,0mm,0mm,0mm" style="mso-fit-shape-to-text:t;">
                <w:txbxContent>
                  <w:p w14:paraId="0C4E2719">
                    <w:pPr>
                      <w:pStyle w:val="34"/>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20"/>
    </w:sdtPr>
    <w:sdtContent>
      <w:p w14:paraId="5A1EC475">
        <w:pPr>
          <w:pStyle w:val="34"/>
          <w:ind w:firstLine="360"/>
          <w:jc w:val="right"/>
        </w:pPr>
        <w:r>
          <w:fldChar w:fldCharType="begin"/>
        </w:r>
        <w:r>
          <w:instrText xml:space="preserve">PAGE   \* MERGEFORMAT</w:instrText>
        </w:r>
        <w:r>
          <w:fldChar w:fldCharType="separate"/>
        </w:r>
        <w:r>
          <w:rPr>
            <w:lang w:val="zh-CN"/>
          </w:rPr>
          <w:t>2</w:t>
        </w:r>
        <w:r>
          <w:fldChar w:fldCharType="end"/>
        </w:r>
      </w:p>
    </w:sdtContent>
  </w:sdt>
  <w:p w14:paraId="3D18F16C">
    <w:pPr>
      <w:ind w:firstLine="42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5A85">
    <w:pPr>
      <w:pStyle w:val="35"/>
      <w:rPr>
        <w:rFonts w:hint="eastAsia" w:ascii="微软雅黑" w:hAnsi="微软雅黑"/>
      </w:rPr>
    </w:pPr>
    <w:r>
      <w:rPr>
        <w:rFonts w:hint="eastAsia"/>
      </w:rPr>
      <w:pict>
        <v:shape id="PowerPlusWaterMarkObject13360720" o:spid="_x0000_s1026" o:spt="136" type="#_x0000_t136" style="position:absolute;left:0pt;height:41.85pt;width:544.0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EBDC">
    <w:pPr>
      <w:pStyle w:val="35"/>
    </w:pPr>
    <w:r>
      <w:pict>
        <v:shape id="PowerPlusWaterMarkObject13360719" o:spid="_x0000_s1027" o:spt="136" type="#_x0000_t136" style="position:absolute;left:0pt;height:41.85pt;width:544.0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B003">
    <w:pPr>
      <w:pStyle w:val="35"/>
    </w:pPr>
    <w:r>
      <w:pict>
        <v:shape id="PowerPlusWaterMarkObject13360718" o:spid="_x0000_s1025"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5CF8">
    <w:pPr>
      <w:pStyle w:val="35"/>
      <w:tabs>
        <w:tab w:val="right" w:pos="8620"/>
        <w:tab w:val="clear" w:pos="8306"/>
      </w:tabs>
      <w:ind w:left="0" w:leftChars="0" w:right="-506" w:rightChars="-241" w:firstLine="0" w:firstLineChars="0"/>
      <w:rPr>
        <w:rFonts w:hint="eastAsia" w:ascii="微软雅黑" w:hAnsi="微软雅黑"/>
      </w:rPr>
    </w:pPr>
    <w:r>
      <w:drawing>
        <wp:anchor distT="0" distB="0" distL="114300" distR="114300" simplePos="0" relativeHeight="251662336" behindDoc="0" locked="0" layoutInCell="1" allowOverlap="1">
          <wp:simplePos x="0" y="0"/>
          <wp:positionH relativeFrom="column">
            <wp:posOffset>-342900</wp:posOffset>
          </wp:positionH>
          <wp:positionV relativeFrom="paragraph">
            <wp:posOffset>-140970</wp:posOffset>
          </wp:positionV>
          <wp:extent cx="390525" cy="371475"/>
          <wp:effectExtent l="19050" t="0" r="9525" b="0"/>
          <wp:wrapNone/>
          <wp:docPr id="90906319" name="图片 90906319"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6319" name="图片 90906319"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v:shape id="PowerPlusWaterMarkObject13360723" o:spid="_x0000_s1029" o:spt="136" type="#_x0000_t136" style="position:absolute;left:0pt;height:41.85pt;width:54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w:t>
    </w:r>
    <w:r>
      <w:rPr>
        <w:rFonts w:hint="eastAsia"/>
        <w:lang w:eastAsia="zh-CN"/>
      </w:rPr>
      <w:t>嘉兴市医疗保障局2025年度医保信息设施硬件及网络安全运维服务项目（第二次）</w:t>
    </w:r>
    <w:r>
      <w:rPr>
        <w:rFonts w:hint="eastAsia" w:ascii="微软雅黑" w:hAnsi="微软雅黑"/>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92D2">
    <w:pPr>
      <w:pStyle w:val="35"/>
    </w:pPr>
    <w:r>
      <w:pict>
        <v:shape id="PowerPlusWaterMarkObject13360722" o:spid="_x0000_s1030" o:spt="136" type="#_x0000_t136" style="position:absolute;left:0pt;height:41.85pt;width:544.0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02DD">
    <w:pPr>
      <w:pStyle w:val="35"/>
    </w:pPr>
    <w:r>
      <w:drawing>
        <wp:anchor distT="0" distB="0" distL="114300" distR="114300" simplePos="0" relativeHeight="251668480" behindDoc="0" locked="0" layoutInCell="1" allowOverlap="1">
          <wp:simplePos x="0" y="0"/>
          <wp:positionH relativeFrom="column">
            <wp:posOffset>1905</wp:posOffset>
          </wp:positionH>
          <wp:positionV relativeFrom="paragraph">
            <wp:posOffset>-130810</wp:posOffset>
          </wp:positionV>
          <wp:extent cx="390525" cy="371475"/>
          <wp:effectExtent l="0" t="0" r="9525" b="9525"/>
          <wp:wrapNone/>
          <wp:docPr id="2" name="图片 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v:shape id="_x0000_s1031" o:spid="_x0000_s1031" o:spt="136" type="#_x0000_t136" style="position:absolute;left:0pt;margin-left:-33.25pt;margin-top:339.85pt;height:41.85pt;width:544.05pt;mso-position-horizontal-relative:margin;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w:t>
    </w:r>
    <w:r>
      <w:rPr>
        <w:rFonts w:hint="eastAsia"/>
        <w:lang w:eastAsia="zh-CN"/>
      </w:rPr>
      <w:t>嘉兴市医疗保障局2025年度医保信息设施硬件及网络安全运维服务项目（第二次）</w:t>
    </w:r>
    <w:r>
      <w:rPr>
        <w:rFonts w:hint="eastAsia" w:ascii="微软雅黑" w:hAnsi="微软雅黑"/>
      </w:rPr>
      <w:t>・竞争性磋商采购文件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F90C">
    <w:pPr>
      <w:pStyle w:val="35"/>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90525" cy="371475"/>
          <wp:effectExtent l="19050" t="0" r="9525" b="0"/>
          <wp:wrapNone/>
          <wp:docPr id="4" name="图片 4"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 xml:space="preserve"> </w:t>
    </w:r>
    <w:r>
      <w:rPr>
        <w:rFonts w:hint="eastAsia"/>
        <w:lang w:eastAsia="zh-CN"/>
      </w:rPr>
      <w:t>嘉兴市医疗保障局2025年度医保信息设施硬件及网络安全运维服务项目（第二次）</w:t>
    </w:r>
    <w:r>
      <w:rPr>
        <w:rFonts w:hint="eastAsia" w:ascii="微软雅黑" w:hAnsi="微软雅黑"/>
      </w:rPr>
      <w:t>・竞争性磋商采购文件</w:t>
    </w:r>
  </w:p>
  <w:p w14:paraId="2CF5A8EA">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BE9F"/>
    <w:multiLevelType w:val="singleLevel"/>
    <w:tmpl w:val="8739BE9F"/>
    <w:lvl w:ilvl="0" w:tentative="0">
      <w:start w:val="1"/>
      <w:numFmt w:val="chineseCounting"/>
      <w:suff w:val="nothing"/>
      <w:lvlText w:val="（%1）"/>
      <w:lvlJc w:val="left"/>
      <w:pPr>
        <w:ind w:left="0" w:firstLine="420"/>
      </w:pPr>
      <w:rPr>
        <w:rFonts w:hint="eastAsia"/>
      </w:rPr>
    </w:lvl>
  </w:abstractNum>
  <w:abstractNum w:abstractNumId="1">
    <w:nsid w:val="8EFCEF6B"/>
    <w:multiLevelType w:val="multilevel"/>
    <w:tmpl w:val="8EFCEF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8CEFD8F"/>
    <w:multiLevelType w:val="multilevel"/>
    <w:tmpl w:val="98CEFD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2E83325"/>
    <w:multiLevelType w:val="singleLevel"/>
    <w:tmpl w:val="A2E83325"/>
    <w:lvl w:ilvl="0" w:tentative="0">
      <w:start w:val="1"/>
      <w:numFmt w:val="chineseCounting"/>
      <w:suff w:val="nothing"/>
      <w:lvlText w:val="（%1）"/>
      <w:lvlJc w:val="left"/>
      <w:pPr>
        <w:ind w:left="0" w:firstLine="420"/>
      </w:pPr>
      <w:rPr>
        <w:rFonts w:hint="eastAsia"/>
      </w:rPr>
    </w:lvl>
  </w:abstractNum>
  <w:abstractNum w:abstractNumId="4">
    <w:nsid w:val="A4232E0F"/>
    <w:multiLevelType w:val="multilevel"/>
    <w:tmpl w:val="A4232E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A6B0AF8A"/>
    <w:multiLevelType w:val="multilevel"/>
    <w:tmpl w:val="A6B0AF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B5ACFC92"/>
    <w:multiLevelType w:val="multilevel"/>
    <w:tmpl w:val="B5ACFC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387CF19"/>
    <w:multiLevelType w:val="multilevel"/>
    <w:tmpl w:val="C387CF1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E151A36E"/>
    <w:multiLevelType w:val="multilevel"/>
    <w:tmpl w:val="E151A36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E406D807"/>
    <w:multiLevelType w:val="singleLevel"/>
    <w:tmpl w:val="E406D807"/>
    <w:lvl w:ilvl="0" w:tentative="0">
      <w:start w:val="1"/>
      <w:numFmt w:val="decimal"/>
      <w:lvlText w:val="%1."/>
      <w:lvlJc w:val="left"/>
      <w:pPr>
        <w:ind w:left="425" w:hanging="425"/>
      </w:pPr>
      <w:rPr>
        <w:rFonts w:hint="default"/>
      </w:rPr>
    </w:lvl>
  </w:abstractNum>
  <w:abstractNum w:abstractNumId="10">
    <w:nsid w:val="F1C0450D"/>
    <w:multiLevelType w:val="singleLevel"/>
    <w:tmpl w:val="F1C0450D"/>
    <w:lvl w:ilvl="0" w:tentative="0">
      <w:start w:val="1"/>
      <w:numFmt w:val="decimal"/>
      <w:lvlText w:val="%1."/>
      <w:lvlJc w:val="left"/>
      <w:pPr>
        <w:ind w:left="425" w:hanging="425"/>
      </w:pPr>
      <w:rPr>
        <w:rFonts w:hint="default"/>
      </w:rPr>
    </w:lvl>
  </w:abstractNum>
  <w:abstractNum w:abstractNumId="11">
    <w:nsid w:val="F4788770"/>
    <w:multiLevelType w:val="multilevel"/>
    <w:tmpl w:val="F478877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FD23A22F"/>
    <w:multiLevelType w:val="multilevel"/>
    <w:tmpl w:val="FD23A22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4">
    <w:nsid w:val="0425DD1C"/>
    <w:multiLevelType w:val="multilevel"/>
    <w:tmpl w:val="0425DD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18CE5C9B"/>
    <w:multiLevelType w:val="multilevel"/>
    <w:tmpl w:val="18CE5C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21C7DD74"/>
    <w:multiLevelType w:val="singleLevel"/>
    <w:tmpl w:val="21C7DD74"/>
    <w:lvl w:ilvl="0" w:tentative="0">
      <w:start w:val="1"/>
      <w:numFmt w:val="chineseCounting"/>
      <w:suff w:val="nothing"/>
      <w:lvlText w:val="%1、"/>
      <w:lvlJc w:val="left"/>
      <w:pPr>
        <w:ind w:left="0" w:firstLine="420"/>
      </w:pPr>
      <w:rPr>
        <w:rFonts w:hint="eastAsia"/>
      </w:rPr>
    </w:lvl>
  </w:abstractNum>
  <w:abstractNum w:abstractNumId="17">
    <w:nsid w:val="237699E8"/>
    <w:multiLevelType w:val="multilevel"/>
    <w:tmpl w:val="237699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3068B73E"/>
    <w:multiLevelType w:val="singleLevel"/>
    <w:tmpl w:val="3068B73E"/>
    <w:lvl w:ilvl="0" w:tentative="0">
      <w:start w:val="1"/>
      <w:numFmt w:val="chineseCounting"/>
      <w:suff w:val="nothing"/>
      <w:lvlText w:val="%1、"/>
      <w:lvlJc w:val="left"/>
      <w:pPr>
        <w:ind w:left="0" w:firstLine="420"/>
      </w:pPr>
      <w:rPr>
        <w:rFonts w:hint="eastAsia"/>
      </w:rPr>
    </w:lvl>
  </w:abstractNum>
  <w:abstractNum w:abstractNumId="19">
    <w:nsid w:val="30EC45E3"/>
    <w:multiLevelType w:val="multilevel"/>
    <w:tmpl w:val="30EC45E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3894BD8F"/>
    <w:multiLevelType w:val="singleLevel"/>
    <w:tmpl w:val="3894BD8F"/>
    <w:lvl w:ilvl="0" w:tentative="0">
      <w:start w:val="1"/>
      <w:numFmt w:val="decimal"/>
      <w:lvlText w:val="%1."/>
      <w:lvlJc w:val="left"/>
      <w:pPr>
        <w:ind w:left="425" w:hanging="425"/>
      </w:pPr>
      <w:rPr>
        <w:rFonts w:hint="default"/>
      </w:rPr>
    </w:lvl>
  </w:abstractNum>
  <w:abstractNum w:abstractNumId="21">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22">
    <w:nsid w:val="51FA1A31"/>
    <w:multiLevelType w:val="multilevel"/>
    <w:tmpl w:val="51FA1A31"/>
    <w:lvl w:ilvl="0" w:tentative="0">
      <w:start w:val="1"/>
      <w:numFmt w:val="japaneseCounting"/>
      <w:pStyle w:val="1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26B21FC"/>
    <w:multiLevelType w:val="multilevel"/>
    <w:tmpl w:val="526B21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5888B730"/>
    <w:multiLevelType w:val="multilevel"/>
    <w:tmpl w:val="5888B7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59953568"/>
    <w:multiLevelType w:val="multilevel"/>
    <w:tmpl w:val="599535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5CD05060"/>
    <w:multiLevelType w:val="multilevel"/>
    <w:tmpl w:val="5CD05060"/>
    <w:lvl w:ilvl="0" w:tentative="0">
      <w:start w:val="1"/>
      <w:numFmt w:val="decimal"/>
      <w:lvlText w:val="%1."/>
      <w:lvlJc w:val="left"/>
      <w:pPr>
        <w:ind w:left="5113" w:hanging="440"/>
      </w:pPr>
    </w:lvl>
    <w:lvl w:ilvl="1" w:tentative="0">
      <w:start w:val="1"/>
      <w:numFmt w:val="decimal"/>
      <w:pStyle w:val="102"/>
      <w:lvlText w:val="%2."/>
      <w:lvlJc w:val="left"/>
      <w:pPr>
        <w:ind w:left="5553" w:hanging="440"/>
      </w:pPr>
    </w:lvl>
    <w:lvl w:ilvl="2" w:tentative="0">
      <w:start w:val="1"/>
      <w:numFmt w:val="lowerRoman"/>
      <w:lvlText w:val="%3."/>
      <w:lvlJc w:val="right"/>
      <w:pPr>
        <w:ind w:left="5993" w:hanging="440"/>
      </w:pPr>
    </w:lvl>
    <w:lvl w:ilvl="3" w:tentative="0">
      <w:start w:val="1"/>
      <w:numFmt w:val="decimal"/>
      <w:lvlText w:val="%4."/>
      <w:lvlJc w:val="left"/>
      <w:pPr>
        <w:ind w:left="6433" w:hanging="440"/>
      </w:pPr>
    </w:lvl>
    <w:lvl w:ilvl="4" w:tentative="0">
      <w:start w:val="1"/>
      <w:numFmt w:val="lowerLetter"/>
      <w:lvlText w:val="%5)"/>
      <w:lvlJc w:val="left"/>
      <w:pPr>
        <w:ind w:left="6873" w:hanging="440"/>
      </w:pPr>
    </w:lvl>
    <w:lvl w:ilvl="5" w:tentative="0">
      <w:start w:val="1"/>
      <w:numFmt w:val="lowerRoman"/>
      <w:lvlText w:val="%6."/>
      <w:lvlJc w:val="right"/>
      <w:pPr>
        <w:ind w:left="7313" w:hanging="440"/>
      </w:pPr>
    </w:lvl>
    <w:lvl w:ilvl="6" w:tentative="0">
      <w:start w:val="1"/>
      <w:numFmt w:val="decimal"/>
      <w:lvlText w:val="%7."/>
      <w:lvlJc w:val="left"/>
      <w:pPr>
        <w:ind w:left="7753" w:hanging="440"/>
      </w:pPr>
    </w:lvl>
    <w:lvl w:ilvl="7" w:tentative="0">
      <w:start w:val="1"/>
      <w:numFmt w:val="lowerLetter"/>
      <w:lvlText w:val="%8)"/>
      <w:lvlJc w:val="left"/>
      <w:pPr>
        <w:ind w:left="8193" w:hanging="440"/>
      </w:pPr>
    </w:lvl>
    <w:lvl w:ilvl="8" w:tentative="0">
      <w:start w:val="1"/>
      <w:numFmt w:val="lowerRoman"/>
      <w:lvlText w:val="%9."/>
      <w:lvlJc w:val="right"/>
      <w:pPr>
        <w:ind w:left="8633" w:hanging="440"/>
      </w:pPr>
    </w:lvl>
  </w:abstractNum>
  <w:abstractNum w:abstractNumId="27">
    <w:nsid w:val="5F7181FD"/>
    <w:multiLevelType w:val="singleLevel"/>
    <w:tmpl w:val="5F7181FD"/>
    <w:lvl w:ilvl="0" w:tentative="0">
      <w:start w:val="2"/>
      <w:numFmt w:val="chineseCounting"/>
      <w:suff w:val="nothing"/>
      <w:lvlText w:val="%1、"/>
      <w:lvlJc w:val="left"/>
      <w:rPr>
        <w:rFonts w:hint="eastAsia"/>
      </w:rPr>
    </w:lvl>
  </w:abstractNum>
  <w:abstractNum w:abstractNumId="28">
    <w:nsid w:val="6445A677"/>
    <w:multiLevelType w:val="multilevel"/>
    <w:tmpl w:val="6445A6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68893CCE"/>
    <w:multiLevelType w:val="multilevel"/>
    <w:tmpl w:val="68893C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6AB019D5"/>
    <w:multiLevelType w:val="singleLevel"/>
    <w:tmpl w:val="6AB019D5"/>
    <w:lvl w:ilvl="0" w:tentative="0">
      <w:start w:val="4"/>
      <w:numFmt w:val="decimal"/>
      <w:lvlText w:val="%1."/>
      <w:lvlJc w:val="left"/>
      <w:pPr>
        <w:tabs>
          <w:tab w:val="left" w:pos="312"/>
        </w:tabs>
      </w:pPr>
    </w:lvl>
  </w:abstractNum>
  <w:abstractNum w:abstractNumId="31">
    <w:nsid w:val="71DF37E8"/>
    <w:multiLevelType w:val="multilevel"/>
    <w:tmpl w:val="71DF37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7BBFC945"/>
    <w:multiLevelType w:val="singleLevel"/>
    <w:tmpl w:val="7BBFC945"/>
    <w:lvl w:ilvl="0" w:tentative="0">
      <w:start w:val="1"/>
      <w:numFmt w:val="decimal"/>
      <w:lvlText w:val="%1."/>
      <w:lvlJc w:val="left"/>
      <w:pPr>
        <w:ind w:left="425" w:hanging="425"/>
      </w:pPr>
      <w:rPr>
        <w:rFonts w:hint="default"/>
      </w:rPr>
    </w:lvl>
  </w:abstractNum>
  <w:abstractNum w:abstractNumId="33">
    <w:nsid w:val="7EEEC8A2"/>
    <w:multiLevelType w:val="singleLevel"/>
    <w:tmpl w:val="7EEEC8A2"/>
    <w:lvl w:ilvl="0" w:tentative="0">
      <w:start w:val="1"/>
      <w:numFmt w:val="decimal"/>
      <w:suff w:val="nothing"/>
      <w:lvlText w:val="（%1）"/>
      <w:lvlJc w:val="left"/>
    </w:lvl>
  </w:abstractNum>
  <w:num w:numId="1">
    <w:abstractNumId w:val="22"/>
  </w:num>
  <w:num w:numId="2">
    <w:abstractNumId w:val="13"/>
  </w:num>
  <w:num w:numId="3">
    <w:abstractNumId w:val="26"/>
  </w:num>
  <w:num w:numId="4">
    <w:abstractNumId w:val="21"/>
  </w:num>
  <w:num w:numId="5">
    <w:abstractNumId w:val="18"/>
  </w:num>
  <w:num w:numId="6">
    <w:abstractNumId w:val="20"/>
  </w:num>
  <w:num w:numId="7">
    <w:abstractNumId w:val="9"/>
  </w:num>
  <w:num w:numId="8">
    <w:abstractNumId w:val="32"/>
  </w:num>
  <w:num w:numId="9">
    <w:abstractNumId w:val="3"/>
  </w:num>
  <w:num w:numId="10">
    <w:abstractNumId w:val="30"/>
  </w:num>
  <w:num w:numId="11">
    <w:abstractNumId w:val="10"/>
  </w:num>
  <w:num w:numId="12">
    <w:abstractNumId w:val="7"/>
  </w:num>
  <w:num w:numId="13">
    <w:abstractNumId w:val="11"/>
  </w:num>
  <w:num w:numId="14">
    <w:abstractNumId w:val="31"/>
  </w:num>
  <w:num w:numId="15">
    <w:abstractNumId w:val="1"/>
  </w:num>
  <w:num w:numId="16">
    <w:abstractNumId w:val="17"/>
  </w:num>
  <w:num w:numId="17">
    <w:abstractNumId w:val="5"/>
  </w:num>
  <w:num w:numId="18">
    <w:abstractNumId w:val="15"/>
  </w:num>
  <w:num w:numId="19">
    <w:abstractNumId w:val="24"/>
  </w:num>
  <w:num w:numId="20">
    <w:abstractNumId w:val="4"/>
  </w:num>
  <w:num w:numId="21">
    <w:abstractNumId w:val="8"/>
  </w:num>
  <w:num w:numId="22">
    <w:abstractNumId w:val="12"/>
  </w:num>
  <w:num w:numId="23">
    <w:abstractNumId w:val="2"/>
  </w:num>
  <w:num w:numId="24">
    <w:abstractNumId w:val="25"/>
  </w:num>
  <w:num w:numId="25">
    <w:abstractNumId w:val="14"/>
  </w:num>
  <w:num w:numId="26">
    <w:abstractNumId w:val="29"/>
  </w:num>
  <w:num w:numId="27">
    <w:abstractNumId w:val="28"/>
  </w:num>
  <w:num w:numId="28">
    <w:abstractNumId w:val="19"/>
  </w:num>
  <w:num w:numId="29">
    <w:abstractNumId w:val="6"/>
  </w:num>
  <w:num w:numId="30">
    <w:abstractNumId w:val="23"/>
  </w:num>
  <w:num w:numId="31">
    <w:abstractNumId w:val="0"/>
  </w:num>
  <w:num w:numId="32">
    <w:abstractNumId w:val="16"/>
  </w:num>
  <w:num w:numId="33">
    <w:abstractNumId w:val="2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hideSpellingErrors/>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MTYyNTAxYWM3MWI0NzliODIyODNmMjdmN2NhNGEifQ=="/>
    <w:docVar w:name="KSO_WPS_MARK_KEY" w:val="f7f1a3c7-16f2-44c1-9c55-6e93d61965af"/>
  </w:docVars>
  <w:rsids>
    <w:rsidRoot w:val="00172A27"/>
    <w:rsid w:val="00000868"/>
    <w:rsid w:val="00002FF3"/>
    <w:rsid w:val="00003C3C"/>
    <w:rsid w:val="00004262"/>
    <w:rsid w:val="000044F4"/>
    <w:rsid w:val="000058A3"/>
    <w:rsid w:val="00005B6A"/>
    <w:rsid w:val="0000613F"/>
    <w:rsid w:val="000062B1"/>
    <w:rsid w:val="00006676"/>
    <w:rsid w:val="00010B34"/>
    <w:rsid w:val="00010C33"/>
    <w:rsid w:val="00010C43"/>
    <w:rsid w:val="00011214"/>
    <w:rsid w:val="000112E4"/>
    <w:rsid w:val="00011499"/>
    <w:rsid w:val="000119C5"/>
    <w:rsid w:val="00011B6C"/>
    <w:rsid w:val="00011EDD"/>
    <w:rsid w:val="00012EA4"/>
    <w:rsid w:val="00014435"/>
    <w:rsid w:val="00015C8C"/>
    <w:rsid w:val="00016F84"/>
    <w:rsid w:val="000170F5"/>
    <w:rsid w:val="00017123"/>
    <w:rsid w:val="0001712E"/>
    <w:rsid w:val="0001791B"/>
    <w:rsid w:val="00017FF5"/>
    <w:rsid w:val="00020A3B"/>
    <w:rsid w:val="00023664"/>
    <w:rsid w:val="00023F05"/>
    <w:rsid w:val="0002437A"/>
    <w:rsid w:val="000248E6"/>
    <w:rsid w:val="00024B81"/>
    <w:rsid w:val="00025EE2"/>
    <w:rsid w:val="0003103E"/>
    <w:rsid w:val="00031953"/>
    <w:rsid w:val="00033451"/>
    <w:rsid w:val="00034D4D"/>
    <w:rsid w:val="00037CD8"/>
    <w:rsid w:val="0004008C"/>
    <w:rsid w:val="000401D5"/>
    <w:rsid w:val="000417EE"/>
    <w:rsid w:val="00042977"/>
    <w:rsid w:val="00042AFD"/>
    <w:rsid w:val="00042CE5"/>
    <w:rsid w:val="00042D82"/>
    <w:rsid w:val="00043120"/>
    <w:rsid w:val="00043142"/>
    <w:rsid w:val="000445D4"/>
    <w:rsid w:val="00044AF0"/>
    <w:rsid w:val="000462B4"/>
    <w:rsid w:val="0004692F"/>
    <w:rsid w:val="0005070C"/>
    <w:rsid w:val="00050ADC"/>
    <w:rsid w:val="000518B8"/>
    <w:rsid w:val="00051FC1"/>
    <w:rsid w:val="00052F01"/>
    <w:rsid w:val="000540C3"/>
    <w:rsid w:val="00054E1D"/>
    <w:rsid w:val="00055D20"/>
    <w:rsid w:val="00060047"/>
    <w:rsid w:val="00061917"/>
    <w:rsid w:val="000623FD"/>
    <w:rsid w:val="00062852"/>
    <w:rsid w:val="0006298F"/>
    <w:rsid w:val="000631C3"/>
    <w:rsid w:val="00063364"/>
    <w:rsid w:val="000636F8"/>
    <w:rsid w:val="000637C7"/>
    <w:rsid w:val="00063F1A"/>
    <w:rsid w:val="00064222"/>
    <w:rsid w:val="000643C7"/>
    <w:rsid w:val="00065016"/>
    <w:rsid w:val="0006534E"/>
    <w:rsid w:val="00065769"/>
    <w:rsid w:val="000658A9"/>
    <w:rsid w:val="00066093"/>
    <w:rsid w:val="000662AD"/>
    <w:rsid w:val="00066842"/>
    <w:rsid w:val="0007024A"/>
    <w:rsid w:val="00070975"/>
    <w:rsid w:val="000709B0"/>
    <w:rsid w:val="000718A7"/>
    <w:rsid w:val="00072638"/>
    <w:rsid w:val="0007340F"/>
    <w:rsid w:val="000736C9"/>
    <w:rsid w:val="00073793"/>
    <w:rsid w:val="000738B1"/>
    <w:rsid w:val="00073C4C"/>
    <w:rsid w:val="00074B98"/>
    <w:rsid w:val="00074E55"/>
    <w:rsid w:val="00074FC4"/>
    <w:rsid w:val="00076500"/>
    <w:rsid w:val="0007718F"/>
    <w:rsid w:val="0007759B"/>
    <w:rsid w:val="0008057D"/>
    <w:rsid w:val="0008113B"/>
    <w:rsid w:val="00081895"/>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7DEE"/>
    <w:rsid w:val="000A0027"/>
    <w:rsid w:val="000A00E3"/>
    <w:rsid w:val="000A137F"/>
    <w:rsid w:val="000A2434"/>
    <w:rsid w:val="000A24D3"/>
    <w:rsid w:val="000A4B2A"/>
    <w:rsid w:val="000A4FF5"/>
    <w:rsid w:val="000A50C0"/>
    <w:rsid w:val="000A5FDE"/>
    <w:rsid w:val="000A6697"/>
    <w:rsid w:val="000A69C1"/>
    <w:rsid w:val="000A7F08"/>
    <w:rsid w:val="000B0797"/>
    <w:rsid w:val="000B0A2D"/>
    <w:rsid w:val="000B1944"/>
    <w:rsid w:val="000B2E80"/>
    <w:rsid w:val="000B2FED"/>
    <w:rsid w:val="000B3A48"/>
    <w:rsid w:val="000B4EDA"/>
    <w:rsid w:val="000B55B1"/>
    <w:rsid w:val="000B60F2"/>
    <w:rsid w:val="000B76EC"/>
    <w:rsid w:val="000C0619"/>
    <w:rsid w:val="000C1788"/>
    <w:rsid w:val="000C1952"/>
    <w:rsid w:val="000C2B7E"/>
    <w:rsid w:val="000C3154"/>
    <w:rsid w:val="000C3B5A"/>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310"/>
    <w:rsid w:val="000E2A99"/>
    <w:rsid w:val="000E43D9"/>
    <w:rsid w:val="000E4833"/>
    <w:rsid w:val="000E5BED"/>
    <w:rsid w:val="000E65EE"/>
    <w:rsid w:val="000E66F1"/>
    <w:rsid w:val="000E6EF0"/>
    <w:rsid w:val="000F00C6"/>
    <w:rsid w:val="000F1742"/>
    <w:rsid w:val="000F200A"/>
    <w:rsid w:val="000F2A44"/>
    <w:rsid w:val="000F2E02"/>
    <w:rsid w:val="000F41DC"/>
    <w:rsid w:val="000F6D7F"/>
    <w:rsid w:val="000F79F2"/>
    <w:rsid w:val="000F7AE1"/>
    <w:rsid w:val="000F7E5B"/>
    <w:rsid w:val="001012F5"/>
    <w:rsid w:val="001013E6"/>
    <w:rsid w:val="00101540"/>
    <w:rsid w:val="001025E9"/>
    <w:rsid w:val="001029B5"/>
    <w:rsid w:val="001033A9"/>
    <w:rsid w:val="00103BD1"/>
    <w:rsid w:val="00104A23"/>
    <w:rsid w:val="00104E7B"/>
    <w:rsid w:val="0010514D"/>
    <w:rsid w:val="001056B0"/>
    <w:rsid w:val="00106C43"/>
    <w:rsid w:val="00106CA0"/>
    <w:rsid w:val="00110D71"/>
    <w:rsid w:val="0011186C"/>
    <w:rsid w:val="00111AC6"/>
    <w:rsid w:val="00111C03"/>
    <w:rsid w:val="00111E50"/>
    <w:rsid w:val="00112556"/>
    <w:rsid w:val="00112C9C"/>
    <w:rsid w:val="001132F9"/>
    <w:rsid w:val="001136F2"/>
    <w:rsid w:val="0011455A"/>
    <w:rsid w:val="00114F25"/>
    <w:rsid w:val="001156CC"/>
    <w:rsid w:val="001156DA"/>
    <w:rsid w:val="00116E66"/>
    <w:rsid w:val="00117042"/>
    <w:rsid w:val="00124174"/>
    <w:rsid w:val="00124E28"/>
    <w:rsid w:val="00124F3C"/>
    <w:rsid w:val="0012571C"/>
    <w:rsid w:val="00126FBC"/>
    <w:rsid w:val="00130A08"/>
    <w:rsid w:val="00131164"/>
    <w:rsid w:val="0013190C"/>
    <w:rsid w:val="00131EB3"/>
    <w:rsid w:val="001323E2"/>
    <w:rsid w:val="0013283F"/>
    <w:rsid w:val="0013300D"/>
    <w:rsid w:val="001346DB"/>
    <w:rsid w:val="00134816"/>
    <w:rsid w:val="001351F1"/>
    <w:rsid w:val="0013572E"/>
    <w:rsid w:val="00136E52"/>
    <w:rsid w:val="001373A4"/>
    <w:rsid w:val="001411A8"/>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1130"/>
    <w:rsid w:val="001714F0"/>
    <w:rsid w:val="00171705"/>
    <w:rsid w:val="00171B2C"/>
    <w:rsid w:val="00172A27"/>
    <w:rsid w:val="0017424B"/>
    <w:rsid w:val="001749EA"/>
    <w:rsid w:val="00174FD2"/>
    <w:rsid w:val="00175441"/>
    <w:rsid w:val="00175B12"/>
    <w:rsid w:val="00175FF0"/>
    <w:rsid w:val="00176AF1"/>
    <w:rsid w:val="001773D9"/>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97B6E"/>
    <w:rsid w:val="001A3799"/>
    <w:rsid w:val="001A385B"/>
    <w:rsid w:val="001A45C5"/>
    <w:rsid w:val="001A5907"/>
    <w:rsid w:val="001A78E7"/>
    <w:rsid w:val="001B024B"/>
    <w:rsid w:val="001B07E5"/>
    <w:rsid w:val="001B1462"/>
    <w:rsid w:val="001B1FFE"/>
    <w:rsid w:val="001B31E0"/>
    <w:rsid w:val="001B333B"/>
    <w:rsid w:val="001B4755"/>
    <w:rsid w:val="001B4756"/>
    <w:rsid w:val="001B598A"/>
    <w:rsid w:val="001B6161"/>
    <w:rsid w:val="001C01C4"/>
    <w:rsid w:val="001C084B"/>
    <w:rsid w:val="001C1EF5"/>
    <w:rsid w:val="001C25E7"/>
    <w:rsid w:val="001C2AE0"/>
    <w:rsid w:val="001C2C06"/>
    <w:rsid w:val="001C2E1A"/>
    <w:rsid w:val="001C2F33"/>
    <w:rsid w:val="001C3D07"/>
    <w:rsid w:val="001C585A"/>
    <w:rsid w:val="001C5F4C"/>
    <w:rsid w:val="001C6AA7"/>
    <w:rsid w:val="001C7F92"/>
    <w:rsid w:val="001D15FA"/>
    <w:rsid w:val="001D3D2D"/>
    <w:rsid w:val="001D544B"/>
    <w:rsid w:val="001D60F8"/>
    <w:rsid w:val="001D6432"/>
    <w:rsid w:val="001D6C3A"/>
    <w:rsid w:val="001D7D6F"/>
    <w:rsid w:val="001D7E86"/>
    <w:rsid w:val="001E0DAD"/>
    <w:rsid w:val="001E0EB3"/>
    <w:rsid w:val="001E112D"/>
    <w:rsid w:val="001E14EA"/>
    <w:rsid w:val="001E2F45"/>
    <w:rsid w:val="001E31F8"/>
    <w:rsid w:val="001E3F99"/>
    <w:rsid w:val="001E3FCE"/>
    <w:rsid w:val="001E69F0"/>
    <w:rsid w:val="001F02A5"/>
    <w:rsid w:val="001F2692"/>
    <w:rsid w:val="001F32E4"/>
    <w:rsid w:val="001F5A4E"/>
    <w:rsid w:val="001F6A15"/>
    <w:rsid w:val="001F6F1B"/>
    <w:rsid w:val="001F7336"/>
    <w:rsid w:val="001F7997"/>
    <w:rsid w:val="002001BC"/>
    <w:rsid w:val="002004C0"/>
    <w:rsid w:val="00200E8E"/>
    <w:rsid w:val="002012BC"/>
    <w:rsid w:val="002024F0"/>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6784"/>
    <w:rsid w:val="00216A4B"/>
    <w:rsid w:val="00216AF8"/>
    <w:rsid w:val="002172A3"/>
    <w:rsid w:val="00220675"/>
    <w:rsid w:val="00221007"/>
    <w:rsid w:val="002214C3"/>
    <w:rsid w:val="00221609"/>
    <w:rsid w:val="00221DE0"/>
    <w:rsid w:val="002237F5"/>
    <w:rsid w:val="00225B70"/>
    <w:rsid w:val="0022638E"/>
    <w:rsid w:val="002266AF"/>
    <w:rsid w:val="00226E27"/>
    <w:rsid w:val="0022764B"/>
    <w:rsid w:val="002310E4"/>
    <w:rsid w:val="00231165"/>
    <w:rsid w:val="002321B2"/>
    <w:rsid w:val="00232EC1"/>
    <w:rsid w:val="002331D8"/>
    <w:rsid w:val="0023367C"/>
    <w:rsid w:val="0023556C"/>
    <w:rsid w:val="0023594C"/>
    <w:rsid w:val="0023705C"/>
    <w:rsid w:val="0023766E"/>
    <w:rsid w:val="002402E9"/>
    <w:rsid w:val="00240907"/>
    <w:rsid w:val="00241277"/>
    <w:rsid w:val="002437FB"/>
    <w:rsid w:val="00243EEE"/>
    <w:rsid w:val="00245739"/>
    <w:rsid w:val="002460E2"/>
    <w:rsid w:val="0024712C"/>
    <w:rsid w:val="00250561"/>
    <w:rsid w:val="00250BAA"/>
    <w:rsid w:val="00251501"/>
    <w:rsid w:val="00251DDD"/>
    <w:rsid w:val="00253109"/>
    <w:rsid w:val="00254D47"/>
    <w:rsid w:val="00255D0F"/>
    <w:rsid w:val="00256732"/>
    <w:rsid w:val="00257251"/>
    <w:rsid w:val="00260DF2"/>
    <w:rsid w:val="00261255"/>
    <w:rsid w:val="00261E62"/>
    <w:rsid w:val="002628AD"/>
    <w:rsid w:val="0026292E"/>
    <w:rsid w:val="00263176"/>
    <w:rsid w:val="0026386E"/>
    <w:rsid w:val="00263BB3"/>
    <w:rsid w:val="00265959"/>
    <w:rsid w:val="00266055"/>
    <w:rsid w:val="00266D9C"/>
    <w:rsid w:val="0026746C"/>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553D"/>
    <w:rsid w:val="0028590F"/>
    <w:rsid w:val="00285C6B"/>
    <w:rsid w:val="0028632D"/>
    <w:rsid w:val="002864B8"/>
    <w:rsid w:val="0029034A"/>
    <w:rsid w:val="00290975"/>
    <w:rsid w:val="00291CAD"/>
    <w:rsid w:val="00292D2B"/>
    <w:rsid w:val="00292EB5"/>
    <w:rsid w:val="00293A0B"/>
    <w:rsid w:val="0029485F"/>
    <w:rsid w:val="002969BB"/>
    <w:rsid w:val="002975DF"/>
    <w:rsid w:val="002A0BA9"/>
    <w:rsid w:val="002A0E86"/>
    <w:rsid w:val="002A43F8"/>
    <w:rsid w:val="002A49EB"/>
    <w:rsid w:val="002A50D8"/>
    <w:rsid w:val="002A50EB"/>
    <w:rsid w:val="002A521B"/>
    <w:rsid w:val="002A5FDC"/>
    <w:rsid w:val="002A607A"/>
    <w:rsid w:val="002A62CD"/>
    <w:rsid w:val="002A6348"/>
    <w:rsid w:val="002A673A"/>
    <w:rsid w:val="002B0D8A"/>
    <w:rsid w:val="002B1FD9"/>
    <w:rsid w:val="002B31D5"/>
    <w:rsid w:val="002B42DB"/>
    <w:rsid w:val="002B463C"/>
    <w:rsid w:val="002B4CF5"/>
    <w:rsid w:val="002B5094"/>
    <w:rsid w:val="002B5C0A"/>
    <w:rsid w:val="002B6BA0"/>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7739"/>
    <w:rsid w:val="002D0334"/>
    <w:rsid w:val="002D1096"/>
    <w:rsid w:val="002D30D0"/>
    <w:rsid w:val="002D3A29"/>
    <w:rsid w:val="002D3DE7"/>
    <w:rsid w:val="002D3F86"/>
    <w:rsid w:val="002D40B4"/>
    <w:rsid w:val="002D4599"/>
    <w:rsid w:val="002D4C6E"/>
    <w:rsid w:val="002D62B8"/>
    <w:rsid w:val="002D6ED5"/>
    <w:rsid w:val="002D7E08"/>
    <w:rsid w:val="002E3DB0"/>
    <w:rsid w:val="002E4582"/>
    <w:rsid w:val="002E49D7"/>
    <w:rsid w:val="002E608E"/>
    <w:rsid w:val="002E6D2B"/>
    <w:rsid w:val="002E77A8"/>
    <w:rsid w:val="002E7AFC"/>
    <w:rsid w:val="002E7E1D"/>
    <w:rsid w:val="002F0A31"/>
    <w:rsid w:val="002F0B10"/>
    <w:rsid w:val="002F0E92"/>
    <w:rsid w:val="002F22D6"/>
    <w:rsid w:val="002F46AD"/>
    <w:rsid w:val="002F6D21"/>
    <w:rsid w:val="0030135C"/>
    <w:rsid w:val="003023D9"/>
    <w:rsid w:val="00302A82"/>
    <w:rsid w:val="003034C4"/>
    <w:rsid w:val="00303B30"/>
    <w:rsid w:val="00306065"/>
    <w:rsid w:val="003070E6"/>
    <w:rsid w:val="00307F23"/>
    <w:rsid w:val="003108FD"/>
    <w:rsid w:val="00311A5D"/>
    <w:rsid w:val="00312FB3"/>
    <w:rsid w:val="003146C2"/>
    <w:rsid w:val="00314A13"/>
    <w:rsid w:val="00314F8A"/>
    <w:rsid w:val="00315019"/>
    <w:rsid w:val="003158C1"/>
    <w:rsid w:val="00315A4D"/>
    <w:rsid w:val="003163D4"/>
    <w:rsid w:val="00316CBA"/>
    <w:rsid w:val="00320024"/>
    <w:rsid w:val="00320CD5"/>
    <w:rsid w:val="0032517A"/>
    <w:rsid w:val="00326214"/>
    <w:rsid w:val="0032659B"/>
    <w:rsid w:val="00326C39"/>
    <w:rsid w:val="00326F34"/>
    <w:rsid w:val="00327B44"/>
    <w:rsid w:val="00330637"/>
    <w:rsid w:val="00331439"/>
    <w:rsid w:val="003319F1"/>
    <w:rsid w:val="00331A53"/>
    <w:rsid w:val="0033382F"/>
    <w:rsid w:val="0033557B"/>
    <w:rsid w:val="00335C7B"/>
    <w:rsid w:val="00336995"/>
    <w:rsid w:val="0033750D"/>
    <w:rsid w:val="003375B0"/>
    <w:rsid w:val="00340753"/>
    <w:rsid w:val="00340EF0"/>
    <w:rsid w:val="00341BA6"/>
    <w:rsid w:val="00341BAB"/>
    <w:rsid w:val="0034299D"/>
    <w:rsid w:val="003446A7"/>
    <w:rsid w:val="00344D19"/>
    <w:rsid w:val="0034565D"/>
    <w:rsid w:val="003462B2"/>
    <w:rsid w:val="003471ED"/>
    <w:rsid w:val="003476F2"/>
    <w:rsid w:val="003506C4"/>
    <w:rsid w:val="00350F1B"/>
    <w:rsid w:val="00350FAA"/>
    <w:rsid w:val="00351FA7"/>
    <w:rsid w:val="0035270E"/>
    <w:rsid w:val="00353D48"/>
    <w:rsid w:val="00353D4B"/>
    <w:rsid w:val="00354333"/>
    <w:rsid w:val="00357213"/>
    <w:rsid w:val="00360259"/>
    <w:rsid w:val="00360275"/>
    <w:rsid w:val="00361B16"/>
    <w:rsid w:val="00361F22"/>
    <w:rsid w:val="00362B9B"/>
    <w:rsid w:val="00362CB3"/>
    <w:rsid w:val="00364868"/>
    <w:rsid w:val="00364900"/>
    <w:rsid w:val="00367043"/>
    <w:rsid w:val="00367868"/>
    <w:rsid w:val="00367B84"/>
    <w:rsid w:val="003705EE"/>
    <w:rsid w:val="0037179B"/>
    <w:rsid w:val="003726C9"/>
    <w:rsid w:val="003729DC"/>
    <w:rsid w:val="00374661"/>
    <w:rsid w:val="00374AFA"/>
    <w:rsid w:val="0037688E"/>
    <w:rsid w:val="00376CC4"/>
    <w:rsid w:val="003809B7"/>
    <w:rsid w:val="00381803"/>
    <w:rsid w:val="00382685"/>
    <w:rsid w:val="00382D2E"/>
    <w:rsid w:val="003831B5"/>
    <w:rsid w:val="003833E2"/>
    <w:rsid w:val="00383CBF"/>
    <w:rsid w:val="00384211"/>
    <w:rsid w:val="003857B1"/>
    <w:rsid w:val="003859CB"/>
    <w:rsid w:val="00385A06"/>
    <w:rsid w:val="0038631D"/>
    <w:rsid w:val="00387D98"/>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1D8D"/>
    <w:rsid w:val="003B296C"/>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7B96"/>
    <w:rsid w:val="003E25C9"/>
    <w:rsid w:val="003E3291"/>
    <w:rsid w:val="003E4A05"/>
    <w:rsid w:val="003E5218"/>
    <w:rsid w:val="003E62A6"/>
    <w:rsid w:val="003E6BD1"/>
    <w:rsid w:val="003E6C01"/>
    <w:rsid w:val="003F00F1"/>
    <w:rsid w:val="003F0267"/>
    <w:rsid w:val="003F0752"/>
    <w:rsid w:val="003F08DD"/>
    <w:rsid w:val="003F095C"/>
    <w:rsid w:val="003F32EA"/>
    <w:rsid w:val="003F3578"/>
    <w:rsid w:val="003F361B"/>
    <w:rsid w:val="003F47CC"/>
    <w:rsid w:val="003F4E9D"/>
    <w:rsid w:val="003F6C99"/>
    <w:rsid w:val="003F7B60"/>
    <w:rsid w:val="00400BB4"/>
    <w:rsid w:val="00401095"/>
    <w:rsid w:val="00401627"/>
    <w:rsid w:val="00401A1A"/>
    <w:rsid w:val="00402745"/>
    <w:rsid w:val="00403750"/>
    <w:rsid w:val="00403AE9"/>
    <w:rsid w:val="00404445"/>
    <w:rsid w:val="00404C20"/>
    <w:rsid w:val="00405426"/>
    <w:rsid w:val="00405C98"/>
    <w:rsid w:val="004062EE"/>
    <w:rsid w:val="004101FC"/>
    <w:rsid w:val="00410F2A"/>
    <w:rsid w:val="00410FAF"/>
    <w:rsid w:val="004114AA"/>
    <w:rsid w:val="00411AC7"/>
    <w:rsid w:val="00412095"/>
    <w:rsid w:val="0041237D"/>
    <w:rsid w:val="00412CD1"/>
    <w:rsid w:val="00412DD5"/>
    <w:rsid w:val="004132A9"/>
    <w:rsid w:val="00413F4C"/>
    <w:rsid w:val="00414BA7"/>
    <w:rsid w:val="00415698"/>
    <w:rsid w:val="004156B5"/>
    <w:rsid w:val="00415C9C"/>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58A1"/>
    <w:rsid w:val="0046601C"/>
    <w:rsid w:val="0047000B"/>
    <w:rsid w:val="00470411"/>
    <w:rsid w:val="00470989"/>
    <w:rsid w:val="00472A6B"/>
    <w:rsid w:val="004730CD"/>
    <w:rsid w:val="004746E7"/>
    <w:rsid w:val="00474734"/>
    <w:rsid w:val="00474BD6"/>
    <w:rsid w:val="004753EA"/>
    <w:rsid w:val="00477067"/>
    <w:rsid w:val="0047764D"/>
    <w:rsid w:val="00477B0A"/>
    <w:rsid w:val="00482362"/>
    <w:rsid w:val="00483AF6"/>
    <w:rsid w:val="0048457D"/>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2E72"/>
    <w:rsid w:val="004A339A"/>
    <w:rsid w:val="004A33C5"/>
    <w:rsid w:val="004A3408"/>
    <w:rsid w:val="004A3427"/>
    <w:rsid w:val="004A35EC"/>
    <w:rsid w:val="004A55CE"/>
    <w:rsid w:val="004A63AD"/>
    <w:rsid w:val="004A6CD4"/>
    <w:rsid w:val="004A6D3D"/>
    <w:rsid w:val="004A763F"/>
    <w:rsid w:val="004B1146"/>
    <w:rsid w:val="004B5BDD"/>
    <w:rsid w:val="004B662A"/>
    <w:rsid w:val="004B79C2"/>
    <w:rsid w:val="004C024F"/>
    <w:rsid w:val="004C19B1"/>
    <w:rsid w:val="004C1A50"/>
    <w:rsid w:val="004C1B3D"/>
    <w:rsid w:val="004C3C1F"/>
    <w:rsid w:val="004C423E"/>
    <w:rsid w:val="004C69DC"/>
    <w:rsid w:val="004C7A06"/>
    <w:rsid w:val="004D07AC"/>
    <w:rsid w:val="004D25A2"/>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2FAE"/>
    <w:rsid w:val="004F4D33"/>
    <w:rsid w:val="004F5EEB"/>
    <w:rsid w:val="004F666F"/>
    <w:rsid w:val="004F69A4"/>
    <w:rsid w:val="004F6AAA"/>
    <w:rsid w:val="004F75A8"/>
    <w:rsid w:val="004F77AC"/>
    <w:rsid w:val="004F7EA8"/>
    <w:rsid w:val="00500422"/>
    <w:rsid w:val="005006EE"/>
    <w:rsid w:val="0050140C"/>
    <w:rsid w:val="00501FF8"/>
    <w:rsid w:val="00502215"/>
    <w:rsid w:val="00502E02"/>
    <w:rsid w:val="00503332"/>
    <w:rsid w:val="00504332"/>
    <w:rsid w:val="0050494A"/>
    <w:rsid w:val="00504E3A"/>
    <w:rsid w:val="00505328"/>
    <w:rsid w:val="005067D2"/>
    <w:rsid w:val="00507566"/>
    <w:rsid w:val="005101D0"/>
    <w:rsid w:val="005101F0"/>
    <w:rsid w:val="0051205B"/>
    <w:rsid w:val="00512076"/>
    <w:rsid w:val="00512C76"/>
    <w:rsid w:val="00512DE6"/>
    <w:rsid w:val="005135C9"/>
    <w:rsid w:val="00513791"/>
    <w:rsid w:val="00513EE1"/>
    <w:rsid w:val="00514286"/>
    <w:rsid w:val="0051455D"/>
    <w:rsid w:val="005145C1"/>
    <w:rsid w:val="00514B38"/>
    <w:rsid w:val="005167B7"/>
    <w:rsid w:val="00520BD0"/>
    <w:rsid w:val="00521558"/>
    <w:rsid w:val="00521C1B"/>
    <w:rsid w:val="00521FA8"/>
    <w:rsid w:val="00521FF6"/>
    <w:rsid w:val="00523056"/>
    <w:rsid w:val="005232C5"/>
    <w:rsid w:val="0052346E"/>
    <w:rsid w:val="005235A4"/>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1677"/>
    <w:rsid w:val="00541F3F"/>
    <w:rsid w:val="005432E2"/>
    <w:rsid w:val="00543984"/>
    <w:rsid w:val="005450F7"/>
    <w:rsid w:val="00545D29"/>
    <w:rsid w:val="0054671E"/>
    <w:rsid w:val="0054707A"/>
    <w:rsid w:val="005471EA"/>
    <w:rsid w:val="005474F2"/>
    <w:rsid w:val="00551A9F"/>
    <w:rsid w:val="00551FAE"/>
    <w:rsid w:val="005520FF"/>
    <w:rsid w:val="00552BFE"/>
    <w:rsid w:val="00552CD3"/>
    <w:rsid w:val="0055338C"/>
    <w:rsid w:val="00553EF5"/>
    <w:rsid w:val="00554537"/>
    <w:rsid w:val="00555250"/>
    <w:rsid w:val="005567CC"/>
    <w:rsid w:val="005577EC"/>
    <w:rsid w:val="005579A1"/>
    <w:rsid w:val="00557DD1"/>
    <w:rsid w:val="00560272"/>
    <w:rsid w:val="00562FE2"/>
    <w:rsid w:val="00563D15"/>
    <w:rsid w:val="00564533"/>
    <w:rsid w:val="005648EC"/>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700F"/>
    <w:rsid w:val="005906D6"/>
    <w:rsid w:val="0059112B"/>
    <w:rsid w:val="00591922"/>
    <w:rsid w:val="0059244D"/>
    <w:rsid w:val="00593229"/>
    <w:rsid w:val="00594791"/>
    <w:rsid w:val="005955B8"/>
    <w:rsid w:val="00595B50"/>
    <w:rsid w:val="0059630A"/>
    <w:rsid w:val="00596EB2"/>
    <w:rsid w:val="00597102"/>
    <w:rsid w:val="00597843"/>
    <w:rsid w:val="005979E9"/>
    <w:rsid w:val="00597A7A"/>
    <w:rsid w:val="005A0314"/>
    <w:rsid w:val="005A102D"/>
    <w:rsid w:val="005A23B9"/>
    <w:rsid w:val="005A2A02"/>
    <w:rsid w:val="005A422B"/>
    <w:rsid w:val="005A4EA4"/>
    <w:rsid w:val="005A76B0"/>
    <w:rsid w:val="005A7EAB"/>
    <w:rsid w:val="005B05FC"/>
    <w:rsid w:val="005B0DAB"/>
    <w:rsid w:val="005B1B67"/>
    <w:rsid w:val="005B26C5"/>
    <w:rsid w:val="005B432B"/>
    <w:rsid w:val="005B4A70"/>
    <w:rsid w:val="005B530E"/>
    <w:rsid w:val="005B5A68"/>
    <w:rsid w:val="005B6616"/>
    <w:rsid w:val="005B67AE"/>
    <w:rsid w:val="005B7C00"/>
    <w:rsid w:val="005B7E52"/>
    <w:rsid w:val="005B7EB7"/>
    <w:rsid w:val="005B7F47"/>
    <w:rsid w:val="005C020F"/>
    <w:rsid w:val="005C0E52"/>
    <w:rsid w:val="005C1C87"/>
    <w:rsid w:val="005C25DD"/>
    <w:rsid w:val="005C2CA4"/>
    <w:rsid w:val="005C33CD"/>
    <w:rsid w:val="005C34B9"/>
    <w:rsid w:val="005C3A36"/>
    <w:rsid w:val="005C4729"/>
    <w:rsid w:val="005C5EF0"/>
    <w:rsid w:val="005C6DB7"/>
    <w:rsid w:val="005C75FA"/>
    <w:rsid w:val="005D02B3"/>
    <w:rsid w:val="005D0B4F"/>
    <w:rsid w:val="005D19DC"/>
    <w:rsid w:val="005D2A4D"/>
    <w:rsid w:val="005D3740"/>
    <w:rsid w:val="005D3A36"/>
    <w:rsid w:val="005D3D54"/>
    <w:rsid w:val="005D452A"/>
    <w:rsid w:val="005D46E1"/>
    <w:rsid w:val="005D4DE6"/>
    <w:rsid w:val="005D5F44"/>
    <w:rsid w:val="005D6F33"/>
    <w:rsid w:val="005D799D"/>
    <w:rsid w:val="005E1036"/>
    <w:rsid w:val="005E250B"/>
    <w:rsid w:val="005E30E2"/>
    <w:rsid w:val="005E3B8F"/>
    <w:rsid w:val="005E3FAF"/>
    <w:rsid w:val="005E4590"/>
    <w:rsid w:val="005E5615"/>
    <w:rsid w:val="005E60BB"/>
    <w:rsid w:val="005E69DB"/>
    <w:rsid w:val="005E7161"/>
    <w:rsid w:val="005F05EE"/>
    <w:rsid w:val="005F08D3"/>
    <w:rsid w:val="005F20C7"/>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10BBA"/>
    <w:rsid w:val="00610F42"/>
    <w:rsid w:val="00612183"/>
    <w:rsid w:val="006122BB"/>
    <w:rsid w:val="0061389F"/>
    <w:rsid w:val="00613CE4"/>
    <w:rsid w:val="00617BF8"/>
    <w:rsid w:val="00617CB5"/>
    <w:rsid w:val="00617E39"/>
    <w:rsid w:val="006212FF"/>
    <w:rsid w:val="006216C7"/>
    <w:rsid w:val="00622315"/>
    <w:rsid w:val="00622DA0"/>
    <w:rsid w:val="006239D2"/>
    <w:rsid w:val="0062434B"/>
    <w:rsid w:val="0062447E"/>
    <w:rsid w:val="006246DD"/>
    <w:rsid w:val="00625664"/>
    <w:rsid w:val="006257D2"/>
    <w:rsid w:val="00626086"/>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8F0"/>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1101"/>
    <w:rsid w:val="00672FAE"/>
    <w:rsid w:val="0067304C"/>
    <w:rsid w:val="006731F3"/>
    <w:rsid w:val="0067332C"/>
    <w:rsid w:val="006733E5"/>
    <w:rsid w:val="00673758"/>
    <w:rsid w:val="00674FA9"/>
    <w:rsid w:val="00675241"/>
    <w:rsid w:val="006756B6"/>
    <w:rsid w:val="00676B76"/>
    <w:rsid w:val="006771BD"/>
    <w:rsid w:val="00677579"/>
    <w:rsid w:val="00680805"/>
    <w:rsid w:val="00680D84"/>
    <w:rsid w:val="00681F1D"/>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297A"/>
    <w:rsid w:val="006A349C"/>
    <w:rsid w:val="006A4F65"/>
    <w:rsid w:val="006A5034"/>
    <w:rsid w:val="006A506E"/>
    <w:rsid w:val="006A6139"/>
    <w:rsid w:val="006B18DF"/>
    <w:rsid w:val="006B1DA1"/>
    <w:rsid w:val="006B3051"/>
    <w:rsid w:val="006B429A"/>
    <w:rsid w:val="006B526A"/>
    <w:rsid w:val="006B721F"/>
    <w:rsid w:val="006B7A97"/>
    <w:rsid w:val="006C0ED1"/>
    <w:rsid w:val="006C119A"/>
    <w:rsid w:val="006C1BA2"/>
    <w:rsid w:val="006C2D6E"/>
    <w:rsid w:val="006C2E01"/>
    <w:rsid w:val="006C3040"/>
    <w:rsid w:val="006C4081"/>
    <w:rsid w:val="006C51AB"/>
    <w:rsid w:val="006C69B4"/>
    <w:rsid w:val="006C6DEC"/>
    <w:rsid w:val="006C7114"/>
    <w:rsid w:val="006C7366"/>
    <w:rsid w:val="006C769A"/>
    <w:rsid w:val="006C7F22"/>
    <w:rsid w:val="006C7F2C"/>
    <w:rsid w:val="006D0625"/>
    <w:rsid w:val="006D0E7E"/>
    <w:rsid w:val="006D1AB5"/>
    <w:rsid w:val="006D1C10"/>
    <w:rsid w:val="006D3EC2"/>
    <w:rsid w:val="006D41C9"/>
    <w:rsid w:val="006D48EB"/>
    <w:rsid w:val="006D4B08"/>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BE4"/>
    <w:rsid w:val="006F5954"/>
    <w:rsid w:val="006F5957"/>
    <w:rsid w:val="006F6C91"/>
    <w:rsid w:val="006F70D4"/>
    <w:rsid w:val="00700127"/>
    <w:rsid w:val="007003DE"/>
    <w:rsid w:val="007021A5"/>
    <w:rsid w:val="00702498"/>
    <w:rsid w:val="00702A38"/>
    <w:rsid w:val="007047D4"/>
    <w:rsid w:val="00704857"/>
    <w:rsid w:val="00704DB1"/>
    <w:rsid w:val="00704DED"/>
    <w:rsid w:val="00706309"/>
    <w:rsid w:val="0070665D"/>
    <w:rsid w:val="007075E5"/>
    <w:rsid w:val="00707AF4"/>
    <w:rsid w:val="00710338"/>
    <w:rsid w:val="007104E1"/>
    <w:rsid w:val="00711632"/>
    <w:rsid w:val="007122C6"/>
    <w:rsid w:val="00712C26"/>
    <w:rsid w:val="007132F7"/>
    <w:rsid w:val="00714040"/>
    <w:rsid w:val="00714D00"/>
    <w:rsid w:val="0071596C"/>
    <w:rsid w:val="00717D24"/>
    <w:rsid w:val="00720330"/>
    <w:rsid w:val="00721233"/>
    <w:rsid w:val="0072126B"/>
    <w:rsid w:val="00721428"/>
    <w:rsid w:val="00721560"/>
    <w:rsid w:val="0072159D"/>
    <w:rsid w:val="007224ED"/>
    <w:rsid w:val="00723CCF"/>
    <w:rsid w:val="00724504"/>
    <w:rsid w:val="007255B1"/>
    <w:rsid w:val="00725CA3"/>
    <w:rsid w:val="007267BA"/>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5C4"/>
    <w:rsid w:val="00746702"/>
    <w:rsid w:val="00746D26"/>
    <w:rsid w:val="00747A6F"/>
    <w:rsid w:val="0075030B"/>
    <w:rsid w:val="0075085C"/>
    <w:rsid w:val="0075200D"/>
    <w:rsid w:val="00753417"/>
    <w:rsid w:val="00753B59"/>
    <w:rsid w:val="00754302"/>
    <w:rsid w:val="007555B4"/>
    <w:rsid w:val="007556A3"/>
    <w:rsid w:val="00755C10"/>
    <w:rsid w:val="00755EDC"/>
    <w:rsid w:val="0075681F"/>
    <w:rsid w:val="007602DE"/>
    <w:rsid w:val="00760AE5"/>
    <w:rsid w:val="0076214C"/>
    <w:rsid w:val="00762450"/>
    <w:rsid w:val="0076277F"/>
    <w:rsid w:val="00762FD9"/>
    <w:rsid w:val="00764DD1"/>
    <w:rsid w:val="00765390"/>
    <w:rsid w:val="0076539C"/>
    <w:rsid w:val="0076602C"/>
    <w:rsid w:val="007674A5"/>
    <w:rsid w:val="00770364"/>
    <w:rsid w:val="00771333"/>
    <w:rsid w:val="0077177C"/>
    <w:rsid w:val="007723D5"/>
    <w:rsid w:val="00773454"/>
    <w:rsid w:val="00773806"/>
    <w:rsid w:val="007769B3"/>
    <w:rsid w:val="007776CA"/>
    <w:rsid w:val="00777F0C"/>
    <w:rsid w:val="00780177"/>
    <w:rsid w:val="0078038B"/>
    <w:rsid w:val="00780B79"/>
    <w:rsid w:val="00781AAB"/>
    <w:rsid w:val="00781C39"/>
    <w:rsid w:val="0078203B"/>
    <w:rsid w:val="00782FEF"/>
    <w:rsid w:val="00783049"/>
    <w:rsid w:val="00783A8A"/>
    <w:rsid w:val="0078417B"/>
    <w:rsid w:val="00786222"/>
    <w:rsid w:val="007862D9"/>
    <w:rsid w:val="00786753"/>
    <w:rsid w:val="00787045"/>
    <w:rsid w:val="0079078D"/>
    <w:rsid w:val="00790AFD"/>
    <w:rsid w:val="00790F1A"/>
    <w:rsid w:val="0079108E"/>
    <w:rsid w:val="007918EB"/>
    <w:rsid w:val="00792C96"/>
    <w:rsid w:val="00792D5E"/>
    <w:rsid w:val="0079454D"/>
    <w:rsid w:val="00794ABF"/>
    <w:rsid w:val="00796572"/>
    <w:rsid w:val="007972D9"/>
    <w:rsid w:val="00797443"/>
    <w:rsid w:val="00797AFA"/>
    <w:rsid w:val="00797F4B"/>
    <w:rsid w:val="007A0048"/>
    <w:rsid w:val="007A1211"/>
    <w:rsid w:val="007A126B"/>
    <w:rsid w:val="007A166C"/>
    <w:rsid w:val="007A1F35"/>
    <w:rsid w:val="007A29E6"/>
    <w:rsid w:val="007A2DF8"/>
    <w:rsid w:val="007A2FD5"/>
    <w:rsid w:val="007A48D7"/>
    <w:rsid w:val="007A68F9"/>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C4908"/>
    <w:rsid w:val="007D04E8"/>
    <w:rsid w:val="007D0FC4"/>
    <w:rsid w:val="007D119B"/>
    <w:rsid w:val="007D128A"/>
    <w:rsid w:val="007D17C7"/>
    <w:rsid w:val="007D196E"/>
    <w:rsid w:val="007D2C20"/>
    <w:rsid w:val="007D41A5"/>
    <w:rsid w:val="007D51DD"/>
    <w:rsid w:val="007D62CF"/>
    <w:rsid w:val="007D6377"/>
    <w:rsid w:val="007D7120"/>
    <w:rsid w:val="007D72DD"/>
    <w:rsid w:val="007D799A"/>
    <w:rsid w:val="007E130A"/>
    <w:rsid w:val="007E218A"/>
    <w:rsid w:val="007E59D4"/>
    <w:rsid w:val="007E6EAB"/>
    <w:rsid w:val="007E7296"/>
    <w:rsid w:val="007F01D0"/>
    <w:rsid w:val="007F12CD"/>
    <w:rsid w:val="007F1C24"/>
    <w:rsid w:val="007F2282"/>
    <w:rsid w:val="007F3333"/>
    <w:rsid w:val="007F3706"/>
    <w:rsid w:val="007F3C74"/>
    <w:rsid w:val="007F49DD"/>
    <w:rsid w:val="007F4A8B"/>
    <w:rsid w:val="007F707D"/>
    <w:rsid w:val="007F757C"/>
    <w:rsid w:val="007F75BA"/>
    <w:rsid w:val="007F7D48"/>
    <w:rsid w:val="008009B7"/>
    <w:rsid w:val="00801661"/>
    <w:rsid w:val="0080173B"/>
    <w:rsid w:val="00803D5B"/>
    <w:rsid w:val="008042BC"/>
    <w:rsid w:val="00805DB5"/>
    <w:rsid w:val="008062BD"/>
    <w:rsid w:val="0080721E"/>
    <w:rsid w:val="00807935"/>
    <w:rsid w:val="00807F93"/>
    <w:rsid w:val="008108E2"/>
    <w:rsid w:val="00811089"/>
    <w:rsid w:val="00811F66"/>
    <w:rsid w:val="00812DA6"/>
    <w:rsid w:val="00813A11"/>
    <w:rsid w:val="00814674"/>
    <w:rsid w:val="00814678"/>
    <w:rsid w:val="0081505A"/>
    <w:rsid w:val="008159B4"/>
    <w:rsid w:val="00815B82"/>
    <w:rsid w:val="00817841"/>
    <w:rsid w:val="008202DE"/>
    <w:rsid w:val="0082153C"/>
    <w:rsid w:val="00821CA7"/>
    <w:rsid w:val="00821D23"/>
    <w:rsid w:val="008233B0"/>
    <w:rsid w:val="0082484D"/>
    <w:rsid w:val="00824D8F"/>
    <w:rsid w:val="00824F31"/>
    <w:rsid w:val="00826B63"/>
    <w:rsid w:val="00826EDE"/>
    <w:rsid w:val="00826F90"/>
    <w:rsid w:val="008275CA"/>
    <w:rsid w:val="008300BD"/>
    <w:rsid w:val="00831355"/>
    <w:rsid w:val="008326ED"/>
    <w:rsid w:val="00832A0B"/>
    <w:rsid w:val="00832E3A"/>
    <w:rsid w:val="0083477D"/>
    <w:rsid w:val="00837D68"/>
    <w:rsid w:val="008400FE"/>
    <w:rsid w:val="008403BC"/>
    <w:rsid w:val="00841358"/>
    <w:rsid w:val="0084161D"/>
    <w:rsid w:val="00842C36"/>
    <w:rsid w:val="008435BC"/>
    <w:rsid w:val="00844133"/>
    <w:rsid w:val="00847462"/>
    <w:rsid w:val="008506A3"/>
    <w:rsid w:val="0085251A"/>
    <w:rsid w:val="00852726"/>
    <w:rsid w:val="008529C4"/>
    <w:rsid w:val="00852AD5"/>
    <w:rsid w:val="00852D3F"/>
    <w:rsid w:val="00853144"/>
    <w:rsid w:val="00854F0F"/>
    <w:rsid w:val="00855211"/>
    <w:rsid w:val="00860CBA"/>
    <w:rsid w:val="00861FE8"/>
    <w:rsid w:val="008626E3"/>
    <w:rsid w:val="008632BE"/>
    <w:rsid w:val="00863C21"/>
    <w:rsid w:val="00863EA8"/>
    <w:rsid w:val="00863FF2"/>
    <w:rsid w:val="00864017"/>
    <w:rsid w:val="00864368"/>
    <w:rsid w:val="00865BD0"/>
    <w:rsid w:val="008660BF"/>
    <w:rsid w:val="00866A0C"/>
    <w:rsid w:val="0086763B"/>
    <w:rsid w:val="00867695"/>
    <w:rsid w:val="008677A7"/>
    <w:rsid w:val="00867DB1"/>
    <w:rsid w:val="0087228F"/>
    <w:rsid w:val="0087455A"/>
    <w:rsid w:val="00874F52"/>
    <w:rsid w:val="0087768F"/>
    <w:rsid w:val="0088024B"/>
    <w:rsid w:val="008802C1"/>
    <w:rsid w:val="008814BE"/>
    <w:rsid w:val="008819F5"/>
    <w:rsid w:val="00882E0F"/>
    <w:rsid w:val="0088545C"/>
    <w:rsid w:val="00885495"/>
    <w:rsid w:val="008855F7"/>
    <w:rsid w:val="00885B7C"/>
    <w:rsid w:val="00885F21"/>
    <w:rsid w:val="00886208"/>
    <w:rsid w:val="00886678"/>
    <w:rsid w:val="008874B0"/>
    <w:rsid w:val="008879CF"/>
    <w:rsid w:val="0089028E"/>
    <w:rsid w:val="00890374"/>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096"/>
    <w:rsid w:val="008B1F00"/>
    <w:rsid w:val="008B21DE"/>
    <w:rsid w:val="008B2239"/>
    <w:rsid w:val="008B333D"/>
    <w:rsid w:val="008B47ED"/>
    <w:rsid w:val="008B6323"/>
    <w:rsid w:val="008B6399"/>
    <w:rsid w:val="008B65EC"/>
    <w:rsid w:val="008B6EDB"/>
    <w:rsid w:val="008C09DC"/>
    <w:rsid w:val="008C110B"/>
    <w:rsid w:val="008C1F09"/>
    <w:rsid w:val="008C22CA"/>
    <w:rsid w:val="008C2733"/>
    <w:rsid w:val="008C2E7B"/>
    <w:rsid w:val="008C3389"/>
    <w:rsid w:val="008C35F5"/>
    <w:rsid w:val="008C462C"/>
    <w:rsid w:val="008C4831"/>
    <w:rsid w:val="008C6718"/>
    <w:rsid w:val="008D1519"/>
    <w:rsid w:val="008D3C76"/>
    <w:rsid w:val="008D40FE"/>
    <w:rsid w:val="008D429D"/>
    <w:rsid w:val="008D44A6"/>
    <w:rsid w:val="008D5472"/>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F019A"/>
    <w:rsid w:val="008F2266"/>
    <w:rsid w:val="008F2B6F"/>
    <w:rsid w:val="008F2B87"/>
    <w:rsid w:val="008F2D70"/>
    <w:rsid w:val="008F3F27"/>
    <w:rsid w:val="008F4A55"/>
    <w:rsid w:val="008F6541"/>
    <w:rsid w:val="008F669A"/>
    <w:rsid w:val="008F6AFA"/>
    <w:rsid w:val="008F778B"/>
    <w:rsid w:val="008F7C92"/>
    <w:rsid w:val="008F7D1A"/>
    <w:rsid w:val="00902097"/>
    <w:rsid w:val="00902279"/>
    <w:rsid w:val="00903445"/>
    <w:rsid w:val="009035A2"/>
    <w:rsid w:val="00903CAD"/>
    <w:rsid w:val="00905489"/>
    <w:rsid w:val="009063E7"/>
    <w:rsid w:val="00906A2C"/>
    <w:rsid w:val="00907B36"/>
    <w:rsid w:val="00911D00"/>
    <w:rsid w:val="00911E6D"/>
    <w:rsid w:val="00913558"/>
    <w:rsid w:val="009148B5"/>
    <w:rsid w:val="00914DCE"/>
    <w:rsid w:val="00914E44"/>
    <w:rsid w:val="009172A2"/>
    <w:rsid w:val="00917F98"/>
    <w:rsid w:val="00921780"/>
    <w:rsid w:val="009232BB"/>
    <w:rsid w:val="00923DFD"/>
    <w:rsid w:val="00924527"/>
    <w:rsid w:val="00924CD1"/>
    <w:rsid w:val="0092562D"/>
    <w:rsid w:val="00925D50"/>
    <w:rsid w:val="00926352"/>
    <w:rsid w:val="00926BC7"/>
    <w:rsid w:val="00927375"/>
    <w:rsid w:val="009301C6"/>
    <w:rsid w:val="00931291"/>
    <w:rsid w:val="00931AE8"/>
    <w:rsid w:val="00933119"/>
    <w:rsid w:val="009331D5"/>
    <w:rsid w:val="00933D0C"/>
    <w:rsid w:val="00934086"/>
    <w:rsid w:val="009356E6"/>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401B"/>
    <w:rsid w:val="009546FA"/>
    <w:rsid w:val="0095489E"/>
    <w:rsid w:val="00954CC7"/>
    <w:rsid w:val="009550FB"/>
    <w:rsid w:val="009601CF"/>
    <w:rsid w:val="00960C5A"/>
    <w:rsid w:val="00960E78"/>
    <w:rsid w:val="00960F09"/>
    <w:rsid w:val="00961025"/>
    <w:rsid w:val="00961DC5"/>
    <w:rsid w:val="009621A3"/>
    <w:rsid w:val="00962CC9"/>
    <w:rsid w:val="00963606"/>
    <w:rsid w:val="00963E8A"/>
    <w:rsid w:val="0096523F"/>
    <w:rsid w:val="0096577B"/>
    <w:rsid w:val="009664EC"/>
    <w:rsid w:val="0096732F"/>
    <w:rsid w:val="0096772B"/>
    <w:rsid w:val="009707D3"/>
    <w:rsid w:val="00971956"/>
    <w:rsid w:val="00971AB6"/>
    <w:rsid w:val="00971C84"/>
    <w:rsid w:val="009722EC"/>
    <w:rsid w:val="009725F6"/>
    <w:rsid w:val="0097581E"/>
    <w:rsid w:val="00977B42"/>
    <w:rsid w:val="009805B6"/>
    <w:rsid w:val="0098082A"/>
    <w:rsid w:val="009812FB"/>
    <w:rsid w:val="00982CA1"/>
    <w:rsid w:val="00983BD8"/>
    <w:rsid w:val="00984643"/>
    <w:rsid w:val="00984685"/>
    <w:rsid w:val="0098486E"/>
    <w:rsid w:val="009851CF"/>
    <w:rsid w:val="0098529B"/>
    <w:rsid w:val="00987241"/>
    <w:rsid w:val="00987B72"/>
    <w:rsid w:val="00987E56"/>
    <w:rsid w:val="00990492"/>
    <w:rsid w:val="00990ACE"/>
    <w:rsid w:val="009911B5"/>
    <w:rsid w:val="00991C50"/>
    <w:rsid w:val="009953DA"/>
    <w:rsid w:val="00995425"/>
    <w:rsid w:val="009975E2"/>
    <w:rsid w:val="009A01A1"/>
    <w:rsid w:val="009A05B4"/>
    <w:rsid w:val="009A1026"/>
    <w:rsid w:val="009A1C68"/>
    <w:rsid w:val="009A2194"/>
    <w:rsid w:val="009A26DA"/>
    <w:rsid w:val="009A373A"/>
    <w:rsid w:val="009A3D54"/>
    <w:rsid w:val="009A5858"/>
    <w:rsid w:val="009A5B9F"/>
    <w:rsid w:val="009A7012"/>
    <w:rsid w:val="009A793D"/>
    <w:rsid w:val="009B07D5"/>
    <w:rsid w:val="009B0E57"/>
    <w:rsid w:val="009B1A3C"/>
    <w:rsid w:val="009B1D19"/>
    <w:rsid w:val="009B2B19"/>
    <w:rsid w:val="009B53B5"/>
    <w:rsid w:val="009B5467"/>
    <w:rsid w:val="009B5A9A"/>
    <w:rsid w:val="009B5BAB"/>
    <w:rsid w:val="009B65FF"/>
    <w:rsid w:val="009B7D88"/>
    <w:rsid w:val="009C1A76"/>
    <w:rsid w:val="009C2218"/>
    <w:rsid w:val="009C2CA9"/>
    <w:rsid w:val="009C2F65"/>
    <w:rsid w:val="009C317F"/>
    <w:rsid w:val="009C4B30"/>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34C"/>
    <w:rsid w:val="009F757B"/>
    <w:rsid w:val="009F7948"/>
    <w:rsid w:val="00A022AC"/>
    <w:rsid w:val="00A022BD"/>
    <w:rsid w:val="00A027F6"/>
    <w:rsid w:val="00A03EED"/>
    <w:rsid w:val="00A0423C"/>
    <w:rsid w:val="00A05515"/>
    <w:rsid w:val="00A067B2"/>
    <w:rsid w:val="00A0716B"/>
    <w:rsid w:val="00A0740A"/>
    <w:rsid w:val="00A0776D"/>
    <w:rsid w:val="00A07E6E"/>
    <w:rsid w:val="00A11008"/>
    <w:rsid w:val="00A110CB"/>
    <w:rsid w:val="00A113E7"/>
    <w:rsid w:val="00A126F5"/>
    <w:rsid w:val="00A12D4C"/>
    <w:rsid w:val="00A1304B"/>
    <w:rsid w:val="00A135C1"/>
    <w:rsid w:val="00A139BE"/>
    <w:rsid w:val="00A140FC"/>
    <w:rsid w:val="00A14D57"/>
    <w:rsid w:val="00A150D6"/>
    <w:rsid w:val="00A17DAF"/>
    <w:rsid w:val="00A17E5F"/>
    <w:rsid w:val="00A20D42"/>
    <w:rsid w:val="00A21A92"/>
    <w:rsid w:val="00A23CD6"/>
    <w:rsid w:val="00A24765"/>
    <w:rsid w:val="00A27232"/>
    <w:rsid w:val="00A27898"/>
    <w:rsid w:val="00A27FE7"/>
    <w:rsid w:val="00A30918"/>
    <w:rsid w:val="00A32389"/>
    <w:rsid w:val="00A34B44"/>
    <w:rsid w:val="00A35282"/>
    <w:rsid w:val="00A37923"/>
    <w:rsid w:val="00A379AB"/>
    <w:rsid w:val="00A4137B"/>
    <w:rsid w:val="00A43093"/>
    <w:rsid w:val="00A43DC1"/>
    <w:rsid w:val="00A4595F"/>
    <w:rsid w:val="00A45B82"/>
    <w:rsid w:val="00A479AB"/>
    <w:rsid w:val="00A47EFB"/>
    <w:rsid w:val="00A5035B"/>
    <w:rsid w:val="00A50701"/>
    <w:rsid w:val="00A50B67"/>
    <w:rsid w:val="00A50FD4"/>
    <w:rsid w:val="00A522E7"/>
    <w:rsid w:val="00A52889"/>
    <w:rsid w:val="00A53356"/>
    <w:rsid w:val="00A540FA"/>
    <w:rsid w:val="00A546C3"/>
    <w:rsid w:val="00A54900"/>
    <w:rsid w:val="00A553B3"/>
    <w:rsid w:val="00A55CFE"/>
    <w:rsid w:val="00A560B4"/>
    <w:rsid w:val="00A562F7"/>
    <w:rsid w:val="00A5672A"/>
    <w:rsid w:val="00A60679"/>
    <w:rsid w:val="00A62591"/>
    <w:rsid w:val="00A6391F"/>
    <w:rsid w:val="00A6428C"/>
    <w:rsid w:val="00A679EC"/>
    <w:rsid w:val="00A67BF2"/>
    <w:rsid w:val="00A67DE3"/>
    <w:rsid w:val="00A700DC"/>
    <w:rsid w:val="00A70891"/>
    <w:rsid w:val="00A72211"/>
    <w:rsid w:val="00A73EE2"/>
    <w:rsid w:val="00A746A3"/>
    <w:rsid w:val="00A74967"/>
    <w:rsid w:val="00A74B20"/>
    <w:rsid w:val="00A74D3D"/>
    <w:rsid w:val="00A74F9C"/>
    <w:rsid w:val="00A754D8"/>
    <w:rsid w:val="00A76ED9"/>
    <w:rsid w:val="00A8099F"/>
    <w:rsid w:val="00A80F72"/>
    <w:rsid w:val="00A81798"/>
    <w:rsid w:val="00A83A12"/>
    <w:rsid w:val="00A83DE6"/>
    <w:rsid w:val="00A83F83"/>
    <w:rsid w:val="00A84669"/>
    <w:rsid w:val="00A84DA9"/>
    <w:rsid w:val="00A850BE"/>
    <w:rsid w:val="00A8532B"/>
    <w:rsid w:val="00A856C5"/>
    <w:rsid w:val="00A85D87"/>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1DB3"/>
    <w:rsid w:val="00AA27E6"/>
    <w:rsid w:val="00AA3573"/>
    <w:rsid w:val="00AA37B0"/>
    <w:rsid w:val="00AA3F9B"/>
    <w:rsid w:val="00AA43C0"/>
    <w:rsid w:val="00AA586A"/>
    <w:rsid w:val="00AA66B6"/>
    <w:rsid w:val="00AA7670"/>
    <w:rsid w:val="00AA7EEC"/>
    <w:rsid w:val="00AB0141"/>
    <w:rsid w:val="00AB46F3"/>
    <w:rsid w:val="00AB6555"/>
    <w:rsid w:val="00AB7B8F"/>
    <w:rsid w:val="00AC0D28"/>
    <w:rsid w:val="00AC1327"/>
    <w:rsid w:val="00AC1A60"/>
    <w:rsid w:val="00AC21F5"/>
    <w:rsid w:val="00AC424A"/>
    <w:rsid w:val="00AC4702"/>
    <w:rsid w:val="00AC4D7F"/>
    <w:rsid w:val="00AC5213"/>
    <w:rsid w:val="00AC5810"/>
    <w:rsid w:val="00AC5C00"/>
    <w:rsid w:val="00AC696F"/>
    <w:rsid w:val="00AC6E7B"/>
    <w:rsid w:val="00AD210E"/>
    <w:rsid w:val="00AD2370"/>
    <w:rsid w:val="00AD2744"/>
    <w:rsid w:val="00AD4606"/>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2A4D"/>
    <w:rsid w:val="00AF31BD"/>
    <w:rsid w:val="00AF3C70"/>
    <w:rsid w:val="00AF470C"/>
    <w:rsid w:val="00AF6438"/>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006"/>
    <w:rsid w:val="00B11E3E"/>
    <w:rsid w:val="00B11F0D"/>
    <w:rsid w:val="00B1217E"/>
    <w:rsid w:val="00B12333"/>
    <w:rsid w:val="00B13A91"/>
    <w:rsid w:val="00B1419C"/>
    <w:rsid w:val="00B15306"/>
    <w:rsid w:val="00B15548"/>
    <w:rsid w:val="00B1687F"/>
    <w:rsid w:val="00B20276"/>
    <w:rsid w:val="00B20284"/>
    <w:rsid w:val="00B20963"/>
    <w:rsid w:val="00B21658"/>
    <w:rsid w:val="00B21A18"/>
    <w:rsid w:val="00B23740"/>
    <w:rsid w:val="00B24110"/>
    <w:rsid w:val="00B2434A"/>
    <w:rsid w:val="00B24813"/>
    <w:rsid w:val="00B24C1A"/>
    <w:rsid w:val="00B2508D"/>
    <w:rsid w:val="00B258C4"/>
    <w:rsid w:val="00B30AD4"/>
    <w:rsid w:val="00B30FF4"/>
    <w:rsid w:val="00B31AC2"/>
    <w:rsid w:val="00B31AF4"/>
    <w:rsid w:val="00B31EC3"/>
    <w:rsid w:val="00B3233A"/>
    <w:rsid w:val="00B3265D"/>
    <w:rsid w:val="00B32AE3"/>
    <w:rsid w:val="00B33510"/>
    <w:rsid w:val="00B34E84"/>
    <w:rsid w:val="00B354FD"/>
    <w:rsid w:val="00B3578A"/>
    <w:rsid w:val="00B37252"/>
    <w:rsid w:val="00B400C5"/>
    <w:rsid w:val="00B413BD"/>
    <w:rsid w:val="00B41CCB"/>
    <w:rsid w:val="00B446F6"/>
    <w:rsid w:val="00B46B89"/>
    <w:rsid w:val="00B50697"/>
    <w:rsid w:val="00B51BFB"/>
    <w:rsid w:val="00B531F8"/>
    <w:rsid w:val="00B5485C"/>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47C"/>
    <w:rsid w:val="00B80C64"/>
    <w:rsid w:val="00B826D9"/>
    <w:rsid w:val="00B833F4"/>
    <w:rsid w:val="00B85EF8"/>
    <w:rsid w:val="00B8668D"/>
    <w:rsid w:val="00B86D63"/>
    <w:rsid w:val="00B877E8"/>
    <w:rsid w:val="00B9019C"/>
    <w:rsid w:val="00B902DB"/>
    <w:rsid w:val="00B90445"/>
    <w:rsid w:val="00B90518"/>
    <w:rsid w:val="00B90CE7"/>
    <w:rsid w:val="00B91622"/>
    <w:rsid w:val="00B916D2"/>
    <w:rsid w:val="00B935DB"/>
    <w:rsid w:val="00B951D3"/>
    <w:rsid w:val="00B95A0E"/>
    <w:rsid w:val="00B95ED6"/>
    <w:rsid w:val="00B96215"/>
    <w:rsid w:val="00B96AD3"/>
    <w:rsid w:val="00B97106"/>
    <w:rsid w:val="00B97F02"/>
    <w:rsid w:val="00BA22BB"/>
    <w:rsid w:val="00BA252C"/>
    <w:rsid w:val="00BA2D3F"/>
    <w:rsid w:val="00BA329F"/>
    <w:rsid w:val="00BA36F9"/>
    <w:rsid w:val="00BA3708"/>
    <w:rsid w:val="00BA45F4"/>
    <w:rsid w:val="00BA4DE2"/>
    <w:rsid w:val="00BA5B6A"/>
    <w:rsid w:val="00BB04E5"/>
    <w:rsid w:val="00BB146C"/>
    <w:rsid w:val="00BB27C8"/>
    <w:rsid w:val="00BB3868"/>
    <w:rsid w:val="00BB449E"/>
    <w:rsid w:val="00BB5076"/>
    <w:rsid w:val="00BB5138"/>
    <w:rsid w:val="00BB5419"/>
    <w:rsid w:val="00BB578C"/>
    <w:rsid w:val="00BB6398"/>
    <w:rsid w:val="00BB72E5"/>
    <w:rsid w:val="00BB77C6"/>
    <w:rsid w:val="00BC073F"/>
    <w:rsid w:val="00BC206C"/>
    <w:rsid w:val="00BC2C8E"/>
    <w:rsid w:val="00BC4070"/>
    <w:rsid w:val="00BC4506"/>
    <w:rsid w:val="00BC4F53"/>
    <w:rsid w:val="00BC6916"/>
    <w:rsid w:val="00BC6B41"/>
    <w:rsid w:val="00BC764F"/>
    <w:rsid w:val="00BC784D"/>
    <w:rsid w:val="00BD049D"/>
    <w:rsid w:val="00BD04F0"/>
    <w:rsid w:val="00BD11D3"/>
    <w:rsid w:val="00BD1AD3"/>
    <w:rsid w:val="00BD2170"/>
    <w:rsid w:val="00BD25B3"/>
    <w:rsid w:val="00BD295A"/>
    <w:rsid w:val="00BD3BC3"/>
    <w:rsid w:val="00BD46C0"/>
    <w:rsid w:val="00BD5779"/>
    <w:rsid w:val="00BD6483"/>
    <w:rsid w:val="00BD7BDE"/>
    <w:rsid w:val="00BD7C91"/>
    <w:rsid w:val="00BE0C76"/>
    <w:rsid w:val="00BE1033"/>
    <w:rsid w:val="00BE1121"/>
    <w:rsid w:val="00BE217C"/>
    <w:rsid w:val="00BE25E1"/>
    <w:rsid w:val="00BE405F"/>
    <w:rsid w:val="00BE4129"/>
    <w:rsid w:val="00BE44E8"/>
    <w:rsid w:val="00BE5F2B"/>
    <w:rsid w:val="00BE66CD"/>
    <w:rsid w:val="00BE76E2"/>
    <w:rsid w:val="00BE7E94"/>
    <w:rsid w:val="00BF2121"/>
    <w:rsid w:val="00BF2B61"/>
    <w:rsid w:val="00BF3222"/>
    <w:rsid w:val="00BF4B23"/>
    <w:rsid w:val="00BF60AE"/>
    <w:rsid w:val="00BF6DA5"/>
    <w:rsid w:val="00BF6E09"/>
    <w:rsid w:val="00C0037E"/>
    <w:rsid w:val="00C03817"/>
    <w:rsid w:val="00C03ED8"/>
    <w:rsid w:val="00C0673F"/>
    <w:rsid w:val="00C07842"/>
    <w:rsid w:val="00C07873"/>
    <w:rsid w:val="00C113D8"/>
    <w:rsid w:val="00C1160A"/>
    <w:rsid w:val="00C1212A"/>
    <w:rsid w:val="00C12356"/>
    <w:rsid w:val="00C1264A"/>
    <w:rsid w:val="00C1583D"/>
    <w:rsid w:val="00C15EC4"/>
    <w:rsid w:val="00C17027"/>
    <w:rsid w:val="00C1740C"/>
    <w:rsid w:val="00C17609"/>
    <w:rsid w:val="00C17F41"/>
    <w:rsid w:val="00C210D3"/>
    <w:rsid w:val="00C24074"/>
    <w:rsid w:val="00C25ADA"/>
    <w:rsid w:val="00C264AB"/>
    <w:rsid w:val="00C26995"/>
    <w:rsid w:val="00C26C5A"/>
    <w:rsid w:val="00C270BC"/>
    <w:rsid w:val="00C27678"/>
    <w:rsid w:val="00C30029"/>
    <w:rsid w:val="00C30504"/>
    <w:rsid w:val="00C31177"/>
    <w:rsid w:val="00C31346"/>
    <w:rsid w:val="00C325B0"/>
    <w:rsid w:val="00C32DDA"/>
    <w:rsid w:val="00C33896"/>
    <w:rsid w:val="00C33F33"/>
    <w:rsid w:val="00C34216"/>
    <w:rsid w:val="00C3460D"/>
    <w:rsid w:val="00C34701"/>
    <w:rsid w:val="00C36950"/>
    <w:rsid w:val="00C41EFC"/>
    <w:rsid w:val="00C42A90"/>
    <w:rsid w:val="00C4452D"/>
    <w:rsid w:val="00C45D65"/>
    <w:rsid w:val="00C46D89"/>
    <w:rsid w:val="00C47DC3"/>
    <w:rsid w:val="00C51384"/>
    <w:rsid w:val="00C51AB1"/>
    <w:rsid w:val="00C52765"/>
    <w:rsid w:val="00C5400C"/>
    <w:rsid w:val="00C54167"/>
    <w:rsid w:val="00C541FB"/>
    <w:rsid w:val="00C54B89"/>
    <w:rsid w:val="00C54EB8"/>
    <w:rsid w:val="00C55465"/>
    <w:rsid w:val="00C576C5"/>
    <w:rsid w:val="00C57E71"/>
    <w:rsid w:val="00C60816"/>
    <w:rsid w:val="00C6113C"/>
    <w:rsid w:val="00C61B31"/>
    <w:rsid w:val="00C61F0D"/>
    <w:rsid w:val="00C6260C"/>
    <w:rsid w:val="00C63424"/>
    <w:rsid w:val="00C647F9"/>
    <w:rsid w:val="00C65D18"/>
    <w:rsid w:val="00C67595"/>
    <w:rsid w:val="00C67DBB"/>
    <w:rsid w:val="00C70246"/>
    <w:rsid w:val="00C70298"/>
    <w:rsid w:val="00C7079A"/>
    <w:rsid w:val="00C720E4"/>
    <w:rsid w:val="00C7354A"/>
    <w:rsid w:val="00C745AA"/>
    <w:rsid w:val="00C75AFA"/>
    <w:rsid w:val="00C76EDA"/>
    <w:rsid w:val="00C77265"/>
    <w:rsid w:val="00C7745B"/>
    <w:rsid w:val="00C77E32"/>
    <w:rsid w:val="00C803CE"/>
    <w:rsid w:val="00C8084B"/>
    <w:rsid w:val="00C819F9"/>
    <w:rsid w:val="00C82101"/>
    <w:rsid w:val="00C82BC8"/>
    <w:rsid w:val="00C84015"/>
    <w:rsid w:val="00C85E77"/>
    <w:rsid w:val="00C86B52"/>
    <w:rsid w:val="00C86B5C"/>
    <w:rsid w:val="00C86C1B"/>
    <w:rsid w:val="00C86E6D"/>
    <w:rsid w:val="00C876B1"/>
    <w:rsid w:val="00C8779E"/>
    <w:rsid w:val="00C911D4"/>
    <w:rsid w:val="00C91287"/>
    <w:rsid w:val="00C9331F"/>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6D46"/>
    <w:rsid w:val="00CB7161"/>
    <w:rsid w:val="00CB728B"/>
    <w:rsid w:val="00CB735C"/>
    <w:rsid w:val="00CB7D80"/>
    <w:rsid w:val="00CB7FED"/>
    <w:rsid w:val="00CC027E"/>
    <w:rsid w:val="00CC1235"/>
    <w:rsid w:val="00CC1CCD"/>
    <w:rsid w:val="00CC20F9"/>
    <w:rsid w:val="00CC26F5"/>
    <w:rsid w:val="00CC2BB2"/>
    <w:rsid w:val="00CC3911"/>
    <w:rsid w:val="00CC481B"/>
    <w:rsid w:val="00CC66B9"/>
    <w:rsid w:val="00CC6847"/>
    <w:rsid w:val="00CD088F"/>
    <w:rsid w:val="00CD0AD4"/>
    <w:rsid w:val="00CD186C"/>
    <w:rsid w:val="00CD1FC9"/>
    <w:rsid w:val="00CD1FD8"/>
    <w:rsid w:val="00CD2E19"/>
    <w:rsid w:val="00CD305F"/>
    <w:rsid w:val="00CD3B17"/>
    <w:rsid w:val="00CD3BC9"/>
    <w:rsid w:val="00CD3C59"/>
    <w:rsid w:val="00CD4946"/>
    <w:rsid w:val="00CD5D78"/>
    <w:rsid w:val="00CD60D5"/>
    <w:rsid w:val="00CD7C9C"/>
    <w:rsid w:val="00CE0432"/>
    <w:rsid w:val="00CE11A9"/>
    <w:rsid w:val="00CE1739"/>
    <w:rsid w:val="00CE1907"/>
    <w:rsid w:val="00CE1BB4"/>
    <w:rsid w:val="00CE2836"/>
    <w:rsid w:val="00CE3A57"/>
    <w:rsid w:val="00CE4FCA"/>
    <w:rsid w:val="00CE6A0A"/>
    <w:rsid w:val="00CE6F12"/>
    <w:rsid w:val="00CE7ED6"/>
    <w:rsid w:val="00CF050D"/>
    <w:rsid w:val="00CF0EA2"/>
    <w:rsid w:val="00CF28C2"/>
    <w:rsid w:val="00CF29E3"/>
    <w:rsid w:val="00CF34B8"/>
    <w:rsid w:val="00CF3A2B"/>
    <w:rsid w:val="00CF4957"/>
    <w:rsid w:val="00CF5875"/>
    <w:rsid w:val="00CF648C"/>
    <w:rsid w:val="00CF6FB5"/>
    <w:rsid w:val="00CF6FCE"/>
    <w:rsid w:val="00CF77E7"/>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309D"/>
    <w:rsid w:val="00D34D0B"/>
    <w:rsid w:val="00D34DF8"/>
    <w:rsid w:val="00D36496"/>
    <w:rsid w:val="00D370DD"/>
    <w:rsid w:val="00D40186"/>
    <w:rsid w:val="00D4282D"/>
    <w:rsid w:val="00D43B64"/>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482F"/>
    <w:rsid w:val="00D85744"/>
    <w:rsid w:val="00D8624B"/>
    <w:rsid w:val="00D863F8"/>
    <w:rsid w:val="00D90104"/>
    <w:rsid w:val="00D90682"/>
    <w:rsid w:val="00D90FDA"/>
    <w:rsid w:val="00D91844"/>
    <w:rsid w:val="00D943A3"/>
    <w:rsid w:val="00D9614A"/>
    <w:rsid w:val="00D963A5"/>
    <w:rsid w:val="00D97408"/>
    <w:rsid w:val="00D9755B"/>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3758"/>
    <w:rsid w:val="00DC3B4F"/>
    <w:rsid w:val="00DC5EF3"/>
    <w:rsid w:val="00DD13BF"/>
    <w:rsid w:val="00DD177A"/>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350"/>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2CF"/>
    <w:rsid w:val="00DF054C"/>
    <w:rsid w:val="00DF065A"/>
    <w:rsid w:val="00DF0696"/>
    <w:rsid w:val="00DF2554"/>
    <w:rsid w:val="00DF2587"/>
    <w:rsid w:val="00DF31A7"/>
    <w:rsid w:val="00DF42F2"/>
    <w:rsid w:val="00DF51F1"/>
    <w:rsid w:val="00DF521F"/>
    <w:rsid w:val="00DF5223"/>
    <w:rsid w:val="00DF55D3"/>
    <w:rsid w:val="00DF7250"/>
    <w:rsid w:val="00DF72A5"/>
    <w:rsid w:val="00DF7B48"/>
    <w:rsid w:val="00E00BCE"/>
    <w:rsid w:val="00E04341"/>
    <w:rsid w:val="00E04E49"/>
    <w:rsid w:val="00E04F98"/>
    <w:rsid w:val="00E05BBE"/>
    <w:rsid w:val="00E060D6"/>
    <w:rsid w:val="00E06342"/>
    <w:rsid w:val="00E0677E"/>
    <w:rsid w:val="00E07ED7"/>
    <w:rsid w:val="00E104CF"/>
    <w:rsid w:val="00E10C8D"/>
    <w:rsid w:val="00E1153C"/>
    <w:rsid w:val="00E11A31"/>
    <w:rsid w:val="00E13035"/>
    <w:rsid w:val="00E134B3"/>
    <w:rsid w:val="00E1363E"/>
    <w:rsid w:val="00E143C7"/>
    <w:rsid w:val="00E15FF2"/>
    <w:rsid w:val="00E1624F"/>
    <w:rsid w:val="00E20949"/>
    <w:rsid w:val="00E22095"/>
    <w:rsid w:val="00E22B41"/>
    <w:rsid w:val="00E24E70"/>
    <w:rsid w:val="00E25417"/>
    <w:rsid w:val="00E258E5"/>
    <w:rsid w:val="00E26493"/>
    <w:rsid w:val="00E26FF4"/>
    <w:rsid w:val="00E271C1"/>
    <w:rsid w:val="00E27C67"/>
    <w:rsid w:val="00E27CED"/>
    <w:rsid w:val="00E3064D"/>
    <w:rsid w:val="00E30C09"/>
    <w:rsid w:val="00E33259"/>
    <w:rsid w:val="00E33458"/>
    <w:rsid w:val="00E33C03"/>
    <w:rsid w:val="00E346D4"/>
    <w:rsid w:val="00E34D99"/>
    <w:rsid w:val="00E352DF"/>
    <w:rsid w:val="00E35E4A"/>
    <w:rsid w:val="00E36CA0"/>
    <w:rsid w:val="00E37057"/>
    <w:rsid w:val="00E37C9D"/>
    <w:rsid w:val="00E40836"/>
    <w:rsid w:val="00E4115A"/>
    <w:rsid w:val="00E4185F"/>
    <w:rsid w:val="00E418A7"/>
    <w:rsid w:val="00E41E7D"/>
    <w:rsid w:val="00E425D3"/>
    <w:rsid w:val="00E4395B"/>
    <w:rsid w:val="00E451F1"/>
    <w:rsid w:val="00E45518"/>
    <w:rsid w:val="00E45D67"/>
    <w:rsid w:val="00E50CAC"/>
    <w:rsid w:val="00E52070"/>
    <w:rsid w:val="00E52BA5"/>
    <w:rsid w:val="00E54872"/>
    <w:rsid w:val="00E54C00"/>
    <w:rsid w:val="00E5511A"/>
    <w:rsid w:val="00E56697"/>
    <w:rsid w:val="00E60023"/>
    <w:rsid w:val="00E600D6"/>
    <w:rsid w:val="00E605AE"/>
    <w:rsid w:val="00E61031"/>
    <w:rsid w:val="00E613A0"/>
    <w:rsid w:val="00E61705"/>
    <w:rsid w:val="00E61D84"/>
    <w:rsid w:val="00E6235E"/>
    <w:rsid w:val="00E6236E"/>
    <w:rsid w:val="00E64383"/>
    <w:rsid w:val="00E643EB"/>
    <w:rsid w:val="00E64524"/>
    <w:rsid w:val="00E674E5"/>
    <w:rsid w:val="00E675D0"/>
    <w:rsid w:val="00E677BE"/>
    <w:rsid w:val="00E702C4"/>
    <w:rsid w:val="00E71EFD"/>
    <w:rsid w:val="00E74412"/>
    <w:rsid w:val="00E74EEC"/>
    <w:rsid w:val="00E74FFA"/>
    <w:rsid w:val="00E757CE"/>
    <w:rsid w:val="00E76FA7"/>
    <w:rsid w:val="00E80C4B"/>
    <w:rsid w:val="00E81AB3"/>
    <w:rsid w:val="00E829EA"/>
    <w:rsid w:val="00E8332B"/>
    <w:rsid w:val="00E8455F"/>
    <w:rsid w:val="00E8721F"/>
    <w:rsid w:val="00E874B4"/>
    <w:rsid w:val="00E87785"/>
    <w:rsid w:val="00E90F8A"/>
    <w:rsid w:val="00E9259D"/>
    <w:rsid w:val="00E93101"/>
    <w:rsid w:val="00E9313E"/>
    <w:rsid w:val="00E948A5"/>
    <w:rsid w:val="00E95E76"/>
    <w:rsid w:val="00E962F2"/>
    <w:rsid w:val="00E9716E"/>
    <w:rsid w:val="00E977FB"/>
    <w:rsid w:val="00EA0ED1"/>
    <w:rsid w:val="00EA279A"/>
    <w:rsid w:val="00EA2F8B"/>
    <w:rsid w:val="00EA51ED"/>
    <w:rsid w:val="00EA57D0"/>
    <w:rsid w:val="00EA6445"/>
    <w:rsid w:val="00EA70CB"/>
    <w:rsid w:val="00EA71EB"/>
    <w:rsid w:val="00EA7D98"/>
    <w:rsid w:val="00EB21D4"/>
    <w:rsid w:val="00EB2483"/>
    <w:rsid w:val="00EB3769"/>
    <w:rsid w:val="00EB476A"/>
    <w:rsid w:val="00EB5B14"/>
    <w:rsid w:val="00EB683C"/>
    <w:rsid w:val="00EB734F"/>
    <w:rsid w:val="00EB75C2"/>
    <w:rsid w:val="00EC02A2"/>
    <w:rsid w:val="00EC070C"/>
    <w:rsid w:val="00EC0B9D"/>
    <w:rsid w:val="00EC0C9D"/>
    <w:rsid w:val="00EC0E05"/>
    <w:rsid w:val="00EC1014"/>
    <w:rsid w:val="00EC23BF"/>
    <w:rsid w:val="00EC2D8A"/>
    <w:rsid w:val="00EC3280"/>
    <w:rsid w:val="00EC3E45"/>
    <w:rsid w:val="00EC4359"/>
    <w:rsid w:val="00EC50EF"/>
    <w:rsid w:val="00EC5273"/>
    <w:rsid w:val="00EC65FD"/>
    <w:rsid w:val="00EC7913"/>
    <w:rsid w:val="00EC7FDD"/>
    <w:rsid w:val="00ED1312"/>
    <w:rsid w:val="00ED3121"/>
    <w:rsid w:val="00ED3E13"/>
    <w:rsid w:val="00ED45D9"/>
    <w:rsid w:val="00ED64EE"/>
    <w:rsid w:val="00EE01D0"/>
    <w:rsid w:val="00EE08D1"/>
    <w:rsid w:val="00EE0E63"/>
    <w:rsid w:val="00EE259E"/>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5378"/>
    <w:rsid w:val="00EF54AC"/>
    <w:rsid w:val="00EF59F0"/>
    <w:rsid w:val="00F00465"/>
    <w:rsid w:val="00F00F70"/>
    <w:rsid w:val="00F02FDE"/>
    <w:rsid w:val="00F045F2"/>
    <w:rsid w:val="00F05C0C"/>
    <w:rsid w:val="00F05C68"/>
    <w:rsid w:val="00F075A8"/>
    <w:rsid w:val="00F10B41"/>
    <w:rsid w:val="00F113B5"/>
    <w:rsid w:val="00F1154F"/>
    <w:rsid w:val="00F12106"/>
    <w:rsid w:val="00F13231"/>
    <w:rsid w:val="00F149A4"/>
    <w:rsid w:val="00F14FA8"/>
    <w:rsid w:val="00F15307"/>
    <w:rsid w:val="00F153D7"/>
    <w:rsid w:val="00F15AB4"/>
    <w:rsid w:val="00F15ED8"/>
    <w:rsid w:val="00F164E6"/>
    <w:rsid w:val="00F16DC2"/>
    <w:rsid w:val="00F17346"/>
    <w:rsid w:val="00F178C8"/>
    <w:rsid w:val="00F17B63"/>
    <w:rsid w:val="00F21756"/>
    <w:rsid w:val="00F2296F"/>
    <w:rsid w:val="00F252E5"/>
    <w:rsid w:val="00F26A87"/>
    <w:rsid w:val="00F27049"/>
    <w:rsid w:val="00F308D4"/>
    <w:rsid w:val="00F30CF8"/>
    <w:rsid w:val="00F34292"/>
    <w:rsid w:val="00F35ABF"/>
    <w:rsid w:val="00F362B5"/>
    <w:rsid w:val="00F3698A"/>
    <w:rsid w:val="00F36B80"/>
    <w:rsid w:val="00F405A9"/>
    <w:rsid w:val="00F41906"/>
    <w:rsid w:val="00F4190E"/>
    <w:rsid w:val="00F41A6F"/>
    <w:rsid w:val="00F4375D"/>
    <w:rsid w:val="00F460F9"/>
    <w:rsid w:val="00F46D04"/>
    <w:rsid w:val="00F4723C"/>
    <w:rsid w:val="00F47F3F"/>
    <w:rsid w:val="00F520A9"/>
    <w:rsid w:val="00F52F66"/>
    <w:rsid w:val="00F534F3"/>
    <w:rsid w:val="00F53AA0"/>
    <w:rsid w:val="00F54B7A"/>
    <w:rsid w:val="00F54D98"/>
    <w:rsid w:val="00F5519F"/>
    <w:rsid w:val="00F551C4"/>
    <w:rsid w:val="00F57471"/>
    <w:rsid w:val="00F57672"/>
    <w:rsid w:val="00F608E2"/>
    <w:rsid w:val="00F61E95"/>
    <w:rsid w:val="00F63934"/>
    <w:rsid w:val="00F63C7D"/>
    <w:rsid w:val="00F647A2"/>
    <w:rsid w:val="00F64F8E"/>
    <w:rsid w:val="00F66ABB"/>
    <w:rsid w:val="00F7014A"/>
    <w:rsid w:val="00F70322"/>
    <w:rsid w:val="00F7062F"/>
    <w:rsid w:val="00F715BA"/>
    <w:rsid w:val="00F72CAC"/>
    <w:rsid w:val="00F7304F"/>
    <w:rsid w:val="00F745E4"/>
    <w:rsid w:val="00F750A2"/>
    <w:rsid w:val="00F7574E"/>
    <w:rsid w:val="00F76B24"/>
    <w:rsid w:val="00F76B4C"/>
    <w:rsid w:val="00F7719C"/>
    <w:rsid w:val="00F773B6"/>
    <w:rsid w:val="00F7747B"/>
    <w:rsid w:val="00F777F3"/>
    <w:rsid w:val="00F77815"/>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1F99"/>
    <w:rsid w:val="00FA2F73"/>
    <w:rsid w:val="00FA3EB0"/>
    <w:rsid w:val="00FA4A08"/>
    <w:rsid w:val="00FA4DB9"/>
    <w:rsid w:val="00FA60BF"/>
    <w:rsid w:val="00FA67E6"/>
    <w:rsid w:val="00FA707C"/>
    <w:rsid w:val="00FB13C0"/>
    <w:rsid w:val="00FB204D"/>
    <w:rsid w:val="00FB22A1"/>
    <w:rsid w:val="00FB2CE4"/>
    <w:rsid w:val="00FB3C74"/>
    <w:rsid w:val="00FB4486"/>
    <w:rsid w:val="00FB4AB1"/>
    <w:rsid w:val="00FB4BAB"/>
    <w:rsid w:val="00FB4C7F"/>
    <w:rsid w:val="00FB4DFC"/>
    <w:rsid w:val="00FB5308"/>
    <w:rsid w:val="00FB6F40"/>
    <w:rsid w:val="00FB6FB1"/>
    <w:rsid w:val="00FB7CD5"/>
    <w:rsid w:val="00FC057E"/>
    <w:rsid w:val="00FC09B6"/>
    <w:rsid w:val="00FC0E82"/>
    <w:rsid w:val="00FC1C7C"/>
    <w:rsid w:val="00FC1ED9"/>
    <w:rsid w:val="00FC23EF"/>
    <w:rsid w:val="00FC3C5B"/>
    <w:rsid w:val="00FC3DC5"/>
    <w:rsid w:val="00FC692E"/>
    <w:rsid w:val="00FD0635"/>
    <w:rsid w:val="00FD08E7"/>
    <w:rsid w:val="00FD326B"/>
    <w:rsid w:val="00FD4590"/>
    <w:rsid w:val="00FD5416"/>
    <w:rsid w:val="00FD5EDE"/>
    <w:rsid w:val="00FD6FA6"/>
    <w:rsid w:val="00FD7CE2"/>
    <w:rsid w:val="00FE0490"/>
    <w:rsid w:val="00FE14CB"/>
    <w:rsid w:val="00FE224B"/>
    <w:rsid w:val="00FE25D0"/>
    <w:rsid w:val="00FE3E11"/>
    <w:rsid w:val="00FE437E"/>
    <w:rsid w:val="00FE44B9"/>
    <w:rsid w:val="00FE5245"/>
    <w:rsid w:val="00FE585E"/>
    <w:rsid w:val="00FE5897"/>
    <w:rsid w:val="00FE5A74"/>
    <w:rsid w:val="00FE6905"/>
    <w:rsid w:val="00FE7515"/>
    <w:rsid w:val="00FE7D3B"/>
    <w:rsid w:val="00FE7EE4"/>
    <w:rsid w:val="00FF0CE4"/>
    <w:rsid w:val="00FF1496"/>
    <w:rsid w:val="00FF3293"/>
    <w:rsid w:val="00FF32A1"/>
    <w:rsid w:val="00FF37E9"/>
    <w:rsid w:val="00FF3AB6"/>
    <w:rsid w:val="00FF3FA1"/>
    <w:rsid w:val="00FF5A82"/>
    <w:rsid w:val="00FF5D23"/>
    <w:rsid w:val="00FF615D"/>
    <w:rsid w:val="00FF6180"/>
    <w:rsid w:val="00FF6511"/>
    <w:rsid w:val="00FF7475"/>
    <w:rsid w:val="00FF7D2B"/>
    <w:rsid w:val="011B609E"/>
    <w:rsid w:val="01203AB8"/>
    <w:rsid w:val="015010AA"/>
    <w:rsid w:val="016A347B"/>
    <w:rsid w:val="01781CCF"/>
    <w:rsid w:val="018D1D97"/>
    <w:rsid w:val="019C54BA"/>
    <w:rsid w:val="01B11D31"/>
    <w:rsid w:val="01BB2247"/>
    <w:rsid w:val="01E21679"/>
    <w:rsid w:val="02497DC5"/>
    <w:rsid w:val="026911F5"/>
    <w:rsid w:val="02C33164"/>
    <w:rsid w:val="02D72892"/>
    <w:rsid w:val="0313351D"/>
    <w:rsid w:val="03225EBC"/>
    <w:rsid w:val="03274198"/>
    <w:rsid w:val="0331568B"/>
    <w:rsid w:val="03331B52"/>
    <w:rsid w:val="034E123B"/>
    <w:rsid w:val="03855DC6"/>
    <w:rsid w:val="03AF009C"/>
    <w:rsid w:val="03B22EB7"/>
    <w:rsid w:val="03DD017B"/>
    <w:rsid w:val="03F91E91"/>
    <w:rsid w:val="03F946A1"/>
    <w:rsid w:val="0498022D"/>
    <w:rsid w:val="04C41D07"/>
    <w:rsid w:val="04D47AED"/>
    <w:rsid w:val="04DD0BDE"/>
    <w:rsid w:val="04F211FD"/>
    <w:rsid w:val="054144F3"/>
    <w:rsid w:val="05BF3C09"/>
    <w:rsid w:val="05C11CB3"/>
    <w:rsid w:val="06291F19"/>
    <w:rsid w:val="06311428"/>
    <w:rsid w:val="064B2EFA"/>
    <w:rsid w:val="0674477F"/>
    <w:rsid w:val="06B2781F"/>
    <w:rsid w:val="06BC4119"/>
    <w:rsid w:val="06FC4FE2"/>
    <w:rsid w:val="071E1F77"/>
    <w:rsid w:val="072645C7"/>
    <w:rsid w:val="078330CF"/>
    <w:rsid w:val="07A86D2E"/>
    <w:rsid w:val="07CB7562"/>
    <w:rsid w:val="08246B9D"/>
    <w:rsid w:val="0841589E"/>
    <w:rsid w:val="08442237"/>
    <w:rsid w:val="08606D2F"/>
    <w:rsid w:val="08A5700D"/>
    <w:rsid w:val="08A950C0"/>
    <w:rsid w:val="094A73A8"/>
    <w:rsid w:val="094F54E0"/>
    <w:rsid w:val="095073FA"/>
    <w:rsid w:val="09B252A0"/>
    <w:rsid w:val="0A0E7CC3"/>
    <w:rsid w:val="0A9C3FF0"/>
    <w:rsid w:val="0A9D5F75"/>
    <w:rsid w:val="0AAE050B"/>
    <w:rsid w:val="0AC265F7"/>
    <w:rsid w:val="0B3E34A4"/>
    <w:rsid w:val="0B755ADA"/>
    <w:rsid w:val="0B7D3B65"/>
    <w:rsid w:val="0B861314"/>
    <w:rsid w:val="0BA76028"/>
    <w:rsid w:val="0BD32189"/>
    <w:rsid w:val="0C1B1C59"/>
    <w:rsid w:val="0C527C98"/>
    <w:rsid w:val="0C6A6D99"/>
    <w:rsid w:val="0CCC02C9"/>
    <w:rsid w:val="0CDE0DBE"/>
    <w:rsid w:val="0D4268F6"/>
    <w:rsid w:val="0D663D9A"/>
    <w:rsid w:val="0D6D7E7A"/>
    <w:rsid w:val="0D7C029D"/>
    <w:rsid w:val="0D803DE0"/>
    <w:rsid w:val="0D8E0749"/>
    <w:rsid w:val="0D9B25D5"/>
    <w:rsid w:val="0DFF4618"/>
    <w:rsid w:val="0E1606BA"/>
    <w:rsid w:val="0E466A71"/>
    <w:rsid w:val="0E625C06"/>
    <w:rsid w:val="0E817E24"/>
    <w:rsid w:val="0EA867EE"/>
    <w:rsid w:val="0EAB79FE"/>
    <w:rsid w:val="0EAE4631"/>
    <w:rsid w:val="0ED938A1"/>
    <w:rsid w:val="0F1F783B"/>
    <w:rsid w:val="0F2332B5"/>
    <w:rsid w:val="0F3672DB"/>
    <w:rsid w:val="0F3B1C50"/>
    <w:rsid w:val="0F403A6D"/>
    <w:rsid w:val="0F4B5006"/>
    <w:rsid w:val="0F6C173D"/>
    <w:rsid w:val="0F723707"/>
    <w:rsid w:val="0F8751F8"/>
    <w:rsid w:val="0F9E1512"/>
    <w:rsid w:val="0FAC53D7"/>
    <w:rsid w:val="0FB75ADD"/>
    <w:rsid w:val="0FC6545B"/>
    <w:rsid w:val="0FE515BF"/>
    <w:rsid w:val="0FF11AD6"/>
    <w:rsid w:val="10085717"/>
    <w:rsid w:val="105A5D31"/>
    <w:rsid w:val="1067666B"/>
    <w:rsid w:val="10AA1BED"/>
    <w:rsid w:val="10AD2D8F"/>
    <w:rsid w:val="10EC36E3"/>
    <w:rsid w:val="10FA47CF"/>
    <w:rsid w:val="11186A30"/>
    <w:rsid w:val="1120753A"/>
    <w:rsid w:val="11922413"/>
    <w:rsid w:val="11A67D57"/>
    <w:rsid w:val="1202516B"/>
    <w:rsid w:val="12083555"/>
    <w:rsid w:val="12086AC4"/>
    <w:rsid w:val="122330C2"/>
    <w:rsid w:val="125F420A"/>
    <w:rsid w:val="129E0923"/>
    <w:rsid w:val="129E21C9"/>
    <w:rsid w:val="12B544E0"/>
    <w:rsid w:val="12C51243"/>
    <w:rsid w:val="12E4191E"/>
    <w:rsid w:val="12E62049"/>
    <w:rsid w:val="12FF1AC9"/>
    <w:rsid w:val="13626710"/>
    <w:rsid w:val="13655D82"/>
    <w:rsid w:val="137E513F"/>
    <w:rsid w:val="13A64828"/>
    <w:rsid w:val="13FF40DE"/>
    <w:rsid w:val="14770F16"/>
    <w:rsid w:val="14935D07"/>
    <w:rsid w:val="149F25F2"/>
    <w:rsid w:val="14B80346"/>
    <w:rsid w:val="14BE670D"/>
    <w:rsid w:val="14DF4D11"/>
    <w:rsid w:val="14F52FE5"/>
    <w:rsid w:val="1510360E"/>
    <w:rsid w:val="151E215B"/>
    <w:rsid w:val="15205FE5"/>
    <w:rsid w:val="15AD23FE"/>
    <w:rsid w:val="15E454EF"/>
    <w:rsid w:val="1600013C"/>
    <w:rsid w:val="160F6598"/>
    <w:rsid w:val="161D0F66"/>
    <w:rsid w:val="16337603"/>
    <w:rsid w:val="16A93BC6"/>
    <w:rsid w:val="16A95755"/>
    <w:rsid w:val="171447CD"/>
    <w:rsid w:val="175224D1"/>
    <w:rsid w:val="175D51F2"/>
    <w:rsid w:val="17861225"/>
    <w:rsid w:val="17905436"/>
    <w:rsid w:val="17A61150"/>
    <w:rsid w:val="17D3547E"/>
    <w:rsid w:val="17DB7F17"/>
    <w:rsid w:val="17FE2AC3"/>
    <w:rsid w:val="180065DE"/>
    <w:rsid w:val="18040BE2"/>
    <w:rsid w:val="18512847"/>
    <w:rsid w:val="18562E3A"/>
    <w:rsid w:val="18713064"/>
    <w:rsid w:val="189B6524"/>
    <w:rsid w:val="18B70996"/>
    <w:rsid w:val="18C176C1"/>
    <w:rsid w:val="18F56459"/>
    <w:rsid w:val="19772B02"/>
    <w:rsid w:val="19791E80"/>
    <w:rsid w:val="19C2772D"/>
    <w:rsid w:val="1A4E2C79"/>
    <w:rsid w:val="1AE6442F"/>
    <w:rsid w:val="1AE72562"/>
    <w:rsid w:val="1AFD7DD2"/>
    <w:rsid w:val="1B1172A3"/>
    <w:rsid w:val="1B1A3DC2"/>
    <w:rsid w:val="1B3D238A"/>
    <w:rsid w:val="1B4D36AA"/>
    <w:rsid w:val="1BA77E3C"/>
    <w:rsid w:val="1BE514FB"/>
    <w:rsid w:val="1BE748FD"/>
    <w:rsid w:val="1C0E4FD7"/>
    <w:rsid w:val="1C385A98"/>
    <w:rsid w:val="1C3D7F62"/>
    <w:rsid w:val="1C5B59DF"/>
    <w:rsid w:val="1C6012AB"/>
    <w:rsid w:val="1CA93168"/>
    <w:rsid w:val="1CAF2B6F"/>
    <w:rsid w:val="1CC70C64"/>
    <w:rsid w:val="1CCD47D1"/>
    <w:rsid w:val="1CD13D54"/>
    <w:rsid w:val="1CE63000"/>
    <w:rsid w:val="1CEA2A09"/>
    <w:rsid w:val="1CF5372F"/>
    <w:rsid w:val="1D0330AF"/>
    <w:rsid w:val="1D434933"/>
    <w:rsid w:val="1D4B5AB7"/>
    <w:rsid w:val="1D605BC2"/>
    <w:rsid w:val="1D6F0EAA"/>
    <w:rsid w:val="1DA67191"/>
    <w:rsid w:val="1DBA2812"/>
    <w:rsid w:val="1DBA5E0C"/>
    <w:rsid w:val="1DE76E77"/>
    <w:rsid w:val="1DFA622C"/>
    <w:rsid w:val="1E2B7A27"/>
    <w:rsid w:val="1E413DFF"/>
    <w:rsid w:val="1E6F2157"/>
    <w:rsid w:val="1EAA2CB1"/>
    <w:rsid w:val="1ED26B6B"/>
    <w:rsid w:val="1EE1004B"/>
    <w:rsid w:val="1EF37A50"/>
    <w:rsid w:val="1F403D00"/>
    <w:rsid w:val="1F754312"/>
    <w:rsid w:val="1FB73684"/>
    <w:rsid w:val="1FCB2C57"/>
    <w:rsid w:val="1FE1254C"/>
    <w:rsid w:val="1FE864E5"/>
    <w:rsid w:val="1FF030A7"/>
    <w:rsid w:val="1FFF19CA"/>
    <w:rsid w:val="200118CD"/>
    <w:rsid w:val="204A5E21"/>
    <w:rsid w:val="205E4E55"/>
    <w:rsid w:val="2092780F"/>
    <w:rsid w:val="20F1259A"/>
    <w:rsid w:val="20FB17E4"/>
    <w:rsid w:val="21041B4F"/>
    <w:rsid w:val="21051FDB"/>
    <w:rsid w:val="212E107B"/>
    <w:rsid w:val="217A22CB"/>
    <w:rsid w:val="219405BB"/>
    <w:rsid w:val="21974945"/>
    <w:rsid w:val="219E55D3"/>
    <w:rsid w:val="21A97F88"/>
    <w:rsid w:val="22141A80"/>
    <w:rsid w:val="221A0B49"/>
    <w:rsid w:val="223B5A35"/>
    <w:rsid w:val="225278E7"/>
    <w:rsid w:val="225D46D5"/>
    <w:rsid w:val="22BC414A"/>
    <w:rsid w:val="22D46A8B"/>
    <w:rsid w:val="22DA1DB7"/>
    <w:rsid w:val="231E25BB"/>
    <w:rsid w:val="23474BA1"/>
    <w:rsid w:val="23522A46"/>
    <w:rsid w:val="236042E6"/>
    <w:rsid w:val="236E24FF"/>
    <w:rsid w:val="23956A32"/>
    <w:rsid w:val="23957430"/>
    <w:rsid w:val="23B50BAC"/>
    <w:rsid w:val="23FF13A9"/>
    <w:rsid w:val="24043D2A"/>
    <w:rsid w:val="24085B1D"/>
    <w:rsid w:val="245A1E77"/>
    <w:rsid w:val="246663ED"/>
    <w:rsid w:val="24671674"/>
    <w:rsid w:val="246D27B7"/>
    <w:rsid w:val="24926765"/>
    <w:rsid w:val="24B659C5"/>
    <w:rsid w:val="24DC69FA"/>
    <w:rsid w:val="24EB5A5A"/>
    <w:rsid w:val="25181AFC"/>
    <w:rsid w:val="25284887"/>
    <w:rsid w:val="25501F14"/>
    <w:rsid w:val="258157FB"/>
    <w:rsid w:val="25BA0ADA"/>
    <w:rsid w:val="25D21167"/>
    <w:rsid w:val="25D4692C"/>
    <w:rsid w:val="25D9195D"/>
    <w:rsid w:val="262518DA"/>
    <w:rsid w:val="263D6290"/>
    <w:rsid w:val="26422054"/>
    <w:rsid w:val="267D2399"/>
    <w:rsid w:val="268C70C4"/>
    <w:rsid w:val="26C3475A"/>
    <w:rsid w:val="27047F2E"/>
    <w:rsid w:val="27252DDA"/>
    <w:rsid w:val="27513464"/>
    <w:rsid w:val="27617FC1"/>
    <w:rsid w:val="27AA2ECC"/>
    <w:rsid w:val="27C10C81"/>
    <w:rsid w:val="27C6599E"/>
    <w:rsid w:val="287469A1"/>
    <w:rsid w:val="287A53A0"/>
    <w:rsid w:val="289D60C5"/>
    <w:rsid w:val="28BE63A3"/>
    <w:rsid w:val="2942746F"/>
    <w:rsid w:val="294550C2"/>
    <w:rsid w:val="294A5EAA"/>
    <w:rsid w:val="296F408E"/>
    <w:rsid w:val="298C278E"/>
    <w:rsid w:val="29F24443"/>
    <w:rsid w:val="29FA4DB3"/>
    <w:rsid w:val="2A7D1370"/>
    <w:rsid w:val="2A814865"/>
    <w:rsid w:val="2AC02B05"/>
    <w:rsid w:val="2AC9060F"/>
    <w:rsid w:val="2AD22063"/>
    <w:rsid w:val="2ADE4A5A"/>
    <w:rsid w:val="2AEB2F44"/>
    <w:rsid w:val="2AF43C32"/>
    <w:rsid w:val="2B386B58"/>
    <w:rsid w:val="2B580267"/>
    <w:rsid w:val="2B6D169A"/>
    <w:rsid w:val="2B904518"/>
    <w:rsid w:val="2BA2543C"/>
    <w:rsid w:val="2BCF3F91"/>
    <w:rsid w:val="2BDD6E85"/>
    <w:rsid w:val="2BF5382C"/>
    <w:rsid w:val="2BF56177"/>
    <w:rsid w:val="2C043729"/>
    <w:rsid w:val="2C446624"/>
    <w:rsid w:val="2C4A524D"/>
    <w:rsid w:val="2C6A192D"/>
    <w:rsid w:val="2D062784"/>
    <w:rsid w:val="2D1479B8"/>
    <w:rsid w:val="2D402581"/>
    <w:rsid w:val="2D501E79"/>
    <w:rsid w:val="2D8B3AA8"/>
    <w:rsid w:val="2D8B5555"/>
    <w:rsid w:val="2DAC144D"/>
    <w:rsid w:val="2DE33931"/>
    <w:rsid w:val="2E0266F3"/>
    <w:rsid w:val="2E6A207C"/>
    <w:rsid w:val="2E6B62B5"/>
    <w:rsid w:val="2E9277C7"/>
    <w:rsid w:val="2EB21CA2"/>
    <w:rsid w:val="2EBE3270"/>
    <w:rsid w:val="2EE97D1D"/>
    <w:rsid w:val="2F272951"/>
    <w:rsid w:val="30077F63"/>
    <w:rsid w:val="3036513C"/>
    <w:rsid w:val="303E3EDB"/>
    <w:rsid w:val="30750BCA"/>
    <w:rsid w:val="308F2696"/>
    <w:rsid w:val="309C4F4E"/>
    <w:rsid w:val="30AF20B2"/>
    <w:rsid w:val="30C71A99"/>
    <w:rsid w:val="30D67AED"/>
    <w:rsid w:val="30E672E7"/>
    <w:rsid w:val="30F73308"/>
    <w:rsid w:val="30FF525B"/>
    <w:rsid w:val="3121636C"/>
    <w:rsid w:val="3128164D"/>
    <w:rsid w:val="31393D0B"/>
    <w:rsid w:val="31471305"/>
    <w:rsid w:val="31552F50"/>
    <w:rsid w:val="318772B5"/>
    <w:rsid w:val="31884818"/>
    <w:rsid w:val="318B1795"/>
    <w:rsid w:val="318D5335"/>
    <w:rsid w:val="31CF708E"/>
    <w:rsid w:val="31D20CB8"/>
    <w:rsid w:val="32025F32"/>
    <w:rsid w:val="32431F1A"/>
    <w:rsid w:val="324C7700"/>
    <w:rsid w:val="324E32ED"/>
    <w:rsid w:val="325A0134"/>
    <w:rsid w:val="32681759"/>
    <w:rsid w:val="32AF1CF9"/>
    <w:rsid w:val="32C55DBE"/>
    <w:rsid w:val="33351062"/>
    <w:rsid w:val="334A756F"/>
    <w:rsid w:val="33535654"/>
    <w:rsid w:val="335674D7"/>
    <w:rsid w:val="33631731"/>
    <w:rsid w:val="33647109"/>
    <w:rsid w:val="336809E1"/>
    <w:rsid w:val="33785864"/>
    <w:rsid w:val="33AC2E79"/>
    <w:rsid w:val="33B64797"/>
    <w:rsid w:val="33DB7DFA"/>
    <w:rsid w:val="33E52369"/>
    <w:rsid w:val="33FE4ED8"/>
    <w:rsid w:val="34172F02"/>
    <w:rsid w:val="347E7293"/>
    <w:rsid w:val="349E27E5"/>
    <w:rsid w:val="34ED0D1F"/>
    <w:rsid w:val="34F50CEC"/>
    <w:rsid w:val="358A706E"/>
    <w:rsid w:val="360266F6"/>
    <w:rsid w:val="3681649D"/>
    <w:rsid w:val="368A71F8"/>
    <w:rsid w:val="36E641B0"/>
    <w:rsid w:val="37135E71"/>
    <w:rsid w:val="37201D86"/>
    <w:rsid w:val="372E2279"/>
    <w:rsid w:val="37340B1D"/>
    <w:rsid w:val="373F4B97"/>
    <w:rsid w:val="37656E71"/>
    <w:rsid w:val="379725E6"/>
    <w:rsid w:val="37BA0680"/>
    <w:rsid w:val="37BFEA95"/>
    <w:rsid w:val="37F401F0"/>
    <w:rsid w:val="38050F1D"/>
    <w:rsid w:val="382328E4"/>
    <w:rsid w:val="386A05F6"/>
    <w:rsid w:val="3877602E"/>
    <w:rsid w:val="38CB3825"/>
    <w:rsid w:val="38D31EFB"/>
    <w:rsid w:val="38EF1480"/>
    <w:rsid w:val="390B61E4"/>
    <w:rsid w:val="393A2C69"/>
    <w:rsid w:val="3940251A"/>
    <w:rsid w:val="394967D1"/>
    <w:rsid w:val="3961079B"/>
    <w:rsid w:val="399D7BBA"/>
    <w:rsid w:val="39A968A7"/>
    <w:rsid w:val="39AF7098"/>
    <w:rsid w:val="39DF4A9D"/>
    <w:rsid w:val="39E4143F"/>
    <w:rsid w:val="3A977B99"/>
    <w:rsid w:val="3A9C0161"/>
    <w:rsid w:val="3ABE6A92"/>
    <w:rsid w:val="3ABF55C9"/>
    <w:rsid w:val="3AE34D65"/>
    <w:rsid w:val="3B07350D"/>
    <w:rsid w:val="3B146949"/>
    <w:rsid w:val="3B494567"/>
    <w:rsid w:val="3B786E57"/>
    <w:rsid w:val="3BF74D73"/>
    <w:rsid w:val="3BFD67AE"/>
    <w:rsid w:val="3C1956B5"/>
    <w:rsid w:val="3C470F01"/>
    <w:rsid w:val="3C7E4D09"/>
    <w:rsid w:val="3C990195"/>
    <w:rsid w:val="3CB1039E"/>
    <w:rsid w:val="3CBC08FD"/>
    <w:rsid w:val="3CBE7ACF"/>
    <w:rsid w:val="3CE55188"/>
    <w:rsid w:val="3D005425"/>
    <w:rsid w:val="3D127F47"/>
    <w:rsid w:val="3D2B5CCA"/>
    <w:rsid w:val="3D346109"/>
    <w:rsid w:val="3D3E7892"/>
    <w:rsid w:val="3D5E514C"/>
    <w:rsid w:val="3D6A0C7C"/>
    <w:rsid w:val="3D6D7A89"/>
    <w:rsid w:val="3D9E4EC8"/>
    <w:rsid w:val="3D9E6899"/>
    <w:rsid w:val="3DA84DBE"/>
    <w:rsid w:val="3DF937E3"/>
    <w:rsid w:val="3E01667C"/>
    <w:rsid w:val="3E314507"/>
    <w:rsid w:val="3E7734E0"/>
    <w:rsid w:val="3E951A15"/>
    <w:rsid w:val="3EAD2E3C"/>
    <w:rsid w:val="3FCB2DAF"/>
    <w:rsid w:val="405A4613"/>
    <w:rsid w:val="4060397D"/>
    <w:rsid w:val="406552EC"/>
    <w:rsid w:val="40B30B18"/>
    <w:rsid w:val="40CF23D7"/>
    <w:rsid w:val="411063A8"/>
    <w:rsid w:val="411C37B1"/>
    <w:rsid w:val="41226AE7"/>
    <w:rsid w:val="413309DD"/>
    <w:rsid w:val="418D1537"/>
    <w:rsid w:val="41BE0FAC"/>
    <w:rsid w:val="41D32337"/>
    <w:rsid w:val="41FF0A67"/>
    <w:rsid w:val="42064FC2"/>
    <w:rsid w:val="42141E62"/>
    <w:rsid w:val="425A6597"/>
    <w:rsid w:val="426452A3"/>
    <w:rsid w:val="426876C0"/>
    <w:rsid w:val="42DD0C8B"/>
    <w:rsid w:val="43146368"/>
    <w:rsid w:val="431F2EC4"/>
    <w:rsid w:val="435C38A7"/>
    <w:rsid w:val="437C436D"/>
    <w:rsid w:val="43A04A1F"/>
    <w:rsid w:val="43AE495E"/>
    <w:rsid w:val="44514183"/>
    <w:rsid w:val="44550E45"/>
    <w:rsid w:val="4489684F"/>
    <w:rsid w:val="44CB58A8"/>
    <w:rsid w:val="44DF7562"/>
    <w:rsid w:val="44F20DDE"/>
    <w:rsid w:val="45235D66"/>
    <w:rsid w:val="452D7DE1"/>
    <w:rsid w:val="454669E0"/>
    <w:rsid w:val="454D291D"/>
    <w:rsid w:val="4565162D"/>
    <w:rsid w:val="4566369E"/>
    <w:rsid w:val="45735417"/>
    <w:rsid w:val="45B9610A"/>
    <w:rsid w:val="45D93101"/>
    <w:rsid w:val="4682613E"/>
    <w:rsid w:val="46923296"/>
    <w:rsid w:val="469E06AA"/>
    <w:rsid w:val="46A35290"/>
    <w:rsid w:val="46B20870"/>
    <w:rsid w:val="46DA44EE"/>
    <w:rsid w:val="471E0024"/>
    <w:rsid w:val="475C6F0F"/>
    <w:rsid w:val="476129A2"/>
    <w:rsid w:val="47667450"/>
    <w:rsid w:val="478550DE"/>
    <w:rsid w:val="479D11C6"/>
    <w:rsid w:val="47E81371"/>
    <w:rsid w:val="4811786E"/>
    <w:rsid w:val="482E0744"/>
    <w:rsid w:val="484F1B92"/>
    <w:rsid w:val="48832BE0"/>
    <w:rsid w:val="488F6C58"/>
    <w:rsid w:val="48A84BA3"/>
    <w:rsid w:val="48F514A5"/>
    <w:rsid w:val="4955273D"/>
    <w:rsid w:val="496D1BA9"/>
    <w:rsid w:val="49B22896"/>
    <w:rsid w:val="49D11EAC"/>
    <w:rsid w:val="49E73E7F"/>
    <w:rsid w:val="49F61ACB"/>
    <w:rsid w:val="49FA28DF"/>
    <w:rsid w:val="4A4675C3"/>
    <w:rsid w:val="4A4C5208"/>
    <w:rsid w:val="4A6B27E6"/>
    <w:rsid w:val="4A8927A6"/>
    <w:rsid w:val="4AC036E8"/>
    <w:rsid w:val="4AC760EA"/>
    <w:rsid w:val="4AD8632C"/>
    <w:rsid w:val="4B2C243B"/>
    <w:rsid w:val="4B3B30DB"/>
    <w:rsid w:val="4B421DA5"/>
    <w:rsid w:val="4B4A5785"/>
    <w:rsid w:val="4B790CA2"/>
    <w:rsid w:val="4B98430C"/>
    <w:rsid w:val="4BA74373"/>
    <w:rsid w:val="4BC64573"/>
    <w:rsid w:val="4C16799F"/>
    <w:rsid w:val="4C2D3A30"/>
    <w:rsid w:val="4C3D16B1"/>
    <w:rsid w:val="4C4D6F48"/>
    <w:rsid w:val="4C7C7EDB"/>
    <w:rsid w:val="4C830346"/>
    <w:rsid w:val="4CA1354D"/>
    <w:rsid w:val="4CB64798"/>
    <w:rsid w:val="4CB856C4"/>
    <w:rsid w:val="4CF91CC3"/>
    <w:rsid w:val="4D105E11"/>
    <w:rsid w:val="4D1B533C"/>
    <w:rsid w:val="4D3337E2"/>
    <w:rsid w:val="4D3B0F38"/>
    <w:rsid w:val="4D5072F2"/>
    <w:rsid w:val="4D5221E6"/>
    <w:rsid w:val="4D640BC1"/>
    <w:rsid w:val="4D810EB4"/>
    <w:rsid w:val="4DFA07BB"/>
    <w:rsid w:val="4E166581"/>
    <w:rsid w:val="4E427551"/>
    <w:rsid w:val="4E6E3A66"/>
    <w:rsid w:val="4E7061A0"/>
    <w:rsid w:val="4EB03827"/>
    <w:rsid w:val="4ED1200E"/>
    <w:rsid w:val="4F041DE6"/>
    <w:rsid w:val="4F5502A8"/>
    <w:rsid w:val="4F9E292E"/>
    <w:rsid w:val="4FA727D4"/>
    <w:rsid w:val="500018BC"/>
    <w:rsid w:val="5070796C"/>
    <w:rsid w:val="50C64E79"/>
    <w:rsid w:val="513C1731"/>
    <w:rsid w:val="515A0FD2"/>
    <w:rsid w:val="51660888"/>
    <w:rsid w:val="516F6A13"/>
    <w:rsid w:val="51A83299"/>
    <w:rsid w:val="52036385"/>
    <w:rsid w:val="521C656E"/>
    <w:rsid w:val="5227238D"/>
    <w:rsid w:val="523C2BCA"/>
    <w:rsid w:val="52432C25"/>
    <w:rsid w:val="53590226"/>
    <w:rsid w:val="537930FC"/>
    <w:rsid w:val="538806C3"/>
    <w:rsid w:val="53A1743D"/>
    <w:rsid w:val="53AC6653"/>
    <w:rsid w:val="53FC1B2F"/>
    <w:rsid w:val="54097D48"/>
    <w:rsid w:val="54764ED6"/>
    <w:rsid w:val="548A09C2"/>
    <w:rsid w:val="54BC231C"/>
    <w:rsid w:val="54E3424B"/>
    <w:rsid w:val="54F56B06"/>
    <w:rsid w:val="552D6CE0"/>
    <w:rsid w:val="55432854"/>
    <w:rsid w:val="554967A4"/>
    <w:rsid w:val="55ED5354"/>
    <w:rsid w:val="560D43CB"/>
    <w:rsid w:val="56795584"/>
    <w:rsid w:val="571563F0"/>
    <w:rsid w:val="57453F8B"/>
    <w:rsid w:val="575C65CB"/>
    <w:rsid w:val="577C77EE"/>
    <w:rsid w:val="57B27CEE"/>
    <w:rsid w:val="57FB21B7"/>
    <w:rsid w:val="57FB4603"/>
    <w:rsid w:val="58444534"/>
    <w:rsid w:val="584A7943"/>
    <w:rsid w:val="58767185"/>
    <w:rsid w:val="58975A79"/>
    <w:rsid w:val="58F06C5F"/>
    <w:rsid w:val="58F8777F"/>
    <w:rsid w:val="594B6385"/>
    <w:rsid w:val="59606E1A"/>
    <w:rsid w:val="59610F3C"/>
    <w:rsid w:val="59625723"/>
    <w:rsid w:val="596F3F43"/>
    <w:rsid w:val="597715CC"/>
    <w:rsid w:val="59A87812"/>
    <w:rsid w:val="59EC4579"/>
    <w:rsid w:val="5A1C3AC5"/>
    <w:rsid w:val="5A1F298D"/>
    <w:rsid w:val="5A273430"/>
    <w:rsid w:val="5A8B6567"/>
    <w:rsid w:val="5A8B7537"/>
    <w:rsid w:val="5A8D599C"/>
    <w:rsid w:val="5A9304C2"/>
    <w:rsid w:val="5A9A2912"/>
    <w:rsid w:val="5AD602D0"/>
    <w:rsid w:val="5AE96331"/>
    <w:rsid w:val="5AFB0056"/>
    <w:rsid w:val="5B264E92"/>
    <w:rsid w:val="5B3034C8"/>
    <w:rsid w:val="5B6B1EF9"/>
    <w:rsid w:val="5B7148DE"/>
    <w:rsid w:val="5B8C73EB"/>
    <w:rsid w:val="5B9577A4"/>
    <w:rsid w:val="5BB82F9C"/>
    <w:rsid w:val="5BFF5C30"/>
    <w:rsid w:val="5C0D7E00"/>
    <w:rsid w:val="5C2E5C4B"/>
    <w:rsid w:val="5CAE3391"/>
    <w:rsid w:val="5CF24C0B"/>
    <w:rsid w:val="5D0E6E6F"/>
    <w:rsid w:val="5D27015D"/>
    <w:rsid w:val="5D36061C"/>
    <w:rsid w:val="5D57070C"/>
    <w:rsid w:val="5D613219"/>
    <w:rsid w:val="5D62278B"/>
    <w:rsid w:val="5DD32BF7"/>
    <w:rsid w:val="5E3A7745"/>
    <w:rsid w:val="5E4D2736"/>
    <w:rsid w:val="5E7A5CD0"/>
    <w:rsid w:val="5E93378D"/>
    <w:rsid w:val="5EB80508"/>
    <w:rsid w:val="5ED60B1C"/>
    <w:rsid w:val="5EDE4267"/>
    <w:rsid w:val="5EE33737"/>
    <w:rsid w:val="5F4573FB"/>
    <w:rsid w:val="5F5435B3"/>
    <w:rsid w:val="5F5E65E2"/>
    <w:rsid w:val="5F6F353F"/>
    <w:rsid w:val="5FBA1C7F"/>
    <w:rsid w:val="60006884"/>
    <w:rsid w:val="602A7314"/>
    <w:rsid w:val="604371E9"/>
    <w:rsid w:val="607853FD"/>
    <w:rsid w:val="608B0080"/>
    <w:rsid w:val="608E2C7F"/>
    <w:rsid w:val="60ED2175"/>
    <w:rsid w:val="612F7066"/>
    <w:rsid w:val="61410811"/>
    <w:rsid w:val="615A2F22"/>
    <w:rsid w:val="619E7B58"/>
    <w:rsid w:val="61C2304A"/>
    <w:rsid w:val="61DA389B"/>
    <w:rsid w:val="61F01D56"/>
    <w:rsid w:val="61F53F91"/>
    <w:rsid w:val="62017CD5"/>
    <w:rsid w:val="62082F3C"/>
    <w:rsid w:val="622938A5"/>
    <w:rsid w:val="62557A45"/>
    <w:rsid w:val="6269266B"/>
    <w:rsid w:val="627A5E9C"/>
    <w:rsid w:val="62985900"/>
    <w:rsid w:val="629F4D22"/>
    <w:rsid w:val="62D4771E"/>
    <w:rsid w:val="62D65FCB"/>
    <w:rsid w:val="62DE6B35"/>
    <w:rsid w:val="62F04250"/>
    <w:rsid w:val="63836D2F"/>
    <w:rsid w:val="63AC176D"/>
    <w:rsid w:val="63C9592A"/>
    <w:rsid w:val="63DF6B1A"/>
    <w:rsid w:val="63E7123E"/>
    <w:rsid w:val="63E765FC"/>
    <w:rsid w:val="63F2701D"/>
    <w:rsid w:val="63F9292C"/>
    <w:rsid w:val="63FE13E9"/>
    <w:rsid w:val="64484D7D"/>
    <w:rsid w:val="644C495D"/>
    <w:rsid w:val="64530827"/>
    <w:rsid w:val="645A795A"/>
    <w:rsid w:val="647158EB"/>
    <w:rsid w:val="64986E00"/>
    <w:rsid w:val="64B45608"/>
    <w:rsid w:val="65203492"/>
    <w:rsid w:val="6547121B"/>
    <w:rsid w:val="65A51726"/>
    <w:rsid w:val="65AD5D5E"/>
    <w:rsid w:val="65BC21E0"/>
    <w:rsid w:val="65CB1C97"/>
    <w:rsid w:val="65CB39C1"/>
    <w:rsid w:val="66032C5F"/>
    <w:rsid w:val="661D72F9"/>
    <w:rsid w:val="664647F4"/>
    <w:rsid w:val="66C82224"/>
    <w:rsid w:val="66DB5EC0"/>
    <w:rsid w:val="66EE6C6C"/>
    <w:rsid w:val="66FE7E4A"/>
    <w:rsid w:val="670E33AA"/>
    <w:rsid w:val="678069F0"/>
    <w:rsid w:val="678B64F1"/>
    <w:rsid w:val="67F307F2"/>
    <w:rsid w:val="6836320A"/>
    <w:rsid w:val="68C46AF0"/>
    <w:rsid w:val="68D87BAD"/>
    <w:rsid w:val="69403BFF"/>
    <w:rsid w:val="69404428"/>
    <w:rsid w:val="697D3697"/>
    <w:rsid w:val="69B13919"/>
    <w:rsid w:val="6A185A1C"/>
    <w:rsid w:val="6A5316ED"/>
    <w:rsid w:val="6AA87672"/>
    <w:rsid w:val="6AF723A7"/>
    <w:rsid w:val="6B17097C"/>
    <w:rsid w:val="6B7A68DE"/>
    <w:rsid w:val="6BA914A8"/>
    <w:rsid w:val="6BA92274"/>
    <w:rsid w:val="6BC95AC0"/>
    <w:rsid w:val="6BDE1078"/>
    <w:rsid w:val="6C97799E"/>
    <w:rsid w:val="6CA11693"/>
    <w:rsid w:val="6CA6202F"/>
    <w:rsid w:val="6CAC1493"/>
    <w:rsid w:val="6CD7380D"/>
    <w:rsid w:val="6D201119"/>
    <w:rsid w:val="6D4C7925"/>
    <w:rsid w:val="6D5A6403"/>
    <w:rsid w:val="6D5C06AE"/>
    <w:rsid w:val="6D67668E"/>
    <w:rsid w:val="6DED03D4"/>
    <w:rsid w:val="6E0A5936"/>
    <w:rsid w:val="6E3E3780"/>
    <w:rsid w:val="6E7810B2"/>
    <w:rsid w:val="6ECB6F9F"/>
    <w:rsid w:val="6ED9295C"/>
    <w:rsid w:val="6EE92007"/>
    <w:rsid w:val="6EF750C9"/>
    <w:rsid w:val="6EFC5E74"/>
    <w:rsid w:val="6F252AAD"/>
    <w:rsid w:val="6F64527E"/>
    <w:rsid w:val="6FA47EE8"/>
    <w:rsid w:val="6FA973ED"/>
    <w:rsid w:val="6FBB387F"/>
    <w:rsid w:val="6FE938A9"/>
    <w:rsid w:val="705F3231"/>
    <w:rsid w:val="70607A2D"/>
    <w:rsid w:val="70650505"/>
    <w:rsid w:val="70651D96"/>
    <w:rsid w:val="707304F0"/>
    <w:rsid w:val="70807521"/>
    <w:rsid w:val="70894278"/>
    <w:rsid w:val="70B84AFB"/>
    <w:rsid w:val="70BE7F18"/>
    <w:rsid w:val="70DA6087"/>
    <w:rsid w:val="70FB6F0F"/>
    <w:rsid w:val="7121131A"/>
    <w:rsid w:val="714B7C09"/>
    <w:rsid w:val="718212CE"/>
    <w:rsid w:val="718E1C5D"/>
    <w:rsid w:val="718F575C"/>
    <w:rsid w:val="719D5C47"/>
    <w:rsid w:val="71B932EC"/>
    <w:rsid w:val="71D528FA"/>
    <w:rsid w:val="71F66F14"/>
    <w:rsid w:val="723A6993"/>
    <w:rsid w:val="72A7693A"/>
    <w:rsid w:val="72B9172D"/>
    <w:rsid w:val="72D12DD4"/>
    <w:rsid w:val="72DD58FD"/>
    <w:rsid w:val="733013C5"/>
    <w:rsid w:val="734C0DB6"/>
    <w:rsid w:val="735E6A2E"/>
    <w:rsid w:val="737F6027"/>
    <w:rsid w:val="738E3E5B"/>
    <w:rsid w:val="741B476E"/>
    <w:rsid w:val="74593A1A"/>
    <w:rsid w:val="747B1953"/>
    <w:rsid w:val="74C268A7"/>
    <w:rsid w:val="74E035BA"/>
    <w:rsid w:val="751C5464"/>
    <w:rsid w:val="7575450C"/>
    <w:rsid w:val="757A1BBB"/>
    <w:rsid w:val="75914E8A"/>
    <w:rsid w:val="75AF6610"/>
    <w:rsid w:val="75CF0D1C"/>
    <w:rsid w:val="75D5241C"/>
    <w:rsid w:val="76000750"/>
    <w:rsid w:val="76020C18"/>
    <w:rsid w:val="76262768"/>
    <w:rsid w:val="762A1EF8"/>
    <w:rsid w:val="765A64C3"/>
    <w:rsid w:val="769D790F"/>
    <w:rsid w:val="76B03266"/>
    <w:rsid w:val="76C95286"/>
    <w:rsid w:val="76F74738"/>
    <w:rsid w:val="77143AEB"/>
    <w:rsid w:val="77232D4C"/>
    <w:rsid w:val="773A3F7D"/>
    <w:rsid w:val="774921A7"/>
    <w:rsid w:val="77495D38"/>
    <w:rsid w:val="77937168"/>
    <w:rsid w:val="77A965A9"/>
    <w:rsid w:val="77FD4F1F"/>
    <w:rsid w:val="78356E3D"/>
    <w:rsid w:val="783A38D3"/>
    <w:rsid w:val="78484D9F"/>
    <w:rsid w:val="786848E4"/>
    <w:rsid w:val="78812137"/>
    <w:rsid w:val="78B1091B"/>
    <w:rsid w:val="78B61821"/>
    <w:rsid w:val="78B7156B"/>
    <w:rsid w:val="78CD5BE3"/>
    <w:rsid w:val="78F63C9E"/>
    <w:rsid w:val="793643CF"/>
    <w:rsid w:val="79376BFA"/>
    <w:rsid w:val="79554E68"/>
    <w:rsid w:val="79571192"/>
    <w:rsid w:val="795B5254"/>
    <w:rsid w:val="79720631"/>
    <w:rsid w:val="799D054B"/>
    <w:rsid w:val="79A25A09"/>
    <w:rsid w:val="79EA1711"/>
    <w:rsid w:val="79EB12BD"/>
    <w:rsid w:val="7A3C0679"/>
    <w:rsid w:val="7A8F6F22"/>
    <w:rsid w:val="7AAC6D0A"/>
    <w:rsid w:val="7ACD41A8"/>
    <w:rsid w:val="7AD674D4"/>
    <w:rsid w:val="7AD735DD"/>
    <w:rsid w:val="7ADB2D19"/>
    <w:rsid w:val="7AEC5358"/>
    <w:rsid w:val="7AEF0BC9"/>
    <w:rsid w:val="7B6356FB"/>
    <w:rsid w:val="7B6F0238"/>
    <w:rsid w:val="7B7A34C4"/>
    <w:rsid w:val="7BE90D12"/>
    <w:rsid w:val="7BFD268B"/>
    <w:rsid w:val="7C1430A5"/>
    <w:rsid w:val="7C5D7A84"/>
    <w:rsid w:val="7C985069"/>
    <w:rsid w:val="7CA0464C"/>
    <w:rsid w:val="7D010CB5"/>
    <w:rsid w:val="7D2A2F98"/>
    <w:rsid w:val="7D31799A"/>
    <w:rsid w:val="7D3E4628"/>
    <w:rsid w:val="7D5B7A91"/>
    <w:rsid w:val="7DA92B63"/>
    <w:rsid w:val="7DAE4DB7"/>
    <w:rsid w:val="7DBA3708"/>
    <w:rsid w:val="7DCF4714"/>
    <w:rsid w:val="7DD63A33"/>
    <w:rsid w:val="7DD91E91"/>
    <w:rsid w:val="7DDE6F1F"/>
    <w:rsid w:val="7DF05927"/>
    <w:rsid w:val="7E094473"/>
    <w:rsid w:val="7E2801E5"/>
    <w:rsid w:val="7E3C152F"/>
    <w:rsid w:val="7E436780"/>
    <w:rsid w:val="7E4A4E5F"/>
    <w:rsid w:val="7E935395"/>
    <w:rsid w:val="7EB51F05"/>
    <w:rsid w:val="7EC124FC"/>
    <w:rsid w:val="7EFD1A72"/>
    <w:rsid w:val="7F571DBD"/>
    <w:rsid w:val="7F6244B6"/>
    <w:rsid w:val="7FB1091F"/>
    <w:rsid w:val="7FE82B2E"/>
    <w:rsid w:val="7FF80366"/>
    <w:rsid w:val="EEFE3B73"/>
    <w:rsid w:val="EF9D2E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65"/>
    <w:qFormat/>
    <w:uiPriority w:val="9"/>
    <w:pPr>
      <w:keepNext/>
      <w:keepLines/>
      <w:ind w:firstLine="0" w:firstLineChars="0"/>
      <w:jc w:val="center"/>
      <w:outlineLvl w:val="0"/>
    </w:pPr>
    <w:rPr>
      <w:b/>
      <w:bCs/>
      <w:kern w:val="44"/>
      <w:sz w:val="24"/>
      <w:szCs w:val="44"/>
    </w:rPr>
  </w:style>
  <w:style w:type="paragraph" w:styleId="3">
    <w:name w:val="heading 2"/>
    <w:basedOn w:val="2"/>
    <w:next w:val="1"/>
    <w:link w:val="152"/>
    <w:qFormat/>
    <w:uiPriority w:val="9"/>
    <w:pPr>
      <w:adjustRightInd w:val="0"/>
      <w:snapToGrid w:val="0"/>
      <w:textAlignment w:val="baseline"/>
      <w:outlineLvl w:val="1"/>
    </w:pPr>
    <w:rPr>
      <w:rFonts w:ascii="仿宋_GB2312" w:hAnsi="仿宋_GB2312"/>
      <w:kern w:val="0"/>
      <w:szCs w:val="20"/>
    </w:rPr>
  </w:style>
  <w:style w:type="paragraph" w:styleId="4">
    <w:name w:val="heading 3"/>
    <w:basedOn w:val="1"/>
    <w:next w:val="5"/>
    <w:link w:val="67"/>
    <w:qFormat/>
    <w:uiPriority w:val="0"/>
    <w:pPr>
      <w:keepNext/>
      <w:keepLines/>
      <w:ind w:firstLine="602"/>
      <w:outlineLvl w:val="2"/>
    </w:pPr>
    <w:rPr>
      <w:rFonts w:ascii="仿宋_GB2312" w:hAnsi="仿宋_GB2312"/>
      <w:bCs/>
      <w:szCs w:val="20"/>
    </w:rPr>
  </w:style>
  <w:style w:type="paragraph" w:styleId="6">
    <w:name w:val="heading 4"/>
    <w:basedOn w:val="1"/>
    <w:next w:val="1"/>
    <w:link w:val="66"/>
    <w:qFormat/>
    <w:uiPriority w:val="0"/>
    <w:pPr>
      <w:keepNext/>
      <w:keepLines/>
      <w:outlineLvl w:val="3"/>
    </w:pPr>
    <w:rPr>
      <w:rFonts w:ascii="等线 Light" w:hAnsi="等线 Light"/>
      <w:b/>
      <w:bCs/>
      <w:szCs w:val="28"/>
    </w:rPr>
  </w:style>
  <w:style w:type="paragraph" w:styleId="7">
    <w:name w:val="heading 5"/>
    <w:basedOn w:val="1"/>
    <w:next w:val="1"/>
    <w:link w:val="148"/>
    <w:qFormat/>
    <w:uiPriority w:val="0"/>
    <w:pPr>
      <w:keepNext/>
      <w:keepLines/>
      <w:outlineLvl w:val="4"/>
    </w:pPr>
    <w:rPr>
      <w:b/>
      <w:bCs/>
      <w:szCs w:val="28"/>
    </w:rPr>
  </w:style>
  <w:style w:type="paragraph" w:styleId="8">
    <w:name w:val="heading 6"/>
    <w:basedOn w:val="1"/>
    <w:next w:val="1"/>
    <w:link w:val="149"/>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15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5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6">
    <w:name w:val="Default Paragraph Font"/>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
    <w:qFormat/>
    <w:uiPriority w:val="0"/>
    <w:pPr>
      <w:ind w:firstLine="420"/>
    </w:pPr>
    <w:rPr>
      <w:szCs w:val="20"/>
    </w:rPr>
  </w:style>
  <w:style w:type="paragraph" w:styleId="12">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5">
    <w:name w:val="Document Map"/>
    <w:basedOn w:val="1"/>
    <w:link w:val="217"/>
    <w:semiHidden/>
    <w:qFormat/>
    <w:uiPriority w:val="0"/>
    <w:pPr>
      <w:shd w:val="clear" w:color="auto" w:fill="000080"/>
    </w:pPr>
  </w:style>
  <w:style w:type="paragraph" w:styleId="16">
    <w:name w:val="annotation text"/>
    <w:basedOn w:val="1"/>
    <w:link w:val="73"/>
    <w:qFormat/>
    <w:uiPriority w:val="0"/>
  </w:style>
  <w:style w:type="paragraph" w:styleId="17">
    <w:name w:val="Body Text 3"/>
    <w:basedOn w:val="1"/>
    <w:link w:val="74"/>
    <w:qFormat/>
    <w:uiPriority w:val="0"/>
    <w:pPr>
      <w:spacing w:after="120"/>
    </w:pPr>
    <w:rPr>
      <w:sz w:val="16"/>
      <w:szCs w:val="16"/>
    </w:rPr>
  </w:style>
  <w:style w:type="paragraph" w:styleId="18">
    <w:name w:val="Body Text"/>
    <w:basedOn w:val="1"/>
    <w:next w:val="19"/>
    <w:link w:val="70"/>
    <w:qFormat/>
    <w:uiPriority w:val="0"/>
    <w:pPr>
      <w:spacing w:after="120"/>
    </w:pPr>
  </w:style>
  <w:style w:type="paragraph" w:styleId="19">
    <w:name w:val="Body Text First Indent"/>
    <w:basedOn w:val="18"/>
    <w:link w:val="215"/>
    <w:qFormat/>
    <w:uiPriority w:val="0"/>
    <w:pPr>
      <w:ind w:firstLine="200"/>
    </w:pPr>
    <w:rPr>
      <w:rFonts w:asciiTheme="minorHAnsi" w:hAnsiTheme="minorHAnsi" w:eastAsiaTheme="minorEastAsia" w:cstheme="minorBidi"/>
      <w:bCs/>
      <w:sz w:val="24"/>
    </w:rPr>
  </w:style>
  <w:style w:type="paragraph" w:styleId="20">
    <w:name w:val="Body Text Indent"/>
    <w:basedOn w:val="1"/>
    <w:link w:val="75"/>
    <w:qFormat/>
    <w:uiPriority w:val="99"/>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566" w:hanging="283"/>
      <w:contextualSpacing/>
    </w:pPr>
  </w:style>
  <w:style w:type="paragraph" w:styleId="23">
    <w:name w:val="Block Text"/>
    <w:basedOn w:val="1"/>
    <w:qFormat/>
    <w:uiPriority w:val="0"/>
    <w:pPr>
      <w:spacing w:before="120"/>
      <w:ind w:left="824" w:right="202" w:firstLine="0" w:firstLineChars="0"/>
      <w:jc w:val="both"/>
    </w:pPr>
    <w:rPr>
      <w:rFonts w:ascii="宋体" w:eastAsia="宋体"/>
      <w:sz w:val="24"/>
      <w:szCs w:val="21"/>
    </w:rPr>
  </w:style>
  <w:style w:type="paragraph" w:styleId="24">
    <w:name w:val="List Bullet 2"/>
    <w:basedOn w:val="1"/>
    <w:qFormat/>
    <w:uiPriority w:val="0"/>
    <w:pPr>
      <w:tabs>
        <w:tab w:val="left" w:pos="360"/>
        <w:tab w:val="left" w:pos="1191"/>
      </w:tabs>
      <w:snapToGrid w:val="0"/>
      <w:ind w:left="482" w:hanging="482" w:hangingChars="200"/>
    </w:pPr>
    <w:rPr>
      <w:b/>
      <w:bCs/>
      <w:sz w:val="24"/>
      <w:szCs w:val="32"/>
    </w:rPr>
  </w:style>
  <w:style w:type="paragraph" w:styleId="25">
    <w:name w:val="index 4"/>
    <w:basedOn w:val="1"/>
    <w:next w:val="1"/>
    <w:qFormat/>
    <w:uiPriority w:val="0"/>
    <w:pPr>
      <w:ind w:left="600" w:leftChars="600"/>
    </w:pPr>
  </w:style>
  <w:style w:type="paragraph" w:styleId="26">
    <w:name w:val="toc 5"/>
    <w:basedOn w:val="1"/>
    <w:next w:val="1"/>
    <w:semiHidden/>
    <w:qFormat/>
    <w:uiPriority w:val="0"/>
    <w:pPr>
      <w:spacing w:afterLines="50"/>
      <w:ind w:left="840"/>
    </w:pPr>
    <w:rPr>
      <w:snapToGrid w:val="0"/>
      <w:kern w:val="0"/>
      <w:sz w:val="18"/>
      <w:szCs w:val="18"/>
    </w:rPr>
  </w:style>
  <w:style w:type="paragraph" w:styleId="27">
    <w:name w:val="toc 3"/>
    <w:basedOn w:val="1"/>
    <w:next w:val="1"/>
    <w:qFormat/>
    <w:uiPriority w:val="39"/>
    <w:pPr>
      <w:tabs>
        <w:tab w:val="right" w:leader="dot" w:pos="8296"/>
      </w:tabs>
    </w:pPr>
    <w:rPr>
      <w:b/>
      <w:bCs/>
      <w:iCs/>
    </w:rPr>
  </w:style>
  <w:style w:type="paragraph" w:styleId="28">
    <w:name w:val="Plain Text"/>
    <w:basedOn w:val="1"/>
    <w:link w:val="78"/>
    <w:qFormat/>
    <w:uiPriority w:val="99"/>
    <w:pPr>
      <w:snapToGrid w:val="0"/>
      <w:spacing w:after="120" w:line="460" w:lineRule="exact"/>
      <w:ind w:firstLine="424" w:firstLineChars="202"/>
      <w:outlineLvl w:val="0"/>
    </w:pPr>
    <w:rPr>
      <w:rFonts w:ascii="微软雅黑" w:hAnsi="微软雅黑" w:cs="宋体"/>
      <w:szCs w:val="21"/>
    </w:rPr>
  </w:style>
  <w:style w:type="paragraph" w:styleId="29">
    <w:name w:val="toc 8"/>
    <w:basedOn w:val="1"/>
    <w:next w:val="1"/>
    <w:semiHidden/>
    <w:qFormat/>
    <w:uiPriority w:val="0"/>
    <w:pPr>
      <w:spacing w:afterLines="50"/>
      <w:ind w:left="1470"/>
    </w:pPr>
    <w:rPr>
      <w:snapToGrid w:val="0"/>
      <w:kern w:val="0"/>
      <w:sz w:val="18"/>
      <w:szCs w:val="18"/>
    </w:rPr>
  </w:style>
  <w:style w:type="paragraph" w:styleId="30">
    <w:name w:val="Date"/>
    <w:basedOn w:val="1"/>
    <w:next w:val="1"/>
    <w:link w:val="80"/>
    <w:qFormat/>
    <w:uiPriority w:val="0"/>
    <w:pPr>
      <w:ind w:left="2500" w:leftChars="2500"/>
    </w:pPr>
    <w:rPr>
      <w:rFonts w:eastAsia="楷体_GB2312"/>
      <w:sz w:val="32"/>
      <w:szCs w:val="20"/>
    </w:rPr>
  </w:style>
  <w:style w:type="paragraph" w:styleId="31">
    <w:name w:val="Body Text Indent 2"/>
    <w:basedOn w:val="1"/>
    <w:link w:val="81"/>
    <w:qFormat/>
    <w:uiPriority w:val="0"/>
    <w:pPr>
      <w:snapToGrid w:val="0"/>
      <w:ind w:firstLine="542" w:firstLineChars="225"/>
    </w:pPr>
    <w:rPr>
      <w:rFonts w:ascii="仿宋_GB2312" w:hAnsi="宋体"/>
      <w:b/>
      <w:bCs/>
      <w:color w:val="000000"/>
      <w:sz w:val="24"/>
    </w:rPr>
  </w:style>
  <w:style w:type="paragraph" w:styleId="32">
    <w:name w:val="endnote text"/>
    <w:basedOn w:val="1"/>
    <w:link w:val="183"/>
    <w:semiHidden/>
    <w:qFormat/>
    <w:uiPriority w:val="0"/>
    <w:pPr>
      <w:snapToGrid w:val="0"/>
      <w:spacing w:afterLines="50"/>
    </w:pPr>
    <w:rPr>
      <w:rFonts w:ascii="宋体"/>
      <w:snapToGrid w:val="0"/>
      <w:kern w:val="0"/>
      <w:szCs w:val="20"/>
    </w:rPr>
  </w:style>
  <w:style w:type="paragraph" w:styleId="33">
    <w:name w:val="Balloon Text"/>
    <w:basedOn w:val="1"/>
    <w:link w:val="82"/>
    <w:qFormat/>
    <w:uiPriority w:val="0"/>
    <w:rPr>
      <w:sz w:val="18"/>
      <w:szCs w:val="18"/>
    </w:rPr>
  </w:style>
  <w:style w:type="paragraph" w:styleId="34">
    <w:name w:val="footer"/>
    <w:basedOn w:val="1"/>
    <w:link w:val="83"/>
    <w:qFormat/>
    <w:uiPriority w:val="0"/>
    <w:pPr>
      <w:tabs>
        <w:tab w:val="center" w:pos="4153"/>
        <w:tab w:val="right" w:pos="8306"/>
      </w:tabs>
      <w:snapToGrid w:val="0"/>
    </w:pPr>
    <w:rPr>
      <w:sz w:val="18"/>
      <w:szCs w:val="18"/>
    </w:rPr>
  </w:style>
  <w:style w:type="paragraph" w:styleId="35">
    <w:name w:val="header"/>
    <w:basedOn w:val="1"/>
    <w:link w:val="84"/>
    <w:qFormat/>
    <w:uiPriority w:val="99"/>
    <w:pPr>
      <w:pBdr>
        <w:bottom w:val="single" w:color="auto" w:sz="6" w:space="1"/>
      </w:pBdr>
      <w:tabs>
        <w:tab w:val="center" w:pos="4153"/>
        <w:tab w:val="right" w:pos="8306"/>
      </w:tabs>
      <w:snapToGrid w:val="0"/>
      <w:ind w:firstLine="360"/>
      <w:jc w:val="right"/>
    </w:pPr>
    <w:rPr>
      <w:sz w:val="18"/>
      <w:szCs w:val="18"/>
    </w:rPr>
  </w:style>
  <w:style w:type="paragraph" w:styleId="36">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7">
    <w:name w:val="toc 4"/>
    <w:basedOn w:val="1"/>
    <w:next w:val="1"/>
    <w:semiHidden/>
    <w:qFormat/>
    <w:uiPriority w:val="0"/>
    <w:pPr>
      <w:ind w:left="629"/>
    </w:pPr>
    <w:rPr>
      <w:snapToGrid w:val="0"/>
      <w:kern w:val="0"/>
      <w:szCs w:val="18"/>
    </w:rPr>
  </w:style>
  <w:style w:type="paragraph" w:styleId="38">
    <w:name w:val="Subtitle"/>
    <w:basedOn w:val="1"/>
    <w:next w:val="1"/>
    <w:link w:val="87"/>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83" w:hanging="283"/>
      <w:contextualSpacing/>
    </w:pPr>
  </w:style>
  <w:style w:type="paragraph" w:styleId="40">
    <w:name w:val="footnote text"/>
    <w:basedOn w:val="1"/>
    <w:link w:val="88"/>
    <w:unhideWhenUsed/>
    <w:qFormat/>
    <w:uiPriority w:val="99"/>
    <w:pPr>
      <w:snapToGrid w:val="0"/>
    </w:pPr>
    <w:rPr>
      <w:rFonts w:ascii="Calibri" w:hAnsi="Calibri"/>
      <w:sz w:val="18"/>
    </w:rPr>
  </w:style>
  <w:style w:type="paragraph" w:styleId="41">
    <w:name w:val="toc 6"/>
    <w:basedOn w:val="1"/>
    <w:next w:val="1"/>
    <w:semiHidden/>
    <w:unhideWhenUsed/>
    <w:qFormat/>
    <w:uiPriority w:val="39"/>
    <w:pPr>
      <w:ind w:left="2100" w:leftChars="1000"/>
    </w:pPr>
  </w:style>
  <w:style w:type="paragraph" w:styleId="42">
    <w:name w:val="Body Text Indent 3"/>
    <w:basedOn w:val="1"/>
    <w:link w:val="90"/>
    <w:qFormat/>
    <w:uiPriority w:val="0"/>
    <w:pPr>
      <w:snapToGrid w:val="0"/>
    </w:pPr>
    <w:rPr>
      <w:rFonts w:ascii="仿宋_GB2312" w:hAnsi="宋体" w:eastAsia="仿宋_GB2312"/>
      <w:color w:val="000000"/>
      <w:sz w:val="24"/>
    </w:rPr>
  </w:style>
  <w:style w:type="paragraph" w:styleId="43">
    <w:name w:val="table of figures"/>
    <w:basedOn w:val="1"/>
    <w:next w:val="1"/>
    <w:unhideWhenUsed/>
    <w:qFormat/>
    <w:uiPriority w:val="0"/>
    <w:pPr>
      <w:ind w:left="200" w:leftChars="200" w:hanging="200" w:hangingChars="200"/>
    </w:pPr>
  </w:style>
  <w:style w:type="paragraph" w:styleId="44">
    <w:name w:val="toc 2"/>
    <w:basedOn w:val="1"/>
    <w:next w:val="1"/>
    <w:qFormat/>
    <w:uiPriority w:val="39"/>
    <w:pPr>
      <w:tabs>
        <w:tab w:val="right" w:leader="dot" w:pos="8296"/>
      </w:tabs>
      <w:ind w:left="210"/>
    </w:pPr>
    <w:rPr>
      <w:b/>
      <w:smallCaps/>
    </w:rPr>
  </w:style>
  <w:style w:type="paragraph" w:styleId="45">
    <w:name w:val="Body Text 2"/>
    <w:basedOn w:val="1"/>
    <w:link w:val="93"/>
    <w:qFormat/>
    <w:uiPriority w:val="0"/>
    <w:pPr>
      <w:widowControl/>
      <w:snapToGrid w:val="0"/>
      <w:spacing w:before="50" w:afterLines="50" w:line="400" w:lineRule="exact"/>
    </w:pPr>
    <w:rPr>
      <w:rFonts w:ascii="宋体" w:hAnsi="宋体"/>
      <w:color w:val="000000"/>
      <w:sz w:val="24"/>
    </w:rPr>
  </w:style>
  <w:style w:type="paragraph" w:styleId="46">
    <w:name w:val="HTML Preformatted"/>
    <w:basedOn w:val="1"/>
    <w:link w:val="2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7">
    <w:name w:val="Normal (Web)"/>
    <w:basedOn w:val="1"/>
    <w:link w:val="94"/>
    <w:qFormat/>
    <w:uiPriority w:val="99"/>
    <w:pPr>
      <w:widowControl/>
      <w:spacing w:before="100" w:beforeAutospacing="1" w:after="100" w:afterAutospacing="1"/>
    </w:pPr>
    <w:rPr>
      <w:rFonts w:ascii="宋体" w:hAnsi="宋体"/>
      <w:kern w:val="0"/>
      <w:sz w:val="24"/>
    </w:rPr>
  </w:style>
  <w:style w:type="paragraph" w:styleId="48">
    <w:name w:val="index 1"/>
    <w:basedOn w:val="1"/>
    <w:next w:val="1"/>
    <w:semiHidden/>
    <w:qFormat/>
    <w:uiPriority w:val="0"/>
    <w:rPr>
      <w:szCs w:val="20"/>
    </w:rPr>
  </w:style>
  <w:style w:type="paragraph" w:styleId="49">
    <w:name w:val="Title"/>
    <w:basedOn w:val="1"/>
    <w:next w:val="1"/>
    <w:link w:val="95"/>
    <w:qFormat/>
    <w:uiPriority w:val="0"/>
    <w:pPr>
      <w:spacing w:before="240" w:after="60"/>
      <w:jc w:val="center"/>
      <w:outlineLvl w:val="0"/>
    </w:pPr>
    <w:rPr>
      <w:rFonts w:ascii="Cambria" w:hAnsi="Cambria"/>
      <w:b/>
      <w:bCs/>
      <w:sz w:val="32"/>
      <w:szCs w:val="32"/>
    </w:rPr>
  </w:style>
  <w:style w:type="paragraph" w:styleId="50">
    <w:name w:val="annotation subject"/>
    <w:basedOn w:val="16"/>
    <w:next w:val="16"/>
    <w:link w:val="96"/>
    <w:qFormat/>
    <w:uiPriority w:val="0"/>
    <w:rPr>
      <w:b/>
      <w:bCs/>
    </w:rPr>
  </w:style>
  <w:style w:type="paragraph" w:styleId="51">
    <w:name w:val="Body Text First Indent 2"/>
    <w:basedOn w:val="20"/>
    <w:link w:val="287"/>
    <w:semiHidden/>
    <w:unhideWhenUsed/>
    <w:qFormat/>
    <w:uiPriority w:val="0"/>
    <w:pPr>
      <w:spacing w:after="120" w:line="360" w:lineRule="auto"/>
      <w:ind w:left="420" w:leftChars="200" w:firstLine="420"/>
    </w:pPr>
    <w:rPr>
      <w:rFonts w:ascii="Times New Roman" w:hAnsi="Times New Roman"/>
      <w:spacing w:val="0"/>
      <w:sz w:val="21"/>
      <w:szCs w:val="24"/>
    </w:r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1"/>
    <w:basedOn w:val="5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rPr>
      <w:b/>
      <w:bCs/>
    </w:rPr>
  </w:style>
  <w:style w:type="character" w:styleId="58">
    <w:name w:val="page number"/>
    <w:qFormat/>
    <w:uiPriority w:val="0"/>
  </w:style>
  <w:style w:type="character" w:styleId="59">
    <w:name w:val="FollowedHyperlink"/>
    <w:basedOn w:val="56"/>
    <w:semiHidden/>
    <w:unhideWhenUsed/>
    <w:qFormat/>
    <w:uiPriority w:val="99"/>
    <w:rPr>
      <w:color w:val="954F72" w:themeColor="followedHyperlink"/>
      <w:u w:val="single"/>
      <w14:textFill>
        <w14:solidFill>
          <w14:schemeClr w14:val="folHlink"/>
        </w14:solidFill>
      </w14:textFill>
    </w:rPr>
  </w:style>
  <w:style w:type="character" w:styleId="60">
    <w:name w:val="Hyperlink"/>
    <w:qFormat/>
    <w:uiPriority w:val="99"/>
    <w:rPr>
      <w:color w:val="0000FF"/>
      <w:u w:val="single"/>
    </w:rPr>
  </w:style>
  <w:style w:type="character" w:styleId="61">
    <w:name w:val="annotation reference"/>
    <w:qFormat/>
    <w:uiPriority w:val="99"/>
    <w:rPr>
      <w:sz w:val="21"/>
      <w:szCs w:val="21"/>
    </w:rPr>
  </w:style>
  <w:style w:type="character" w:styleId="62">
    <w:name w:val="footnote reference"/>
    <w:unhideWhenUsed/>
    <w:qFormat/>
    <w:uiPriority w:val="99"/>
    <w:rPr>
      <w:rFonts w:hint="default" w:ascii="Times New Roman"/>
      <w:sz w:val="24"/>
      <w:vertAlign w:val="superscript"/>
    </w:rPr>
  </w:style>
  <w:style w:type="paragraph" w:customStyle="1" w:styleId="63">
    <w:name w:val="标准正文"/>
    <w:basedOn w:val="1"/>
    <w:qFormat/>
    <w:uiPriority w:val="0"/>
    <w:pPr>
      <w:spacing w:line="560" w:lineRule="exact"/>
      <w:ind w:firstLine="424" w:firstLineChars="202"/>
    </w:pPr>
    <w:rPr>
      <w:rFonts w:ascii="微软雅黑" w:hAnsi="微软雅黑"/>
      <w:szCs w:val="21"/>
    </w:rPr>
  </w:style>
  <w:style w:type="character" w:customStyle="1" w:styleId="64">
    <w:name w:val="标题 7 字符"/>
    <w:basedOn w:val="56"/>
    <w:link w:val="9"/>
    <w:qFormat/>
    <w:uiPriority w:val="0"/>
    <w:rPr>
      <w:rFonts w:ascii="宋体" w:eastAsia="仿宋_GB2312"/>
      <w:b/>
      <w:sz w:val="24"/>
    </w:rPr>
  </w:style>
  <w:style w:type="character" w:customStyle="1" w:styleId="65">
    <w:name w:val="标题 1 字符"/>
    <w:basedOn w:val="56"/>
    <w:link w:val="2"/>
    <w:qFormat/>
    <w:uiPriority w:val="9"/>
    <w:rPr>
      <w:rFonts w:eastAsia="微软雅黑"/>
      <w:b/>
      <w:bCs/>
      <w:kern w:val="44"/>
      <w:sz w:val="24"/>
      <w:szCs w:val="44"/>
    </w:rPr>
  </w:style>
  <w:style w:type="character" w:customStyle="1" w:styleId="66">
    <w:name w:val="标题 4 字符"/>
    <w:link w:val="6"/>
    <w:qFormat/>
    <w:uiPriority w:val="0"/>
    <w:rPr>
      <w:rFonts w:ascii="等线 Light" w:hAnsi="等线 Light" w:eastAsia="微软雅黑" w:cs="Times New Roman"/>
      <w:b/>
      <w:bCs/>
      <w:kern w:val="2"/>
      <w:sz w:val="21"/>
      <w:szCs w:val="28"/>
    </w:rPr>
  </w:style>
  <w:style w:type="character" w:customStyle="1" w:styleId="67">
    <w:name w:val="标题 3 字符"/>
    <w:basedOn w:val="56"/>
    <w:link w:val="4"/>
    <w:qFormat/>
    <w:uiPriority w:val="0"/>
    <w:rPr>
      <w:rFonts w:ascii="仿宋_GB2312" w:hAnsi="仿宋_GB2312" w:eastAsia="微软雅黑"/>
      <w:bCs/>
      <w:kern w:val="2"/>
      <w:sz w:val="21"/>
    </w:rPr>
  </w:style>
  <w:style w:type="paragraph" w:customStyle="1" w:styleId="68">
    <w:name w:val="表格文字"/>
    <w:basedOn w:val="69"/>
    <w:next w:val="18"/>
    <w:qFormat/>
    <w:uiPriority w:val="0"/>
  </w:style>
  <w:style w:type="paragraph" w:customStyle="1" w:styleId="69">
    <w:name w:val="表格文字（两侧对齐）"/>
    <w:basedOn w:val="1"/>
    <w:qFormat/>
    <w:uiPriority w:val="0"/>
    <w:pPr>
      <w:snapToGrid w:val="0"/>
    </w:pPr>
    <w:rPr>
      <w:rFonts w:eastAsia="宋体"/>
      <w:sz w:val="20"/>
    </w:rPr>
  </w:style>
  <w:style w:type="character" w:customStyle="1" w:styleId="70">
    <w:name w:val="正文文本 字符"/>
    <w:link w:val="18"/>
    <w:qFormat/>
    <w:uiPriority w:val="0"/>
    <w:rPr>
      <w:kern w:val="2"/>
      <w:sz w:val="21"/>
      <w:szCs w:val="24"/>
    </w:rPr>
  </w:style>
  <w:style w:type="character" w:customStyle="1" w:styleId="71">
    <w:name w:val="正文缩进 字符1"/>
    <w:link w:val="5"/>
    <w:qFormat/>
    <w:uiPriority w:val="0"/>
    <w:rPr>
      <w:kern w:val="2"/>
      <w:sz w:val="21"/>
    </w:rPr>
  </w:style>
  <w:style w:type="paragraph" w:customStyle="1" w:styleId="72">
    <w:name w:val="目录 71"/>
    <w:basedOn w:val="1"/>
    <w:next w:val="1"/>
    <w:unhideWhenUsed/>
    <w:qFormat/>
    <w:uiPriority w:val="39"/>
    <w:pPr>
      <w:ind w:left="2520" w:leftChars="1200"/>
    </w:pPr>
    <w:rPr>
      <w:rFonts w:ascii="Calibri" w:hAnsi="Calibri"/>
      <w:szCs w:val="22"/>
    </w:rPr>
  </w:style>
  <w:style w:type="character" w:customStyle="1" w:styleId="73">
    <w:name w:val="批注文字 字符"/>
    <w:link w:val="16"/>
    <w:qFormat/>
    <w:uiPriority w:val="0"/>
    <w:rPr>
      <w:kern w:val="2"/>
      <w:sz w:val="21"/>
      <w:szCs w:val="24"/>
    </w:rPr>
  </w:style>
  <w:style w:type="character" w:customStyle="1" w:styleId="74">
    <w:name w:val="正文文本 3 字符"/>
    <w:link w:val="17"/>
    <w:qFormat/>
    <w:uiPriority w:val="0"/>
    <w:rPr>
      <w:kern w:val="2"/>
      <w:sz w:val="16"/>
      <w:szCs w:val="16"/>
    </w:rPr>
  </w:style>
  <w:style w:type="character" w:customStyle="1" w:styleId="75">
    <w:name w:val="正文文本缩进 字符"/>
    <w:link w:val="20"/>
    <w:qFormat/>
    <w:uiPriority w:val="99"/>
    <w:rPr>
      <w:rFonts w:ascii="宋体" w:hAnsi="Courier New"/>
      <w:spacing w:val="-4"/>
      <w:kern w:val="2"/>
      <w:sz w:val="18"/>
    </w:rPr>
  </w:style>
  <w:style w:type="paragraph" w:customStyle="1" w:styleId="76">
    <w:name w:val="目录 51"/>
    <w:basedOn w:val="1"/>
    <w:next w:val="1"/>
    <w:unhideWhenUsed/>
    <w:qFormat/>
    <w:uiPriority w:val="39"/>
    <w:pPr>
      <w:ind w:left="1680" w:leftChars="800"/>
    </w:pPr>
    <w:rPr>
      <w:rFonts w:ascii="Calibri" w:hAnsi="Calibri"/>
      <w:szCs w:val="22"/>
    </w:rPr>
  </w:style>
  <w:style w:type="paragraph" w:customStyle="1" w:styleId="77">
    <w:name w:val="目录 31"/>
    <w:basedOn w:val="1"/>
    <w:next w:val="1"/>
    <w:qFormat/>
    <w:uiPriority w:val="39"/>
    <w:pPr>
      <w:ind w:left="840" w:leftChars="400"/>
    </w:pPr>
  </w:style>
  <w:style w:type="character" w:customStyle="1" w:styleId="78">
    <w:name w:val="纯文本 字符"/>
    <w:link w:val="28"/>
    <w:qFormat/>
    <w:uiPriority w:val="99"/>
    <w:rPr>
      <w:rFonts w:ascii="微软雅黑" w:hAnsi="微软雅黑" w:eastAsia="微软雅黑" w:cs="宋体"/>
      <w:kern w:val="2"/>
      <w:sz w:val="21"/>
      <w:szCs w:val="21"/>
    </w:rPr>
  </w:style>
  <w:style w:type="paragraph" w:customStyle="1" w:styleId="79">
    <w:name w:val="目录 81"/>
    <w:basedOn w:val="1"/>
    <w:next w:val="1"/>
    <w:unhideWhenUsed/>
    <w:qFormat/>
    <w:uiPriority w:val="39"/>
    <w:pPr>
      <w:ind w:left="2940" w:leftChars="1400"/>
    </w:pPr>
    <w:rPr>
      <w:rFonts w:ascii="Calibri" w:hAnsi="Calibri"/>
      <w:szCs w:val="22"/>
    </w:rPr>
  </w:style>
  <w:style w:type="character" w:customStyle="1" w:styleId="80">
    <w:name w:val="日期 字符"/>
    <w:link w:val="30"/>
    <w:qFormat/>
    <w:uiPriority w:val="0"/>
    <w:rPr>
      <w:rFonts w:eastAsia="楷体_GB2312"/>
      <w:kern w:val="2"/>
      <w:sz w:val="32"/>
    </w:rPr>
  </w:style>
  <w:style w:type="character" w:customStyle="1" w:styleId="81">
    <w:name w:val="正文文本缩进 2 字符"/>
    <w:link w:val="31"/>
    <w:qFormat/>
    <w:uiPriority w:val="0"/>
    <w:rPr>
      <w:rFonts w:ascii="仿宋_GB2312" w:hAnsi="宋体" w:cs="Arial"/>
      <w:b/>
      <w:bCs/>
      <w:color w:val="000000"/>
      <w:kern w:val="2"/>
      <w:sz w:val="24"/>
      <w:szCs w:val="24"/>
    </w:rPr>
  </w:style>
  <w:style w:type="character" w:customStyle="1" w:styleId="82">
    <w:name w:val="批注框文本 字符"/>
    <w:link w:val="33"/>
    <w:qFormat/>
    <w:uiPriority w:val="0"/>
    <w:rPr>
      <w:kern w:val="2"/>
      <w:sz w:val="18"/>
      <w:szCs w:val="18"/>
    </w:rPr>
  </w:style>
  <w:style w:type="character" w:customStyle="1" w:styleId="83">
    <w:name w:val="页脚 字符1"/>
    <w:link w:val="34"/>
    <w:qFormat/>
    <w:locked/>
    <w:uiPriority w:val="0"/>
    <w:rPr>
      <w:kern w:val="2"/>
      <w:sz w:val="18"/>
      <w:szCs w:val="18"/>
    </w:rPr>
  </w:style>
  <w:style w:type="character" w:customStyle="1" w:styleId="84">
    <w:name w:val="页眉 字符"/>
    <w:link w:val="35"/>
    <w:qFormat/>
    <w:uiPriority w:val="99"/>
    <w:rPr>
      <w:rFonts w:eastAsia="微软雅黑"/>
      <w:kern w:val="2"/>
      <w:sz w:val="18"/>
      <w:szCs w:val="18"/>
    </w:rPr>
  </w:style>
  <w:style w:type="paragraph" w:customStyle="1" w:styleId="85">
    <w:name w:val="目录 11"/>
    <w:basedOn w:val="1"/>
    <w:next w:val="1"/>
    <w:qFormat/>
    <w:uiPriority w:val="39"/>
  </w:style>
  <w:style w:type="paragraph" w:customStyle="1" w:styleId="86">
    <w:name w:val="目录 41"/>
    <w:basedOn w:val="1"/>
    <w:next w:val="1"/>
    <w:unhideWhenUsed/>
    <w:qFormat/>
    <w:uiPriority w:val="39"/>
    <w:pPr>
      <w:ind w:left="1260" w:leftChars="600"/>
    </w:pPr>
    <w:rPr>
      <w:rFonts w:ascii="Calibri" w:hAnsi="Calibri"/>
      <w:szCs w:val="22"/>
    </w:rPr>
  </w:style>
  <w:style w:type="character" w:customStyle="1" w:styleId="87">
    <w:name w:val="副标题 字符"/>
    <w:link w:val="38"/>
    <w:qFormat/>
    <w:uiPriority w:val="0"/>
    <w:rPr>
      <w:rFonts w:ascii="Cambria" w:hAnsi="Cambria"/>
      <w:b/>
      <w:bCs/>
      <w:kern w:val="28"/>
      <w:sz w:val="32"/>
      <w:szCs w:val="32"/>
    </w:rPr>
  </w:style>
  <w:style w:type="character" w:customStyle="1" w:styleId="88">
    <w:name w:val="脚注文本 字符"/>
    <w:link w:val="40"/>
    <w:qFormat/>
    <w:uiPriority w:val="99"/>
    <w:rPr>
      <w:rFonts w:ascii="Calibri" w:hAnsi="Calibri"/>
      <w:kern w:val="2"/>
      <w:sz w:val="18"/>
      <w:szCs w:val="24"/>
    </w:rPr>
  </w:style>
  <w:style w:type="paragraph" w:customStyle="1" w:styleId="89">
    <w:name w:val="目录 61"/>
    <w:basedOn w:val="1"/>
    <w:next w:val="1"/>
    <w:unhideWhenUsed/>
    <w:qFormat/>
    <w:uiPriority w:val="39"/>
    <w:pPr>
      <w:ind w:left="2100" w:leftChars="1000"/>
    </w:pPr>
    <w:rPr>
      <w:rFonts w:ascii="Calibri" w:hAnsi="Calibri"/>
      <w:szCs w:val="22"/>
    </w:rPr>
  </w:style>
  <w:style w:type="character" w:customStyle="1" w:styleId="90">
    <w:name w:val="正文文本缩进 3 字符"/>
    <w:link w:val="42"/>
    <w:qFormat/>
    <w:uiPriority w:val="0"/>
    <w:rPr>
      <w:rFonts w:ascii="仿宋_GB2312" w:hAnsi="宋体" w:eastAsia="仿宋_GB2312"/>
      <w:color w:val="000000"/>
      <w:kern w:val="2"/>
      <w:sz w:val="24"/>
      <w:szCs w:val="24"/>
    </w:rPr>
  </w:style>
  <w:style w:type="paragraph" w:customStyle="1" w:styleId="91">
    <w:name w:val="目录 21"/>
    <w:basedOn w:val="1"/>
    <w:next w:val="1"/>
    <w:qFormat/>
    <w:uiPriority w:val="39"/>
    <w:pPr>
      <w:ind w:left="420" w:leftChars="200"/>
    </w:pPr>
  </w:style>
  <w:style w:type="paragraph" w:customStyle="1" w:styleId="92">
    <w:name w:val="目录 91"/>
    <w:basedOn w:val="1"/>
    <w:next w:val="1"/>
    <w:unhideWhenUsed/>
    <w:qFormat/>
    <w:uiPriority w:val="39"/>
    <w:pPr>
      <w:ind w:left="3360" w:leftChars="1600"/>
    </w:pPr>
    <w:rPr>
      <w:rFonts w:ascii="Calibri" w:hAnsi="Calibri"/>
      <w:szCs w:val="22"/>
    </w:rPr>
  </w:style>
  <w:style w:type="character" w:customStyle="1" w:styleId="93">
    <w:name w:val="正文文本 2 字符"/>
    <w:link w:val="45"/>
    <w:qFormat/>
    <w:uiPriority w:val="0"/>
    <w:rPr>
      <w:rFonts w:ascii="宋体" w:hAnsi="宋体"/>
      <w:color w:val="000000"/>
      <w:kern w:val="2"/>
      <w:sz w:val="24"/>
      <w:szCs w:val="24"/>
    </w:rPr>
  </w:style>
  <w:style w:type="character" w:customStyle="1" w:styleId="94">
    <w:name w:val="普通(网站) 字符"/>
    <w:link w:val="47"/>
    <w:qFormat/>
    <w:locked/>
    <w:uiPriority w:val="99"/>
    <w:rPr>
      <w:rFonts w:ascii="宋体" w:hAnsi="宋体" w:cs="宋体"/>
      <w:sz w:val="24"/>
      <w:szCs w:val="24"/>
    </w:rPr>
  </w:style>
  <w:style w:type="character" w:customStyle="1" w:styleId="95">
    <w:name w:val="标题 字符"/>
    <w:link w:val="49"/>
    <w:qFormat/>
    <w:uiPriority w:val="0"/>
    <w:rPr>
      <w:rFonts w:ascii="Cambria" w:hAnsi="Cambria"/>
      <w:b/>
      <w:bCs/>
      <w:kern w:val="2"/>
      <w:sz w:val="32"/>
      <w:szCs w:val="32"/>
    </w:rPr>
  </w:style>
  <w:style w:type="character" w:customStyle="1" w:styleId="96">
    <w:name w:val="批注主题 字符"/>
    <w:link w:val="50"/>
    <w:qFormat/>
    <w:uiPriority w:val="0"/>
    <w:rPr>
      <w:b/>
      <w:bCs/>
      <w:kern w:val="2"/>
      <w:sz w:val="21"/>
      <w:szCs w:val="24"/>
    </w:rPr>
  </w:style>
  <w:style w:type="paragraph" w:customStyle="1" w:styleId="97">
    <w:name w:val="正文首行缩进1"/>
    <w:basedOn w:val="18"/>
    <w:link w:val="98"/>
    <w:qFormat/>
    <w:uiPriority w:val="0"/>
    <w:pPr>
      <w:ind w:firstLine="420" w:firstLineChars="100"/>
    </w:pPr>
  </w:style>
  <w:style w:type="character" w:customStyle="1" w:styleId="98">
    <w:name w:val="正文首行缩进 Char"/>
    <w:link w:val="97"/>
    <w:qFormat/>
    <w:uiPriority w:val="0"/>
  </w:style>
  <w:style w:type="character" w:customStyle="1" w:styleId="99">
    <w:name w:val="已访问的超链接1"/>
    <w:qFormat/>
    <w:uiPriority w:val="0"/>
    <w:rPr>
      <w:color w:val="800080"/>
      <w:u w:val="single"/>
    </w:rPr>
  </w:style>
  <w:style w:type="character" w:customStyle="1" w:styleId="100">
    <w:name w:val="正文缩进 字符"/>
    <w:qFormat/>
    <w:uiPriority w:val="0"/>
    <w:rPr>
      <w:snapToGrid/>
      <w:kern w:val="0"/>
      <w:sz w:val="24"/>
    </w:rPr>
  </w:style>
  <w:style w:type="character" w:customStyle="1" w:styleId="101">
    <w:name w:val="列表段落 字符1"/>
    <w:link w:val="102"/>
    <w:qFormat/>
    <w:uiPriority w:val="99"/>
    <w:rPr>
      <w:rFonts w:eastAsia="微软雅黑"/>
      <w:kern w:val="2"/>
      <w:sz w:val="21"/>
      <w:szCs w:val="22"/>
    </w:rPr>
  </w:style>
  <w:style w:type="paragraph" w:styleId="102">
    <w:name w:val="List Paragraph"/>
    <w:basedOn w:val="1"/>
    <w:link w:val="101"/>
    <w:qFormat/>
    <w:uiPriority w:val="99"/>
    <w:pPr>
      <w:numPr>
        <w:ilvl w:val="1"/>
        <w:numId w:val="3"/>
      </w:numPr>
      <w:spacing w:line="560" w:lineRule="exact"/>
      <w:ind w:right="-147" w:rightChars="-70" w:firstLine="0" w:firstLineChars="0"/>
    </w:pPr>
    <w:rPr>
      <w:szCs w:val="22"/>
    </w:rPr>
  </w:style>
  <w:style w:type="character" w:customStyle="1" w:styleId="103">
    <w:name w:val="列表段落 字符"/>
    <w:qFormat/>
    <w:uiPriority w:val="34"/>
    <w:rPr>
      <w:rFonts w:ascii="Times New Roman" w:hAnsi="Times New Roman" w:eastAsia="宋体" w:cs="Times New Roman"/>
      <w:szCs w:val="24"/>
    </w:rPr>
  </w:style>
  <w:style w:type="character" w:customStyle="1" w:styleId="104">
    <w:name w:val="页脚 字符"/>
    <w:qFormat/>
    <w:uiPriority w:val="99"/>
  </w:style>
  <w:style w:type="character" w:customStyle="1" w:styleId="105">
    <w:name w:val="页眉 Char1"/>
    <w:qFormat/>
    <w:uiPriority w:val="99"/>
    <w:rPr>
      <w:kern w:val="2"/>
      <w:sz w:val="18"/>
      <w:szCs w:val="18"/>
    </w:rPr>
  </w:style>
  <w:style w:type="character" w:customStyle="1" w:styleId="106">
    <w:name w:val="普通文字 Char Char2"/>
    <w:qFormat/>
    <w:uiPriority w:val="0"/>
    <w:rPr>
      <w:rFonts w:ascii="宋体" w:hAnsi="Courier New" w:eastAsia="宋体"/>
      <w:kern w:val="2"/>
      <w:sz w:val="24"/>
      <w:szCs w:val="24"/>
      <w:lang w:val="en-US" w:eastAsia="zh-CN" w:bidi="ar-SA"/>
    </w:rPr>
  </w:style>
  <w:style w:type="character" w:customStyle="1" w:styleId="107">
    <w:name w:val="批注文字 Char"/>
    <w:qFormat/>
    <w:uiPriority w:val="0"/>
    <w:rPr>
      <w:kern w:val="2"/>
      <w:sz w:val="21"/>
      <w:szCs w:val="24"/>
    </w:rPr>
  </w:style>
  <w:style w:type="character" w:customStyle="1" w:styleId="108">
    <w:name w:val="ca-92"/>
    <w:qFormat/>
    <w:uiPriority w:val="0"/>
  </w:style>
  <w:style w:type="character" w:customStyle="1" w:styleId="109">
    <w:name w:val="bookmark-item"/>
    <w:qFormat/>
    <w:uiPriority w:val="0"/>
  </w:style>
  <w:style w:type="character" w:customStyle="1" w:styleId="110">
    <w:name w:val="纯文本 Char3"/>
    <w:qFormat/>
    <w:uiPriority w:val="0"/>
    <w:rPr>
      <w:rFonts w:ascii="宋体" w:hAnsi="Courier New" w:eastAsia="宋体"/>
      <w:kern w:val="2"/>
      <w:sz w:val="24"/>
      <w:szCs w:val="24"/>
      <w:lang w:val="en-US" w:eastAsia="zh-CN" w:bidi="ar-SA"/>
    </w:rPr>
  </w:style>
  <w:style w:type="character" w:customStyle="1" w:styleId="111">
    <w:name w:val="sub"/>
    <w:qFormat/>
    <w:uiPriority w:val="0"/>
  </w:style>
  <w:style w:type="character" w:customStyle="1" w:styleId="112">
    <w:name w:val="纯文本 Char1"/>
    <w:qFormat/>
    <w:uiPriority w:val="0"/>
    <w:rPr>
      <w:rFonts w:ascii="宋体" w:hAnsi="Courier New" w:eastAsia="宋体" w:cs="Times New Roman"/>
      <w:sz w:val="24"/>
      <w:szCs w:val="24"/>
    </w:rPr>
  </w:style>
  <w:style w:type="paragraph" w:customStyle="1" w:styleId="113">
    <w:name w:val="_Style 2"/>
    <w:basedOn w:val="1"/>
    <w:qFormat/>
    <w:uiPriority w:val="0"/>
    <w:pPr>
      <w:adjustRightInd w:val="0"/>
      <w:snapToGrid w:val="0"/>
      <w:ind w:firstLine="420"/>
    </w:pPr>
    <w:rPr>
      <w:rFonts w:ascii="Calibri" w:hAnsi="Calibri"/>
      <w:sz w:val="24"/>
    </w:rPr>
  </w:style>
  <w:style w:type="paragraph" w:customStyle="1" w:styleId="114">
    <w:name w:val="Char Char9 Char Char"/>
    <w:basedOn w:val="1"/>
    <w:qFormat/>
    <w:uiPriority w:val="0"/>
    <w:pPr>
      <w:tabs>
        <w:tab w:val="left" w:pos="360"/>
      </w:tabs>
    </w:pPr>
  </w:style>
  <w:style w:type="paragraph" w:customStyle="1" w:styleId="115">
    <w:name w:val="样式 正文1 + 段前: 0.1 行"/>
    <w:basedOn w:val="1"/>
    <w:qFormat/>
    <w:uiPriority w:val="0"/>
    <w:pPr>
      <w:snapToGrid w:val="0"/>
      <w:spacing w:beforeLines="10" w:line="440" w:lineRule="atLeast"/>
      <w:ind w:firstLine="510"/>
    </w:pPr>
    <w:rPr>
      <w:sz w:val="24"/>
    </w:rPr>
  </w:style>
  <w:style w:type="paragraph" w:customStyle="1" w:styleId="116">
    <w:name w:val="列表段落1"/>
    <w:basedOn w:val="1"/>
    <w:qFormat/>
    <w:uiPriority w:val="0"/>
    <w:pPr>
      <w:ind w:firstLine="420"/>
    </w:pPr>
    <w:rPr>
      <w:szCs w:val="21"/>
    </w:rPr>
  </w:style>
  <w:style w:type="paragraph" w:customStyle="1" w:styleId="117">
    <w:name w:val="列出段落1"/>
    <w:basedOn w:val="1"/>
    <w:link w:val="283"/>
    <w:qFormat/>
    <w:uiPriority w:val="0"/>
    <w:pPr>
      <w:ind w:firstLine="420"/>
    </w:pPr>
    <w:rPr>
      <w:rFonts w:ascii="Calibri" w:hAnsi="Calibri"/>
      <w:szCs w:val="20"/>
    </w:rPr>
  </w:style>
  <w:style w:type="paragraph" w:customStyle="1" w:styleId="118">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0">
    <w:name w:val="纯文本1"/>
    <w:basedOn w:val="1"/>
    <w:qFormat/>
    <w:uiPriority w:val="0"/>
    <w:pPr>
      <w:adjustRightInd w:val="0"/>
      <w:textAlignment w:val="baseline"/>
    </w:pPr>
    <w:rPr>
      <w:rFonts w:ascii="宋体" w:hAnsi="Courier New" w:eastAsia="楷体_GB2312"/>
      <w:sz w:val="26"/>
      <w:szCs w:val="20"/>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表内文字"/>
    <w:basedOn w:val="1"/>
    <w:qFormat/>
    <w:uiPriority w:val="0"/>
    <w:pPr>
      <w:jc w:val="center"/>
    </w:pPr>
    <w:rPr>
      <w:rFonts w:ascii="仿宋_GB2312" w:eastAsia="仿宋_GB2312"/>
      <w:sz w:val="24"/>
    </w:rPr>
  </w:style>
  <w:style w:type="paragraph" w:customStyle="1" w:styleId="12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4">
    <w:name w:val="1 Char Char Char Char"/>
    <w:basedOn w:val="1"/>
    <w:qFormat/>
    <w:uiPriority w:val="0"/>
    <w:rPr>
      <w:rFonts w:ascii="Tahoma" w:hAnsi="Tahoma"/>
      <w:sz w:val="24"/>
      <w:szCs w:val="20"/>
    </w:rPr>
  </w:style>
  <w:style w:type="paragraph" w:customStyle="1" w:styleId="125">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6">
    <w:name w:val="Char Char Char Char Char Char Char"/>
    <w:basedOn w:val="1"/>
    <w:qFormat/>
    <w:uiPriority w:val="0"/>
    <w:rPr>
      <w:szCs w:val="21"/>
    </w:rPr>
  </w:style>
  <w:style w:type="paragraph" w:customStyle="1" w:styleId="127">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8">
    <w:name w:val="正文段"/>
    <w:basedOn w:val="1"/>
    <w:qFormat/>
    <w:uiPriority w:val="0"/>
    <w:pPr>
      <w:widowControl/>
      <w:snapToGrid w:val="0"/>
      <w:spacing w:afterLines="50"/>
      <w:ind w:firstLine="200"/>
    </w:pPr>
    <w:rPr>
      <w:kern w:val="0"/>
      <w:sz w:val="24"/>
      <w:szCs w:val="20"/>
    </w:rPr>
  </w:style>
  <w:style w:type="paragraph" w:customStyle="1" w:styleId="129">
    <w:name w:val="纯文本2"/>
    <w:basedOn w:val="1"/>
    <w:qFormat/>
    <w:uiPriority w:val="0"/>
    <w:pPr>
      <w:adjustRightInd w:val="0"/>
      <w:textAlignment w:val="baseline"/>
    </w:pPr>
    <w:rPr>
      <w:rFonts w:ascii="宋体" w:hAnsi="Courier New" w:eastAsia="楷体_GB2312"/>
      <w:sz w:val="26"/>
      <w:szCs w:val="20"/>
    </w:rPr>
  </w:style>
  <w:style w:type="paragraph" w:customStyle="1" w:styleId="130">
    <w:name w:val="默认段落字体 Para Char Char Char Char"/>
    <w:basedOn w:val="1"/>
    <w:qFormat/>
    <w:uiPriority w:val="0"/>
    <w:rPr>
      <w:rFonts w:ascii="Arial" w:hAnsi="Arial" w:cs="Arial"/>
      <w:szCs w:val="21"/>
    </w:rPr>
  </w:style>
  <w:style w:type="paragraph" w:customStyle="1" w:styleId="131">
    <w:name w:val="_Style 54"/>
    <w:basedOn w:val="1"/>
    <w:qFormat/>
    <w:uiPriority w:val="0"/>
    <w:pPr>
      <w:adjustRightInd w:val="0"/>
      <w:snapToGrid w:val="0"/>
      <w:ind w:firstLine="420"/>
    </w:pPr>
    <w:rPr>
      <w:rFonts w:ascii="Calibri" w:hAnsi="Calibri"/>
      <w:sz w:val="24"/>
    </w:rPr>
  </w:style>
  <w:style w:type="paragraph" w:customStyle="1" w:styleId="132">
    <w:name w:val="CM11"/>
    <w:basedOn w:val="118"/>
    <w:next w:val="118"/>
    <w:unhideWhenUsed/>
    <w:qFormat/>
    <w:uiPriority w:val="99"/>
    <w:pPr>
      <w:spacing w:line="520" w:lineRule="atLeast"/>
    </w:pPr>
  </w:style>
  <w:style w:type="paragraph" w:customStyle="1" w:styleId="133">
    <w:name w:val="WPSOffice手动目录 1"/>
    <w:qFormat/>
    <w:uiPriority w:val="0"/>
    <w:rPr>
      <w:rFonts w:ascii="Times New Roman" w:hAnsi="Times New Roman" w:eastAsia="宋体" w:cs="Times New Roman"/>
      <w:lang w:val="en-US" w:eastAsia="zh-CN" w:bidi="ar-SA"/>
    </w:rPr>
  </w:style>
  <w:style w:type="paragraph" w:customStyle="1" w:styleId="134">
    <w:name w:val="p16"/>
    <w:basedOn w:val="1"/>
    <w:qFormat/>
    <w:uiPriority w:val="0"/>
    <w:pPr>
      <w:widowControl/>
    </w:pPr>
    <w:rPr>
      <w:rFonts w:ascii="宋体" w:hAnsi="宋体" w:cs="宋体"/>
      <w:kern w:val="0"/>
      <w:sz w:val="27"/>
      <w:szCs w:val="27"/>
    </w:rPr>
  </w:style>
  <w:style w:type="paragraph" w:customStyle="1" w:styleId="135">
    <w:name w:val="CM13"/>
    <w:basedOn w:val="118"/>
    <w:next w:val="118"/>
    <w:unhideWhenUsed/>
    <w:qFormat/>
    <w:uiPriority w:val="99"/>
    <w:pPr>
      <w:spacing w:line="520" w:lineRule="atLeast"/>
    </w:pPr>
  </w:style>
  <w:style w:type="paragraph" w:customStyle="1" w:styleId="136">
    <w:name w:val="CM19"/>
    <w:basedOn w:val="118"/>
    <w:next w:val="118"/>
    <w:unhideWhenUsed/>
    <w:qFormat/>
    <w:uiPriority w:val="99"/>
  </w:style>
  <w:style w:type="character" w:customStyle="1" w:styleId="137">
    <w:name w:val="font01"/>
    <w:qFormat/>
    <w:uiPriority w:val="0"/>
    <w:rPr>
      <w:rFonts w:hint="eastAsia" w:ascii="宋体" w:hAnsi="宋体" w:eastAsia="宋体" w:cs="宋体"/>
      <w:color w:val="000000"/>
      <w:sz w:val="21"/>
      <w:szCs w:val="21"/>
      <w:u w:val="none"/>
      <w:vertAlign w:val="superscript"/>
    </w:rPr>
  </w:style>
  <w:style w:type="character" w:customStyle="1" w:styleId="138">
    <w:name w:val="font11"/>
    <w:qFormat/>
    <w:uiPriority w:val="0"/>
    <w:rPr>
      <w:rFonts w:hint="eastAsia" w:ascii="宋体" w:hAnsi="宋体" w:eastAsia="宋体" w:cs="宋体"/>
      <w:color w:val="000000"/>
      <w:sz w:val="21"/>
      <w:szCs w:val="21"/>
      <w:u w:val="none"/>
    </w:rPr>
  </w:style>
  <w:style w:type="paragraph" w:customStyle="1" w:styleId="139">
    <w:name w:val="--规划正文"/>
    <w:basedOn w:val="1"/>
    <w:qFormat/>
    <w:uiPriority w:val="0"/>
    <w:pPr>
      <w:widowControl/>
      <w:suppressAutoHyphens/>
      <w:ind w:firstLine="200"/>
    </w:pPr>
    <w:rPr>
      <w:kern w:val="1"/>
      <w:szCs w:val="20"/>
      <w:lang w:eastAsia="ar-SA"/>
    </w:rPr>
  </w:style>
  <w:style w:type="character" w:customStyle="1" w:styleId="140">
    <w:name w:val="正文首行缩进 2 Char"/>
    <w:link w:val="141"/>
    <w:qFormat/>
    <w:uiPriority w:val="0"/>
    <w:rPr>
      <w:rFonts w:ascii="宋体" w:hAnsi="Courier New"/>
      <w:spacing w:val="-4"/>
      <w:kern w:val="2"/>
      <w:sz w:val="24"/>
    </w:rPr>
  </w:style>
  <w:style w:type="paragraph" w:customStyle="1" w:styleId="141">
    <w:name w:val="正文首行缩进 21"/>
    <w:basedOn w:val="20"/>
    <w:link w:val="140"/>
    <w:unhideWhenUsed/>
    <w:qFormat/>
    <w:uiPriority w:val="0"/>
    <w:pPr>
      <w:spacing w:after="120" w:line="360" w:lineRule="auto"/>
      <w:ind w:left="420" w:leftChars="200" w:firstLine="420"/>
    </w:pPr>
    <w:rPr>
      <w:sz w:val="24"/>
    </w:rPr>
  </w:style>
  <w:style w:type="character" w:customStyle="1" w:styleId="142">
    <w:name w:val="正文首行缩进 2 Char1"/>
    <w:qFormat/>
    <w:uiPriority w:val="0"/>
    <w:rPr>
      <w:rFonts w:ascii="宋体" w:hAnsi="Courier New"/>
      <w:spacing w:val="-4"/>
      <w:kern w:val="2"/>
      <w:sz w:val="21"/>
      <w:szCs w:val="24"/>
    </w:rPr>
  </w:style>
  <w:style w:type="paragraph" w:customStyle="1" w:styleId="143">
    <w:name w:val="正文sl"/>
    <w:basedOn w:val="1"/>
    <w:qFormat/>
    <w:uiPriority w:val="0"/>
    <w:pPr>
      <w:ind w:firstLine="600"/>
    </w:pPr>
    <w:rPr>
      <w:rFonts w:ascii="仿宋_GB2312" w:eastAsia="仿宋_GB2312" w:cs="宋体"/>
      <w:sz w:val="30"/>
      <w:szCs w:val="20"/>
    </w:rPr>
  </w:style>
  <w:style w:type="paragraph" w:customStyle="1" w:styleId="14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fontstyle01"/>
    <w:qFormat/>
    <w:uiPriority w:val="0"/>
    <w:rPr>
      <w:rFonts w:hint="eastAsia" w:ascii="宋体" w:hAnsi="宋体" w:eastAsia="宋体" w:cs="宋体"/>
      <w:color w:val="000000"/>
      <w:sz w:val="24"/>
      <w:szCs w:val="24"/>
    </w:rPr>
  </w:style>
  <w:style w:type="character" w:customStyle="1" w:styleId="146">
    <w:name w:val="inline-comment-marker"/>
    <w:basedOn w:val="56"/>
    <w:qFormat/>
    <w:uiPriority w:val="0"/>
  </w:style>
  <w:style w:type="paragraph" w:customStyle="1" w:styleId="147">
    <w:name w:val="列表段落11"/>
    <w:basedOn w:val="1"/>
    <w:qFormat/>
    <w:uiPriority w:val="34"/>
    <w:pPr>
      <w:widowControl/>
      <w:ind w:firstLine="420"/>
    </w:pPr>
    <w:rPr>
      <w:rFonts w:ascii="宋体" w:hAnsi="宋体" w:cs="宋体"/>
      <w:kern w:val="0"/>
      <w:sz w:val="24"/>
    </w:rPr>
  </w:style>
  <w:style w:type="character" w:customStyle="1" w:styleId="148">
    <w:name w:val="标题 5 字符"/>
    <w:basedOn w:val="56"/>
    <w:link w:val="7"/>
    <w:qFormat/>
    <w:uiPriority w:val="0"/>
    <w:rPr>
      <w:rFonts w:eastAsia="微软雅黑"/>
      <w:b/>
      <w:bCs/>
      <w:kern w:val="2"/>
      <w:sz w:val="21"/>
      <w:szCs w:val="28"/>
    </w:rPr>
  </w:style>
  <w:style w:type="character" w:customStyle="1" w:styleId="149">
    <w:name w:val="标题 6 字符"/>
    <w:basedOn w:val="56"/>
    <w:link w:val="8"/>
    <w:qFormat/>
    <w:uiPriority w:val="0"/>
    <w:rPr>
      <w:rFonts w:ascii="Arial" w:hAnsi="Arial" w:eastAsia="黑体"/>
      <w:b/>
      <w:bCs/>
      <w:kern w:val="2"/>
      <w:sz w:val="24"/>
    </w:rPr>
  </w:style>
  <w:style w:type="character" w:customStyle="1" w:styleId="150">
    <w:name w:val="标题 8 字符"/>
    <w:basedOn w:val="56"/>
    <w:link w:val="10"/>
    <w:qFormat/>
    <w:uiPriority w:val="0"/>
    <w:rPr>
      <w:rFonts w:ascii="Arial" w:hAnsi="Arial" w:eastAsia="黑体"/>
      <w:sz w:val="24"/>
    </w:rPr>
  </w:style>
  <w:style w:type="character" w:customStyle="1" w:styleId="151">
    <w:name w:val="标题 9 字符"/>
    <w:basedOn w:val="56"/>
    <w:link w:val="11"/>
    <w:qFormat/>
    <w:uiPriority w:val="0"/>
    <w:rPr>
      <w:rFonts w:ascii="Arial" w:hAnsi="Arial" w:eastAsia="黑体"/>
      <w:sz w:val="28"/>
    </w:rPr>
  </w:style>
  <w:style w:type="character" w:customStyle="1" w:styleId="152">
    <w:name w:val="标题 2 字符"/>
    <w:basedOn w:val="56"/>
    <w:link w:val="3"/>
    <w:qFormat/>
    <w:uiPriority w:val="9"/>
    <w:rPr>
      <w:rFonts w:ascii="仿宋_GB2312" w:hAnsi="仿宋_GB2312" w:eastAsia="微软雅黑"/>
      <w:b/>
      <w:sz w:val="21"/>
    </w:rPr>
  </w:style>
  <w:style w:type="character" w:customStyle="1" w:styleId="153">
    <w:name w:val="unnamed11"/>
    <w:qFormat/>
    <w:uiPriority w:val="0"/>
    <w:rPr>
      <w:sz w:val="20"/>
      <w:szCs w:val="20"/>
    </w:rPr>
  </w:style>
  <w:style w:type="character" w:customStyle="1" w:styleId="154">
    <w:name w:val="标题 1 Char Char"/>
    <w:qFormat/>
    <w:uiPriority w:val="0"/>
    <w:rPr>
      <w:rFonts w:eastAsia="宋体"/>
      <w:b/>
      <w:spacing w:val="-2"/>
      <w:sz w:val="24"/>
      <w:lang w:val="en-US" w:eastAsia="zh-CN" w:bidi="ar-SA"/>
    </w:rPr>
  </w:style>
  <w:style w:type="character" w:customStyle="1" w:styleId="155">
    <w:name w:val="line1"/>
    <w:qFormat/>
    <w:uiPriority w:val="0"/>
    <w:rPr>
      <w:u w:val="none"/>
    </w:rPr>
  </w:style>
  <w:style w:type="character" w:customStyle="1" w:styleId="156">
    <w:name w:val="point_normal1"/>
    <w:qFormat/>
    <w:uiPriority w:val="0"/>
    <w:rPr>
      <w:rFonts w:hint="default" w:ascii="Arial" w:hAnsi="Arial" w:cs="Arial"/>
      <w:sz w:val="18"/>
      <w:szCs w:val="18"/>
    </w:rPr>
  </w:style>
  <w:style w:type="character" w:customStyle="1" w:styleId="157">
    <w:name w:val="样式 小四"/>
    <w:qFormat/>
    <w:uiPriority w:val="0"/>
    <w:rPr>
      <w:sz w:val="21"/>
    </w:rPr>
  </w:style>
  <w:style w:type="character" w:customStyle="1" w:styleId="158">
    <w:name w:val="para"/>
    <w:basedOn w:val="56"/>
    <w:qFormat/>
    <w:uiPriority w:val="0"/>
  </w:style>
  <w:style w:type="character" w:customStyle="1" w:styleId="15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1">
    <w:name w:val="A C"/>
    <w:qFormat/>
    <w:uiPriority w:val="0"/>
    <w:rPr>
      <w:rFonts w:ascii="仿宋_GB2312"/>
      <w:bCs/>
      <w:iCs/>
      <w:sz w:val="24"/>
    </w:rPr>
  </w:style>
  <w:style w:type="character" w:customStyle="1" w:styleId="162">
    <w:name w:val="huide001"/>
    <w:qFormat/>
    <w:uiPriority w:val="0"/>
    <w:rPr>
      <w:rFonts w:hint="default" w:ascii="Arial" w:hAnsi="Arial" w:cs="Arial"/>
      <w:color w:val="666666"/>
      <w:sz w:val="18"/>
      <w:szCs w:val="18"/>
    </w:rPr>
  </w:style>
  <w:style w:type="character" w:customStyle="1" w:styleId="163">
    <w:name w:val="tw4winMark"/>
    <w:qFormat/>
    <w:uiPriority w:val="0"/>
    <w:rPr>
      <w:rFonts w:ascii="Courier New" w:hAnsi="Courier New"/>
      <w:vanish/>
      <w:color w:val="800080"/>
      <w:vertAlign w:val="subscript"/>
    </w:rPr>
  </w:style>
  <w:style w:type="character" w:customStyle="1" w:styleId="164">
    <w:name w:val="tw4winError"/>
    <w:qFormat/>
    <w:uiPriority w:val="0"/>
    <w:rPr>
      <w:rFonts w:ascii="Courier New" w:hAnsi="Courier New"/>
      <w:color w:val="00FF00"/>
      <w:sz w:val="40"/>
    </w:rPr>
  </w:style>
  <w:style w:type="character" w:customStyle="1" w:styleId="165">
    <w:name w:val="tw4winTerm"/>
    <w:qFormat/>
    <w:uiPriority w:val="0"/>
    <w:rPr>
      <w:color w:val="0000FF"/>
    </w:rPr>
  </w:style>
  <w:style w:type="character" w:customStyle="1" w:styleId="166">
    <w:name w:val="tw4winPopup"/>
    <w:qFormat/>
    <w:uiPriority w:val="0"/>
    <w:rPr>
      <w:rFonts w:ascii="Courier New" w:hAnsi="Courier New"/>
      <w:color w:val="008000"/>
    </w:rPr>
  </w:style>
  <w:style w:type="character" w:customStyle="1" w:styleId="167">
    <w:name w:val="tw4winJump"/>
    <w:qFormat/>
    <w:uiPriority w:val="0"/>
    <w:rPr>
      <w:rFonts w:ascii="Courier New" w:hAnsi="Courier New"/>
      <w:color w:val="008080"/>
    </w:rPr>
  </w:style>
  <w:style w:type="character" w:customStyle="1" w:styleId="168">
    <w:name w:val="tw4winExternal"/>
    <w:qFormat/>
    <w:uiPriority w:val="0"/>
    <w:rPr>
      <w:rFonts w:ascii="Courier New" w:hAnsi="Courier New"/>
      <w:color w:val="808080"/>
    </w:rPr>
  </w:style>
  <w:style w:type="character" w:customStyle="1" w:styleId="169">
    <w:name w:val="tw4winInternal"/>
    <w:qFormat/>
    <w:uiPriority w:val="0"/>
    <w:rPr>
      <w:rFonts w:ascii="Courier New" w:hAnsi="Courier New"/>
      <w:color w:val="FF0000"/>
    </w:rPr>
  </w:style>
  <w:style w:type="paragraph" w:customStyle="1" w:styleId="170">
    <w:name w:val="样式 样式 标题 4 + 段后: 0.5 行1"/>
    <w:basedOn w:val="171"/>
    <w:next w:val="32"/>
    <w:qFormat/>
    <w:uiPriority w:val="0"/>
    <w:pPr>
      <w:spacing w:after="120"/>
    </w:pPr>
  </w:style>
  <w:style w:type="paragraph" w:customStyle="1" w:styleId="171">
    <w:name w:val="样式 标题 4 + 段后: 0.5 行"/>
    <w:basedOn w:val="6"/>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2">
    <w:name w:val="Bullet1"/>
    <w:basedOn w:val="1"/>
    <w:qFormat/>
    <w:uiPriority w:val="0"/>
    <w:pPr>
      <w:spacing w:afterLines="50"/>
      <w:ind w:left="720" w:hanging="432"/>
    </w:pPr>
    <w:rPr>
      <w:rFonts w:ascii="宋体"/>
      <w:snapToGrid w:val="0"/>
      <w:kern w:val="0"/>
      <w:szCs w:val="20"/>
    </w:rPr>
  </w:style>
  <w:style w:type="paragraph" w:customStyle="1" w:styleId="173">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4">
    <w:name w:val="标准标题1"/>
    <w:basedOn w:val="2"/>
    <w:qFormat/>
    <w:uiPriority w:val="0"/>
    <w:pPr>
      <w:pageBreakBefore/>
      <w:tabs>
        <w:tab w:val="left" w:pos="360"/>
        <w:tab w:val="left" w:pos="1080"/>
      </w:tabs>
      <w:ind w:left="425" w:hanging="425"/>
    </w:pPr>
    <w:rPr>
      <w:rFonts w:eastAsia="仿宋_GB2312"/>
      <w:sz w:val="32"/>
    </w:rPr>
  </w:style>
  <w:style w:type="character" w:customStyle="1" w:styleId="175">
    <w:name w:val="脚注文本 Char1"/>
    <w:basedOn w:val="56"/>
    <w:semiHidden/>
    <w:qFormat/>
    <w:uiPriority w:val="99"/>
    <w:rPr>
      <w:rFonts w:ascii="Times New Roman" w:hAnsi="Times New Roman" w:eastAsia="宋体" w:cs="Times New Roman"/>
      <w:sz w:val="18"/>
      <w:szCs w:val="18"/>
    </w:rPr>
  </w:style>
  <w:style w:type="paragraph" w:customStyle="1" w:styleId="176">
    <w:name w:val="样式 标题 2Chapter X.X. Statementh22Header 2l2Level 2 Headhea..."/>
    <w:basedOn w:val="3"/>
    <w:qFormat/>
    <w:uiPriority w:val="0"/>
    <w:pPr>
      <w:tabs>
        <w:tab w:val="left" w:pos="720"/>
      </w:tabs>
      <w:adjustRightInd/>
      <w:snapToGrid/>
      <w:spacing w:afterLines="50" w:line="240" w:lineRule="auto"/>
      <w:textAlignment w:val="auto"/>
    </w:pPr>
    <w:rPr>
      <w:rFonts w:ascii="宋体" w:eastAsia="宋体" w:cs="宋体"/>
      <w:snapToGrid w:val="0"/>
      <w:szCs w:val="24"/>
    </w:rPr>
  </w:style>
  <w:style w:type="paragraph" w:customStyle="1" w:styleId="177">
    <w:name w:val="此正文"/>
    <w:basedOn w:val="1"/>
    <w:qFormat/>
    <w:uiPriority w:val="0"/>
    <w:pPr>
      <w:ind w:firstLine="200"/>
    </w:pPr>
    <w:rPr>
      <w:sz w:val="24"/>
      <w:szCs w:val="20"/>
    </w:rPr>
  </w:style>
  <w:style w:type="paragraph" w:customStyle="1" w:styleId="178">
    <w:name w:val="样式 标题 3Chapter X.X.X"/>
    <w:basedOn w:val="179"/>
    <w:qFormat/>
    <w:uiPriority w:val="0"/>
    <w:pPr>
      <w:tabs>
        <w:tab w:val="left" w:pos="709"/>
      </w:tabs>
      <w:spacing w:after="120"/>
    </w:pPr>
  </w:style>
  <w:style w:type="paragraph" w:customStyle="1" w:styleId="179">
    <w:name w:val="标题 3Chapter X.X.X. + 段后: 0.5 行 + 段后: 0.5 行 + 段后: 0.5 行1"/>
    <w:basedOn w:val="180"/>
    <w:qFormat/>
    <w:uiPriority w:val="0"/>
    <w:pPr>
      <w:tabs>
        <w:tab w:val="left" w:pos="709"/>
      </w:tabs>
    </w:pPr>
  </w:style>
  <w:style w:type="paragraph" w:customStyle="1" w:styleId="180">
    <w:name w:val="样式 样式 标题 3Chapter X.X.X. + 段后: 0.5 行 + 段后: 0.5 行"/>
    <w:basedOn w:val="181"/>
    <w:qFormat/>
    <w:uiPriority w:val="0"/>
    <w:pPr>
      <w:tabs>
        <w:tab w:val="left" w:pos="709"/>
      </w:tabs>
    </w:pPr>
  </w:style>
  <w:style w:type="paragraph" w:customStyle="1" w:styleId="181">
    <w:name w:val="样式 标题 3Chapter X.X.X. + 段后: 0.5 行"/>
    <w:basedOn w:val="4"/>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2">
    <w:name w:val="正文文本 Char1"/>
    <w:basedOn w:val="56"/>
    <w:semiHidden/>
    <w:qFormat/>
    <w:uiPriority w:val="99"/>
    <w:rPr>
      <w:rFonts w:ascii="Times New Roman" w:hAnsi="Times New Roman" w:eastAsia="宋体" w:cs="Times New Roman"/>
      <w:szCs w:val="20"/>
    </w:rPr>
  </w:style>
  <w:style w:type="character" w:customStyle="1" w:styleId="183">
    <w:name w:val="尾注文本 字符"/>
    <w:basedOn w:val="56"/>
    <w:link w:val="32"/>
    <w:semiHidden/>
    <w:qFormat/>
    <w:uiPriority w:val="0"/>
    <w:rPr>
      <w:rFonts w:ascii="宋体"/>
      <w:snapToGrid w:val="0"/>
      <w:sz w:val="21"/>
    </w:rPr>
  </w:style>
  <w:style w:type="paragraph" w:customStyle="1" w:styleId="184">
    <w:name w:val="样式 标题 2"/>
    <w:basedOn w:val="3"/>
    <w:next w:val="185"/>
    <w:qFormat/>
    <w:uiPriority w:val="0"/>
    <w:pPr>
      <w:tabs>
        <w:tab w:val="left" w:pos="720"/>
      </w:tabs>
      <w:adjustRightInd/>
      <w:snapToGrid/>
      <w:spacing w:afterLines="50" w:line="240" w:lineRule="auto"/>
      <w:ind w:left="380" w:hanging="380"/>
      <w:textAlignment w:val="auto"/>
    </w:pPr>
    <w:rPr>
      <w:rFonts w:ascii="宋体" w:eastAsia="宋体" w:cs="宋体"/>
      <w:snapToGrid w:val="0"/>
      <w:sz w:val="28"/>
    </w:rPr>
  </w:style>
  <w:style w:type="paragraph" w:customStyle="1" w:styleId="185">
    <w:name w:val="最新标题3"/>
    <w:basedOn w:val="186"/>
    <w:next w:val="187"/>
    <w:qFormat/>
    <w:uiPriority w:val="0"/>
    <w:pPr>
      <w:tabs>
        <w:tab w:val="left" w:pos="709"/>
      </w:tabs>
      <w:spacing w:after="120"/>
    </w:pPr>
  </w:style>
  <w:style w:type="paragraph" w:customStyle="1" w:styleId="186">
    <w:name w:val="样式 标题 3"/>
    <w:basedOn w:val="4"/>
    <w:next w:val="18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7">
    <w:name w:val="最新标题4"/>
    <w:basedOn w:val="188"/>
    <w:next w:val="1"/>
    <w:qFormat/>
    <w:uiPriority w:val="0"/>
    <w:pPr>
      <w:tabs>
        <w:tab w:val="left" w:pos="2100"/>
      </w:tabs>
      <w:spacing w:after="120"/>
      <w:ind w:left="0" w:firstLine="0"/>
    </w:pPr>
  </w:style>
  <w:style w:type="paragraph" w:customStyle="1" w:styleId="188">
    <w:name w:val="样式 标题 4"/>
    <w:basedOn w:val="189"/>
    <w:next w:val="190"/>
    <w:qFormat/>
    <w:uiPriority w:val="0"/>
    <w:pPr>
      <w:tabs>
        <w:tab w:val="left" w:pos="2100"/>
      </w:tabs>
      <w:spacing w:after="50"/>
      <w:ind w:left="2100" w:hanging="420"/>
    </w:pPr>
  </w:style>
  <w:style w:type="paragraph" w:customStyle="1" w:styleId="189">
    <w:name w:val="样式 标题 4Chapter X.X.X.X. + 段后: 0.5 行1"/>
    <w:basedOn w:val="171"/>
    <w:qFormat/>
    <w:uiPriority w:val="0"/>
    <w:pPr>
      <w:spacing w:after="120"/>
    </w:pPr>
  </w:style>
  <w:style w:type="paragraph" w:customStyle="1" w:styleId="190">
    <w:name w:val="样式 正文"/>
    <w:basedOn w:val="1"/>
    <w:next w:val="1"/>
    <w:qFormat/>
    <w:uiPriority w:val="0"/>
    <w:pPr>
      <w:spacing w:afterLines="50"/>
    </w:pPr>
    <w:rPr>
      <w:rFonts w:ascii="宋体" w:cs="宋体"/>
      <w:snapToGrid w:val="0"/>
      <w:kern w:val="0"/>
      <w:szCs w:val="20"/>
    </w:rPr>
  </w:style>
  <w:style w:type="paragraph" w:customStyle="1" w:styleId="191">
    <w:name w:val="样式 标题 2Chapter X.X. Statementh22Header 2l2Level 2 Headhea...1"/>
    <w:basedOn w:val="4"/>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2">
    <w:name w:val="表格标题"/>
    <w:basedOn w:val="193"/>
    <w:qFormat/>
    <w:uiPriority w:val="0"/>
    <w:pPr>
      <w:jc w:val="center"/>
    </w:pPr>
    <w:rPr>
      <w:b/>
      <w:bCs/>
      <w:i/>
      <w:iCs/>
    </w:rPr>
  </w:style>
  <w:style w:type="paragraph" w:customStyle="1" w:styleId="193">
    <w:name w:val="表格内容"/>
    <w:basedOn w:val="18"/>
    <w:qFormat/>
    <w:uiPriority w:val="0"/>
    <w:pPr>
      <w:suppressLineNumbers/>
      <w:suppressAutoHyphens/>
    </w:pPr>
    <w:rPr>
      <w:rFonts w:asciiTheme="minorHAnsi" w:hAnsiTheme="minorHAnsi" w:eastAsiaTheme="minorEastAsia" w:cstheme="minorBidi"/>
      <w:kern w:val="1"/>
      <w:lang w:eastAsia="ar-SA"/>
    </w:rPr>
  </w:style>
  <w:style w:type="paragraph" w:customStyle="1" w:styleId="194">
    <w:name w:val="标准标题3"/>
    <w:basedOn w:val="4"/>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5">
    <w:name w:val="paragraph1"/>
    <w:basedOn w:val="1"/>
    <w:qFormat/>
    <w:uiPriority w:val="0"/>
    <w:pPr>
      <w:spacing w:afterLines="30"/>
      <w:ind w:firstLine="420"/>
    </w:pPr>
    <w:rPr>
      <w:rFonts w:eastAsia="楷体_GB2312"/>
      <w:sz w:val="24"/>
      <w:szCs w:val="20"/>
    </w:rPr>
  </w:style>
  <w:style w:type="paragraph" w:customStyle="1" w:styleId="196">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7">
    <w:name w:val="最新标题2"/>
    <w:basedOn w:val="184"/>
    <w:next w:val="185"/>
    <w:qFormat/>
    <w:uiPriority w:val="0"/>
  </w:style>
  <w:style w:type="paragraph" w:customStyle="1" w:styleId="19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99">
    <w:name w:val="样式 样式 正文文本缩进 + 仿宋_GB2312 小四 首行缩进:  0 厘米 行距: 1.5 倍行距 + (中文) 仿宋_GB..."/>
    <w:basedOn w:val="200"/>
    <w:qFormat/>
    <w:uiPriority w:val="0"/>
    <w:pPr>
      <w:ind w:firstLine="480"/>
    </w:pPr>
  </w:style>
  <w:style w:type="paragraph" w:customStyle="1" w:styleId="200">
    <w:name w:val="样式 正文文本缩进 + 仿宋_GB2312 小四 首行缩进:  0 厘米 行距: 1.5 倍行距"/>
    <w:basedOn w:val="20"/>
    <w:qFormat/>
    <w:uiPriority w:val="0"/>
    <w:pPr>
      <w:spacing w:line="360" w:lineRule="auto"/>
      <w:ind w:firstLine="0"/>
    </w:pPr>
    <w:rPr>
      <w:rFonts w:ascii="仿宋_GB2312" w:hAnsi="Times New Roman" w:eastAsia="新宋体"/>
      <w:spacing w:val="0"/>
      <w:sz w:val="24"/>
    </w:rPr>
  </w:style>
  <w:style w:type="paragraph" w:customStyle="1" w:styleId="201">
    <w:name w:val="样式 标题 1 + 段后: 0.5 行"/>
    <w:basedOn w:val="2"/>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2">
    <w:name w:val="Table - Text"/>
    <w:basedOn w:val="1"/>
    <w:qFormat/>
    <w:uiPriority w:val="0"/>
    <w:pPr>
      <w:widowControl/>
      <w:spacing w:before="60" w:afterLines="50"/>
    </w:pPr>
    <w:rPr>
      <w:kern w:val="0"/>
      <w:szCs w:val="20"/>
      <w:lang w:eastAsia="en-US"/>
    </w:rPr>
  </w:style>
  <w:style w:type="paragraph" w:customStyle="1" w:styleId="20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4">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205">
    <w:name w:val="S4-L15"/>
    <w:basedOn w:val="1"/>
    <w:qFormat/>
    <w:uiPriority w:val="0"/>
    <w:pPr>
      <w:spacing w:after="120"/>
      <w:ind w:left="720" w:firstLine="392"/>
    </w:pPr>
    <w:rPr>
      <w:szCs w:val="21"/>
      <w:lang w:val="fr-FR"/>
    </w:rPr>
  </w:style>
  <w:style w:type="paragraph" w:customStyle="1" w:styleId="206">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7">
    <w:name w:val="样式 标题 4Chapter X.X.X. + 段后: 0.5 行1 + 段后: 0.5 行"/>
    <w:basedOn w:val="208"/>
    <w:qFormat/>
    <w:uiPriority w:val="0"/>
    <w:rPr>
      <w:szCs w:val="21"/>
    </w:rPr>
  </w:style>
  <w:style w:type="paragraph" w:customStyle="1" w:styleId="208">
    <w:name w:val="样式 标题 4Chapter X.X.X. + 段后: 0.5 行1"/>
    <w:basedOn w:val="6"/>
    <w:next w:val="6"/>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10">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1">
    <w:name w:val="Paragraph1"/>
    <w:basedOn w:val="1"/>
    <w:qFormat/>
    <w:uiPriority w:val="0"/>
    <w:pPr>
      <w:spacing w:before="80" w:afterLines="50"/>
    </w:pPr>
    <w:rPr>
      <w:rFonts w:ascii="宋体"/>
      <w:snapToGrid w:val="0"/>
      <w:kern w:val="0"/>
      <w:szCs w:val="20"/>
    </w:rPr>
  </w:style>
  <w:style w:type="character" w:customStyle="1" w:styleId="212">
    <w:name w:val="HTML 预设格式 字符"/>
    <w:basedOn w:val="56"/>
    <w:link w:val="46"/>
    <w:qFormat/>
    <w:uiPriority w:val="0"/>
    <w:rPr>
      <w:rFonts w:ascii="Arial" w:hAnsi="Arial" w:cs="Arial"/>
      <w:sz w:val="24"/>
      <w:szCs w:val="24"/>
    </w:rPr>
  </w:style>
  <w:style w:type="paragraph" w:customStyle="1" w:styleId="213">
    <w:name w:val="S4-L15-No"/>
    <w:basedOn w:val="205"/>
    <w:qFormat/>
    <w:uiPriority w:val="0"/>
    <w:pPr>
      <w:tabs>
        <w:tab w:val="left" w:pos="720"/>
      </w:tabs>
      <w:ind w:hanging="720"/>
    </w:pPr>
  </w:style>
  <w:style w:type="paragraph" w:customStyle="1" w:styleId="214">
    <w:name w:val="样式 样式 样式 标题 3Chapter X.X.X. + 段后: 0.5 行 + 段后: 0.5 行 + 段后: 0.5 行"/>
    <w:basedOn w:val="180"/>
    <w:qFormat/>
    <w:uiPriority w:val="0"/>
    <w:pPr>
      <w:spacing w:after="120"/>
    </w:pPr>
  </w:style>
  <w:style w:type="character" w:customStyle="1" w:styleId="215">
    <w:name w:val="正文文本首行缩进 字符"/>
    <w:basedOn w:val="70"/>
    <w:link w:val="19"/>
    <w:semiHidden/>
    <w:qFormat/>
    <w:uiPriority w:val="0"/>
    <w:rPr>
      <w:kern w:val="2"/>
      <w:sz w:val="21"/>
      <w:szCs w:val="24"/>
    </w:rPr>
  </w:style>
  <w:style w:type="paragraph" w:customStyle="1" w:styleId="216">
    <w:name w:val="Paragraph3"/>
    <w:basedOn w:val="1"/>
    <w:qFormat/>
    <w:uiPriority w:val="0"/>
    <w:pPr>
      <w:spacing w:before="80" w:afterLines="50"/>
      <w:ind w:left="1530"/>
    </w:pPr>
    <w:rPr>
      <w:rFonts w:ascii="宋体"/>
      <w:snapToGrid w:val="0"/>
      <w:kern w:val="0"/>
      <w:szCs w:val="20"/>
    </w:rPr>
  </w:style>
  <w:style w:type="character" w:customStyle="1" w:styleId="217">
    <w:name w:val="文档结构图 字符"/>
    <w:basedOn w:val="56"/>
    <w:link w:val="15"/>
    <w:semiHidden/>
    <w:qFormat/>
    <w:uiPriority w:val="0"/>
    <w:rPr>
      <w:kern w:val="2"/>
      <w:sz w:val="21"/>
      <w:szCs w:val="24"/>
      <w:shd w:val="clear" w:color="auto" w:fill="000080"/>
    </w:rPr>
  </w:style>
  <w:style w:type="paragraph" w:customStyle="1" w:styleId="2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样式 标题 3Chapter X.X.X. + 五号 段后: 0.5 行"/>
    <w:basedOn w:val="4"/>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20">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2">
    <w:name w:val="S4-I-L15-U"/>
    <w:basedOn w:val="1"/>
    <w:qFormat/>
    <w:uiPriority w:val="0"/>
    <w:rPr>
      <w:b/>
      <w:i/>
      <w:sz w:val="24"/>
      <w:u w:val="single"/>
    </w:rPr>
  </w:style>
  <w:style w:type="paragraph" w:customStyle="1" w:styleId="223">
    <w:name w:val="InfoBlue"/>
    <w:basedOn w:val="1"/>
    <w:next w:val="18"/>
    <w:qFormat/>
    <w:uiPriority w:val="0"/>
    <w:pPr>
      <w:spacing w:afterLines="50"/>
      <w:ind w:left="720"/>
    </w:pPr>
    <w:rPr>
      <w:rFonts w:ascii="宋体"/>
      <w:i/>
      <w:snapToGrid w:val="0"/>
      <w:color w:val="0000FF"/>
      <w:kern w:val="0"/>
      <w:szCs w:val="20"/>
    </w:rPr>
  </w:style>
  <w:style w:type="paragraph" w:customStyle="1" w:styleId="224">
    <w:name w:val="标准标题2"/>
    <w:basedOn w:val="3"/>
    <w:qFormat/>
    <w:uiPriority w:val="0"/>
    <w:pPr>
      <w:tabs>
        <w:tab w:val="left" w:pos="720"/>
      </w:tabs>
      <w:adjustRightInd/>
      <w:snapToGrid/>
      <w:spacing w:before="260" w:after="260"/>
      <w:jc w:val="both"/>
      <w:textAlignment w:val="auto"/>
    </w:pPr>
    <w:rPr>
      <w:rFonts w:ascii="Arial" w:hAnsi="Arial"/>
      <w:kern w:val="2"/>
      <w:sz w:val="28"/>
      <w:szCs w:val="32"/>
    </w:rPr>
  </w:style>
  <w:style w:type="paragraph" w:customStyle="1" w:styleId="225">
    <w:name w:val="样式 左侧:  1 厘米 段后: 0.5 行"/>
    <w:basedOn w:val="1"/>
    <w:qFormat/>
    <w:uiPriority w:val="0"/>
    <w:pPr>
      <w:spacing w:afterLines="50"/>
      <w:ind w:firstLine="425"/>
    </w:pPr>
    <w:rPr>
      <w:rFonts w:ascii="宋体" w:cs="宋体"/>
      <w:snapToGrid w:val="0"/>
      <w:kern w:val="0"/>
      <w:szCs w:val="20"/>
    </w:rPr>
  </w:style>
  <w:style w:type="paragraph" w:customStyle="1" w:styleId="226">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7">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8">
    <w:name w:val="样式 标题1"/>
    <w:basedOn w:val="201"/>
    <w:next w:val="197"/>
    <w:qFormat/>
    <w:uiPriority w:val="0"/>
    <w:pPr>
      <w:tabs>
        <w:tab w:val="left" w:pos="1140"/>
      </w:tabs>
      <w:spacing w:after="50"/>
      <w:ind w:left="1140" w:hanging="720"/>
    </w:pPr>
    <w:rPr>
      <w:bCs w:val="0"/>
      <w:sz w:val="32"/>
    </w:rPr>
  </w:style>
  <w:style w:type="paragraph" w:customStyle="1" w:styleId="229">
    <w:name w:val="Tabletext"/>
    <w:basedOn w:val="1"/>
    <w:qFormat/>
    <w:uiPriority w:val="0"/>
    <w:pPr>
      <w:keepLines/>
      <w:spacing w:afterLines="50"/>
    </w:pPr>
    <w:rPr>
      <w:rFonts w:ascii="宋体"/>
      <w:snapToGrid w:val="0"/>
      <w:kern w:val="0"/>
      <w:szCs w:val="20"/>
    </w:rPr>
  </w:style>
  <w:style w:type="paragraph" w:customStyle="1" w:styleId="230">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1">
    <w:name w:val="Bullet2"/>
    <w:basedOn w:val="1"/>
    <w:qFormat/>
    <w:uiPriority w:val="0"/>
    <w:pPr>
      <w:spacing w:afterLines="50"/>
      <w:ind w:left="1440" w:hanging="360"/>
    </w:pPr>
    <w:rPr>
      <w:rFonts w:ascii="宋体"/>
      <w:snapToGrid w:val="0"/>
      <w:color w:val="000080"/>
      <w:kern w:val="0"/>
      <w:szCs w:val="20"/>
    </w:rPr>
  </w:style>
  <w:style w:type="paragraph" w:customStyle="1" w:styleId="232">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4">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5">
    <w:name w:val="S4-L15-C"/>
    <w:basedOn w:val="1"/>
    <w:qFormat/>
    <w:uiPriority w:val="0"/>
    <w:pPr>
      <w:spacing w:after="120"/>
      <w:jc w:val="center"/>
    </w:pPr>
    <w:rPr>
      <w:szCs w:val="21"/>
    </w:rPr>
  </w:style>
  <w:style w:type="paragraph" w:customStyle="1" w:styleId="236">
    <w:name w:val="二级项目符号"/>
    <w:basedOn w:val="1"/>
    <w:qFormat/>
    <w:uiPriority w:val="0"/>
    <w:pPr>
      <w:widowControl/>
      <w:tabs>
        <w:tab w:val="left" w:pos="964"/>
      </w:tabs>
      <w:ind w:left="964" w:hanging="482"/>
    </w:pPr>
    <w:rPr>
      <w:kern w:val="0"/>
      <w:sz w:val="24"/>
      <w:szCs w:val="20"/>
    </w:rPr>
  </w:style>
  <w:style w:type="paragraph" w:customStyle="1" w:styleId="23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8">
    <w:name w:val="页脚 Char1"/>
    <w:basedOn w:val="56"/>
    <w:semiHidden/>
    <w:qFormat/>
    <w:uiPriority w:val="99"/>
    <w:rPr>
      <w:rFonts w:ascii="Times New Roman" w:hAnsi="Times New Roman" w:eastAsia="宋体" w:cs="Times New Roman"/>
      <w:sz w:val="18"/>
      <w:szCs w:val="18"/>
    </w:rPr>
  </w:style>
  <w:style w:type="paragraph" w:customStyle="1" w:styleId="239">
    <w:name w:val="样式 样式 标题 4 + 段后: 0.5 行 + 段后: 0.5 行"/>
    <w:basedOn w:val="171"/>
    <w:qFormat/>
    <w:uiPriority w:val="0"/>
  </w:style>
  <w:style w:type="paragraph" w:customStyle="1" w:styleId="240">
    <w:name w:val="Main Title"/>
    <w:basedOn w:val="1"/>
    <w:qFormat/>
    <w:uiPriority w:val="0"/>
    <w:pPr>
      <w:spacing w:before="480" w:afterLines="50"/>
      <w:jc w:val="center"/>
    </w:pPr>
    <w:rPr>
      <w:rFonts w:ascii="宋体"/>
      <w:b/>
      <w:snapToGrid w:val="0"/>
      <w:kern w:val="28"/>
      <w:sz w:val="32"/>
      <w:szCs w:val="20"/>
    </w:rPr>
  </w:style>
  <w:style w:type="paragraph" w:customStyle="1" w:styleId="241">
    <w:name w:val="样式 样式 正文文本缩进 + 仿宋_GB2312 小四 首行缩进:  0 厘米 行距: 1.5 倍行距 + (中文) 仿宋_GB... Char Char"/>
    <w:basedOn w:val="200"/>
    <w:qFormat/>
    <w:uiPriority w:val="0"/>
    <w:pPr>
      <w:ind w:firstLine="480"/>
    </w:pPr>
  </w:style>
  <w:style w:type="paragraph" w:customStyle="1" w:styleId="242">
    <w:name w:val="标题1"/>
    <w:basedOn w:val="28"/>
    <w:qFormat/>
    <w:uiPriority w:val="0"/>
    <w:rPr>
      <w:rFonts w:cstheme="minorBidi"/>
      <w:b/>
      <w:sz w:val="30"/>
      <w:szCs w:val="22"/>
    </w:rPr>
  </w:style>
  <w:style w:type="paragraph" w:customStyle="1" w:styleId="243">
    <w:name w:val="样式 三号 加粗 段后: 0.5 行"/>
    <w:basedOn w:val="1"/>
    <w:qFormat/>
    <w:uiPriority w:val="0"/>
    <w:pPr>
      <w:spacing w:afterLines="50"/>
    </w:pPr>
    <w:rPr>
      <w:rFonts w:ascii="宋体" w:cs="宋体"/>
      <w:b/>
      <w:bCs/>
      <w:snapToGrid w:val="0"/>
      <w:kern w:val="0"/>
      <w:sz w:val="32"/>
      <w:szCs w:val="20"/>
    </w:rPr>
  </w:style>
  <w:style w:type="paragraph" w:customStyle="1" w:styleId="244">
    <w:name w:val="标准有序列表（L1）"/>
    <w:basedOn w:val="5"/>
    <w:qFormat/>
    <w:uiPriority w:val="0"/>
    <w:pPr>
      <w:tabs>
        <w:tab w:val="left" w:pos="0"/>
      </w:tabs>
      <w:ind w:firstLine="0"/>
    </w:pPr>
    <w:rPr>
      <w:rFonts w:ascii="黑体" w:eastAsia="黑体" w:hAnsiTheme="minorHAnsi" w:cstheme="minorBidi"/>
      <w:color w:val="000000"/>
      <w:sz w:val="24"/>
      <w:szCs w:val="22"/>
    </w:rPr>
  </w:style>
  <w:style w:type="paragraph" w:customStyle="1" w:styleId="245">
    <w:name w:val="IBM 正文"/>
    <w:basedOn w:val="1"/>
    <w:qFormat/>
    <w:uiPriority w:val="0"/>
    <w:pPr>
      <w:spacing w:line="360" w:lineRule="atLeast"/>
    </w:pPr>
    <w:rPr>
      <w:sz w:val="24"/>
      <w:szCs w:val="20"/>
    </w:rPr>
  </w:style>
  <w:style w:type="paragraph" w:customStyle="1" w:styleId="246">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7">
    <w:name w:val="S4-I-U-L15-No-dot"/>
    <w:basedOn w:val="1"/>
    <w:qFormat/>
    <w:uiPriority w:val="0"/>
    <w:pPr>
      <w:tabs>
        <w:tab w:val="left" w:pos="1112"/>
      </w:tabs>
      <w:spacing w:after="120"/>
      <w:ind w:left="1112" w:hanging="420"/>
    </w:pPr>
    <w:rPr>
      <w:i/>
      <w:sz w:val="24"/>
      <w:u w:val="single"/>
    </w:rPr>
  </w:style>
  <w:style w:type="paragraph" w:customStyle="1" w:styleId="248">
    <w:name w:val="Paragraph4"/>
    <w:basedOn w:val="1"/>
    <w:qFormat/>
    <w:uiPriority w:val="0"/>
    <w:pPr>
      <w:spacing w:before="80" w:afterLines="50"/>
      <w:ind w:left="2250"/>
    </w:pPr>
    <w:rPr>
      <w:rFonts w:ascii="宋体"/>
      <w:snapToGrid w:val="0"/>
      <w:kern w:val="0"/>
      <w:szCs w:val="20"/>
    </w:rPr>
  </w:style>
  <w:style w:type="paragraph" w:customStyle="1" w:styleId="249">
    <w:name w:val="样式 标题 1 + 五号1 Char Char Char Char Char Char Char Char Char Char Char Char Char Char Char Char Char"/>
    <w:basedOn w:val="2"/>
    <w:qFormat/>
    <w:uiPriority w:val="0"/>
    <w:pPr>
      <w:tabs>
        <w:tab w:val="left" w:pos="360"/>
      </w:tabs>
      <w:spacing w:line="480" w:lineRule="auto"/>
    </w:pPr>
    <w:rPr>
      <w:sz w:val="21"/>
    </w:rPr>
  </w:style>
  <w:style w:type="paragraph" w:customStyle="1" w:styleId="250">
    <w:name w:val="样式 标题 3Chapter X.X.X. + 段后: 0.5 行1"/>
    <w:basedOn w:val="4"/>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1">
    <w:name w:val="Body"/>
    <w:basedOn w:val="1"/>
    <w:qFormat/>
    <w:uiPriority w:val="0"/>
    <w:pPr>
      <w:widowControl/>
      <w:spacing w:before="120" w:afterLines="50"/>
    </w:pPr>
    <w:rPr>
      <w:rFonts w:ascii="宋体"/>
      <w:snapToGrid w:val="0"/>
      <w:kern w:val="0"/>
      <w:szCs w:val="20"/>
    </w:rPr>
  </w:style>
  <w:style w:type="paragraph" w:customStyle="1" w:styleId="252">
    <w:name w:val="Proposals body"/>
    <w:basedOn w:val="1"/>
    <w:next w:val="1"/>
    <w:qFormat/>
    <w:uiPriority w:val="0"/>
    <w:pPr>
      <w:widowControl/>
    </w:pPr>
    <w:rPr>
      <w:rFonts w:ascii="宋体"/>
      <w:snapToGrid w:val="0"/>
      <w:color w:val="000000"/>
      <w:kern w:val="0"/>
      <w:sz w:val="24"/>
      <w:szCs w:val="20"/>
    </w:rPr>
  </w:style>
  <w:style w:type="paragraph" w:customStyle="1" w:styleId="253">
    <w:name w:val="章正文"/>
    <w:basedOn w:val="1"/>
    <w:qFormat/>
    <w:uiPriority w:val="0"/>
    <w:pPr>
      <w:spacing w:beforeLines="50" w:after="120" w:line="300" w:lineRule="auto"/>
    </w:pPr>
    <w:rPr>
      <w:rFonts w:ascii="Helvetica" w:hAnsi="Helvetica"/>
      <w:kern w:val="0"/>
      <w:sz w:val="24"/>
    </w:rPr>
  </w:style>
  <w:style w:type="paragraph" w:customStyle="1" w:styleId="254">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5">
    <w:name w:val="样式 标题 2 + 五号"/>
    <w:basedOn w:val="3"/>
    <w:qFormat/>
    <w:uiPriority w:val="0"/>
    <w:pPr>
      <w:tabs>
        <w:tab w:val="left" w:pos="720"/>
      </w:tabs>
      <w:adjustRightInd/>
      <w:snapToGrid/>
      <w:spacing w:line="240" w:lineRule="auto"/>
      <w:jc w:val="both"/>
      <w:textAlignment w:val="auto"/>
    </w:pPr>
    <w:rPr>
      <w:rFonts w:ascii="宋体" w:hAnsi="宋体" w:eastAsia="宋体"/>
      <w:kern w:val="2"/>
      <w:szCs w:val="32"/>
    </w:rPr>
  </w:style>
  <w:style w:type="paragraph" w:customStyle="1" w:styleId="256">
    <w:name w:val="样式 标题 1 + 五号"/>
    <w:basedOn w:val="2"/>
    <w:qFormat/>
    <w:uiPriority w:val="0"/>
    <w:pPr>
      <w:tabs>
        <w:tab w:val="left" w:pos="360"/>
      </w:tabs>
      <w:spacing w:line="240" w:lineRule="auto"/>
    </w:pPr>
    <w:rPr>
      <w:sz w:val="32"/>
      <w:szCs w:val="32"/>
    </w:rPr>
  </w:style>
  <w:style w:type="paragraph" w:customStyle="1" w:styleId="257">
    <w:name w:val="文本框内文字"/>
    <w:basedOn w:val="1"/>
    <w:qFormat/>
    <w:uiPriority w:val="0"/>
    <w:pPr>
      <w:spacing w:line="0" w:lineRule="atLeast"/>
    </w:pPr>
    <w:rPr>
      <w:rFonts w:eastAsia="仿宋_GB2312"/>
      <w:sz w:val="22"/>
    </w:rPr>
  </w:style>
  <w:style w:type="paragraph" w:customStyle="1" w:styleId="258">
    <w:name w:val="P1"/>
    <w:basedOn w:val="1"/>
    <w:qFormat/>
    <w:uiPriority w:val="0"/>
    <w:pPr>
      <w:widowControl/>
      <w:spacing w:before="240" w:line="240" w:lineRule="atLeast"/>
    </w:pPr>
    <w:rPr>
      <w:b/>
      <w:kern w:val="0"/>
      <w:szCs w:val="21"/>
      <w:lang w:val="en-AU" w:eastAsia="en-US"/>
    </w:rPr>
  </w:style>
  <w:style w:type="paragraph" w:customStyle="1" w:styleId="259">
    <w:name w:val="最新标题1"/>
    <w:basedOn w:val="228"/>
    <w:next w:val="197"/>
    <w:qFormat/>
    <w:uiPriority w:val="0"/>
    <w:pPr>
      <w:spacing w:after="120"/>
    </w:pPr>
    <w:rPr>
      <w:bCs/>
    </w:rPr>
  </w:style>
  <w:style w:type="paragraph" w:customStyle="1" w:styleId="260">
    <w:name w:val="P2"/>
    <w:basedOn w:val="1"/>
    <w:qFormat/>
    <w:uiPriority w:val="0"/>
    <w:pPr>
      <w:widowControl/>
      <w:spacing w:before="240" w:line="240" w:lineRule="atLeast"/>
      <w:ind w:left="578"/>
    </w:pPr>
    <w:rPr>
      <w:b/>
      <w:kern w:val="0"/>
      <w:szCs w:val="21"/>
      <w:lang w:val="en-AU" w:eastAsia="en-US"/>
    </w:rPr>
  </w:style>
  <w:style w:type="paragraph" w:customStyle="1" w:styleId="261">
    <w:name w:val="Style-正文"/>
    <w:basedOn w:val="1"/>
    <w:qFormat/>
    <w:uiPriority w:val="0"/>
    <w:pPr>
      <w:ind w:firstLine="420"/>
    </w:pPr>
    <w:rPr>
      <w:rFonts w:ascii="宋体" w:hAnsi="宋体"/>
      <w:sz w:val="24"/>
    </w:rPr>
  </w:style>
  <w:style w:type="paragraph" w:customStyle="1" w:styleId="262">
    <w:name w:val="P3"/>
    <w:basedOn w:val="1"/>
    <w:qFormat/>
    <w:uiPriority w:val="0"/>
    <w:pPr>
      <w:widowControl/>
      <w:spacing w:before="240" w:line="240" w:lineRule="atLeast"/>
      <w:ind w:left="1152"/>
    </w:pPr>
    <w:rPr>
      <w:b/>
      <w:kern w:val="0"/>
      <w:szCs w:val="21"/>
      <w:lang w:val="en-AU" w:eastAsia="en-US"/>
    </w:rPr>
  </w:style>
  <w:style w:type="paragraph" w:customStyle="1" w:styleId="263">
    <w:name w:val="Plain Text1"/>
    <w:basedOn w:val="1"/>
    <w:qFormat/>
    <w:uiPriority w:val="0"/>
    <w:pPr>
      <w:autoSpaceDE w:val="0"/>
      <w:autoSpaceDN w:val="0"/>
      <w:adjustRightInd w:val="0"/>
    </w:pPr>
    <w:rPr>
      <w:rFonts w:hint="eastAsia" w:ascii="宋体" w:hAnsi="宋体"/>
      <w:sz w:val="24"/>
      <w:szCs w:val="20"/>
    </w:rPr>
  </w:style>
  <w:style w:type="paragraph" w:customStyle="1" w:styleId="264">
    <w:name w:val="样式　标题4"/>
    <w:basedOn w:val="208"/>
    <w:next w:val="1"/>
    <w:qFormat/>
    <w:uiPriority w:val="0"/>
  </w:style>
  <w:style w:type="paragraph" w:customStyle="1" w:styleId="265">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6">
    <w:name w:val="样式 模板描述"/>
    <w:basedOn w:val="1"/>
    <w:next w:val="190"/>
    <w:qFormat/>
    <w:uiPriority w:val="0"/>
    <w:pPr>
      <w:spacing w:afterLines="50"/>
    </w:pPr>
    <w:rPr>
      <w:rFonts w:ascii="宋体" w:cs="宋体"/>
      <w:i/>
      <w:iCs/>
      <w:snapToGrid w:val="0"/>
      <w:color w:val="0000FF"/>
      <w:kern w:val="0"/>
      <w:szCs w:val="21"/>
    </w:rPr>
  </w:style>
  <w:style w:type="paragraph" w:customStyle="1" w:styleId="267">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8">
    <w:name w:val="样式2"/>
    <w:basedOn w:val="3"/>
    <w:qFormat/>
    <w:uiPriority w:val="0"/>
    <w:pPr>
      <w:tabs>
        <w:tab w:val="left" w:pos="600"/>
        <w:tab w:val="left" w:pos="720"/>
      </w:tabs>
      <w:adjustRightInd/>
      <w:snapToGrid/>
      <w:spacing w:before="260" w:after="260" w:line="416" w:lineRule="auto"/>
      <w:ind w:left="600" w:hanging="600"/>
      <w:jc w:val="both"/>
      <w:textAlignment w:val="auto"/>
    </w:pPr>
    <w:rPr>
      <w:rFonts w:ascii="Arial" w:hAnsi="Arial" w:eastAsia="宋体"/>
      <w:kern w:val="2"/>
      <w:sz w:val="32"/>
      <w:szCs w:val="32"/>
    </w:rPr>
  </w:style>
  <w:style w:type="paragraph" w:customStyle="1" w:styleId="269">
    <w:name w:val="S4-B-L15"/>
    <w:basedOn w:val="1"/>
    <w:qFormat/>
    <w:uiPriority w:val="0"/>
    <w:rPr>
      <w:b/>
      <w:bCs/>
      <w:sz w:val="24"/>
    </w:rPr>
  </w:style>
  <w:style w:type="paragraph" w:customStyle="1" w:styleId="270">
    <w:name w:val="样式 标题 3(A-3)sect1.2.3h3H3level_3PIM 3Level 3 HeadHeading..."/>
    <w:basedOn w:val="4"/>
    <w:qFormat/>
    <w:uiPriority w:val="0"/>
    <w:pPr>
      <w:tabs>
        <w:tab w:val="left" w:pos="709"/>
      </w:tabs>
      <w:spacing w:line="416" w:lineRule="auto"/>
      <w:ind w:firstLine="0" w:firstLineChars="0"/>
    </w:pPr>
    <w:rPr>
      <w:rFonts w:ascii="Arial" w:hAnsi="Arial" w:eastAsia="宋体"/>
      <w:szCs w:val="32"/>
    </w:rPr>
  </w:style>
  <w:style w:type="paragraph" w:customStyle="1" w:styleId="271">
    <w:name w:val="Char Char2"/>
    <w:basedOn w:val="1"/>
    <w:qFormat/>
    <w:uiPriority w:val="0"/>
    <w:rPr>
      <w:rFonts w:ascii="仿宋_GB2312" w:eastAsia="仿宋_GB2312"/>
      <w:b/>
      <w:sz w:val="32"/>
      <w:szCs w:val="32"/>
    </w:rPr>
  </w:style>
  <w:style w:type="paragraph" w:customStyle="1" w:styleId="272">
    <w:name w:val="p0"/>
    <w:basedOn w:val="1"/>
    <w:qFormat/>
    <w:uiPriority w:val="0"/>
    <w:pPr>
      <w:widowControl/>
    </w:pPr>
    <w:rPr>
      <w:kern w:val="0"/>
      <w:szCs w:val="21"/>
    </w:rPr>
  </w:style>
  <w:style w:type="table" w:customStyle="1" w:styleId="273">
    <w:name w:val="网格表 4 - 着色 11"/>
    <w:basedOn w:val="52"/>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4">
    <w:name w:val="font21"/>
    <w:qFormat/>
    <w:uiPriority w:val="0"/>
    <w:rPr>
      <w:rFonts w:hint="eastAsia" w:ascii="宋体" w:hAnsi="宋体" w:eastAsia="宋体" w:cs="宋体"/>
      <w:color w:val="000000"/>
      <w:sz w:val="24"/>
      <w:szCs w:val="24"/>
      <w:u w:val="none"/>
    </w:rPr>
  </w:style>
  <w:style w:type="paragraph" w:customStyle="1" w:styleId="27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7">
    <w:name w:val="NormalCharacter"/>
    <w:qFormat/>
    <w:uiPriority w:val="0"/>
  </w:style>
  <w:style w:type="character" w:customStyle="1" w:styleId="278">
    <w:name w:val="标题 Char3"/>
    <w:qFormat/>
    <w:uiPriority w:val="0"/>
    <w:rPr>
      <w:rFonts w:ascii="Cambria" w:hAnsi="Cambria" w:eastAsia="宋体"/>
      <w:b/>
      <w:bCs/>
      <w:kern w:val="2"/>
      <w:sz w:val="32"/>
      <w:szCs w:val="32"/>
      <w:lang w:bidi="ar-SA"/>
    </w:rPr>
  </w:style>
  <w:style w:type="character" w:customStyle="1" w:styleId="279">
    <w:name w:val="正文缩进 Char2"/>
    <w:qFormat/>
    <w:uiPriority w:val="0"/>
  </w:style>
  <w:style w:type="paragraph" w:customStyle="1" w:styleId="280">
    <w:name w:val="样式 加粗 段前: 7.8 磅 段后: 7.8 磅 行距: 固定值 20 磅"/>
    <w:basedOn w:val="1"/>
    <w:qFormat/>
    <w:uiPriority w:val="0"/>
    <w:pPr>
      <w:spacing w:before="60" w:after="60" w:line="360" w:lineRule="exact"/>
      <w:ind w:firstLine="0" w:firstLineChars="0"/>
      <w:jc w:val="both"/>
    </w:pPr>
    <w:rPr>
      <w:rFonts w:eastAsia="宋体" w:cs="宋体"/>
      <w:b/>
      <w:bCs/>
      <w:spacing w:val="-2"/>
      <w:sz w:val="24"/>
      <w:szCs w:val="20"/>
    </w:rPr>
  </w:style>
  <w:style w:type="character" w:customStyle="1" w:styleId="281">
    <w:name w:val="未处理的提及1"/>
    <w:basedOn w:val="56"/>
    <w:semiHidden/>
    <w:unhideWhenUsed/>
    <w:qFormat/>
    <w:uiPriority w:val="99"/>
    <w:rPr>
      <w:color w:val="605E5C"/>
      <w:shd w:val="clear" w:color="auto" w:fill="E1DFDD"/>
    </w:rPr>
  </w:style>
  <w:style w:type="character" w:customStyle="1" w:styleId="282">
    <w:name w:val="纯文本 字符2"/>
    <w:qFormat/>
    <w:uiPriority w:val="0"/>
    <w:rPr>
      <w:rFonts w:ascii="宋体" w:hAnsi="Courier New" w:eastAsia="宋体" w:cs="Times New Roman"/>
      <w:kern w:val="2"/>
      <w:sz w:val="24"/>
      <w:szCs w:val="24"/>
      <w:lang w:val="en-US" w:eastAsia="zh-CN" w:bidi="ar-SA"/>
    </w:rPr>
  </w:style>
  <w:style w:type="character" w:customStyle="1" w:styleId="283">
    <w:name w:val="List Paragraph Char"/>
    <w:link w:val="117"/>
    <w:qFormat/>
    <w:uiPriority w:val="0"/>
    <w:rPr>
      <w:rFonts w:ascii="Calibri" w:hAnsi="Calibri" w:eastAsia="微软雅黑"/>
      <w:kern w:val="2"/>
      <w:sz w:val="21"/>
    </w:rPr>
  </w:style>
  <w:style w:type="character" w:customStyle="1" w:styleId="284">
    <w:name w:val="正文文本缩进 字符1"/>
    <w:qFormat/>
    <w:uiPriority w:val="0"/>
    <w:rPr>
      <w:rFonts w:ascii="宋体" w:hAnsi="Courier New"/>
      <w:spacing w:val="-4"/>
      <w:kern w:val="2"/>
      <w:sz w:val="18"/>
    </w:rPr>
  </w:style>
  <w:style w:type="paragraph" w:customStyle="1" w:styleId="285">
    <w:name w:val="清單段落"/>
    <w:basedOn w:val="1"/>
    <w:qFormat/>
    <w:uiPriority w:val="0"/>
    <w:pPr>
      <w:spacing w:line="240" w:lineRule="auto"/>
      <w:ind w:left="480" w:leftChars="200" w:firstLine="0" w:firstLineChars="0"/>
      <w:jc w:val="both"/>
    </w:pPr>
    <w:rPr>
      <w:rFonts w:eastAsia="宋体"/>
    </w:rPr>
  </w:style>
  <w:style w:type="character" w:customStyle="1" w:styleId="286">
    <w:name w:val="未处理的提及2"/>
    <w:basedOn w:val="56"/>
    <w:semiHidden/>
    <w:unhideWhenUsed/>
    <w:qFormat/>
    <w:uiPriority w:val="99"/>
    <w:rPr>
      <w:color w:val="605E5C"/>
      <w:shd w:val="clear" w:color="auto" w:fill="E1DFDD"/>
    </w:rPr>
  </w:style>
  <w:style w:type="character" w:customStyle="1" w:styleId="287">
    <w:name w:val="正文文本首行缩进 2 字符"/>
    <w:basedOn w:val="75"/>
    <w:link w:val="51"/>
    <w:semiHidden/>
    <w:qFormat/>
    <w:uiPriority w:val="0"/>
    <w:rPr>
      <w:rFonts w:ascii="宋体" w:hAnsi="Courier New" w:eastAsia="微软雅黑"/>
      <w:spacing w:val="-4"/>
      <w:kern w:val="2"/>
      <w:sz w:val="21"/>
      <w:szCs w:val="24"/>
    </w:rPr>
  </w:style>
  <w:style w:type="character" w:customStyle="1" w:styleId="288">
    <w:name w:val="标书正文 Char"/>
    <w:qFormat/>
    <w:uiPriority w:val="0"/>
    <w:rPr>
      <w:rFonts w:ascii="宋体" w:hAnsi="宋体" w:eastAsia="宋体" w:cs="Times New Roman"/>
      <w:kern w:val="0"/>
      <w:sz w:val="24"/>
      <w:szCs w:val="20"/>
    </w:rPr>
  </w:style>
  <w:style w:type="character" w:customStyle="1" w:styleId="289">
    <w:name w:val="未处理的提及3"/>
    <w:basedOn w:val="56"/>
    <w:semiHidden/>
    <w:unhideWhenUsed/>
    <w:qFormat/>
    <w:uiPriority w:val="99"/>
    <w:rPr>
      <w:color w:val="605E5C"/>
      <w:shd w:val="clear" w:color="auto" w:fill="E1DFDD"/>
    </w:rPr>
  </w:style>
  <w:style w:type="paragraph" w:customStyle="1" w:styleId="290">
    <w:name w:val="正文2"/>
    <w:basedOn w:val="1"/>
    <w:qFormat/>
    <w:uiPriority w:val="0"/>
    <w:pPr>
      <w:spacing w:before="156"/>
      <w:ind w:firstLine="510"/>
      <w:jc w:val="both"/>
    </w:pPr>
    <w:rPr>
      <w:rFonts w:eastAsia="宋体" w:cs="宋体"/>
      <w:sz w:val="24"/>
      <w:szCs w:val="20"/>
    </w:rPr>
  </w:style>
  <w:style w:type="paragraph" w:customStyle="1" w:styleId="291">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292">
    <w:name w:val="部分1"/>
    <w:basedOn w:val="1"/>
    <w:qFormat/>
    <w:uiPriority w:val="0"/>
    <w:pPr>
      <w:keepNext/>
      <w:pageBreakBefore/>
      <w:tabs>
        <w:tab w:val="left" w:pos="720"/>
      </w:tabs>
      <w:ind w:firstLine="0" w:firstLineChars="0"/>
      <w:jc w:val="center"/>
      <w:outlineLvl w:val="0"/>
    </w:pPr>
    <w:rPr>
      <w:rFonts w:eastAsia="黑体" w:cs="宋体"/>
      <w:b/>
      <w:kern w:val="44"/>
      <w:sz w:val="36"/>
      <w:szCs w:val="20"/>
    </w:rPr>
  </w:style>
  <w:style w:type="paragraph" w:customStyle="1" w:styleId="293">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4">
    <w:name w:val="纯文本 字符3"/>
    <w:qFormat/>
    <w:locked/>
    <w:uiPriority w:val="0"/>
    <w:rPr>
      <w:rFonts w:ascii="宋体" w:hAnsi="Courier New"/>
    </w:rPr>
  </w:style>
  <w:style w:type="paragraph" w:customStyle="1" w:styleId="295">
    <w:name w:val="首行缩进"/>
    <w:basedOn w:val="1"/>
    <w:qFormat/>
    <w:uiPriority w:val="0"/>
    <w:rPr>
      <w:rFonts w:ascii="宋体" w:hAnsi="宋体" w:eastAsia="宋体"/>
      <w:sz w:val="24"/>
      <w:szCs w:val="20"/>
    </w:rPr>
  </w:style>
  <w:style w:type="character" w:customStyle="1" w:styleId="296">
    <w:name w:val="未处理的提及4"/>
    <w:basedOn w:val="56"/>
    <w:semiHidden/>
    <w:unhideWhenUsed/>
    <w:qFormat/>
    <w:uiPriority w:val="99"/>
    <w:rPr>
      <w:color w:val="605E5C"/>
      <w:shd w:val="clear" w:color="auto" w:fill="E1DFDD"/>
    </w:rPr>
  </w:style>
  <w:style w:type="paragraph" w:customStyle="1" w:styleId="297">
    <w:name w:val="paragraph"/>
    <w:basedOn w:val="1"/>
    <w:qFormat/>
    <w:uiPriority w:val="0"/>
    <w:pPr>
      <w:widowControl/>
      <w:spacing w:before="100" w:beforeAutospacing="1" w:after="100" w:afterAutospacing="1" w:line="240" w:lineRule="auto"/>
      <w:ind w:firstLine="0" w:firstLineChars="0"/>
    </w:pPr>
    <w:rPr>
      <w:rFonts w:ascii="宋体" w:hAnsi="宋体" w:eastAsia="宋体"/>
      <w:kern w:val="0"/>
      <w:sz w:val="24"/>
    </w:rPr>
  </w:style>
  <w:style w:type="character" w:customStyle="1" w:styleId="298">
    <w:name w:val="未处理的提及5"/>
    <w:basedOn w:val="56"/>
    <w:semiHidden/>
    <w:unhideWhenUsed/>
    <w:qFormat/>
    <w:uiPriority w:val="99"/>
    <w:rPr>
      <w:color w:val="605E5C"/>
      <w:shd w:val="clear" w:color="auto" w:fill="E1DFDD"/>
    </w:rPr>
  </w:style>
  <w:style w:type="character" w:customStyle="1" w:styleId="299">
    <w:name w:val="font51"/>
    <w:basedOn w:val="56"/>
    <w:qFormat/>
    <w:uiPriority w:val="0"/>
    <w:rPr>
      <w:rFonts w:hint="eastAsia" w:ascii="宋体" w:hAnsi="宋体" w:eastAsia="宋体" w:cs="宋体"/>
      <w:color w:val="FF0000"/>
      <w:sz w:val="21"/>
      <w:szCs w:val="21"/>
      <w:u w:val="none"/>
    </w:rPr>
  </w:style>
  <w:style w:type="paragraph" w:customStyle="1" w:styleId="300">
    <w:name w:val="样式 标题 1 + 四号 加粗"/>
    <w:basedOn w:val="2"/>
    <w:qFormat/>
    <w:uiPriority w:val="0"/>
  </w:style>
  <w:style w:type="paragraph" w:customStyle="1" w:styleId="301">
    <w:name w:val="BodyTextIndent"/>
    <w:basedOn w:val="1"/>
    <w:qFormat/>
    <w:uiPriority w:val="0"/>
    <w:pPr>
      <w:widowControl/>
      <w:spacing w:after="120"/>
      <w:ind w:left="420" w:leftChars="200"/>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5"/>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74</Pages>
  <Words>3400</Words>
  <Characters>4297</Characters>
  <Lines>263</Lines>
  <Paragraphs>74</Paragraphs>
  <TotalTime>19</TotalTime>
  <ScaleCrop>false</ScaleCrop>
  <LinksUpToDate>false</LinksUpToDate>
  <CharactersWithSpaces>4675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2024-08-20T06:37:00Z</dcterms:created>
  <dc:creator>微软用户</dc:creator>
  <cp:lastModifiedBy>章大莉</cp:lastModifiedBy>
  <cp:lastPrinted>2025-02-23T12:50:00Z</cp:lastPrinted>
  <dcterms:modified xsi:type="dcterms:W3CDTF">2025-06-17T07:54:47Z</dcterms:modified>
  <dc:title>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7DBACB0AF70B4DF68DCF5D597FD70904_13</vt:lpwstr>
  </property>
  <property fmtid="{D5CDD505-2E9C-101B-9397-08002B2CF9AE}" pid="4" name="KSOTemplateDocerSaveRecord">
    <vt:lpwstr>eyJoZGlkIjoiZDQyNmEwZDk3ZWMyODI4MTg4N2Y2OGIzNWNmNDQ1MmYiLCJ1c2VySWQiOiIxMTUwNjU0MTEyIn0=</vt:lpwstr>
  </property>
</Properties>
</file>