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BC3F0">
      <w:pPr>
        <w:pStyle w:val="114"/>
        <w:ind w:firstLine="480"/>
        <w:rPr>
          <w:rFonts w:hint="eastAsia" w:ascii="微软雅黑" w:hAnsi="微软雅黑" w:eastAsia="微软雅黑" w:cs="微软雅黑"/>
          <w:highlight w:val="none"/>
        </w:rPr>
      </w:pPr>
    </w:p>
    <w:p w14:paraId="2949DAC8">
      <w:pPr>
        <w:pStyle w:val="114"/>
        <w:ind w:firstLine="480"/>
        <w:rPr>
          <w:rFonts w:hint="eastAsia" w:ascii="微软雅黑" w:hAnsi="微软雅黑" w:eastAsia="微软雅黑" w:cs="微软雅黑"/>
          <w:highlight w:val="none"/>
        </w:rPr>
      </w:pPr>
    </w:p>
    <w:p w14:paraId="115AE0C2">
      <w:pPr>
        <w:ind w:left="599" w:leftChars="-202" w:right="-521" w:rightChars="-248" w:hanging="1023" w:hangingChars="142"/>
        <w:jc w:val="center"/>
        <w:outlineLvl w:val="0"/>
        <w:rPr>
          <w:rFonts w:hint="eastAsia" w:ascii="微软雅黑" w:hAnsi="微软雅黑" w:eastAsia="微软雅黑" w:cs="微软雅黑"/>
          <w:b/>
          <w:bCs/>
          <w:sz w:val="72"/>
          <w:szCs w:val="72"/>
          <w:highlight w:val="none"/>
        </w:rPr>
      </w:pPr>
      <w:bookmarkStart w:id="0" w:name="_Toc12262"/>
      <w:bookmarkStart w:id="1" w:name="_Toc191238328"/>
      <w:bookmarkStart w:id="2" w:name="_Toc27013"/>
      <w:bookmarkStart w:id="3" w:name="_Toc14988"/>
      <w:r>
        <w:rPr>
          <w:rFonts w:hint="eastAsia" w:ascii="微软雅黑" w:hAnsi="微软雅黑" w:eastAsia="微软雅黑" w:cs="微软雅黑"/>
          <w:b/>
          <w:bCs/>
          <w:sz w:val="72"/>
          <w:szCs w:val="72"/>
          <w:highlight w:val="none"/>
        </w:rPr>
        <w:t>政府采购电子交易项目</w:t>
      </w:r>
      <w:bookmarkEnd w:id="0"/>
      <w:bookmarkEnd w:id="1"/>
      <w:bookmarkEnd w:id="2"/>
      <w:bookmarkEnd w:id="3"/>
    </w:p>
    <w:p w14:paraId="666D2B7F">
      <w:pPr>
        <w:pStyle w:val="276"/>
        <w:spacing w:line="360" w:lineRule="auto"/>
        <w:jc w:val="center"/>
        <w:outlineLvl w:val="0"/>
        <w:rPr>
          <w:rFonts w:hint="eastAsia" w:ascii="微软雅黑" w:hAnsi="微软雅黑" w:eastAsia="微软雅黑" w:cs="微软雅黑"/>
          <w:b/>
          <w:bCs/>
          <w:sz w:val="72"/>
          <w:szCs w:val="72"/>
          <w:highlight w:val="none"/>
        </w:rPr>
      </w:pPr>
      <w:bookmarkStart w:id="4" w:name="_Toc191238329"/>
      <w:bookmarkStart w:id="5" w:name="_Toc26364"/>
      <w:r>
        <w:rPr>
          <w:rFonts w:hint="eastAsia" w:ascii="微软雅黑" w:hAnsi="微软雅黑" w:eastAsia="微软雅黑" w:cs="微软雅黑"/>
          <w:b/>
          <w:bCs/>
          <w:sz w:val="72"/>
          <w:szCs w:val="72"/>
          <w:highlight w:val="none"/>
        </w:rPr>
        <w:t>竞争性磋商文件</w:t>
      </w:r>
      <w:bookmarkEnd w:id="4"/>
      <w:bookmarkEnd w:id="5"/>
    </w:p>
    <w:p w14:paraId="052A89BF">
      <w:pPr>
        <w:pStyle w:val="276"/>
        <w:spacing w:line="360" w:lineRule="auto"/>
        <w:rPr>
          <w:rFonts w:hint="eastAsia" w:ascii="微软雅黑" w:hAnsi="微软雅黑" w:eastAsia="微软雅黑" w:cs="微软雅黑"/>
          <w:highlight w:val="none"/>
        </w:rPr>
      </w:pPr>
    </w:p>
    <w:p w14:paraId="4BF3195C">
      <w:pPr>
        <w:ind w:left="120" w:leftChars="-337" w:right="-804" w:rightChars="-383" w:hanging="828" w:hangingChars="230"/>
        <w:jc w:val="center"/>
        <w:rPr>
          <w:rFonts w:hint="eastAsia" w:ascii="微软雅黑" w:hAnsi="微软雅黑" w:eastAsia="微软雅黑" w:cs="微软雅黑"/>
          <w:b/>
          <w:bCs/>
          <w:sz w:val="36"/>
          <w:szCs w:val="36"/>
          <w:highlight w:val="none"/>
        </w:rPr>
      </w:pPr>
      <w:r>
        <w:rPr>
          <w:rFonts w:hint="eastAsia" w:ascii="微软雅黑" w:hAnsi="微软雅黑" w:eastAsia="微软雅黑" w:cs="微软雅黑"/>
          <w:b/>
          <w:bCs/>
          <w:sz w:val="36"/>
          <w:szCs w:val="36"/>
          <w:highlight w:val="none"/>
        </w:rPr>
        <w:drawing>
          <wp:inline distT="0" distB="0" distL="0" distR="0">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24"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4820C85F">
      <w:pPr>
        <w:pStyle w:val="29"/>
        <w:pBdr>
          <w:bottom w:val="thinThickThinMediumGap" w:color="auto" w:sz="18" w:space="1"/>
        </w:pBdr>
        <w:spacing w:line="360" w:lineRule="auto"/>
        <w:ind w:firstLine="0" w:firstLineChars="0"/>
        <w:jc w:val="distribute"/>
        <w:rPr>
          <w:rFonts w:hint="eastAsia" w:ascii="微软雅黑" w:hAnsi="微软雅黑" w:eastAsia="微软雅黑" w:cs="微软雅黑"/>
          <w:b/>
          <w:bCs/>
          <w:w w:val="95"/>
          <w:sz w:val="28"/>
          <w:szCs w:val="28"/>
          <w:highlight w:val="none"/>
        </w:rPr>
      </w:pPr>
      <w:bookmarkStart w:id="6" w:name="_Toc191238330"/>
      <w:bookmarkStart w:id="7" w:name="_Toc2807"/>
      <w:bookmarkStart w:id="8" w:name="_Toc5618"/>
      <w:bookmarkStart w:id="9" w:name="_Toc17379"/>
      <w:bookmarkStart w:id="10" w:name="_Toc18138"/>
      <w:r>
        <w:rPr>
          <w:rFonts w:hint="eastAsia" w:ascii="微软雅黑" w:hAnsi="微软雅黑" w:eastAsia="微软雅黑" w:cs="微软雅黑"/>
          <w:b/>
          <w:bCs/>
          <w:w w:val="95"/>
          <w:sz w:val="28"/>
          <w:szCs w:val="28"/>
          <w:highlight w:val="none"/>
        </w:rPr>
        <w:t>嘉兴市千秋工程咨询有限公司</w:t>
      </w:r>
      <w:bookmarkEnd w:id="6"/>
      <w:bookmarkEnd w:id="7"/>
      <w:bookmarkEnd w:id="8"/>
      <w:bookmarkEnd w:id="9"/>
      <w:bookmarkEnd w:id="10"/>
    </w:p>
    <w:p w14:paraId="2CB3B835">
      <w:pPr>
        <w:pStyle w:val="29"/>
        <w:pBdr>
          <w:bottom w:val="thinThickThinMediumGap" w:color="auto" w:sz="18" w:space="1"/>
        </w:pBdr>
        <w:spacing w:line="360" w:lineRule="auto"/>
        <w:ind w:firstLine="0" w:firstLineChars="0"/>
        <w:jc w:val="distribute"/>
        <w:outlineLvl w:val="9"/>
        <w:rPr>
          <w:rFonts w:hint="eastAsia" w:ascii="微软雅黑" w:hAnsi="微软雅黑" w:eastAsia="微软雅黑" w:cs="微软雅黑"/>
          <w:b/>
          <w:bCs/>
          <w:w w:val="95"/>
          <w:sz w:val="28"/>
          <w:szCs w:val="28"/>
          <w:highlight w:val="none"/>
        </w:rPr>
      </w:pPr>
      <w:bookmarkStart w:id="11" w:name="_Toc24545"/>
      <w:r>
        <w:rPr>
          <w:rFonts w:hint="eastAsia" w:ascii="微软雅黑" w:hAnsi="微软雅黑" w:eastAsia="微软雅黑" w:cs="微软雅黑"/>
          <w:b/>
          <w:bCs/>
          <w:w w:val="95"/>
          <w:sz w:val="28"/>
          <w:szCs w:val="28"/>
          <w:highlight w:val="none"/>
        </w:rPr>
        <w:t>Jiaxing Qianqiu Engineering Consulting Co., Ltd</w:t>
      </w:r>
      <w:bookmarkEnd w:id="11"/>
    </w:p>
    <w:p w14:paraId="05AE9EFA">
      <w:pPr>
        <w:pStyle w:val="29"/>
        <w:spacing w:line="240" w:lineRule="auto"/>
        <w:ind w:firstLine="0" w:firstLineChars="0"/>
        <w:outlineLvl w:val="9"/>
        <w:rPr>
          <w:rFonts w:hint="eastAsia" w:ascii="微软雅黑" w:hAnsi="微软雅黑" w:eastAsia="微软雅黑" w:cs="微软雅黑"/>
          <w:bCs/>
          <w:w w:val="95"/>
          <w:sz w:val="28"/>
          <w:szCs w:val="28"/>
          <w:highlight w:val="none"/>
          <w:lang w:eastAsia="zh-CN"/>
        </w:rPr>
      </w:pPr>
      <w:bookmarkStart w:id="12" w:name="_Toc611"/>
      <w:r>
        <w:rPr>
          <w:rFonts w:hint="eastAsia" w:ascii="微软雅黑" w:hAnsi="微软雅黑" w:eastAsia="微软雅黑" w:cs="微软雅黑"/>
          <w:bCs/>
          <w:w w:val="95"/>
          <w:sz w:val="28"/>
          <w:szCs w:val="28"/>
          <w:highlight w:val="none"/>
        </w:rPr>
        <w:t>项目名称：</w:t>
      </w:r>
      <w:bookmarkEnd w:id="12"/>
      <w:r>
        <w:rPr>
          <w:rFonts w:hint="eastAsia" w:cs="微软雅黑"/>
          <w:bCs/>
          <w:w w:val="95"/>
          <w:sz w:val="28"/>
          <w:szCs w:val="28"/>
          <w:highlight w:val="none"/>
          <w:lang w:eastAsia="zh-CN"/>
        </w:rPr>
        <w:t>嘉兴市秀洲区高照实验学校2025年暑期教职工疗休养项目</w:t>
      </w:r>
    </w:p>
    <w:p w14:paraId="17158882">
      <w:pPr>
        <w:pStyle w:val="29"/>
        <w:spacing w:line="240" w:lineRule="auto"/>
        <w:ind w:firstLine="0" w:firstLineChars="0"/>
        <w:outlineLvl w:val="9"/>
        <w:rPr>
          <w:rFonts w:hint="eastAsia" w:ascii="微软雅黑" w:hAnsi="微软雅黑" w:eastAsia="微软雅黑" w:cs="微软雅黑"/>
          <w:bCs/>
          <w:w w:val="95"/>
          <w:sz w:val="28"/>
          <w:szCs w:val="28"/>
          <w:highlight w:val="none"/>
          <w:lang w:eastAsia="zh-CN"/>
        </w:rPr>
      </w:pPr>
      <w:bookmarkStart w:id="13" w:name="_Toc19466"/>
      <w:r>
        <w:rPr>
          <w:rFonts w:hint="eastAsia" w:ascii="微软雅黑" w:hAnsi="微软雅黑" w:eastAsia="微软雅黑" w:cs="微软雅黑"/>
          <w:bCs/>
          <w:w w:val="95"/>
          <w:sz w:val="28"/>
          <w:szCs w:val="28"/>
          <w:highlight w:val="none"/>
        </w:rPr>
        <w:t>项目编号：</w:t>
      </w:r>
      <w:bookmarkEnd w:id="13"/>
      <w:r>
        <w:rPr>
          <w:rFonts w:hint="eastAsia" w:cs="微软雅黑"/>
          <w:bCs/>
          <w:w w:val="95"/>
          <w:sz w:val="28"/>
          <w:szCs w:val="28"/>
          <w:highlight w:val="none"/>
          <w:lang w:eastAsia="zh-CN"/>
        </w:rPr>
        <w:t>千秋-JXQQJC（2025）第22号</w:t>
      </w:r>
    </w:p>
    <w:p w14:paraId="302292BB">
      <w:pPr>
        <w:pStyle w:val="29"/>
        <w:spacing w:line="240" w:lineRule="auto"/>
        <w:ind w:firstLine="0" w:firstLineChars="0"/>
        <w:outlineLvl w:val="9"/>
        <w:rPr>
          <w:rFonts w:hint="eastAsia" w:ascii="微软雅黑" w:hAnsi="微软雅黑" w:eastAsia="微软雅黑" w:cs="微软雅黑"/>
          <w:bCs/>
          <w:w w:val="95"/>
          <w:sz w:val="28"/>
          <w:szCs w:val="28"/>
          <w:highlight w:val="none"/>
        </w:rPr>
      </w:pPr>
      <w:bookmarkStart w:id="14" w:name="_Toc23738"/>
      <w:r>
        <w:rPr>
          <w:rFonts w:hint="eastAsia" w:ascii="微软雅黑" w:hAnsi="微软雅黑" w:eastAsia="微软雅黑" w:cs="微软雅黑"/>
          <w:bCs/>
          <w:w w:val="95"/>
          <w:sz w:val="28"/>
          <w:szCs w:val="28"/>
          <w:highlight w:val="none"/>
        </w:rPr>
        <w:t>采 购 人：</w:t>
      </w:r>
      <w:bookmarkEnd w:id="14"/>
      <w:r>
        <w:rPr>
          <w:rFonts w:hint="eastAsia" w:cs="微软雅黑"/>
          <w:bCs/>
          <w:w w:val="95"/>
          <w:sz w:val="28"/>
          <w:szCs w:val="28"/>
          <w:highlight w:val="none"/>
          <w:lang w:eastAsia="zh-CN"/>
        </w:rPr>
        <w:t>嘉兴市秀洲区高照实验学校</w:t>
      </w:r>
      <w:r>
        <w:rPr>
          <w:rFonts w:hint="eastAsia" w:ascii="微软雅黑" w:hAnsi="微软雅黑" w:eastAsia="微软雅黑" w:cs="微软雅黑"/>
          <w:bCs/>
          <w:w w:val="95"/>
          <w:sz w:val="28"/>
          <w:szCs w:val="28"/>
          <w:highlight w:val="none"/>
          <w:lang w:eastAsia="zh-CN"/>
        </w:rPr>
        <w:t xml:space="preserve">    </w:t>
      </w:r>
      <w:r>
        <w:rPr>
          <w:rFonts w:hint="eastAsia" w:ascii="微软雅黑" w:hAnsi="微软雅黑" w:eastAsia="微软雅黑" w:cs="微软雅黑"/>
          <w:bCs/>
          <w:w w:val="95"/>
          <w:sz w:val="28"/>
          <w:szCs w:val="28"/>
          <w:highlight w:val="none"/>
        </w:rPr>
        <w:t xml:space="preserve"> </w:t>
      </w:r>
    </w:p>
    <w:p w14:paraId="3963EFEB">
      <w:pPr>
        <w:pStyle w:val="29"/>
        <w:spacing w:line="240" w:lineRule="auto"/>
        <w:ind w:firstLine="0" w:firstLineChars="0"/>
        <w:outlineLvl w:val="9"/>
        <w:rPr>
          <w:rFonts w:hint="eastAsia" w:ascii="微软雅黑" w:hAnsi="微软雅黑" w:eastAsia="微软雅黑" w:cs="微软雅黑"/>
          <w:bCs/>
          <w:w w:val="95"/>
          <w:sz w:val="28"/>
          <w:szCs w:val="28"/>
          <w:highlight w:val="none"/>
        </w:rPr>
      </w:pPr>
      <w:bookmarkStart w:id="15" w:name="_Toc7727"/>
      <w:r>
        <w:rPr>
          <w:rFonts w:hint="eastAsia" w:ascii="微软雅黑" w:hAnsi="微软雅黑" w:eastAsia="微软雅黑" w:cs="微软雅黑"/>
          <w:bCs/>
          <w:w w:val="95"/>
          <w:sz w:val="28"/>
          <w:szCs w:val="28"/>
          <w:highlight w:val="none"/>
        </w:rPr>
        <w:t>代理机构：嘉兴市千秋工程咨询有限公司</w:t>
      </w:r>
      <w:bookmarkEnd w:id="15"/>
    </w:p>
    <w:p w14:paraId="49F7D7FF">
      <w:pPr>
        <w:pStyle w:val="29"/>
        <w:spacing w:line="240" w:lineRule="auto"/>
        <w:ind w:firstLine="0" w:firstLineChars="0"/>
        <w:outlineLvl w:val="9"/>
        <w:rPr>
          <w:rFonts w:hint="eastAsia" w:ascii="微软雅黑" w:hAnsi="微软雅黑" w:eastAsia="微软雅黑" w:cs="微软雅黑"/>
          <w:b/>
          <w:sz w:val="28"/>
          <w:szCs w:val="28"/>
          <w:highlight w:val="none"/>
        </w:rPr>
      </w:pPr>
      <w:bookmarkStart w:id="16" w:name="_Toc50012812"/>
      <w:bookmarkStart w:id="17" w:name="_Toc2551"/>
      <w:r>
        <w:rPr>
          <w:rFonts w:hint="eastAsia" w:ascii="微软雅黑" w:hAnsi="微软雅黑" w:eastAsia="微软雅黑" w:cs="微软雅黑"/>
          <w:bCs/>
          <w:w w:val="95"/>
          <w:sz w:val="28"/>
          <w:szCs w:val="28"/>
          <w:highlight w:val="none"/>
        </w:rPr>
        <w:t>日    期：2025年</w:t>
      </w:r>
      <w:r>
        <w:rPr>
          <w:rFonts w:hint="eastAsia" w:cs="微软雅黑"/>
          <w:bCs/>
          <w:w w:val="95"/>
          <w:sz w:val="28"/>
          <w:szCs w:val="28"/>
          <w:highlight w:val="none"/>
          <w:lang w:val="en-US" w:eastAsia="zh-CN"/>
        </w:rPr>
        <w:t>6</w:t>
      </w:r>
      <w:r>
        <w:rPr>
          <w:rFonts w:hint="eastAsia" w:ascii="微软雅黑" w:hAnsi="微软雅黑" w:eastAsia="微软雅黑" w:cs="微软雅黑"/>
          <w:bCs/>
          <w:w w:val="95"/>
          <w:sz w:val="28"/>
          <w:szCs w:val="28"/>
          <w:highlight w:val="none"/>
        </w:rPr>
        <w:t>月</w:t>
      </w:r>
      <w:r>
        <w:rPr>
          <w:rFonts w:hint="eastAsia" w:cs="微软雅黑"/>
          <w:bCs/>
          <w:w w:val="95"/>
          <w:sz w:val="28"/>
          <w:szCs w:val="28"/>
          <w:highlight w:val="none"/>
          <w:lang w:val="en-US" w:eastAsia="zh-CN"/>
        </w:rPr>
        <w:t>20</w:t>
      </w:r>
      <w:r>
        <w:rPr>
          <w:rFonts w:hint="eastAsia" w:ascii="微软雅黑" w:hAnsi="微软雅黑" w:eastAsia="微软雅黑" w:cs="微软雅黑"/>
          <w:bCs/>
          <w:w w:val="95"/>
          <w:sz w:val="28"/>
          <w:szCs w:val="28"/>
          <w:highlight w:val="none"/>
        </w:rPr>
        <w:t>日</w:t>
      </w:r>
      <w:bookmarkEnd w:id="16"/>
      <w:bookmarkEnd w:id="17"/>
    </w:p>
    <w:p w14:paraId="5E683316">
      <w:pPr>
        <w:pStyle w:val="128"/>
        <w:spacing w:before="0" w:line="360" w:lineRule="auto"/>
        <w:rPr>
          <w:rFonts w:hint="eastAsia" w:ascii="微软雅黑" w:hAnsi="微软雅黑" w:eastAsia="微软雅黑" w:cs="微软雅黑"/>
          <w:color w:val="auto"/>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08672D19">
      <w:pPr>
        <w:ind w:left="420" w:firstLine="0" w:firstLineChars="0"/>
        <w:rPr>
          <w:rFonts w:hint="eastAsia" w:ascii="微软雅黑" w:hAnsi="微软雅黑" w:eastAsia="微软雅黑" w:cs="微软雅黑"/>
          <w:sz w:val="30"/>
          <w:szCs w:val="30"/>
          <w:highlight w:val="none"/>
        </w:rPr>
      </w:pPr>
    </w:p>
    <w:sdt>
      <w:sdtPr>
        <w:rPr>
          <w:rFonts w:hint="eastAsia" w:ascii="微软雅黑" w:hAnsi="微软雅黑" w:eastAsia="微软雅黑" w:cs="微软雅黑"/>
          <w:sz w:val="30"/>
          <w:szCs w:val="30"/>
          <w:highlight w:val="none"/>
        </w:rPr>
        <w:id w:val="147471698"/>
        <w15:color w:val="DBDBDB"/>
        <w:docPartObj>
          <w:docPartGallery w:val="Table of Contents"/>
          <w:docPartUnique/>
        </w:docPartObj>
      </w:sdtPr>
      <w:sdtEndPr>
        <w:rPr>
          <w:rFonts w:hint="eastAsia" w:ascii="微软雅黑" w:hAnsi="微软雅黑" w:eastAsia="微软雅黑" w:cs="微软雅黑"/>
          <w:sz w:val="30"/>
          <w:szCs w:val="30"/>
          <w:highlight w:val="none"/>
        </w:rPr>
      </w:sdtEndPr>
      <w:sdtContent>
        <w:p w14:paraId="7939CF9A">
          <w:pPr>
            <w:spacing w:line="240" w:lineRule="auto"/>
            <w:ind w:firstLine="0" w:firstLineChars="0"/>
            <w:jc w:val="center"/>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目录</w:t>
          </w:r>
        </w:p>
        <w:p w14:paraId="39DE37A3">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color w:val="auto"/>
              <w:kern w:val="0"/>
              <w:sz w:val="30"/>
              <w:szCs w:val="30"/>
              <w:highlight w:val="none"/>
            </w:rPr>
            <w:fldChar w:fldCharType="begin"/>
          </w:r>
          <w:r>
            <w:rPr>
              <w:rFonts w:hint="eastAsia" w:ascii="微软雅黑" w:hAnsi="微软雅黑" w:eastAsia="微软雅黑" w:cs="微软雅黑"/>
              <w:color w:val="auto"/>
              <w:sz w:val="30"/>
              <w:szCs w:val="30"/>
              <w:highlight w:val="none"/>
            </w:rPr>
            <w:instrText xml:space="preserve">TOC \o "1-1" \h \u </w:instrText>
          </w:r>
          <w:r>
            <w:rPr>
              <w:rFonts w:hint="eastAsia" w:ascii="微软雅黑" w:hAnsi="微软雅黑" w:eastAsia="微软雅黑" w:cs="微软雅黑"/>
              <w:color w:val="auto"/>
              <w:kern w:val="0"/>
              <w:sz w:val="30"/>
              <w:szCs w:val="30"/>
              <w:highlight w:val="none"/>
            </w:rPr>
            <w:fldChar w:fldCharType="separate"/>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"_Toc191238331"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第一章 竞争性磋商公告</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_Toc191238331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1D094940">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"_Toc191238332"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第二章 磋商需求</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9</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084BD859">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"_Toc191238333"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第三章 供应商须知</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_Toc191238333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60B7755E">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"_Toc191238336"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第四章 磋商办法及磋商标准</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_Toc191238336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791E8956">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"_Toc191238338"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第五章 采购合同（指引）</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_Toc191238338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40</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2387A18E">
          <w:pPr>
            <w:pStyle w:val="37"/>
            <w:spacing w:line="360" w:lineRule="auto"/>
            <w:ind w:firstLine="0" w:firstLineChars="0"/>
            <w:rPr>
              <w:rFonts w:hint="eastAsia" w:ascii="微软雅黑" w:hAnsi="微软雅黑" w:eastAsia="微软雅黑" w:cs="微软雅黑"/>
              <w:bCs w:val="0"/>
              <w:caps w:val="0"/>
              <w:color w:val="auto"/>
              <w:sz w:val="30"/>
              <w:szCs w:val="30"/>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"_Toc191238339"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第六章 响应文件相关格式</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_Toc191238339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45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254D7B10">
          <w:pPr>
            <w:ind w:firstLine="600"/>
            <w:rPr>
              <w:rFonts w:hint="eastAsia" w:ascii="微软雅黑" w:hAnsi="微软雅黑" w:eastAsia="微软雅黑" w:cs="微软雅黑"/>
              <w:highlight w:val="none"/>
            </w:rPr>
          </w:pPr>
          <w:r>
            <w:rPr>
              <w:rFonts w:hint="eastAsia" w:ascii="微软雅黑" w:hAnsi="微软雅黑" w:eastAsia="微软雅黑" w:cs="微软雅黑"/>
              <w:sz w:val="30"/>
              <w:szCs w:val="30"/>
              <w:highlight w:val="none"/>
            </w:rPr>
            <w:fldChar w:fldCharType="end"/>
          </w:r>
        </w:p>
      </w:sdtContent>
    </w:sdt>
    <w:p w14:paraId="2876CA50">
      <w:pPr>
        <w:pStyle w:val="4"/>
        <w:numPr>
          <w:ilvl w:val="0"/>
          <w:numId w:val="4"/>
        </w:numPr>
        <w:rPr>
          <w:rStyle w:val="66"/>
          <w:rFonts w:hint="eastAsia" w:ascii="微软雅黑" w:hAnsi="微软雅黑" w:eastAsia="微软雅黑" w:cs="微软雅黑"/>
          <w:b/>
          <w:bCs/>
          <w:highlight w:val="none"/>
        </w:rPr>
      </w:pPr>
      <w:r>
        <w:rPr>
          <w:rFonts w:hint="eastAsia" w:ascii="微软雅黑" w:hAnsi="微软雅黑" w:eastAsia="微软雅黑" w:cs="微软雅黑"/>
          <w:highlight w:val="none"/>
        </w:rPr>
        <w:br w:type="page"/>
      </w:r>
      <w:bookmarkStart w:id="18" w:name="_Toc22578"/>
      <w:r>
        <w:rPr>
          <w:rFonts w:hint="eastAsia" w:ascii="微软雅黑" w:hAnsi="微软雅黑" w:eastAsia="微软雅黑" w:cs="微软雅黑"/>
          <w:highlight w:val="none"/>
        </w:rPr>
        <w:t xml:space="preserve">  </w:t>
      </w:r>
      <w:bookmarkStart w:id="19" w:name="_Toc22041"/>
      <w:bookmarkStart w:id="20" w:name="_Toc191238331"/>
      <w:r>
        <w:rPr>
          <w:rFonts w:hint="eastAsia" w:ascii="微软雅黑" w:hAnsi="微软雅黑" w:eastAsia="微软雅黑" w:cs="微软雅黑"/>
          <w:highlight w:val="none"/>
        </w:rPr>
        <w:t>竞争性磋商</w:t>
      </w:r>
      <w:r>
        <w:rPr>
          <w:rStyle w:val="66"/>
          <w:rFonts w:hint="eastAsia" w:ascii="微软雅黑" w:hAnsi="微软雅黑" w:eastAsia="微软雅黑" w:cs="微软雅黑"/>
          <w:b/>
          <w:bCs/>
          <w:highlight w:val="none"/>
        </w:rPr>
        <w:t>公告</w:t>
      </w:r>
      <w:bookmarkEnd w:id="18"/>
      <w:bookmarkEnd w:id="19"/>
      <w:bookmarkEnd w:id="20"/>
    </w:p>
    <w:tbl>
      <w:tblPr>
        <w:tblStyle w:val="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303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703C2D0F">
            <w:pPr>
              <w:pStyle w:val="48"/>
              <w:spacing w:before="75" w:beforeAutospacing="0" w:after="75" w:afterAutospacing="0"/>
              <w:ind w:firstLine="0" w:firstLineChars="0"/>
              <w:jc w:val="both"/>
              <w:rPr>
                <w:rFonts w:hint="eastAsia" w:ascii="微软雅黑" w:hAnsi="微软雅黑" w:eastAsia="微软雅黑" w:cs="微软雅黑"/>
                <w:sz w:val="21"/>
                <w:szCs w:val="21"/>
                <w:highlight w:val="none"/>
              </w:rPr>
            </w:pPr>
            <w:bookmarkStart w:id="21" w:name="_Toc493511541"/>
            <w:bookmarkStart w:id="22" w:name="_Toc177870534"/>
            <w:r>
              <w:rPr>
                <w:rFonts w:hint="eastAsia" w:ascii="微软雅黑" w:hAnsi="微软雅黑" w:eastAsia="微软雅黑" w:cs="微软雅黑"/>
                <w:sz w:val="21"/>
                <w:szCs w:val="21"/>
                <w:highlight w:val="none"/>
              </w:rPr>
              <w:t>项目概况                                                    </w:t>
            </w:r>
          </w:p>
          <w:p w14:paraId="4F999C06">
            <w:pPr>
              <w:pStyle w:val="48"/>
              <w:spacing w:before="75" w:beforeAutospacing="0" w:after="75" w:afterAutospacing="0"/>
              <w:ind w:firstLine="420"/>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r>
              <w:rPr>
                <w:rFonts w:hint="eastAsia" w:ascii="微软雅黑" w:hAnsi="微软雅黑" w:cs="微软雅黑"/>
                <w:sz w:val="21"/>
                <w:szCs w:val="21"/>
                <w:highlight w:val="none"/>
                <w:lang w:eastAsia="zh-CN"/>
              </w:rPr>
              <w:t>嘉兴市秀洲区高照实验学校2025年暑期教职工疗休养项目</w:t>
            </w:r>
            <w:r>
              <w:rPr>
                <w:rFonts w:hint="eastAsia" w:ascii="微软雅黑" w:hAnsi="微软雅黑" w:eastAsia="微软雅黑" w:cs="微软雅黑"/>
                <w:sz w:val="21"/>
                <w:szCs w:val="21"/>
                <w:highlight w:val="none"/>
              </w:rPr>
              <w:t>的潜在供应商应在https://www.zcygov.cn获取（下载）磋商文件，并于   2025年</w:t>
            </w:r>
            <w:r>
              <w:rPr>
                <w:rFonts w:hint="eastAsia" w:ascii="微软雅黑" w:hAnsi="微软雅黑" w:cs="微软雅黑"/>
                <w:sz w:val="21"/>
                <w:szCs w:val="21"/>
                <w:highlight w:val="none"/>
                <w:lang w:val="en-US" w:eastAsia="zh-CN"/>
              </w:rPr>
              <w:t>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02</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14：00</w:t>
            </w:r>
            <w:r>
              <w:rPr>
                <w:rFonts w:hint="eastAsia" w:ascii="微软雅黑" w:hAnsi="微软雅黑" w:eastAsia="微软雅黑" w:cs="微软雅黑"/>
                <w:sz w:val="21"/>
                <w:szCs w:val="21"/>
                <w:highlight w:val="none"/>
              </w:rPr>
              <w:t>（北京时间）前递交（上传）响应文件。           </w:t>
            </w:r>
          </w:p>
        </w:tc>
      </w:tr>
    </w:tbl>
    <w:p w14:paraId="451A5013">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一、项目基本情况</w:t>
      </w:r>
      <w:r>
        <w:rPr>
          <w:rFonts w:hint="eastAsia" w:ascii="微软雅黑" w:hAnsi="微软雅黑" w:eastAsia="微软雅黑" w:cs="微软雅黑"/>
          <w:kern w:val="0"/>
          <w:szCs w:val="21"/>
          <w:highlight w:val="none"/>
        </w:rPr>
        <w:t>                                            </w:t>
      </w:r>
    </w:p>
    <w:p w14:paraId="1D7EC7FD">
      <w:pPr>
        <w:widowControl/>
        <w:spacing w:before="75" w:after="75"/>
        <w:ind w:firstLine="283" w:firstLineChars="135"/>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采购计划编号：330411250220230000005</w:t>
      </w:r>
      <w:r>
        <w:rPr>
          <w:rFonts w:hint="eastAsia" w:ascii="微软雅黑" w:hAnsi="微软雅黑" w:cs="微软雅黑"/>
          <w:kern w:val="0"/>
          <w:szCs w:val="21"/>
          <w:highlight w:val="none"/>
          <w:lang w:eastAsia="zh-CN"/>
        </w:rPr>
        <w:t>（</w:t>
      </w:r>
      <w:r>
        <w:rPr>
          <w:rFonts w:ascii="微软雅黑" w:hAnsi="微软雅黑" w:eastAsia="微软雅黑" w:cs="微软雅黑"/>
          <w:i w:val="0"/>
          <w:iCs w:val="0"/>
          <w:caps w:val="0"/>
          <w:spacing w:val="0"/>
          <w:sz w:val="21"/>
          <w:szCs w:val="21"/>
          <w:u w:val="none"/>
          <w:shd w:val="clear" w:fill="EBF4FF"/>
        </w:rPr>
        <w:fldChar w:fldCharType="begin"/>
      </w:r>
      <w:r>
        <w:rPr>
          <w:rFonts w:ascii="微软雅黑" w:hAnsi="微软雅黑" w:eastAsia="微软雅黑" w:cs="微软雅黑"/>
          <w:i w:val="0"/>
          <w:iCs w:val="0"/>
          <w:caps w:val="0"/>
          <w:spacing w:val="0"/>
          <w:sz w:val="21"/>
          <w:szCs w:val="21"/>
          <w:u w:val="none"/>
          <w:shd w:val="clear" w:fill="EBF4FF"/>
        </w:rPr>
        <w:instrText xml:space="preserve"> HYPERLINK "https://pay.zcygov.cn/purchaseplan_front/" \l "/plan/list/view?_app_=zcy.purchase-plan&amp;id=1000000000016032952" \t "https://pay.zcygov.cn/purchaseplan_front/" \l "/procurement-plan/plan/_blank" </w:instrText>
      </w:r>
      <w:r>
        <w:rPr>
          <w:rFonts w:ascii="微软雅黑" w:hAnsi="微软雅黑" w:eastAsia="微软雅黑" w:cs="微软雅黑"/>
          <w:i w:val="0"/>
          <w:iCs w:val="0"/>
          <w:caps w:val="0"/>
          <w:spacing w:val="0"/>
          <w:sz w:val="21"/>
          <w:szCs w:val="21"/>
          <w:u w:val="none"/>
          <w:shd w:val="clear" w:fill="EBF4FF"/>
        </w:rPr>
        <w:fldChar w:fldCharType="separate"/>
      </w:r>
      <w:r>
        <w:rPr>
          <w:rStyle w:val="61"/>
          <w:rFonts w:hint="eastAsia" w:ascii="微软雅黑" w:hAnsi="微软雅黑" w:eastAsia="微软雅黑" w:cs="微软雅黑"/>
          <w:i w:val="0"/>
          <w:iCs w:val="0"/>
          <w:caps w:val="0"/>
          <w:spacing w:val="0"/>
          <w:sz w:val="21"/>
          <w:szCs w:val="21"/>
          <w:u w:val="none"/>
          <w:shd w:val="clear" w:fill="EBF4FF"/>
        </w:rPr>
        <w:t>[2025]1032号</w:t>
      </w:r>
      <w:r>
        <w:rPr>
          <w:rFonts w:hint="eastAsia" w:ascii="微软雅黑" w:hAnsi="微软雅黑" w:eastAsia="微软雅黑" w:cs="微软雅黑"/>
          <w:i w:val="0"/>
          <w:iCs w:val="0"/>
          <w:caps w:val="0"/>
          <w:spacing w:val="0"/>
          <w:sz w:val="21"/>
          <w:szCs w:val="21"/>
          <w:u w:val="none"/>
          <w:shd w:val="clear" w:fill="EBF4FF"/>
        </w:rPr>
        <w:fldChar w:fldCharType="end"/>
      </w:r>
      <w:r>
        <w:rPr>
          <w:rFonts w:hint="eastAsia" w:ascii="微软雅黑" w:hAnsi="微软雅黑" w:cs="微软雅黑"/>
          <w:i w:val="0"/>
          <w:iCs w:val="0"/>
          <w:caps w:val="0"/>
          <w:spacing w:val="0"/>
          <w:sz w:val="21"/>
          <w:szCs w:val="21"/>
          <w:u w:val="none"/>
          <w:shd w:val="clear" w:fill="EBF4FF"/>
          <w:lang w:eastAsia="zh-CN"/>
        </w:rPr>
        <w:t>、</w:t>
      </w:r>
      <w:r>
        <w:rPr>
          <w:rFonts w:ascii="微软雅黑" w:hAnsi="微软雅黑" w:eastAsia="微软雅黑" w:cs="微软雅黑"/>
          <w:i w:val="0"/>
          <w:iCs w:val="0"/>
          <w:caps w:val="0"/>
          <w:spacing w:val="0"/>
          <w:sz w:val="21"/>
          <w:szCs w:val="21"/>
          <w:u w:val="none"/>
        </w:rPr>
        <w:fldChar w:fldCharType="begin"/>
      </w:r>
      <w:r>
        <w:rPr>
          <w:rFonts w:ascii="微软雅黑" w:hAnsi="微软雅黑" w:eastAsia="微软雅黑" w:cs="微软雅黑"/>
          <w:i w:val="0"/>
          <w:iCs w:val="0"/>
          <w:caps w:val="0"/>
          <w:spacing w:val="0"/>
          <w:sz w:val="21"/>
          <w:szCs w:val="21"/>
          <w:u w:val="none"/>
        </w:rPr>
        <w:instrText xml:space="preserve"> HYPERLINK "https://pay.zcygov.cn/purchaseplan_front/" \l "/plan/list/view?_app_=zcy.purchase-plan&amp;id=1000000000016032942" \t "https://pay.zcygov.cn/purchaseplan_front/" \l "/procurement-plan/plan/_blank" </w:instrText>
      </w:r>
      <w:r>
        <w:rPr>
          <w:rFonts w:ascii="微软雅黑" w:hAnsi="微软雅黑" w:eastAsia="微软雅黑" w:cs="微软雅黑"/>
          <w:i w:val="0"/>
          <w:iCs w:val="0"/>
          <w:caps w:val="0"/>
          <w:spacing w:val="0"/>
          <w:sz w:val="21"/>
          <w:szCs w:val="21"/>
          <w:u w:val="none"/>
        </w:rPr>
        <w:fldChar w:fldCharType="separate"/>
      </w:r>
      <w:r>
        <w:rPr>
          <w:rStyle w:val="61"/>
          <w:rFonts w:hint="eastAsia" w:ascii="微软雅黑" w:hAnsi="微软雅黑" w:eastAsia="微软雅黑" w:cs="微软雅黑"/>
          <w:i w:val="0"/>
          <w:iCs w:val="0"/>
          <w:caps w:val="0"/>
          <w:spacing w:val="0"/>
          <w:sz w:val="21"/>
          <w:szCs w:val="21"/>
          <w:u w:val="none"/>
        </w:rPr>
        <w:t>[2025]1031号</w:t>
      </w:r>
      <w:r>
        <w:rPr>
          <w:rFonts w:hint="eastAsia" w:ascii="微软雅黑" w:hAnsi="微软雅黑" w:eastAsia="微软雅黑" w:cs="微软雅黑"/>
          <w:i w:val="0"/>
          <w:iCs w:val="0"/>
          <w:caps w:val="0"/>
          <w:spacing w:val="0"/>
          <w:sz w:val="21"/>
          <w:szCs w:val="21"/>
          <w:u w:val="none"/>
        </w:rPr>
        <w:fldChar w:fldCharType="end"/>
      </w:r>
      <w:r>
        <w:rPr>
          <w:rFonts w:hint="eastAsia" w:ascii="微软雅黑" w:hAnsi="微软雅黑" w:cs="微软雅黑"/>
          <w:i w:val="0"/>
          <w:iCs w:val="0"/>
          <w:caps w:val="0"/>
          <w:spacing w:val="0"/>
          <w:sz w:val="21"/>
          <w:szCs w:val="21"/>
          <w:u w:val="none"/>
          <w:lang w:eastAsia="zh-CN"/>
        </w:rPr>
        <w:t>、</w:t>
      </w:r>
      <w:r>
        <w:rPr>
          <w:rFonts w:ascii="微软雅黑" w:hAnsi="微软雅黑" w:eastAsia="微软雅黑" w:cs="微软雅黑"/>
          <w:i w:val="0"/>
          <w:iCs w:val="0"/>
          <w:caps w:val="0"/>
          <w:spacing w:val="0"/>
          <w:sz w:val="21"/>
          <w:szCs w:val="21"/>
          <w:u w:val="none"/>
        </w:rPr>
        <w:fldChar w:fldCharType="begin"/>
      </w:r>
      <w:r>
        <w:rPr>
          <w:rFonts w:ascii="微软雅黑" w:hAnsi="微软雅黑" w:eastAsia="微软雅黑" w:cs="微软雅黑"/>
          <w:i w:val="0"/>
          <w:iCs w:val="0"/>
          <w:caps w:val="0"/>
          <w:spacing w:val="0"/>
          <w:sz w:val="21"/>
          <w:szCs w:val="21"/>
          <w:u w:val="none"/>
        </w:rPr>
        <w:instrText xml:space="preserve"> HYPERLINK "https://pay.zcygov.cn/purchaseplan_front/" \l "/plan/list/view?_app_=zcy.purchase-plan&amp;id=1000000000016032943" \t "https://pay.zcygov.cn/purchaseplan_front/" \l "/procurement-plan/plan/_blank" </w:instrText>
      </w:r>
      <w:r>
        <w:rPr>
          <w:rFonts w:ascii="微软雅黑" w:hAnsi="微软雅黑" w:eastAsia="微软雅黑" w:cs="微软雅黑"/>
          <w:i w:val="0"/>
          <w:iCs w:val="0"/>
          <w:caps w:val="0"/>
          <w:spacing w:val="0"/>
          <w:sz w:val="21"/>
          <w:szCs w:val="21"/>
          <w:u w:val="none"/>
        </w:rPr>
        <w:fldChar w:fldCharType="separate"/>
      </w:r>
      <w:r>
        <w:rPr>
          <w:rStyle w:val="61"/>
          <w:rFonts w:hint="eastAsia" w:ascii="微软雅黑" w:hAnsi="微软雅黑" w:eastAsia="微软雅黑" w:cs="微软雅黑"/>
          <w:i w:val="0"/>
          <w:iCs w:val="0"/>
          <w:caps w:val="0"/>
          <w:spacing w:val="0"/>
          <w:sz w:val="21"/>
          <w:szCs w:val="21"/>
          <w:u w:val="none"/>
        </w:rPr>
        <w:t>[2025]1033号</w:t>
      </w:r>
      <w:r>
        <w:rPr>
          <w:rFonts w:hint="eastAsia" w:ascii="微软雅黑" w:hAnsi="微软雅黑" w:eastAsia="微软雅黑" w:cs="微软雅黑"/>
          <w:i w:val="0"/>
          <w:iCs w:val="0"/>
          <w:caps w:val="0"/>
          <w:spacing w:val="0"/>
          <w:sz w:val="21"/>
          <w:szCs w:val="21"/>
          <w:u w:val="none"/>
        </w:rPr>
        <w:fldChar w:fldCharType="end"/>
      </w:r>
      <w:r>
        <w:rPr>
          <w:rFonts w:hint="eastAsia" w:ascii="微软雅黑" w:hAnsi="微软雅黑" w:cs="微软雅黑"/>
          <w:i w:val="0"/>
          <w:iCs w:val="0"/>
          <w:caps w:val="0"/>
          <w:spacing w:val="0"/>
          <w:sz w:val="21"/>
          <w:szCs w:val="21"/>
          <w:u w:val="none"/>
          <w:lang w:eastAsia="zh-CN"/>
        </w:rPr>
        <w:t>】</w:t>
      </w:r>
    </w:p>
    <w:p w14:paraId="23CAFBA5">
      <w:pPr>
        <w:widowControl/>
        <w:spacing w:before="75" w:after="75"/>
        <w:ind w:firstLine="283" w:firstLineChars="135"/>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项目编号：</w:t>
      </w:r>
      <w:r>
        <w:rPr>
          <w:rFonts w:hint="eastAsia" w:ascii="微软雅黑" w:hAnsi="微软雅黑" w:cs="微软雅黑"/>
          <w:kern w:val="0"/>
          <w:szCs w:val="21"/>
          <w:highlight w:val="none"/>
          <w:lang w:eastAsia="zh-CN"/>
        </w:rPr>
        <w:t>千秋-JXQQJC（2025）第22号</w:t>
      </w:r>
      <w:r>
        <w:rPr>
          <w:rFonts w:hint="eastAsia" w:ascii="微软雅黑" w:hAnsi="微软雅黑" w:eastAsia="微软雅黑" w:cs="微软雅黑"/>
          <w:kern w:val="0"/>
          <w:szCs w:val="21"/>
          <w:highlight w:val="none"/>
        </w:rPr>
        <w:t> </w:t>
      </w:r>
    </w:p>
    <w:p w14:paraId="3D24AE67">
      <w:pPr>
        <w:widowControl/>
        <w:spacing w:before="75" w:after="75"/>
        <w:ind w:firstLine="330" w:firstLineChars="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项目名称：</w:t>
      </w:r>
      <w:r>
        <w:rPr>
          <w:rFonts w:hint="eastAsia" w:ascii="微软雅黑" w:hAnsi="微软雅黑" w:eastAsia="微软雅黑" w:cs="微软雅黑"/>
          <w:szCs w:val="21"/>
          <w:highlight w:val="none"/>
        </w:rPr>
        <w:t xml:space="preserve"> </w:t>
      </w:r>
      <w:r>
        <w:rPr>
          <w:rFonts w:hint="eastAsia" w:ascii="微软雅黑" w:hAnsi="微软雅黑" w:cs="微软雅黑"/>
          <w:szCs w:val="21"/>
          <w:highlight w:val="none"/>
          <w:lang w:eastAsia="zh-CN"/>
        </w:rPr>
        <w:t>嘉兴市秀洲区高照实验学校2025年暑期教职工疗休养项目</w:t>
      </w:r>
    </w:p>
    <w:p w14:paraId="43436781">
      <w:pPr>
        <w:widowControl/>
        <w:spacing w:before="75" w:after="75"/>
        <w:ind w:firstLine="315" w:firstLineChars="15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采购方式 ：竞争性磋商</w:t>
      </w:r>
    </w:p>
    <w:p w14:paraId="73FFD890">
      <w:pPr>
        <w:widowControl/>
        <w:spacing w:before="75" w:after="75"/>
        <w:ind w:firstLine="315" w:firstLineChars="150"/>
        <w:rPr>
          <w:rFonts w:hint="eastAsia" w:ascii="微软雅黑" w:hAnsi="微软雅黑" w:cs="微软雅黑"/>
          <w:kern w:val="0"/>
          <w:szCs w:val="21"/>
          <w:highlight w:val="none"/>
          <w:lang w:val="en-US" w:eastAsia="zh-CN"/>
        </w:rPr>
      </w:pPr>
      <w:r>
        <w:rPr>
          <w:rFonts w:hint="eastAsia" w:ascii="微软雅黑" w:hAnsi="微软雅黑" w:eastAsia="微软雅黑" w:cs="微软雅黑"/>
          <w:kern w:val="0"/>
          <w:szCs w:val="21"/>
          <w:highlight w:val="none"/>
        </w:rPr>
        <w:t>预算金额（元）：</w:t>
      </w:r>
      <w:r>
        <w:rPr>
          <w:rFonts w:hint="eastAsia" w:ascii="微软雅黑" w:hAnsi="微软雅黑" w:cs="微软雅黑"/>
          <w:kern w:val="0"/>
          <w:szCs w:val="21"/>
          <w:highlight w:val="none"/>
          <w:lang w:val="en-US" w:eastAsia="zh-CN"/>
        </w:rPr>
        <w:t>348000.00</w:t>
      </w:r>
    </w:p>
    <w:p w14:paraId="19F73000">
      <w:pPr>
        <w:widowControl/>
        <w:spacing w:before="75" w:after="75"/>
        <w:ind w:firstLine="315" w:firstLineChars="150"/>
        <w:rPr>
          <w:rFonts w:hint="eastAsia"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kern w:val="0"/>
          <w:szCs w:val="21"/>
          <w:highlight w:val="none"/>
        </w:rPr>
        <w:t>最高限价（元）：</w:t>
      </w:r>
      <w:r>
        <w:rPr>
          <w:rFonts w:hint="eastAsia" w:ascii="微软雅黑" w:hAnsi="微软雅黑" w:cs="微软雅黑"/>
          <w:color w:val="000000"/>
          <w:kern w:val="0"/>
          <w:szCs w:val="21"/>
          <w:highlight w:val="none"/>
          <w:lang w:val="en-US" w:eastAsia="zh-CN"/>
        </w:rPr>
        <w:t>/</w:t>
      </w:r>
    </w:p>
    <w:p w14:paraId="40905740">
      <w:pPr>
        <w:widowControl/>
        <w:spacing w:line="300" w:lineRule="atLeast"/>
        <w:ind w:firstLine="0" w:firstLineChars="0"/>
        <w:rPr>
          <w:rFonts w:hint="eastAsia" w:ascii="微软雅黑" w:hAnsi="微软雅黑" w:eastAsia="微软雅黑" w:cs="微软雅黑"/>
          <w:b/>
          <w:bCs/>
          <w:color w:val="auto"/>
          <w:kern w:val="0"/>
          <w:szCs w:val="21"/>
          <w:highlight w:val="none"/>
        </w:rPr>
      </w:pPr>
      <w:r>
        <w:rPr>
          <w:rFonts w:hint="eastAsia" w:ascii="微软雅黑" w:hAnsi="微软雅黑" w:eastAsia="微软雅黑" w:cs="微软雅黑"/>
          <w:b/>
          <w:bCs/>
          <w:color w:val="auto"/>
          <w:kern w:val="0"/>
          <w:szCs w:val="21"/>
          <w:highlight w:val="none"/>
        </w:rPr>
        <w:t>标项一</w:t>
      </w:r>
    </w:p>
    <w:p w14:paraId="4016CDE3">
      <w:pPr>
        <w:widowControl/>
        <w:spacing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数量：不限           </w:t>
      </w:r>
    </w:p>
    <w:p w14:paraId="402C8ABA">
      <w:pPr>
        <w:widowControl/>
        <w:spacing w:before="75" w:after="75" w:line="300" w:lineRule="atLeast"/>
        <w:ind w:firstLine="420"/>
        <w:rPr>
          <w:rFonts w:hint="default" w:ascii="微软雅黑" w:hAnsi="微软雅黑" w:eastAsia="微软雅黑" w:cs="微软雅黑"/>
          <w:color w:val="auto"/>
          <w:kern w:val="0"/>
          <w:szCs w:val="21"/>
          <w:highlight w:val="none"/>
          <w:lang w:val="en-US" w:eastAsia="zh-CN"/>
        </w:rPr>
      </w:pPr>
      <w:r>
        <w:rPr>
          <w:rFonts w:hint="eastAsia" w:ascii="微软雅黑" w:hAnsi="微软雅黑" w:eastAsia="微软雅黑" w:cs="微软雅黑"/>
          <w:color w:val="auto"/>
          <w:kern w:val="0"/>
          <w:szCs w:val="21"/>
          <w:highlight w:val="none"/>
        </w:rPr>
        <w:t>预算金额（元）：</w:t>
      </w:r>
      <w:r>
        <w:rPr>
          <w:rFonts w:hint="eastAsia" w:ascii="微软雅黑" w:hAnsi="微软雅黑" w:cs="微软雅黑"/>
          <w:kern w:val="0"/>
          <w:szCs w:val="21"/>
          <w:highlight w:val="none"/>
          <w:lang w:val="en-US" w:eastAsia="zh-CN"/>
        </w:rPr>
        <w:t>348000.00</w:t>
      </w:r>
    </w:p>
    <w:p w14:paraId="3EB6550B">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单位：次 </w:t>
      </w:r>
    </w:p>
    <w:p w14:paraId="229387CE">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简要规格描述：</w:t>
      </w:r>
      <w:r>
        <w:rPr>
          <w:rFonts w:hint="eastAsia" w:ascii="微软雅黑" w:hAnsi="微软雅黑" w:eastAsia="微软雅黑" w:cs="微软雅黑"/>
          <w:color w:val="000000"/>
          <w:kern w:val="0"/>
          <w:szCs w:val="21"/>
          <w:highlight w:val="none"/>
        </w:rPr>
        <w:t>线路1</w:t>
      </w:r>
      <w:r>
        <w:rPr>
          <w:rFonts w:hint="eastAsia" w:ascii="微软雅黑" w:hAnsi="微软雅黑" w:cs="微软雅黑"/>
          <w:color w:val="000000"/>
          <w:kern w:val="0"/>
          <w:szCs w:val="21"/>
          <w:highlight w:val="none"/>
          <w:lang w:eastAsia="zh-CN"/>
        </w:rPr>
        <w:t>：</w:t>
      </w:r>
      <w:r>
        <w:rPr>
          <w:rFonts w:hint="eastAsia" w:ascii="微软雅黑" w:hAnsi="微软雅黑" w:eastAsia="微软雅黑" w:cs="微软雅黑"/>
          <w:color w:val="000000"/>
          <w:kern w:val="0"/>
          <w:szCs w:val="21"/>
          <w:highlight w:val="none"/>
        </w:rPr>
        <w:t>四川</w:t>
      </w:r>
      <w:r>
        <w:rPr>
          <w:rFonts w:hint="eastAsia" w:ascii="微软雅黑" w:hAnsi="微软雅黑" w:cs="微软雅黑"/>
          <w:color w:val="000000"/>
          <w:kern w:val="0"/>
          <w:szCs w:val="21"/>
          <w:highlight w:val="none"/>
          <w:lang w:val="en-US" w:eastAsia="zh-CN"/>
        </w:rPr>
        <w:t>5日</w:t>
      </w:r>
      <w:r>
        <w:rPr>
          <w:rFonts w:hint="eastAsia" w:ascii="微软雅黑" w:hAnsi="微软雅黑" w:cs="微软雅黑"/>
          <w:color w:val="000000"/>
          <w:kern w:val="0"/>
          <w:szCs w:val="21"/>
          <w:highlight w:val="none"/>
          <w:lang w:eastAsia="zh-CN"/>
        </w:rPr>
        <w:t>；</w:t>
      </w:r>
      <w:r>
        <w:rPr>
          <w:rFonts w:hint="eastAsia" w:ascii="微软雅黑" w:hAnsi="微软雅黑" w:cs="微软雅黑"/>
          <w:color w:val="000000"/>
          <w:kern w:val="0"/>
          <w:szCs w:val="21"/>
          <w:highlight w:val="none"/>
          <w:lang w:val="en-US" w:eastAsia="zh-CN"/>
        </w:rPr>
        <w:t>线路2：</w:t>
      </w:r>
      <w:r>
        <w:rPr>
          <w:rFonts w:hint="eastAsia" w:ascii="微软雅黑" w:hAnsi="微软雅黑" w:eastAsia="微软雅黑" w:cs="微软雅黑"/>
          <w:color w:val="000000"/>
          <w:kern w:val="0"/>
          <w:szCs w:val="21"/>
          <w:highlight w:val="none"/>
        </w:rPr>
        <w:t>舟山</w:t>
      </w:r>
      <w:r>
        <w:rPr>
          <w:rFonts w:hint="eastAsia" w:ascii="微软雅黑" w:hAnsi="微软雅黑" w:cs="微软雅黑"/>
          <w:color w:val="000000"/>
          <w:kern w:val="0"/>
          <w:szCs w:val="21"/>
          <w:highlight w:val="none"/>
          <w:lang w:val="en-US" w:eastAsia="zh-CN"/>
        </w:rPr>
        <w:t>5日</w:t>
      </w:r>
      <w:r>
        <w:rPr>
          <w:rFonts w:hint="eastAsia" w:ascii="微软雅黑" w:hAnsi="微软雅黑" w:eastAsia="微软雅黑" w:cs="微软雅黑"/>
          <w:color w:val="000000"/>
          <w:kern w:val="0"/>
          <w:szCs w:val="21"/>
          <w:highlight w:val="none"/>
        </w:rPr>
        <w:t>；</w:t>
      </w:r>
      <w:r>
        <w:rPr>
          <w:rFonts w:hint="eastAsia" w:ascii="微软雅黑" w:hAnsi="微软雅黑" w:cs="微软雅黑"/>
          <w:color w:val="000000"/>
          <w:kern w:val="0"/>
          <w:szCs w:val="21"/>
          <w:highlight w:val="none"/>
          <w:lang w:val="en-US" w:eastAsia="zh-CN"/>
        </w:rPr>
        <w:t>线路3：</w:t>
      </w:r>
      <w:r>
        <w:rPr>
          <w:rFonts w:hint="eastAsia" w:ascii="微软雅黑" w:hAnsi="微软雅黑" w:eastAsia="微软雅黑" w:cs="微软雅黑"/>
          <w:color w:val="000000"/>
          <w:kern w:val="0"/>
          <w:szCs w:val="21"/>
          <w:highlight w:val="none"/>
        </w:rPr>
        <w:t>丽水</w:t>
      </w:r>
      <w:r>
        <w:rPr>
          <w:rFonts w:hint="eastAsia" w:ascii="微软雅黑" w:hAnsi="微软雅黑" w:cs="微软雅黑"/>
          <w:color w:val="000000"/>
          <w:kern w:val="0"/>
          <w:szCs w:val="21"/>
          <w:highlight w:val="none"/>
          <w:lang w:val="en-US" w:eastAsia="zh-CN"/>
        </w:rPr>
        <w:t>5日</w:t>
      </w:r>
      <w:r>
        <w:rPr>
          <w:rFonts w:hint="eastAsia" w:ascii="微软雅黑" w:hAnsi="微软雅黑" w:eastAsia="微软雅黑" w:cs="微软雅黑"/>
          <w:color w:val="000000"/>
          <w:kern w:val="0"/>
          <w:szCs w:val="21"/>
          <w:highlight w:val="none"/>
        </w:rPr>
        <w:t>；</w:t>
      </w:r>
      <w:r>
        <w:rPr>
          <w:rFonts w:hint="eastAsia" w:ascii="微软雅黑" w:hAnsi="微软雅黑" w:cs="微软雅黑"/>
          <w:color w:val="000000"/>
          <w:kern w:val="0"/>
          <w:szCs w:val="21"/>
          <w:highlight w:val="none"/>
          <w:lang w:val="en-US" w:eastAsia="zh-CN"/>
        </w:rPr>
        <w:t>线路4：嘉兴本市</w:t>
      </w:r>
      <w:r>
        <w:rPr>
          <w:rFonts w:hint="eastAsia" w:ascii="微软雅黑" w:hAnsi="微软雅黑" w:eastAsia="微软雅黑" w:cs="微软雅黑"/>
          <w:color w:val="000000"/>
          <w:kern w:val="0"/>
          <w:szCs w:val="21"/>
          <w:highlight w:val="none"/>
        </w:rPr>
        <w:t>5日</w:t>
      </w:r>
      <w:r>
        <w:rPr>
          <w:rFonts w:hint="eastAsia" w:ascii="微软雅黑" w:hAnsi="微软雅黑" w:eastAsia="微软雅黑" w:cs="微软雅黑"/>
          <w:color w:val="000000"/>
          <w:kern w:val="0"/>
          <w:szCs w:val="21"/>
          <w:highlight w:val="none"/>
          <w:lang w:eastAsia="zh-CN"/>
        </w:rPr>
        <w:t>。</w:t>
      </w:r>
      <w:r>
        <w:rPr>
          <w:rFonts w:hint="eastAsia" w:ascii="微软雅黑" w:hAnsi="微软雅黑" w:eastAsia="微软雅黑" w:cs="微软雅黑"/>
          <w:color w:val="auto"/>
          <w:kern w:val="0"/>
          <w:szCs w:val="21"/>
          <w:highlight w:val="none"/>
        </w:rPr>
        <w:t> </w:t>
      </w:r>
    </w:p>
    <w:p w14:paraId="0F304C9F">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 </w:t>
      </w:r>
    </w:p>
    <w:p w14:paraId="416B1A24">
      <w:pPr>
        <w:widowControl/>
        <w:spacing w:before="75" w:after="75" w:line="300" w:lineRule="atLeast"/>
        <w:ind w:firstLine="420"/>
        <w:rPr>
          <w:rFonts w:hint="eastAsia" w:ascii="微软雅黑" w:hAnsi="微软雅黑" w:eastAsia="微软雅黑" w:cs="微软雅黑"/>
          <w:color w:val="000000"/>
          <w:kern w:val="0"/>
          <w:szCs w:val="21"/>
          <w:highlight w:val="none"/>
        </w:rPr>
      </w:pPr>
    </w:p>
    <w:p w14:paraId="12B31953">
      <w:pPr>
        <w:widowControl/>
        <w:spacing w:before="75" w:after="75" w:line="300" w:lineRule="atLeast"/>
        <w:ind w:firstLine="42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合同履约期限：</w:t>
      </w:r>
      <w:r>
        <w:rPr>
          <w:rFonts w:hint="eastAsia" w:ascii="微软雅黑" w:hAnsi="微软雅黑" w:eastAsia="微软雅黑" w:cs="微软雅黑"/>
          <w:color w:val="auto"/>
          <w:kern w:val="0"/>
          <w:szCs w:val="21"/>
          <w:highlight w:val="none"/>
        </w:rPr>
        <w:t>详见竞争性磋商文件</w:t>
      </w:r>
      <w:r>
        <w:rPr>
          <w:rFonts w:hint="eastAsia" w:ascii="微软雅黑" w:hAnsi="微软雅黑" w:cs="微软雅黑"/>
          <w:color w:val="auto"/>
          <w:kern w:val="0"/>
          <w:szCs w:val="21"/>
          <w:highlight w:val="none"/>
          <w:lang w:eastAsia="zh-CN"/>
        </w:rPr>
        <w:t>。</w:t>
      </w:r>
      <w:r>
        <w:rPr>
          <w:rFonts w:hint="eastAsia" w:ascii="微软雅黑" w:hAnsi="微软雅黑" w:eastAsia="微软雅黑" w:cs="微软雅黑"/>
          <w:color w:val="000000"/>
          <w:kern w:val="0"/>
          <w:szCs w:val="21"/>
          <w:highlight w:val="none"/>
        </w:rPr>
        <w:t>  </w:t>
      </w:r>
    </w:p>
    <w:p w14:paraId="7BDF41B1">
      <w:pPr>
        <w:widowControl/>
        <w:spacing w:before="75" w:after="75" w:line="300" w:lineRule="atLeast"/>
        <w:ind w:firstLine="42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本项目（否）接受联合体投标。  </w:t>
      </w:r>
    </w:p>
    <w:p w14:paraId="3EE81A83">
      <w:pPr>
        <w:widowControl/>
        <w:spacing w:before="75" w:after="75"/>
        <w:ind w:firstLine="0" w:firstLineChars="0"/>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二、申请人的资格要求：</w:t>
      </w:r>
    </w:p>
    <w:p w14:paraId="694DED21">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D8EE726">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2.落实政府采购支持中小企业政策需满足的资格要求：</w:t>
      </w:r>
    </w:p>
    <w:p w14:paraId="1E4686AE">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w:t>
      </w:r>
      <w:r>
        <w:rPr>
          <w:rFonts w:hint="eastAsia" w:ascii="微软雅黑" w:hAnsi="微软雅黑" w:eastAsia="微软雅黑" w:cs="微软雅黑"/>
          <w:szCs w:val="21"/>
          <w:highlight w:val="none"/>
        </w:rPr>
        <w:sym w:font="Wingdings" w:char="00A8"/>
      </w:r>
      <w:r>
        <w:rPr>
          <w:rFonts w:hint="eastAsia" w:ascii="微软雅黑" w:hAnsi="微软雅黑" w:eastAsia="微软雅黑" w:cs="微软雅黑"/>
          <w:szCs w:val="21"/>
          <w:highlight w:val="none"/>
        </w:rPr>
        <w:t xml:space="preserve"> 无需落实；</w:t>
      </w:r>
    </w:p>
    <w:p w14:paraId="12A98E04">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rPr>
        <w:t>2.2</w:t>
      </w: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需要落实：</w:t>
      </w:r>
    </w:p>
    <w:p w14:paraId="0DB9E9E7">
      <w:pPr>
        <w:ind w:firstLine="63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2.2.1专门面向中小企业</w:t>
      </w:r>
    </w:p>
    <w:p w14:paraId="304EEA1B">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货物全部由符合政策要求的中小企业制造，提供中小企业声明函；</w:t>
      </w:r>
    </w:p>
    <w:p w14:paraId="5E77E792">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货物全部由符合政策要求的小微企业制造，提供中小企业声明函；</w:t>
      </w:r>
    </w:p>
    <w:p w14:paraId="38FBBD1B">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cs="微软雅黑"/>
          <w:kern w:val="0"/>
          <w:szCs w:val="21"/>
          <w:highlight w:val="none"/>
          <w:lang w:val="en-US" w:eastAsia="zh-CN"/>
        </w:rPr>
        <w:t xml:space="preserve"> </w:t>
      </w:r>
      <w:r>
        <w:rPr>
          <w:rFonts w:hint="eastAsia" w:ascii="微软雅黑" w:hAnsi="微软雅黑" w:eastAsia="微软雅黑" w:cs="微软雅黑"/>
          <w:szCs w:val="21"/>
          <w:highlight w:val="none"/>
        </w:rPr>
        <w:t>服务全部由符合政策要求的中小企业承接，提供中小企业声明函；</w:t>
      </w:r>
    </w:p>
    <w:p w14:paraId="2C929252">
      <w:pPr>
        <w:tabs>
          <w:tab w:val="left" w:pos="470"/>
        </w:tabs>
        <w:ind w:firstLine="42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ab/>
      </w:r>
      <w:r>
        <w:rPr>
          <w:rFonts w:hint="eastAsia" w:ascii="微软雅黑" w:hAnsi="微软雅黑" w:cs="微软雅黑"/>
          <w:kern w:val="0"/>
          <w:szCs w:val="21"/>
          <w:highlight w:val="none"/>
          <w:lang w:val="en-US" w:eastAsia="zh-CN"/>
        </w:rPr>
        <w:t xml:space="preserve">   </w:t>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服务全部由符合政策要求的小微企业承接，提供中小企业声明函；</w:t>
      </w:r>
    </w:p>
    <w:p w14:paraId="0E0421A5">
      <w:pPr>
        <w:ind w:firstLine="63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2.2.2</w:t>
      </w: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要求以联合体形式参加，提供联合协议和中小企业声明函，联合协议中中小企业合同金额应当达到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%（不得低于40%），其中小微企业合同金额应当达到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%（不得低于70%）;如果供应商本身提供所有标的均由中小企业制造、承建或承接，视同符合了资格条件，无需再与其他中小企业组成联合体参加政府采购活动，无需提供联合协议；</w:t>
      </w:r>
    </w:p>
    <w:p w14:paraId="4F8B5FDA">
      <w:pPr>
        <w:ind w:firstLine="63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2.2.3</w:t>
      </w:r>
      <w:r>
        <w:rPr>
          <w:rFonts w:hint="eastAsia" w:ascii="微软雅黑" w:hAnsi="微软雅黑" w:eastAsia="微软雅黑" w:cs="微软雅黑"/>
          <w:szCs w:val="21"/>
          <w:highlight w:val="none"/>
        </w:rPr>
        <w:sym w:font="Wingdings" w:char="00A8"/>
      </w:r>
      <w:r>
        <w:rPr>
          <w:rFonts w:hint="eastAsia" w:ascii="微软雅黑" w:hAnsi="微软雅黑" w:eastAsia="微软雅黑" w:cs="微软雅黑"/>
          <w:szCs w:val="21"/>
          <w:highlight w:val="none"/>
        </w:rPr>
        <w:t>要求合同分包，提供分包意向协议和中小企业声明函，分包意向协议中中小企业合同金额应当达到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（不得低于40%），其中小微企业合同金额应当达到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（不得低于70%）;如果供应商本身提供所有标的均由中小企业制造、承建或承接，视同符合了资格条件，无需再向中小企业分包，无需提供分包意向协议；</w:t>
      </w:r>
    </w:p>
    <w:p w14:paraId="30E90EC7">
      <w:pPr>
        <w:ind w:firstLine="42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3.本项目的特定资格要求：</w:t>
      </w:r>
      <w:r>
        <w:rPr>
          <w:rFonts w:hint="eastAsia" w:ascii="微软雅黑" w:hAnsi="微软雅黑" w:eastAsia="微软雅黑" w:cs="微软雅黑"/>
          <w:color w:val="000000"/>
          <w:kern w:val="0"/>
          <w:szCs w:val="21"/>
          <w:highlight w:val="none"/>
          <w:u w:val="single"/>
        </w:rPr>
        <w:t>具有有效的旅游经营许可证 ；</w:t>
      </w:r>
    </w:p>
    <w:p w14:paraId="77E8C74D">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32BB1A">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三、获取磋商文件</w:t>
      </w:r>
      <w:r>
        <w:rPr>
          <w:rFonts w:hint="eastAsia" w:ascii="微软雅黑" w:hAnsi="微软雅黑" w:eastAsia="微软雅黑" w:cs="微软雅黑"/>
          <w:kern w:val="0"/>
          <w:szCs w:val="21"/>
          <w:highlight w:val="none"/>
        </w:rPr>
        <w:t> </w:t>
      </w:r>
    </w:p>
    <w:p w14:paraId="0D409E1A">
      <w:pPr>
        <w:ind w:firstLine="420"/>
        <w:rPr>
          <w:rFonts w:hint="eastAsia" w:ascii="微软雅黑" w:hAnsi="微软雅黑" w:eastAsia="微软雅黑" w:cs="微软雅黑"/>
          <w:highlight w:val="none"/>
        </w:rPr>
      </w:pPr>
      <w:r>
        <w:rPr>
          <w:rFonts w:hint="eastAsia" w:ascii="微软雅黑" w:hAnsi="微软雅黑" w:eastAsia="微软雅黑" w:cs="微软雅黑"/>
          <w:kern w:val="0"/>
          <w:szCs w:val="21"/>
          <w:highlight w:val="none"/>
        </w:rPr>
        <w:t> </w:t>
      </w:r>
      <w:r>
        <w:rPr>
          <w:rFonts w:hint="eastAsia" w:ascii="微软雅黑" w:hAnsi="微软雅黑" w:eastAsia="微软雅黑" w:cs="微软雅黑"/>
          <w:highlight w:val="none"/>
        </w:rPr>
        <w:t>时间：2025年</w:t>
      </w:r>
      <w:r>
        <w:rPr>
          <w:rFonts w:hint="eastAsia" w:ascii="微软雅黑" w:hAnsi="微软雅黑" w:cs="微软雅黑"/>
          <w:highlight w:val="none"/>
          <w:lang w:val="en-US" w:eastAsia="zh-CN"/>
        </w:rPr>
        <w:t>6</w:t>
      </w:r>
      <w:r>
        <w:rPr>
          <w:rFonts w:hint="eastAsia" w:ascii="微软雅黑" w:hAnsi="微软雅黑" w:eastAsia="微软雅黑" w:cs="微软雅黑"/>
          <w:highlight w:val="none"/>
        </w:rPr>
        <w:t>月</w:t>
      </w:r>
      <w:r>
        <w:rPr>
          <w:rFonts w:hint="eastAsia" w:ascii="微软雅黑" w:hAnsi="微软雅黑" w:cs="微软雅黑"/>
          <w:highlight w:val="none"/>
          <w:lang w:val="en-US" w:eastAsia="zh-CN"/>
        </w:rPr>
        <w:t>19</w:t>
      </w:r>
      <w:r>
        <w:rPr>
          <w:rFonts w:hint="eastAsia" w:ascii="微软雅黑" w:hAnsi="微软雅黑" w:eastAsia="微软雅黑" w:cs="微软雅黑"/>
          <w:highlight w:val="none"/>
        </w:rPr>
        <w:t>日至</w:t>
      </w:r>
      <w:r>
        <w:rPr>
          <w:rFonts w:hint="eastAsia" w:ascii="微软雅黑" w:hAnsi="微软雅黑" w:eastAsia="微软雅黑" w:cs="微软雅黑"/>
          <w:sz w:val="21"/>
          <w:szCs w:val="21"/>
          <w:highlight w:val="none"/>
        </w:rPr>
        <w:t>  2025年</w:t>
      </w:r>
      <w:r>
        <w:rPr>
          <w:rFonts w:hint="eastAsia" w:ascii="微软雅黑" w:hAnsi="微软雅黑" w:cs="微软雅黑"/>
          <w:sz w:val="21"/>
          <w:szCs w:val="21"/>
          <w:highlight w:val="none"/>
          <w:lang w:val="en-US" w:eastAsia="zh-CN"/>
        </w:rPr>
        <w:t>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02</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 xml:space="preserve">14：00；    </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highlight w:val="none"/>
        </w:rPr>
        <w:t xml:space="preserve">   </w:t>
      </w:r>
    </w:p>
    <w:p w14:paraId="02FE1421">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地点（网址）：政采云平台（https://www.zcygov.cn/） </w:t>
      </w:r>
    </w:p>
    <w:p w14:paraId="6856F0CE">
      <w:pPr>
        <w:ind w:firstLine="420"/>
        <w:rPr>
          <w:rFonts w:hint="eastAsia" w:ascii="微软雅黑" w:hAnsi="微软雅黑" w:eastAsia="微软雅黑" w:cs="微软雅黑"/>
          <w:strike/>
          <w:highlight w:val="none"/>
        </w:rPr>
      </w:pPr>
      <w:r>
        <w:rPr>
          <w:rFonts w:hint="eastAsia" w:ascii="微软雅黑" w:hAnsi="微软雅黑" w:eastAsia="微软雅黑" w:cs="微软雅黑"/>
          <w:highlight w:val="none"/>
        </w:rPr>
        <w:t>方式：供应商登录政采云平台https://www.zcygov.cn/在线申请获取磋商文件（进入“项目采购”应用，在获取磋商文件菜单中选择项目，申请获取磋商文件）。</w:t>
      </w:r>
    </w:p>
    <w:p w14:paraId="6A60FF3A">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售价：免费。</w:t>
      </w:r>
    </w:p>
    <w:p w14:paraId="262C5699">
      <w:pPr>
        <w:widowControl/>
        <w:spacing w:before="75" w:after="75"/>
        <w:ind w:firstLine="0" w:firstLineChars="0"/>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四、提交响应文件截止时间、开标时间和地点</w:t>
      </w:r>
    </w:p>
    <w:p w14:paraId="0E02EF19">
      <w:pPr>
        <w:ind w:firstLine="420"/>
        <w:rPr>
          <w:rFonts w:hint="eastAsia" w:ascii="微软雅黑" w:hAnsi="微软雅黑" w:eastAsia="微软雅黑" w:cs="微软雅黑"/>
          <w:highlight w:val="none"/>
        </w:rPr>
      </w:pPr>
      <w:r>
        <w:rPr>
          <w:rFonts w:hint="eastAsia" w:ascii="微软雅黑" w:hAnsi="微软雅黑" w:eastAsia="微软雅黑" w:cs="微软雅黑"/>
          <w:sz w:val="21"/>
          <w:szCs w:val="21"/>
          <w:highlight w:val="none"/>
        </w:rPr>
        <w:t>2025年</w:t>
      </w:r>
      <w:r>
        <w:rPr>
          <w:rFonts w:hint="eastAsia" w:ascii="微软雅黑" w:hAnsi="微软雅黑" w:cs="微软雅黑"/>
          <w:sz w:val="21"/>
          <w:szCs w:val="21"/>
          <w:highlight w:val="none"/>
          <w:lang w:val="en-US" w:eastAsia="zh-CN"/>
        </w:rPr>
        <w:t>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02</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14：00</w:t>
      </w:r>
      <w:r>
        <w:rPr>
          <w:rFonts w:hint="eastAsia" w:ascii="微软雅黑" w:hAnsi="微软雅黑" w:eastAsia="微软雅黑" w:cs="微软雅黑"/>
          <w:highlight w:val="none"/>
        </w:rPr>
        <w:t>（北京时间）</w:t>
      </w:r>
    </w:p>
    <w:p w14:paraId="219B3873">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highlight w:val="none"/>
        </w:rPr>
        <w:t>地点（网址）：政采云平台（https://www.zcygov.cn/）</w:t>
      </w:r>
      <w:r>
        <w:rPr>
          <w:rFonts w:hint="eastAsia" w:ascii="微软雅黑" w:hAnsi="微软雅黑" w:eastAsia="微软雅黑" w:cs="微软雅黑"/>
          <w:kern w:val="0"/>
          <w:szCs w:val="21"/>
          <w:highlight w:val="none"/>
        </w:rPr>
        <w:t>  </w:t>
      </w:r>
    </w:p>
    <w:p w14:paraId="5AD14740">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五、公告期限</w:t>
      </w:r>
      <w:r>
        <w:rPr>
          <w:rFonts w:hint="eastAsia" w:ascii="微软雅黑" w:hAnsi="微软雅黑" w:eastAsia="微软雅黑" w:cs="微软雅黑"/>
          <w:kern w:val="0"/>
          <w:szCs w:val="21"/>
          <w:highlight w:val="none"/>
        </w:rPr>
        <w:t> </w:t>
      </w:r>
    </w:p>
    <w:p w14:paraId="29A75A49">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自本公告发布之日起3个工作日。</w:t>
      </w:r>
    </w:p>
    <w:p w14:paraId="143F7BE9">
      <w:pPr>
        <w:widowControl/>
        <w:spacing w:before="255" w:after="255"/>
        <w:ind w:firstLine="0" w:firstLineChars="0"/>
        <w:jc w:val="both"/>
        <w:outlineLvl w:val="1"/>
        <w:rPr>
          <w:rFonts w:hint="eastAsia" w:ascii="微软雅黑" w:hAnsi="微软雅黑" w:eastAsia="微软雅黑" w:cs="微软雅黑"/>
          <w:b/>
          <w:bCs/>
          <w:kern w:val="0"/>
          <w:szCs w:val="21"/>
          <w:highlight w:val="none"/>
        </w:rPr>
      </w:pPr>
      <w:r>
        <w:rPr>
          <w:rFonts w:hint="eastAsia" w:ascii="微软雅黑" w:hAnsi="微软雅黑" w:eastAsia="微软雅黑" w:cs="微软雅黑"/>
          <w:b/>
          <w:bCs/>
          <w:kern w:val="0"/>
          <w:szCs w:val="21"/>
          <w:highlight w:val="none"/>
        </w:rPr>
        <w:t>六、其他补充事宜</w:t>
      </w:r>
    </w:p>
    <w:p w14:paraId="628167D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1.供应商认为磋商文件、采购过程、中标或者成交结果使自己的权益受到损害的，可以在知道或者应知其权益受到损害之日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7AA1C4">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2.其他事项：</w:t>
      </w:r>
    </w:p>
    <w:p w14:paraId="109CA82F">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（1）需要落实的政府采购政策：包括节约资源、保护环境、支持创新、促进中小企业发展等。</w:t>
      </w:r>
    </w:p>
    <w:p w14:paraId="64ECCD97">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（2）电子招投标的说明：</w:t>
      </w:r>
    </w:p>
    <w:p w14:paraId="6B9814BC">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①电子招投标：本项目以数据电文形式，依托“政府采购云平台（www.zcygov.cn）”进行招投标活动，不接受纸质响应文件；</w:t>
      </w:r>
    </w:p>
    <w:p w14:paraId="44606C4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微软雅黑" w:hAnsi="微软雅黑" w:eastAsia="微软雅黑" w:cs="微软雅黑"/>
          <w:b/>
          <w:bCs/>
          <w:highlight w:val="none"/>
        </w:rPr>
        <w:t>中标供应商在签订合同前，如不完成注册，视为放弃</w:t>
      </w:r>
      <w:r>
        <w:rPr>
          <w:rFonts w:hint="eastAsia" w:ascii="微软雅黑" w:hAnsi="微软雅黑" w:eastAsia="微软雅黑" w:cs="微软雅黑"/>
          <w:highlight w:val="none"/>
        </w:rPr>
        <w:t>；</w:t>
      </w:r>
    </w:p>
    <w:p w14:paraId="4227B77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CA驱动和申领流程</w:t>
      </w:r>
    </w:p>
    <w:p w14:paraId="08B7175F">
      <w:pPr>
        <w:spacing w:before="120" w:beforeLines="50" w:after="120" w:afterLines="50"/>
        <w:ind w:firstLine="420"/>
        <w:rPr>
          <w:rStyle w:val="61"/>
          <w:rFonts w:hint="eastAsia" w:ascii="微软雅黑" w:hAnsi="微软雅黑" w:eastAsia="微软雅黑" w:cs="微软雅黑"/>
          <w:color w:val="auto"/>
          <w:szCs w:val="22"/>
          <w:highlight w:val="none"/>
        </w:rPr>
      </w:pPr>
      <w:r>
        <w:rPr>
          <w:rStyle w:val="61"/>
          <w:rFonts w:hint="eastAsia" w:ascii="微软雅黑" w:hAnsi="微软雅黑" w:eastAsia="微软雅黑" w:cs="微软雅黑"/>
          <w:color w:val="auto"/>
          <w:szCs w:val="22"/>
          <w:highlight w:val="none"/>
        </w:rPr>
        <w:t xml:space="preserve">https://zfcg.czt.zj.gov.cn/bidClientTemplate/2019-05-27/12945.html    </w:t>
      </w:r>
    </w:p>
    <w:p w14:paraId="73084CA2">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注：ＣＡ证书遗失补办、延期、解锁、质保等业务可以在联连客户端上进行操作；使用政采云投标客户端时，建议使用windows7以上且64位的操作系统。</w:t>
      </w:r>
    </w:p>
    <w:p w14:paraId="2070DAB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CA证书办理操作视频</w:t>
      </w:r>
    </w:p>
    <w:p w14:paraId="2484501D">
      <w:pPr>
        <w:spacing w:before="120" w:beforeLines="50" w:after="120" w:afterLines="50"/>
        <w:ind w:firstLine="420"/>
        <w:rPr>
          <w:rStyle w:val="61"/>
          <w:rFonts w:hint="eastAsia" w:ascii="微软雅黑" w:hAnsi="微软雅黑" w:eastAsia="微软雅黑" w:cs="微软雅黑"/>
          <w:color w:val="auto"/>
          <w:szCs w:val="22"/>
          <w:highlight w:val="none"/>
        </w:rPr>
      </w:pPr>
      <w:r>
        <w:rPr>
          <w:rStyle w:val="61"/>
          <w:rFonts w:hint="eastAsia" w:ascii="微软雅黑" w:hAnsi="微软雅黑" w:eastAsia="微软雅黑" w:cs="微软雅黑"/>
          <w:color w:val="auto"/>
          <w:szCs w:val="22"/>
          <w:highlight w:val="none"/>
        </w:rPr>
        <w:t>https://service.zcygov.cn/#/knowledges/UgcbC3EBiyELHE-opz1b/EWqqyXEByNnJ3A2CPyDI</w:t>
      </w:r>
    </w:p>
    <w:p w14:paraId="03023F02">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CA绑定登录操作视频</w:t>
      </w:r>
    </w:p>
    <w:p w14:paraId="0837D45F">
      <w:pPr>
        <w:spacing w:before="120" w:beforeLines="50" w:after="120" w:afterLines="50"/>
        <w:ind w:firstLine="420"/>
        <w:rPr>
          <w:rFonts w:hint="eastAsia" w:ascii="微软雅黑" w:hAnsi="微软雅黑" w:eastAsia="微软雅黑" w:cs="微软雅黑"/>
          <w:highlight w:val="none"/>
        </w:rPr>
      </w:pPr>
      <w:r>
        <w:rPr>
          <w:rStyle w:val="61"/>
          <w:rFonts w:hint="eastAsia" w:ascii="微软雅黑" w:hAnsi="微软雅黑" w:eastAsia="微软雅黑" w:cs="微软雅黑"/>
          <w:color w:val="auto"/>
          <w:szCs w:val="22"/>
          <w:highlight w:val="none"/>
        </w:rPr>
        <w:t>https://service.zcygov.cn/#/knowledges/UgcbC3EBiyELHE-opz1b/nAkmyXEBiyELHE-o-983</w:t>
      </w:r>
    </w:p>
    <w:p w14:paraId="60DAED2B">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③磋商文件的获取：使用账号登录或者使用CA登录政采云平台；进入“项目采购”应用，在获取磋商文件菜单中选择项目，获取磋商文件；</w:t>
      </w:r>
    </w:p>
    <w:p w14:paraId="49C98558">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④响应文件的制作：在“政采云电子交易客户端”中完成“填写基本信息”、“导入响应文件”、“标书关联”、“标书检查”、“电子签名”、“生成电子标书”等操作；</w:t>
      </w:r>
    </w:p>
    <w:p w14:paraId="530D5FC1">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⑤采购人、采购机构将依托政采云平台完成本项目的电子交易活动，平台不接受未按上述方式获取磋商文件的供应商进行投标活动； </w:t>
      </w:r>
    </w:p>
    <w:p w14:paraId="431F4056">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⑥对未按上述方式获取磋商文件的供应商对该文件提出的质疑，采购人或采购代理机构将不予处理；</w:t>
      </w:r>
    </w:p>
    <w:p w14:paraId="20F3F930">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⑦不提供磋商文件纸质版；</w:t>
      </w:r>
    </w:p>
    <w:p w14:paraId="4AAB6706">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⑧响应文件的传输递交：投标供应商在投标截止时间前将加密的响应文件上传至政府采购云平台，同时可在投标截止时间前将政采云平台上最后生成的具备电子签章的备份电子标文件1份下载至U盘</w:t>
      </w:r>
      <w:r>
        <w:rPr>
          <w:rFonts w:hint="eastAsia" w:ascii="微软雅黑" w:hAnsi="微软雅黑" w:eastAsia="微软雅黑" w:cs="微软雅黑"/>
          <w:b/>
          <w:bCs/>
          <w:highlight w:val="none"/>
          <w:shd w:val="clear" w:color="FFFFFF" w:fill="D9D9D9"/>
        </w:rPr>
        <w:t>（非强制递交）</w:t>
      </w:r>
      <w:r>
        <w:rPr>
          <w:rFonts w:hint="eastAsia" w:ascii="微软雅黑" w:hAnsi="微软雅黑" w:eastAsia="微软雅黑" w:cs="微软雅黑"/>
          <w:highlight w:val="none"/>
        </w:rPr>
        <w:t>，直接提交或者以</w:t>
      </w:r>
      <w:r>
        <w:rPr>
          <w:rFonts w:hint="eastAsia" w:ascii="微软雅黑" w:hAnsi="微软雅黑" w:eastAsia="微软雅黑" w:cs="微软雅黑"/>
          <w:b/>
          <w:bCs/>
          <w:highlight w:val="none"/>
          <w:u w:val="single"/>
        </w:rPr>
        <w:t>快递</w:t>
      </w:r>
      <w:r>
        <w:rPr>
          <w:rFonts w:hint="eastAsia" w:ascii="微软雅黑" w:hAnsi="微软雅黑" w:eastAsia="微软雅黑" w:cs="微软雅黑"/>
          <w:highlight w:val="none"/>
        </w:rPr>
        <w:t>方式递交【</w:t>
      </w:r>
      <w:r>
        <w:rPr>
          <w:rFonts w:hint="eastAsia" w:ascii="微软雅黑" w:hAnsi="微软雅黑" w:eastAsia="微软雅黑" w:cs="微软雅黑"/>
          <w:b/>
          <w:bCs/>
          <w:highlight w:val="none"/>
        </w:rPr>
        <w:t>地址：嘉兴市秀洲区新平路299号中禾广场</w:t>
      </w:r>
      <w:r>
        <w:rPr>
          <w:rFonts w:hint="eastAsia" w:ascii="微软雅黑" w:hAnsi="微软雅黑" w:cs="微软雅黑"/>
          <w:b/>
          <w:bCs/>
          <w:highlight w:val="none"/>
          <w:lang w:val="en-US" w:eastAsia="zh-CN"/>
        </w:rPr>
        <w:t>23</w:t>
      </w:r>
      <w:r>
        <w:rPr>
          <w:rFonts w:hint="eastAsia" w:ascii="微软雅黑" w:hAnsi="微软雅黑" w:eastAsia="微软雅黑" w:cs="微软雅黑"/>
          <w:b/>
          <w:bCs/>
          <w:highlight w:val="none"/>
        </w:rPr>
        <w:t>楼政府采购办公室</w:t>
      </w:r>
      <w:r>
        <w:rPr>
          <w:rFonts w:hint="eastAsia" w:ascii="微软雅黑" w:hAnsi="微软雅黑" w:eastAsia="微软雅黑" w:cs="微软雅黑"/>
          <w:highlight w:val="none"/>
        </w:rPr>
        <w:t>；收件人：章莉莉；电话：13605735186；快递寄出同时，项目被授权代表须以邮件方式将快递单号、项目名称、公司名称、被授权代表姓名及联系方式等内容（邮件格式为：</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"mailto:项目编号+快递单号+公司名称+被授权代表姓名及联系方式）发代理机构联系人邮箱1450912653@qq.com)】"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highlight w:val="none"/>
        </w:rPr>
        <w:t>项目编号+快递单号+公司名称+被授权代表姓名及联系方式）发代理机构联系人邮箱1450912653@qq.com)】</w:t>
      </w:r>
      <w:r>
        <w:rPr>
          <w:rStyle w:val="61"/>
          <w:rFonts w:hint="eastAsia" w:ascii="微软雅黑" w:hAnsi="微软雅黑" w:eastAsia="微软雅黑" w:cs="微软雅黑"/>
          <w:color w:val="auto"/>
          <w:highlight w:val="none"/>
        </w:rPr>
        <w:fldChar w:fldCharType="end"/>
      </w:r>
      <w:r>
        <w:rPr>
          <w:rFonts w:hint="eastAsia" w:ascii="微软雅黑" w:hAnsi="微软雅黑" w:eastAsia="微软雅黑" w:cs="微软雅黑"/>
          <w:highlight w:val="none"/>
        </w:rPr>
        <w:t>；</w:t>
      </w:r>
    </w:p>
    <w:p w14:paraId="2C9C410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备份响应文件递交须满足：外包装封面上应注明投标供应商名称、投标供应商联系方式（授权代表手机）、响应文件名称（备份响应文件）、投标项目名称、项目编号、标项及“开标时启封”字样，并加盖投标供应商公章。</w:t>
      </w:r>
      <w:r>
        <w:rPr>
          <w:rFonts w:hint="eastAsia" w:ascii="微软雅黑" w:hAnsi="微软雅黑" w:eastAsia="微软雅黑" w:cs="微软雅黑"/>
          <w:b/>
          <w:bCs/>
          <w:highlight w:val="none"/>
        </w:rPr>
        <w:t>备份文件非强制要求。</w:t>
      </w:r>
    </w:p>
    <w:p w14:paraId="01784A78">
      <w:pPr>
        <w:ind w:firstLine="42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投标供应商递交的备份响应文件，出现下列情况之一的，将被拒收：</w:t>
      </w:r>
    </w:p>
    <w:p w14:paraId="7ECDA0A7">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·未按规定密封或标记的；</w:t>
      </w:r>
    </w:p>
    <w:p w14:paraId="31991650">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·由于包装不妥，在送交途中严重破损或失散的；</w:t>
      </w:r>
    </w:p>
    <w:p w14:paraId="58F9D2C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·超过投标截止时间送达的；</w:t>
      </w:r>
    </w:p>
    <w:p w14:paraId="0318F737">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·快递方式：快递费到付。</w:t>
      </w:r>
    </w:p>
    <w:p w14:paraId="6FD0AC4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⑨响应文件的解密：投标供应商按照平台提示和磋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供应商仅提交备份响应文件，没有在电子交易平台传输递交响应文件的，投标无效；</w:t>
      </w:r>
    </w:p>
    <w:p w14:paraId="336F1670">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⑩具体操作指南：详见政采云平台“服务中心-帮助文档-项目采购-操作流程-电子招投标-政府采购项目电子交易管理操作指南-供应商”（浙江省“项目采购电子交易系统/不见面开评标”学习专题：</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"https://edu.zcygov.cn/luban/e-biding"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https://edu.zcygov.cn/luban/e-biding</w:t>
      </w:r>
      <w:r>
        <w:rPr>
          <w:rFonts w:hint="eastAsia" w:ascii="微软雅黑" w:hAnsi="微软雅黑" w:eastAsia="微软雅黑" w:cs="微软雅黑"/>
          <w:highlight w:val="none"/>
        </w:rPr>
        <w:fldChar w:fldCharType="end"/>
      </w:r>
      <w:r>
        <w:rPr>
          <w:rFonts w:hint="eastAsia" w:ascii="微软雅黑" w:hAnsi="微软雅黑" w:eastAsia="微软雅黑" w:cs="微软雅黑"/>
          <w:highlight w:val="none"/>
        </w:rPr>
        <w:t>）。</w:t>
      </w:r>
    </w:p>
    <w:p w14:paraId="47BC9909">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3.惠企政策</w:t>
      </w:r>
    </w:p>
    <w:p w14:paraId="2947B9A6">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3.1本采购项目，中标供应商与采购人签订的政府采购合同适用于嘉兴市政府采购贷款政策（简称“政采贷”），具体内容可参阅政府采购贷款流程：</w:t>
      </w:r>
    </w:p>
    <w:p w14:paraId="3FA9E4C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http://jxszwsjb.jiaxing.gov.cn/zxfw/005001/005001004/20190315/76d484f7-8fac-497f-9359-4df81cc086da.html</w:t>
      </w:r>
    </w:p>
    <w:p w14:paraId="73BB81F5">
      <w:pPr>
        <w:ind w:firstLine="420"/>
        <w:rPr>
          <w:rFonts w:hint="eastAsia" w:ascii="微软雅黑" w:hAnsi="微软雅黑" w:eastAsia="微软雅黑" w:cs="微软雅黑"/>
          <w:sz w:val="24"/>
          <w:highlight w:val="none"/>
        </w:rPr>
      </w:pPr>
      <w:r>
        <w:rPr>
          <w:rFonts w:hint="eastAsia" w:ascii="微软雅黑" w:hAnsi="微软雅黑" w:eastAsia="微软雅黑" w:cs="微软雅黑"/>
          <w:highlight w:val="none"/>
        </w:rPr>
        <w:t>3.2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7B758D03">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七、对本次采购提出询问、质疑、投诉，请按以下方式联系</w:t>
      </w:r>
    </w:p>
    <w:p w14:paraId="67AF936A">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1.采购人信息</w:t>
      </w:r>
    </w:p>
    <w:p w14:paraId="55B735EE">
      <w:pPr>
        <w:widowControl/>
        <w:spacing w:before="75" w:after="75" w:line="240" w:lineRule="auto"/>
        <w:ind w:firstLine="330" w:firstLineChars="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名    称：</w:t>
      </w:r>
      <w:r>
        <w:rPr>
          <w:rFonts w:hint="eastAsia" w:ascii="微软雅黑" w:hAnsi="微软雅黑" w:cs="微软雅黑"/>
          <w:kern w:val="0"/>
          <w:szCs w:val="21"/>
          <w:highlight w:val="none"/>
          <w:lang w:eastAsia="zh-CN"/>
        </w:rPr>
        <w:t>嘉兴市秀洲区高照实验学校</w:t>
      </w:r>
      <w:r>
        <w:rPr>
          <w:rFonts w:hint="eastAsia" w:ascii="微软雅黑" w:hAnsi="微软雅黑" w:eastAsia="微软雅黑" w:cs="微软雅黑"/>
          <w:kern w:val="0"/>
          <w:szCs w:val="21"/>
          <w:highlight w:val="none"/>
          <w:lang w:eastAsia="zh-CN"/>
        </w:rPr>
        <w:t xml:space="preserve">    </w:t>
      </w:r>
    </w:p>
    <w:p w14:paraId="709CBEEE">
      <w:pPr>
        <w:widowControl/>
        <w:spacing w:before="75" w:after="75" w:line="240" w:lineRule="auto"/>
        <w:ind w:firstLine="330" w:firstLineChars="0"/>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地    址：</w:t>
      </w:r>
      <w:r>
        <w:rPr>
          <w:rFonts w:hint="eastAsia" w:ascii="微软雅黑" w:hAnsi="微软雅黑" w:cs="微软雅黑"/>
          <w:color w:val="000000"/>
          <w:kern w:val="0"/>
          <w:szCs w:val="21"/>
          <w:highlight w:val="none"/>
          <w:lang w:val="en-US" w:eastAsia="zh-CN"/>
        </w:rPr>
        <w:t xml:space="preserve"> 嘉兴市秀洲区高照鸿运路110号高照实验学校</w:t>
      </w:r>
    </w:p>
    <w:p w14:paraId="485597A3">
      <w:pPr>
        <w:widowControl/>
        <w:spacing w:before="75" w:after="75" w:line="240" w:lineRule="auto"/>
        <w:ind w:firstLine="0" w:firstLineChars="0"/>
        <w:rPr>
          <w:rFonts w:hint="eastAsia"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color w:val="000000"/>
          <w:kern w:val="0"/>
          <w:szCs w:val="21"/>
          <w:highlight w:val="none"/>
        </w:rPr>
        <w:t>    传    真： </w:t>
      </w:r>
      <w:r>
        <w:rPr>
          <w:rFonts w:hint="eastAsia" w:ascii="微软雅黑" w:hAnsi="微软雅黑" w:cs="微软雅黑"/>
          <w:color w:val="000000"/>
          <w:kern w:val="0"/>
          <w:szCs w:val="21"/>
          <w:highlight w:val="none"/>
          <w:lang w:val="en-US" w:eastAsia="zh-CN"/>
        </w:rPr>
        <w:t>/</w:t>
      </w:r>
    </w:p>
    <w:p w14:paraId="16A726B4">
      <w:pPr>
        <w:widowControl/>
        <w:spacing w:before="75" w:after="75" w:line="240" w:lineRule="auto"/>
        <w:ind w:firstLine="0" w:firstLineChars="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    项目联系人（询问）：</w:t>
      </w:r>
      <w:r>
        <w:rPr>
          <w:rFonts w:hint="eastAsia" w:ascii="微软雅黑" w:hAnsi="微软雅黑" w:cs="微软雅黑"/>
          <w:color w:val="000000"/>
          <w:kern w:val="0"/>
          <w:szCs w:val="21"/>
          <w:highlight w:val="none"/>
          <w:lang w:eastAsia="zh-CN"/>
        </w:rPr>
        <w:t>于佳</w:t>
      </w:r>
      <w:r>
        <w:rPr>
          <w:rFonts w:hint="eastAsia" w:ascii="微软雅黑" w:hAnsi="微软雅黑" w:cs="微软雅黑"/>
          <w:color w:val="000000"/>
          <w:kern w:val="0"/>
          <w:szCs w:val="21"/>
          <w:highlight w:val="none"/>
          <w:lang w:val="en-US" w:eastAsia="zh-CN"/>
        </w:rPr>
        <w:t xml:space="preserve"> </w:t>
      </w:r>
      <w:r>
        <w:rPr>
          <w:rFonts w:hint="eastAsia" w:ascii="微软雅黑" w:hAnsi="微软雅黑" w:eastAsia="微软雅黑" w:cs="微软雅黑"/>
          <w:color w:val="000000"/>
          <w:kern w:val="0"/>
          <w:szCs w:val="21"/>
          <w:highlight w:val="none"/>
        </w:rPr>
        <w:t> </w:t>
      </w:r>
    </w:p>
    <w:p w14:paraId="25847CBE">
      <w:pPr>
        <w:widowControl/>
        <w:spacing w:before="75" w:after="75" w:line="240" w:lineRule="auto"/>
        <w:ind w:firstLine="0" w:firstLineChars="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    项目联系方式（询问）：</w:t>
      </w:r>
      <w:r>
        <w:rPr>
          <w:rFonts w:hint="eastAsia" w:ascii="微软雅黑" w:hAnsi="微软雅黑" w:eastAsia="微软雅黑" w:cs="微软雅黑"/>
          <w:i w:val="0"/>
          <w:iCs w:val="0"/>
          <w:caps w:val="0"/>
          <w:color w:val="232323"/>
          <w:spacing w:val="0"/>
          <w:sz w:val="21"/>
          <w:szCs w:val="21"/>
          <w:shd w:val="clear" w:fill="FFFFFF"/>
        </w:rPr>
        <w:t>15958302203</w:t>
      </w:r>
      <w:r>
        <w:rPr>
          <w:rFonts w:hint="eastAsia" w:ascii="微软雅黑" w:hAnsi="微软雅黑" w:cs="微软雅黑"/>
          <w:color w:val="000000"/>
          <w:kern w:val="0"/>
          <w:szCs w:val="21"/>
          <w:highlight w:val="none"/>
          <w:lang w:val="en-US" w:eastAsia="zh-CN"/>
        </w:rPr>
        <w:t xml:space="preserve"> </w:t>
      </w:r>
      <w:r>
        <w:rPr>
          <w:rFonts w:hint="eastAsia" w:ascii="微软雅黑" w:hAnsi="微软雅黑" w:eastAsia="微软雅黑" w:cs="微软雅黑"/>
          <w:color w:val="000000"/>
          <w:kern w:val="0"/>
          <w:szCs w:val="21"/>
          <w:highlight w:val="none"/>
        </w:rPr>
        <w:t xml:space="preserve">   </w:t>
      </w:r>
    </w:p>
    <w:p w14:paraId="66B24516">
      <w:pPr>
        <w:widowControl/>
        <w:spacing w:before="75" w:after="75" w:line="240" w:lineRule="auto"/>
        <w:ind w:firstLine="0" w:firstLineChars="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    质疑联系人：</w:t>
      </w:r>
      <w:r>
        <w:rPr>
          <w:rFonts w:hint="eastAsia" w:ascii="微软雅黑" w:hAnsi="微软雅黑" w:cs="微软雅黑"/>
          <w:color w:val="000000"/>
          <w:kern w:val="0"/>
          <w:szCs w:val="21"/>
          <w:highlight w:val="none"/>
          <w:lang w:eastAsia="zh-CN"/>
        </w:rPr>
        <w:t>周高</w:t>
      </w:r>
      <w:r>
        <w:rPr>
          <w:rFonts w:hint="eastAsia" w:ascii="微软雅黑" w:hAnsi="微软雅黑" w:cs="微软雅黑"/>
          <w:color w:val="000000"/>
          <w:kern w:val="0"/>
          <w:szCs w:val="21"/>
          <w:highlight w:val="none"/>
          <w:lang w:val="en-US" w:eastAsia="zh-CN"/>
        </w:rPr>
        <w:t xml:space="preserve"> </w:t>
      </w:r>
      <w:r>
        <w:rPr>
          <w:rFonts w:hint="eastAsia" w:ascii="微软雅黑" w:hAnsi="微软雅黑" w:eastAsia="微软雅黑" w:cs="微软雅黑"/>
          <w:color w:val="000000"/>
          <w:kern w:val="0"/>
          <w:szCs w:val="21"/>
          <w:highlight w:val="none"/>
        </w:rPr>
        <w:t> </w:t>
      </w:r>
    </w:p>
    <w:p w14:paraId="60114272">
      <w:pPr>
        <w:widowControl/>
        <w:spacing w:before="75" w:after="75"/>
        <w:ind w:firstLine="0" w:firstLineChars="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color w:val="000000"/>
          <w:kern w:val="0"/>
          <w:szCs w:val="21"/>
          <w:highlight w:val="none"/>
        </w:rPr>
        <w:t>    质疑联系方式：0573-83620665</w:t>
      </w:r>
      <w:r>
        <w:rPr>
          <w:rFonts w:hint="eastAsia" w:ascii="微软雅黑" w:hAnsi="微软雅黑" w:cs="微软雅黑"/>
          <w:color w:val="000000"/>
          <w:kern w:val="0"/>
          <w:szCs w:val="21"/>
          <w:highlight w:val="none"/>
          <w:lang w:val="en-US" w:eastAsia="zh-CN"/>
        </w:rPr>
        <w:t xml:space="preserve"> </w:t>
      </w:r>
    </w:p>
    <w:p w14:paraId="112EE702">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2.采购代理机构信息            </w:t>
      </w:r>
    </w:p>
    <w:p w14:paraId="4F60F82A">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名    称：嘉兴市千秋工程咨询有限公司             </w:t>
      </w:r>
    </w:p>
    <w:p w14:paraId="561D4530">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地    址：嘉兴市秀洲区新平路299号中禾广场</w:t>
      </w:r>
      <w:r>
        <w:rPr>
          <w:rFonts w:hint="eastAsia" w:ascii="微软雅黑" w:hAnsi="微软雅黑" w:cs="微软雅黑"/>
          <w:kern w:val="0"/>
          <w:szCs w:val="21"/>
          <w:highlight w:val="none"/>
          <w:lang w:val="en-US" w:eastAsia="zh-CN"/>
        </w:rPr>
        <w:t>23</w:t>
      </w:r>
      <w:r>
        <w:rPr>
          <w:rFonts w:hint="eastAsia" w:ascii="微软雅黑" w:hAnsi="微软雅黑" w:eastAsia="微软雅黑" w:cs="微软雅黑"/>
          <w:kern w:val="0"/>
          <w:szCs w:val="21"/>
          <w:highlight w:val="none"/>
        </w:rPr>
        <w:t>楼             </w:t>
      </w:r>
    </w:p>
    <w:p w14:paraId="3BF42BCA">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传    真：/             </w:t>
      </w:r>
    </w:p>
    <w:p w14:paraId="2140A6B2">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项目联系人（询问）：章莉莉、李建良              </w:t>
      </w:r>
    </w:p>
    <w:p w14:paraId="4847CAFD">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项目联系方式（询问）：0573-83705015 13605735186 </w:t>
      </w:r>
    </w:p>
    <w:p w14:paraId="05431AF7">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质疑联系人：项兴戟  、林晨          </w:t>
      </w:r>
    </w:p>
    <w:p w14:paraId="7A6E1B0B">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质疑联系方式：0573-83705015 13605738567 　　　　　　     </w:t>
      </w:r>
    </w:p>
    <w:p w14:paraId="6D10605E">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3.同级政府采购监督管理部门            </w:t>
      </w:r>
    </w:p>
    <w:p w14:paraId="284DDB3A">
      <w:pPr>
        <w:ind w:firstLine="420"/>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政府采购行政监管及投诉受理部门：</w:t>
      </w:r>
      <w:r>
        <w:rPr>
          <w:rFonts w:hint="eastAsia" w:ascii="微软雅黑" w:hAnsi="微软雅黑" w:eastAsia="微软雅黑" w:cs="微软雅黑"/>
          <w:szCs w:val="21"/>
          <w:highlight w:val="none"/>
          <w:lang w:val="en-US" w:eastAsia="zh-CN"/>
        </w:rPr>
        <w:t>嘉兴</w:t>
      </w:r>
      <w:r>
        <w:rPr>
          <w:rFonts w:hint="eastAsia" w:ascii="微软雅黑" w:hAnsi="微软雅黑" w:cs="微软雅黑"/>
          <w:szCs w:val="21"/>
          <w:highlight w:val="none"/>
          <w:lang w:val="en-US" w:eastAsia="zh-CN"/>
        </w:rPr>
        <w:t>市秀洲区财政局</w:t>
      </w:r>
    </w:p>
    <w:p w14:paraId="4DE01B42">
      <w:pPr>
        <w:ind w:firstLine="420"/>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联系人：</w:t>
      </w:r>
      <w:r>
        <w:rPr>
          <w:rFonts w:hint="eastAsia" w:ascii="微软雅黑" w:hAnsi="微软雅黑" w:cs="微软雅黑"/>
          <w:szCs w:val="21"/>
          <w:highlight w:val="none"/>
          <w:lang w:val="en-US" w:eastAsia="zh-CN"/>
        </w:rPr>
        <w:t>方先生</w:t>
      </w:r>
    </w:p>
    <w:p w14:paraId="29828EFD">
      <w:pPr>
        <w:ind w:firstLine="420"/>
        <w:rPr>
          <w:rFonts w:hint="eastAsia" w:ascii="微软雅黑" w:hAnsi="微软雅黑" w:cs="微软雅黑"/>
          <w:szCs w:val="21"/>
          <w:highlight w:val="none"/>
          <w:lang w:val="en-US" w:eastAsia="zh-CN"/>
        </w:rPr>
      </w:pPr>
      <w:r>
        <w:rPr>
          <w:rFonts w:hint="eastAsia" w:ascii="微软雅黑" w:hAnsi="微软雅黑" w:eastAsia="微软雅黑" w:cs="微软雅黑"/>
          <w:szCs w:val="21"/>
          <w:highlight w:val="none"/>
        </w:rPr>
        <w:t>联系方式：</w:t>
      </w:r>
      <w:r>
        <w:rPr>
          <w:rFonts w:hint="eastAsia" w:ascii="微软雅黑" w:hAnsi="微软雅黑" w:cs="微软雅黑"/>
          <w:szCs w:val="21"/>
          <w:highlight w:val="none"/>
          <w:lang w:val="en-US" w:eastAsia="zh-CN"/>
        </w:rPr>
        <w:t>0573-82720085</w:t>
      </w:r>
    </w:p>
    <w:p w14:paraId="10B45BDA">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若对项目采购电子交易系统操作有疑问，可登录政采云（https://www.zcygov.cn/），点击右侧咨询小采，获取采小蜜智能服务管家帮助，或拨打政采云服务热线95763获取热线服务帮助。</w:t>
      </w:r>
    </w:p>
    <w:p w14:paraId="2EF1553A">
      <w:pPr>
        <w:ind w:firstLine="420"/>
        <w:rPr>
          <w:rFonts w:hint="eastAsia" w:ascii="微软雅黑" w:hAnsi="微软雅黑" w:eastAsia="微软雅黑" w:cs="微软雅黑"/>
          <w:highlight w:val="none"/>
        </w:rPr>
        <w:sectPr>
          <w:headerReference r:id="rId11" w:type="default"/>
          <w:footerReference r:id="rId12" w:type="default"/>
          <w:pgSz w:w="11906" w:h="16838"/>
          <w:pgMar w:top="1440" w:right="1558"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eastAsia="微软雅黑" w:cs="微软雅黑"/>
          <w:szCs w:val="21"/>
          <w:highlight w:val="none"/>
        </w:rPr>
        <w:t>CA问题联系电话（人工）：汇信CA 400-888-4636；天谷CA 400-087-8198。</w:t>
      </w:r>
      <w:bookmarkStart w:id="23" w:name="_Toc5875"/>
    </w:p>
    <w:p w14:paraId="5FA55990">
      <w:pPr>
        <w:pStyle w:val="4"/>
        <w:numPr>
          <w:ilvl w:val="0"/>
          <w:numId w:val="4"/>
        </w:numPr>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  </w:t>
      </w:r>
      <w:bookmarkEnd w:id="21"/>
      <w:bookmarkEnd w:id="23"/>
      <w:bookmarkStart w:id="24" w:name="_Toc9076"/>
      <w:bookmarkStart w:id="25" w:name="_Toc191238332"/>
      <w:r>
        <w:rPr>
          <w:rFonts w:hint="eastAsia" w:ascii="微软雅黑" w:hAnsi="微软雅黑" w:eastAsia="微软雅黑" w:cs="微软雅黑"/>
          <w:highlight w:val="none"/>
        </w:rPr>
        <w:t>磋商需求</w:t>
      </w:r>
      <w:bookmarkEnd w:id="24"/>
      <w:bookmarkEnd w:id="25"/>
    </w:p>
    <w:p w14:paraId="6569C21A">
      <w:pPr>
        <w:pStyle w:val="5"/>
        <w:numPr>
          <w:ilvl w:val="0"/>
          <w:numId w:val="5"/>
        </w:numPr>
        <w:spacing w:line="240" w:lineRule="auto"/>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项目概况</w:t>
      </w:r>
    </w:p>
    <w:tbl>
      <w:tblPr>
        <w:tblStyle w:val="53"/>
        <w:tblW w:w="12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17"/>
        <w:gridCol w:w="1158"/>
        <w:gridCol w:w="1234"/>
        <w:gridCol w:w="990"/>
        <w:gridCol w:w="784"/>
        <w:gridCol w:w="1866"/>
        <w:gridCol w:w="3332"/>
        <w:gridCol w:w="1282"/>
      </w:tblGrid>
      <w:tr w14:paraId="6E91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shd w:val="clear" w:color="auto" w:fill="DEEBF6" w:themeFill="accent5" w:themeFillTint="32"/>
            <w:noWrap/>
            <w:vAlign w:val="center"/>
          </w:tcPr>
          <w:p w14:paraId="6031C7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bookmarkStart w:id="26" w:name="_Hlk135672060"/>
            <w:bookmarkStart w:id="27" w:name="_Toc12302"/>
            <w:bookmarkStart w:id="28" w:name="_Toc493511542"/>
            <w:bookmarkStart w:id="29" w:name="_Toc19683"/>
            <w:r>
              <w:rPr>
                <w:rFonts w:hint="eastAsia" w:ascii="微软雅黑" w:hAnsi="微软雅黑" w:eastAsia="微软雅黑" w:cs="微软雅黑"/>
                <w:b/>
                <w:bCs/>
                <w:kern w:val="0"/>
                <w:sz w:val="21"/>
                <w:szCs w:val="21"/>
                <w:highlight w:val="none"/>
              </w:rPr>
              <w:t>线路</w:t>
            </w:r>
          </w:p>
        </w:tc>
        <w:tc>
          <w:tcPr>
            <w:tcW w:w="1117" w:type="dxa"/>
            <w:shd w:val="clear" w:color="auto" w:fill="DEEBF6" w:themeFill="accent5" w:themeFillTint="32"/>
            <w:noWrap/>
            <w:vAlign w:val="center"/>
          </w:tcPr>
          <w:p w14:paraId="70AD20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地点</w:t>
            </w:r>
          </w:p>
        </w:tc>
        <w:tc>
          <w:tcPr>
            <w:tcW w:w="1158" w:type="dxa"/>
            <w:shd w:val="clear" w:color="auto" w:fill="DEEBF6" w:themeFill="accent5" w:themeFillTint="32"/>
            <w:noWrap/>
            <w:vAlign w:val="center"/>
          </w:tcPr>
          <w:p w14:paraId="3CC58B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天数</w:t>
            </w:r>
          </w:p>
        </w:tc>
        <w:tc>
          <w:tcPr>
            <w:tcW w:w="1234" w:type="dxa"/>
            <w:shd w:val="clear" w:color="auto" w:fill="DEEBF6" w:themeFill="accent5" w:themeFillTint="32"/>
            <w:noWrap/>
            <w:vAlign w:val="center"/>
          </w:tcPr>
          <w:p w14:paraId="3DDA24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时间安排</w:t>
            </w:r>
          </w:p>
        </w:tc>
        <w:tc>
          <w:tcPr>
            <w:tcW w:w="990" w:type="dxa"/>
            <w:shd w:val="clear" w:color="auto" w:fill="DEEBF6" w:themeFill="accent5" w:themeFillTint="32"/>
            <w:noWrap/>
            <w:vAlign w:val="center"/>
          </w:tcPr>
          <w:p w14:paraId="74C12D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大交通</w:t>
            </w:r>
          </w:p>
        </w:tc>
        <w:tc>
          <w:tcPr>
            <w:tcW w:w="784" w:type="dxa"/>
            <w:shd w:val="clear" w:color="auto" w:fill="DEEBF6" w:themeFill="accent5" w:themeFillTint="32"/>
            <w:noWrap/>
            <w:vAlign w:val="center"/>
          </w:tcPr>
          <w:p w14:paraId="31FE32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预估人数</w:t>
            </w:r>
          </w:p>
        </w:tc>
        <w:tc>
          <w:tcPr>
            <w:tcW w:w="1866" w:type="dxa"/>
            <w:shd w:val="clear" w:color="auto" w:fill="DEEBF6" w:themeFill="accent5" w:themeFillTint="32"/>
            <w:noWrap/>
            <w:vAlign w:val="center"/>
          </w:tcPr>
          <w:p w14:paraId="7FE23B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sz w:val="21"/>
                <w:szCs w:val="21"/>
                <w:highlight w:val="none"/>
              </w:rPr>
              <w:t>预估金额（元/人）</w:t>
            </w:r>
          </w:p>
        </w:tc>
        <w:tc>
          <w:tcPr>
            <w:tcW w:w="3332" w:type="dxa"/>
            <w:shd w:val="clear" w:color="auto" w:fill="DEEBF6" w:themeFill="accent5" w:themeFillTint="32"/>
            <w:noWrap/>
            <w:vAlign w:val="center"/>
          </w:tcPr>
          <w:p w14:paraId="744900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推荐景点</w:t>
            </w:r>
          </w:p>
          <w:p w14:paraId="2519E8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w:t>
            </w:r>
            <w:r>
              <w:rPr>
                <w:rFonts w:hint="eastAsia" w:ascii="微软雅黑" w:hAnsi="微软雅黑" w:eastAsia="微软雅黑" w:cs="微软雅黑"/>
                <w:b/>
                <w:bCs/>
                <w:kern w:val="0"/>
                <w:sz w:val="21"/>
                <w:szCs w:val="21"/>
                <w:highlight w:val="none"/>
              </w:rPr>
              <w:t>如有更优景点请在投标中注明）</w:t>
            </w:r>
          </w:p>
        </w:tc>
        <w:tc>
          <w:tcPr>
            <w:tcW w:w="1282" w:type="dxa"/>
            <w:shd w:val="clear" w:color="auto" w:fill="DEEBF6" w:themeFill="accent5" w:themeFillTint="32"/>
            <w:noWrap/>
            <w:vAlign w:val="center"/>
          </w:tcPr>
          <w:p w14:paraId="790921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lang w:val="en-US" w:eastAsia="zh-CN"/>
              </w:rPr>
            </w:pPr>
            <w:r>
              <w:rPr>
                <w:rFonts w:hint="eastAsia" w:ascii="微软雅黑" w:hAnsi="微软雅黑" w:cs="微软雅黑"/>
                <w:b/>
                <w:bCs/>
                <w:sz w:val="21"/>
                <w:szCs w:val="21"/>
                <w:highlight w:val="none"/>
                <w:lang w:val="en-US" w:eastAsia="zh-CN"/>
              </w:rPr>
              <w:t>备注</w:t>
            </w:r>
          </w:p>
        </w:tc>
      </w:tr>
      <w:tr w14:paraId="24AC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3" w:type="dxa"/>
            <w:noWrap/>
            <w:vAlign w:val="center"/>
          </w:tcPr>
          <w:p w14:paraId="2643E5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1</w:t>
            </w:r>
          </w:p>
        </w:tc>
        <w:tc>
          <w:tcPr>
            <w:tcW w:w="1117" w:type="dxa"/>
            <w:noWrap/>
            <w:vAlign w:val="center"/>
          </w:tcPr>
          <w:p w14:paraId="15C5AB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四川</w:t>
            </w:r>
          </w:p>
        </w:tc>
        <w:tc>
          <w:tcPr>
            <w:tcW w:w="1158" w:type="dxa"/>
            <w:noWrap/>
            <w:vAlign w:val="center"/>
          </w:tcPr>
          <w:p w14:paraId="5B4919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bidi="ar"/>
              </w:rPr>
              <w:t>5</w:t>
            </w:r>
            <w:r>
              <w:rPr>
                <w:rFonts w:hint="eastAsia" w:ascii="微软雅黑" w:hAnsi="微软雅黑" w:eastAsia="微软雅黑" w:cs="微软雅黑"/>
                <w:color w:val="000000"/>
                <w:kern w:val="0"/>
                <w:sz w:val="21"/>
                <w:szCs w:val="21"/>
                <w:highlight w:val="none"/>
                <w:lang w:val="en-US" w:eastAsia="zh-CN" w:bidi="ar"/>
              </w:rPr>
              <w:t>天</w:t>
            </w:r>
          </w:p>
        </w:tc>
        <w:tc>
          <w:tcPr>
            <w:tcW w:w="1234" w:type="dxa"/>
            <w:shd w:val="clear" w:color="auto" w:fill="auto"/>
            <w:noWrap/>
            <w:vAlign w:val="center"/>
          </w:tcPr>
          <w:p w14:paraId="1E572D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7月</w:t>
            </w:r>
          </w:p>
        </w:tc>
        <w:tc>
          <w:tcPr>
            <w:tcW w:w="990" w:type="dxa"/>
            <w:noWrap/>
            <w:vAlign w:val="center"/>
          </w:tcPr>
          <w:p w14:paraId="117C98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color w:val="000000"/>
                <w:kern w:val="0"/>
                <w:sz w:val="21"/>
                <w:szCs w:val="21"/>
                <w:highlight w:val="none"/>
                <w:lang w:val="en-US" w:eastAsia="zh-CN" w:bidi="ar"/>
              </w:rPr>
              <w:t>双飞</w:t>
            </w:r>
          </w:p>
        </w:tc>
        <w:tc>
          <w:tcPr>
            <w:tcW w:w="784" w:type="dxa"/>
            <w:noWrap/>
            <w:vAlign w:val="center"/>
          </w:tcPr>
          <w:p w14:paraId="73ED8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rPr>
            </w:pPr>
            <w:r>
              <w:rPr>
                <w:rFonts w:hint="eastAsia" w:ascii="微软雅黑" w:hAnsi="微软雅黑" w:cs="微软雅黑"/>
                <w:i w:val="0"/>
                <w:iCs w:val="0"/>
                <w:color w:val="000000"/>
                <w:kern w:val="0"/>
                <w:sz w:val="21"/>
                <w:szCs w:val="21"/>
                <w:highlight w:val="none"/>
                <w:u w:val="none"/>
                <w:lang w:val="en-US" w:eastAsia="zh-CN" w:bidi="ar"/>
              </w:rPr>
              <w:t>13</w:t>
            </w:r>
          </w:p>
        </w:tc>
        <w:tc>
          <w:tcPr>
            <w:tcW w:w="1866" w:type="dxa"/>
            <w:noWrap/>
            <w:vAlign w:val="center"/>
          </w:tcPr>
          <w:p w14:paraId="7B1794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6000.00</w:t>
            </w:r>
          </w:p>
        </w:tc>
        <w:tc>
          <w:tcPr>
            <w:tcW w:w="3332" w:type="dxa"/>
            <w:shd w:val="clear" w:color="auto" w:fill="auto"/>
            <w:noWrap/>
            <w:vAlign w:val="center"/>
          </w:tcPr>
          <w:p w14:paraId="529E4D8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color w:val="000000"/>
                <w:kern w:val="0"/>
                <w:sz w:val="21"/>
                <w:szCs w:val="21"/>
                <w:highlight w:val="none"/>
                <w:lang w:bidi="ar"/>
              </w:rPr>
            </w:pPr>
            <w:r>
              <w:rPr>
                <w:rFonts w:hint="eastAsia"/>
                <w:highlight w:val="none"/>
              </w:rPr>
              <w:t>锦里、宽窄巷子，熊猫基地、都江堰、乐山大佛，解放碑、李子坝轻轨打卡、洪崖洞等</w:t>
            </w:r>
          </w:p>
        </w:tc>
        <w:tc>
          <w:tcPr>
            <w:tcW w:w="1282" w:type="dxa"/>
            <w:shd w:val="clear" w:color="auto" w:fill="auto"/>
            <w:noWrap/>
            <w:vAlign w:val="center"/>
          </w:tcPr>
          <w:p w14:paraId="057004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kern w:val="0"/>
                <w:sz w:val="21"/>
                <w:szCs w:val="21"/>
                <w:highlight w:val="none"/>
              </w:rPr>
            </w:pPr>
          </w:p>
        </w:tc>
      </w:tr>
      <w:tr w14:paraId="21E6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3" w:type="dxa"/>
            <w:noWrap/>
            <w:vAlign w:val="center"/>
          </w:tcPr>
          <w:p w14:paraId="49DE94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kern w:val="0"/>
                <w:sz w:val="21"/>
                <w:szCs w:val="21"/>
                <w:highlight w:val="none"/>
                <w:lang w:eastAsia="zh-CN"/>
              </w:rPr>
            </w:pPr>
            <w:r>
              <w:rPr>
                <w:rFonts w:hint="eastAsia" w:ascii="微软雅黑" w:hAnsi="微软雅黑" w:cs="微软雅黑"/>
                <w:kern w:val="0"/>
                <w:sz w:val="21"/>
                <w:szCs w:val="21"/>
                <w:highlight w:val="none"/>
                <w:lang w:val="en-US" w:eastAsia="zh-CN"/>
              </w:rPr>
              <w:t>2</w:t>
            </w:r>
          </w:p>
        </w:tc>
        <w:tc>
          <w:tcPr>
            <w:tcW w:w="1117" w:type="dxa"/>
            <w:noWrap/>
            <w:vAlign w:val="center"/>
          </w:tcPr>
          <w:p w14:paraId="7AEFA5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舟山</w:t>
            </w:r>
          </w:p>
        </w:tc>
        <w:tc>
          <w:tcPr>
            <w:tcW w:w="1158" w:type="dxa"/>
            <w:noWrap/>
            <w:vAlign w:val="center"/>
          </w:tcPr>
          <w:p w14:paraId="56AC41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rPr>
            </w:pPr>
            <w:r>
              <w:rPr>
                <w:rFonts w:hint="eastAsia" w:ascii="微软雅黑" w:hAnsi="微软雅黑" w:cs="微软雅黑"/>
                <w:color w:val="000000"/>
                <w:kern w:val="0"/>
                <w:sz w:val="21"/>
                <w:szCs w:val="21"/>
                <w:highlight w:val="none"/>
                <w:lang w:val="en-US" w:eastAsia="zh-CN" w:bidi="ar"/>
              </w:rPr>
              <w:t>5</w:t>
            </w:r>
            <w:r>
              <w:rPr>
                <w:rFonts w:hint="eastAsia" w:ascii="微软雅黑" w:hAnsi="微软雅黑" w:eastAsia="微软雅黑" w:cs="微软雅黑"/>
                <w:color w:val="000000"/>
                <w:kern w:val="0"/>
                <w:sz w:val="21"/>
                <w:szCs w:val="21"/>
                <w:highlight w:val="none"/>
                <w:lang w:val="en-US" w:eastAsia="zh-CN" w:bidi="ar"/>
              </w:rPr>
              <w:t>天</w:t>
            </w:r>
          </w:p>
        </w:tc>
        <w:tc>
          <w:tcPr>
            <w:tcW w:w="1234" w:type="dxa"/>
            <w:shd w:val="clear" w:color="auto" w:fill="auto"/>
            <w:noWrap/>
            <w:vAlign w:val="center"/>
          </w:tcPr>
          <w:p w14:paraId="2963CD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rPr>
            </w:pPr>
            <w:r>
              <w:rPr>
                <w:rFonts w:hint="eastAsia" w:ascii="微软雅黑" w:hAnsi="微软雅黑" w:cs="微软雅黑"/>
                <w:kern w:val="0"/>
                <w:sz w:val="21"/>
                <w:szCs w:val="21"/>
                <w:highlight w:val="none"/>
                <w:lang w:val="en-US" w:eastAsia="zh-CN"/>
              </w:rPr>
              <w:t>7月</w:t>
            </w:r>
          </w:p>
        </w:tc>
        <w:tc>
          <w:tcPr>
            <w:tcW w:w="990" w:type="dxa"/>
            <w:noWrap/>
            <w:vAlign w:val="center"/>
          </w:tcPr>
          <w:p w14:paraId="74C404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bidi="ar"/>
              </w:rPr>
              <w:t>大巴</w:t>
            </w:r>
          </w:p>
        </w:tc>
        <w:tc>
          <w:tcPr>
            <w:tcW w:w="784" w:type="dxa"/>
            <w:noWrap/>
            <w:vAlign w:val="center"/>
          </w:tcPr>
          <w:p w14:paraId="1EFDE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37</w:t>
            </w:r>
          </w:p>
        </w:tc>
        <w:tc>
          <w:tcPr>
            <w:tcW w:w="1866" w:type="dxa"/>
            <w:noWrap/>
            <w:vAlign w:val="center"/>
          </w:tcPr>
          <w:p w14:paraId="0E3D09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3000.00</w:t>
            </w:r>
          </w:p>
        </w:tc>
        <w:tc>
          <w:tcPr>
            <w:tcW w:w="3332" w:type="dxa"/>
            <w:shd w:val="clear" w:color="auto" w:fill="auto"/>
            <w:noWrap/>
            <w:vAlign w:val="center"/>
          </w:tcPr>
          <w:p w14:paraId="56B4150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val="en-US" w:eastAsia="zh-CN" w:bidi="ar"/>
              </w:rPr>
              <w:t>衢山岛，出海捕鱼，南沙景区、白山景区、乌石塘景区等</w:t>
            </w:r>
          </w:p>
        </w:tc>
        <w:tc>
          <w:tcPr>
            <w:tcW w:w="1282" w:type="dxa"/>
            <w:shd w:val="clear" w:color="auto" w:fill="auto"/>
            <w:noWrap/>
            <w:vAlign w:val="center"/>
          </w:tcPr>
          <w:p w14:paraId="5DDFED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p>
        </w:tc>
      </w:tr>
      <w:tr w14:paraId="30EF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33" w:type="dxa"/>
            <w:noWrap/>
            <w:vAlign w:val="center"/>
          </w:tcPr>
          <w:p w14:paraId="1346EF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3</w:t>
            </w:r>
          </w:p>
        </w:tc>
        <w:tc>
          <w:tcPr>
            <w:tcW w:w="1117" w:type="dxa"/>
            <w:noWrap/>
            <w:vAlign w:val="center"/>
          </w:tcPr>
          <w:p w14:paraId="49CA4F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color w:val="000000"/>
                <w:kern w:val="0"/>
                <w:sz w:val="21"/>
                <w:szCs w:val="21"/>
                <w:highlight w:val="none"/>
                <w:lang w:val="en-US" w:eastAsia="zh-CN" w:bidi="ar"/>
              </w:rPr>
            </w:pPr>
            <w:r>
              <w:rPr>
                <w:rFonts w:hint="eastAsia" w:ascii="微软雅黑" w:hAnsi="微软雅黑" w:cs="微软雅黑"/>
                <w:color w:val="000000"/>
                <w:kern w:val="0"/>
                <w:sz w:val="21"/>
                <w:szCs w:val="21"/>
                <w:highlight w:val="none"/>
                <w:lang w:val="en-US" w:eastAsia="zh-CN" w:bidi="ar"/>
              </w:rPr>
              <w:t>丽水</w:t>
            </w:r>
          </w:p>
        </w:tc>
        <w:tc>
          <w:tcPr>
            <w:tcW w:w="1158" w:type="dxa"/>
            <w:noWrap/>
            <w:vAlign w:val="center"/>
          </w:tcPr>
          <w:p w14:paraId="1D9466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5</w:t>
            </w:r>
            <w:r>
              <w:rPr>
                <w:rFonts w:hint="eastAsia" w:ascii="微软雅黑" w:hAnsi="微软雅黑" w:eastAsia="微软雅黑" w:cs="微软雅黑"/>
                <w:color w:val="000000"/>
                <w:kern w:val="0"/>
                <w:sz w:val="21"/>
                <w:szCs w:val="21"/>
                <w:highlight w:val="none"/>
                <w:lang w:val="en-US" w:eastAsia="zh-CN" w:bidi="ar"/>
              </w:rPr>
              <w:t>天</w:t>
            </w:r>
          </w:p>
        </w:tc>
        <w:tc>
          <w:tcPr>
            <w:tcW w:w="1234" w:type="dxa"/>
            <w:shd w:val="clear" w:color="auto" w:fill="auto"/>
            <w:noWrap/>
            <w:vAlign w:val="center"/>
          </w:tcPr>
          <w:p w14:paraId="7F2B9A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lang w:bidi="ar"/>
              </w:rPr>
            </w:pPr>
            <w:r>
              <w:rPr>
                <w:rFonts w:hint="eastAsia" w:ascii="微软雅黑" w:hAnsi="微软雅黑" w:cs="微软雅黑"/>
                <w:kern w:val="0"/>
                <w:sz w:val="21"/>
                <w:szCs w:val="21"/>
                <w:highlight w:val="none"/>
                <w:lang w:val="en-US" w:eastAsia="zh-CN"/>
              </w:rPr>
              <w:t>7月</w:t>
            </w:r>
          </w:p>
        </w:tc>
        <w:tc>
          <w:tcPr>
            <w:tcW w:w="990" w:type="dxa"/>
            <w:noWrap/>
            <w:vAlign w:val="center"/>
          </w:tcPr>
          <w:p w14:paraId="1566A8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val="en-US" w:eastAsia="zh-CN" w:bidi="ar"/>
              </w:rPr>
              <w:t>大巴</w:t>
            </w:r>
          </w:p>
        </w:tc>
        <w:tc>
          <w:tcPr>
            <w:tcW w:w="784" w:type="dxa"/>
            <w:noWrap/>
            <w:vAlign w:val="center"/>
          </w:tcPr>
          <w:p w14:paraId="62B07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rPr>
            </w:pPr>
            <w:r>
              <w:rPr>
                <w:rFonts w:hint="eastAsia" w:ascii="微软雅黑" w:hAnsi="微软雅黑" w:cs="微软雅黑"/>
                <w:i w:val="0"/>
                <w:iCs w:val="0"/>
                <w:color w:val="000000"/>
                <w:kern w:val="0"/>
                <w:sz w:val="21"/>
                <w:szCs w:val="21"/>
                <w:highlight w:val="none"/>
                <w:u w:val="none"/>
                <w:lang w:val="en-US" w:eastAsia="zh-CN" w:bidi="ar"/>
              </w:rPr>
              <w:t>17</w:t>
            </w:r>
          </w:p>
        </w:tc>
        <w:tc>
          <w:tcPr>
            <w:tcW w:w="1866" w:type="dxa"/>
            <w:noWrap/>
            <w:vAlign w:val="center"/>
          </w:tcPr>
          <w:p w14:paraId="2FBBD9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rPr>
            </w:pPr>
            <w:r>
              <w:rPr>
                <w:rFonts w:hint="eastAsia" w:ascii="微软雅黑" w:hAnsi="微软雅黑" w:cs="微软雅黑"/>
                <w:kern w:val="0"/>
                <w:sz w:val="21"/>
                <w:szCs w:val="21"/>
                <w:highlight w:val="none"/>
                <w:lang w:val="en-US" w:eastAsia="zh-CN"/>
              </w:rPr>
              <w:t>3000.00</w:t>
            </w:r>
          </w:p>
        </w:tc>
        <w:tc>
          <w:tcPr>
            <w:tcW w:w="3332" w:type="dxa"/>
            <w:shd w:val="clear" w:color="auto" w:fill="auto"/>
            <w:noWrap/>
            <w:vAlign w:val="center"/>
          </w:tcPr>
          <w:p w14:paraId="04DE06D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kern w:val="0"/>
                <w:sz w:val="21"/>
                <w:szCs w:val="21"/>
                <w:highlight w:val="none"/>
              </w:rPr>
            </w:pPr>
            <w:r>
              <w:rPr>
                <w:rFonts w:hint="eastAsia" w:ascii="微软雅黑" w:hAnsi="微软雅黑" w:eastAsia="微软雅黑" w:cs="微软雅黑"/>
                <w:i w:val="0"/>
                <w:iCs w:val="0"/>
                <w:color w:val="auto"/>
                <w:kern w:val="0"/>
                <w:sz w:val="21"/>
                <w:szCs w:val="21"/>
                <w:highlight w:val="none"/>
                <w:u w:val="none"/>
                <w:lang w:val="en-US" w:eastAsia="zh-CN" w:bidi="ar"/>
              </w:rPr>
              <w:t>丽水龙泉</w:t>
            </w:r>
          </w:p>
        </w:tc>
        <w:tc>
          <w:tcPr>
            <w:tcW w:w="1282" w:type="dxa"/>
            <w:shd w:val="clear" w:color="auto" w:fill="auto"/>
            <w:noWrap/>
            <w:vAlign w:val="center"/>
          </w:tcPr>
          <w:p w14:paraId="58A4D2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p>
        </w:tc>
      </w:tr>
      <w:tr w14:paraId="1889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33" w:type="dxa"/>
            <w:noWrap/>
            <w:vAlign w:val="center"/>
          </w:tcPr>
          <w:p w14:paraId="6C58BC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4</w:t>
            </w:r>
          </w:p>
        </w:tc>
        <w:tc>
          <w:tcPr>
            <w:tcW w:w="1117" w:type="dxa"/>
            <w:noWrap/>
            <w:vAlign w:val="center"/>
          </w:tcPr>
          <w:p w14:paraId="1A5616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cs="微软雅黑"/>
                <w:i w:val="0"/>
                <w:iCs w:val="0"/>
                <w:color w:val="000000"/>
                <w:kern w:val="0"/>
                <w:sz w:val="21"/>
                <w:szCs w:val="21"/>
                <w:highlight w:val="none"/>
                <w:u w:val="none"/>
                <w:lang w:val="en-US" w:eastAsia="zh-CN" w:bidi="ar"/>
              </w:rPr>
            </w:pPr>
            <w:r>
              <w:rPr>
                <w:rFonts w:hint="eastAsia" w:ascii="微软雅黑" w:hAnsi="微软雅黑" w:cs="微软雅黑"/>
                <w:i w:val="0"/>
                <w:iCs w:val="0"/>
                <w:color w:val="000000"/>
                <w:kern w:val="0"/>
                <w:sz w:val="21"/>
                <w:szCs w:val="21"/>
                <w:highlight w:val="none"/>
                <w:u w:val="none"/>
                <w:lang w:val="en-US" w:eastAsia="zh-CN" w:bidi="ar"/>
              </w:rPr>
              <w:t>嘉兴本市</w:t>
            </w:r>
          </w:p>
        </w:tc>
        <w:tc>
          <w:tcPr>
            <w:tcW w:w="1158" w:type="dxa"/>
            <w:noWrap/>
            <w:vAlign w:val="center"/>
          </w:tcPr>
          <w:p w14:paraId="30BB5C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5</w:t>
            </w:r>
            <w:r>
              <w:rPr>
                <w:rFonts w:hint="eastAsia" w:ascii="微软雅黑" w:hAnsi="微软雅黑" w:eastAsia="微软雅黑" w:cs="微软雅黑"/>
                <w:color w:val="000000"/>
                <w:kern w:val="0"/>
                <w:sz w:val="21"/>
                <w:szCs w:val="21"/>
                <w:highlight w:val="none"/>
                <w:lang w:val="en-US" w:eastAsia="zh-CN" w:bidi="ar"/>
              </w:rPr>
              <w:t>天</w:t>
            </w:r>
          </w:p>
        </w:tc>
        <w:tc>
          <w:tcPr>
            <w:tcW w:w="1234" w:type="dxa"/>
            <w:shd w:val="clear" w:color="auto" w:fill="auto"/>
            <w:noWrap/>
            <w:vAlign w:val="center"/>
          </w:tcPr>
          <w:p w14:paraId="0071ED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7月</w:t>
            </w:r>
          </w:p>
        </w:tc>
        <w:tc>
          <w:tcPr>
            <w:tcW w:w="990" w:type="dxa"/>
            <w:noWrap/>
            <w:vAlign w:val="center"/>
          </w:tcPr>
          <w:p w14:paraId="53F11A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大巴</w:t>
            </w:r>
          </w:p>
        </w:tc>
        <w:tc>
          <w:tcPr>
            <w:tcW w:w="784" w:type="dxa"/>
            <w:noWrap/>
            <w:vAlign w:val="center"/>
          </w:tcPr>
          <w:p w14:paraId="0DDF83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cs="微软雅黑"/>
                <w:i w:val="0"/>
                <w:iCs w:val="0"/>
                <w:color w:val="000000"/>
                <w:kern w:val="0"/>
                <w:sz w:val="21"/>
                <w:szCs w:val="21"/>
                <w:highlight w:val="none"/>
                <w:u w:val="none"/>
                <w:lang w:val="en-US" w:eastAsia="zh-CN" w:bidi="ar"/>
              </w:rPr>
            </w:pPr>
            <w:r>
              <w:rPr>
                <w:rFonts w:hint="eastAsia" w:ascii="微软雅黑" w:hAnsi="微软雅黑" w:cs="微软雅黑"/>
                <w:i w:val="0"/>
                <w:iCs w:val="0"/>
                <w:color w:val="000000"/>
                <w:kern w:val="0"/>
                <w:sz w:val="21"/>
                <w:szCs w:val="21"/>
                <w:highlight w:val="none"/>
                <w:u w:val="none"/>
                <w:lang w:val="en-US" w:eastAsia="zh-CN" w:bidi="ar"/>
              </w:rPr>
              <w:t>49</w:t>
            </w:r>
          </w:p>
        </w:tc>
        <w:tc>
          <w:tcPr>
            <w:tcW w:w="1866" w:type="dxa"/>
            <w:noWrap/>
            <w:vAlign w:val="center"/>
          </w:tcPr>
          <w:p w14:paraId="235DB1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3000.00</w:t>
            </w:r>
          </w:p>
        </w:tc>
        <w:tc>
          <w:tcPr>
            <w:tcW w:w="3332" w:type="dxa"/>
            <w:shd w:val="clear" w:color="auto" w:fill="auto"/>
            <w:noWrap/>
            <w:vAlign w:val="center"/>
          </w:tcPr>
          <w:p w14:paraId="14B7E6D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乌镇、东栅、西栅、乌村、沈荡、南北湖、绮园等；</w:t>
            </w:r>
          </w:p>
        </w:tc>
        <w:tc>
          <w:tcPr>
            <w:tcW w:w="1282" w:type="dxa"/>
            <w:shd w:val="clear" w:color="auto" w:fill="auto"/>
            <w:noWrap/>
            <w:vAlign w:val="center"/>
          </w:tcPr>
          <w:p w14:paraId="62ED2E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p>
        </w:tc>
      </w:tr>
      <w:bookmarkEnd w:id="26"/>
    </w:tbl>
    <w:p w14:paraId="7DB1E0F9">
      <w:pPr>
        <w:rPr>
          <w:rFonts w:hint="eastAsia" w:ascii="微软雅黑" w:hAnsi="微软雅黑" w:eastAsia="微软雅黑" w:cs="微软雅黑"/>
          <w:highlight w:val="none"/>
        </w:rPr>
      </w:pPr>
      <w:r>
        <w:rPr>
          <w:rFonts w:hint="eastAsia" w:ascii="微软雅黑" w:hAnsi="微软雅黑" w:eastAsia="微软雅黑" w:cs="微软雅黑"/>
          <w:highlight w:val="none"/>
        </w:rPr>
        <w:t>▲注：</w:t>
      </w:r>
    </w:p>
    <w:p w14:paraId="524ADB5A">
      <w:pPr>
        <w:numPr>
          <w:ilvl w:val="0"/>
          <w:numId w:val="6"/>
        </w:numPr>
        <w:ind w:left="0" w:leftChars="0" w:firstLine="420" w:firstLineChars="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以上人数均为暂估人数，以实际参加人数为准。</w:t>
      </w:r>
    </w:p>
    <w:p w14:paraId="3E322A73">
      <w:pPr>
        <w:numPr>
          <w:ilvl w:val="0"/>
          <w:numId w:val="6"/>
        </w:numPr>
        <w:ind w:left="0" w:leftChars="0" w:firstLine="420" w:firstLineChars="0"/>
        <w:rPr>
          <w:rFonts w:hint="eastAsia" w:ascii="微软雅黑" w:hAnsi="微软雅黑" w:eastAsia="微软雅黑" w:cs="微软雅黑"/>
          <w:b w:val="0"/>
          <w:szCs w:val="21"/>
          <w:highlight w:val="none"/>
        </w:rPr>
      </w:pPr>
      <w:r>
        <w:rPr>
          <w:rFonts w:hint="eastAsia" w:ascii="微软雅黑" w:hAnsi="微软雅黑" w:eastAsia="微软雅黑" w:cs="微软雅黑"/>
          <w:highlight w:val="none"/>
        </w:rPr>
        <w:t>线路预估金额为3000元/人，采用单价固定不下浮的方式报价，任何有浮动的报价均作无效标处理。</w:t>
      </w:r>
    </w:p>
    <w:p w14:paraId="35C02A06">
      <w:pPr>
        <w:numPr>
          <w:ilvl w:val="0"/>
          <w:numId w:val="6"/>
        </w:numPr>
        <w:ind w:left="0" w:leftChars="0" w:firstLine="420" w:firstLineChars="0"/>
        <w:rPr>
          <w:rFonts w:hint="eastAsia" w:ascii="微软雅黑" w:hAnsi="微软雅黑" w:eastAsia="微软雅黑" w:cs="微软雅黑"/>
          <w:b w:val="0"/>
          <w:szCs w:val="21"/>
          <w:highlight w:val="none"/>
        </w:rPr>
      </w:pPr>
      <w:r>
        <w:rPr>
          <w:rFonts w:hint="eastAsia" w:ascii="微软雅黑" w:hAnsi="微软雅黑" w:eastAsia="微软雅黑" w:cs="微软雅黑"/>
          <w:highlight w:val="none"/>
        </w:rPr>
        <w:t>预估金额超过3000元/人的（其中3000元/人在本次招标内）超出补助部分由员工自理，超过当前线路预估金额的，报价作无效标处理。</w:t>
      </w:r>
    </w:p>
    <w:p w14:paraId="01AFF976">
      <w:pPr>
        <w:pStyle w:val="5"/>
        <w:ind w:left="0" w:leftChars="0" w:firstLine="420" w:firstLineChars="0"/>
        <w:rPr>
          <w:rFonts w:hint="eastAsia" w:ascii="微软雅黑" w:hAnsi="微软雅黑" w:eastAsia="微软雅黑" w:cs="微软雅黑"/>
          <w:highlight w:val="none"/>
        </w:rPr>
        <w:sectPr>
          <w:pgSz w:w="16838" w:h="11906" w:orient="landscape"/>
          <w:pgMar w:top="1797" w:right="1440" w:bottom="1559" w:left="1440" w:header="851" w:footer="992" w:gutter="0"/>
          <w:pgBorders>
            <w:top w:val="none" w:sz="0" w:space="0"/>
            <w:left w:val="none" w:sz="0" w:space="0"/>
            <w:bottom w:val="none" w:sz="0" w:space="0"/>
            <w:right w:val="none" w:sz="0" w:space="0"/>
          </w:pgBorders>
          <w:cols w:space="0" w:num="1"/>
          <w:docGrid w:linePitch="312" w:charSpace="0"/>
        </w:sectPr>
      </w:pPr>
    </w:p>
    <w:bookmarkEnd w:id="27"/>
    <w:p w14:paraId="21FC69E8">
      <w:pPr>
        <w:pStyle w:val="5"/>
        <w:numPr>
          <w:ilvl w:val="0"/>
          <w:numId w:val="5"/>
        </w:numPr>
        <w:ind w:firstLineChars="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招标内容</w:t>
      </w:r>
    </w:p>
    <w:p w14:paraId="6B77B242">
      <w:pPr>
        <w:pStyle w:val="5"/>
        <w:numPr>
          <w:ilvl w:val="0"/>
          <w:numId w:val="7"/>
        </w:numPr>
        <w:ind w:left="0" w:firstLine="420" w:firstLineChars="150"/>
        <w:rPr>
          <w:rFonts w:hint="eastAsia" w:ascii="微软雅黑" w:hAnsi="微软雅黑" w:eastAsia="微软雅黑" w:cs="微软雅黑"/>
          <w:b/>
          <w:bCs/>
          <w:sz w:val="28"/>
          <w:szCs w:val="28"/>
          <w:highlight w:val="none"/>
        </w:rPr>
      </w:pPr>
      <w:r>
        <w:rPr>
          <w:rFonts w:hint="eastAsia" w:ascii="微软雅黑" w:hAnsi="微软雅黑" w:eastAsia="微软雅黑" w:cs="微软雅黑"/>
          <w:b/>
          <w:bCs/>
          <w:sz w:val="28"/>
          <w:szCs w:val="28"/>
          <w:highlight w:val="none"/>
        </w:rPr>
        <w:t>标项一</w:t>
      </w:r>
    </w:p>
    <w:p w14:paraId="69FE8B08">
      <w:pPr>
        <w:pStyle w:val="29"/>
        <w:spacing w:line="480" w:lineRule="exact"/>
        <w:ind w:left="-2" w:leftChars="-1" w:firstLine="319" w:firstLineChars="152"/>
        <w:rPr>
          <w:rFonts w:hint="eastAsia" w:ascii="微软雅黑" w:hAnsi="微软雅黑" w:eastAsia="微软雅黑" w:cs="微软雅黑"/>
          <w:b/>
          <w:kern w:val="0"/>
          <w:highlight w:val="none"/>
          <w:shd w:val="pct10" w:color="auto" w:fill="FFFFFF"/>
        </w:rPr>
      </w:pPr>
      <w:r>
        <w:rPr>
          <w:rFonts w:hint="eastAsia" w:ascii="微软雅黑" w:hAnsi="微软雅黑" w:eastAsia="微软雅黑" w:cs="微软雅黑"/>
          <w:b/>
          <w:kern w:val="0"/>
          <w:highlight w:val="none"/>
          <w:shd w:val="pct10" w:color="auto" w:fill="FFFFFF"/>
        </w:rPr>
        <w:t>线路1：</w:t>
      </w:r>
      <w:r>
        <w:rPr>
          <w:rFonts w:hint="eastAsia" w:cs="微软雅黑"/>
          <w:b/>
          <w:kern w:val="0"/>
          <w:highlight w:val="none"/>
          <w:shd w:val="pct10" w:color="auto" w:fill="FFFFFF"/>
          <w:lang w:val="en-US" w:eastAsia="zh-CN"/>
        </w:rPr>
        <w:t>四川</w:t>
      </w:r>
      <w:r>
        <w:rPr>
          <w:rFonts w:hint="eastAsia" w:ascii="微软雅黑" w:hAnsi="微软雅黑" w:eastAsia="微软雅黑" w:cs="微软雅黑"/>
          <w:b/>
          <w:kern w:val="0"/>
          <w:highlight w:val="none"/>
          <w:shd w:val="pct10" w:color="auto" w:fill="FFFFFF"/>
        </w:rPr>
        <w:t>5日</w:t>
      </w:r>
    </w:p>
    <w:p w14:paraId="652891E3">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时间、批次、人数与预算：</w:t>
      </w:r>
    </w:p>
    <w:p w14:paraId="6071A574">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5天4晚，人数按报名情况,人数多时分批次。</w:t>
      </w:r>
    </w:p>
    <w:p w14:paraId="02E533E1">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旅游用车和接送用车：</w:t>
      </w:r>
    </w:p>
    <w:p w14:paraId="2E03DEF5">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空调旅游大巴（金龙或同等档次空调车，不超过3年车龄，确保3个空位/车）</w:t>
      </w:r>
      <w:r>
        <w:rPr>
          <w:rFonts w:hint="eastAsia" w:ascii="微软雅黑" w:hAnsi="微软雅黑" w:eastAsia="微软雅黑" w:cs="微软雅黑"/>
          <w:kern w:val="0"/>
          <w:highlight w:val="none"/>
        </w:rPr>
        <w:br w:type="textWrapping"/>
      </w:r>
      <w:r>
        <w:rPr>
          <w:rFonts w:hint="eastAsia" w:ascii="微软雅黑" w:hAnsi="微软雅黑" w:eastAsia="微软雅黑" w:cs="微软雅黑"/>
          <w:kern w:val="0"/>
          <w:highlight w:val="none"/>
        </w:rPr>
        <w:t>要求大巴车驾驶员服务态度好、车技娴熟、路况熟悉。</w:t>
      </w:r>
      <w:r>
        <w:rPr>
          <w:rFonts w:hint="eastAsia" w:ascii="微软雅黑" w:hAnsi="微软雅黑" w:eastAsia="微软雅黑" w:cs="微软雅黑"/>
          <w:highlight w:val="none"/>
        </w:rPr>
        <w:t>旅游车须用空调期间，司机应在每次上车前提前15分钟打开空调；司机应保持车辆整洁，每天要对车子进行清扫工作。接送车需提前至招标人指定地点接送。</w:t>
      </w:r>
    </w:p>
    <w:p w14:paraId="658D3AE4">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住宿：</w:t>
      </w:r>
    </w:p>
    <w:p w14:paraId="76191E28">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highlight w:val="none"/>
        </w:rPr>
        <w:t>住宿标准为准四星酒店及以上或者携程四钻及以上（标准间），因自然单人问题超出的费用由旅行社承担</w:t>
      </w:r>
      <w:r>
        <w:rPr>
          <w:rFonts w:hint="eastAsia" w:ascii="微软雅黑" w:hAnsi="微软雅黑" w:eastAsia="微软雅黑" w:cs="微软雅黑"/>
          <w:kern w:val="0"/>
          <w:highlight w:val="none"/>
        </w:rPr>
        <w:t>。投标方案中</w:t>
      </w:r>
      <w:r>
        <w:rPr>
          <w:rFonts w:hint="eastAsia" w:ascii="微软雅黑" w:hAnsi="微软雅黑" w:eastAsia="微软雅黑" w:cs="微软雅黑"/>
          <w:highlight w:val="none"/>
        </w:rPr>
        <w:t>注明酒店开业时间以及客房数量，原则上每次行程安排住宿整团同住一家酒店。</w:t>
      </w:r>
    </w:p>
    <w:p w14:paraId="3CA6E2DC">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景点门票（</w:t>
      </w:r>
      <w:r>
        <w:rPr>
          <w:rFonts w:hint="eastAsia" w:ascii="微软雅黑" w:hAnsi="微软雅黑" w:eastAsia="微软雅黑" w:cs="微软雅黑"/>
          <w:highlight w:val="none"/>
          <w:lang w:val="en-US" w:eastAsia="zh-CN"/>
        </w:rPr>
        <w:t>含：</w:t>
      </w:r>
      <w:r>
        <w:rPr>
          <w:rFonts w:hint="eastAsia" w:ascii="微软雅黑" w:hAnsi="微软雅黑" w:eastAsia="微软雅黑" w:cs="微软雅黑"/>
          <w:kern w:val="0"/>
          <w:highlight w:val="none"/>
        </w:rPr>
        <w:t>景点首道门票，景点内小交通费如电瓶车、环保车、缆车、等所有费用</w:t>
      </w:r>
      <w:r>
        <w:rPr>
          <w:rFonts w:hint="eastAsia" w:ascii="微软雅黑" w:hAnsi="微软雅黑" w:eastAsia="微软雅黑" w:cs="微软雅黑"/>
          <w:highlight w:val="none"/>
        </w:rPr>
        <w:t>）。</w:t>
      </w:r>
    </w:p>
    <w:p w14:paraId="6959F559">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用餐：</w:t>
      </w:r>
    </w:p>
    <w:p w14:paraId="3B2658F5">
      <w:pPr>
        <w:pStyle w:val="29"/>
        <w:spacing w:line="480" w:lineRule="exact"/>
        <w:ind w:left="-2" w:leftChars="-1" w:firstLine="319" w:firstLineChars="152"/>
        <w:rPr>
          <w:rFonts w:hint="eastAsia" w:ascii="微软雅黑" w:hAnsi="微软雅黑" w:eastAsia="微软雅黑" w:cs="微软雅黑"/>
          <w:kern w:val="0"/>
          <w:highlight w:val="none"/>
          <w:lang w:val="en-US" w:eastAsia="zh-CN"/>
        </w:rPr>
      </w:pPr>
      <w:r>
        <w:rPr>
          <w:rFonts w:hint="eastAsia" w:ascii="微软雅黑" w:hAnsi="微软雅黑" w:eastAsia="微软雅黑" w:cs="微软雅黑"/>
          <w:kern w:val="0"/>
          <w:highlight w:val="none"/>
        </w:rPr>
        <w:t>早餐为宾馆含早餐，中餐团餐，标准50元/人·餐，晚餐落实社会餐厅，客人自行点菜。5天合计餐标不低于</w:t>
      </w:r>
      <w:r>
        <w:rPr>
          <w:rFonts w:hint="eastAsia" w:cs="微软雅黑"/>
          <w:kern w:val="0"/>
          <w:highlight w:val="none"/>
          <w:lang w:val="en-US" w:eastAsia="zh-CN"/>
        </w:rPr>
        <w:t>7</w:t>
      </w:r>
      <w:r>
        <w:rPr>
          <w:rFonts w:hint="eastAsia" w:ascii="微软雅黑" w:hAnsi="微软雅黑" w:eastAsia="微软雅黑" w:cs="微软雅黑"/>
          <w:kern w:val="0"/>
          <w:highlight w:val="none"/>
        </w:rPr>
        <w:t>00元/人。</w:t>
      </w:r>
      <w:r>
        <w:rPr>
          <w:rFonts w:hint="eastAsia" w:ascii="微软雅黑" w:hAnsi="微软雅黑" w:eastAsia="微软雅黑" w:cs="微软雅黑"/>
          <w:kern w:val="0"/>
          <w:highlight w:val="none"/>
          <w:lang w:val="en-US" w:eastAsia="zh-CN"/>
        </w:rPr>
        <w:t>菜色要求：每日应提供当地特色菜，主菜不重复。</w:t>
      </w:r>
    </w:p>
    <w:p w14:paraId="492F91FC">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保险：</w:t>
      </w:r>
    </w:p>
    <w:p w14:paraId="4100485D">
      <w:pPr>
        <w:pStyle w:val="29"/>
        <w:spacing w:line="480" w:lineRule="exact"/>
        <w:ind w:left="-2" w:leftChars="-1" w:firstLine="319" w:firstLineChars="152"/>
        <w:rPr>
          <w:rFonts w:hint="eastAsia" w:ascii="微软雅黑" w:hAnsi="微软雅黑" w:eastAsia="微软雅黑" w:cs="微软雅黑"/>
          <w:bCs/>
          <w:kern w:val="0"/>
          <w:highlight w:val="none"/>
        </w:rPr>
      </w:pPr>
      <w:r>
        <w:rPr>
          <w:rFonts w:hint="eastAsia" w:ascii="微软雅黑" w:hAnsi="微软雅黑" w:eastAsia="微软雅黑" w:cs="微软雅黑"/>
          <w:kern w:val="0"/>
          <w:highlight w:val="none"/>
        </w:rPr>
        <w:t>购买疗休养过程中的各类保险（包括：旅行社责任险，旅游意外伤害保险等），做到应保则保，投标文件中应说明具体险种和单人保额。其中，旅行社责任险不少于150万元/人、旅游安全人身意外伤害保险不少于150万元/人</w:t>
      </w:r>
      <w:r>
        <w:rPr>
          <w:rFonts w:hint="eastAsia" w:ascii="微软雅黑" w:hAnsi="微软雅黑" w:eastAsia="微软雅黑" w:cs="微软雅黑"/>
          <w:bCs/>
          <w:kern w:val="0"/>
          <w:highlight w:val="none"/>
        </w:rPr>
        <w:t>（出行前购买，需提供保单复印件）</w:t>
      </w:r>
      <w:r>
        <w:rPr>
          <w:rFonts w:hint="eastAsia" w:ascii="微软雅黑" w:hAnsi="微软雅黑" w:eastAsia="微软雅黑" w:cs="微软雅黑"/>
          <w:kern w:val="0"/>
          <w:highlight w:val="none"/>
        </w:rPr>
        <w:t>。</w:t>
      </w:r>
    </w:p>
    <w:p w14:paraId="42E4ED21">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导游服务：</w:t>
      </w:r>
    </w:p>
    <w:p w14:paraId="6369E08E">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全程优秀导游陪同讲解（需提供导游证等相关资料）、当地导游服务和讲解（2年以上当地工作经验）。</w:t>
      </w:r>
    </w:p>
    <w:p w14:paraId="6FD8920E">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旅行小件</w:t>
      </w:r>
    </w:p>
    <w:p w14:paraId="6268278F">
      <w:pPr>
        <w:pStyle w:val="29"/>
        <w:spacing w:line="480" w:lineRule="exact"/>
        <w:ind w:left="-2" w:leftChars="-1" w:firstLine="319" w:firstLineChars="152"/>
        <w:rPr>
          <w:rFonts w:hint="eastAsia" w:ascii="微软雅黑" w:hAnsi="微软雅黑" w:eastAsia="微软雅黑" w:cs="微软雅黑"/>
          <w:bCs/>
          <w:highlight w:val="none"/>
        </w:rPr>
      </w:pPr>
      <w:r>
        <w:rPr>
          <w:rFonts w:hint="eastAsia" w:ascii="微软雅黑" w:hAnsi="微软雅黑" w:eastAsia="微软雅黑" w:cs="微软雅黑"/>
          <w:kern w:val="0"/>
          <w:highlight w:val="none"/>
        </w:rPr>
        <w:t>充气靠枕1个、胸包1个、天堂伞1把、矿泉水（数量充足），医用外科口罩10个（每人每天2个），旅游帽1个。如有其它小件请在投标方案中注明。</w:t>
      </w:r>
    </w:p>
    <w:p w14:paraId="50C2782F">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行程：行程要求轻松休闲，达到疗休养目的，全程不进购物点。</w:t>
      </w:r>
    </w:p>
    <w:p w14:paraId="4D61BD9D">
      <w:pPr>
        <w:pStyle w:val="29"/>
        <w:spacing w:line="480" w:lineRule="exact"/>
        <w:ind w:left="-2" w:leftChars="-1" w:firstLine="319" w:firstLineChars="152"/>
        <w:rPr>
          <w:rFonts w:hint="eastAsia" w:ascii="微软雅黑" w:hAnsi="微软雅黑" w:eastAsia="微软雅黑" w:cs="微软雅黑"/>
          <w:b/>
          <w:kern w:val="0"/>
          <w:highlight w:val="none"/>
          <w:shd w:val="pct10" w:color="auto" w:fill="FFFFFF"/>
        </w:rPr>
      </w:pPr>
      <w:r>
        <w:rPr>
          <w:rFonts w:hint="eastAsia" w:ascii="微软雅黑" w:hAnsi="微软雅黑" w:eastAsia="微软雅黑" w:cs="微软雅黑"/>
          <w:b/>
          <w:kern w:val="0"/>
          <w:highlight w:val="none"/>
          <w:shd w:val="pct10" w:color="auto" w:fill="FFFFFF"/>
        </w:rPr>
        <w:t>线路</w:t>
      </w:r>
      <w:r>
        <w:rPr>
          <w:rFonts w:hint="eastAsia" w:cs="微软雅黑"/>
          <w:b/>
          <w:kern w:val="0"/>
          <w:highlight w:val="none"/>
          <w:shd w:val="pct10" w:color="auto" w:fill="FFFFFF"/>
          <w:lang w:val="en-US" w:eastAsia="zh-CN"/>
        </w:rPr>
        <w:t>2</w:t>
      </w:r>
      <w:r>
        <w:rPr>
          <w:rFonts w:hint="eastAsia" w:ascii="微软雅黑" w:hAnsi="微软雅黑" w:eastAsia="微软雅黑" w:cs="微软雅黑"/>
          <w:b/>
          <w:kern w:val="0"/>
          <w:highlight w:val="none"/>
          <w:shd w:val="pct10" w:color="auto" w:fill="FFFFFF"/>
        </w:rPr>
        <w:t>：</w:t>
      </w:r>
      <w:r>
        <w:rPr>
          <w:rFonts w:hint="eastAsia" w:cs="微软雅黑"/>
          <w:b/>
          <w:kern w:val="0"/>
          <w:highlight w:val="none"/>
          <w:shd w:val="pct10" w:color="auto" w:fill="FFFFFF"/>
          <w:lang w:val="en-US" w:eastAsia="zh-CN"/>
        </w:rPr>
        <w:t>舟山</w:t>
      </w:r>
      <w:r>
        <w:rPr>
          <w:rFonts w:hint="eastAsia" w:ascii="微软雅黑" w:hAnsi="微软雅黑" w:eastAsia="微软雅黑" w:cs="微软雅黑"/>
          <w:b/>
          <w:kern w:val="0"/>
          <w:highlight w:val="none"/>
          <w:shd w:val="pct10" w:color="auto" w:fill="FFFFFF"/>
          <w:lang w:val="en-US" w:eastAsia="zh-CN"/>
        </w:rPr>
        <w:t>5</w:t>
      </w:r>
      <w:r>
        <w:rPr>
          <w:rFonts w:hint="eastAsia" w:ascii="微软雅黑" w:hAnsi="微软雅黑" w:eastAsia="微软雅黑" w:cs="微软雅黑"/>
          <w:b/>
          <w:kern w:val="0"/>
          <w:highlight w:val="none"/>
          <w:shd w:val="pct10" w:color="auto" w:fill="FFFFFF"/>
        </w:rPr>
        <w:t>日</w:t>
      </w:r>
    </w:p>
    <w:p w14:paraId="558E9A77">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时间、批次、人数与预算：</w:t>
      </w:r>
    </w:p>
    <w:p w14:paraId="28BD1700">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5天4晚，人数按报名情况,人数多时分批次。</w:t>
      </w:r>
    </w:p>
    <w:p w14:paraId="5F9A4758">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旅游用车和接送用车：</w:t>
      </w:r>
    </w:p>
    <w:p w14:paraId="18FFFC88">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空调旅游大巴（金龙或同等档次空调车，不超过3年车龄，确保3个空位/车）</w:t>
      </w:r>
      <w:r>
        <w:rPr>
          <w:rFonts w:hint="eastAsia" w:ascii="微软雅黑" w:hAnsi="微软雅黑" w:eastAsia="微软雅黑" w:cs="微软雅黑"/>
          <w:kern w:val="0"/>
          <w:highlight w:val="none"/>
        </w:rPr>
        <w:br w:type="textWrapping"/>
      </w:r>
      <w:r>
        <w:rPr>
          <w:rFonts w:hint="eastAsia" w:ascii="微软雅黑" w:hAnsi="微软雅黑" w:eastAsia="微软雅黑" w:cs="微软雅黑"/>
          <w:kern w:val="0"/>
          <w:highlight w:val="none"/>
        </w:rPr>
        <w:t>要求大巴车驾驶员服务态度好、车技娴熟、路况熟悉。</w:t>
      </w:r>
      <w:r>
        <w:rPr>
          <w:rFonts w:hint="eastAsia" w:ascii="微软雅黑" w:hAnsi="微软雅黑" w:eastAsia="微软雅黑" w:cs="微软雅黑"/>
          <w:highlight w:val="none"/>
        </w:rPr>
        <w:t>旅游车须用空调期间，司机应在每次上车前提前15分钟打开空调；司机应保持车辆整洁，每天要对车子进行清扫工作。接送车需提前至招标人指定地点接送。</w:t>
      </w:r>
    </w:p>
    <w:p w14:paraId="14D953E2">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住宿：</w:t>
      </w:r>
    </w:p>
    <w:p w14:paraId="247F49AB">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highlight w:val="none"/>
        </w:rPr>
        <w:t>住宿标准为准四星酒店及以上或者携程四钻及以上（标准间），因自然单人问题超出的费用由旅行社承担</w:t>
      </w:r>
      <w:r>
        <w:rPr>
          <w:rFonts w:hint="eastAsia" w:ascii="微软雅黑" w:hAnsi="微软雅黑" w:eastAsia="微软雅黑" w:cs="微软雅黑"/>
          <w:kern w:val="0"/>
          <w:highlight w:val="none"/>
        </w:rPr>
        <w:t>。投标方案中</w:t>
      </w:r>
      <w:r>
        <w:rPr>
          <w:rFonts w:hint="eastAsia" w:ascii="微软雅黑" w:hAnsi="微软雅黑" w:eastAsia="微软雅黑" w:cs="微软雅黑"/>
          <w:highlight w:val="none"/>
        </w:rPr>
        <w:t>注明酒店开业时间以及客房数量，原则上每次行程安排住宿整团同住一家酒店。</w:t>
      </w:r>
    </w:p>
    <w:p w14:paraId="59FB6406">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景点门票（</w:t>
      </w:r>
      <w:r>
        <w:rPr>
          <w:rFonts w:hint="eastAsia" w:ascii="微软雅黑" w:hAnsi="微软雅黑" w:eastAsia="微软雅黑" w:cs="微软雅黑"/>
          <w:highlight w:val="none"/>
          <w:lang w:val="en-US" w:eastAsia="zh-CN"/>
        </w:rPr>
        <w:t>含：</w:t>
      </w:r>
      <w:r>
        <w:rPr>
          <w:rFonts w:hint="eastAsia" w:ascii="微软雅黑" w:hAnsi="微软雅黑" w:eastAsia="微软雅黑" w:cs="微软雅黑"/>
          <w:kern w:val="0"/>
          <w:highlight w:val="none"/>
        </w:rPr>
        <w:t>景点首道门票，景点内小交通费如电瓶车、环保车、缆车、等所有费用</w:t>
      </w:r>
      <w:r>
        <w:rPr>
          <w:rFonts w:hint="eastAsia" w:ascii="微软雅黑" w:hAnsi="微软雅黑" w:eastAsia="微软雅黑" w:cs="微软雅黑"/>
          <w:highlight w:val="none"/>
        </w:rPr>
        <w:t>）。</w:t>
      </w:r>
    </w:p>
    <w:p w14:paraId="643468DE">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用餐：</w:t>
      </w:r>
    </w:p>
    <w:p w14:paraId="58C6E12F">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早餐为宾馆含早餐，中餐团餐，标准50元/人·餐，晚餐落实社会餐厅，客人自行点菜。5天合计餐标不低于</w:t>
      </w:r>
      <w:r>
        <w:rPr>
          <w:rFonts w:hint="eastAsia" w:cs="微软雅黑"/>
          <w:kern w:val="0"/>
          <w:highlight w:val="none"/>
          <w:lang w:val="en-US" w:eastAsia="zh-CN"/>
        </w:rPr>
        <w:t>7</w:t>
      </w:r>
      <w:r>
        <w:rPr>
          <w:rFonts w:hint="eastAsia" w:ascii="微软雅黑" w:hAnsi="微软雅黑" w:eastAsia="微软雅黑" w:cs="微软雅黑"/>
          <w:kern w:val="0"/>
          <w:highlight w:val="none"/>
        </w:rPr>
        <w:t>00元/人。</w:t>
      </w:r>
      <w:r>
        <w:rPr>
          <w:rFonts w:hint="eastAsia" w:ascii="微软雅黑" w:hAnsi="微软雅黑" w:eastAsia="微软雅黑" w:cs="微软雅黑"/>
          <w:kern w:val="0"/>
          <w:highlight w:val="none"/>
          <w:lang w:val="en-US" w:eastAsia="zh-CN"/>
        </w:rPr>
        <w:t>每日应提供当地特色菜，主菜不重复。</w:t>
      </w:r>
    </w:p>
    <w:p w14:paraId="1D802CAF">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保险：</w:t>
      </w:r>
    </w:p>
    <w:p w14:paraId="5B0CC45F">
      <w:pPr>
        <w:pStyle w:val="29"/>
        <w:spacing w:line="480" w:lineRule="exact"/>
        <w:ind w:left="-2" w:leftChars="-1" w:firstLine="319" w:firstLineChars="152"/>
        <w:rPr>
          <w:rFonts w:hint="eastAsia" w:ascii="微软雅黑" w:hAnsi="微软雅黑" w:eastAsia="微软雅黑" w:cs="微软雅黑"/>
          <w:bCs/>
          <w:kern w:val="0"/>
          <w:highlight w:val="none"/>
        </w:rPr>
      </w:pPr>
      <w:r>
        <w:rPr>
          <w:rFonts w:hint="eastAsia" w:ascii="微软雅黑" w:hAnsi="微软雅黑" w:eastAsia="微软雅黑" w:cs="微软雅黑"/>
          <w:kern w:val="0"/>
          <w:highlight w:val="none"/>
        </w:rPr>
        <w:t>购买疗休养过程中的各类保险（包括：旅行社责任险，旅游意外伤害保险等），做到应保则保，投标文件中应说明具体险种和单人保额。其中，旅行社责任险不少于150万元/人、旅游安全人身意外伤害保险不少于150万元/人</w:t>
      </w:r>
      <w:r>
        <w:rPr>
          <w:rFonts w:hint="eastAsia" w:ascii="微软雅黑" w:hAnsi="微软雅黑" w:eastAsia="微软雅黑" w:cs="微软雅黑"/>
          <w:bCs/>
          <w:kern w:val="0"/>
          <w:highlight w:val="none"/>
        </w:rPr>
        <w:t>（出行前购买，需提供保单复印件）</w:t>
      </w:r>
      <w:r>
        <w:rPr>
          <w:rFonts w:hint="eastAsia" w:ascii="微软雅黑" w:hAnsi="微软雅黑" w:eastAsia="微软雅黑" w:cs="微软雅黑"/>
          <w:kern w:val="0"/>
          <w:highlight w:val="none"/>
        </w:rPr>
        <w:t>。</w:t>
      </w:r>
    </w:p>
    <w:p w14:paraId="364506B4">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导游服务：</w:t>
      </w:r>
    </w:p>
    <w:p w14:paraId="3BB4FC0B">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全程优秀导游陪同讲解（需提供导游证等相关资料）、当地导游服务和讲解（2年以上当地工作经验）。</w:t>
      </w:r>
    </w:p>
    <w:p w14:paraId="7F628CCD">
      <w:pPr>
        <w:pStyle w:val="29"/>
        <w:numPr>
          <w:ilvl w:val="0"/>
          <w:numId w:val="9"/>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旅行小件</w:t>
      </w:r>
    </w:p>
    <w:p w14:paraId="5D7A70D7">
      <w:pPr>
        <w:pStyle w:val="29"/>
        <w:spacing w:line="480" w:lineRule="exact"/>
        <w:ind w:left="-2" w:leftChars="-1" w:firstLine="319" w:firstLineChars="152"/>
        <w:rPr>
          <w:rFonts w:hint="eastAsia" w:ascii="微软雅黑" w:hAnsi="微软雅黑" w:eastAsia="微软雅黑" w:cs="微软雅黑"/>
          <w:bCs/>
          <w:highlight w:val="none"/>
        </w:rPr>
      </w:pPr>
      <w:r>
        <w:rPr>
          <w:rFonts w:hint="eastAsia" w:ascii="微软雅黑" w:hAnsi="微软雅黑" w:eastAsia="微软雅黑" w:cs="微软雅黑"/>
          <w:kern w:val="0"/>
          <w:highlight w:val="none"/>
        </w:rPr>
        <w:t>充气靠枕1个、胸包1个、天堂伞1把、矿泉水（数量充足），医用外科口罩10个（每人每天2个），旅游帽1个。如有其它小件请在投标方案中注明。</w:t>
      </w:r>
    </w:p>
    <w:p w14:paraId="7DCF637D">
      <w:pPr>
        <w:pStyle w:val="29"/>
        <w:numPr>
          <w:ilvl w:val="0"/>
          <w:numId w:val="9"/>
        </w:numPr>
        <w:spacing w:line="480" w:lineRule="exact"/>
        <w:ind w:left="-2" w:leftChars="-1" w:firstLine="319" w:firstLineChars="152"/>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行程：行程要求轻松休闲，达到疗休养目的，全程不进购物点</w:t>
      </w:r>
      <w:r>
        <w:rPr>
          <w:rFonts w:hint="eastAsia" w:ascii="微软雅黑" w:hAnsi="微软雅黑" w:eastAsia="微软雅黑" w:cs="微软雅黑"/>
          <w:highlight w:val="none"/>
          <w:lang w:eastAsia="zh-CN"/>
        </w:rPr>
        <w:t>。</w:t>
      </w:r>
    </w:p>
    <w:p w14:paraId="28015A24">
      <w:pPr>
        <w:pStyle w:val="29"/>
        <w:spacing w:line="480" w:lineRule="exact"/>
        <w:ind w:left="-2" w:leftChars="-1" w:firstLine="319" w:firstLineChars="152"/>
        <w:rPr>
          <w:rFonts w:hint="eastAsia" w:ascii="微软雅黑" w:hAnsi="微软雅黑" w:eastAsia="微软雅黑" w:cs="微软雅黑"/>
          <w:b/>
          <w:kern w:val="0"/>
          <w:highlight w:val="none"/>
          <w:shd w:val="pct10" w:color="auto" w:fill="FFFFFF"/>
        </w:rPr>
      </w:pPr>
      <w:r>
        <w:rPr>
          <w:rFonts w:hint="eastAsia" w:ascii="微软雅黑" w:hAnsi="微软雅黑" w:eastAsia="微软雅黑" w:cs="微软雅黑"/>
          <w:b/>
          <w:kern w:val="0"/>
          <w:highlight w:val="none"/>
          <w:shd w:val="pct10" w:color="auto" w:fill="FFFFFF"/>
        </w:rPr>
        <w:t>线路</w:t>
      </w:r>
      <w:r>
        <w:rPr>
          <w:rFonts w:hint="eastAsia" w:cs="微软雅黑"/>
          <w:b/>
          <w:kern w:val="0"/>
          <w:highlight w:val="none"/>
          <w:shd w:val="pct10" w:color="auto" w:fill="FFFFFF"/>
          <w:lang w:val="en-US" w:eastAsia="zh-CN"/>
        </w:rPr>
        <w:t>3</w:t>
      </w:r>
      <w:r>
        <w:rPr>
          <w:rFonts w:hint="eastAsia" w:ascii="微软雅黑" w:hAnsi="微软雅黑" w:eastAsia="微软雅黑" w:cs="微软雅黑"/>
          <w:b/>
          <w:kern w:val="0"/>
          <w:highlight w:val="none"/>
          <w:shd w:val="pct10" w:color="auto" w:fill="FFFFFF"/>
        </w:rPr>
        <w:t>：</w:t>
      </w:r>
      <w:r>
        <w:rPr>
          <w:rFonts w:hint="eastAsia" w:cs="微软雅黑"/>
          <w:b/>
          <w:kern w:val="0"/>
          <w:highlight w:val="none"/>
          <w:shd w:val="pct10" w:color="auto" w:fill="FFFFFF"/>
          <w:lang w:val="en-US" w:eastAsia="zh-CN"/>
        </w:rPr>
        <w:t>丽水</w:t>
      </w:r>
      <w:r>
        <w:rPr>
          <w:rFonts w:hint="eastAsia" w:ascii="微软雅黑" w:hAnsi="微软雅黑" w:eastAsia="微软雅黑" w:cs="微软雅黑"/>
          <w:b/>
          <w:kern w:val="0"/>
          <w:highlight w:val="none"/>
          <w:shd w:val="pct10" w:color="auto" w:fill="FFFFFF"/>
          <w:lang w:val="en-US" w:eastAsia="zh-CN"/>
        </w:rPr>
        <w:t>5</w:t>
      </w:r>
      <w:r>
        <w:rPr>
          <w:rFonts w:hint="eastAsia" w:ascii="微软雅黑" w:hAnsi="微软雅黑" w:eastAsia="微软雅黑" w:cs="微软雅黑"/>
          <w:b/>
          <w:kern w:val="0"/>
          <w:highlight w:val="none"/>
          <w:shd w:val="pct10" w:color="auto" w:fill="FFFFFF"/>
        </w:rPr>
        <w:t>日</w:t>
      </w:r>
    </w:p>
    <w:p w14:paraId="119FEFCB">
      <w:pPr>
        <w:pStyle w:val="29"/>
        <w:numPr>
          <w:ilvl w:val="0"/>
          <w:numId w:val="10"/>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时间、批次、人数与预算：</w:t>
      </w:r>
    </w:p>
    <w:p w14:paraId="669DC800">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5天4晚，人数按报名情况,人数多时分批次。</w:t>
      </w:r>
    </w:p>
    <w:p w14:paraId="3F1F3837">
      <w:pPr>
        <w:pStyle w:val="29"/>
        <w:numPr>
          <w:ilvl w:val="0"/>
          <w:numId w:val="10"/>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旅游用车和接送用车：</w:t>
      </w:r>
    </w:p>
    <w:p w14:paraId="21966068">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空调旅游大巴（金龙或同等档次空调车，不超过3年车龄，确保3个空位/车）</w:t>
      </w:r>
      <w:r>
        <w:rPr>
          <w:rFonts w:hint="eastAsia" w:ascii="微软雅黑" w:hAnsi="微软雅黑" w:eastAsia="微软雅黑" w:cs="微软雅黑"/>
          <w:kern w:val="0"/>
          <w:highlight w:val="none"/>
        </w:rPr>
        <w:br w:type="textWrapping"/>
      </w:r>
      <w:r>
        <w:rPr>
          <w:rFonts w:hint="eastAsia" w:ascii="微软雅黑" w:hAnsi="微软雅黑" w:eastAsia="微软雅黑" w:cs="微软雅黑"/>
          <w:kern w:val="0"/>
          <w:highlight w:val="none"/>
        </w:rPr>
        <w:t>要求大巴车驾驶员服务态度好、车技娴熟、路况熟悉。</w:t>
      </w:r>
      <w:r>
        <w:rPr>
          <w:rFonts w:hint="eastAsia" w:ascii="微软雅黑" w:hAnsi="微软雅黑" w:eastAsia="微软雅黑" w:cs="微软雅黑"/>
          <w:highlight w:val="none"/>
        </w:rPr>
        <w:t>旅游车须用空调期间，司机应在每次上车前提前15分钟打开空调；司机应保持车辆整洁，每天要对车子进行清扫工作。接送车需提前至招标人指定地点接送。</w:t>
      </w:r>
    </w:p>
    <w:p w14:paraId="5E259C6A">
      <w:pPr>
        <w:pStyle w:val="29"/>
        <w:numPr>
          <w:ilvl w:val="0"/>
          <w:numId w:val="10"/>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住宿：</w:t>
      </w:r>
    </w:p>
    <w:p w14:paraId="3D806D60">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highlight w:val="none"/>
        </w:rPr>
        <w:t>住宿标准为准四星酒店及以上或者携程四钻及以上（标准间），因自然单人问题超出的费用由旅行社承担</w:t>
      </w:r>
      <w:r>
        <w:rPr>
          <w:rFonts w:hint="eastAsia" w:ascii="微软雅黑" w:hAnsi="微软雅黑" w:eastAsia="微软雅黑" w:cs="微软雅黑"/>
          <w:kern w:val="0"/>
          <w:highlight w:val="none"/>
        </w:rPr>
        <w:t>。投标方案中</w:t>
      </w:r>
      <w:r>
        <w:rPr>
          <w:rFonts w:hint="eastAsia" w:ascii="微软雅黑" w:hAnsi="微软雅黑" w:eastAsia="微软雅黑" w:cs="微软雅黑"/>
          <w:highlight w:val="none"/>
        </w:rPr>
        <w:t>注明酒店开业时间以及客房数量，原则上每次行程安排住宿整团同住一家酒店。</w:t>
      </w:r>
    </w:p>
    <w:p w14:paraId="79A4A064">
      <w:pPr>
        <w:pStyle w:val="29"/>
        <w:numPr>
          <w:ilvl w:val="0"/>
          <w:numId w:val="10"/>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景点门票（</w:t>
      </w:r>
      <w:r>
        <w:rPr>
          <w:rFonts w:hint="eastAsia" w:ascii="微软雅黑" w:hAnsi="微软雅黑" w:eastAsia="微软雅黑" w:cs="微软雅黑"/>
          <w:highlight w:val="none"/>
          <w:lang w:val="en-US" w:eastAsia="zh-CN"/>
        </w:rPr>
        <w:t>含：</w:t>
      </w:r>
      <w:r>
        <w:rPr>
          <w:rFonts w:hint="eastAsia" w:ascii="微软雅黑" w:hAnsi="微软雅黑" w:eastAsia="微软雅黑" w:cs="微软雅黑"/>
          <w:kern w:val="0"/>
          <w:highlight w:val="none"/>
        </w:rPr>
        <w:t>景点首道门票，景点内小交通费如电瓶车、环保车、缆车、等所有费用</w:t>
      </w:r>
      <w:r>
        <w:rPr>
          <w:rFonts w:hint="eastAsia" w:ascii="微软雅黑" w:hAnsi="微软雅黑" w:eastAsia="微软雅黑" w:cs="微软雅黑"/>
          <w:highlight w:val="none"/>
        </w:rPr>
        <w:t>）。</w:t>
      </w:r>
    </w:p>
    <w:p w14:paraId="465DE6E9">
      <w:pPr>
        <w:pStyle w:val="29"/>
        <w:numPr>
          <w:ilvl w:val="0"/>
          <w:numId w:val="10"/>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用餐：</w:t>
      </w:r>
    </w:p>
    <w:p w14:paraId="4DC067D9">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早餐为宾馆含早餐，中餐团餐，标准50元/人·餐，晚餐落实社会餐厅，客人自行点菜。5天合计餐标不低于</w:t>
      </w:r>
      <w:r>
        <w:rPr>
          <w:rFonts w:hint="eastAsia" w:cs="微软雅黑"/>
          <w:kern w:val="0"/>
          <w:highlight w:val="none"/>
          <w:lang w:val="en-US" w:eastAsia="zh-CN"/>
        </w:rPr>
        <w:t>7</w:t>
      </w:r>
      <w:r>
        <w:rPr>
          <w:rFonts w:hint="eastAsia" w:ascii="微软雅黑" w:hAnsi="微软雅黑" w:eastAsia="微软雅黑" w:cs="微软雅黑"/>
          <w:kern w:val="0"/>
          <w:highlight w:val="none"/>
        </w:rPr>
        <w:t>00元/人。</w:t>
      </w:r>
      <w:r>
        <w:rPr>
          <w:rFonts w:hint="eastAsia" w:ascii="微软雅黑" w:hAnsi="微软雅黑" w:eastAsia="微软雅黑" w:cs="微软雅黑"/>
          <w:kern w:val="0"/>
          <w:highlight w:val="none"/>
          <w:lang w:val="en-US" w:eastAsia="zh-CN"/>
        </w:rPr>
        <w:t>每日应提供当地特色菜，主菜不重复。</w:t>
      </w:r>
    </w:p>
    <w:p w14:paraId="388C8E5E">
      <w:pPr>
        <w:pStyle w:val="29"/>
        <w:numPr>
          <w:ilvl w:val="0"/>
          <w:numId w:val="10"/>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保险：</w:t>
      </w:r>
    </w:p>
    <w:p w14:paraId="610FC0BE">
      <w:pPr>
        <w:pStyle w:val="29"/>
        <w:spacing w:line="480" w:lineRule="exact"/>
        <w:ind w:left="-2" w:leftChars="-1" w:firstLine="319" w:firstLineChars="152"/>
        <w:rPr>
          <w:rFonts w:hint="eastAsia" w:ascii="微软雅黑" w:hAnsi="微软雅黑" w:eastAsia="微软雅黑" w:cs="微软雅黑"/>
          <w:bCs/>
          <w:kern w:val="0"/>
          <w:highlight w:val="none"/>
        </w:rPr>
      </w:pPr>
      <w:r>
        <w:rPr>
          <w:rFonts w:hint="eastAsia" w:ascii="微软雅黑" w:hAnsi="微软雅黑" w:eastAsia="微软雅黑" w:cs="微软雅黑"/>
          <w:kern w:val="0"/>
          <w:highlight w:val="none"/>
        </w:rPr>
        <w:t>购买疗休养过程中的各类保险（包括：旅行社责任险，旅游意外伤害保险等），做到应保则保，投标文件中应说明具体险种和单人保额。其中，旅行社责任险不少于150万元/人、旅游安全人身意外伤害保险不少于150万元/人</w:t>
      </w:r>
      <w:r>
        <w:rPr>
          <w:rFonts w:hint="eastAsia" w:ascii="微软雅黑" w:hAnsi="微软雅黑" w:eastAsia="微软雅黑" w:cs="微软雅黑"/>
          <w:bCs/>
          <w:kern w:val="0"/>
          <w:highlight w:val="none"/>
        </w:rPr>
        <w:t>（出行前购买，需提供保单复印件）</w:t>
      </w:r>
      <w:r>
        <w:rPr>
          <w:rFonts w:hint="eastAsia" w:ascii="微软雅黑" w:hAnsi="微软雅黑" w:eastAsia="微软雅黑" w:cs="微软雅黑"/>
          <w:kern w:val="0"/>
          <w:highlight w:val="none"/>
        </w:rPr>
        <w:t>。</w:t>
      </w:r>
    </w:p>
    <w:p w14:paraId="60F46B4E">
      <w:pPr>
        <w:pStyle w:val="29"/>
        <w:numPr>
          <w:ilvl w:val="0"/>
          <w:numId w:val="10"/>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导游服务：</w:t>
      </w:r>
    </w:p>
    <w:p w14:paraId="706E14BE">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全程优秀导游陪同讲解（需提供导游证等相关资料）、当地导游服务和讲解（2年以上当地工作经验）。</w:t>
      </w:r>
    </w:p>
    <w:p w14:paraId="0CE9F002">
      <w:pPr>
        <w:pStyle w:val="29"/>
        <w:numPr>
          <w:ilvl w:val="0"/>
          <w:numId w:val="10"/>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旅行小件</w:t>
      </w:r>
    </w:p>
    <w:p w14:paraId="695C1B29">
      <w:pPr>
        <w:pStyle w:val="29"/>
        <w:spacing w:line="480" w:lineRule="exact"/>
        <w:ind w:left="-2" w:leftChars="-1" w:firstLine="319" w:firstLineChars="152"/>
        <w:rPr>
          <w:rFonts w:hint="eastAsia" w:ascii="微软雅黑" w:hAnsi="微软雅黑" w:eastAsia="微软雅黑" w:cs="微软雅黑"/>
          <w:bCs/>
          <w:highlight w:val="none"/>
        </w:rPr>
      </w:pPr>
      <w:r>
        <w:rPr>
          <w:rFonts w:hint="eastAsia" w:ascii="微软雅黑" w:hAnsi="微软雅黑" w:eastAsia="微软雅黑" w:cs="微软雅黑"/>
          <w:kern w:val="0"/>
          <w:highlight w:val="none"/>
        </w:rPr>
        <w:t>充气靠枕1个、胸包1个、天堂伞1把、矿泉水（数量充足），医用外科口罩10个（每人每天2个），旅游帽1个。如有其它小件请在投标方案中注明。</w:t>
      </w:r>
    </w:p>
    <w:p w14:paraId="30716413">
      <w:pPr>
        <w:pStyle w:val="29"/>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行程：行程要求轻松休闲，达到疗休养目的，全程不进购物点</w:t>
      </w:r>
    </w:p>
    <w:p w14:paraId="38D69CCC">
      <w:pPr>
        <w:pStyle w:val="29"/>
        <w:spacing w:line="480" w:lineRule="exact"/>
        <w:ind w:left="-2" w:leftChars="-1" w:firstLine="319" w:firstLineChars="152"/>
        <w:rPr>
          <w:rFonts w:hint="eastAsia" w:ascii="微软雅黑" w:hAnsi="微软雅黑" w:eastAsia="微软雅黑" w:cs="微软雅黑"/>
          <w:b/>
          <w:kern w:val="0"/>
          <w:highlight w:val="none"/>
          <w:shd w:val="pct10" w:color="auto" w:fill="FFFFFF"/>
        </w:rPr>
      </w:pPr>
      <w:r>
        <w:rPr>
          <w:rFonts w:hint="eastAsia" w:ascii="微软雅黑" w:hAnsi="微软雅黑" w:eastAsia="微软雅黑" w:cs="微软雅黑"/>
          <w:b/>
          <w:kern w:val="0"/>
          <w:highlight w:val="none"/>
          <w:shd w:val="pct10" w:color="auto" w:fill="FFFFFF"/>
        </w:rPr>
        <w:t>线路</w:t>
      </w:r>
      <w:r>
        <w:rPr>
          <w:rFonts w:hint="eastAsia" w:cs="微软雅黑"/>
          <w:b/>
          <w:kern w:val="0"/>
          <w:highlight w:val="none"/>
          <w:shd w:val="pct10" w:color="auto" w:fill="FFFFFF"/>
          <w:lang w:val="en-US" w:eastAsia="zh-CN"/>
        </w:rPr>
        <w:t>4</w:t>
      </w:r>
      <w:r>
        <w:rPr>
          <w:rFonts w:hint="eastAsia" w:ascii="微软雅黑" w:hAnsi="微软雅黑" w:eastAsia="微软雅黑" w:cs="微软雅黑"/>
          <w:b/>
          <w:kern w:val="0"/>
          <w:highlight w:val="none"/>
          <w:shd w:val="pct10" w:color="auto" w:fill="FFFFFF"/>
        </w:rPr>
        <w:t>：</w:t>
      </w:r>
      <w:r>
        <w:rPr>
          <w:rFonts w:hint="eastAsia" w:cs="微软雅黑"/>
          <w:b/>
          <w:kern w:val="0"/>
          <w:highlight w:val="none"/>
          <w:shd w:val="pct10" w:color="auto" w:fill="FFFFFF"/>
          <w:lang w:val="en-US" w:eastAsia="zh-CN"/>
        </w:rPr>
        <w:t>本市</w:t>
      </w:r>
      <w:r>
        <w:rPr>
          <w:rFonts w:hint="eastAsia" w:ascii="微软雅黑" w:hAnsi="微软雅黑" w:eastAsia="微软雅黑" w:cs="微软雅黑"/>
          <w:b/>
          <w:kern w:val="0"/>
          <w:highlight w:val="none"/>
          <w:shd w:val="pct10" w:color="auto" w:fill="FFFFFF"/>
          <w:lang w:val="en-US" w:eastAsia="zh-CN"/>
        </w:rPr>
        <w:t>5</w:t>
      </w:r>
      <w:r>
        <w:rPr>
          <w:rFonts w:hint="eastAsia" w:ascii="微软雅黑" w:hAnsi="微软雅黑" w:eastAsia="微软雅黑" w:cs="微软雅黑"/>
          <w:b/>
          <w:kern w:val="0"/>
          <w:highlight w:val="none"/>
          <w:shd w:val="pct10" w:color="auto" w:fill="FFFFFF"/>
        </w:rPr>
        <w:t>日</w:t>
      </w:r>
    </w:p>
    <w:p w14:paraId="3C45A042">
      <w:pPr>
        <w:pStyle w:val="29"/>
        <w:numPr>
          <w:ilvl w:val="0"/>
          <w:numId w:val="11"/>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时间、批次、人数与预算：</w:t>
      </w:r>
    </w:p>
    <w:p w14:paraId="65910B3F">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5天4晚，人数按报名情况,人数多时分批次。</w:t>
      </w:r>
    </w:p>
    <w:p w14:paraId="32F4A415">
      <w:pPr>
        <w:pStyle w:val="29"/>
        <w:numPr>
          <w:ilvl w:val="0"/>
          <w:numId w:val="11"/>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旅游用车和接送用车：</w:t>
      </w:r>
    </w:p>
    <w:p w14:paraId="01D4D686">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空调旅游大巴（金龙或同等档次空调车，不超过3年车龄，确保3个空位/车）</w:t>
      </w:r>
      <w:r>
        <w:rPr>
          <w:rFonts w:hint="eastAsia" w:ascii="微软雅黑" w:hAnsi="微软雅黑" w:eastAsia="微软雅黑" w:cs="微软雅黑"/>
          <w:kern w:val="0"/>
          <w:highlight w:val="none"/>
        </w:rPr>
        <w:br w:type="textWrapping"/>
      </w:r>
      <w:r>
        <w:rPr>
          <w:rFonts w:hint="eastAsia" w:ascii="微软雅黑" w:hAnsi="微软雅黑" w:eastAsia="微软雅黑" w:cs="微软雅黑"/>
          <w:kern w:val="0"/>
          <w:highlight w:val="none"/>
        </w:rPr>
        <w:t>要求大巴车驾驶员服务态度好、车技娴熟、路况熟悉。</w:t>
      </w:r>
      <w:r>
        <w:rPr>
          <w:rFonts w:hint="eastAsia" w:ascii="微软雅黑" w:hAnsi="微软雅黑" w:eastAsia="微软雅黑" w:cs="微软雅黑"/>
          <w:highlight w:val="none"/>
        </w:rPr>
        <w:t>旅游车须用空调期间，司机应在每次上车前提前15分钟打开空调；司机应保持车辆整洁，每天要对车子进行清扫工作。接送车需提前至招标人指定地点接送。</w:t>
      </w:r>
    </w:p>
    <w:p w14:paraId="36ED9BB0">
      <w:pPr>
        <w:pStyle w:val="29"/>
        <w:numPr>
          <w:ilvl w:val="0"/>
          <w:numId w:val="11"/>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住宿：</w:t>
      </w:r>
    </w:p>
    <w:p w14:paraId="53B7F2C7">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highlight w:val="none"/>
        </w:rPr>
        <w:t>住宿标准为准四星酒店及以上或者携程四钻及以上（标准间），因自然单人问题超出的费用由旅行社承担</w:t>
      </w:r>
      <w:r>
        <w:rPr>
          <w:rFonts w:hint="eastAsia" w:ascii="微软雅黑" w:hAnsi="微软雅黑" w:eastAsia="微软雅黑" w:cs="微软雅黑"/>
          <w:kern w:val="0"/>
          <w:highlight w:val="none"/>
        </w:rPr>
        <w:t>。投标方案中</w:t>
      </w:r>
      <w:r>
        <w:rPr>
          <w:rFonts w:hint="eastAsia" w:ascii="微软雅黑" w:hAnsi="微软雅黑" w:eastAsia="微软雅黑" w:cs="微软雅黑"/>
          <w:highlight w:val="none"/>
        </w:rPr>
        <w:t>注明酒店开业时间以及客房数量，原则上每次行程安排住宿整团同住一家酒店。</w:t>
      </w:r>
    </w:p>
    <w:p w14:paraId="074131F8">
      <w:pPr>
        <w:pStyle w:val="29"/>
        <w:numPr>
          <w:ilvl w:val="0"/>
          <w:numId w:val="11"/>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景点门票（</w:t>
      </w:r>
      <w:r>
        <w:rPr>
          <w:rFonts w:hint="eastAsia" w:ascii="微软雅黑" w:hAnsi="微软雅黑" w:eastAsia="微软雅黑" w:cs="微软雅黑"/>
          <w:highlight w:val="none"/>
          <w:lang w:val="en-US" w:eastAsia="zh-CN"/>
        </w:rPr>
        <w:t>含：</w:t>
      </w:r>
      <w:r>
        <w:rPr>
          <w:rFonts w:hint="eastAsia" w:ascii="微软雅黑" w:hAnsi="微软雅黑" w:eastAsia="微软雅黑" w:cs="微软雅黑"/>
          <w:kern w:val="0"/>
          <w:highlight w:val="none"/>
        </w:rPr>
        <w:t>景点首道门票，景点内小交通费如电瓶车、环保车、缆车、等所有费用</w:t>
      </w:r>
      <w:r>
        <w:rPr>
          <w:rFonts w:hint="eastAsia" w:ascii="微软雅黑" w:hAnsi="微软雅黑" w:eastAsia="微软雅黑" w:cs="微软雅黑"/>
          <w:highlight w:val="none"/>
        </w:rPr>
        <w:t>）。</w:t>
      </w:r>
    </w:p>
    <w:p w14:paraId="61DE0D1D">
      <w:pPr>
        <w:pStyle w:val="29"/>
        <w:numPr>
          <w:ilvl w:val="0"/>
          <w:numId w:val="11"/>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用餐：</w:t>
      </w:r>
    </w:p>
    <w:p w14:paraId="4544936C">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早餐为宾馆含早餐，中餐团餐，标准50元/人·餐，晚餐落实社会餐厅，客人自行点菜。5天合计餐标不低于</w:t>
      </w:r>
      <w:r>
        <w:rPr>
          <w:rFonts w:hint="eastAsia" w:cs="微软雅黑"/>
          <w:kern w:val="0"/>
          <w:highlight w:val="none"/>
          <w:lang w:val="en-US" w:eastAsia="zh-CN"/>
        </w:rPr>
        <w:t>7</w:t>
      </w:r>
      <w:r>
        <w:rPr>
          <w:rFonts w:hint="eastAsia" w:ascii="微软雅黑" w:hAnsi="微软雅黑" w:eastAsia="微软雅黑" w:cs="微软雅黑"/>
          <w:kern w:val="0"/>
          <w:highlight w:val="none"/>
        </w:rPr>
        <w:t>00元/人。</w:t>
      </w:r>
      <w:r>
        <w:rPr>
          <w:rFonts w:hint="eastAsia" w:ascii="微软雅黑" w:hAnsi="微软雅黑" w:eastAsia="微软雅黑" w:cs="微软雅黑"/>
          <w:kern w:val="0"/>
          <w:highlight w:val="none"/>
          <w:lang w:val="en-US" w:eastAsia="zh-CN"/>
        </w:rPr>
        <w:t>每日应提供当地特色菜，主菜不重复。</w:t>
      </w:r>
    </w:p>
    <w:p w14:paraId="6D14C545">
      <w:pPr>
        <w:pStyle w:val="29"/>
        <w:numPr>
          <w:ilvl w:val="0"/>
          <w:numId w:val="11"/>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保险：</w:t>
      </w:r>
    </w:p>
    <w:p w14:paraId="01D13F24">
      <w:pPr>
        <w:pStyle w:val="29"/>
        <w:spacing w:line="480" w:lineRule="exact"/>
        <w:ind w:left="-2" w:leftChars="-1" w:firstLine="319" w:firstLineChars="152"/>
        <w:rPr>
          <w:rFonts w:hint="eastAsia" w:ascii="微软雅黑" w:hAnsi="微软雅黑" w:eastAsia="微软雅黑" w:cs="微软雅黑"/>
          <w:bCs/>
          <w:kern w:val="0"/>
          <w:highlight w:val="none"/>
        </w:rPr>
      </w:pPr>
      <w:r>
        <w:rPr>
          <w:rFonts w:hint="eastAsia" w:ascii="微软雅黑" w:hAnsi="微软雅黑" w:eastAsia="微软雅黑" w:cs="微软雅黑"/>
          <w:kern w:val="0"/>
          <w:highlight w:val="none"/>
        </w:rPr>
        <w:t>购买疗休养过程中的各类保险（包括：旅行社责任险，旅游意外伤害保险等），做到应保则保，投标文件中应说明具体险种和单人保额。其中，旅行社责任险不少于150万元/人、旅游安全人身意外伤害保险不少于150万元/人</w:t>
      </w:r>
      <w:r>
        <w:rPr>
          <w:rFonts w:hint="eastAsia" w:ascii="微软雅黑" w:hAnsi="微软雅黑" w:eastAsia="微软雅黑" w:cs="微软雅黑"/>
          <w:bCs/>
          <w:kern w:val="0"/>
          <w:highlight w:val="none"/>
        </w:rPr>
        <w:t>（出行前购买，需提供保单复印件）</w:t>
      </w:r>
      <w:r>
        <w:rPr>
          <w:rFonts w:hint="eastAsia" w:ascii="微软雅黑" w:hAnsi="微软雅黑" w:eastAsia="微软雅黑" w:cs="微软雅黑"/>
          <w:kern w:val="0"/>
          <w:highlight w:val="none"/>
        </w:rPr>
        <w:t>。</w:t>
      </w:r>
    </w:p>
    <w:p w14:paraId="06450A48">
      <w:pPr>
        <w:pStyle w:val="29"/>
        <w:numPr>
          <w:ilvl w:val="0"/>
          <w:numId w:val="11"/>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导游服务：</w:t>
      </w:r>
    </w:p>
    <w:p w14:paraId="596E0960">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全程优秀导游陪同讲解（需提供导游证等相关资料）、当地导游服务和讲解（2年以上当地工作经验）。</w:t>
      </w:r>
    </w:p>
    <w:p w14:paraId="27EAE4D0">
      <w:pPr>
        <w:pStyle w:val="29"/>
        <w:numPr>
          <w:ilvl w:val="0"/>
          <w:numId w:val="11"/>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旅行小件</w:t>
      </w:r>
    </w:p>
    <w:p w14:paraId="7B8E7FFE">
      <w:pPr>
        <w:pStyle w:val="29"/>
        <w:spacing w:line="480" w:lineRule="exact"/>
        <w:ind w:left="-2" w:leftChars="-1" w:firstLine="319" w:firstLineChars="152"/>
        <w:rPr>
          <w:rFonts w:hint="eastAsia" w:ascii="微软雅黑" w:hAnsi="微软雅黑" w:eastAsia="微软雅黑" w:cs="微软雅黑"/>
          <w:bCs/>
          <w:highlight w:val="none"/>
        </w:rPr>
      </w:pPr>
      <w:r>
        <w:rPr>
          <w:rFonts w:hint="eastAsia" w:ascii="微软雅黑" w:hAnsi="微软雅黑" w:eastAsia="微软雅黑" w:cs="微软雅黑"/>
          <w:kern w:val="0"/>
          <w:highlight w:val="none"/>
        </w:rPr>
        <w:t>充气靠枕1个、胸包1个、天堂伞1把、矿泉水（数量充足），医用外科口罩10个（每人每天2个），旅游帽1个。如有其它小件请在投标方案中注明。</w:t>
      </w:r>
    </w:p>
    <w:p w14:paraId="15CF75B5">
      <w:pPr>
        <w:pStyle w:val="29"/>
        <w:numPr>
          <w:ilvl w:val="0"/>
          <w:numId w:val="11"/>
        </w:numPr>
        <w:spacing w:line="480" w:lineRule="exact"/>
        <w:ind w:left="-2" w:leftChars="-1" w:firstLine="319" w:firstLineChars="152"/>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行程：行程要求轻松休闲，达到疗休养目的，全程不进购物点</w:t>
      </w:r>
      <w:r>
        <w:rPr>
          <w:rFonts w:hint="eastAsia" w:ascii="微软雅黑" w:hAnsi="微软雅黑" w:eastAsia="微软雅黑" w:cs="微软雅黑"/>
          <w:highlight w:val="none"/>
          <w:lang w:eastAsia="zh-CN"/>
        </w:rPr>
        <w:t>。</w:t>
      </w:r>
    </w:p>
    <w:p w14:paraId="10997B23">
      <w:pPr>
        <w:pStyle w:val="5"/>
        <w:numPr>
          <w:ilvl w:val="0"/>
          <w:numId w:val="5"/>
        </w:numPr>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付款方式：</w:t>
      </w:r>
    </w:p>
    <w:p w14:paraId="6B15B1E6">
      <w:pPr>
        <w:pStyle w:val="8"/>
        <w:keepNext w:val="0"/>
        <w:keepLines w:val="0"/>
        <w:ind w:firstLine="422" w:firstLineChars="201"/>
        <w:rPr>
          <w:rFonts w:hint="eastAsia" w:ascii="微软雅黑" w:hAnsi="微软雅黑" w:eastAsia="微软雅黑" w:cs="微软雅黑"/>
          <w:b w:val="0"/>
          <w:bCs w:val="0"/>
          <w:szCs w:val="21"/>
          <w:highlight w:val="none"/>
          <w:shd w:val="clear" w:color="auto" w:fill="auto"/>
        </w:rPr>
      </w:pPr>
      <w:r>
        <w:rPr>
          <w:rFonts w:hint="eastAsia" w:ascii="微软雅黑" w:hAnsi="微软雅黑" w:eastAsia="微软雅黑" w:cs="微软雅黑"/>
          <w:b w:val="0"/>
          <w:bCs w:val="0"/>
          <w:szCs w:val="21"/>
          <w:highlight w:val="none"/>
          <w:shd w:val="clear" w:color="auto" w:fill="auto"/>
        </w:rPr>
        <w:t>本项目按实际人员结算，最终结算价按照实际参加人数*中标单价，按实结算。行程结束意见反馈合格后，疗休养人员所在单位转账支付，职工家属自行支付费用。</w:t>
      </w:r>
    </w:p>
    <w:p w14:paraId="3A56A9A2">
      <w:pPr>
        <w:pStyle w:val="5"/>
        <w:numPr>
          <w:ilvl w:val="0"/>
          <w:numId w:val="5"/>
        </w:numPr>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其他要求</w:t>
      </w:r>
    </w:p>
    <w:p w14:paraId="29B6870A">
      <w:pPr>
        <w:pStyle w:val="29"/>
        <w:numPr>
          <w:ilvl w:val="0"/>
          <w:numId w:val="12"/>
        </w:numPr>
        <w:spacing w:line="480" w:lineRule="exact"/>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家属的要求：身体健康，无潜在的突发性疾病和影响出行的基础性疾病。采购服务中不包括家属，家属必须与旅行社单独签订合同。</w:t>
      </w:r>
    </w:p>
    <w:p w14:paraId="5A6766A5">
      <w:pPr>
        <w:pStyle w:val="29"/>
        <w:numPr>
          <w:ilvl w:val="0"/>
          <w:numId w:val="12"/>
        </w:numPr>
        <w:spacing w:line="480" w:lineRule="exact"/>
        <w:ind w:left="-2" w:firstLine="424"/>
        <w:rPr>
          <w:rFonts w:hint="eastAsia" w:ascii="微软雅黑" w:hAnsi="微软雅黑" w:eastAsia="微软雅黑" w:cs="微软雅黑"/>
          <w:highlight w:val="none"/>
          <w:shd w:val="clear" w:color="auto" w:fill="auto"/>
        </w:rPr>
      </w:pPr>
      <w:r>
        <w:rPr>
          <w:rFonts w:hint="eastAsia" w:ascii="微软雅黑" w:hAnsi="微软雅黑" w:eastAsia="微软雅黑" w:cs="微软雅黑"/>
          <w:highlight w:val="none"/>
          <w:shd w:val="clear" w:color="auto" w:fill="auto"/>
        </w:rPr>
        <w:t>各投标单位需在每个标项各条线路方案内列明单人费用组成明细，并注明未成年游客收费标准，明细（如加床、用餐、门票、占座等）。并在投标文件中注明</w:t>
      </w:r>
      <w:r>
        <w:rPr>
          <w:rFonts w:hint="eastAsia" w:ascii="微软雅黑" w:hAnsi="微软雅黑" w:eastAsia="微软雅黑" w:cs="微软雅黑"/>
          <w:bCs/>
          <w:spacing w:val="-4"/>
          <w:highlight w:val="none"/>
          <w:shd w:val="clear" w:color="auto" w:fill="auto"/>
        </w:rPr>
        <w:t>针对临时不参加活动人员的费用退还方案。</w:t>
      </w:r>
    </w:p>
    <w:p w14:paraId="4BD9A3E1">
      <w:pPr>
        <w:pStyle w:val="29"/>
        <w:numPr>
          <w:ilvl w:val="0"/>
          <w:numId w:val="12"/>
        </w:numPr>
        <w:spacing w:line="480" w:lineRule="exact"/>
        <w:ind w:left="-2" w:firstLine="424"/>
        <w:rPr>
          <w:rFonts w:hint="eastAsia" w:ascii="微软雅黑" w:hAnsi="微软雅黑" w:eastAsia="微软雅黑" w:cs="微软雅黑"/>
          <w:highlight w:val="none"/>
          <w:shd w:val="clear" w:color="auto" w:fill="auto"/>
        </w:rPr>
      </w:pPr>
      <w:r>
        <w:rPr>
          <w:rFonts w:hint="eastAsia" w:ascii="微软雅黑" w:hAnsi="微软雅黑" w:eastAsia="微软雅黑" w:cs="微软雅黑"/>
          <w:kern w:val="0"/>
          <w:highlight w:val="none"/>
          <w:shd w:val="clear" w:color="auto" w:fill="auto"/>
        </w:rPr>
        <w:t>▲每批次总人数不得超过40人。</w:t>
      </w:r>
    </w:p>
    <w:p w14:paraId="7770C3B4">
      <w:pPr>
        <w:pStyle w:val="29"/>
        <w:numPr>
          <w:ilvl w:val="0"/>
          <w:numId w:val="12"/>
        </w:numPr>
        <w:spacing w:line="480" w:lineRule="exact"/>
        <w:ind w:left="-2" w:firstLine="424"/>
        <w:rPr>
          <w:rFonts w:hint="eastAsia" w:ascii="微软雅黑" w:hAnsi="微软雅黑" w:eastAsia="微软雅黑" w:cs="微软雅黑"/>
          <w:highlight w:val="none"/>
          <w:shd w:val="clear" w:color="auto" w:fill="auto"/>
        </w:rPr>
      </w:pPr>
      <w:r>
        <w:rPr>
          <w:rFonts w:hint="eastAsia" w:ascii="微软雅黑" w:hAnsi="微软雅黑" w:eastAsia="微软雅黑" w:cs="微软雅黑"/>
          <w:highlight w:val="none"/>
          <w:shd w:val="clear" w:color="auto" w:fill="auto"/>
        </w:rPr>
        <w:t>职工反映的一些需求必须第一时间向采购单位进行反馈并在合理合规的前提下协商解决。</w:t>
      </w:r>
    </w:p>
    <w:p w14:paraId="02AA75B9">
      <w:pPr>
        <w:pStyle w:val="103"/>
        <w:numPr>
          <w:ilvl w:val="0"/>
          <w:numId w:val="12"/>
        </w:numPr>
        <w:ind w:left="0" w:firstLine="424"/>
        <w:rPr>
          <w:rFonts w:hint="eastAsia" w:ascii="微软雅黑" w:hAnsi="微软雅黑" w:eastAsia="微软雅黑" w:cs="微软雅黑"/>
          <w:szCs w:val="21"/>
          <w:highlight w:val="none"/>
        </w:rPr>
      </w:pPr>
      <w:r>
        <w:rPr>
          <w:rFonts w:hint="eastAsia" w:ascii="微软雅黑" w:hAnsi="微软雅黑" w:eastAsia="微软雅黑" w:cs="微软雅黑"/>
          <w:bCs/>
          <w:spacing w:val="-4"/>
          <w:highlight w:val="none"/>
        </w:rPr>
        <w:t>对临时不参加活动人员提供费用退还（包含整团退费、个别退费、途中无法继续行程、个别行程不参加等情况），在投标文件中提供退还方案。</w:t>
      </w:r>
    </w:p>
    <w:p w14:paraId="2B06CE0D">
      <w:pPr>
        <w:pStyle w:val="4"/>
        <w:numPr>
          <w:ilvl w:val="0"/>
          <w:numId w:val="4"/>
        </w:numPr>
        <w:rPr>
          <w:rStyle w:val="66"/>
          <w:rFonts w:hint="eastAsia" w:ascii="微软雅黑" w:hAnsi="微软雅黑" w:eastAsia="微软雅黑" w:cs="微软雅黑"/>
          <w:b/>
          <w:bCs/>
          <w:highlight w:val="none"/>
        </w:rPr>
        <w:sectPr>
          <w:headerReference r:id="rId13" w:type="default"/>
          <w:footerReference r:id="rId14"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33B3492F">
      <w:pPr>
        <w:pStyle w:val="4"/>
        <w:numPr>
          <w:ilvl w:val="0"/>
          <w:numId w:val="4"/>
        </w:numPr>
        <w:rPr>
          <w:rStyle w:val="66"/>
          <w:rFonts w:hint="eastAsia" w:ascii="微软雅黑" w:hAnsi="微软雅黑" w:eastAsia="微软雅黑" w:cs="微软雅黑"/>
          <w:b/>
          <w:bCs/>
          <w:highlight w:val="none"/>
        </w:rPr>
      </w:pPr>
      <w:r>
        <w:rPr>
          <w:rStyle w:val="66"/>
          <w:rFonts w:hint="eastAsia" w:ascii="微软雅黑" w:hAnsi="微软雅黑" w:eastAsia="微软雅黑" w:cs="微软雅黑"/>
          <w:b/>
          <w:bCs/>
          <w:highlight w:val="none"/>
        </w:rPr>
        <w:t xml:space="preserve">  </w:t>
      </w:r>
      <w:bookmarkStart w:id="30" w:name="_Toc191238333"/>
      <w:bookmarkStart w:id="31" w:name="_Toc8809"/>
      <w:r>
        <w:rPr>
          <w:rStyle w:val="66"/>
          <w:rFonts w:hint="eastAsia" w:ascii="微软雅黑" w:hAnsi="微软雅黑" w:eastAsia="微软雅黑" w:cs="微软雅黑"/>
          <w:b/>
          <w:bCs/>
          <w:highlight w:val="none"/>
        </w:rPr>
        <w:t>供应商须知</w:t>
      </w:r>
      <w:bookmarkEnd w:id="22"/>
      <w:bookmarkEnd w:id="28"/>
      <w:bookmarkEnd w:id="29"/>
      <w:bookmarkEnd w:id="30"/>
      <w:bookmarkEnd w:id="31"/>
    </w:p>
    <w:p w14:paraId="000B5670">
      <w:pPr>
        <w:pStyle w:val="6"/>
        <w:ind w:firstLine="420"/>
        <w:jc w:val="center"/>
        <w:rPr>
          <w:rFonts w:hint="eastAsia" w:ascii="微软雅黑" w:hAnsi="微软雅黑" w:eastAsia="微软雅黑" w:cs="微软雅黑"/>
          <w:highlight w:val="none"/>
        </w:rPr>
      </w:pPr>
      <w:bookmarkStart w:id="32" w:name="_Toc23883"/>
      <w:bookmarkStart w:id="33" w:name="_Toc493511543"/>
      <w:bookmarkStart w:id="34" w:name="_Toc177870535"/>
      <w:r>
        <w:rPr>
          <w:rFonts w:hint="eastAsia" w:ascii="微软雅黑" w:hAnsi="微软雅黑" w:eastAsia="微软雅黑" w:cs="微软雅黑"/>
          <w:highlight w:val="none"/>
        </w:rPr>
        <w:t>电子交易注意事项</w:t>
      </w:r>
      <w:bookmarkEnd w:id="32"/>
    </w:p>
    <w:p w14:paraId="4DFFA94E">
      <w:pPr>
        <w:ind w:firstLine="420"/>
        <w:rPr>
          <w:rFonts w:hint="eastAsia"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政府采购项目电子交易活动适用《浙江省政府采购项目电子交易管理暂行办法》，现将相关注意事项告知如下：</w:t>
      </w:r>
    </w:p>
    <w:p w14:paraId="640EEC07">
      <w:pPr>
        <w:ind w:firstLine="210" w:firstLineChars="1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1.代理机构按照磋商文件规定的时间通过电子交易平台组织开标、开启响应文件，所有供应商均应当准时在线参加，直至评审结束。</w:t>
      </w:r>
    </w:p>
    <w:p w14:paraId="2B81B617">
      <w:pPr>
        <w:pStyle w:val="48"/>
        <w:spacing w:beforeAutospacing="0" w:after="120" w:afterAutospacing="0"/>
        <w:ind w:firstLine="210" w:firstLineChars="10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　2. 响应文件未按时解密，供应商如提供备份响应文件的，以符合要求的备份响应文件作为依据，否则视为响应文件撤回。响应文件已按时解密的，备份响应文件自动失效。</w:t>
      </w:r>
    </w:p>
    <w:p w14:paraId="2A335943">
      <w:pPr>
        <w:pStyle w:val="48"/>
        <w:spacing w:beforeAutospacing="0" w:after="120" w:afterAutospacing="0"/>
        <w:ind w:firstLine="210" w:firstLineChars="10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　3. 采购过程中出现以下情形，导致电子交易平台无法正常运行，或者无法保证电子交易的公平、公正和安全时，代理机构可中止电子交易活动：</w:t>
      </w:r>
    </w:p>
    <w:p w14:paraId="0EF42F11">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（一）电子交易平台发生故障而无法登录访问的。</w:t>
      </w:r>
    </w:p>
    <w:p w14:paraId="48BE5CD7">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（二）电子交易平台应用或数据库出现错误，不能进行正常操作的。</w:t>
      </w:r>
    </w:p>
    <w:p w14:paraId="49FC90C0">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（三）电子交易平台发现严重安全漏洞，有潜在泄密危险的。</w:t>
      </w:r>
    </w:p>
    <w:p w14:paraId="7949FE1F">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（四）病毒发作导致不能进行正常操作的。 </w:t>
      </w:r>
    </w:p>
    <w:p w14:paraId="26A6EC71">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（五）其他无法保证电子交易的公平、公正和安全的情况。</w:t>
      </w:r>
    </w:p>
    <w:p w14:paraId="6CC96438">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0516A8E4">
      <w:pPr>
        <w:pStyle w:val="48"/>
        <w:numPr>
          <w:ilvl w:val="0"/>
          <w:numId w:val="13"/>
        </w:numPr>
        <w:spacing w:beforeAutospacing="0" w:after="120" w:afterAutospacing="0"/>
        <w:ind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14:paraId="75644585">
      <w:pPr>
        <w:ind w:left="238" w:firstLine="420"/>
        <w:jc w:val="center"/>
        <w:rPr>
          <w:rFonts w:hint="eastAsia" w:ascii="微软雅黑" w:hAnsi="微软雅黑" w:eastAsia="微软雅黑" w:cs="微软雅黑"/>
          <w:b/>
          <w:szCs w:val="21"/>
          <w:highlight w:val="none"/>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bookmarkEnd w:id="33"/>
    <w:bookmarkEnd w:id="34"/>
    <w:tbl>
      <w:tblPr>
        <w:tblStyle w:val="53"/>
        <w:tblW w:w="8908"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2815"/>
        <w:gridCol w:w="5464"/>
      </w:tblGrid>
      <w:tr w14:paraId="2FDB8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7FE81B63">
            <w:pPr>
              <w:snapToGrid w:val="0"/>
              <w:ind w:firstLine="0" w:firstLineChars="0"/>
              <w:jc w:val="center"/>
              <w:rPr>
                <w:rFonts w:hint="eastAsia" w:ascii="微软雅黑" w:hAnsi="微软雅黑" w:eastAsia="微软雅黑" w:cs="微软雅黑"/>
                <w:b/>
                <w:szCs w:val="21"/>
                <w:highlight w:val="none"/>
              </w:rPr>
            </w:pPr>
          </w:p>
        </w:tc>
        <w:tc>
          <w:tcPr>
            <w:tcW w:w="2815" w:type="dxa"/>
            <w:tcBorders>
              <w:tl2br w:val="nil"/>
              <w:tr2bl w:val="nil"/>
            </w:tcBorders>
            <w:vAlign w:val="center"/>
          </w:tcPr>
          <w:p w14:paraId="066F8FBE">
            <w:pPr>
              <w:snapToGrid w:val="0"/>
              <w:ind w:firstLine="0" w:firstLineChars="0"/>
              <w:jc w:val="center"/>
              <w:rPr>
                <w:rFonts w:hint="eastAsia" w:ascii="微软雅黑" w:hAnsi="微软雅黑" w:eastAsia="微软雅黑" w:cs="微软雅黑"/>
                <w:b/>
                <w:szCs w:val="21"/>
                <w:highlight w:val="none"/>
              </w:rPr>
            </w:pPr>
          </w:p>
        </w:tc>
        <w:tc>
          <w:tcPr>
            <w:tcW w:w="5464" w:type="dxa"/>
            <w:tcBorders>
              <w:tl2br w:val="nil"/>
              <w:tr2bl w:val="nil"/>
            </w:tcBorders>
            <w:vAlign w:val="center"/>
          </w:tcPr>
          <w:p w14:paraId="00EA195C">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前附表</w:t>
            </w:r>
          </w:p>
        </w:tc>
      </w:tr>
      <w:tr w14:paraId="7CB42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14DADD58">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序号</w:t>
            </w:r>
          </w:p>
        </w:tc>
        <w:tc>
          <w:tcPr>
            <w:tcW w:w="2815" w:type="dxa"/>
            <w:tcBorders>
              <w:tl2br w:val="nil"/>
              <w:tr2bl w:val="nil"/>
            </w:tcBorders>
            <w:vAlign w:val="center"/>
          </w:tcPr>
          <w:p w14:paraId="2B6A33FA">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事项</w:t>
            </w:r>
          </w:p>
        </w:tc>
        <w:tc>
          <w:tcPr>
            <w:tcW w:w="5464" w:type="dxa"/>
            <w:tcBorders>
              <w:tl2br w:val="nil"/>
              <w:tr2bl w:val="nil"/>
            </w:tcBorders>
            <w:vAlign w:val="center"/>
          </w:tcPr>
          <w:p w14:paraId="2458C617">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本项目的特别规定</w:t>
            </w:r>
          </w:p>
        </w:tc>
      </w:tr>
      <w:tr w14:paraId="13970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764A63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w:t>
            </w:r>
          </w:p>
        </w:tc>
        <w:tc>
          <w:tcPr>
            <w:tcW w:w="2815" w:type="dxa"/>
            <w:tcBorders>
              <w:tl2br w:val="nil"/>
              <w:tr2bl w:val="nil"/>
            </w:tcBorders>
            <w:vAlign w:val="center"/>
          </w:tcPr>
          <w:p w14:paraId="5B490277">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tc>
        <w:tc>
          <w:tcPr>
            <w:tcW w:w="5464" w:type="dxa"/>
            <w:tcBorders>
              <w:tl2br w:val="nil"/>
              <w:tr2bl w:val="nil"/>
            </w:tcBorders>
            <w:vAlign w:val="center"/>
          </w:tcPr>
          <w:p w14:paraId="1AF06673">
            <w:pPr>
              <w:snapToGrid w:val="0"/>
              <w:ind w:firstLine="0" w:firstLineChars="0"/>
              <w:jc w:val="center"/>
              <w:rPr>
                <w:rFonts w:hint="eastAsia" w:ascii="微软雅黑" w:hAnsi="微软雅黑" w:eastAsia="微软雅黑" w:cs="微软雅黑"/>
                <w:b/>
                <w:szCs w:val="21"/>
                <w:highlight w:val="none"/>
                <w:lang w:eastAsia="zh-CN"/>
              </w:rPr>
            </w:pPr>
            <w:r>
              <w:rPr>
                <w:rFonts w:hint="eastAsia" w:ascii="微软雅黑" w:hAnsi="微软雅黑" w:cs="微软雅黑"/>
                <w:szCs w:val="21"/>
                <w:highlight w:val="none"/>
                <w:lang w:eastAsia="zh-CN"/>
              </w:rPr>
              <w:t>嘉兴市秀洲区高照实验学校2025年暑期教职工疗休养项目</w:t>
            </w:r>
          </w:p>
        </w:tc>
      </w:tr>
      <w:tr w14:paraId="71574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4F6DBD6">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2</w:t>
            </w:r>
          </w:p>
        </w:tc>
        <w:tc>
          <w:tcPr>
            <w:tcW w:w="2815" w:type="dxa"/>
            <w:tcBorders>
              <w:tl2br w:val="nil"/>
              <w:tr2bl w:val="nil"/>
            </w:tcBorders>
            <w:vAlign w:val="center"/>
          </w:tcPr>
          <w:p w14:paraId="2D5C61D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采购内容</w:t>
            </w:r>
          </w:p>
        </w:tc>
        <w:tc>
          <w:tcPr>
            <w:tcW w:w="5464" w:type="dxa"/>
            <w:tcBorders>
              <w:tl2br w:val="nil"/>
              <w:tr2bl w:val="nil"/>
            </w:tcBorders>
            <w:vAlign w:val="center"/>
          </w:tcPr>
          <w:p w14:paraId="4C22E27A">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详见第二章</w:t>
            </w:r>
          </w:p>
        </w:tc>
      </w:tr>
      <w:tr w14:paraId="083DE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13" w:hRule="atLeast"/>
          <w:tblHeader/>
        </w:trPr>
        <w:tc>
          <w:tcPr>
            <w:tcW w:w="629" w:type="dxa"/>
            <w:tcBorders>
              <w:tl2br w:val="nil"/>
              <w:tr2bl w:val="nil"/>
            </w:tcBorders>
            <w:vAlign w:val="center"/>
          </w:tcPr>
          <w:p w14:paraId="3D2FA599">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3</w:t>
            </w:r>
          </w:p>
        </w:tc>
        <w:tc>
          <w:tcPr>
            <w:tcW w:w="2815" w:type="dxa"/>
            <w:tcBorders>
              <w:tl2br w:val="nil"/>
              <w:tr2bl w:val="nil"/>
            </w:tcBorders>
            <w:vAlign w:val="center"/>
          </w:tcPr>
          <w:p w14:paraId="67F0B5B9">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报价要求</w:t>
            </w:r>
          </w:p>
        </w:tc>
        <w:tc>
          <w:tcPr>
            <w:tcW w:w="5464" w:type="dxa"/>
            <w:tcBorders>
              <w:tl2br w:val="nil"/>
              <w:tr2bl w:val="nil"/>
            </w:tcBorders>
            <w:vAlign w:val="center"/>
          </w:tcPr>
          <w:p w14:paraId="18785D91">
            <w:pPr>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有关本项目实施所需的所有费用（含税费）均计入报价。开标一览表（报价表）是报价的唯一载体。响应文件中价格全部采用人民币报价。磋商文件未列明，而投标供应商认为必需的费用也需列入报价。</w:t>
            </w:r>
          </w:p>
          <w:p w14:paraId="5CAA319B">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b/>
                <w:kern w:val="0"/>
                <w:szCs w:val="21"/>
                <w:highlight w:val="none"/>
                <w:lang w:val="zh-CN"/>
              </w:rPr>
              <w:t>提醒：考核</w:t>
            </w:r>
            <w:r>
              <w:rPr>
                <w:rFonts w:hint="eastAsia" w:ascii="微软雅黑" w:hAnsi="微软雅黑" w:eastAsia="微软雅黑" w:cs="微软雅黑"/>
                <w:b/>
                <w:kern w:val="0"/>
                <w:szCs w:val="21"/>
                <w:highlight w:val="none"/>
              </w:rPr>
              <w:t>所产生的合理费</w:t>
            </w:r>
            <w:r>
              <w:rPr>
                <w:rFonts w:hint="eastAsia" w:ascii="微软雅黑" w:hAnsi="微软雅黑" w:eastAsia="微软雅黑" w:cs="微软雅黑"/>
                <w:b/>
                <w:kern w:val="0"/>
                <w:szCs w:val="21"/>
                <w:highlight w:val="none"/>
                <w:lang w:val="zh-CN"/>
              </w:rPr>
              <w:t>用由采购人承担，不包含在投标总价中，</w:t>
            </w:r>
            <w:r>
              <w:rPr>
                <w:rFonts w:hint="eastAsia" w:ascii="微软雅黑" w:hAnsi="微软雅黑" w:eastAsia="微软雅黑" w:cs="微软雅黑"/>
                <w:b/>
                <w:kern w:val="0"/>
                <w:szCs w:val="21"/>
                <w:highlight w:val="none"/>
              </w:rPr>
              <w:t>若由供应商原因造成的考核不合格所产生的费用，由供应商承担</w:t>
            </w:r>
            <w:r>
              <w:rPr>
                <w:rFonts w:hint="eastAsia" w:ascii="微软雅黑" w:hAnsi="微软雅黑" w:eastAsia="微软雅黑" w:cs="微软雅黑"/>
                <w:b/>
                <w:kern w:val="0"/>
                <w:szCs w:val="21"/>
                <w:highlight w:val="none"/>
                <w:lang w:val="zh-CN"/>
              </w:rPr>
              <w:t>。</w:t>
            </w:r>
          </w:p>
        </w:tc>
      </w:tr>
      <w:tr w14:paraId="1D645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56" w:hRule="atLeast"/>
          <w:tblHeader/>
        </w:trPr>
        <w:tc>
          <w:tcPr>
            <w:tcW w:w="629" w:type="dxa"/>
            <w:tcBorders>
              <w:tl2br w:val="nil"/>
              <w:tr2bl w:val="nil"/>
            </w:tcBorders>
            <w:vAlign w:val="center"/>
          </w:tcPr>
          <w:p w14:paraId="4AF00996">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4</w:t>
            </w:r>
          </w:p>
        </w:tc>
        <w:tc>
          <w:tcPr>
            <w:tcW w:w="2815" w:type="dxa"/>
            <w:tcBorders>
              <w:tl2br w:val="nil"/>
              <w:tr2bl w:val="nil"/>
            </w:tcBorders>
            <w:vAlign w:val="center"/>
          </w:tcPr>
          <w:p w14:paraId="75AC985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中小企业预留份额情况</w:t>
            </w:r>
          </w:p>
        </w:tc>
        <w:tc>
          <w:tcPr>
            <w:tcW w:w="5464" w:type="dxa"/>
            <w:tcBorders>
              <w:tl2br w:val="nil"/>
              <w:tr2bl w:val="nil"/>
            </w:tcBorders>
            <w:vAlign w:val="center"/>
          </w:tcPr>
          <w:p w14:paraId="795DC53B">
            <w:pPr>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根据《政府采购促进中小企业发展管理办法》财库〔2020〕46号文件的规定，本项目</w:t>
            </w:r>
            <w:r>
              <w:rPr>
                <w:rFonts w:hint="eastAsia" w:ascii="微软雅黑" w:hAnsi="微软雅黑" w:eastAsia="微软雅黑" w:cs="微软雅黑"/>
                <w:szCs w:val="21"/>
                <w:highlight w:val="none"/>
                <w:u w:val="single"/>
                <w:lang w:val="zh-CN"/>
              </w:rPr>
              <w:t>属于</w:t>
            </w:r>
            <w:r>
              <w:rPr>
                <w:rFonts w:hint="eastAsia" w:ascii="微软雅黑" w:hAnsi="微软雅黑" w:eastAsia="微软雅黑" w:cs="微软雅黑"/>
                <w:szCs w:val="21"/>
                <w:highlight w:val="none"/>
                <w:lang w:val="zh-CN"/>
              </w:rPr>
              <w:t>预留份额专门面向中小企业采购的项目。</w:t>
            </w:r>
          </w:p>
        </w:tc>
      </w:tr>
      <w:tr w14:paraId="154B7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11" w:hRule="atLeast"/>
          <w:tblHeader/>
        </w:trPr>
        <w:tc>
          <w:tcPr>
            <w:tcW w:w="629" w:type="dxa"/>
            <w:tcBorders>
              <w:tl2br w:val="nil"/>
              <w:tr2bl w:val="nil"/>
            </w:tcBorders>
            <w:vAlign w:val="center"/>
          </w:tcPr>
          <w:p w14:paraId="2C886F9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5</w:t>
            </w:r>
          </w:p>
        </w:tc>
        <w:tc>
          <w:tcPr>
            <w:tcW w:w="2815" w:type="dxa"/>
            <w:tcBorders>
              <w:tl2br w:val="nil"/>
              <w:tr2bl w:val="nil"/>
            </w:tcBorders>
            <w:vAlign w:val="center"/>
          </w:tcPr>
          <w:p w14:paraId="092D0A0F">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分包</w:t>
            </w:r>
          </w:p>
        </w:tc>
        <w:tc>
          <w:tcPr>
            <w:tcW w:w="5464" w:type="dxa"/>
            <w:tcBorders>
              <w:tl2br w:val="nil"/>
              <w:tr2bl w:val="nil"/>
            </w:tcBorders>
            <w:vAlign w:val="center"/>
          </w:tcPr>
          <w:p w14:paraId="1FE7A902">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lang w:val="zh-CN"/>
              </w:rPr>
              <w:t>A同意将非主体、非关键性的</w:t>
            </w:r>
            <w:r>
              <w:rPr>
                <w:rFonts w:hint="eastAsia" w:ascii="微软雅黑" w:hAnsi="微软雅黑" w:eastAsia="微软雅黑" w:cs="微软雅黑"/>
                <w:szCs w:val="21"/>
                <w:highlight w:val="none"/>
                <w:u w:val="single"/>
                <w:lang w:val="zh-CN"/>
              </w:rPr>
              <w:t xml:space="preserve">             </w:t>
            </w:r>
            <w:r>
              <w:rPr>
                <w:rFonts w:hint="eastAsia" w:ascii="微软雅黑" w:hAnsi="微软雅黑" w:eastAsia="微软雅黑" w:cs="微软雅黑"/>
                <w:szCs w:val="21"/>
                <w:highlight w:val="none"/>
                <w:lang w:val="zh-CN"/>
              </w:rPr>
              <w:t>工作分包。</w:t>
            </w: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lang w:val="zh-CN"/>
              </w:rPr>
              <w:t>B不同意分包。</w:t>
            </w:r>
          </w:p>
        </w:tc>
      </w:tr>
      <w:tr w14:paraId="6ECD8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0B254EA8">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6</w:t>
            </w:r>
          </w:p>
        </w:tc>
        <w:tc>
          <w:tcPr>
            <w:tcW w:w="2815" w:type="dxa"/>
            <w:tcBorders>
              <w:tl2br w:val="nil"/>
              <w:tr2bl w:val="nil"/>
            </w:tcBorders>
            <w:vAlign w:val="center"/>
          </w:tcPr>
          <w:p w14:paraId="3147429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开标前答疑会或现场踏勘</w:t>
            </w:r>
          </w:p>
        </w:tc>
        <w:tc>
          <w:tcPr>
            <w:tcW w:w="5464" w:type="dxa"/>
            <w:tcBorders>
              <w:tl2br w:val="nil"/>
              <w:tr2bl w:val="nil"/>
            </w:tcBorders>
            <w:vAlign w:val="center"/>
          </w:tcPr>
          <w:p w14:paraId="15D1B614">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lang w:val="zh-CN"/>
              </w:rPr>
              <w:t>A不组织。</w:t>
            </w:r>
          </w:p>
          <w:p w14:paraId="2942EB58">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szCs w:val="21"/>
                <w:highlight w:val="none"/>
                <w:lang w:val="zh-CN"/>
              </w:rPr>
              <w:t>B组织，时间：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地点：</w:t>
            </w:r>
            <w:r>
              <w:rPr>
                <w:rFonts w:hint="eastAsia" w:ascii="微软雅黑" w:hAnsi="微软雅黑" w:eastAsia="微软雅黑" w:cs="微软雅黑"/>
                <w:szCs w:val="21"/>
                <w:highlight w:val="none"/>
                <w:u w:val="single"/>
              </w:rPr>
              <w:t>嘉兴市**区**路**号**室</w:t>
            </w:r>
            <w:r>
              <w:rPr>
                <w:rFonts w:hint="eastAsia" w:ascii="微软雅黑" w:hAnsi="微软雅黑" w:eastAsia="微软雅黑" w:cs="微软雅黑"/>
                <w:szCs w:val="21"/>
                <w:highlight w:val="none"/>
                <w:lang w:val="zh-CN"/>
              </w:rPr>
              <w:t>，联系人：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联系方式：</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p>
          <w:p w14:paraId="074B4CCA">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本项目须进行现场踏勘（磋商文件中不能详细表述的不可预见费用、招标需求等，投标供应商需通过现场踏勘后考虑在最终报价内，否则后果由中标供应商自负）；</w:t>
            </w:r>
          </w:p>
        </w:tc>
      </w:tr>
      <w:tr w14:paraId="73B6A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5EFCF74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7</w:t>
            </w:r>
          </w:p>
        </w:tc>
        <w:tc>
          <w:tcPr>
            <w:tcW w:w="2815" w:type="dxa"/>
            <w:tcBorders>
              <w:tl2br w:val="nil"/>
              <w:tr2bl w:val="nil"/>
            </w:tcBorders>
            <w:vAlign w:val="center"/>
          </w:tcPr>
          <w:p w14:paraId="29A7D3E3">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响应文件</w:t>
            </w:r>
            <w:r>
              <w:rPr>
                <w:rFonts w:hint="eastAsia" w:ascii="微软雅黑" w:hAnsi="微软雅黑" w:eastAsia="微软雅黑" w:cs="微软雅黑"/>
                <w:b/>
                <w:szCs w:val="21"/>
                <w:highlight w:val="none"/>
                <w:lang w:val="zh-CN"/>
              </w:rPr>
              <w:t>组成</w:t>
            </w:r>
          </w:p>
        </w:tc>
        <w:tc>
          <w:tcPr>
            <w:tcW w:w="5464" w:type="dxa"/>
            <w:tcBorders>
              <w:tl2br w:val="nil"/>
              <w:tr2bl w:val="nil"/>
            </w:tcBorders>
            <w:vAlign w:val="center"/>
          </w:tcPr>
          <w:p w14:paraId="26786490">
            <w:pPr>
              <w:snapToGrid w:val="0"/>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电子</w:t>
            </w:r>
            <w:r>
              <w:rPr>
                <w:rFonts w:hint="eastAsia" w:ascii="微软雅黑" w:hAnsi="微软雅黑" w:eastAsia="微软雅黑" w:cs="微软雅黑"/>
                <w:szCs w:val="21"/>
                <w:highlight w:val="none"/>
              </w:rPr>
              <w:t>响应文件</w:t>
            </w:r>
            <w:r>
              <w:rPr>
                <w:rFonts w:hint="eastAsia" w:ascii="微软雅黑" w:hAnsi="微软雅黑" w:eastAsia="微软雅黑" w:cs="微软雅黑"/>
                <w:szCs w:val="21"/>
                <w:highlight w:val="none"/>
                <w:lang w:val="zh-CN"/>
              </w:rPr>
              <w:t>和备份</w:t>
            </w:r>
            <w:r>
              <w:rPr>
                <w:rFonts w:hint="eastAsia" w:ascii="微软雅黑" w:hAnsi="微软雅黑" w:eastAsia="微软雅黑" w:cs="微软雅黑"/>
                <w:szCs w:val="21"/>
                <w:highlight w:val="none"/>
              </w:rPr>
              <w:t>响应文件</w:t>
            </w:r>
            <w:r>
              <w:rPr>
                <w:rFonts w:hint="eastAsia" w:ascii="微软雅黑" w:hAnsi="微软雅黑" w:eastAsia="微软雅黑" w:cs="微软雅黑"/>
                <w:szCs w:val="21"/>
                <w:highlight w:val="none"/>
                <w:lang w:val="zh-CN"/>
              </w:rPr>
              <w:t>均由</w:t>
            </w:r>
            <w:r>
              <w:rPr>
                <w:rFonts w:hint="eastAsia" w:ascii="微软雅黑" w:hAnsi="微软雅黑" w:eastAsia="微软雅黑" w:cs="微软雅黑"/>
                <w:szCs w:val="21"/>
                <w:highlight w:val="none"/>
              </w:rPr>
              <w:t>资格</w:t>
            </w:r>
            <w:r>
              <w:rPr>
                <w:rFonts w:hint="eastAsia" w:ascii="微软雅黑" w:hAnsi="微软雅黑" w:eastAsia="微软雅黑" w:cs="微软雅黑"/>
                <w:szCs w:val="21"/>
                <w:highlight w:val="none"/>
                <w:lang w:val="zh-CN"/>
              </w:rPr>
              <w:t>文件、</w:t>
            </w:r>
            <w:r>
              <w:rPr>
                <w:rFonts w:hint="eastAsia" w:ascii="微软雅黑" w:hAnsi="微软雅黑" w:eastAsia="微软雅黑" w:cs="微软雅黑"/>
                <w:szCs w:val="21"/>
                <w:highlight w:val="none"/>
              </w:rPr>
              <w:t>商务</w:t>
            </w:r>
            <w:r>
              <w:rPr>
                <w:rFonts w:hint="eastAsia" w:ascii="微软雅黑" w:hAnsi="微软雅黑" w:eastAsia="微软雅黑" w:cs="微软雅黑"/>
                <w:szCs w:val="21"/>
                <w:highlight w:val="none"/>
                <w:lang w:val="zh-CN"/>
              </w:rPr>
              <w:t>技术文件及投标报价文件</w:t>
            </w:r>
            <w:r>
              <w:rPr>
                <w:rFonts w:hint="eastAsia" w:ascii="微软雅黑" w:hAnsi="微软雅黑" w:eastAsia="微软雅黑" w:cs="微软雅黑"/>
                <w:szCs w:val="21"/>
                <w:highlight w:val="none"/>
              </w:rPr>
              <w:t>三</w:t>
            </w:r>
            <w:r>
              <w:rPr>
                <w:rFonts w:hint="eastAsia" w:ascii="微软雅黑" w:hAnsi="微软雅黑" w:eastAsia="微软雅黑" w:cs="微软雅黑"/>
                <w:szCs w:val="21"/>
                <w:highlight w:val="none"/>
                <w:lang w:val="zh-CN"/>
              </w:rPr>
              <w:t>部分组成。</w:t>
            </w:r>
          </w:p>
        </w:tc>
      </w:tr>
      <w:tr w14:paraId="3633F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41DF0AE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8</w:t>
            </w:r>
          </w:p>
        </w:tc>
        <w:tc>
          <w:tcPr>
            <w:tcW w:w="2815" w:type="dxa"/>
            <w:tcBorders>
              <w:tl2br w:val="nil"/>
              <w:tr2bl w:val="nil"/>
            </w:tcBorders>
            <w:vAlign w:val="center"/>
          </w:tcPr>
          <w:p w14:paraId="24B1DD84">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lang w:val="zh-CN"/>
              </w:rPr>
              <w:t>开标时间及地点</w:t>
            </w:r>
          </w:p>
        </w:tc>
        <w:tc>
          <w:tcPr>
            <w:tcW w:w="5464" w:type="dxa"/>
            <w:tcBorders>
              <w:tl2br w:val="nil"/>
              <w:tr2bl w:val="nil"/>
            </w:tcBorders>
            <w:vAlign w:val="center"/>
          </w:tcPr>
          <w:p w14:paraId="3278AAE4">
            <w:pPr>
              <w:snapToGrid w:val="0"/>
              <w:ind w:firstLine="0" w:firstLineChars="0"/>
              <w:rPr>
                <w:rFonts w:hint="default" w:ascii="微软雅黑" w:hAnsi="微软雅黑" w:cs="微软雅黑"/>
                <w:sz w:val="21"/>
                <w:szCs w:val="21"/>
                <w:highlight w:val="none"/>
                <w:lang w:val="en-US" w:eastAsia="zh-CN"/>
              </w:rPr>
            </w:pPr>
            <w:r>
              <w:rPr>
                <w:rFonts w:hint="eastAsia" w:ascii="微软雅黑" w:hAnsi="微软雅黑" w:eastAsia="微软雅黑" w:cs="微软雅黑"/>
                <w:szCs w:val="21"/>
                <w:highlight w:val="none"/>
              </w:rPr>
              <w:t>时间： </w:t>
            </w:r>
            <w:r>
              <w:rPr>
                <w:rFonts w:hint="eastAsia" w:ascii="微软雅黑" w:hAnsi="微软雅黑" w:eastAsia="微软雅黑" w:cs="微软雅黑"/>
                <w:sz w:val="21"/>
                <w:szCs w:val="21"/>
                <w:highlight w:val="none"/>
              </w:rPr>
              <w:t>2025年</w:t>
            </w:r>
            <w:r>
              <w:rPr>
                <w:rFonts w:hint="eastAsia" w:ascii="微软雅黑" w:hAnsi="微软雅黑" w:cs="微软雅黑"/>
                <w:sz w:val="21"/>
                <w:szCs w:val="21"/>
                <w:highlight w:val="none"/>
                <w:lang w:val="en-US" w:eastAsia="zh-CN"/>
              </w:rPr>
              <w:t>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02</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 xml:space="preserve">14：00   </w:t>
            </w:r>
          </w:p>
          <w:p w14:paraId="4F48701A">
            <w:pPr>
              <w:snapToGrid w:val="0"/>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地点：政采云平台</w:t>
            </w:r>
          </w:p>
          <w:p w14:paraId="2901695E">
            <w:pPr>
              <w:snapToGrid w:val="0"/>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b/>
                <w:bCs/>
                <w:szCs w:val="21"/>
                <w:highlight w:val="none"/>
                <w:u w:val="single"/>
                <w:lang w:val="zh-CN"/>
              </w:rPr>
              <w:t>供应商无需到开标现场，但须准时在线参加，直至评审结束。</w:t>
            </w:r>
          </w:p>
        </w:tc>
      </w:tr>
      <w:tr w14:paraId="708D6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03DA24D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9</w:t>
            </w:r>
          </w:p>
        </w:tc>
        <w:tc>
          <w:tcPr>
            <w:tcW w:w="2815" w:type="dxa"/>
            <w:tcBorders>
              <w:tl2br w:val="nil"/>
              <w:tr2bl w:val="nil"/>
            </w:tcBorders>
            <w:vAlign w:val="center"/>
          </w:tcPr>
          <w:p w14:paraId="62C3B001">
            <w:pPr>
              <w:snapToGrid w:val="0"/>
              <w:ind w:firstLine="0" w:firstLineChars="0"/>
              <w:jc w:val="center"/>
              <w:rPr>
                <w:rFonts w:hint="eastAsia" w:ascii="微软雅黑" w:hAnsi="微软雅黑" w:eastAsia="微软雅黑" w:cs="微软雅黑"/>
                <w:bCs/>
                <w:szCs w:val="21"/>
                <w:highlight w:val="none"/>
              </w:rPr>
            </w:pPr>
            <w:r>
              <w:rPr>
                <w:rFonts w:hint="eastAsia" w:ascii="微软雅黑" w:hAnsi="微软雅黑" w:eastAsia="微软雅黑" w:cs="微软雅黑"/>
                <w:b/>
                <w:szCs w:val="21"/>
                <w:highlight w:val="none"/>
              </w:rPr>
              <w:t>方案讲解演示</w:t>
            </w:r>
          </w:p>
        </w:tc>
        <w:tc>
          <w:tcPr>
            <w:tcW w:w="5464" w:type="dxa"/>
            <w:tcBorders>
              <w:tl2br w:val="nil"/>
              <w:tr2bl w:val="nil"/>
            </w:tcBorders>
            <w:vAlign w:val="center"/>
          </w:tcPr>
          <w:p w14:paraId="08441226">
            <w:pPr>
              <w:snapToGrid w:val="0"/>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lang w:val="zh-CN"/>
              </w:rPr>
              <w:t>不组织。</w:t>
            </w:r>
          </w:p>
          <w:p w14:paraId="3678F1FB">
            <w:pPr>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szCs w:val="21"/>
                <w:highlight w:val="none"/>
                <w:lang w:val="zh-CN"/>
              </w:rPr>
              <w:t>B组织。</w:t>
            </w:r>
          </w:p>
          <w:p w14:paraId="58E7EA2C">
            <w:pPr>
              <w:ind w:firstLine="0" w:firstLineChars="0"/>
              <w:rPr>
                <w:rFonts w:hint="eastAsia" w:ascii="微软雅黑" w:hAnsi="微软雅黑" w:eastAsia="微软雅黑" w:cs="微软雅黑"/>
                <w:color w:val="000000"/>
                <w:szCs w:val="21"/>
                <w:highlight w:val="none"/>
              </w:rPr>
            </w:pPr>
            <w:r>
              <w:rPr>
                <w:rFonts w:hint="eastAsia" w:ascii="微软雅黑" w:hAnsi="微软雅黑" w:eastAsia="微软雅黑" w:cs="微软雅黑"/>
                <w:szCs w:val="21"/>
                <w:highlight w:val="none"/>
                <w:lang w:val="zh-CN"/>
              </w:rPr>
              <w:t>演示方式</w:t>
            </w:r>
            <w:r>
              <w:rPr>
                <w:rFonts w:hint="eastAsia" w:ascii="微软雅黑" w:hAnsi="微软雅黑" w:eastAsia="微软雅黑" w:cs="微软雅黑"/>
                <w:szCs w:val="21"/>
                <w:highlight w:val="none"/>
              </w:rPr>
              <w:t>详见第二章  磋商需求</w:t>
            </w:r>
            <w:r>
              <w:rPr>
                <w:rFonts w:hint="eastAsia" w:ascii="微软雅黑" w:hAnsi="微软雅黑" w:eastAsia="微软雅黑" w:cs="微软雅黑"/>
                <w:color w:val="000000"/>
                <w:szCs w:val="21"/>
                <w:highlight w:val="none"/>
              </w:rPr>
              <w:t>。</w:t>
            </w:r>
          </w:p>
          <w:p w14:paraId="540F7878">
            <w:pPr>
              <w:ind w:firstLine="0" w:firstLineChars="0"/>
              <w:rPr>
                <w:rFonts w:hint="eastAsia" w:ascii="微软雅黑" w:hAnsi="微软雅黑" w:eastAsia="微软雅黑" w:cs="微软雅黑"/>
                <w:highlight w:val="none"/>
              </w:rPr>
            </w:pPr>
            <w:r>
              <w:rPr>
                <w:rFonts w:hint="eastAsia" w:ascii="微软雅黑" w:hAnsi="微软雅黑" w:eastAsia="微软雅黑" w:cs="微软雅黑"/>
                <w:highlight w:val="none"/>
              </w:rPr>
              <w:t>地址：嘉兴市秀洲区新平路299号中禾广场</w:t>
            </w:r>
            <w:r>
              <w:rPr>
                <w:rFonts w:hint="eastAsia" w:ascii="微软雅黑" w:hAnsi="微软雅黑" w:cs="微软雅黑"/>
                <w:kern w:val="0"/>
                <w:szCs w:val="21"/>
                <w:highlight w:val="none"/>
                <w:lang w:val="en-US" w:eastAsia="zh-CN"/>
              </w:rPr>
              <w:t>23</w:t>
            </w:r>
            <w:r>
              <w:rPr>
                <w:rFonts w:hint="eastAsia" w:ascii="微软雅黑" w:hAnsi="微软雅黑" w:eastAsia="微软雅黑" w:cs="微软雅黑"/>
                <w:kern w:val="0"/>
                <w:szCs w:val="21"/>
                <w:highlight w:val="none"/>
              </w:rPr>
              <w:t>楼</w:t>
            </w:r>
          </w:p>
        </w:tc>
      </w:tr>
      <w:tr w14:paraId="00A90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CF3E9C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10</w:t>
            </w:r>
          </w:p>
        </w:tc>
        <w:tc>
          <w:tcPr>
            <w:tcW w:w="2815" w:type="dxa"/>
            <w:tcBorders>
              <w:tl2br w:val="nil"/>
              <w:tr2bl w:val="nil"/>
            </w:tcBorders>
            <w:vAlign w:val="center"/>
          </w:tcPr>
          <w:p w14:paraId="345BC35E">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项目属性与核心产品</w:t>
            </w:r>
          </w:p>
        </w:tc>
        <w:tc>
          <w:tcPr>
            <w:tcW w:w="5464" w:type="dxa"/>
            <w:tcBorders>
              <w:tl2br w:val="nil"/>
              <w:tr2bl w:val="nil"/>
            </w:tcBorders>
            <w:vAlign w:val="center"/>
          </w:tcPr>
          <w:p w14:paraId="3F62CBC9">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szCs w:val="21"/>
                <w:highlight w:val="none"/>
                <w:lang w:val="zh-CN"/>
              </w:rPr>
              <w:t>A货物类，核心产品为：</w:t>
            </w:r>
            <w:r>
              <w:rPr>
                <w:rFonts w:hint="eastAsia" w:ascii="微软雅黑" w:hAnsi="微软雅黑" w:eastAsia="微软雅黑" w:cs="微软雅黑"/>
                <w:kern w:val="0"/>
                <w:szCs w:val="21"/>
                <w:highlight w:val="none"/>
                <w:u w:val="single"/>
              </w:rPr>
              <w:t xml:space="preserve">             </w:t>
            </w:r>
          </w:p>
          <w:p w14:paraId="4C30A14E">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lang w:val="zh-CN"/>
              </w:rPr>
              <w:t>B服务类。</w:t>
            </w:r>
          </w:p>
        </w:tc>
      </w:tr>
      <w:tr w14:paraId="62849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02BD384">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11</w:t>
            </w:r>
          </w:p>
        </w:tc>
        <w:tc>
          <w:tcPr>
            <w:tcW w:w="2815" w:type="dxa"/>
            <w:tcBorders>
              <w:tl2br w:val="nil"/>
              <w:tr2bl w:val="nil"/>
            </w:tcBorders>
            <w:vAlign w:val="center"/>
          </w:tcPr>
          <w:p w14:paraId="5C5E65DD">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采购标的对应的中小企业划分标准所属行业</w:t>
            </w:r>
          </w:p>
        </w:tc>
        <w:tc>
          <w:tcPr>
            <w:tcW w:w="5464" w:type="dxa"/>
            <w:tcBorders>
              <w:tl2br w:val="nil"/>
              <w:tr2bl w:val="nil"/>
            </w:tcBorders>
            <w:vAlign w:val="center"/>
          </w:tcPr>
          <w:p w14:paraId="2C76BEDB">
            <w:pPr>
              <w:snapToGrid w:val="0"/>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标的：</w:t>
            </w:r>
            <w:r>
              <w:rPr>
                <w:rFonts w:hint="eastAsia" w:ascii="微软雅黑" w:hAnsi="微软雅黑" w:eastAsia="微软雅黑" w:cs="微软雅黑"/>
                <w:szCs w:val="21"/>
                <w:highlight w:val="none"/>
                <w:u w:val="single"/>
              </w:rPr>
              <w:t>旅游</w:t>
            </w:r>
            <w:r>
              <w:rPr>
                <w:rFonts w:hint="eastAsia" w:ascii="微软雅黑" w:hAnsi="微软雅黑" w:eastAsia="微软雅黑" w:cs="微软雅黑"/>
                <w:bCs/>
                <w:szCs w:val="21"/>
                <w:highlight w:val="none"/>
                <w:u w:val="single"/>
              </w:rPr>
              <w:t>服务</w:t>
            </w:r>
            <w:r>
              <w:rPr>
                <w:rFonts w:hint="eastAsia" w:ascii="微软雅黑" w:hAnsi="微软雅黑" w:eastAsia="微软雅黑" w:cs="微软雅黑"/>
                <w:highlight w:val="none"/>
              </w:rPr>
              <w:t>，属于</w:t>
            </w:r>
            <w:r>
              <w:rPr>
                <w:rFonts w:hint="eastAsia" w:ascii="微软雅黑" w:hAnsi="微软雅黑" w:eastAsia="微软雅黑" w:cs="微软雅黑"/>
                <w:szCs w:val="21"/>
                <w:highlight w:val="none"/>
                <w:u w:val="single"/>
              </w:rPr>
              <w:t>其他未列明行业</w:t>
            </w:r>
            <w:r>
              <w:rPr>
                <w:rFonts w:hint="eastAsia" w:ascii="微软雅黑" w:hAnsi="微软雅黑" w:eastAsia="微软雅黑" w:cs="微软雅黑"/>
                <w:highlight w:val="none"/>
              </w:rPr>
              <w:t>。</w:t>
            </w:r>
          </w:p>
        </w:tc>
      </w:tr>
      <w:tr w14:paraId="37F53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10" w:hRule="atLeast"/>
          <w:tblHeader/>
        </w:trPr>
        <w:tc>
          <w:tcPr>
            <w:tcW w:w="629" w:type="dxa"/>
            <w:tcBorders>
              <w:tl2br w:val="nil"/>
              <w:tr2bl w:val="nil"/>
            </w:tcBorders>
            <w:vAlign w:val="center"/>
          </w:tcPr>
          <w:p w14:paraId="147FEB4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12</w:t>
            </w:r>
          </w:p>
        </w:tc>
        <w:tc>
          <w:tcPr>
            <w:tcW w:w="2815" w:type="dxa"/>
            <w:tcBorders>
              <w:tl2br w:val="nil"/>
              <w:tr2bl w:val="nil"/>
            </w:tcBorders>
            <w:vAlign w:val="center"/>
          </w:tcPr>
          <w:p w14:paraId="0A726408">
            <w:pPr>
              <w:snapToGrid w:val="0"/>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b/>
                <w:szCs w:val="21"/>
                <w:highlight w:val="none"/>
              </w:rPr>
              <w:t>评标结果公告及中标通知书</w:t>
            </w:r>
          </w:p>
        </w:tc>
        <w:tc>
          <w:tcPr>
            <w:tcW w:w="5464" w:type="dxa"/>
            <w:tcBorders>
              <w:tl2br w:val="nil"/>
              <w:tr2bl w:val="nil"/>
            </w:tcBorders>
            <w:vAlign w:val="center"/>
          </w:tcPr>
          <w:p w14:paraId="61743AD4">
            <w:pPr>
              <w:autoSpaceDE w:val="0"/>
              <w:autoSpaceDN w:val="0"/>
              <w:snapToGrid w:val="0"/>
              <w:ind w:firstLine="0" w:firstLineChars="0"/>
              <w:textAlignment w:val="bottom"/>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评标结束后2个工作日内，评标结果公告于浙江政府采购网(http://www.zjzfcg.gov.cn/new/)</w:t>
            </w:r>
          </w:p>
          <w:p w14:paraId="4301D27F">
            <w:pPr>
              <w:autoSpaceDE w:val="0"/>
              <w:autoSpaceDN w:val="0"/>
              <w:snapToGrid w:val="0"/>
              <w:ind w:firstLine="0" w:firstLineChars="0"/>
              <w:textAlignment w:val="bottom"/>
              <w:rPr>
                <w:rFonts w:hint="eastAsia" w:ascii="微软雅黑" w:hAnsi="微软雅黑" w:eastAsia="微软雅黑" w:cs="微软雅黑"/>
                <w:snapToGrid w:val="0"/>
                <w:kern w:val="28"/>
                <w:szCs w:val="21"/>
                <w:highlight w:val="none"/>
              </w:rPr>
            </w:pPr>
            <w:r>
              <w:rPr>
                <w:rFonts w:hint="eastAsia" w:ascii="微软雅黑" w:hAnsi="微软雅黑" w:eastAsia="微软雅黑" w:cs="微软雅黑"/>
                <w:kern w:val="0"/>
                <w:szCs w:val="21"/>
                <w:highlight w:val="none"/>
              </w:rPr>
              <w:t>中标公告期限为1个工作日</w:t>
            </w:r>
            <w:r>
              <w:rPr>
                <w:rFonts w:hint="eastAsia" w:ascii="微软雅黑" w:hAnsi="微软雅黑" w:eastAsia="微软雅黑" w:cs="微软雅黑"/>
                <w:b/>
                <w:bCs/>
                <w:szCs w:val="21"/>
                <w:highlight w:val="none"/>
              </w:rPr>
              <w:t>（中标供应商为小微企业的，其中小企业声明函将随中标结果同时公告）</w:t>
            </w:r>
            <w:r>
              <w:rPr>
                <w:rFonts w:hint="eastAsia" w:ascii="微软雅黑" w:hAnsi="微软雅黑" w:eastAsia="微软雅黑" w:cs="微软雅黑"/>
                <w:kern w:val="0"/>
                <w:szCs w:val="21"/>
                <w:highlight w:val="none"/>
              </w:rPr>
              <w:t>。在公告中标结果的同时，代理机构在政采云系统向中标供应商发出中标通知书。</w:t>
            </w:r>
          </w:p>
        </w:tc>
      </w:tr>
      <w:tr w14:paraId="6F02D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79" w:hRule="atLeast"/>
          <w:tblHeader/>
        </w:trPr>
        <w:tc>
          <w:tcPr>
            <w:tcW w:w="629" w:type="dxa"/>
            <w:tcBorders>
              <w:tl2br w:val="nil"/>
              <w:tr2bl w:val="nil"/>
            </w:tcBorders>
            <w:vAlign w:val="center"/>
          </w:tcPr>
          <w:p w14:paraId="559ED0B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13</w:t>
            </w:r>
          </w:p>
        </w:tc>
        <w:tc>
          <w:tcPr>
            <w:tcW w:w="2815" w:type="dxa"/>
            <w:tcBorders>
              <w:tl2br w:val="nil"/>
              <w:tr2bl w:val="nil"/>
            </w:tcBorders>
            <w:vAlign w:val="center"/>
          </w:tcPr>
          <w:p w14:paraId="48BA72EB">
            <w:pPr>
              <w:autoSpaceDE w:val="0"/>
              <w:autoSpaceDN w:val="0"/>
              <w:snapToGrid w:val="0"/>
              <w:ind w:firstLine="0" w:firstLineChars="0"/>
              <w:jc w:val="center"/>
              <w:textAlignment w:val="bottom"/>
              <w:rPr>
                <w:rFonts w:hint="eastAsia" w:ascii="微软雅黑" w:hAnsi="微软雅黑" w:eastAsia="微软雅黑" w:cs="微软雅黑"/>
                <w:kern w:val="0"/>
                <w:szCs w:val="21"/>
                <w:highlight w:val="none"/>
              </w:rPr>
            </w:pPr>
            <w:r>
              <w:rPr>
                <w:rFonts w:hint="eastAsia" w:ascii="微软雅黑" w:hAnsi="微软雅黑" w:eastAsia="微软雅黑" w:cs="微软雅黑"/>
                <w:b/>
                <w:szCs w:val="21"/>
                <w:highlight w:val="none"/>
              </w:rPr>
              <w:t>履约保证金</w:t>
            </w:r>
          </w:p>
        </w:tc>
        <w:tc>
          <w:tcPr>
            <w:tcW w:w="5464" w:type="dxa"/>
            <w:tcBorders>
              <w:tl2br w:val="nil"/>
              <w:tr2bl w:val="nil"/>
            </w:tcBorders>
            <w:vAlign w:val="center"/>
          </w:tcPr>
          <w:p w14:paraId="33D78B2C">
            <w:pPr>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lang w:val="zh-CN"/>
              </w:rPr>
              <w:t>无</w:t>
            </w:r>
            <w:r>
              <w:rPr>
                <w:rFonts w:hint="eastAsia" w:ascii="微软雅黑" w:hAnsi="微软雅黑" w:eastAsia="微软雅黑" w:cs="微软雅黑"/>
                <w:szCs w:val="21"/>
                <w:highlight w:val="none"/>
              </w:rPr>
              <w:t>。</w:t>
            </w:r>
          </w:p>
        </w:tc>
      </w:tr>
      <w:tr w14:paraId="28AB2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tblHeader/>
        </w:trPr>
        <w:tc>
          <w:tcPr>
            <w:tcW w:w="629" w:type="dxa"/>
            <w:tcBorders>
              <w:tl2br w:val="nil"/>
              <w:tr2bl w:val="nil"/>
            </w:tcBorders>
            <w:vAlign w:val="center"/>
          </w:tcPr>
          <w:p w14:paraId="5BDB42F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14</w:t>
            </w:r>
          </w:p>
        </w:tc>
        <w:tc>
          <w:tcPr>
            <w:tcW w:w="2815" w:type="dxa"/>
            <w:tcBorders>
              <w:tl2br w:val="nil"/>
              <w:tr2bl w:val="nil"/>
            </w:tcBorders>
            <w:vAlign w:val="center"/>
          </w:tcPr>
          <w:p w14:paraId="05A58EFF">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签订合同时间</w:t>
            </w:r>
          </w:p>
        </w:tc>
        <w:tc>
          <w:tcPr>
            <w:tcW w:w="5464" w:type="dxa"/>
            <w:tcBorders>
              <w:tl2br w:val="nil"/>
              <w:tr2bl w:val="nil"/>
            </w:tcBorders>
            <w:vAlign w:val="center"/>
          </w:tcPr>
          <w:p w14:paraId="3B6B911F">
            <w:pPr>
              <w:autoSpaceDE w:val="0"/>
              <w:autoSpaceDN w:val="0"/>
              <w:snapToGrid w:val="0"/>
              <w:ind w:firstLine="0" w:firstLineChars="0"/>
              <w:textAlignment w:val="bottom"/>
              <w:rPr>
                <w:rFonts w:hint="eastAsia" w:ascii="微软雅黑" w:hAnsi="微软雅黑" w:eastAsia="微软雅黑" w:cs="微软雅黑"/>
                <w:strike/>
                <w:kern w:val="28"/>
                <w:szCs w:val="21"/>
                <w:highlight w:val="none"/>
              </w:rPr>
            </w:pPr>
            <w:r>
              <w:rPr>
                <w:rFonts w:hint="eastAsia" w:ascii="微软雅黑" w:hAnsi="微软雅黑" w:eastAsia="微软雅黑" w:cs="微软雅黑"/>
                <w:szCs w:val="21"/>
                <w:highlight w:val="none"/>
              </w:rPr>
              <w:t>中标通知书发出后30日内。</w:t>
            </w:r>
            <w:r>
              <w:rPr>
                <w:rFonts w:hint="eastAsia" w:ascii="微软雅黑" w:hAnsi="微软雅黑" w:eastAsia="微软雅黑" w:cs="微软雅黑"/>
                <w:kern w:val="0"/>
                <w:szCs w:val="21"/>
                <w:highlight w:val="none"/>
              </w:rPr>
              <w:t>建议采购人在对采购结果质疑期（自采购结果公告之日起七个工作日）后与中标供应商签订政府采购合同。</w:t>
            </w:r>
          </w:p>
        </w:tc>
      </w:tr>
      <w:tr w14:paraId="1FE17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29" w:hRule="atLeast"/>
          <w:tblHeader/>
        </w:trPr>
        <w:tc>
          <w:tcPr>
            <w:tcW w:w="629" w:type="dxa"/>
            <w:tcBorders>
              <w:tl2br w:val="nil"/>
              <w:tr2bl w:val="nil"/>
            </w:tcBorders>
            <w:vAlign w:val="center"/>
          </w:tcPr>
          <w:p w14:paraId="49E471D3">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15</w:t>
            </w:r>
          </w:p>
        </w:tc>
        <w:tc>
          <w:tcPr>
            <w:tcW w:w="2815" w:type="dxa"/>
            <w:tcBorders>
              <w:tl2br w:val="nil"/>
              <w:tr2bl w:val="nil"/>
            </w:tcBorders>
            <w:vAlign w:val="center"/>
          </w:tcPr>
          <w:p w14:paraId="5BEF8231">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本项目预算金额</w:t>
            </w:r>
          </w:p>
        </w:tc>
        <w:tc>
          <w:tcPr>
            <w:tcW w:w="5464" w:type="dxa"/>
            <w:tcBorders>
              <w:tl2br w:val="nil"/>
              <w:tr2bl w:val="nil"/>
            </w:tcBorders>
            <w:vAlign w:val="center"/>
          </w:tcPr>
          <w:p w14:paraId="0E628A24">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预算价为人民币</w:t>
            </w:r>
            <w:r>
              <w:rPr>
                <w:rFonts w:hint="eastAsia" w:ascii="微软雅黑" w:hAnsi="微软雅黑" w:cs="微软雅黑"/>
                <w:szCs w:val="21"/>
                <w:highlight w:val="none"/>
                <w:lang w:val="en-US" w:eastAsia="zh-CN"/>
              </w:rPr>
              <w:t>348000.00</w:t>
            </w:r>
            <w:r>
              <w:rPr>
                <w:rFonts w:hint="eastAsia" w:ascii="微软雅黑" w:hAnsi="微软雅黑" w:eastAsia="微软雅黑" w:cs="微软雅黑"/>
                <w:szCs w:val="21"/>
                <w:highlight w:val="none"/>
              </w:rPr>
              <w:t>元</w:t>
            </w:r>
          </w:p>
          <w:p w14:paraId="755A2F9D">
            <w:pPr>
              <w:ind w:firstLine="0" w:firstLineChars="0"/>
              <w:rPr>
                <w:rFonts w:hint="eastAsia" w:ascii="微软雅黑" w:hAnsi="微软雅黑" w:eastAsia="微软雅黑" w:cs="微软雅黑"/>
                <w:strike/>
                <w:kern w:val="28"/>
                <w:szCs w:val="21"/>
                <w:highlight w:val="none"/>
              </w:rPr>
            </w:pPr>
            <w:r>
              <w:rPr>
                <w:rFonts w:hint="eastAsia" w:ascii="微软雅黑" w:hAnsi="微软雅黑" w:eastAsia="微软雅黑" w:cs="微软雅黑"/>
                <w:szCs w:val="21"/>
                <w:highlight w:val="none"/>
              </w:rPr>
              <w:t>最高限价为每条线路的预估金额，超预估金额的响应文件无效。</w:t>
            </w:r>
          </w:p>
        </w:tc>
      </w:tr>
      <w:tr w14:paraId="55164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28B0F85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16</w:t>
            </w:r>
          </w:p>
        </w:tc>
        <w:tc>
          <w:tcPr>
            <w:tcW w:w="2815" w:type="dxa"/>
            <w:tcBorders>
              <w:tl2br w:val="nil"/>
              <w:tr2bl w:val="nil"/>
            </w:tcBorders>
            <w:vAlign w:val="center"/>
          </w:tcPr>
          <w:p w14:paraId="283392C5">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响应文件有效期</w:t>
            </w:r>
          </w:p>
        </w:tc>
        <w:tc>
          <w:tcPr>
            <w:tcW w:w="5464" w:type="dxa"/>
            <w:tcBorders>
              <w:tl2br w:val="nil"/>
              <w:tr2bl w:val="nil"/>
            </w:tcBorders>
            <w:vAlign w:val="center"/>
          </w:tcPr>
          <w:p w14:paraId="5D926AC1">
            <w:pPr>
              <w:autoSpaceDE w:val="0"/>
              <w:autoSpaceDN w:val="0"/>
              <w:snapToGrid w:val="0"/>
              <w:ind w:firstLine="0" w:firstLineChars="0"/>
              <w:textAlignment w:val="bottom"/>
              <w:rPr>
                <w:rFonts w:hint="eastAsia" w:ascii="微软雅黑" w:hAnsi="微软雅黑" w:eastAsia="微软雅黑" w:cs="微软雅黑"/>
                <w:strike/>
                <w:kern w:val="28"/>
                <w:szCs w:val="21"/>
                <w:highlight w:val="none"/>
              </w:rPr>
            </w:pPr>
            <w:r>
              <w:rPr>
                <w:rFonts w:hint="eastAsia" w:ascii="微软雅黑" w:hAnsi="微软雅黑" w:eastAsia="微软雅黑" w:cs="微软雅黑"/>
                <w:szCs w:val="21"/>
                <w:highlight w:val="none"/>
                <w:u w:val="single"/>
              </w:rPr>
              <w:t>90</w:t>
            </w:r>
            <w:r>
              <w:rPr>
                <w:rFonts w:hint="eastAsia" w:ascii="微软雅黑" w:hAnsi="微软雅黑" w:eastAsia="微软雅黑" w:cs="微软雅黑"/>
                <w:szCs w:val="21"/>
                <w:highlight w:val="none"/>
              </w:rPr>
              <w:t>天</w:t>
            </w:r>
          </w:p>
        </w:tc>
      </w:tr>
      <w:tr w14:paraId="58941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53268990">
            <w:pPr>
              <w:snapToGrid w:val="0"/>
              <w:spacing w:line="276" w:lineRule="auto"/>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17</w:t>
            </w:r>
          </w:p>
        </w:tc>
        <w:tc>
          <w:tcPr>
            <w:tcW w:w="2815" w:type="dxa"/>
            <w:tcBorders>
              <w:tl2br w:val="nil"/>
              <w:tr2bl w:val="nil"/>
            </w:tcBorders>
            <w:vAlign w:val="center"/>
          </w:tcPr>
          <w:p w14:paraId="08782E49">
            <w:pPr>
              <w:snapToGrid w:val="0"/>
              <w:spacing w:line="276" w:lineRule="auto"/>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ab/>
            </w:r>
            <w:r>
              <w:rPr>
                <w:rFonts w:hint="eastAsia" w:ascii="微软雅黑" w:hAnsi="微软雅黑" w:eastAsia="微软雅黑" w:cs="微软雅黑"/>
                <w:b/>
                <w:szCs w:val="21"/>
                <w:highlight w:val="none"/>
              </w:rPr>
              <w:t>政策优惠</w:t>
            </w:r>
            <w:r>
              <w:rPr>
                <w:rFonts w:hint="eastAsia" w:ascii="微软雅黑" w:hAnsi="微软雅黑" w:eastAsia="微软雅黑" w:cs="微软雅黑"/>
                <w:b/>
                <w:szCs w:val="21"/>
                <w:highlight w:val="none"/>
              </w:rPr>
              <w:tab/>
            </w:r>
          </w:p>
        </w:tc>
        <w:tc>
          <w:tcPr>
            <w:tcW w:w="5464" w:type="dxa"/>
            <w:tcBorders>
              <w:tl2br w:val="nil"/>
              <w:tr2bl w:val="nil"/>
            </w:tcBorders>
            <w:vAlign w:val="center"/>
          </w:tcPr>
          <w:p w14:paraId="05945940">
            <w:pPr>
              <w:autoSpaceDE w:val="0"/>
              <w:autoSpaceDN w:val="0"/>
              <w:snapToGrid w:val="0"/>
              <w:spacing w:line="276" w:lineRule="auto"/>
              <w:ind w:firstLine="0" w:firstLineChars="0"/>
              <w:textAlignment w:val="bottom"/>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zCs w:val="21"/>
                <w:highlight w:val="none"/>
              </w:rPr>
              <w:t>1.根据财库〔2020〕46号、财库〔2022〕19号等相关规定，在评审时对于未预留份额专门面向中小企业的政府采购货物或服务项目，以及预留份额政府采购货物或服务项目中的非预留部分标项，对小型和微型企业的</w:t>
            </w:r>
            <w:r>
              <w:rPr>
                <w:rFonts w:hint="eastAsia" w:ascii="微软雅黑" w:hAnsi="微软雅黑" w:eastAsia="微软雅黑" w:cs="微软雅黑"/>
                <w:szCs w:val="21"/>
                <w:highlight w:val="none"/>
                <w:lang w:val="en"/>
              </w:rPr>
              <w:t>投标报价给予</w:t>
            </w: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lang w:val="en"/>
              </w:rPr>
              <w:t>0%的扣除</w:t>
            </w:r>
            <w:r>
              <w:rPr>
                <w:rFonts w:hint="eastAsia" w:ascii="微软雅黑" w:hAnsi="微软雅黑" w:eastAsia="微软雅黑" w:cs="微软雅黑"/>
                <w:szCs w:val="21"/>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w:t>
            </w:r>
            <w:r>
              <w:rPr>
                <w:rFonts w:hint="eastAsia" w:ascii="微软雅黑" w:hAnsi="微软雅黑" w:eastAsia="微软雅黑" w:cs="微软雅黑"/>
                <w:szCs w:val="21"/>
                <w:highlight w:val="none"/>
                <w:lang w:val="en"/>
              </w:rPr>
              <w:t>6</w:t>
            </w:r>
            <w:r>
              <w:rPr>
                <w:rFonts w:hint="eastAsia" w:ascii="微软雅黑" w:hAnsi="微软雅黑" w:eastAsia="微软雅黑" w:cs="微软雅黑"/>
                <w:szCs w:val="21"/>
                <w:highlight w:val="none"/>
              </w:rPr>
              <w:t>%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27309E9B">
            <w:pPr>
              <w:tabs>
                <w:tab w:val="left" w:pos="3870"/>
                <w:tab w:val="left" w:pos="4085"/>
              </w:tabs>
              <w:snapToGrid w:val="0"/>
              <w:spacing w:line="276" w:lineRule="auto"/>
              <w:ind w:firstLine="0" w:firstLineChars="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F41562F">
            <w:pPr>
              <w:autoSpaceDE w:val="0"/>
              <w:autoSpaceDN w:val="0"/>
              <w:snapToGrid w:val="0"/>
              <w:spacing w:line="276" w:lineRule="auto"/>
              <w:ind w:firstLine="0" w:firstLineChars="0"/>
              <w:textAlignment w:val="bottom"/>
              <w:rPr>
                <w:rFonts w:hint="eastAsia" w:ascii="微软雅黑" w:hAnsi="微软雅黑" w:eastAsia="微软雅黑" w:cs="微软雅黑"/>
                <w:szCs w:val="21"/>
                <w:highlight w:val="none"/>
                <w:u w:val="single"/>
              </w:rPr>
            </w:pPr>
            <w:r>
              <w:rPr>
                <w:rFonts w:hint="eastAsia" w:ascii="微软雅黑" w:hAnsi="微软雅黑" w:eastAsia="微软雅黑" w:cs="微软雅黑"/>
                <w:snapToGrid w:val="0"/>
                <w:kern w:val="0"/>
                <w:szCs w:val="21"/>
                <w:highlight w:val="none"/>
              </w:rPr>
              <w:t>3.监狱企业同视为小型、微型企业，享受中小企业政策扶持。</w:t>
            </w:r>
          </w:p>
        </w:tc>
      </w:tr>
      <w:tr w14:paraId="7EC47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34" w:hRule="atLeast"/>
          <w:tblHeader/>
        </w:trPr>
        <w:tc>
          <w:tcPr>
            <w:tcW w:w="629" w:type="dxa"/>
            <w:tcBorders>
              <w:tl2br w:val="nil"/>
              <w:tr2bl w:val="nil"/>
            </w:tcBorders>
            <w:vAlign w:val="center"/>
          </w:tcPr>
          <w:p w14:paraId="43BEF731">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18</w:t>
            </w:r>
          </w:p>
        </w:tc>
        <w:tc>
          <w:tcPr>
            <w:tcW w:w="2815" w:type="dxa"/>
            <w:tcBorders>
              <w:tl2br w:val="nil"/>
              <w:tr2bl w:val="nil"/>
            </w:tcBorders>
            <w:vAlign w:val="center"/>
          </w:tcPr>
          <w:p w14:paraId="101DED05">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特别说明</w:t>
            </w:r>
          </w:p>
        </w:tc>
        <w:tc>
          <w:tcPr>
            <w:tcW w:w="5464" w:type="dxa"/>
            <w:tcBorders>
              <w:tl2br w:val="nil"/>
              <w:tr2bl w:val="nil"/>
            </w:tcBorders>
            <w:vAlign w:val="center"/>
          </w:tcPr>
          <w:p w14:paraId="671A809A">
            <w:pPr>
              <w:autoSpaceDE w:val="0"/>
              <w:autoSpaceDN w:val="0"/>
              <w:snapToGrid w:val="0"/>
              <w:ind w:firstLine="0" w:firstLineChars="0"/>
              <w:textAlignment w:val="bottom"/>
              <w:rPr>
                <w:rFonts w:hint="eastAsia" w:ascii="微软雅黑" w:hAnsi="微软雅黑" w:eastAsia="微软雅黑" w:cs="微软雅黑"/>
                <w:strike/>
                <w:kern w:val="28"/>
                <w:szCs w:val="21"/>
                <w:highlight w:val="none"/>
              </w:rPr>
            </w:pPr>
            <w:r>
              <w:rPr>
                <w:rFonts w:hint="eastAsia" w:ascii="微软雅黑" w:hAnsi="微软雅黑" w:eastAsia="微软雅黑" w:cs="微软雅黑"/>
                <w:snapToGrid w:val="0"/>
                <w:kern w:val="0"/>
                <w:szCs w:val="21"/>
                <w:highlight w:val="none"/>
              </w:rPr>
              <w:t>本磋商文件的解释权属于采购人</w:t>
            </w:r>
          </w:p>
        </w:tc>
      </w:tr>
    </w:tbl>
    <w:p w14:paraId="534C8BD1">
      <w:pPr>
        <w:pStyle w:val="6"/>
        <w:ind w:firstLine="420"/>
        <w:rPr>
          <w:rFonts w:hint="eastAsia" w:ascii="微软雅黑" w:hAnsi="微软雅黑" w:eastAsia="微软雅黑" w:cs="微软雅黑"/>
          <w:szCs w:val="21"/>
          <w:highlight w:val="none"/>
        </w:rPr>
      </w:pPr>
      <w:bookmarkStart w:id="35" w:name="_Toc177870536"/>
      <w:bookmarkStart w:id="36" w:name="_Toc10112"/>
      <w:bookmarkStart w:id="37" w:name="_Toc493511580"/>
      <w:r>
        <w:rPr>
          <w:rFonts w:hint="eastAsia" w:ascii="微软雅黑" w:hAnsi="微软雅黑" w:eastAsia="微软雅黑" w:cs="微软雅黑"/>
          <w:szCs w:val="21"/>
          <w:highlight w:val="none"/>
        </w:rPr>
        <w:t>一、总  则</w:t>
      </w:r>
      <w:bookmarkEnd w:id="35"/>
      <w:bookmarkEnd w:id="36"/>
      <w:bookmarkEnd w:id="37"/>
    </w:p>
    <w:p w14:paraId="3A9CB182">
      <w:pPr>
        <w:snapToGrid w:val="0"/>
        <w:ind w:firstLine="412" w:firstLineChars="196"/>
        <w:outlineLvl w:val="2"/>
        <w:rPr>
          <w:rFonts w:hint="eastAsia" w:ascii="微软雅黑" w:hAnsi="微软雅黑" w:eastAsia="微软雅黑" w:cs="微软雅黑"/>
          <w:b/>
          <w:szCs w:val="21"/>
          <w:highlight w:val="none"/>
        </w:rPr>
      </w:pPr>
      <w:bookmarkStart w:id="38" w:name="_Toc164943190"/>
      <w:bookmarkStart w:id="39" w:name="_Toc397670948"/>
      <w:bookmarkStart w:id="40" w:name="_Toc397670919"/>
      <w:bookmarkStart w:id="41" w:name="_Toc177870544"/>
      <w:bookmarkStart w:id="42" w:name="_Toc493511613"/>
      <w:r>
        <w:rPr>
          <w:rFonts w:hint="eastAsia" w:ascii="微软雅黑" w:hAnsi="微软雅黑" w:eastAsia="微软雅黑" w:cs="微软雅黑"/>
          <w:b/>
          <w:szCs w:val="21"/>
          <w:highlight w:val="none"/>
        </w:rPr>
        <w:t>（一）适用范围</w:t>
      </w:r>
      <w:bookmarkEnd w:id="38"/>
    </w:p>
    <w:p w14:paraId="2852A73D">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本磋商文件适用于该项目的招标、投标、评标、定标、验收、合同履约、付款等行为（法律、法规另有规定的，从其规定）。</w:t>
      </w:r>
    </w:p>
    <w:p w14:paraId="05E68EEE">
      <w:pPr>
        <w:snapToGrid w:val="0"/>
        <w:ind w:firstLine="309" w:firstLineChars="147"/>
        <w:outlineLvl w:val="2"/>
        <w:rPr>
          <w:rFonts w:hint="eastAsia" w:ascii="微软雅黑" w:hAnsi="微软雅黑" w:eastAsia="微软雅黑" w:cs="微软雅黑"/>
          <w:b/>
          <w:szCs w:val="21"/>
          <w:highlight w:val="none"/>
        </w:rPr>
      </w:pPr>
      <w:bookmarkStart w:id="43" w:name="_Toc164943191"/>
      <w:r>
        <w:rPr>
          <w:rFonts w:hint="eastAsia" w:ascii="微软雅黑" w:hAnsi="微软雅黑" w:eastAsia="微软雅黑" w:cs="微软雅黑"/>
          <w:b/>
          <w:szCs w:val="21"/>
          <w:highlight w:val="none"/>
        </w:rPr>
        <w:t>（二）定义</w:t>
      </w:r>
      <w:bookmarkEnd w:id="43"/>
    </w:p>
    <w:p w14:paraId="7905E3AD">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“采购人”系指招标公告中载明的本项目的采购人。</w:t>
      </w:r>
    </w:p>
    <w:p w14:paraId="71FC4BEC">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“采购代理机构”系指招标公告中载明的本项目的采购代理机构</w:t>
      </w:r>
    </w:p>
    <w:p w14:paraId="76F9821C">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“供应商”系指是指响应招标、参加投标竞争的法人、其他组织或者自然人。</w:t>
      </w:r>
    </w:p>
    <w:p w14:paraId="5D01633B">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“负责人”系指法人企业的法定负责人，或其他组织为法律、行政法规规定代表单位行使职权的主要负责人，或自然人本人。</w:t>
      </w:r>
    </w:p>
    <w:p w14:paraId="1948C067">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“产品”系指供方按磋商文件规定，须向采购人提供的一切设备、保险、税金、备品备件、工具、手册及其他有关技术资料和材料。</w:t>
      </w:r>
    </w:p>
    <w:p w14:paraId="1709ED76">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“服务”系指磋商文件规定投标供应商须承担的安装、调试、技术协助、校准、培训、技术指导以及其他类似的义务。</w:t>
      </w:r>
    </w:p>
    <w:p w14:paraId="72E78AA0">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“项目”系指投标供应商按磋商文件规定向采购人提供的产品和服务。</w:t>
      </w:r>
    </w:p>
    <w:p w14:paraId="37BE1642">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“书面形式”包括信函、传真、电报等。</w:t>
      </w:r>
    </w:p>
    <w:p w14:paraId="1268BED1">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“电子签名”系指数据电文中以电子形式所含、所附用于识别签名人身份并表明签名人认可其中内容的数据；“公章”系指单位法定名称章。</w:t>
      </w:r>
    </w:p>
    <w:p w14:paraId="576D0D6C">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“电子交易平台”是指本项目政府采购活动所依托的政府采购云平台（https://www.zcygov.cn/）。</w:t>
      </w:r>
    </w:p>
    <w:p w14:paraId="0DA8DC9A">
      <w:pPr>
        <w:numPr>
          <w:ilvl w:val="0"/>
          <w:numId w:val="14"/>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“▲”系指实质性要求条款，不满足实行性要求条款的响应文件无效。“★”系指产品采购项目中核心产品。“</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rPr>
        <w:t>” 系指适用本项目的要求，“</w:t>
      </w:r>
      <w:r>
        <w:rPr>
          <w:rFonts w:hint="eastAsia" w:ascii="微软雅黑" w:hAnsi="微软雅黑" w:eastAsia="微软雅黑" w:cs="微软雅黑"/>
          <w:szCs w:val="21"/>
          <w:highlight w:val="none"/>
        </w:rPr>
        <w:sym w:font="Wingdings" w:char="00A8"/>
      </w:r>
      <w:r>
        <w:rPr>
          <w:rFonts w:hint="eastAsia" w:ascii="微软雅黑" w:hAnsi="微软雅黑" w:eastAsia="微软雅黑" w:cs="微软雅黑"/>
          <w:szCs w:val="21"/>
          <w:highlight w:val="none"/>
        </w:rPr>
        <w:t>” 系指不适用本项目的要求。</w:t>
      </w:r>
    </w:p>
    <w:bookmarkEnd w:id="39"/>
    <w:bookmarkEnd w:id="40"/>
    <w:p w14:paraId="2223B6CC">
      <w:pPr>
        <w:snapToGrid w:val="0"/>
        <w:ind w:firstLine="412" w:firstLineChars="196"/>
        <w:outlineLvl w:val="2"/>
        <w:rPr>
          <w:rFonts w:hint="eastAsia" w:ascii="微软雅黑" w:hAnsi="微软雅黑" w:eastAsia="微软雅黑" w:cs="微软雅黑"/>
          <w:b/>
          <w:szCs w:val="21"/>
          <w:highlight w:val="none"/>
        </w:rPr>
      </w:pPr>
      <w:bookmarkStart w:id="44" w:name="_Toc164943192"/>
      <w:bookmarkStart w:id="45" w:name="_Toc397670949"/>
      <w:bookmarkStart w:id="46" w:name="_Toc397670920"/>
      <w:r>
        <w:rPr>
          <w:rFonts w:hint="eastAsia" w:ascii="微软雅黑" w:hAnsi="微软雅黑" w:eastAsia="微软雅黑" w:cs="微软雅黑"/>
          <w:b/>
          <w:szCs w:val="21"/>
          <w:highlight w:val="none"/>
        </w:rPr>
        <w:t>（三）采购方式</w:t>
      </w:r>
      <w:bookmarkEnd w:id="44"/>
    </w:p>
    <w:p w14:paraId="4F286216">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本次招标采用竞争性磋商采购方式进行。</w:t>
      </w:r>
    </w:p>
    <w:bookmarkEnd w:id="45"/>
    <w:bookmarkEnd w:id="46"/>
    <w:p w14:paraId="5B47C5C0">
      <w:pPr>
        <w:snapToGrid w:val="0"/>
        <w:spacing w:before="120" w:beforeLines="50"/>
        <w:ind w:firstLine="412" w:firstLineChars="196"/>
        <w:outlineLvl w:val="2"/>
        <w:rPr>
          <w:rFonts w:hint="eastAsia" w:ascii="微软雅黑" w:hAnsi="微软雅黑" w:eastAsia="微软雅黑" w:cs="微软雅黑"/>
          <w:b/>
          <w:szCs w:val="21"/>
          <w:highlight w:val="none"/>
        </w:rPr>
      </w:pPr>
      <w:bookmarkStart w:id="47" w:name="_Toc164943193"/>
      <w:bookmarkStart w:id="48" w:name="_Toc397670921"/>
      <w:bookmarkStart w:id="49" w:name="_Toc397670950"/>
      <w:r>
        <w:rPr>
          <w:rFonts w:hint="eastAsia" w:ascii="微软雅黑" w:hAnsi="微软雅黑" w:eastAsia="微软雅黑" w:cs="微软雅黑"/>
          <w:b/>
          <w:szCs w:val="21"/>
          <w:highlight w:val="none"/>
        </w:rPr>
        <w:t>（四）磋商费用</w:t>
      </w:r>
      <w:bookmarkEnd w:id="47"/>
      <w:bookmarkEnd w:id="48"/>
      <w:bookmarkEnd w:id="49"/>
    </w:p>
    <w:p w14:paraId="6B7A35D5">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不论磋商结果如何，供应商均应自行承担所有与投标有关的全部费用（磋商文件有相反规定除外）。</w:t>
      </w:r>
    </w:p>
    <w:p w14:paraId="4A701979">
      <w:pPr>
        <w:snapToGrid w:val="0"/>
        <w:spacing w:before="120" w:beforeLines="50"/>
        <w:ind w:firstLine="412" w:firstLineChars="196"/>
        <w:outlineLvl w:val="2"/>
        <w:rPr>
          <w:rFonts w:hint="eastAsia" w:ascii="微软雅黑" w:hAnsi="微软雅黑" w:eastAsia="微软雅黑" w:cs="微软雅黑"/>
          <w:b/>
          <w:szCs w:val="21"/>
          <w:highlight w:val="none"/>
        </w:rPr>
      </w:pPr>
      <w:bookmarkStart w:id="50" w:name="_Toc164943194"/>
      <w:r>
        <w:rPr>
          <w:rFonts w:hint="eastAsia" w:ascii="微软雅黑" w:hAnsi="微软雅黑" w:eastAsia="微软雅黑" w:cs="微软雅黑"/>
          <w:b/>
          <w:szCs w:val="21"/>
          <w:highlight w:val="none"/>
        </w:rPr>
        <w:t>（五）相关政府采购政策</w:t>
      </w:r>
      <w:bookmarkEnd w:id="50"/>
    </w:p>
    <w:p w14:paraId="498E22C7">
      <w:pPr>
        <w:numPr>
          <w:ilvl w:val="0"/>
          <w:numId w:val="15"/>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D914BE">
      <w:pPr>
        <w:numPr>
          <w:ilvl w:val="0"/>
          <w:numId w:val="15"/>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支持绿色发展</w:t>
      </w:r>
    </w:p>
    <w:p w14:paraId="5EFD9ECE">
      <w:pPr>
        <w:numPr>
          <w:ilvl w:val="1"/>
          <w:numId w:val="15"/>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磋商文件要求提供相关产品认证证书。▲采购人拟采购的产品属于政府强制采购的节能产品品目清单范围的，投标供应商未按磋商文件要求提供国家确定的认证机构出具的、处于有效期之内的节能产品认证证书的，投标无效。</w:t>
      </w:r>
    </w:p>
    <w:p w14:paraId="42C22053">
      <w:pPr>
        <w:numPr>
          <w:ilvl w:val="1"/>
          <w:numId w:val="15"/>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修缮、装修类项目采购建材的，采购人应将绿色建筑和绿色建材性能、指标等作为实质性条件纳入磋商文件和合同。</w:t>
      </w:r>
    </w:p>
    <w:p w14:paraId="2C5EE1AD">
      <w:pPr>
        <w:numPr>
          <w:ilvl w:val="1"/>
          <w:numId w:val="15"/>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04754D">
      <w:pPr>
        <w:numPr>
          <w:ilvl w:val="0"/>
          <w:numId w:val="15"/>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支持中小企业发展</w:t>
      </w:r>
    </w:p>
    <w:p w14:paraId="7914E170">
      <w:pPr>
        <w:numPr>
          <w:ilvl w:val="1"/>
          <w:numId w:val="15"/>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119770E">
      <w:pPr>
        <w:numPr>
          <w:ilvl w:val="1"/>
          <w:numId w:val="15"/>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符合中小企业划分标准的个体工商户，在政府采购活动中视同中小企业。</w:t>
      </w:r>
    </w:p>
    <w:p w14:paraId="38F9272F">
      <w:pPr>
        <w:numPr>
          <w:ilvl w:val="1"/>
          <w:numId w:val="15"/>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在政府采购活动中，投标供应商提供的货物、工程或者服务符合下列情形的，享受中小企业扶持政策：</w:t>
      </w:r>
    </w:p>
    <w:p w14:paraId="4960FA69">
      <w:pPr>
        <w:numPr>
          <w:ilvl w:val="2"/>
          <w:numId w:val="15"/>
        </w:numPr>
        <w:snapToGrid w:val="0"/>
        <w:ind w:left="0" w:firstLine="42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在货物采购项目中，货物由中小企业制造，即货物由中小企业生产且使用该中小企业商号或者注册商标；</w:t>
      </w:r>
    </w:p>
    <w:p w14:paraId="28735ACC">
      <w:pPr>
        <w:numPr>
          <w:ilvl w:val="2"/>
          <w:numId w:val="15"/>
        </w:numPr>
        <w:snapToGrid w:val="0"/>
        <w:ind w:left="0" w:firstLine="42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在工程采购项目中，工程由中小企业承建，即工程施工单位为中小企业；</w:t>
      </w:r>
    </w:p>
    <w:p w14:paraId="6C6F16FA">
      <w:pPr>
        <w:numPr>
          <w:ilvl w:val="2"/>
          <w:numId w:val="15"/>
        </w:numPr>
        <w:snapToGrid w:val="0"/>
        <w:ind w:left="0" w:firstLine="42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在服务采购项目中，服务由中小企业承接，即提供服务的人员为中小企业依照《中华人民共和国劳动合同法》订立劳动合同的从业人员。</w:t>
      </w:r>
    </w:p>
    <w:p w14:paraId="7CD170F9">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在货物采购项目中，投标供应商提供的货物既有中小企业制造货物，也有大型企业制造货物的，不享受中小企业扶持政策。</w:t>
      </w:r>
    </w:p>
    <w:p w14:paraId="09E7FFEA">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以联合体形式参加政府采购活动，联合体各方均为中小企业的，联合体视同中小企业。其中，联合体各方均为小微企业的，联合体视同小微企业。</w:t>
      </w:r>
    </w:p>
    <w:p w14:paraId="24516670">
      <w:pPr>
        <w:numPr>
          <w:ilvl w:val="1"/>
          <w:numId w:val="15"/>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符合《关于促进残疾人就业政府采购政策的通知》（财库〔2017〕141号）规定的条件并提供《残疾人福利性单位声明函》（附件1）的残疾人福利性单位视同小型、微型企业；</w:t>
      </w:r>
    </w:p>
    <w:p w14:paraId="61D39387">
      <w:pPr>
        <w:numPr>
          <w:ilvl w:val="1"/>
          <w:numId w:val="15"/>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CF8EC4">
      <w:pPr>
        <w:numPr>
          <w:ilvl w:val="1"/>
          <w:numId w:val="15"/>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可享受中小企业扶持政策的投标供应商应按照磋商文件格式要求提供《中小企业声明函》，投标供应商提供的《中小企业声明函》与实际情况不符的，不享受中小企业扶持政策。声明内容不实的，属于提供虚假材料谋取中标、成交的，依法承担法律责任。</w:t>
      </w:r>
    </w:p>
    <w:p w14:paraId="11A4BE30">
      <w:pPr>
        <w:numPr>
          <w:ilvl w:val="1"/>
          <w:numId w:val="15"/>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中小企业享受扶持政策获得政府采购合同的，小微企业不得将合同分包给大中型企业，中型企业不得将合同分包给大型企业。</w:t>
      </w:r>
    </w:p>
    <w:p w14:paraId="7820E7C3">
      <w:pPr>
        <w:snapToGrid w:val="0"/>
        <w:ind w:firstLine="412" w:firstLineChars="196"/>
        <w:outlineLvl w:val="2"/>
        <w:rPr>
          <w:rFonts w:hint="eastAsia" w:ascii="微软雅黑" w:hAnsi="微软雅黑" w:eastAsia="微软雅黑" w:cs="微软雅黑"/>
          <w:b/>
          <w:szCs w:val="21"/>
          <w:highlight w:val="none"/>
        </w:rPr>
      </w:pPr>
      <w:bookmarkStart w:id="51" w:name="_Toc164943195"/>
      <w:r>
        <w:rPr>
          <w:rFonts w:hint="eastAsia" w:ascii="微软雅黑" w:hAnsi="微软雅黑" w:eastAsia="微软雅黑" w:cs="微软雅黑"/>
          <w:b/>
          <w:szCs w:val="21"/>
          <w:highlight w:val="none"/>
        </w:rPr>
        <w:t>（六）特别说明：</w:t>
      </w:r>
      <w:bookmarkEnd w:id="51"/>
    </w:p>
    <w:p w14:paraId="21682A1D">
      <w:pPr>
        <w:pStyle w:val="29"/>
        <w:numPr>
          <w:ilvl w:val="0"/>
          <w:numId w:val="16"/>
        </w:numPr>
        <w:spacing w:line="360" w:lineRule="auto"/>
        <w:ind w:left="0" w:firstLine="420" w:firstLineChars="0"/>
        <w:outlineLvl w:val="9"/>
        <w:rPr>
          <w:rFonts w:hint="eastAsia" w:ascii="微软雅黑" w:hAnsi="微软雅黑" w:eastAsia="微软雅黑" w:cs="微软雅黑"/>
          <w:highlight w:val="none"/>
        </w:rPr>
      </w:pPr>
      <w:bookmarkStart w:id="52" w:name="_Toc19141"/>
      <w:r>
        <w:rPr>
          <w:rFonts w:hint="eastAsia" w:ascii="微软雅黑" w:hAnsi="微软雅黑" w:eastAsia="微软雅黑" w:cs="微软雅黑"/>
          <w:highlight w:val="none"/>
        </w:rPr>
        <w:t>采用最低评标价法的采购项目，提供相同品牌产品的不同投标供应商参加同一合同项下投标的，以其中通过资格审查、符合性审查且报价最低的参加评标；报价相同时，由采购人或者采购人委托评标委员会按照招标文件规定的方式确定1个参加评标的投标人，磋商文件未规定的采取随机抽取方式确定，其他投标无效。</w:t>
      </w:r>
      <w:bookmarkEnd w:id="52"/>
    </w:p>
    <w:p w14:paraId="34246132">
      <w:pPr>
        <w:pStyle w:val="29"/>
        <w:spacing w:line="360" w:lineRule="auto"/>
        <w:outlineLvl w:val="9"/>
        <w:rPr>
          <w:rFonts w:hint="eastAsia" w:ascii="微软雅黑" w:hAnsi="微软雅黑" w:eastAsia="微软雅黑" w:cs="微软雅黑"/>
          <w:highlight w:val="none"/>
        </w:rPr>
      </w:pPr>
      <w:bookmarkStart w:id="53" w:name="_Toc17406"/>
      <w:r>
        <w:rPr>
          <w:rFonts w:hint="eastAsia" w:ascii="微软雅黑" w:hAnsi="微软雅黑" w:eastAsia="微软雅黑" w:cs="微软雅黑"/>
          <w:highlight w:val="none"/>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磋商文件规定的方式确定一个投标供应商获得中标供应商推荐资格，磋商文件未规定的采取随机抽取方式确定，其他同品牌投标供应商不作为中标候选人。</w:t>
      </w:r>
      <w:bookmarkEnd w:id="53"/>
    </w:p>
    <w:p w14:paraId="72B179A7">
      <w:pPr>
        <w:pStyle w:val="29"/>
        <w:numPr>
          <w:ilvl w:val="0"/>
          <w:numId w:val="16"/>
        </w:numPr>
        <w:spacing w:line="360" w:lineRule="auto"/>
        <w:ind w:left="0" w:firstLine="420" w:firstLineChars="0"/>
        <w:outlineLvl w:val="9"/>
        <w:rPr>
          <w:rFonts w:hint="eastAsia" w:ascii="微软雅黑" w:hAnsi="微软雅黑" w:eastAsia="微软雅黑" w:cs="微软雅黑"/>
          <w:highlight w:val="none"/>
        </w:rPr>
      </w:pPr>
      <w:bookmarkStart w:id="54" w:name="_Toc13609"/>
      <w:r>
        <w:rPr>
          <w:rFonts w:hint="eastAsia" w:ascii="微软雅黑" w:hAnsi="微软雅黑" w:eastAsia="微软雅黑" w:cs="微软雅黑"/>
          <w:highlight w:val="none"/>
        </w:rPr>
        <w:t>投标供应商投标所使用的资格、信誉、荣誉、业绩与企业认证必须为本法人所拥有。投标供应商投标所使用的采购项目实施人员必须为本法人员工（或必须为本法人或控股投标供应商正式员工）。</w:t>
      </w:r>
      <w:bookmarkEnd w:id="54"/>
    </w:p>
    <w:p w14:paraId="1D94E83E">
      <w:pPr>
        <w:pStyle w:val="29"/>
        <w:numPr>
          <w:ilvl w:val="0"/>
          <w:numId w:val="16"/>
        </w:numPr>
        <w:spacing w:line="360" w:lineRule="auto"/>
        <w:ind w:left="0" w:firstLine="420" w:firstLineChars="0"/>
        <w:outlineLvl w:val="9"/>
        <w:rPr>
          <w:rFonts w:hint="eastAsia" w:ascii="微软雅黑" w:hAnsi="微软雅黑" w:eastAsia="微软雅黑" w:cs="微软雅黑"/>
          <w:highlight w:val="none"/>
        </w:rPr>
      </w:pPr>
      <w:bookmarkStart w:id="55" w:name="_Toc31061"/>
      <w:r>
        <w:rPr>
          <w:rFonts w:hint="eastAsia" w:ascii="微软雅黑" w:hAnsi="微软雅黑" w:eastAsia="微软雅黑" w:cs="微软雅黑"/>
          <w:highlight w:val="none"/>
        </w:rPr>
        <w:t>投标供应商应仔细阅读磋商文件的所有内容，按照磋商文件的要求提交响应文件，并对所提供的全部资料的真实性承担法律责任。</w:t>
      </w:r>
      <w:bookmarkEnd w:id="55"/>
    </w:p>
    <w:p w14:paraId="749E4DA4">
      <w:pPr>
        <w:pStyle w:val="29"/>
        <w:numPr>
          <w:ilvl w:val="0"/>
          <w:numId w:val="16"/>
        </w:numPr>
        <w:spacing w:line="360" w:lineRule="auto"/>
        <w:ind w:left="0" w:firstLine="420" w:firstLineChars="0"/>
        <w:outlineLvl w:val="9"/>
        <w:rPr>
          <w:rFonts w:hint="eastAsia" w:ascii="微软雅黑" w:hAnsi="微软雅黑" w:eastAsia="微软雅黑" w:cs="微软雅黑"/>
          <w:highlight w:val="none"/>
        </w:rPr>
      </w:pPr>
      <w:bookmarkStart w:id="56" w:name="_Toc6965"/>
      <w:r>
        <w:rPr>
          <w:rFonts w:hint="eastAsia" w:ascii="微软雅黑" w:hAnsi="微软雅黑" w:eastAsia="微软雅黑" w:cs="微软雅黑"/>
          <w:highlight w:val="none"/>
        </w:rPr>
        <w:t>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bookmarkEnd w:id="56"/>
    </w:p>
    <w:p w14:paraId="7815727A">
      <w:pPr>
        <w:pStyle w:val="29"/>
        <w:numPr>
          <w:ilvl w:val="0"/>
          <w:numId w:val="16"/>
        </w:numPr>
        <w:spacing w:line="360" w:lineRule="auto"/>
        <w:ind w:left="0" w:firstLine="420" w:firstLineChars="0"/>
        <w:outlineLvl w:val="9"/>
        <w:rPr>
          <w:rFonts w:hint="eastAsia" w:ascii="微软雅黑" w:hAnsi="微软雅黑" w:eastAsia="微软雅黑" w:cs="微软雅黑"/>
          <w:highlight w:val="none"/>
        </w:rPr>
      </w:pPr>
      <w:bookmarkStart w:id="57" w:name="_Toc2585"/>
      <w:r>
        <w:rPr>
          <w:rFonts w:hint="eastAsia" w:ascii="微软雅黑" w:hAnsi="微软雅黑" w:eastAsia="微软雅黑" w:cs="微软雅黑"/>
          <w:highlight w:val="none"/>
        </w:rPr>
        <w:t>采购人因建设、发展、改造、提升等原因，需要在服务周期内增加或减少相应岗位服务人员的，按中标单价进行核减或增加，经财政审批同意后，供应商须无条件服从，并签订合同补充协议。</w:t>
      </w:r>
      <w:bookmarkEnd w:id="57"/>
    </w:p>
    <w:p w14:paraId="69D5B3B8">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（七）质疑和投诉</w:t>
      </w:r>
    </w:p>
    <w:p w14:paraId="465C8E5B">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58" w:name="_Toc8403"/>
      <w:r>
        <w:rPr>
          <w:rFonts w:hint="eastAsia" w:ascii="微软雅黑" w:hAnsi="微软雅黑" w:eastAsia="微软雅黑" w:cs="微软雅黑"/>
          <w:highlight w:val="none"/>
        </w:rPr>
        <w:t>质疑和投诉应当满足《政府采购质疑和投诉办法》（中华人民共和国财政部令第94号）要求。</w:t>
      </w:r>
      <w:bookmarkEnd w:id="58"/>
    </w:p>
    <w:p w14:paraId="67CE2434">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59" w:name="_Toc20387"/>
      <w:r>
        <w:rPr>
          <w:rFonts w:hint="eastAsia" w:ascii="微软雅黑" w:hAnsi="微软雅黑" w:eastAsia="微软雅黑" w:cs="微软雅黑"/>
          <w:highlight w:val="none"/>
        </w:rPr>
        <w:t>磋商文件质疑：供应商可在获取磋商文件之日或者磋商文件公告期限届满之日（公告期限届满后获取磋商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bookmarkEnd w:id="59"/>
    </w:p>
    <w:p w14:paraId="6A4FD55A">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60" w:name="_Toc21158"/>
      <w:r>
        <w:rPr>
          <w:rFonts w:hint="eastAsia" w:ascii="微软雅黑" w:hAnsi="微软雅黑" w:eastAsia="微软雅黑" w:cs="微软雅黑"/>
          <w:highlight w:val="none"/>
        </w:rPr>
        <w:t>供应商须在法定质疑期内一次性提出针对同一采购程序环节的质疑。</w:t>
      </w:r>
      <w:bookmarkEnd w:id="60"/>
    </w:p>
    <w:p w14:paraId="13B8BE35">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61" w:name="_Toc8694"/>
      <w:r>
        <w:rPr>
          <w:rFonts w:hint="eastAsia" w:ascii="微软雅黑" w:hAnsi="微软雅黑" w:eastAsia="微软雅黑" w:cs="微软雅黑"/>
          <w:highlight w:val="none"/>
        </w:rPr>
        <w:t>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bookmarkEnd w:id="61"/>
    </w:p>
    <w:p w14:paraId="3165A8EF">
      <w:pPr>
        <w:pStyle w:val="6"/>
        <w:ind w:firstLine="420"/>
        <w:rPr>
          <w:rFonts w:hint="eastAsia" w:ascii="微软雅黑" w:hAnsi="微软雅黑" w:eastAsia="微软雅黑" w:cs="微软雅黑"/>
          <w:szCs w:val="21"/>
          <w:highlight w:val="none"/>
        </w:rPr>
      </w:pPr>
      <w:bookmarkStart w:id="62" w:name="_Toc22248"/>
      <w:r>
        <w:rPr>
          <w:rFonts w:hint="eastAsia" w:ascii="微软雅黑" w:hAnsi="微软雅黑" w:eastAsia="微软雅黑" w:cs="微软雅黑"/>
          <w:szCs w:val="21"/>
          <w:highlight w:val="none"/>
        </w:rPr>
        <w:t>二 、</w:t>
      </w:r>
      <w:bookmarkEnd w:id="41"/>
      <w:bookmarkEnd w:id="42"/>
      <w:r>
        <w:rPr>
          <w:rFonts w:hint="eastAsia" w:ascii="微软雅黑" w:hAnsi="微软雅黑" w:eastAsia="微软雅黑" w:cs="微软雅黑"/>
          <w:szCs w:val="21"/>
          <w:highlight w:val="none"/>
        </w:rPr>
        <w:t>磋商文件</w:t>
      </w:r>
      <w:bookmarkEnd w:id="62"/>
    </w:p>
    <w:p w14:paraId="240E9CB6">
      <w:pPr>
        <w:snapToGrid w:val="0"/>
        <w:ind w:firstLine="412" w:firstLineChars="196"/>
        <w:rPr>
          <w:rFonts w:hint="eastAsia" w:ascii="微软雅黑" w:hAnsi="微软雅黑" w:eastAsia="微软雅黑" w:cs="微软雅黑"/>
          <w:b/>
          <w:szCs w:val="21"/>
          <w:highlight w:val="none"/>
        </w:rPr>
      </w:pPr>
      <w:bookmarkStart w:id="63" w:name="_Toc177870545"/>
      <w:bookmarkStart w:id="64" w:name="_Toc493511630"/>
      <w:r>
        <w:rPr>
          <w:rFonts w:hint="eastAsia" w:ascii="微软雅黑" w:hAnsi="微软雅黑" w:eastAsia="微软雅黑" w:cs="微软雅黑"/>
          <w:b/>
          <w:szCs w:val="21"/>
          <w:highlight w:val="none"/>
        </w:rPr>
        <w:t>（一）磋商文件的构成。本磋商文件由以下部分组成：</w:t>
      </w:r>
    </w:p>
    <w:p w14:paraId="5F9EBB52">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65" w:name="_Toc2975"/>
      <w:r>
        <w:rPr>
          <w:rFonts w:hint="eastAsia" w:ascii="微软雅黑" w:hAnsi="微软雅黑" w:eastAsia="微软雅黑" w:cs="微软雅黑"/>
          <w:highlight w:val="none"/>
        </w:rPr>
        <w:t>磋商公告</w:t>
      </w:r>
      <w:bookmarkEnd w:id="65"/>
    </w:p>
    <w:p w14:paraId="67852462">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66" w:name="_Toc32327"/>
      <w:r>
        <w:rPr>
          <w:rFonts w:hint="eastAsia" w:ascii="微软雅黑" w:hAnsi="微软雅黑" w:eastAsia="微软雅黑" w:cs="微软雅黑"/>
          <w:highlight w:val="none"/>
        </w:rPr>
        <w:t>磋商需求</w:t>
      </w:r>
      <w:bookmarkEnd w:id="66"/>
    </w:p>
    <w:p w14:paraId="79D1BD82">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67" w:name="_Toc4507"/>
      <w:r>
        <w:rPr>
          <w:rFonts w:hint="eastAsia" w:ascii="微软雅黑" w:hAnsi="微软雅黑" w:eastAsia="微软雅黑" w:cs="微软雅黑"/>
          <w:highlight w:val="none"/>
        </w:rPr>
        <w:t>磋商供应商须知</w:t>
      </w:r>
      <w:bookmarkEnd w:id="67"/>
    </w:p>
    <w:p w14:paraId="7E60125E">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68" w:name="_Toc31910"/>
      <w:r>
        <w:rPr>
          <w:rFonts w:hint="eastAsia" w:ascii="微软雅黑" w:hAnsi="微软雅黑" w:eastAsia="微软雅黑" w:cs="微软雅黑"/>
          <w:highlight w:val="none"/>
        </w:rPr>
        <w:t>磋商办法及磋商标准</w:t>
      </w:r>
      <w:bookmarkEnd w:id="68"/>
    </w:p>
    <w:p w14:paraId="46ADA0F3">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69" w:name="_Toc22426"/>
      <w:r>
        <w:rPr>
          <w:rFonts w:hint="eastAsia" w:ascii="微软雅黑" w:hAnsi="微软雅黑" w:eastAsia="微软雅黑" w:cs="微软雅黑"/>
          <w:highlight w:val="none"/>
        </w:rPr>
        <w:t>合同主要条款</w:t>
      </w:r>
      <w:bookmarkEnd w:id="69"/>
    </w:p>
    <w:p w14:paraId="0E046D69">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70" w:name="_Toc4335"/>
      <w:r>
        <w:rPr>
          <w:rFonts w:hint="eastAsia" w:ascii="微软雅黑" w:hAnsi="微软雅黑" w:eastAsia="微软雅黑" w:cs="微软雅黑"/>
          <w:highlight w:val="none"/>
        </w:rPr>
        <w:t>响应文件格式</w:t>
      </w:r>
      <w:bookmarkEnd w:id="70"/>
    </w:p>
    <w:p w14:paraId="5AE61488">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71" w:name="_Toc27404"/>
      <w:r>
        <w:rPr>
          <w:rFonts w:hint="eastAsia" w:ascii="微软雅黑" w:hAnsi="微软雅黑" w:eastAsia="微软雅黑" w:cs="微软雅黑"/>
          <w:highlight w:val="none"/>
        </w:rPr>
        <w:t>本项目磋商文件的澄清、答复、修改、补充的内容</w:t>
      </w:r>
      <w:bookmarkEnd w:id="71"/>
    </w:p>
    <w:p w14:paraId="47AE98DF">
      <w:pPr>
        <w:snapToGrid w:val="0"/>
        <w:ind w:firstLine="412" w:firstLineChars="196"/>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（二）投标供应商的风险</w:t>
      </w:r>
    </w:p>
    <w:p w14:paraId="102B7955">
      <w:pPr>
        <w:pStyle w:val="43"/>
        <w:ind w:firstLine="424" w:firstLineChars="20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投标供应商没有按照磋商文件要求提供全部资料，或者投标供应商没有对磋商文件在各方面做出实质性响应是投标供应商的风险，并可能导致其投标为无效标。</w:t>
      </w:r>
    </w:p>
    <w:p w14:paraId="6EDA6EF1">
      <w:pPr>
        <w:pStyle w:val="291"/>
        <w:snapToGrid w:val="0"/>
        <w:spacing w:before="0"/>
        <w:ind w:left="480" w:firstLine="0" w:firstLineChars="0"/>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（三）磋商文件的澄清与修改</w:t>
      </w:r>
    </w:p>
    <w:p w14:paraId="4CDF152D">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72" w:name="_Toc23635"/>
      <w:r>
        <w:rPr>
          <w:rFonts w:hint="eastAsia" w:ascii="微软雅黑" w:hAnsi="微软雅黑" w:eastAsia="微软雅黑" w:cs="微软雅黑"/>
          <w:highlight w:val="none"/>
        </w:rPr>
        <w:t>投标供应商应认真阅读本磋商文件，发现其中有误或有不合理要求的，可要求招标采购人澄清。招标采购人对已发出的磋商文件进行必要澄清或者修改的，应当在磋商文件要求提交响应文件截止三日前，在财政部门指定的政府采购信息发布媒体上发布更正公告。</w:t>
      </w:r>
      <w:bookmarkEnd w:id="72"/>
    </w:p>
    <w:p w14:paraId="253C427B">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73" w:name="_Toc5081"/>
      <w:r>
        <w:rPr>
          <w:rFonts w:hint="eastAsia" w:ascii="微软雅黑" w:hAnsi="微软雅黑" w:eastAsia="微软雅黑" w:cs="微软雅黑"/>
          <w:highlight w:val="none"/>
        </w:rPr>
        <w:t>磋商文件澄清或者修改的内容为磋商文件的组成部分。当磋商文件与澄清或者修改就同一内容的表述不一致时，以最后发出的书面文件为准。</w:t>
      </w:r>
      <w:bookmarkEnd w:id="73"/>
    </w:p>
    <w:p w14:paraId="13CF2813">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74" w:name="_Toc27817"/>
      <w:r>
        <w:rPr>
          <w:rFonts w:hint="eastAsia" w:ascii="微软雅黑" w:hAnsi="微软雅黑" w:eastAsia="微软雅黑" w:cs="微软雅黑"/>
          <w:highlight w:val="none"/>
        </w:rPr>
        <w:t>对磋商文件的澄清、答复、修改或补充都应该通过代理机构以法定形式发布，采购人非通过本机构，不得擅自澄清、答复、修改或补充磋商文件。</w:t>
      </w:r>
      <w:bookmarkEnd w:id="74"/>
    </w:p>
    <w:p w14:paraId="316779B0">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r>
        <w:rPr>
          <w:rFonts w:hint="eastAsia" w:ascii="微软雅黑" w:hAnsi="微软雅黑" w:eastAsia="微软雅黑" w:cs="微软雅黑"/>
          <w:highlight w:val="none"/>
        </w:rPr>
        <w:t>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D412E02">
      <w:pPr>
        <w:pStyle w:val="6"/>
        <w:ind w:firstLine="420"/>
        <w:rPr>
          <w:rFonts w:hint="eastAsia" w:ascii="微软雅黑" w:hAnsi="微软雅黑" w:eastAsia="微软雅黑" w:cs="微软雅黑"/>
          <w:szCs w:val="21"/>
          <w:highlight w:val="none"/>
        </w:rPr>
      </w:pPr>
      <w:bookmarkStart w:id="75" w:name="_Toc16319"/>
      <w:r>
        <w:rPr>
          <w:rFonts w:hint="eastAsia" w:ascii="微软雅黑" w:hAnsi="微软雅黑" w:eastAsia="微软雅黑" w:cs="微软雅黑"/>
          <w:szCs w:val="21"/>
          <w:highlight w:val="none"/>
        </w:rPr>
        <w:t>三、 响应文件的编制</w:t>
      </w:r>
      <w:bookmarkEnd w:id="63"/>
      <w:bookmarkEnd w:id="64"/>
      <w:bookmarkEnd w:id="75"/>
    </w:p>
    <w:p w14:paraId="188EB2AF">
      <w:pPr>
        <w:ind w:firstLine="420"/>
        <w:rPr>
          <w:rFonts w:hint="eastAsia" w:ascii="微软雅黑" w:hAnsi="微软雅黑" w:eastAsia="微软雅黑" w:cs="微软雅黑"/>
          <w:b/>
          <w:bCs/>
          <w:szCs w:val="21"/>
          <w:highlight w:val="none"/>
        </w:rPr>
      </w:pPr>
      <w:bookmarkStart w:id="76" w:name="_Toc14074"/>
      <w:bookmarkStart w:id="77" w:name="_Toc21392"/>
      <w:bookmarkStart w:id="78" w:name="_Toc406402988"/>
      <w:bookmarkStart w:id="79" w:name="_Toc406402944"/>
      <w:bookmarkStart w:id="80" w:name="_Toc532218225"/>
      <w:bookmarkStart w:id="81" w:name="_Toc33535369"/>
      <w:bookmarkStart w:id="82" w:name="_Toc493511751"/>
      <w:r>
        <w:rPr>
          <w:rFonts w:hint="eastAsia" w:ascii="微软雅黑" w:hAnsi="微软雅黑" w:eastAsia="微软雅黑" w:cs="微软雅黑"/>
          <w:b/>
          <w:bCs/>
          <w:szCs w:val="21"/>
          <w:highlight w:val="none"/>
        </w:rPr>
        <w:t>本项目所涉响应文件格式请详见第六章，未给出的格式请自拟。商务、资信及其他及技术文件中不得出现报价，否则响应文件将被视为无效。</w:t>
      </w:r>
    </w:p>
    <w:p w14:paraId="3569A0A4">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注：电子响应文件按政采云平台供应商电子招投标操作指南及本磋商文件规定的格式和顺序编制电子响应文件并进行关联。建议根据磋商文件合格供应商的资格要求、响应文件的编制及评分标准等内容一一关联。</w:t>
      </w:r>
    </w:p>
    <w:p w14:paraId="30448ED8">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路径：浙江省“项目采购电子交易系统/不见面开评标”学习专题-操作指南-供应商</w:t>
      </w:r>
    </w:p>
    <w:p w14:paraId="5128B116">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网址：</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
          <w:bCs/>
          <w:szCs w:val="21"/>
          <w:highlight w:val="none"/>
        </w:rPr>
        <w:t>https://edu.zcygov.cn/luban/e-biding</w:t>
      </w:r>
      <w:r>
        <w:rPr>
          <w:rFonts w:hint="eastAsia" w:ascii="微软雅黑" w:hAnsi="微软雅黑" w:eastAsia="微软雅黑" w:cs="微软雅黑"/>
          <w:b/>
          <w:bCs/>
          <w:szCs w:val="21"/>
          <w:highlight w:val="none"/>
        </w:rPr>
        <w:fldChar w:fldCharType="end"/>
      </w:r>
    </w:p>
    <w:p w14:paraId="211E70CF">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总体要求：</w:t>
      </w:r>
    </w:p>
    <w:p w14:paraId="27DA8A8B">
      <w:pPr>
        <w:pStyle w:val="29"/>
        <w:numPr>
          <w:ilvl w:val="0"/>
          <w:numId w:val="20"/>
        </w:numPr>
        <w:spacing w:line="360" w:lineRule="auto"/>
        <w:ind w:left="5" w:firstLine="415" w:firstLineChars="0"/>
        <w:outlineLvl w:val="9"/>
        <w:rPr>
          <w:rFonts w:hint="eastAsia" w:ascii="微软雅黑" w:hAnsi="微软雅黑" w:eastAsia="微软雅黑" w:cs="微软雅黑"/>
          <w:highlight w:val="none"/>
        </w:rPr>
      </w:pPr>
      <w:bookmarkStart w:id="83" w:name="_Toc23259"/>
      <w:r>
        <w:rPr>
          <w:rFonts w:hint="eastAsia" w:ascii="微软雅黑" w:hAnsi="微软雅黑" w:eastAsia="微软雅黑" w:cs="微软雅黑"/>
          <w:highlight w:val="none"/>
        </w:rPr>
        <w:t>供应商应仔细阅读磋商文件的所有内容，按本文件的要求提供响应文件，并保证所提供的全部资料的真实性，以使其响应文件对磋商文件作出实质性响应，否则，响应文件可能视为无效响应文件。</w:t>
      </w:r>
      <w:bookmarkEnd w:id="83"/>
      <w:r>
        <w:rPr>
          <w:rFonts w:hint="eastAsia" w:ascii="微软雅黑" w:hAnsi="微软雅黑" w:eastAsia="微软雅黑" w:cs="微软雅黑"/>
          <w:highlight w:val="none"/>
        </w:rPr>
        <w:t xml:space="preserve"> </w:t>
      </w:r>
    </w:p>
    <w:p w14:paraId="0601CC11">
      <w:pPr>
        <w:pStyle w:val="29"/>
        <w:numPr>
          <w:ilvl w:val="0"/>
          <w:numId w:val="20"/>
        </w:numPr>
        <w:spacing w:line="360" w:lineRule="auto"/>
        <w:ind w:left="5" w:firstLine="415" w:firstLineChars="0"/>
        <w:outlineLvl w:val="9"/>
        <w:rPr>
          <w:rFonts w:hint="eastAsia" w:ascii="微软雅黑" w:hAnsi="微软雅黑" w:eastAsia="微软雅黑" w:cs="微软雅黑"/>
          <w:highlight w:val="none"/>
        </w:rPr>
      </w:pPr>
      <w:bookmarkStart w:id="84" w:name="_Toc1441"/>
      <w:r>
        <w:rPr>
          <w:rFonts w:hint="eastAsia" w:ascii="微软雅黑" w:hAnsi="微软雅黑" w:eastAsia="微软雅黑" w:cs="微软雅黑"/>
          <w:highlight w:val="none"/>
        </w:rPr>
        <w:t>响应文件及供应商与采购有关的来往通知，函件和文件均应使用中文。</w:t>
      </w:r>
      <w:bookmarkEnd w:id="84"/>
    </w:p>
    <w:p w14:paraId="0DFE6C4A">
      <w:pPr>
        <w:pStyle w:val="29"/>
        <w:numPr>
          <w:ilvl w:val="0"/>
          <w:numId w:val="20"/>
        </w:numPr>
        <w:spacing w:line="360" w:lineRule="auto"/>
        <w:ind w:left="5" w:firstLine="415" w:firstLineChars="0"/>
        <w:outlineLvl w:val="9"/>
        <w:rPr>
          <w:rFonts w:hint="eastAsia" w:ascii="微软雅黑" w:hAnsi="微软雅黑" w:eastAsia="微软雅黑" w:cs="微软雅黑"/>
          <w:highlight w:val="none"/>
        </w:rPr>
      </w:pPr>
      <w:bookmarkStart w:id="85" w:name="_Toc9584"/>
      <w:r>
        <w:rPr>
          <w:rFonts w:hint="eastAsia" w:ascii="微软雅黑" w:hAnsi="微软雅黑" w:eastAsia="微软雅黑" w:cs="微软雅黑"/>
          <w:highlight w:val="none"/>
        </w:rPr>
        <w:t>供应商应按本文件中提供的文件格式、内容和要求制作响应文件。</w:t>
      </w:r>
      <w:bookmarkEnd w:id="85"/>
    </w:p>
    <w:p w14:paraId="748D0AA0">
      <w:pPr>
        <w:pStyle w:val="7"/>
        <w:ind w:firstLine="420"/>
        <w:rPr>
          <w:rFonts w:hint="eastAsia" w:ascii="微软雅黑" w:hAnsi="微软雅黑" w:eastAsia="微软雅黑" w:cs="微软雅黑"/>
          <w:szCs w:val="21"/>
          <w:highlight w:val="none"/>
        </w:rPr>
      </w:pPr>
      <w:bookmarkStart w:id="86" w:name="_Toc164943198"/>
      <w:bookmarkStart w:id="87" w:name="_Toc26703"/>
      <w:r>
        <w:rPr>
          <w:rFonts w:hint="eastAsia" w:ascii="微软雅黑" w:hAnsi="微软雅黑" w:eastAsia="微软雅黑" w:cs="微软雅黑"/>
          <w:szCs w:val="21"/>
          <w:highlight w:val="none"/>
        </w:rPr>
        <w:t>（一）响应文件的组成</w:t>
      </w:r>
      <w:bookmarkEnd w:id="76"/>
      <w:bookmarkEnd w:id="77"/>
      <w:bookmarkEnd w:id="86"/>
      <w:bookmarkEnd w:id="87"/>
    </w:p>
    <w:p w14:paraId="61DDA1B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电子响应文件和备份响应文件均由</w:t>
      </w:r>
      <w:r>
        <w:rPr>
          <w:rFonts w:hint="eastAsia" w:ascii="微软雅黑" w:hAnsi="微软雅黑" w:eastAsia="微软雅黑" w:cs="微软雅黑"/>
          <w:szCs w:val="21"/>
          <w:highlight w:val="none"/>
          <w:lang w:val="zh-CN"/>
        </w:rPr>
        <w:t>资格文件、商务技术文件、报价</w:t>
      </w:r>
      <w:r>
        <w:rPr>
          <w:rFonts w:hint="eastAsia" w:ascii="微软雅黑" w:hAnsi="微软雅黑" w:eastAsia="微软雅黑" w:cs="微软雅黑"/>
          <w:szCs w:val="21"/>
          <w:highlight w:val="none"/>
        </w:rPr>
        <w:t>文件三部分组成。响应文件中所须加盖公章部分均采用CA签章。</w:t>
      </w:r>
    </w:p>
    <w:bookmarkEnd w:id="78"/>
    <w:bookmarkEnd w:id="79"/>
    <w:bookmarkEnd w:id="80"/>
    <w:p w14:paraId="0E920AF4">
      <w:pPr>
        <w:snapToGrid w:val="0"/>
        <w:ind w:firstLine="412" w:firstLineChars="196"/>
        <w:outlineLvl w:val="2"/>
        <w:rPr>
          <w:rFonts w:hint="eastAsia" w:ascii="微软雅黑" w:hAnsi="微软雅黑" w:eastAsia="微软雅黑" w:cs="微软雅黑"/>
          <w:b/>
          <w:szCs w:val="21"/>
          <w:highlight w:val="none"/>
        </w:rPr>
      </w:pPr>
      <w:bookmarkStart w:id="88" w:name="_Toc164943199"/>
      <w:r>
        <w:rPr>
          <w:rFonts w:hint="eastAsia" w:ascii="微软雅黑" w:hAnsi="微软雅黑" w:eastAsia="微软雅黑" w:cs="微软雅黑"/>
          <w:b/>
          <w:szCs w:val="21"/>
          <w:highlight w:val="none"/>
        </w:rPr>
        <w:t>（二）</w:t>
      </w:r>
      <w:r>
        <w:rPr>
          <w:rFonts w:hint="eastAsia" w:ascii="微软雅黑" w:hAnsi="微软雅黑" w:eastAsia="微软雅黑" w:cs="微软雅黑"/>
          <w:b/>
          <w:bCs/>
          <w:szCs w:val="21"/>
          <w:highlight w:val="none"/>
        </w:rPr>
        <w:t>响应文件的编制</w:t>
      </w:r>
      <w:bookmarkEnd w:id="88"/>
    </w:p>
    <w:p w14:paraId="13BAF6D4">
      <w:pPr>
        <w:pStyle w:val="29"/>
        <w:numPr>
          <w:ilvl w:val="0"/>
          <w:numId w:val="21"/>
        </w:numPr>
        <w:spacing w:line="360" w:lineRule="auto"/>
        <w:ind w:left="5" w:firstLine="415" w:firstLineChars="0"/>
        <w:outlineLvl w:val="9"/>
        <w:rPr>
          <w:rFonts w:hint="eastAsia" w:ascii="微软雅黑" w:hAnsi="微软雅黑" w:eastAsia="微软雅黑" w:cs="微软雅黑"/>
          <w:highlight w:val="none"/>
        </w:rPr>
      </w:pPr>
      <w:bookmarkStart w:id="89" w:name="_Toc28858"/>
      <w:r>
        <w:rPr>
          <w:rFonts w:hint="eastAsia" w:ascii="微软雅黑" w:hAnsi="微软雅黑" w:eastAsia="微软雅黑" w:cs="微软雅黑"/>
          <w:highlight w:val="none"/>
          <w:lang w:val="zh-CN"/>
        </w:rPr>
        <w:t>响应文件分为资格文件、商务技术文件、报价文件三部分。各投标供应商在编制响应文件时请按照磋商文件规定的格式进行，混乱的编排导致响应文件被误读或评标委员会查找不到有效文件是投标供应商的风险。</w:t>
      </w:r>
      <w:bookmarkEnd w:id="89"/>
    </w:p>
    <w:p w14:paraId="069BE1BC">
      <w:pPr>
        <w:pStyle w:val="29"/>
        <w:numPr>
          <w:ilvl w:val="0"/>
          <w:numId w:val="21"/>
        </w:numPr>
        <w:spacing w:line="360" w:lineRule="auto"/>
        <w:ind w:left="5" w:firstLine="415" w:firstLineChars="0"/>
        <w:outlineLvl w:val="9"/>
        <w:rPr>
          <w:rFonts w:hint="eastAsia" w:ascii="微软雅黑" w:hAnsi="微软雅黑" w:eastAsia="微软雅黑" w:cs="微软雅黑"/>
          <w:highlight w:val="none"/>
          <w:lang w:val="zh-CN"/>
        </w:rPr>
      </w:pPr>
      <w:bookmarkStart w:id="90" w:name="_Toc31889"/>
      <w:r>
        <w:rPr>
          <w:rFonts w:hint="eastAsia" w:ascii="微软雅黑" w:hAnsi="微软雅黑" w:eastAsia="微软雅黑" w:cs="微软雅黑"/>
          <w:highlight w:val="none"/>
          <w:lang w:val="zh-CN"/>
        </w:rPr>
        <w:t>投标供应商进行电子投标应安装客户端软件—“政采云电子交易客户端”，并按照磋商文件和电子交易平台的要求编制并加密响应文件。投标供应商未按规定加密的响应文件，电子交易平台将拒收并提示。</w:t>
      </w:r>
      <w:bookmarkEnd w:id="90"/>
    </w:p>
    <w:p w14:paraId="252F9E0C">
      <w:pPr>
        <w:pStyle w:val="29"/>
        <w:numPr>
          <w:ilvl w:val="0"/>
          <w:numId w:val="21"/>
        </w:numPr>
        <w:spacing w:line="360" w:lineRule="auto"/>
        <w:ind w:left="5" w:firstLine="415" w:firstLineChars="0"/>
        <w:outlineLvl w:val="9"/>
        <w:rPr>
          <w:rFonts w:hint="eastAsia" w:ascii="微软雅黑" w:hAnsi="微软雅黑" w:eastAsia="微软雅黑" w:cs="微软雅黑"/>
          <w:highlight w:val="none"/>
          <w:lang w:val="zh-CN"/>
        </w:rPr>
      </w:pPr>
      <w:bookmarkStart w:id="91" w:name="_Toc24887"/>
      <w:r>
        <w:rPr>
          <w:rFonts w:hint="eastAsia" w:ascii="微软雅黑" w:hAnsi="微软雅黑" w:eastAsia="微软雅黑" w:cs="微软雅黑"/>
          <w:highlight w:val="none"/>
          <w:lang w:val="zh-CN"/>
        </w:rPr>
        <w:t>使用“政采云电子交易客户端”需要提前申领CA数字证书，申领流程请自行前往“浙江政府采购网-下载专区-电子交易客户端-CA驱动和申领流程”进行查阅。</w:t>
      </w:r>
      <w:bookmarkEnd w:id="91"/>
    </w:p>
    <w:p w14:paraId="2ECF0768">
      <w:pPr>
        <w:pStyle w:val="29"/>
        <w:numPr>
          <w:ilvl w:val="0"/>
          <w:numId w:val="21"/>
        </w:numPr>
        <w:spacing w:line="360" w:lineRule="auto"/>
        <w:ind w:left="5" w:firstLine="415" w:firstLineChars="0"/>
        <w:outlineLvl w:val="9"/>
        <w:rPr>
          <w:rFonts w:hint="eastAsia" w:ascii="微软雅黑" w:hAnsi="微软雅黑" w:eastAsia="微软雅黑" w:cs="微软雅黑"/>
          <w:highlight w:val="none"/>
        </w:rPr>
      </w:pPr>
      <w:bookmarkStart w:id="92" w:name="_Toc29812"/>
      <w:r>
        <w:rPr>
          <w:rFonts w:hint="eastAsia" w:ascii="微软雅黑" w:hAnsi="微软雅黑" w:eastAsia="微软雅黑" w:cs="微软雅黑"/>
          <w:highlight w:val="none"/>
        </w:rPr>
        <w:t>响应文件按照磋商文件要求进行签署、盖章。</w:t>
      </w:r>
      <w:bookmarkEnd w:id="92"/>
    </w:p>
    <w:p w14:paraId="575BDA7A">
      <w:pPr>
        <w:pStyle w:val="29"/>
        <w:numPr>
          <w:ilvl w:val="0"/>
          <w:numId w:val="21"/>
        </w:numPr>
        <w:spacing w:line="360" w:lineRule="auto"/>
        <w:ind w:left="5" w:firstLine="415" w:firstLineChars="0"/>
        <w:outlineLvl w:val="9"/>
        <w:rPr>
          <w:rFonts w:hint="eastAsia" w:ascii="微软雅黑" w:hAnsi="微软雅黑" w:eastAsia="微软雅黑" w:cs="微软雅黑"/>
          <w:highlight w:val="none"/>
        </w:rPr>
      </w:pPr>
      <w:bookmarkStart w:id="93" w:name="_Toc10780"/>
      <w:r>
        <w:rPr>
          <w:rFonts w:hint="eastAsia" w:ascii="微软雅黑" w:hAnsi="微软雅黑" w:eastAsia="微软雅黑" w:cs="微软雅黑"/>
          <w:highlight w:val="none"/>
        </w:rPr>
        <w:t>为确保网上操作合法、有效和安全，投标供应商应当在投标截止时间前完成在“政府采购云平台”的身份认证，确保在电子投标过程中能够对相关数据电文进行加密和使用电子签名。</w:t>
      </w:r>
      <w:bookmarkEnd w:id="93"/>
    </w:p>
    <w:p w14:paraId="79D94EE9">
      <w:pPr>
        <w:pStyle w:val="29"/>
        <w:numPr>
          <w:ilvl w:val="0"/>
          <w:numId w:val="21"/>
        </w:numPr>
        <w:spacing w:line="360" w:lineRule="auto"/>
        <w:ind w:left="5" w:firstLine="415" w:firstLineChars="0"/>
        <w:outlineLvl w:val="9"/>
        <w:rPr>
          <w:rFonts w:hint="eastAsia" w:ascii="微软雅黑" w:hAnsi="微软雅黑" w:eastAsia="微软雅黑" w:cs="微软雅黑"/>
          <w:highlight w:val="none"/>
        </w:rPr>
      </w:pPr>
      <w:bookmarkStart w:id="94" w:name="_Toc25141"/>
      <w:r>
        <w:rPr>
          <w:rFonts w:hint="eastAsia" w:ascii="微软雅黑" w:hAnsi="微软雅黑" w:eastAsia="微软雅黑" w:cs="微软雅黑"/>
          <w:highlight w:val="none"/>
        </w:rPr>
        <w:t>磋商文件对响应文件签署、盖章的要求适用于电子签名。</w:t>
      </w:r>
      <w:bookmarkEnd w:id="94"/>
    </w:p>
    <w:p w14:paraId="20B5439F">
      <w:pPr>
        <w:snapToGrid w:val="0"/>
        <w:ind w:firstLine="412" w:firstLineChars="196"/>
        <w:outlineLvl w:val="2"/>
        <w:rPr>
          <w:rFonts w:hint="eastAsia" w:ascii="微软雅黑" w:hAnsi="微软雅黑" w:eastAsia="微软雅黑" w:cs="微软雅黑"/>
          <w:b/>
          <w:szCs w:val="21"/>
          <w:highlight w:val="none"/>
        </w:rPr>
      </w:pPr>
      <w:bookmarkStart w:id="95" w:name="_Toc385854100"/>
      <w:bookmarkStart w:id="96" w:name="_Toc402963084"/>
      <w:bookmarkStart w:id="97" w:name="_Toc532218227"/>
      <w:bookmarkStart w:id="98" w:name="_Toc406402990"/>
      <w:bookmarkStart w:id="99" w:name="_Toc385854146"/>
      <w:bookmarkStart w:id="100" w:name="_Toc406402946"/>
      <w:bookmarkStart w:id="101" w:name="_Toc164943200"/>
      <w:bookmarkStart w:id="102" w:name="_Toc402963117"/>
      <w:r>
        <w:rPr>
          <w:rFonts w:hint="eastAsia" w:ascii="微软雅黑" w:hAnsi="微软雅黑" w:eastAsia="微软雅黑" w:cs="微软雅黑"/>
          <w:b/>
          <w:szCs w:val="21"/>
          <w:highlight w:val="none"/>
        </w:rPr>
        <w:t>（三）响应文件的语言及计量</w:t>
      </w:r>
      <w:bookmarkEnd w:id="95"/>
      <w:bookmarkEnd w:id="96"/>
      <w:bookmarkEnd w:id="97"/>
      <w:bookmarkEnd w:id="98"/>
      <w:bookmarkEnd w:id="99"/>
      <w:bookmarkEnd w:id="100"/>
      <w:bookmarkEnd w:id="101"/>
      <w:bookmarkEnd w:id="102"/>
    </w:p>
    <w:p w14:paraId="64EFF1B8">
      <w:pPr>
        <w:pStyle w:val="29"/>
        <w:numPr>
          <w:ilvl w:val="0"/>
          <w:numId w:val="22"/>
        </w:numPr>
        <w:spacing w:line="360" w:lineRule="auto"/>
        <w:ind w:left="5" w:firstLine="415" w:firstLineChars="0"/>
        <w:outlineLvl w:val="9"/>
        <w:rPr>
          <w:rFonts w:hint="eastAsia" w:ascii="微软雅黑" w:hAnsi="微软雅黑" w:eastAsia="微软雅黑" w:cs="微软雅黑"/>
          <w:highlight w:val="none"/>
          <w:lang w:val="zh-CN"/>
        </w:rPr>
      </w:pPr>
      <w:bookmarkStart w:id="103" w:name="_Toc31021"/>
      <w:r>
        <w:rPr>
          <w:rFonts w:hint="eastAsia" w:ascii="微软雅黑" w:hAnsi="微软雅黑" w:eastAsia="微软雅黑" w:cs="微软雅黑"/>
          <w:highlight w:val="none"/>
          <w:lang w:val="zh-CN"/>
        </w:rPr>
        <w:t>响应文件以及投标方与采购人就有关投标事宜的所有来往函电，均应以中文汉语书写。除签名、盖章、专用名称等特殊情形外，以中文汉语以外的文字表述的响应文件视同未提供。</w:t>
      </w:r>
      <w:bookmarkEnd w:id="103"/>
    </w:p>
    <w:p w14:paraId="6418FA35">
      <w:pPr>
        <w:pStyle w:val="29"/>
        <w:numPr>
          <w:ilvl w:val="0"/>
          <w:numId w:val="22"/>
        </w:numPr>
        <w:spacing w:line="360" w:lineRule="auto"/>
        <w:ind w:left="5" w:firstLine="415" w:firstLineChars="0"/>
        <w:outlineLvl w:val="9"/>
        <w:rPr>
          <w:rFonts w:hint="eastAsia" w:ascii="微软雅黑" w:hAnsi="微软雅黑" w:eastAsia="微软雅黑" w:cs="微软雅黑"/>
          <w:highlight w:val="none"/>
          <w:lang w:val="zh-CN"/>
        </w:rPr>
      </w:pPr>
      <w:bookmarkStart w:id="104" w:name="_Toc22323"/>
      <w:r>
        <w:rPr>
          <w:rFonts w:hint="eastAsia" w:ascii="微软雅黑" w:hAnsi="微软雅黑" w:eastAsia="微软雅黑" w:cs="微软雅黑"/>
          <w:highlight w:val="none"/>
          <w:lang w:val="zh-CN"/>
        </w:rPr>
        <w:t>投标计量单位，磋商文件已有明确规定的，使用磋商文件规定的计量单位；磋商文件没有规定的，应采用中华人民共和国法定计量单位（货币单位：人民币元），否则视同未响应。</w:t>
      </w:r>
      <w:bookmarkEnd w:id="104"/>
    </w:p>
    <w:p w14:paraId="2D439F58">
      <w:pPr>
        <w:pStyle w:val="291"/>
        <w:spacing w:before="0"/>
        <w:ind w:firstLine="420"/>
        <w:outlineLvl w:val="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（四）响应文件的提交、补充、修改、撤回</w:t>
      </w:r>
    </w:p>
    <w:p w14:paraId="1644AF84">
      <w:pPr>
        <w:pStyle w:val="29"/>
        <w:numPr>
          <w:ilvl w:val="0"/>
          <w:numId w:val="23"/>
        </w:numPr>
        <w:spacing w:line="360" w:lineRule="auto"/>
        <w:ind w:left="5" w:firstLine="415" w:firstLineChars="0"/>
        <w:outlineLvl w:val="9"/>
        <w:rPr>
          <w:rFonts w:hint="eastAsia" w:ascii="微软雅黑" w:hAnsi="微软雅黑" w:eastAsia="微软雅黑" w:cs="微软雅黑"/>
          <w:highlight w:val="none"/>
          <w:lang w:val="zh-CN"/>
        </w:rPr>
      </w:pPr>
      <w:bookmarkStart w:id="105" w:name="_Toc29251"/>
      <w:r>
        <w:rPr>
          <w:rFonts w:hint="eastAsia" w:ascii="微软雅黑" w:hAnsi="微软雅黑" w:eastAsia="微软雅黑" w:cs="微软雅黑"/>
          <w:highlight w:val="none"/>
          <w:lang w:val="zh-CN"/>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bookmarkEnd w:id="105"/>
    </w:p>
    <w:p w14:paraId="640E0570">
      <w:pPr>
        <w:pStyle w:val="29"/>
        <w:numPr>
          <w:ilvl w:val="0"/>
          <w:numId w:val="23"/>
        </w:numPr>
        <w:spacing w:line="360" w:lineRule="auto"/>
        <w:ind w:left="5" w:firstLine="415" w:firstLineChars="0"/>
        <w:outlineLvl w:val="9"/>
        <w:rPr>
          <w:rFonts w:hint="eastAsia" w:ascii="微软雅黑" w:hAnsi="微软雅黑" w:eastAsia="微软雅黑" w:cs="微软雅黑"/>
          <w:highlight w:val="none"/>
          <w:lang w:val="zh-CN"/>
        </w:rPr>
      </w:pPr>
      <w:bookmarkStart w:id="106" w:name="_Toc26583"/>
      <w:r>
        <w:rPr>
          <w:rFonts w:hint="eastAsia" w:ascii="微软雅黑" w:hAnsi="微软雅黑" w:eastAsia="微软雅黑" w:cs="微软雅黑"/>
          <w:highlight w:val="none"/>
          <w:lang w:val="zh-CN"/>
        </w:rPr>
        <w:t>电子交易平台收到响应文件，将妥善保存并即时向供应商发出确认回执通知。在投标截止时间前，除供应商补充、修改或者撤回响应文件外，任何单位和个人不得解密或提取响应文件。</w:t>
      </w:r>
      <w:bookmarkEnd w:id="106"/>
    </w:p>
    <w:p w14:paraId="08F37328">
      <w:pPr>
        <w:pStyle w:val="29"/>
        <w:numPr>
          <w:ilvl w:val="0"/>
          <w:numId w:val="23"/>
        </w:numPr>
        <w:spacing w:line="360" w:lineRule="auto"/>
        <w:ind w:left="5" w:firstLine="415" w:firstLineChars="0"/>
        <w:outlineLvl w:val="9"/>
        <w:rPr>
          <w:rFonts w:hint="eastAsia" w:ascii="微软雅黑" w:hAnsi="微软雅黑" w:eastAsia="微软雅黑" w:cs="微软雅黑"/>
          <w:highlight w:val="none"/>
          <w:lang w:val="zh-CN"/>
        </w:rPr>
      </w:pPr>
      <w:bookmarkStart w:id="107" w:name="_Toc16446"/>
      <w:r>
        <w:rPr>
          <w:rFonts w:hint="eastAsia" w:ascii="微软雅黑" w:hAnsi="微软雅黑" w:eastAsia="微软雅黑" w:cs="微软雅黑"/>
          <w:highlight w:val="none"/>
          <w:lang w:val="zh-CN"/>
        </w:rPr>
        <w:t>采购人、采购机构可以视情况延长响应文件提交的截止时间。在上述情况下，采购机构与投标供应商以前在投标截止期方面的全部权利、责任和义务，将适用于延长至新的投标截止期。</w:t>
      </w:r>
      <w:bookmarkEnd w:id="107"/>
    </w:p>
    <w:p w14:paraId="7E95745C">
      <w:pPr>
        <w:snapToGrid w:val="0"/>
        <w:ind w:firstLine="412" w:firstLineChars="196"/>
        <w:outlineLvl w:val="2"/>
        <w:rPr>
          <w:rFonts w:hint="eastAsia" w:ascii="微软雅黑" w:hAnsi="微软雅黑" w:eastAsia="微软雅黑" w:cs="微软雅黑"/>
          <w:b/>
          <w:szCs w:val="21"/>
          <w:highlight w:val="none"/>
        </w:rPr>
      </w:pPr>
      <w:bookmarkStart w:id="108" w:name="_Toc406402947"/>
      <w:bookmarkStart w:id="109" w:name="_Toc385854147"/>
      <w:bookmarkStart w:id="110" w:name="_Toc406402991"/>
      <w:bookmarkStart w:id="111" w:name="_Toc532218228"/>
      <w:bookmarkStart w:id="112" w:name="_Toc402963085"/>
      <w:bookmarkStart w:id="113" w:name="_Toc164943201"/>
      <w:bookmarkStart w:id="114" w:name="_Toc402963118"/>
      <w:bookmarkStart w:id="115" w:name="_Toc385854101"/>
      <w:r>
        <w:rPr>
          <w:rFonts w:hint="eastAsia" w:ascii="微软雅黑" w:hAnsi="微软雅黑" w:eastAsia="微软雅黑" w:cs="微软雅黑"/>
          <w:b/>
          <w:szCs w:val="21"/>
          <w:highlight w:val="none"/>
        </w:rPr>
        <w:t>（五）响应报价</w:t>
      </w:r>
      <w:bookmarkEnd w:id="108"/>
      <w:bookmarkEnd w:id="109"/>
      <w:bookmarkEnd w:id="110"/>
      <w:bookmarkEnd w:id="111"/>
      <w:bookmarkEnd w:id="112"/>
      <w:bookmarkEnd w:id="113"/>
      <w:bookmarkEnd w:id="114"/>
      <w:bookmarkEnd w:id="115"/>
    </w:p>
    <w:p w14:paraId="469DDB6B">
      <w:pPr>
        <w:pStyle w:val="29"/>
        <w:numPr>
          <w:ilvl w:val="0"/>
          <w:numId w:val="24"/>
        </w:numPr>
        <w:spacing w:line="360" w:lineRule="auto"/>
        <w:ind w:left="5" w:firstLine="415" w:firstLineChars="0"/>
        <w:outlineLvl w:val="9"/>
        <w:rPr>
          <w:rFonts w:hint="eastAsia" w:ascii="微软雅黑" w:hAnsi="微软雅黑" w:eastAsia="微软雅黑" w:cs="微软雅黑"/>
          <w:highlight w:val="none"/>
          <w:lang w:val="zh-CN"/>
        </w:rPr>
      </w:pPr>
      <w:bookmarkStart w:id="116" w:name="_Toc9042"/>
      <w:r>
        <w:rPr>
          <w:rFonts w:hint="eastAsia" w:ascii="微软雅黑" w:hAnsi="微软雅黑" w:eastAsia="微软雅黑" w:cs="微软雅黑"/>
          <w:highlight w:val="none"/>
          <w:lang w:val="zh-CN"/>
        </w:rPr>
        <w:t>响应报价应按磋商文件中相关附表格式填写。</w:t>
      </w:r>
      <w:bookmarkEnd w:id="116"/>
    </w:p>
    <w:p w14:paraId="30F76439">
      <w:pPr>
        <w:pStyle w:val="29"/>
        <w:numPr>
          <w:ilvl w:val="0"/>
          <w:numId w:val="24"/>
        </w:numPr>
        <w:spacing w:line="360" w:lineRule="auto"/>
        <w:ind w:left="5" w:firstLine="415" w:firstLineChars="0"/>
        <w:outlineLvl w:val="9"/>
        <w:rPr>
          <w:rFonts w:hint="eastAsia" w:ascii="微软雅黑" w:hAnsi="微软雅黑" w:eastAsia="微软雅黑" w:cs="微软雅黑"/>
          <w:highlight w:val="none"/>
          <w:lang w:val="zh-CN"/>
        </w:rPr>
      </w:pPr>
      <w:bookmarkStart w:id="117" w:name="_Toc11818"/>
      <w:r>
        <w:rPr>
          <w:rFonts w:hint="eastAsia" w:ascii="微软雅黑" w:hAnsi="微软雅黑" w:eastAsia="微软雅黑" w:cs="微软雅黑"/>
          <w:highlight w:val="none"/>
          <w:lang w:val="zh-CN"/>
        </w:rPr>
        <w:t>响应报价是履行合同的最终价格，应包括人工费用、设备、劳务、管理、材料、维护、利润、税金及政策性文件规定等各项应有费用， 以及为完成本项目所需要的全部费用。</w:t>
      </w:r>
      <w:bookmarkEnd w:id="117"/>
    </w:p>
    <w:p w14:paraId="1DCCBC12">
      <w:pPr>
        <w:pStyle w:val="29"/>
        <w:numPr>
          <w:ilvl w:val="0"/>
          <w:numId w:val="24"/>
        </w:numPr>
        <w:spacing w:line="360" w:lineRule="auto"/>
        <w:ind w:left="5" w:firstLine="415" w:firstLineChars="0"/>
        <w:outlineLvl w:val="9"/>
        <w:rPr>
          <w:rFonts w:hint="eastAsia" w:ascii="微软雅黑" w:hAnsi="微软雅黑" w:eastAsia="微软雅黑" w:cs="微软雅黑"/>
          <w:highlight w:val="none"/>
          <w:lang w:val="zh-CN"/>
        </w:rPr>
      </w:pPr>
      <w:bookmarkStart w:id="118" w:name="_Toc18072"/>
      <w:r>
        <w:rPr>
          <w:rFonts w:hint="eastAsia" w:ascii="微软雅黑" w:hAnsi="微软雅黑" w:eastAsia="微软雅黑" w:cs="微软雅黑"/>
          <w:highlight w:val="none"/>
          <w:lang w:val="zh-CN"/>
        </w:rPr>
        <w:t>响应文件只允许有一个报价，有选择的或有条件的报价将不予接受。</w:t>
      </w:r>
      <w:bookmarkEnd w:id="118"/>
    </w:p>
    <w:p w14:paraId="5257BE74">
      <w:pPr>
        <w:snapToGrid w:val="0"/>
        <w:ind w:firstLine="412" w:firstLineChars="196"/>
        <w:outlineLvl w:val="2"/>
        <w:rPr>
          <w:rFonts w:hint="eastAsia" w:ascii="微软雅黑" w:hAnsi="微软雅黑" w:eastAsia="微软雅黑" w:cs="微软雅黑"/>
          <w:b/>
          <w:szCs w:val="21"/>
          <w:highlight w:val="none"/>
        </w:rPr>
      </w:pPr>
      <w:bookmarkStart w:id="119" w:name="_Toc164943202"/>
      <w:r>
        <w:rPr>
          <w:rFonts w:hint="eastAsia" w:ascii="微软雅黑" w:hAnsi="微软雅黑" w:eastAsia="微软雅黑" w:cs="微软雅黑"/>
          <w:b/>
          <w:szCs w:val="21"/>
          <w:highlight w:val="none"/>
        </w:rPr>
        <w:t>（六）响应文件的有效期</w:t>
      </w:r>
      <w:bookmarkEnd w:id="119"/>
    </w:p>
    <w:p w14:paraId="0B323FA9">
      <w:pPr>
        <w:pStyle w:val="29"/>
        <w:numPr>
          <w:ilvl w:val="0"/>
          <w:numId w:val="25"/>
        </w:numPr>
        <w:spacing w:line="360" w:lineRule="auto"/>
        <w:ind w:left="0" w:leftChars="0" w:firstLine="420" w:firstLineChars="0"/>
        <w:outlineLvl w:val="9"/>
        <w:rPr>
          <w:rFonts w:hint="eastAsia" w:ascii="微软雅黑" w:hAnsi="微软雅黑" w:eastAsia="微软雅黑" w:cs="微软雅黑"/>
          <w:highlight w:val="none"/>
          <w:lang w:val="zh-CN"/>
        </w:rPr>
      </w:pPr>
      <w:bookmarkStart w:id="120" w:name="_Toc4829"/>
      <w:r>
        <w:rPr>
          <w:rFonts w:hint="eastAsia" w:ascii="微软雅黑" w:hAnsi="微软雅黑" w:eastAsia="微软雅黑" w:cs="微软雅黑"/>
          <w:highlight w:val="none"/>
          <w:lang w:val="zh-CN"/>
        </w:rPr>
        <w:t>自投标截止日起90天响应文件应保持有效。有效期不足的响应文件将被拒绝。</w:t>
      </w:r>
      <w:bookmarkEnd w:id="120"/>
    </w:p>
    <w:p w14:paraId="21C0EFDE">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21" w:name="_Toc27663"/>
      <w:r>
        <w:rPr>
          <w:rFonts w:hint="eastAsia" w:ascii="微软雅黑" w:hAnsi="微软雅黑" w:eastAsia="微软雅黑" w:cs="微软雅黑"/>
          <w:highlight w:val="none"/>
          <w:lang w:val="zh-CN"/>
        </w:rPr>
        <w:t>在特殊情况下，采购人可与投标供应商协商延长投标书的有效期，这种要求和答复均以书面形式进行。</w:t>
      </w:r>
      <w:bookmarkEnd w:id="121"/>
    </w:p>
    <w:p w14:paraId="01BED757">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22" w:name="_Toc402963087"/>
      <w:bookmarkStart w:id="123" w:name="_Toc406402993"/>
      <w:bookmarkStart w:id="124" w:name="_Toc385854149"/>
      <w:bookmarkStart w:id="125" w:name="_Toc532218229"/>
      <w:bookmarkStart w:id="126" w:name="_Toc402963120"/>
      <w:bookmarkStart w:id="127" w:name="_Toc27240"/>
      <w:bookmarkStart w:id="128" w:name="_Toc406402949"/>
      <w:bookmarkStart w:id="129" w:name="_Toc385854103"/>
      <w:r>
        <w:rPr>
          <w:rFonts w:hint="eastAsia" w:ascii="微软雅黑" w:hAnsi="微软雅黑" w:eastAsia="微软雅黑" w:cs="微软雅黑"/>
          <w:highlight w:val="none"/>
          <w:lang w:val="zh-CN"/>
        </w:rPr>
        <w:t>中标供应商的响应文件自开标之日起至合同履行完毕止均应保持有效。</w:t>
      </w:r>
      <w:bookmarkEnd w:id="122"/>
      <w:bookmarkEnd w:id="123"/>
      <w:bookmarkEnd w:id="124"/>
      <w:bookmarkEnd w:id="125"/>
      <w:bookmarkEnd w:id="126"/>
      <w:bookmarkEnd w:id="127"/>
      <w:bookmarkEnd w:id="128"/>
      <w:bookmarkEnd w:id="129"/>
    </w:p>
    <w:p w14:paraId="1157E738">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30" w:name="_Toc17856"/>
      <w:r>
        <w:rPr>
          <w:rFonts w:hint="eastAsia" w:ascii="微软雅黑" w:hAnsi="微软雅黑" w:eastAsia="微软雅黑" w:cs="微软雅黑"/>
          <w:highlight w:val="none"/>
          <w:lang w:val="zh-CN"/>
        </w:rPr>
        <w:t>在原定投标有效期满之前，如果出现特殊情况，采购机构可以以书面形式通知投标供应商延长投标有效期。投标供应商同意延长的，不得要求或被允许修改其响应文件，投标供应商拒绝延长的，其投标无效。</w:t>
      </w:r>
      <w:bookmarkEnd w:id="130"/>
    </w:p>
    <w:p w14:paraId="744E152D">
      <w:pPr>
        <w:snapToGrid w:val="0"/>
        <w:ind w:firstLine="420"/>
        <w:outlineLvl w:val="2"/>
        <w:rPr>
          <w:rFonts w:hint="eastAsia" w:ascii="微软雅黑" w:hAnsi="微软雅黑" w:eastAsia="微软雅黑" w:cs="微软雅黑"/>
          <w:b/>
          <w:szCs w:val="21"/>
          <w:highlight w:val="none"/>
        </w:rPr>
      </w:pPr>
      <w:bookmarkStart w:id="131" w:name="_Toc164943203"/>
      <w:r>
        <w:rPr>
          <w:rFonts w:hint="eastAsia" w:ascii="微软雅黑" w:hAnsi="微软雅黑" w:eastAsia="微软雅黑" w:cs="微软雅黑"/>
          <w:b/>
          <w:szCs w:val="21"/>
          <w:highlight w:val="none"/>
        </w:rPr>
        <w:t>（七）投标无效的情形</w:t>
      </w:r>
      <w:bookmarkEnd w:id="131"/>
    </w:p>
    <w:p w14:paraId="728F5B47">
      <w:pPr>
        <w:pStyle w:val="29"/>
        <w:numPr>
          <w:ilvl w:val="0"/>
          <w:numId w:val="26"/>
        </w:numPr>
        <w:spacing w:line="360" w:lineRule="auto"/>
        <w:ind w:left="5" w:firstLine="415" w:firstLineChars="0"/>
        <w:outlineLvl w:val="9"/>
        <w:rPr>
          <w:rFonts w:hint="eastAsia" w:ascii="微软雅黑" w:hAnsi="微软雅黑" w:eastAsia="微软雅黑" w:cs="微软雅黑"/>
          <w:b/>
          <w:bCs/>
          <w:highlight w:val="none"/>
          <w:lang w:val="zh-CN"/>
        </w:rPr>
      </w:pPr>
      <w:bookmarkStart w:id="132" w:name="_Toc5121"/>
      <w:r>
        <w:rPr>
          <w:rFonts w:hint="eastAsia" w:ascii="微软雅黑" w:hAnsi="微软雅黑" w:eastAsia="微软雅黑" w:cs="微软雅黑"/>
          <w:b/>
          <w:bCs/>
          <w:highlight w:val="none"/>
          <w:lang w:val="zh-CN"/>
        </w:rPr>
        <w:t>电子响应文件解密失败的，且未在规定时间内提交有效备份响应文件的。电子响应文件解密失败，虽然在规定时间内提交了备份响应文件，但是备份响应文件无法导入或者无法读取或者不符合本磋商文件和电子交易平台要求的。</w:t>
      </w:r>
      <w:bookmarkEnd w:id="132"/>
    </w:p>
    <w:p w14:paraId="00AD9D6C">
      <w:pPr>
        <w:pStyle w:val="29"/>
        <w:numPr>
          <w:ilvl w:val="0"/>
          <w:numId w:val="26"/>
        </w:numPr>
        <w:spacing w:line="360" w:lineRule="auto"/>
        <w:ind w:left="5" w:firstLine="415" w:firstLineChars="0"/>
        <w:outlineLvl w:val="9"/>
        <w:rPr>
          <w:rFonts w:hint="eastAsia" w:ascii="微软雅黑" w:hAnsi="微软雅黑" w:eastAsia="微软雅黑" w:cs="微软雅黑"/>
          <w:b/>
          <w:bCs/>
          <w:highlight w:val="none"/>
          <w:lang w:val="zh-CN"/>
        </w:rPr>
      </w:pPr>
      <w:bookmarkStart w:id="133" w:name="_Toc7698"/>
      <w:r>
        <w:rPr>
          <w:rFonts w:hint="eastAsia" w:ascii="微软雅黑" w:hAnsi="微软雅黑" w:eastAsia="微软雅黑" w:cs="微软雅黑"/>
          <w:b/>
          <w:bCs/>
          <w:highlight w:val="none"/>
          <w:lang w:val="zh-CN"/>
        </w:rPr>
        <w:t>仅提交备份响应文件，没有在电子交易平台传输递交响应文件的。</w:t>
      </w:r>
      <w:bookmarkEnd w:id="133"/>
    </w:p>
    <w:p w14:paraId="1F7CD7A2">
      <w:pPr>
        <w:pStyle w:val="29"/>
        <w:numPr>
          <w:ilvl w:val="0"/>
          <w:numId w:val="26"/>
        </w:numPr>
        <w:spacing w:line="360" w:lineRule="auto"/>
        <w:ind w:left="5" w:firstLine="415" w:firstLineChars="0"/>
        <w:outlineLvl w:val="9"/>
        <w:rPr>
          <w:rFonts w:hint="eastAsia" w:ascii="微软雅黑" w:hAnsi="微软雅黑" w:eastAsia="微软雅黑" w:cs="微软雅黑"/>
          <w:b/>
          <w:bCs/>
          <w:highlight w:val="none"/>
          <w:lang w:val="zh-CN"/>
        </w:rPr>
      </w:pPr>
      <w:bookmarkStart w:id="134" w:name="_Toc8278"/>
      <w:r>
        <w:rPr>
          <w:rFonts w:hint="eastAsia" w:ascii="微软雅黑" w:hAnsi="微软雅黑" w:eastAsia="微软雅黑" w:cs="微软雅黑"/>
          <w:b/>
          <w:bCs/>
          <w:highlight w:val="none"/>
          <w:lang w:val="zh-CN"/>
        </w:rPr>
        <w:t>没有通过资格审查的，响应文件将被视为无效。</w:t>
      </w:r>
      <w:bookmarkEnd w:id="134"/>
    </w:p>
    <w:p w14:paraId="13691974">
      <w:pPr>
        <w:pStyle w:val="29"/>
        <w:numPr>
          <w:ilvl w:val="0"/>
          <w:numId w:val="26"/>
        </w:numPr>
        <w:spacing w:line="360" w:lineRule="auto"/>
        <w:ind w:left="5" w:firstLine="415" w:firstLineChars="0"/>
        <w:outlineLvl w:val="9"/>
        <w:rPr>
          <w:rFonts w:hint="eastAsia" w:ascii="微软雅黑" w:hAnsi="微软雅黑" w:eastAsia="微软雅黑" w:cs="微软雅黑"/>
          <w:b/>
          <w:bCs/>
          <w:highlight w:val="none"/>
          <w:lang w:val="zh-CN"/>
        </w:rPr>
      </w:pPr>
      <w:bookmarkStart w:id="135" w:name="_Toc31571"/>
      <w:r>
        <w:rPr>
          <w:rFonts w:hint="eastAsia" w:ascii="微软雅黑" w:hAnsi="微软雅黑" w:eastAsia="微软雅黑" w:cs="微软雅黑"/>
          <w:b/>
          <w:bCs/>
          <w:highlight w:val="none"/>
          <w:lang w:val="zh-CN"/>
        </w:rPr>
        <w:t>在符合性审查和商务评审时，如发现下列情形之一的，响应文件将被视为无效：</w:t>
      </w:r>
      <w:bookmarkEnd w:id="135"/>
    </w:p>
    <w:p w14:paraId="42022D94">
      <w:pPr>
        <w:pStyle w:val="29"/>
        <w:numPr>
          <w:ilvl w:val="1"/>
          <w:numId w:val="26"/>
        </w:numPr>
        <w:spacing w:line="360" w:lineRule="auto"/>
        <w:ind w:left="0" w:firstLine="420" w:firstLineChars="200"/>
        <w:outlineLvl w:val="9"/>
        <w:rPr>
          <w:rFonts w:hint="eastAsia" w:ascii="微软雅黑" w:hAnsi="微软雅黑" w:eastAsia="微软雅黑" w:cs="微软雅黑"/>
          <w:highlight w:val="none"/>
          <w:lang w:val="zh-CN"/>
        </w:rPr>
      </w:pPr>
      <w:bookmarkStart w:id="136" w:name="_Toc15213"/>
      <w:r>
        <w:rPr>
          <w:rFonts w:hint="eastAsia" w:ascii="微软雅黑" w:hAnsi="微软雅黑" w:eastAsia="微软雅黑" w:cs="微软雅黑"/>
          <w:highlight w:val="none"/>
          <w:lang w:val="zh-CN"/>
        </w:rPr>
        <w:t>电子响应文件未按规定要求提供电子签章的。</w:t>
      </w:r>
      <w:bookmarkEnd w:id="136"/>
    </w:p>
    <w:p w14:paraId="689B4BF6">
      <w:pPr>
        <w:pStyle w:val="29"/>
        <w:numPr>
          <w:ilvl w:val="1"/>
          <w:numId w:val="26"/>
        </w:numPr>
        <w:spacing w:line="360" w:lineRule="auto"/>
        <w:ind w:left="0" w:firstLine="420" w:firstLineChars="200"/>
        <w:outlineLvl w:val="9"/>
        <w:rPr>
          <w:rFonts w:hint="eastAsia" w:ascii="微软雅黑" w:hAnsi="微软雅黑" w:eastAsia="微软雅黑" w:cs="微软雅黑"/>
          <w:highlight w:val="none"/>
          <w:lang w:val="zh-CN"/>
        </w:rPr>
      </w:pPr>
      <w:bookmarkStart w:id="137" w:name="_Toc25759"/>
      <w:r>
        <w:rPr>
          <w:rFonts w:hint="eastAsia" w:ascii="微软雅黑" w:hAnsi="微软雅黑" w:eastAsia="微软雅黑" w:cs="微软雅黑"/>
          <w:highlight w:val="none"/>
          <w:lang w:val="zh-CN"/>
        </w:rPr>
        <w:t>未按要求对资格文件进行承诺，或虚假承诺的。</w:t>
      </w:r>
      <w:bookmarkEnd w:id="137"/>
    </w:p>
    <w:p w14:paraId="28BDFF93">
      <w:pPr>
        <w:pStyle w:val="29"/>
        <w:numPr>
          <w:ilvl w:val="1"/>
          <w:numId w:val="26"/>
        </w:numPr>
        <w:spacing w:line="360" w:lineRule="auto"/>
        <w:ind w:left="0" w:firstLine="420" w:firstLineChars="200"/>
        <w:outlineLvl w:val="9"/>
        <w:rPr>
          <w:rFonts w:hint="eastAsia" w:ascii="微软雅黑" w:hAnsi="微软雅黑" w:eastAsia="微软雅黑" w:cs="微软雅黑"/>
          <w:highlight w:val="none"/>
          <w:lang w:val="zh-CN"/>
        </w:rPr>
      </w:pPr>
      <w:bookmarkStart w:id="138" w:name="_Toc22132"/>
      <w:r>
        <w:rPr>
          <w:rFonts w:hint="eastAsia" w:ascii="微软雅黑" w:hAnsi="微软雅黑" w:eastAsia="微软雅黑" w:cs="微软雅黑"/>
          <w:highlight w:val="none"/>
          <w:lang w:val="zh-CN"/>
        </w:rPr>
        <w:t>未提供法定代表人授权委托书、投标函或者填写项目不齐全的。</w:t>
      </w:r>
      <w:bookmarkEnd w:id="138"/>
    </w:p>
    <w:p w14:paraId="1C0270C3">
      <w:pPr>
        <w:pStyle w:val="29"/>
        <w:numPr>
          <w:ilvl w:val="1"/>
          <w:numId w:val="26"/>
        </w:numPr>
        <w:spacing w:line="360" w:lineRule="auto"/>
        <w:ind w:left="0" w:firstLine="420" w:firstLineChars="200"/>
        <w:outlineLvl w:val="9"/>
        <w:rPr>
          <w:rFonts w:hint="eastAsia" w:ascii="微软雅黑" w:hAnsi="微软雅黑" w:eastAsia="微软雅黑" w:cs="微软雅黑"/>
          <w:highlight w:val="none"/>
          <w:lang w:val="zh-CN"/>
        </w:rPr>
      </w:pPr>
      <w:bookmarkStart w:id="139" w:name="_Toc31461"/>
      <w:r>
        <w:rPr>
          <w:rFonts w:hint="eastAsia" w:ascii="微软雅黑" w:hAnsi="微软雅黑" w:eastAsia="微软雅黑" w:cs="微软雅黑"/>
          <w:highlight w:val="none"/>
          <w:lang w:val="zh-CN"/>
        </w:rPr>
        <w:t>响应文件格式不规范、项目不齐全或者内容虚假的。</w:t>
      </w:r>
      <w:bookmarkEnd w:id="139"/>
    </w:p>
    <w:p w14:paraId="24ACB1D2">
      <w:pPr>
        <w:pStyle w:val="29"/>
        <w:numPr>
          <w:ilvl w:val="1"/>
          <w:numId w:val="26"/>
        </w:numPr>
        <w:spacing w:line="360" w:lineRule="auto"/>
        <w:ind w:left="0" w:firstLine="420" w:firstLineChars="200"/>
        <w:outlineLvl w:val="9"/>
        <w:rPr>
          <w:rFonts w:hint="eastAsia" w:ascii="微软雅黑" w:hAnsi="微软雅黑" w:eastAsia="微软雅黑" w:cs="微软雅黑"/>
          <w:highlight w:val="none"/>
          <w:lang w:val="zh-CN"/>
        </w:rPr>
      </w:pPr>
      <w:bookmarkStart w:id="140" w:name="_Toc6453"/>
      <w:r>
        <w:rPr>
          <w:rFonts w:hint="eastAsia" w:ascii="微软雅黑" w:hAnsi="微软雅黑" w:eastAsia="微软雅黑" w:cs="微软雅黑"/>
          <w:highlight w:val="none"/>
          <w:lang w:val="zh-CN"/>
        </w:rPr>
        <w:t>响应文件的实质性内容未使用中文表述、意思表述不明确、前后矛盾或者使用计量单位不符合磋商文件要求的（经评标委员会认定并允许其当场更正的笔误除外）。</w:t>
      </w:r>
      <w:bookmarkEnd w:id="140"/>
    </w:p>
    <w:p w14:paraId="102E9BFC">
      <w:pPr>
        <w:pStyle w:val="29"/>
        <w:numPr>
          <w:ilvl w:val="1"/>
          <w:numId w:val="26"/>
        </w:numPr>
        <w:spacing w:line="360" w:lineRule="auto"/>
        <w:ind w:left="0" w:firstLine="420" w:firstLineChars="200"/>
        <w:outlineLvl w:val="9"/>
        <w:rPr>
          <w:rFonts w:hint="eastAsia" w:ascii="微软雅黑" w:hAnsi="微软雅黑" w:eastAsia="微软雅黑" w:cs="微软雅黑"/>
          <w:highlight w:val="none"/>
          <w:lang w:val="zh-CN"/>
        </w:rPr>
      </w:pPr>
      <w:bookmarkStart w:id="141" w:name="_Toc28432"/>
      <w:r>
        <w:rPr>
          <w:rFonts w:hint="eastAsia" w:ascii="微软雅黑" w:hAnsi="微软雅黑" w:eastAsia="微软雅黑" w:cs="微软雅黑"/>
          <w:highlight w:val="none"/>
          <w:lang w:val="zh-CN"/>
        </w:rPr>
        <w:t>投标有效期、服务承诺等商务条款不能满足磋商文件要求的。</w:t>
      </w:r>
      <w:bookmarkEnd w:id="141"/>
    </w:p>
    <w:p w14:paraId="6722CC17">
      <w:pPr>
        <w:pStyle w:val="29"/>
        <w:numPr>
          <w:ilvl w:val="1"/>
          <w:numId w:val="26"/>
        </w:numPr>
        <w:spacing w:line="360" w:lineRule="auto"/>
        <w:ind w:left="0" w:firstLine="420" w:firstLineChars="200"/>
        <w:outlineLvl w:val="9"/>
        <w:rPr>
          <w:rFonts w:hint="eastAsia" w:ascii="微软雅黑" w:hAnsi="微软雅黑" w:eastAsia="微软雅黑" w:cs="微软雅黑"/>
          <w:highlight w:val="none"/>
          <w:lang w:val="zh-CN"/>
        </w:rPr>
      </w:pPr>
      <w:bookmarkStart w:id="142" w:name="_Toc8201"/>
      <w:r>
        <w:rPr>
          <w:rFonts w:hint="eastAsia" w:ascii="微软雅黑" w:hAnsi="微软雅黑" w:eastAsia="微软雅黑" w:cs="微软雅黑"/>
          <w:highlight w:val="none"/>
          <w:lang w:val="zh-CN"/>
        </w:rPr>
        <w:t>未实质性响应磋商文件要求或者响应文件有采购人不能接受的附加条件的。</w:t>
      </w:r>
      <w:bookmarkEnd w:id="142"/>
    </w:p>
    <w:p w14:paraId="3CFC7B60">
      <w:pPr>
        <w:pStyle w:val="29"/>
        <w:numPr>
          <w:ilvl w:val="1"/>
          <w:numId w:val="26"/>
        </w:numPr>
        <w:spacing w:line="360" w:lineRule="auto"/>
        <w:ind w:left="0" w:firstLine="420" w:firstLineChars="200"/>
        <w:outlineLvl w:val="9"/>
        <w:rPr>
          <w:rFonts w:hint="eastAsia" w:ascii="微软雅黑" w:hAnsi="微软雅黑" w:eastAsia="微软雅黑" w:cs="微软雅黑"/>
          <w:highlight w:val="none"/>
          <w:lang w:val="zh-CN"/>
        </w:rPr>
      </w:pPr>
      <w:bookmarkStart w:id="143" w:name="_Toc26286"/>
      <w:r>
        <w:rPr>
          <w:rFonts w:hint="eastAsia" w:ascii="微软雅黑" w:hAnsi="微软雅黑" w:eastAsia="微软雅黑" w:cs="微软雅黑"/>
          <w:highlight w:val="none"/>
          <w:lang w:val="zh-CN"/>
        </w:rPr>
        <w:t>不符合本磋商文件中的实质性要求条款。</w:t>
      </w:r>
      <w:bookmarkEnd w:id="143"/>
    </w:p>
    <w:p w14:paraId="3D15F6BB">
      <w:pPr>
        <w:pStyle w:val="29"/>
        <w:numPr>
          <w:ilvl w:val="0"/>
          <w:numId w:val="26"/>
        </w:numPr>
        <w:spacing w:line="360" w:lineRule="auto"/>
        <w:ind w:left="5" w:firstLine="415" w:firstLineChars="0"/>
        <w:outlineLvl w:val="9"/>
        <w:rPr>
          <w:rFonts w:hint="eastAsia" w:ascii="微软雅黑" w:hAnsi="微软雅黑" w:eastAsia="微软雅黑" w:cs="微软雅黑"/>
          <w:b/>
          <w:bCs/>
          <w:highlight w:val="none"/>
          <w:lang w:val="zh-CN"/>
        </w:rPr>
      </w:pPr>
      <w:bookmarkStart w:id="144" w:name="_Toc29310"/>
      <w:r>
        <w:rPr>
          <w:rFonts w:hint="eastAsia" w:ascii="微软雅黑" w:hAnsi="微软雅黑" w:eastAsia="微软雅黑" w:cs="微软雅黑"/>
          <w:b/>
          <w:bCs/>
          <w:highlight w:val="none"/>
          <w:lang w:val="zh-CN"/>
        </w:rPr>
        <w:t>在技术评审时，如发现下列情形之一的，响应文件将被视为无效：</w:t>
      </w:r>
      <w:bookmarkEnd w:id="144"/>
    </w:p>
    <w:p w14:paraId="0EA72A25">
      <w:pPr>
        <w:pStyle w:val="29"/>
        <w:numPr>
          <w:ilvl w:val="1"/>
          <w:numId w:val="26"/>
        </w:numPr>
        <w:spacing w:line="360" w:lineRule="auto"/>
        <w:ind w:left="7" w:firstLine="411" w:firstLineChars="196"/>
        <w:outlineLvl w:val="9"/>
        <w:rPr>
          <w:rFonts w:hint="eastAsia" w:ascii="微软雅黑" w:hAnsi="微软雅黑" w:eastAsia="微软雅黑" w:cs="微软雅黑"/>
          <w:highlight w:val="none"/>
          <w:lang w:val="zh-CN"/>
        </w:rPr>
      </w:pPr>
      <w:bookmarkStart w:id="145" w:name="_Toc10883"/>
      <w:r>
        <w:rPr>
          <w:rFonts w:hint="eastAsia" w:ascii="微软雅黑" w:hAnsi="微软雅黑" w:eastAsia="微软雅黑" w:cs="微软雅黑"/>
          <w:highlight w:val="none"/>
          <w:lang w:val="zh-CN"/>
        </w:rPr>
        <w:t>未提供或未如实提供投标货物的技术参数，或者响应文件标明的响应或偏离与事实不符或虚假投标的。</w:t>
      </w:r>
      <w:bookmarkEnd w:id="145"/>
    </w:p>
    <w:p w14:paraId="3E08887C">
      <w:pPr>
        <w:pStyle w:val="29"/>
        <w:numPr>
          <w:ilvl w:val="1"/>
          <w:numId w:val="26"/>
        </w:numPr>
        <w:spacing w:line="360" w:lineRule="auto"/>
        <w:ind w:left="7" w:firstLine="411" w:firstLineChars="196"/>
        <w:outlineLvl w:val="9"/>
        <w:rPr>
          <w:rFonts w:hint="eastAsia" w:ascii="微软雅黑" w:hAnsi="微软雅黑" w:eastAsia="微软雅黑" w:cs="微软雅黑"/>
          <w:highlight w:val="none"/>
          <w:lang w:val="zh-CN"/>
        </w:rPr>
      </w:pPr>
      <w:bookmarkStart w:id="146" w:name="_Toc16394"/>
      <w:r>
        <w:rPr>
          <w:rFonts w:hint="eastAsia" w:ascii="微软雅黑" w:hAnsi="微软雅黑" w:eastAsia="微软雅黑" w:cs="微软雅黑"/>
          <w:highlight w:val="none"/>
          <w:lang w:val="zh-CN"/>
        </w:rPr>
        <w:t>明显不符合磋商文件要求的规格型号、质量标准，或者与磋商文件中标“▲”的技术指标、主要功能项目发生实质性偏离的。</w:t>
      </w:r>
      <w:bookmarkEnd w:id="146"/>
    </w:p>
    <w:p w14:paraId="6868DBFB">
      <w:pPr>
        <w:pStyle w:val="29"/>
        <w:numPr>
          <w:ilvl w:val="1"/>
          <w:numId w:val="26"/>
        </w:numPr>
        <w:spacing w:line="360" w:lineRule="auto"/>
        <w:ind w:left="7" w:firstLine="411" w:firstLineChars="196"/>
        <w:outlineLvl w:val="9"/>
        <w:rPr>
          <w:rFonts w:hint="eastAsia" w:ascii="微软雅黑" w:hAnsi="微软雅黑" w:eastAsia="微软雅黑" w:cs="微软雅黑"/>
          <w:highlight w:val="none"/>
          <w:lang w:val="zh-CN"/>
        </w:rPr>
      </w:pPr>
      <w:bookmarkStart w:id="147" w:name="_Toc5857"/>
      <w:r>
        <w:rPr>
          <w:rFonts w:hint="eastAsia" w:ascii="微软雅黑" w:hAnsi="微软雅黑" w:eastAsia="微软雅黑" w:cs="微软雅黑"/>
          <w:highlight w:val="none"/>
          <w:lang w:val="zh-CN"/>
        </w:rPr>
        <w:t>投标技术方案不明确，存在一个或一个以上备选（替代）投标方案的。</w:t>
      </w:r>
      <w:bookmarkEnd w:id="147"/>
    </w:p>
    <w:p w14:paraId="19CC0B58">
      <w:pPr>
        <w:pStyle w:val="29"/>
        <w:numPr>
          <w:ilvl w:val="0"/>
          <w:numId w:val="26"/>
        </w:numPr>
        <w:spacing w:line="360" w:lineRule="auto"/>
        <w:ind w:left="5" w:firstLine="415" w:firstLineChars="0"/>
        <w:outlineLvl w:val="9"/>
        <w:rPr>
          <w:rFonts w:hint="eastAsia" w:ascii="微软雅黑" w:hAnsi="微软雅黑" w:eastAsia="微软雅黑" w:cs="微软雅黑"/>
          <w:b/>
          <w:bCs/>
          <w:highlight w:val="none"/>
          <w:lang w:val="zh-CN"/>
        </w:rPr>
      </w:pPr>
      <w:bookmarkStart w:id="148" w:name="_Toc7045"/>
      <w:r>
        <w:rPr>
          <w:rFonts w:hint="eastAsia" w:ascii="微软雅黑" w:hAnsi="微软雅黑" w:eastAsia="微软雅黑" w:cs="微软雅黑"/>
          <w:b/>
          <w:bCs/>
          <w:highlight w:val="none"/>
          <w:lang w:val="zh-CN"/>
        </w:rPr>
        <w:t>在报价评审时，如发现下列情形之一的，响应文件将被视为无效：</w:t>
      </w:r>
      <w:bookmarkEnd w:id="148"/>
    </w:p>
    <w:p w14:paraId="43DBFCAB">
      <w:pPr>
        <w:pStyle w:val="29"/>
        <w:numPr>
          <w:ilvl w:val="1"/>
          <w:numId w:val="26"/>
        </w:numPr>
        <w:spacing w:line="360" w:lineRule="auto"/>
        <w:ind w:left="7" w:firstLine="411" w:firstLineChars="196"/>
        <w:outlineLvl w:val="9"/>
        <w:rPr>
          <w:rFonts w:hint="eastAsia" w:ascii="微软雅黑" w:hAnsi="微软雅黑" w:eastAsia="微软雅黑" w:cs="微软雅黑"/>
          <w:highlight w:val="none"/>
          <w:lang w:val="zh-CN"/>
        </w:rPr>
      </w:pPr>
      <w:bookmarkStart w:id="149" w:name="_Toc17360"/>
      <w:r>
        <w:rPr>
          <w:rFonts w:hint="eastAsia" w:ascii="微软雅黑" w:hAnsi="微软雅黑" w:eastAsia="微软雅黑" w:cs="微软雅黑"/>
          <w:highlight w:val="none"/>
          <w:lang w:val="zh-CN"/>
        </w:rPr>
        <w:t>未按要求提供报价的。</w:t>
      </w:r>
      <w:bookmarkEnd w:id="149"/>
    </w:p>
    <w:p w14:paraId="697913D2">
      <w:pPr>
        <w:pStyle w:val="29"/>
        <w:numPr>
          <w:ilvl w:val="1"/>
          <w:numId w:val="26"/>
        </w:numPr>
        <w:spacing w:line="360" w:lineRule="auto"/>
        <w:ind w:left="7" w:firstLine="411" w:firstLineChars="196"/>
        <w:outlineLvl w:val="9"/>
        <w:rPr>
          <w:rFonts w:hint="eastAsia" w:ascii="微软雅黑" w:hAnsi="微软雅黑" w:eastAsia="微软雅黑" w:cs="微软雅黑"/>
          <w:highlight w:val="none"/>
          <w:lang w:val="zh-CN"/>
        </w:rPr>
      </w:pPr>
      <w:bookmarkStart w:id="150" w:name="_Toc29501"/>
      <w:r>
        <w:rPr>
          <w:rFonts w:hint="eastAsia" w:ascii="微软雅黑" w:hAnsi="微软雅黑" w:eastAsia="微软雅黑" w:cs="微软雅黑"/>
          <w:highlight w:val="none"/>
          <w:lang w:val="zh-CN"/>
        </w:rPr>
        <w:t>未采用人民币报价或者未按照磋商文件标明的币种报价的。</w:t>
      </w:r>
      <w:bookmarkEnd w:id="150"/>
    </w:p>
    <w:p w14:paraId="64FA481D">
      <w:pPr>
        <w:pStyle w:val="29"/>
        <w:numPr>
          <w:ilvl w:val="1"/>
          <w:numId w:val="26"/>
        </w:numPr>
        <w:spacing w:line="360" w:lineRule="auto"/>
        <w:ind w:left="7" w:firstLine="411" w:firstLineChars="196"/>
        <w:outlineLvl w:val="9"/>
        <w:rPr>
          <w:rFonts w:hint="eastAsia" w:ascii="微软雅黑" w:hAnsi="微软雅黑" w:eastAsia="微软雅黑" w:cs="微软雅黑"/>
          <w:highlight w:val="none"/>
          <w:lang w:val="zh-CN"/>
        </w:rPr>
      </w:pPr>
      <w:bookmarkStart w:id="151" w:name="_Toc19258"/>
      <w:r>
        <w:rPr>
          <w:rFonts w:hint="eastAsia" w:ascii="微软雅黑" w:hAnsi="微软雅黑" w:eastAsia="微软雅黑" w:cs="微软雅黑"/>
          <w:highlight w:val="none"/>
          <w:lang w:val="zh-CN"/>
        </w:rPr>
        <w:t>最终报价超出最高限价的。</w:t>
      </w:r>
      <w:bookmarkEnd w:id="151"/>
    </w:p>
    <w:p w14:paraId="70AD5ECB">
      <w:pPr>
        <w:pStyle w:val="29"/>
        <w:numPr>
          <w:ilvl w:val="1"/>
          <w:numId w:val="26"/>
        </w:numPr>
        <w:spacing w:line="360" w:lineRule="auto"/>
        <w:ind w:left="7" w:firstLine="411" w:firstLineChars="196"/>
        <w:outlineLvl w:val="9"/>
        <w:rPr>
          <w:rFonts w:hint="eastAsia" w:ascii="微软雅黑" w:hAnsi="微软雅黑" w:eastAsia="微软雅黑" w:cs="微软雅黑"/>
          <w:highlight w:val="none"/>
          <w:lang w:val="zh-CN"/>
        </w:rPr>
      </w:pPr>
      <w:bookmarkStart w:id="152" w:name="_Toc13027"/>
      <w:r>
        <w:rPr>
          <w:rFonts w:hint="eastAsia" w:ascii="微软雅黑" w:hAnsi="微软雅黑" w:eastAsia="微软雅黑" w:cs="微软雅黑"/>
          <w:highlight w:val="none"/>
          <w:lang w:val="zh-CN"/>
        </w:rPr>
        <w:t>投标报价具有选择性，或者开标价格与响应文件承诺的优惠（折扣）价格不一致的。</w:t>
      </w:r>
      <w:bookmarkEnd w:id="152"/>
      <w:r>
        <w:rPr>
          <w:rFonts w:hint="eastAsia" w:ascii="微软雅黑" w:hAnsi="微软雅黑" w:eastAsia="微软雅黑" w:cs="微软雅黑"/>
          <w:highlight w:val="none"/>
          <w:lang w:val="zh-CN"/>
        </w:rPr>
        <w:t xml:space="preserve">   </w:t>
      </w:r>
    </w:p>
    <w:p w14:paraId="461A7EEB">
      <w:pPr>
        <w:pStyle w:val="29"/>
        <w:numPr>
          <w:ilvl w:val="1"/>
          <w:numId w:val="26"/>
        </w:numPr>
        <w:spacing w:line="360" w:lineRule="auto"/>
        <w:ind w:left="7" w:firstLine="411" w:firstLineChars="196"/>
        <w:outlineLvl w:val="9"/>
        <w:rPr>
          <w:rFonts w:hint="eastAsia" w:ascii="微软雅黑" w:hAnsi="微软雅黑" w:eastAsia="微软雅黑" w:cs="微软雅黑"/>
          <w:highlight w:val="none"/>
          <w:lang w:val="zh-CN"/>
        </w:rPr>
      </w:pPr>
      <w:bookmarkStart w:id="153" w:name="_Toc1470"/>
      <w:r>
        <w:rPr>
          <w:rFonts w:hint="eastAsia" w:ascii="微软雅黑" w:hAnsi="微软雅黑" w:eastAsia="微软雅黑" w:cs="微软雅黑"/>
          <w:highlight w:val="none"/>
          <w:lang w:val="zh-CN"/>
        </w:rPr>
        <w:t>报价明显低于其他通过符合性审查投标供应商的报价，有可能影响产品质量或者不能诚信履约的，未能按要求提供书面说明或者提交相关证明材料，不能证明其报价合理性的;</w:t>
      </w:r>
      <w:bookmarkEnd w:id="153"/>
      <w:r>
        <w:rPr>
          <w:rFonts w:hint="eastAsia" w:ascii="微软雅黑" w:hAnsi="微软雅黑" w:eastAsia="微软雅黑" w:cs="微软雅黑"/>
          <w:highlight w:val="none"/>
          <w:lang w:val="zh-CN"/>
        </w:rPr>
        <w:t xml:space="preserve"> </w:t>
      </w:r>
    </w:p>
    <w:p w14:paraId="0183C9E1">
      <w:pPr>
        <w:pStyle w:val="29"/>
        <w:numPr>
          <w:ilvl w:val="1"/>
          <w:numId w:val="26"/>
        </w:numPr>
        <w:spacing w:line="360" w:lineRule="auto"/>
        <w:ind w:left="7" w:firstLine="411" w:firstLineChars="196"/>
        <w:outlineLvl w:val="9"/>
        <w:rPr>
          <w:rFonts w:hint="eastAsia" w:ascii="微软雅黑" w:hAnsi="微软雅黑" w:eastAsia="微软雅黑" w:cs="微软雅黑"/>
          <w:highlight w:val="none"/>
          <w:lang w:val="zh-CN"/>
        </w:rPr>
      </w:pPr>
      <w:bookmarkStart w:id="154" w:name="_Toc9630"/>
      <w:r>
        <w:rPr>
          <w:rFonts w:hint="eastAsia" w:ascii="微软雅黑" w:hAnsi="微软雅黑" w:eastAsia="微软雅黑" w:cs="微软雅黑"/>
          <w:highlight w:val="none"/>
          <w:lang w:val="zh-CN"/>
        </w:rPr>
        <w:t>报价一经涂改，应在涂改处加盖单位公章或者由法定代表人或被授权人签字（或盖章），否则其投标作无效标处理；</w:t>
      </w:r>
      <w:bookmarkEnd w:id="154"/>
      <w:r>
        <w:rPr>
          <w:rFonts w:hint="eastAsia" w:ascii="微软雅黑" w:hAnsi="微软雅黑" w:eastAsia="微软雅黑" w:cs="微软雅黑"/>
          <w:highlight w:val="none"/>
          <w:lang w:val="zh-CN"/>
        </w:rPr>
        <w:t xml:space="preserve">   </w:t>
      </w:r>
    </w:p>
    <w:p w14:paraId="37E45B4F">
      <w:pPr>
        <w:pStyle w:val="29"/>
        <w:numPr>
          <w:ilvl w:val="0"/>
          <w:numId w:val="26"/>
        </w:numPr>
        <w:spacing w:line="360" w:lineRule="auto"/>
        <w:ind w:left="5" w:firstLine="415" w:firstLineChars="0"/>
        <w:outlineLvl w:val="9"/>
        <w:rPr>
          <w:rFonts w:hint="eastAsia" w:ascii="微软雅黑" w:hAnsi="微软雅黑" w:eastAsia="微软雅黑" w:cs="微软雅黑"/>
          <w:highlight w:val="none"/>
          <w:lang w:val="zh-CN"/>
        </w:rPr>
      </w:pPr>
      <w:bookmarkStart w:id="155" w:name="_Toc6870"/>
      <w:r>
        <w:rPr>
          <w:rFonts w:hint="eastAsia" w:ascii="微软雅黑" w:hAnsi="微软雅黑" w:eastAsia="微软雅黑" w:cs="微软雅黑"/>
          <w:highlight w:val="none"/>
          <w:lang w:val="zh-CN"/>
        </w:rPr>
        <w:t>投标供应商有恶意串通、妨碍其他投标供应商的竞争行为、损害采购人或者其他投标供应商的合法权益情形的，响应文件将被视为无效</w:t>
      </w:r>
      <w:bookmarkEnd w:id="155"/>
      <w:r>
        <w:rPr>
          <w:rFonts w:hint="eastAsia" w:ascii="微软雅黑" w:hAnsi="微软雅黑" w:eastAsia="微软雅黑" w:cs="微软雅黑"/>
          <w:highlight w:val="none"/>
          <w:lang w:val="zh-CN"/>
        </w:rPr>
        <w:t>：</w:t>
      </w:r>
    </w:p>
    <w:p w14:paraId="4E8FC3BC">
      <w:pPr>
        <w:ind w:firstLine="420"/>
        <w:rPr>
          <w:rFonts w:hint="eastAsia" w:ascii="微软雅黑" w:hAnsi="微软雅黑" w:eastAsia="微软雅黑" w:cs="微软雅黑"/>
          <w:kern w:val="0"/>
          <w:szCs w:val="21"/>
          <w:highlight w:val="none"/>
          <w:shd w:val="clear" w:color="auto" w:fill="auto"/>
        </w:rPr>
      </w:pPr>
      <w:r>
        <w:rPr>
          <w:rFonts w:hint="eastAsia" w:ascii="微软雅黑" w:hAnsi="微软雅黑" w:eastAsia="微软雅黑" w:cs="微软雅黑"/>
          <w:szCs w:val="21"/>
          <w:highlight w:val="none"/>
          <w:shd w:val="clear" w:color="auto" w:fill="auto"/>
          <w:lang w:val="zh-CN"/>
        </w:rPr>
        <w:t xml:space="preserve"> </w:t>
      </w:r>
      <w:r>
        <w:rPr>
          <w:rFonts w:hint="eastAsia" w:ascii="微软雅黑" w:hAnsi="微软雅黑" w:eastAsia="微软雅黑" w:cs="微软雅黑"/>
          <w:kern w:val="0"/>
          <w:szCs w:val="21"/>
          <w:highlight w:val="none"/>
          <w:shd w:val="clear" w:color="auto" w:fill="auto"/>
        </w:rPr>
        <w:t>除政府采购法律法规规章规定的属于恶意串通、视为串通投标情形外，在不影响公平竞争的前提下，参与同一个采购包（标段）的供应商存在下列情形之一且无法合理解释的，其投标（响应）文件无效：</w:t>
      </w:r>
      <w:r>
        <w:rPr>
          <w:rFonts w:hint="eastAsia" w:ascii="微软雅黑" w:hAnsi="微软雅黑" w:eastAsia="微软雅黑" w:cs="微软雅黑"/>
          <w:kern w:val="0"/>
          <w:szCs w:val="21"/>
          <w:highlight w:val="none"/>
          <w:shd w:val="clear" w:color="auto" w:fill="auto"/>
          <w:lang w:eastAsia="zh"/>
        </w:rPr>
        <w:t>1.</w:t>
      </w:r>
      <w:r>
        <w:rPr>
          <w:rFonts w:hint="eastAsia" w:ascii="微软雅黑" w:hAnsi="微软雅黑" w:eastAsia="微软雅黑" w:cs="微软雅黑"/>
          <w:kern w:val="0"/>
          <w:szCs w:val="21"/>
          <w:highlight w:val="none"/>
          <w:shd w:val="clear" w:color="auto" w:fill="auto"/>
        </w:rPr>
        <w:t>不同供应商的电子投标（响应）文件上传计算机的网卡MAC地址或硬盘序列号等硬件信息相同的；</w:t>
      </w:r>
      <w:r>
        <w:rPr>
          <w:rFonts w:hint="eastAsia" w:ascii="微软雅黑" w:hAnsi="微软雅黑" w:eastAsia="微软雅黑" w:cs="微软雅黑"/>
          <w:kern w:val="0"/>
          <w:szCs w:val="21"/>
          <w:highlight w:val="none"/>
          <w:shd w:val="clear" w:color="auto" w:fill="auto"/>
          <w:lang w:eastAsia="zh"/>
        </w:rPr>
        <w:t>2.</w:t>
      </w:r>
      <w:r>
        <w:rPr>
          <w:rFonts w:hint="eastAsia" w:ascii="微软雅黑" w:hAnsi="微软雅黑" w:eastAsia="微软雅黑" w:cs="微软雅黑"/>
          <w:kern w:val="0"/>
          <w:szCs w:val="21"/>
          <w:highlight w:val="none"/>
          <w:shd w:val="clear" w:color="auto" w:fill="auto"/>
        </w:rPr>
        <w:t>上传的电子投标（响应）文件若出现使用本项目其他投标（响应）供应商的数字证书加密的，或者加盖本项目其他投标（响应）供应商的电子印章的；</w:t>
      </w:r>
      <w:r>
        <w:rPr>
          <w:rFonts w:hint="eastAsia" w:ascii="微软雅黑" w:hAnsi="微软雅黑" w:eastAsia="微软雅黑" w:cs="微软雅黑"/>
          <w:kern w:val="0"/>
          <w:szCs w:val="21"/>
          <w:highlight w:val="none"/>
          <w:shd w:val="clear" w:color="auto" w:fill="auto"/>
          <w:lang w:eastAsia="zh"/>
        </w:rPr>
        <w:t>3.</w:t>
      </w:r>
      <w:r>
        <w:rPr>
          <w:rFonts w:hint="eastAsia" w:ascii="微软雅黑" w:hAnsi="微软雅黑" w:eastAsia="微软雅黑" w:cs="微软雅黑"/>
          <w:kern w:val="0"/>
          <w:szCs w:val="21"/>
          <w:highlight w:val="none"/>
          <w:shd w:val="clear" w:color="auto" w:fill="auto"/>
        </w:rPr>
        <w:t>不同供应商的投标（响应）文件的内容存在</w:t>
      </w:r>
      <w:r>
        <w:rPr>
          <w:rFonts w:hint="eastAsia" w:ascii="微软雅黑" w:hAnsi="微软雅黑" w:eastAsia="微软雅黑" w:cs="微软雅黑"/>
          <w:kern w:val="0"/>
          <w:szCs w:val="21"/>
          <w:highlight w:val="none"/>
          <w:shd w:val="clear" w:color="auto" w:fill="auto"/>
          <w:lang w:eastAsia="zh"/>
        </w:rPr>
        <w:t>3</w:t>
      </w:r>
      <w:r>
        <w:rPr>
          <w:rFonts w:hint="eastAsia" w:ascii="微软雅黑" w:hAnsi="微软雅黑" w:eastAsia="微软雅黑" w:cs="微软雅黑"/>
          <w:kern w:val="0"/>
          <w:szCs w:val="21"/>
          <w:highlight w:val="none"/>
          <w:shd w:val="clear" w:color="auto" w:fill="auto"/>
        </w:rPr>
        <w:t>处（含）以上错误一致的；4</w:t>
      </w:r>
      <w:r>
        <w:rPr>
          <w:rFonts w:hint="eastAsia" w:ascii="微软雅黑" w:hAnsi="微软雅黑" w:eastAsia="微软雅黑" w:cs="微软雅黑"/>
          <w:kern w:val="0"/>
          <w:szCs w:val="21"/>
          <w:highlight w:val="none"/>
          <w:shd w:val="clear" w:color="auto" w:fill="auto"/>
          <w:lang w:eastAsia="zh"/>
        </w:rPr>
        <w:t>.</w:t>
      </w:r>
      <w:r>
        <w:rPr>
          <w:rFonts w:hint="eastAsia" w:ascii="微软雅黑" w:hAnsi="微软雅黑" w:eastAsia="微软雅黑" w:cs="微软雅黑"/>
          <w:kern w:val="0"/>
          <w:szCs w:val="21"/>
          <w:highlight w:val="none"/>
          <w:shd w:val="clear" w:color="auto" w:fill="auto"/>
        </w:rPr>
        <w:t>不同供应商联系人为同一人或不同联系人的联系电话一致的。</w:t>
      </w:r>
    </w:p>
    <w:p w14:paraId="7C54E706">
      <w:pPr>
        <w:ind w:firstLine="420"/>
        <w:rPr>
          <w:rFonts w:hint="eastAsia" w:ascii="微软雅黑" w:hAnsi="微软雅黑" w:eastAsia="微软雅黑" w:cs="微软雅黑"/>
          <w:kern w:val="0"/>
          <w:szCs w:val="21"/>
          <w:highlight w:val="none"/>
          <w:shd w:val="clear" w:color="auto" w:fill="auto"/>
          <w:lang w:val="zh-CN"/>
        </w:rPr>
      </w:pPr>
      <w:r>
        <w:rPr>
          <w:rFonts w:hint="eastAsia" w:ascii="微软雅黑" w:hAnsi="微软雅黑" w:eastAsia="微软雅黑" w:cs="微软雅黑"/>
          <w:kern w:val="0"/>
          <w:szCs w:val="21"/>
          <w:highlight w:val="none"/>
          <w:shd w:val="clear" w:color="auto" w:fill="auto"/>
        </w:rPr>
        <w:t>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r>
        <w:rPr>
          <w:rFonts w:hint="eastAsia" w:ascii="微软雅黑" w:hAnsi="微软雅黑" w:eastAsia="微软雅黑" w:cs="微软雅黑"/>
          <w:kern w:val="0"/>
          <w:szCs w:val="21"/>
          <w:highlight w:val="none"/>
          <w:shd w:val="clear" w:color="auto" w:fill="auto"/>
          <w:lang w:val="zh-CN"/>
        </w:rPr>
        <w:t xml:space="preserve"> </w:t>
      </w:r>
    </w:p>
    <w:p w14:paraId="602FC850">
      <w:pPr>
        <w:pStyle w:val="29"/>
        <w:numPr>
          <w:ilvl w:val="0"/>
          <w:numId w:val="26"/>
        </w:numPr>
        <w:spacing w:line="360" w:lineRule="auto"/>
        <w:ind w:left="5" w:firstLine="415" w:firstLineChars="0"/>
        <w:outlineLvl w:val="9"/>
        <w:rPr>
          <w:rFonts w:hint="eastAsia" w:ascii="微软雅黑" w:hAnsi="微软雅黑" w:eastAsia="微软雅黑" w:cs="微软雅黑"/>
          <w:highlight w:val="none"/>
          <w:lang w:val="zh-CN"/>
        </w:rPr>
      </w:pPr>
      <w:bookmarkStart w:id="156" w:name="_Toc8719"/>
      <w:r>
        <w:rPr>
          <w:rFonts w:hint="eastAsia" w:ascii="微软雅黑" w:hAnsi="微软雅黑" w:eastAsia="微软雅黑" w:cs="微软雅黑"/>
          <w:highlight w:val="none"/>
          <w:lang w:val="zh-CN"/>
        </w:rPr>
        <w:t>法律、法规、规章（适用本市的）及省级以上规范性文件（适用本市的）规定的其他无效情形。</w:t>
      </w:r>
      <w:bookmarkEnd w:id="156"/>
      <w:r>
        <w:rPr>
          <w:rFonts w:hint="eastAsia" w:ascii="微软雅黑" w:hAnsi="微软雅黑" w:eastAsia="微软雅黑" w:cs="微软雅黑"/>
          <w:highlight w:val="none"/>
          <w:lang w:val="zh-CN"/>
        </w:rPr>
        <w:t xml:space="preserve">                                                                                    </w:t>
      </w:r>
    </w:p>
    <w:p w14:paraId="24249E13">
      <w:pPr>
        <w:pStyle w:val="29"/>
        <w:numPr>
          <w:ilvl w:val="0"/>
          <w:numId w:val="26"/>
        </w:numPr>
        <w:spacing w:line="360" w:lineRule="auto"/>
        <w:ind w:left="5" w:firstLine="415" w:firstLineChars="0"/>
        <w:outlineLvl w:val="9"/>
        <w:rPr>
          <w:rFonts w:hint="eastAsia" w:ascii="微软雅黑" w:hAnsi="微软雅黑" w:eastAsia="微软雅黑" w:cs="微软雅黑"/>
          <w:highlight w:val="none"/>
          <w:lang w:val="zh-CN"/>
        </w:rPr>
      </w:pPr>
      <w:bookmarkStart w:id="157" w:name="_Toc26486"/>
      <w:r>
        <w:rPr>
          <w:rFonts w:hint="eastAsia" w:ascii="微软雅黑" w:hAnsi="微软雅黑" w:eastAsia="微软雅黑" w:cs="微软雅黑"/>
          <w:highlight w:val="none"/>
          <w:lang w:val="zh-CN"/>
        </w:rPr>
        <w:t>被拒绝的响应文件为无效。</w:t>
      </w:r>
      <w:bookmarkEnd w:id="157"/>
    </w:p>
    <w:p w14:paraId="2BD0FFCB">
      <w:pPr>
        <w:pStyle w:val="21"/>
        <w:snapToGrid w:val="0"/>
        <w:spacing w:after="120" w:line="360" w:lineRule="auto"/>
        <w:ind w:firstLine="202" w:firstLineChars="100"/>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（八）废标的情形</w:t>
      </w:r>
    </w:p>
    <w:p w14:paraId="0BF1CDC4">
      <w:pPr>
        <w:pStyle w:val="21"/>
        <w:snapToGrid w:val="0"/>
        <w:spacing w:after="120" w:line="360" w:lineRule="auto"/>
        <w:ind w:firstLine="404"/>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根据《中华人民共和国政府采购法》第三十六条之规定，在采购中，出现下列情形之一的，应予废标：</w:t>
      </w:r>
    </w:p>
    <w:p w14:paraId="566F8276">
      <w:pPr>
        <w:pStyle w:val="29"/>
        <w:numPr>
          <w:ilvl w:val="0"/>
          <w:numId w:val="27"/>
        </w:numPr>
        <w:spacing w:line="360" w:lineRule="auto"/>
        <w:ind w:left="5" w:firstLine="415" w:firstLineChars="0"/>
        <w:outlineLvl w:val="9"/>
        <w:rPr>
          <w:rFonts w:hint="eastAsia" w:ascii="微软雅黑" w:hAnsi="微软雅黑" w:eastAsia="微软雅黑" w:cs="微软雅黑"/>
          <w:highlight w:val="none"/>
          <w:lang w:val="zh-CN"/>
        </w:rPr>
      </w:pPr>
      <w:bookmarkStart w:id="158" w:name="_Toc5890"/>
      <w:r>
        <w:rPr>
          <w:rFonts w:hint="eastAsia" w:ascii="微软雅黑" w:hAnsi="微软雅黑" w:eastAsia="微软雅黑" w:cs="微软雅黑"/>
          <w:highlight w:val="none"/>
          <w:lang w:val="zh-CN"/>
        </w:rPr>
        <w:t>符合专业条件的供应商或者对磋商文件作实质响应的供应商不足3家的；</w:t>
      </w:r>
      <w:bookmarkEnd w:id="158"/>
    </w:p>
    <w:p w14:paraId="0EECD3CB">
      <w:pPr>
        <w:pStyle w:val="29"/>
        <w:numPr>
          <w:ilvl w:val="0"/>
          <w:numId w:val="27"/>
        </w:numPr>
        <w:spacing w:line="360" w:lineRule="auto"/>
        <w:ind w:left="5" w:firstLine="415" w:firstLineChars="0"/>
        <w:outlineLvl w:val="9"/>
        <w:rPr>
          <w:rFonts w:hint="eastAsia" w:ascii="微软雅黑" w:hAnsi="微软雅黑" w:eastAsia="微软雅黑" w:cs="微软雅黑"/>
          <w:highlight w:val="none"/>
          <w:lang w:val="zh-CN"/>
        </w:rPr>
      </w:pPr>
      <w:bookmarkStart w:id="159" w:name="_Toc5704"/>
      <w:r>
        <w:rPr>
          <w:rFonts w:hint="eastAsia" w:ascii="微软雅黑" w:hAnsi="微软雅黑" w:eastAsia="微软雅黑" w:cs="微软雅黑"/>
          <w:highlight w:val="none"/>
          <w:lang w:val="zh-CN"/>
        </w:rPr>
        <w:t>出现影响采购公正的违法、违规行为的；</w:t>
      </w:r>
      <w:bookmarkEnd w:id="159"/>
    </w:p>
    <w:p w14:paraId="2E85CDF1">
      <w:pPr>
        <w:pStyle w:val="29"/>
        <w:numPr>
          <w:ilvl w:val="0"/>
          <w:numId w:val="27"/>
        </w:numPr>
        <w:spacing w:line="360" w:lineRule="auto"/>
        <w:ind w:left="5" w:firstLine="415" w:firstLineChars="0"/>
        <w:outlineLvl w:val="9"/>
        <w:rPr>
          <w:rFonts w:hint="eastAsia" w:ascii="微软雅黑" w:hAnsi="微软雅黑" w:eastAsia="微软雅黑" w:cs="微软雅黑"/>
          <w:highlight w:val="none"/>
          <w:lang w:val="zh-CN"/>
        </w:rPr>
      </w:pPr>
      <w:bookmarkStart w:id="160" w:name="_Toc1828"/>
      <w:r>
        <w:rPr>
          <w:rFonts w:hint="eastAsia" w:ascii="微软雅黑" w:hAnsi="微软雅黑" w:eastAsia="微软雅黑" w:cs="微软雅黑"/>
          <w:highlight w:val="none"/>
          <w:lang w:val="zh-CN"/>
        </w:rPr>
        <w:t>投标供应商的报价均超过了采购预算，采购人不能支付的；</w:t>
      </w:r>
      <w:bookmarkEnd w:id="160"/>
    </w:p>
    <w:p w14:paraId="5E3A5D0F">
      <w:pPr>
        <w:pStyle w:val="29"/>
        <w:numPr>
          <w:ilvl w:val="0"/>
          <w:numId w:val="27"/>
        </w:numPr>
        <w:spacing w:line="360" w:lineRule="auto"/>
        <w:ind w:left="5" w:firstLine="415" w:firstLineChars="0"/>
        <w:outlineLvl w:val="9"/>
        <w:rPr>
          <w:rFonts w:hint="eastAsia" w:ascii="微软雅黑" w:hAnsi="微软雅黑" w:eastAsia="微软雅黑" w:cs="微软雅黑"/>
          <w:highlight w:val="none"/>
          <w:lang w:val="zh-CN"/>
        </w:rPr>
      </w:pPr>
      <w:bookmarkStart w:id="161" w:name="_Toc24375"/>
      <w:r>
        <w:rPr>
          <w:rFonts w:hint="eastAsia" w:ascii="微软雅黑" w:hAnsi="微软雅黑" w:eastAsia="微软雅黑" w:cs="微软雅黑"/>
          <w:highlight w:val="none"/>
          <w:lang w:val="zh-CN"/>
        </w:rPr>
        <w:t>因重大变故，采购任务取消的。</w:t>
      </w:r>
      <w:bookmarkEnd w:id="161"/>
    </w:p>
    <w:p w14:paraId="0010DF5F">
      <w:pPr>
        <w:pStyle w:val="21"/>
        <w:snapToGrid w:val="0"/>
        <w:spacing w:after="120" w:line="360" w:lineRule="auto"/>
        <w:ind w:firstLine="404"/>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废标后，采购机构应当将废标理由通知所有投标供应商。</w:t>
      </w:r>
    </w:p>
    <w:p w14:paraId="2255E79A">
      <w:pPr>
        <w:pStyle w:val="6"/>
        <w:ind w:firstLine="420"/>
        <w:rPr>
          <w:rFonts w:hint="eastAsia" w:ascii="微软雅黑" w:hAnsi="微软雅黑" w:eastAsia="微软雅黑" w:cs="微软雅黑"/>
          <w:szCs w:val="21"/>
          <w:highlight w:val="none"/>
        </w:rPr>
      </w:pPr>
      <w:bookmarkStart w:id="162" w:name="_Toc13050"/>
      <w:r>
        <w:rPr>
          <w:rFonts w:hint="eastAsia" w:ascii="微软雅黑" w:hAnsi="微软雅黑" w:eastAsia="微软雅黑" w:cs="微软雅黑"/>
          <w:szCs w:val="21"/>
          <w:highlight w:val="none"/>
        </w:rPr>
        <w:t>四、开标</w:t>
      </w:r>
      <w:bookmarkEnd w:id="81"/>
      <w:bookmarkEnd w:id="162"/>
    </w:p>
    <w:p w14:paraId="54A2B93D">
      <w:pPr>
        <w:pStyle w:val="29"/>
        <w:numPr>
          <w:ilvl w:val="0"/>
          <w:numId w:val="28"/>
        </w:numPr>
        <w:spacing w:line="360" w:lineRule="auto"/>
        <w:ind w:left="5" w:firstLine="415" w:firstLineChars="0"/>
        <w:outlineLvl w:val="9"/>
        <w:rPr>
          <w:rFonts w:hint="eastAsia" w:ascii="微软雅黑" w:hAnsi="微软雅黑" w:eastAsia="微软雅黑" w:cs="微软雅黑"/>
          <w:highlight w:val="none"/>
          <w:lang w:val="zh-CN"/>
        </w:rPr>
      </w:pPr>
      <w:bookmarkStart w:id="163" w:name="_Toc20457"/>
      <w:r>
        <w:rPr>
          <w:rFonts w:hint="eastAsia" w:ascii="微软雅黑" w:hAnsi="微软雅黑" w:eastAsia="微软雅黑" w:cs="微软雅黑"/>
          <w:highlight w:val="none"/>
          <w:lang w:val="zh-CN"/>
        </w:rPr>
        <w:t>本项目实行电子开评标，供应商无需到开标现场，但须准时在线参加，直至评审结束。投标供应商不足3家的，不得开标。</w:t>
      </w:r>
      <w:bookmarkEnd w:id="163"/>
    </w:p>
    <w:p w14:paraId="01A94CC7">
      <w:pPr>
        <w:pStyle w:val="29"/>
        <w:numPr>
          <w:ilvl w:val="0"/>
          <w:numId w:val="28"/>
        </w:numPr>
        <w:spacing w:line="360" w:lineRule="auto"/>
        <w:ind w:left="5" w:firstLine="415" w:firstLineChars="0"/>
        <w:outlineLvl w:val="9"/>
        <w:rPr>
          <w:rFonts w:hint="eastAsia" w:ascii="微软雅黑" w:hAnsi="微软雅黑" w:eastAsia="微软雅黑" w:cs="微软雅黑"/>
          <w:highlight w:val="none"/>
          <w:lang w:val="zh-CN"/>
        </w:rPr>
      </w:pPr>
      <w:bookmarkStart w:id="164" w:name="_Toc27620"/>
      <w:r>
        <w:rPr>
          <w:rFonts w:hint="eastAsia" w:ascii="微软雅黑" w:hAnsi="微软雅黑" w:eastAsia="微软雅黑" w:cs="微软雅黑"/>
          <w:highlight w:val="none"/>
          <w:lang w:val="zh-CN"/>
        </w:rPr>
        <w:t>投标截止时间后的半小时内，由各供应商自行对电子响应文件进行解密请各供应商务必在规定时间内完成电子响应文件的解密工作；开启报价环节，供应商须在15分钟内在系统里CA签字确认。</w:t>
      </w:r>
      <w:bookmarkEnd w:id="164"/>
    </w:p>
    <w:p w14:paraId="56F32C2F">
      <w:pPr>
        <w:pStyle w:val="29"/>
        <w:numPr>
          <w:ilvl w:val="0"/>
          <w:numId w:val="28"/>
        </w:numPr>
        <w:spacing w:line="360" w:lineRule="auto"/>
        <w:ind w:left="5" w:firstLine="415" w:firstLineChars="0"/>
        <w:outlineLvl w:val="9"/>
        <w:rPr>
          <w:rFonts w:hint="eastAsia" w:ascii="微软雅黑" w:hAnsi="微软雅黑" w:eastAsia="微软雅黑" w:cs="微软雅黑"/>
          <w:highlight w:val="none"/>
          <w:shd w:val="clear" w:color="auto" w:fill="FFFFFF"/>
          <w:lang w:val="zh-CN"/>
        </w:rPr>
      </w:pPr>
      <w:bookmarkStart w:id="165" w:name="_Toc19788"/>
      <w:r>
        <w:rPr>
          <w:rFonts w:hint="eastAsia" w:ascii="微软雅黑" w:hAnsi="微软雅黑" w:eastAsia="微软雅黑" w:cs="微软雅黑"/>
          <w:highlight w:val="none"/>
          <w:lang w:val="zh-CN"/>
        </w:rPr>
        <w:t>响应文件未按时解密，投标供应商提供了备份响应文件的，以备份响应文件作为依据，否则视为响应文件撤回。响应文件已按时解密的，备份响应文件自动失效。</w:t>
      </w:r>
      <w:bookmarkEnd w:id="165"/>
    </w:p>
    <w:p w14:paraId="49F2E243">
      <w:pPr>
        <w:pStyle w:val="6"/>
        <w:ind w:firstLine="420"/>
        <w:rPr>
          <w:rFonts w:hint="eastAsia" w:ascii="微软雅黑" w:hAnsi="微软雅黑" w:eastAsia="微软雅黑" w:cs="微软雅黑"/>
          <w:szCs w:val="21"/>
          <w:highlight w:val="none"/>
        </w:rPr>
      </w:pPr>
      <w:bookmarkStart w:id="166" w:name="_Toc33535370"/>
      <w:bookmarkStart w:id="167" w:name="_Toc8186"/>
      <w:r>
        <w:rPr>
          <w:rFonts w:hint="eastAsia" w:ascii="微软雅黑" w:hAnsi="微软雅黑" w:eastAsia="微软雅黑" w:cs="微软雅黑"/>
          <w:szCs w:val="21"/>
          <w:highlight w:val="none"/>
        </w:rPr>
        <w:t>五、磋商程序</w:t>
      </w:r>
      <w:bookmarkEnd w:id="166"/>
      <w:bookmarkEnd w:id="167"/>
    </w:p>
    <w:p w14:paraId="05DF0BD2">
      <w:pPr>
        <w:pStyle w:val="29"/>
        <w:spacing w:line="360" w:lineRule="auto"/>
        <w:rPr>
          <w:rFonts w:hint="eastAsia" w:ascii="微软雅黑" w:hAnsi="微软雅黑" w:eastAsia="微软雅黑" w:cs="微软雅黑"/>
          <w:highlight w:val="none"/>
        </w:rPr>
      </w:pPr>
      <w:bookmarkStart w:id="168" w:name="_Toc19546"/>
      <w:bookmarkStart w:id="169" w:name="_Toc24062"/>
      <w:bookmarkStart w:id="170" w:name="_Toc15983"/>
      <w:bookmarkStart w:id="171" w:name="_Toc191238334"/>
      <w:bookmarkStart w:id="172" w:name="_Toc33535371"/>
      <w:r>
        <w:rPr>
          <w:rFonts w:hint="eastAsia" w:ascii="微软雅黑" w:hAnsi="微软雅黑" w:eastAsia="微软雅黑" w:cs="微软雅黑"/>
          <w:highlight w:val="none"/>
        </w:rPr>
        <w:t>（一）组建</w:t>
      </w:r>
      <w:bookmarkEnd w:id="168"/>
      <w:r>
        <w:rPr>
          <w:rFonts w:hint="eastAsia" w:ascii="微软雅黑" w:hAnsi="微软雅黑" w:eastAsia="微软雅黑" w:cs="微软雅黑"/>
          <w:highlight w:val="none"/>
        </w:rPr>
        <w:t>磋商小组</w:t>
      </w:r>
      <w:bookmarkEnd w:id="169"/>
      <w:bookmarkEnd w:id="170"/>
      <w:bookmarkEnd w:id="171"/>
    </w:p>
    <w:p w14:paraId="58D524D8">
      <w:pPr>
        <w:pStyle w:val="29"/>
        <w:spacing w:line="360" w:lineRule="auto"/>
        <w:rPr>
          <w:rFonts w:hint="eastAsia" w:ascii="微软雅黑" w:hAnsi="微软雅黑" w:eastAsia="微软雅黑" w:cs="微软雅黑"/>
          <w:highlight w:val="none"/>
        </w:rPr>
      </w:pPr>
      <w:bookmarkStart w:id="173" w:name="_Toc29865"/>
      <w:bookmarkStart w:id="174" w:name="_Toc191238335"/>
      <w:bookmarkStart w:id="175" w:name="_Toc28157"/>
      <w:bookmarkStart w:id="176" w:name="_Toc22926"/>
      <w:r>
        <w:rPr>
          <w:rFonts w:hint="eastAsia" w:ascii="微软雅黑" w:hAnsi="微软雅黑" w:eastAsia="微软雅黑" w:cs="微软雅黑"/>
          <w:highlight w:val="none"/>
        </w:rPr>
        <w:t>磋商小组由采购人代表和评审专家组成，政府采购评审专家</w:t>
      </w:r>
      <w:r>
        <w:rPr>
          <w:rFonts w:hint="eastAsia" w:ascii="微软雅黑" w:hAnsi="微软雅黑" w:eastAsia="微软雅黑" w:cs="微软雅黑"/>
          <w:highlight w:val="none"/>
          <w:u w:val="single"/>
        </w:rPr>
        <w:t>2</w:t>
      </w:r>
      <w:r>
        <w:rPr>
          <w:rFonts w:hint="eastAsia" w:ascii="微软雅黑" w:hAnsi="微软雅黑" w:eastAsia="微软雅黑" w:cs="微软雅黑"/>
          <w:highlight w:val="none"/>
        </w:rPr>
        <w:t>人和采购人代表</w:t>
      </w:r>
      <w:r>
        <w:rPr>
          <w:rFonts w:hint="eastAsia" w:ascii="微软雅黑" w:hAnsi="微软雅黑" w:eastAsia="微软雅黑" w:cs="微软雅黑"/>
          <w:highlight w:val="none"/>
          <w:u w:val="single"/>
        </w:rPr>
        <w:t xml:space="preserve"> 1 </w:t>
      </w:r>
      <w:r>
        <w:rPr>
          <w:rFonts w:hint="eastAsia" w:ascii="微软雅黑" w:hAnsi="微软雅黑" w:eastAsia="微软雅黑" w:cs="微软雅黑"/>
          <w:highlight w:val="none"/>
        </w:rPr>
        <w:t>人，共</w:t>
      </w:r>
      <w:r>
        <w:rPr>
          <w:rFonts w:hint="eastAsia" w:ascii="微软雅黑" w:hAnsi="微软雅黑" w:eastAsia="微软雅黑" w:cs="微软雅黑"/>
          <w:highlight w:val="none"/>
          <w:u w:val="single"/>
        </w:rPr>
        <w:t xml:space="preserve"> 3</w:t>
      </w:r>
      <w:r>
        <w:rPr>
          <w:rFonts w:hint="eastAsia" w:ascii="微软雅黑" w:hAnsi="微软雅黑" w:eastAsia="微软雅黑" w:cs="微软雅黑"/>
          <w:highlight w:val="none"/>
        </w:rPr>
        <w:t>人组成。</w:t>
      </w:r>
      <w:bookmarkEnd w:id="173"/>
      <w:bookmarkEnd w:id="174"/>
      <w:bookmarkEnd w:id="175"/>
      <w:bookmarkEnd w:id="176"/>
    </w:p>
    <w:p w14:paraId="03F35D18">
      <w:pPr>
        <w:widowControl/>
        <w:shd w:val="clear" w:color="auto" w:fill="FFFFFF"/>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highlight w:val="none"/>
        </w:rPr>
        <w:t>磋商小组</w:t>
      </w:r>
      <w:r>
        <w:rPr>
          <w:rFonts w:hint="eastAsia" w:ascii="微软雅黑" w:hAnsi="微软雅黑" w:eastAsia="微软雅黑" w:cs="微软雅黑"/>
          <w:kern w:val="0"/>
          <w:szCs w:val="21"/>
          <w:highlight w:val="none"/>
        </w:rPr>
        <w:t>负责具体评标事务，并独立履行下列职责：</w:t>
      </w:r>
    </w:p>
    <w:p w14:paraId="2A472767">
      <w:pPr>
        <w:pStyle w:val="29"/>
        <w:widowControl/>
        <w:numPr>
          <w:ilvl w:val="0"/>
          <w:numId w:val="29"/>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77" w:name="_Toc4923"/>
      <w:r>
        <w:rPr>
          <w:rFonts w:hint="eastAsia" w:ascii="微软雅黑" w:hAnsi="微软雅黑" w:eastAsia="微软雅黑" w:cs="微软雅黑"/>
          <w:highlight w:val="none"/>
          <w:lang w:val="zh-CN"/>
        </w:rPr>
        <w:t>审查、评价响应文件是否符合磋商文件的商务、技术等实质性要求。</w:t>
      </w:r>
      <w:bookmarkEnd w:id="177"/>
    </w:p>
    <w:p w14:paraId="06BF716A">
      <w:pPr>
        <w:pStyle w:val="29"/>
        <w:widowControl/>
        <w:numPr>
          <w:ilvl w:val="0"/>
          <w:numId w:val="29"/>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78" w:name="_Toc18875"/>
      <w:r>
        <w:rPr>
          <w:rFonts w:hint="eastAsia" w:ascii="微软雅黑" w:hAnsi="微软雅黑" w:eastAsia="微软雅黑" w:cs="微软雅黑"/>
          <w:highlight w:val="none"/>
          <w:lang w:val="zh-CN"/>
        </w:rPr>
        <w:t>要求投标供应商对响应文件有关事项做出澄清或者说明。</w:t>
      </w:r>
      <w:bookmarkEnd w:id="178"/>
    </w:p>
    <w:p w14:paraId="796E9E8F">
      <w:pPr>
        <w:pStyle w:val="29"/>
        <w:widowControl/>
        <w:numPr>
          <w:ilvl w:val="0"/>
          <w:numId w:val="29"/>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79" w:name="_Toc11714"/>
      <w:r>
        <w:rPr>
          <w:rFonts w:hint="eastAsia" w:ascii="微软雅黑" w:hAnsi="微软雅黑" w:eastAsia="微软雅黑" w:cs="微软雅黑"/>
          <w:highlight w:val="none"/>
          <w:lang w:val="zh-CN"/>
        </w:rPr>
        <w:t>对响应文件进行比较和评价。</w:t>
      </w:r>
      <w:bookmarkEnd w:id="179"/>
    </w:p>
    <w:p w14:paraId="23C5D6DA">
      <w:pPr>
        <w:pStyle w:val="29"/>
        <w:widowControl/>
        <w:numPr>
          <w:ilvl w:val="0"/>
          <w:numId w:val="29"/>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80" w:name="_Toc15500"/>
      <w:r>
        <w:rPr>
          <w:rFonts w:hint="eastAsia" w:ascii="微软雅黑" w:hAnsi="微软雅黑" w:eastAsia="微软雅黑" w:cs="微软雅黑"/>
          <w:highlight w:val="none"/>
          <w:lang w:val="zh-CN"/>
        </w:rPr>
        <w:t>确定中标供应商名单，以及根据采购人委托直接确定中标供应商。</w:t>
      </w:r>
      <w:bookmarkEnd w:id="180"/>
    </w:p>
    <w:p w14:paraId="77D02942">
      <w:pPr>
        <w:pStyle w:val="29"/>
        <w:widowControl/>
        <w:numPr>
          <w:ilvl w:val="0"/>
          <w:numId w:val="29"/>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81" w:name="_Toc11072"/>
      <w:r>
        <w:rPr>
          <w:rFonts w:hint="eastAsia" w:ascii="微软雅黑" w:hAnsi="微软雅黑" w:eastAsia="微软雅黑" w:cs="微软雅黑"/>
          <w:highlight w:val="none"/>
          <w:lang w:val="zh-CN"/>
        </w:rPr>
        <w:t>向采购人、代理机构或者有关部门报告评标中发现的违法行为。</w:t>
      </w:r>
      <w:bookmarkEnd w:id="181"/>
    </w:p>
    <w:p w14:paraId="07CBAE6F">
      <w:pPr>
        <w:widowControl/>
        <w:shd w:val="clear" w:color="auto" w:fill="FFFFFF"/>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除采购人代表及所派纪检监察人员、评标现场组织人员外，采购人的其他工作人员以及与评标工作无关的人员不得进入评标现场。</w:t>
      </w:r>
    </w:p>
    <w:p w14:paraId="2BEF89B4">
      <w:pPr>
        <w:snapToGrid w:val="0"/>
        <w:ind w:firstLine="420"/>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（二）磋商的方式</w:t>
      </w:r>
    </w:p>
    <w:p w14:paraId="1F828CC5">
      <w:pPr>
        <w:snapToGrid w:val="0"/>
        <w:ind w:firstLine="42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本项目采用不公开方式磋商，磋商的依据为竞争性磋商文件和响应文件。</w:t>
      </w:r>
    </w:p>
    <w:p w14:paraId="6E5F14E4">
      <w:pPr>
        <w:numPr>
          <w:ilvl w:val="0"/>
          <w:numId w:val="30"/>
        </w:numPr>
        <w:ind w:left="0" w:firstLine="420"/>
        <w:rPr>
          <w:rFonts w:hint="eastAsia" w:ascii="微软雅黑" w:hAnsi="微软雅黑" w:eastAsia="微软雅黑" w:cs="微软雅黑"/>
          <w:b/>
          <w:highlight w:val="none"/>
        </w:rPr>
      </w:pPr>
      <w:bookmarkStart w:id="182" w:name="_Toc192313120"/>
      <w:r>
        <w:rPr>
          <w:rFonts w:hint="eastAsia" w:ascii="微软雅黑" w:hAnsi="微软雅黑" w:eastAsia="微软雅黑" w:cs="微软雅黑"/>
          <w:b/>
          <w:highlight w:val="none"/>
        </w:rPr>
        <w:t>磋商步骤</w:t>
      </w:r>
    </w:p>
    <w:p w14:paraId="50B158ED">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磋商小组讨论、通过磋商工作流程和磋商要点；</w:t>
      </w:r>
    </w:p>
    <w:p w14:paraId="3EAD5DBB">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经办人宣布磋商的有关事项；</w:t>
      </w:r>
    </w:p>
    <w:p w14:paraId="1BF19C69">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磋商小组对所提交的响应资信及商务、技术文件进行审查，审查结束后，由经办人公布无效响应方名单、响应无效的原因、情况；</w:t>
      </w:r>
    </w:p>
    <w:p w14:paraId="1F0A3AF1">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磋商小组按标项与各供应商就项目需求、人员安排、服务事项、价格构成、付款方式等要素分别进行磋商。逐家磋商一次为一个轮次，磋商轮次可为二轮或以上。</w:t>
      </w:r>
    </w:p>
    <w:p w14:paraId="6683FE60">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在磋商过程中，采购人和磋商对象可就合同内容进行磋商，技术服务需求如双方都认为有必要的情况可作相应微调，但评分标准不作调整。</w:t>
      </w:r>
    </w:p>
    <w:p w14:paraId="70C28602">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如磋商过程中有调整的内容，在最后一轮报价前，采购代理机构和采购人将根据磋商内容将调整的部分发给符合参与最后一轮报价的供应商，以便其在最后一轮报价中调整报价。</w:t>
      </w:r>
    </w:p>
    <w:p w14:paraId="719BF276">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标项评审结束后，各供应商在规定时间内通过系统进行最后报价并CA签章确认。在规定时间内没有提交最后报价的供应商，视为退出磋商。</w:t>
      </w:r>
    </w:p>
    <w:p w14:paraId="06B17CE6">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在各供应商进行最后报价的同时，磋商小组根据本磋商文件的评审方法对各供应商的资信及商务、技术服务情况进行评审打分。经办人按照磋商小组独立评定结果进行算术平均值计算。</w:t>
      </w:r>
    </w:p>
    <w:p w14:paraId="621149E9">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经办人系统查验按规定进入价格评审的最后报价。</w:t>
      </w:r>
    </w:p>
    <w:p w14:paraId="4C4D5EFD">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.磋商小组对最后报价的合理性进行审核，决定是否结束磋商。若报价合理，磋商小组则根据第四章评审方法计算出总得分并按照排序由高到低的原则推荐候选供应商。</w:t>
      </w:r>
    </w:p>
    <w:p w14:paraId="4F41E69A">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评审结束后，经办人公布有效供应商的总得分结果和推荐排名。</w:t>
      </w:r>
    </w:p>
    <w:p w14:paraId="2E3881DB">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原则：磋商小组必须公平、公正、客观，不带任何倾向性和启发性；不得向外界透露任何与磋商有关的内容；任何单位和个人不得干扰、影响磋商的正常进行；磋商小组及有关工作人员不得私下与响应方接触。</w:t>
      </w:r>
      <w:bookmarkStart w:id="183" w:name="_Toc522609461"/>
      <w:bookmarkStart w:id="184" w:name="_Toc332724041"/>
    </w:p>
    <w:p w14:paraId="48DA7537">
      <w:pPr>
        <w:numPr>
          <w:ilvl w:val="0"/>
          <w:numId w:val="30"/>
        </w:numPr>
        <w:ind w:left="0" w:firstLine="420"/>
        <w:rPr>
          <w:rFonts w:hint="eastAsia" w:ascii="微软雅黑" w:hAnsi="微软雅黑" w:eastAsia="微软雅黑" w:cs="微软雅黑"/>
          <w:b/>
          <w:highlight w:val="none"/>
        </w:rPr>
      </w:pPr>
      <w:r>
        <w:rPr>
          <w:rFonts w:hint="eastAsia" w:ascii="微软雅黑" w:hAnsi="微软雅黑" w:eastAsia="微软雅黑" w:cs="微软雅黑"/>
          <w:b/>
          <w:highlight w:val="none"/>
        </w:rPr>
        <w:t>响应文件的澄清</w:t>
      </w:r>
      <w:bookmarkEnd w:id="183"/>
      <w:bookmarkEnd w:id="184"/>
    </w:p>
    <w:p w14:paraId="7FCFA3D5">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在磋商期间，磋商小组有权要求供应商对其响应文件含义不明确、同类问题表述不一致或者有明显文字和计算错误的内容进行澄清。</w:t>
      </w:r>
    </w:p>
    <w:p w14:paraId="5BCD0EF3">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磋商小组认为有必要，可要求供应商对某些问题作出必要的澄清、说明和纠正。供应商的澄清、说明或者补正应当采用在线形式。</w:t>
      </w:r>
    </w:p>
    <w:p w14:paraId="64C361C2">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供应商不按磋商小组规定的时间作澄清，将视为放弃该权利。</w:t>
      </w:r>
    </w:p>
    <w:p w14:paraId="368A3561">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并非每个供应商都将被询标。</w:t>
      </w:r>
      <w:bookmarkStart w:id="185" w:name="_Toc522609462"/>
      <w:bookmarkStart w:id="186" w:name="_Toc332724042"/>
    </w:p>
    <w:p w14:paraId="6F2EA546">
      <w:pPr>
        <w:numPr>
          <w:ilvl w:val="0"/>
          <w:numId w:val="30"/>
        </w:numPr>
        <w:ind w:left="0" w:firstLine="420"/>
        <w:rPr>
          <w:rFonts w:hint="eastAsia" w:ascii="微软雅黑" w:hAnsi="微软雅黑" w:eastAsia="微软雅黑" w:cs="微软雅黑"/>
          <w:b/>
          <w:highlight w:val="none"/>
        </w:rPr>
      </w:pPr>
      <w:r>
        <w:rPr>
          <w:rFonts w:hint="eastAsia" w:ascii="微软雅黑" w:hAnsi="微软雅黑" w:eastAsia="微软雅黑" w:cs="微软雅黑"/>
          <w:b/>
          <w:highlight w:val="none"/>
        </w:rPr>
        <w:t>确定成交供应商</w:t>
      </w:r>
      <w:bookmarkEnd w:id="185"/>
      <w:bookmarkEnd w:id="186"/>
    </w:p>
    <w:p w14:paraId="6B8762DE">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磋商小组将对通过资格性审查和符合性审查的响应文件进行评价和比较。</w:t>
      </w:r>
    </w:p>
    <w:p w14:paraId="43E8C2FA">
      <w:pPr>
        <w:numPr>
          <w:ilvl w:val="1"/>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按磋商文件公布的评审标准对响应文件进行评审，并将最终得分排名提交给采购人，采购人书面授权磋商小组直接确定成交供应商的，磋商小组确认成交供应商。最低报价等任何单项因素的最优不作为成交的保证。</w:t>
      </w:r>
      <w:bookmarkStart w:id="187" w:name="_Toc522609463"/>
      <w:bookmarkStart w:id="188" w:name="_Toc332724043"/>
    </w:p>
    <w:p w14:paraId="538CD30D">
      <w:pPr>
        <w:numPr>
          <w:ilvl w:val="0"/>
          <w:numId w:val="30"/>
        </w:numPr>
        <w:ind w:left="0" w:firstLine="420"/>
        <w:rPr>
          <w:rFonts w:hint="eastAsia" w:ascii="微软雅黑" w:hAnsi="微软雅黑" w:eastAsia="微软雅黑" w:cs="微软雅黑"/>
          <w:b/>
          <w:highlight w:val="none"/>
        </w:rPr>
      </w:pPr>
      <w:r>
        <w:rPr>
          <w:rFonts w:hint="eastAsia" w:ascii="微软雅黑" w:hAnsi="微软雅黑" w:eastAsia="微软雅黑" w:cs="微软雅黑"/>
          <w:b/>
          <w:highlight w:val="none"/>
        </w:rPr>
        <w:t>磋商过程保密</w:t>
      </w:r>
      <w:bookmarkEnd w:id="187"/>
      <w:bookmarkEnd w:id="188"/>
    </w:p>
    <w:p w14:paraId="5C897895">
      <w:pPr>
        <w:numPr>
          <w:ilvl w:val="1"/>
          <w:numId w:val="30"/>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在宣布成交结果之前，凡属于审查、澄清、评价、比较响应文件等有关信息，相关当事人均不得泄露给任何供应商或与磋商工作无关的人员。</w:t>
      </w:r>
    </w:p>
    <w:p w14:paraId="20E3C452">
      <w:pPr>
        <w:numPr>
          <w:ilvl w:val="1"/>
          <w:numId w:val="30"/>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供应商不得探听上述信息，不得以任何行为影响磋商过程，否则其响应文件将被作为无效响应文件。</w:t>
      </w:r>
    </w:p>
    <w:p w14:paraId="5CEF4F9C">
      <w:pPr>
        <w:numPr>
          <w:ilvl w:val="1"/>
          <w:numId w:val="30"/>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在磋商期间，采购代理机构将有专门人员与供应商进行联络。</w:t>
      </w:r>
    </w:p>
    <w:p w14:paraId="63CDFAFF">
      <w:pPr>
        <w:numPr>
          <w:ilvl w:val="1"/>
          <w:numId w:val="30"/>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采购代理机构和磋商小组不向未成交的供应商解释未成交原因，也不对磋商过程中的细节问题进行公布。</w:t>
      </w:r>
      <w:bookmarkStart w:id="189" w:name="_Toc522609464"/>
      <w:bookmarkStart w:id="190" w:name="_Toc332724044"/>
    </w:p>
    <w:p w14:paraId="7022F4FB">
      <w:pPr>
        <w:numPr>
          <w:ilvl w:val="0"/>
          <w:numId w:val="30"/>
        </w:numPr>
        <w:ind w:hanging="5"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供应商不足三家的处理</w:t>
      </w:r>
      <w:bookmarkEnd w:id="189"/>
      <w:bookmarkEnd w:id="190"/>
    </w:p>
    <w:p w14:paraId="081D340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至磋商报价截止时间，供应商不足3家以及在磋商期间出现符合专业条件的供应商或者对磋商文件做出实质性响应的供应商不足3家的，按照《财政部关于政府采购竞争性磋商采购人式管理暂行办法有关问题的补充通知》（财库【2015】124号）办理。</w:t>
      </w:r>
    </w:p>
    <w:p w14:paraId="63629BBB">
      <w:pPr>
        <w:numPr>
          <w:ilvl w:val="0"/>
          <w:numId w:val="30"/>
        </w:numPr>
        <w:spacing w:before="120"/>
        <w:ind w:hanging="5"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错误修正</w:t>
      </w:r>
    </w:p>
    <w:p w14:paraId="58FD39F0">
      <w:pPr>
        <w:pStyle w:val="29"/>
        <w:spacing w:before="120" w:line="360" w:lineRule="auto"/>
        <w:ind w:firstLine="420" w:firstLineChars="200"/>
        <w:outlineLvl w:val="9"/>
        <w:rPr>
          <w:rFonts w:hint="eastAsia" w:ascii="微软雅黑" w:hAnsi="微软雅黑" w:eastAsia="微软雅黑" w:cs="微软雅黑"/>
          <w:highlight w:val="none"/>
        </w:rPr>
      </w:pPr>
      <w:bookmarkStart w:id="191" w:name="_Toc27357"/>
      <w:r>
        <w:rPr>
          <w:rFonts w:hint="eastAsia" w:ascii="微软雅黑" w:hAnsi="微软雅黑" w:eastAsia="微软雅黑" w:cs="微软雅黑"/>
          <w:highlight w:val="none"/>
        </w:rPr>
        <w:t>响应文件如果出现计算或表达上的错误，修正错误的原则如下：</w:t>
      </w:r>
      <w:bookmarkEnd w:id="191"/>
    </w:p>
    <w:p w14:paraId="05A48056">
      <w:pPr>
        <w:numPr>
          <w:ilvl w:val="1"/>
          <w:numId w:val="30"/>
        </w:numPr>
        <w:snapToGrid w:val="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报价一览表总价与报价明细表汇总数不一致的，以报价一览表为准；</w:t>
      </w:r>
    </w:p>
    <w:p w14:paraId="12DC160C">
      <w:pPr>
        <w:numPr>
          <w:ilvl w:val="1"/>
          <w:numId w:val="30"/>
        </w:numPr>
        <w:spacing w:before="12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响应文件的大写金额和小写金额不一致的，以大写金额为准；</w:t>
      </w:r>
    </w:p>
    <w:p w14:paraId="204683AF">
      <w:pPr>
        <w:numPr>
          <w:ilvl w:val="1"/>
          <w:numId w:val="30"/>
        </w:numPr>
        <w:spacing w:before="12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总价金额与按单价汇总金额不一致的，以单价金额计算结果为准；</w:t>
      </w:r>
    </w:p>
    <w:p w14:paraId="4C368254">
      <w:pPr>
        <w:numPr>
          <w:ilvl w:val="1"/>
          <w:numId w:val="30"/>
        </w:numPr>
        <w:spacing w:before="12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对不同文字文本响应文件的解释发生异议的，以中文文本为准。</w:t>
      </w:r>
    </w:p>
    <w:p w14:paraId="62329B5E">
      <w:pPr>
        <w:pStyle w:val="29"/>
        <w:spacing w:before="120" w:line="360" w:lineRule="auto"/>
        <w:ind w:firstLine="420" w:firstLineChars="200"/>
        <w:outlineLvl w:val="9"/>
        <w:rPr>
          <w:rFonts w:hint="eastAsia" w:ascii="微软雅黑" w:hAnsi="微软雅黑" w:eastAsia="微软雅黑" w:cs="微软雅黑"/>
          <w:highlight w:val="none"/>
        </w:rPr>
      </w:pPr>
      <w:bookmarkStart w:id="192" w:name="_Toc12811"/>
      <w:r>
        <w:rPr>
          <w:rFonts w:hint="eastAsia" w:ascii="微软雅黑" w:hAnsi="微软雅黑" w:eastAsia="微软雅黑" w:cs="微软雅黑"/>
          <w:highlight w:val="none"/>
        </w:rPr>
        <w:t>按上述修正错误的原则及方法调整或修正响应文件的报价，供应商同意并签字确认后，调整后的报价对供应商具有约束作用。如果供应商不接受修正后的报价，则其响应将作为无效响应处理。</w:t>
      </w:r>
      <w:bookmarkEnd w:id="192"/>
    </w:p>
    <w:p w14:paraId="4A7F5098">
      <w:pPr>
        <w:numPr>
          <w:ilvl w:val="0"/>
          <w:numId w:val="30"/>
        </w:numPr>
        <w:spacing w:before="120"/>
        <w:ind w:hanging="5"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评审过程的监控</w:t>
      </w:r>
    </w:p>
    <w:p w14:paraId="1143C332">
      <w:pPr>
        <w:pStyle w:val="29"/>
        <w:spacing w:before="120" w:line="360" w:lineRule="auto"/>
        <w:ind w:firstLine="420" w:firstLineChars="200"/>
        <w:outlineLvl w:val="9"/>
        <w:rPr>
          <w:rFonts w:hint="eastAsia" w:ascii="微软雅黑" w:hAnsi="微软雅黑" w:eastAsia="微软雅黑" w:cs="微软雅黑"/>
          <w:highlight w:val="none"/>
        </w:rPr>
      </w:pPr>
      <w:bookmarkStart w:id="193" w:name="_Toc3808"/>
      <w:r>
        <w:rPr>
          <w:rFonts w:hint="eastAsia" w:ascii="微软雅黑" w:hAnsi="微软雅黑" w:eastAsia="微软雅黑" w:cs="微软雅黑"/>
          <w:highlight w:val="none"/>
        </w:rPr>
        <w:t>本项目评审过程实行全程录音、录像监控。供应商在评审过程中所进行的试图影响评审结果的不公正活动，可能导致其响应被拒绝。</w:t>
      </w:r>
      <w:bookmarkEnd w:id="182"/>
      <w:bookmarkEnd w:id="193"/>
    </w:p>
    <w:p w14:paraId="6FA3FED2">
      <w:pPr>
        <w:pStyle w:val="6"/>
        <w:ind w:firstLine="420"/>
        <w:rPr>
          <w:rFonts w:hint="eastAsia" w:ascii="微软雅黑" w:hAnsi="微软雅黑" w:eastAsia="微软雅黑" w:cs="微软雅黑"/>
          <w:szCs w:val="21"/>
          <w:highlight w:val="none"/>
        </w:rPr>
      </w:pPr>
      <w:bookmarkStart w:id="194" w:name="_Toc21497"/>
      <w:r>
        <w:rPr>
          <w:rFonts w:hint="eastAsia" w:ascii="微软雅黑" w:hAnsi="微软雅黑" w:eastAsia="微软雅黑" w:cs="微软雅黑"/>
          <w:szCs w:val="21"/>
          <w:highlight w:val="none"/>
        </w:rPr>
        <w:t>六、</w:t>
      </w:r>
      <w:bookmarkEnd w:id="172"/>
      <w:r>
        <w:rPr>
          <w:rFonts w:hint="eastAsia" w:ascii="微软雅黑" w:hAnsi="微软雅黑" w:eastAsia="微软雅黑" w:cs="微软雅黑"/>
          <w:szCs w:val="21"/>
          <w:highlight w:val="none"/>
        </w:rPr>
        <w:t>磋商结果的确定</w:t>
      </w:r>
      <w:bookmarkEnd w:id="194"/>
    </w:p>
    <w:p w14:paraId="0173BE32">
      <w:pPr>
        <w:pStyle w:val="29"/>
        <w:spacing w:line="360" w:lineRule="auto"/>
        <w:outlineLvl w:val="9"/>
        <w:rPr>
          <w:rFonts w:hint="eastAsia" w:ascii="微软雅黑" w:hAnsi="微软雅黑" w:eastAsia="微软雅黑" w:cs="微软雅黑"/>
          <w:highlight w:val="none"/>
        </w:rPr>
      </w:pPr>
      <w:bookmarkStart w:id="195" w:name="_Toc22993"/>
      <w:bookmarkStart w:id="196" w:name="_Toc33535372"/>
      <w:r>
        <w:rPr>
          <w:rFonts w:hint="eastAsia" w:ascii="微软雅黑" w:hAnsi="微软雅黑" w:eastAsia="微软雅黑" w:cs="微软雅黑"/>
          <w:highlight w:val="none"/>
        </w:rPr>
        <w:t>确定中标供应商：本项目由采购人确定中标供应商。</w:t>
      </w:r>
      <w:bookmarkEnd w:id="195"/>
    </w:p>
    <w:p w14:paraId="50543A09">
      <w:pPr>
        <w:numPr>
          <w:ilvl w:val="0"/>
          <w:numId w:val="31"/>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代理机构在评标结束后2个工作日内将评标报告交采购人确认，同时在发布招标公告的网站上对评标结果进行公告。</w:t>
      </w:r>
    </w:p>
    <w:p w14:paraId="4A435C1D">
      <w:pPr>
        <w:numPr>
          <w:ilvl w:val="0"/>
          <w:numId w:val="31"/>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投标供应商对评标结果无异议的，采购人应在收到评标报告后5个工作日内对评标结果进行确认。如有投标供应商对评标结果提出质疑的，采购人可在质疑处理完毕后确定中标供应商。</w:t>
      </w:r>
    </w:p>
    <w:p w14:paraId="1531989C">
      <w:pPr>
        <w:numPr>
          <w:ilvl w:val="0"/>
          <w:numId w:val="31"/>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在公告中标结果的同时，代理机构向中标供应商发出成交通知书。</w:t>
      </w:r>
    </w:p>
    <w:p w14:paraId="2AB84482">
      <w:pPr>
        <w:pStyle w:val="6"/>
        <w:ind w:firstLine="420"/>
        <w:rPr>
          <w:rFonts w:hint="eastAsia" w:ascii="微软雅黑" w:hAnsi="微软雅黑" w:eastAsia="微软雅黑" w:cs="微软雅黑"/>
          <w:szCs w:val="21"/>
          <w:highlight w:val="none"/>
        </w:rPr>
      </w:pPr>
      <w:bookmarkStart w:id="197" w:name="_Toc20749"/>
      <w:r>
        <w:rPr>
          <w:rFonts w:hint="eastAsia" w:ascii="微软雅黑" w:hAnsi="微软雅黑" w:eastAsia="微软雅黑" w:cs="微软雅黑"/>
          <w:szCs w:val="21"/>
          <w:highlight w:val="none"/>
        </w:rPr>
        <w:t>七、合同授予</w:t>
      </w:r>
      <w:bookmarkEnd w:id="196"/>
      <w:bookmarkEnd w:id="197"/>
    </w:p>
    <w:p w14:paraId="7A28ECAA">
      <w:pPr>
        <w:numPr>
          <w:ilvl w:val="0"/>
          <w:numId w:val="32"/>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采购人与中标供应商应当在《中标通知书》发出之日起30日内签订政府采购合同。</w:t>
      </w:r>
    </w:p>
    <w:p w14:paraId="0F0C33DE">
      <w:pPr>
        <w:numPr>
          <w:ilvl w:val="0"/>
          <w:numId w:val="32"/>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中标供应商拖延、拒签合同的，将被取消中标资格，并报监督管理部门依法处理。</w:t>
      </w:r>
    </w:p>
    <w:p w14:paraId="622E73BC">
      <w:pPr>
        <w:numPr>
          <w:ilvl w:val="0"/>
          <w:numId w:val="32"/>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采购人须在本项目政府采购合同签订之日起2个工作日内将合同发布于浙江政府采购网，但政府采购合同中涉及国家秘密、商业秘密的内容除外。</w:t>
      </w:r>
    </w:p>
    <w:p w14:paraId="2B1AD3F5">
      <w:pPr>
        <w:pStyle w:val="6"/>
        <w:ind w:firstLine="420"/>
        <w:rPr>
          <w:rFonts w:hint="eastAsia" w:ascii="微软雅黑" w:hAnsi="微软雅黑" w:eastAsia="微软雅黑" w:cs="微软雅黑"/>
          <w:szCs w:val="21"/>
          <w:highlight w:val="none"/>
        </w:rPr>
      </w:pPr>
      <w:bookmarkStart w:id="198" w:name="_Toc30848"/>
      <w:r>
        <w:rPr>
          <w:rFonts w:hint="eastAsia" w:ascii="微软雅黑" w:hAnsi="微软雅黑" w:eastAsia="微软雅黑" w:cs="微软雅黑"/>
          <w:szCs w:val="21"/>
          <w:highlight w:val="none"/>
        </w:rPr>
        <w:t>八、验收</w:t>
      </w:r>
      <w:bookmarkEnd w:id="198"/>
    </w:p>
    <w:p w14:paraId="3F421D9E">
      <w:pPr>
        <w:numPr>
          <w:ilvl w:val="0"/>
          <w:numId w:val="33"/>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771867">
      <w:pPr>
        <w:numPr>
          <w:ilvl w:val="0"/>
          <w:numId w:val="33"/>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采购人可以邀请参加本项目的其他投标供应商或者第三方机构参与验收。参与验收的投标供应商或者第三方机构的意见作为验收书的参考资料一并存档。</w:t>
      </w:r>
    </w:p>
    <w:p w14:paraId="01F017BD">
      <w:pPr>
        <w:numPr>
          <w:ilvl w:val="0"/>
          <w:numId w:val="33"/>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CB6BD9">
      <w:pPr>
        <w:numPr>
          <w:ilvl w:val="0"/>
          <w:numId w:val="33"/>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99" w:name="_Hlt74730295"/>
      <w:bookmarkEnd w:id="199"/>
      <w:bookmarkStart w:id="200" w:name="_Hlt68072998"/>
      <w:bookmarkEnd w:id="200"/>
      <w:bookmarkStart w:id="201" w:name="_Hlt75236101"/>
      <w:bookmarkEnd w:id="201"/>
      <w:bookmarkStart w:id="202" w:name="_Hlt68073093"/>
      <w:bookmarkEnd w:id="202"/>
      <w:bookmarkStart w:id="203" w:name="_Hlt75236011"/>
      <w:bookmarkEnd w:id="203"/>
      <w:bookmarkStart w:id="204" w:name="_Hlt74707468"/>
      <w:bookmarkEnd w:id="204"/>
      <w:bookmarkStart w:id="205" w:name="_Hlt74714665"/>
      <w:bookmarkEnd w:id="205"/>
      <w:bookmarkStart w:id="206" w:name="_Hlt75236290"/>
      <w:bookmarkEnd w:id="206"/>
      <w:bookmarkStart w:id="207" w:name="_Hlt68057669"/>
      <w:bookmarkEnd w:id="207"/>
      <w:bookmarkStart w:id="208" w:name="_Hlt74729768"/>
      <w:bookmarkEnd w:id="208"/>
      <w:bookmarkStart w:id="209" w:name="_Hlt68403820"/>
      <w:bookmarkEnd w:id="209"/>
      <w:bookmarkStart w:id="210" w:name="_Hlt68072990"/>
      <w:bookmarkEnd w:id="210"/>
      <w:r>
        <w:rPr>
          <w:rFonts w:hint="eastAsia" w:ascii="微软雅黑" w:hAnsi="微软雅黑" w:eastAsia="微软雅黑" w:cs="微软雅黑"/>
          <w:bCs/>
          <w:highlight w:val="none"/>
        </w:rPr>
        <w:t>部门。</w:t>
      </w:r>
    </w:p>
    <w:p w14:paraId="00F55AE6">
      <w:pPr>
        <w:pStyle w:val="6"/>
        <w:ind w:firstLine="420"/>
        <w:rPr>
          <w:rFonts w:hint="eastAsia" w:ascii="微软雅黑" w:hAnsi="微软雅黑" w:eastAsia="微软雅黑" w:cs="微软雅黑"/>
          <w:szCs w:val="21"/>
          <w:highlight w:val="none"/>
        </w:rPr>
      </w:pPr>
      <w:bookmarkStart w:id="211" w:name="_Toc9315"/>
      <w:r>
        <w:rPr>
          <w:rFonts w:hint="eastAsia" w:ascii="微软雅黑" w:hAnsi="微软雅黑" w:eastAsia="微软雅黑" w:cs="微软雅黑"/>
          <w:szCs w:val="21"/>
          <w:highlight w:val="none"/>
        </w:rPr>
        <w:t>九、招标代理费</w:t>
      </w:r>
      <w:bookmarkEnd w:id="82"/>
      <w:bookmarkEnd w:id="211"/>
    </w:p>
    <w:p w14:paraId="5FACE5B8">
      <w:pPr>
        <w:ind w:firstLine="420"/>
        <w:rPr>
          <w:rFonts w:hint="eastAsia" w:ascii="微软雅黑" w:hAnsi="微软雅黑" w:eastAsia="微软雅黑" w:cs="微软雅黑"/>
          <w:szCs w:val="21"/>
          <w:highlight w:val="none"/>
        </w:rPr>
      </w:pPr>
      <w:bookmarkStart w:id="212" w:name="_Toc493511752"/>
      <w:r>
        <w:rPr>
          <w:rFonts w:hint="eastAsia" w:ascii="微软雅黑" w:hAnsi="微软雅黑" w:eastAsia="微软雅黑" w:cs="微软雅黑"/>
          <w:szCs w:val="21"/>
          <w:highlight w:val="none"/>
        </w:rPr>
        <w:t>1、根据“国家发展和改革委员会办公厅《关于招标代理服务收费有关问题的通知》（发改办价格【2003】857号、财库【2018】2号第十五条）”规定，招标代理机构向中标人收取招标代理服务费。</w:t>
      </w:r>
    </w:p>
    <w:p w14:paraId="06F5BE95">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2、中标人应在收取《中标通知书》时向采购代理机构交纳招标代理服务费，服务费的收费标准按浙价服〔2003〕77号文规定计算</w:t>
      </w:r>
      <w:bookmarkEnd w:id="212"/>
    </w:p>
    <w:tbl>
      <w:tblPr>
        <w:tblStyle w:val="53"/>
        <w:tblW w:w="64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tblGrid>
      <w:tr w14:paraId="6D18B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1C9D06F0">
            <w:pPr>
              <w:spacing w:line="240" w:lineRule="auto"/>
              <w:ind w:firstLine="0" w:firstLineChars="0"/>
              <w:rPr>
                <w:rFonts w:hint="eastAsia" w:ascii="微软雅黑" w:hAnsi="微软雅黑" w:eastAsia="微软雅黑" w:cs="微软雅黑"/>
                <w:szCs w:val="21"/>
                <w:highlight w:val="none"/>
              </w:rPr>
            </w:pPr>
            <w:bookmarkStart w:id="213" w:name="_Toc493511753"/>
            <w:r>
              <w:rPr>
                <w:rFonts w:hint="eastAsia" w:ascii="微软雅黑" w:hAnsi="微软雅黑" w:eastAsia="微软雅黑" w:cs="微软雅黑"/>
                <w:szCs w:val="21"/>
                <w:highlight w:val="none"/>
              </w:rPr>
              <w:t>中标金额（万元）</w:t>
            </w:r>
            <w:bookmarkEnd w:id="213"/>
          </w:p>
        </w:tc>
        <w:tc>
          <w:tcPr>
            <w:tcW w:w="2160" w:type="dxa"/>
            <w:tcBorders>
              <w:top w:val="double" w:color="auto" w:sz="4" w:space="0"/>
              <w:left w:val="single" w:color="auto" w:sz="6" w:space="0"/>
              <w:bottom w:val="single" w:color="auto" w:sz="6" w:space="0"/>
              <w:right w:val="single" w:color="auto" w:sz="6" w:space="0"/>
            </w:tcBorders>
            <w:shd w:val="clear" w:color="auto" w:fill="D9D9D9"/>
            <w:vAlign w:val="center"/>
          </w:tcPr>
          <w:p w14:paraId="4F1FF07D">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货物招标收费费率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1759DA4F">
            <w:pPr>
              <w:spacing w:line="240" w:lineRule="auto"/>
              <w:ind w:firstLine="0" w:firstLineChars="0"/>
              <w:rPr>
                <w:rFonts w:hint="eastAsia" w:ascii="微软雅黑" w:hAnsi="微软雅黑" w:eastAsia="微软雅黑" w:cs="微软雅黑"/>
                <w:szCs w:val="21"/>
                <w:highlight w:val="none"/>
              </w:rPr>
            </w:pPr>
            <w:bookmarkStart w:id="214" w:name="_Toc493511754"/>
            <w:r>
              <w:rPr>
                <w:rFonts w:hint="eastAsia" w:ascii="微软雅黑" w:hAnsi="微软雅黑" w:eastAsia="微软雅黑" w:cs="微软雅黑"/>
                <w:szCs w:val="21"/>
                <w:highlight w:val="none"/>
              </w:rPr>
              <w:t>服务类招标收费费率</w:t>
            </w:r>
            <w:bookmarkEnd w:id="214"/>
          </w:p>
        </w:tc>
      </w:tr>
      <w:tr w14:paraId="0E9ED5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67FAE766">
            <w:pPr>
              <w:spacing w:line="240" w:lineRule="auto"/>
              <w:ind w:firstLine="0" w:firstLineChars="0"/>
              <w:rPr>
                <w:rFonts w:hint="eastAsia" w:ascii="微软雅黑" w:hAnsi="微软雅黑" w:eastAsia="微软雅黑" w:cs="微软雅黑"/>
                <w:szCs w:val="21"/>
                <w:highlight w:val="none"/>
              </w:rPr>
            </w:pPr>
            <w:bookmarkStart w:id="215" w:name="_Toc493511755"/>
            <w:r>
              <w:rPr>
                <w:rFonts w:hint="eastAsia" w:ascii="微软雅黑" w:hAnsi="微软雅黑" w:eastAsia="微软雅黑" w:cs="微软雅黑"/>
                <w:szCs w:val="21"/>
                <w:highlight w:val="none"/>
              </w:rPr>
              <w:t>100以下</w:t>
            </w:r>
            <w:bookmarkEnd w:id="215"/>
          </w:p>
        </w:tc>
        <w:tc>
          <w:tcPr>
            <w:tcW w:w="2160" w:type="dxa"/>
            <w:tcBorders>
              <w:top w:val="single" w:color="auto" w:sz="6" w:space="0"/>
              <w:left w:val="single" w:color="auto" w:sz="6" w:space="0"/>
              <w:bottom w:val="single" w:color="auto" w:sz="6" w:space="0"/>
              <w:right w:val="single" w:color="auto" w:sz="6" w:space="0"/>
            </w:tcBorders>
          </w:tcPr>
          <w:p w14:paraId="1F8C1EFB">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1.5%</w:t>
            </w:r>
          </w:p>
        </w:tc>
        <w:tc>
          <w:tcPr>
            <w:tcW w:w="2160" w:type="dxa"/>
            <w:tcBorders>
              <w:top w:val="single" w:color="auto" w:sz="6" w:space="0"/>
              <w:left w:val="single" w:color="auto" w:sz="6" w:space="0"/>
              <w:bottom w:val="single" w:color="auto" w:sz="6" w:space="0"/>
              <w:right w:val="double" w:color="auto" w:sz="4" w:space="0"/>
            </w:tcBorders>
            <w:vAlign w:val="center"/>
          </w:tcPr>
          <w:p w14:paraId="5D8D3E60">
            <w:pPr>
              <w:spacing w:line="240" w:lineRule="auto"/>
              <w:ind w:firstLine="0" w:firstLineChars="0"/>
              <w:rPr>
                <w:rFonts w:hint="eastAsia" w:ascii="微软雅黑" w:hAnsi="微软雅黑" w:eastAsia="微软雅黑" w:cs="微软雅黑"/>
                <w:szCs w:val="21"/>
                <w:highlight w:val="none"/>
              </w:rPr>
            </w:pPr>
            <w:bookmarkStart w:id="216" w:name="_Toc493511756"/>
            <w:r>
              <w:rPr>
                <w:rFonts w:hint="eastAsia" w:ascii="微软雅黑" w:hAnsi="微软雅黑" w:eastAsia="微软雅黑" w:cs="微软雅黑"/>
                <w:szCs w:val="21"/>
                <w:highlight w:val="none"/>
              </w:rPr>
              <w:t>1.5％</w:t>
            </w:r>
            <w:bookmarkEnd w:id="216"/>
          </w:p>
        </w:tc>
      </w:tr>
      <w:tr w14:paraId="5E417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7E7AD74D">
            <w:pPr>
              <w:spacing w:line="240" w:lineRule="auto"/>
              <w:ind w:firstLine="0" w:firstLineChars="0"/>
              <w:rPr>
                <w:rFonts w:hint="eastAsia" w:ascii="微软雅黑" w:hAnsi="微软雅黑" w:eastAsia="微软雅黑" w:cs="微软雅黑"/>
                <w:szCs w:val="21"/>
                <w:highlight w:val="none"/>
              </w:rPr>
            </w:pPr>
            <w:bookmarkStart w:id="217" w:name="_Toc493511757"/>
            <w:r>
              <w:rPr>
                <w:rFonts w:hint="eastAsia" w:ascii="微软雅黑" w:hAnsi="微软雅黑" w:eastAsia="微软雅黑" w:cs="微软雅黑"/>
                <w:szCs w:val="21"/>
                <w:highlight w:val="none"/>
              </w:rPr>
              <w:t>100-500</w:t>
            </w:r>
            <w:bookmarkEnd w:id="217"/>
          </w:p>
        </w:tc>
        <w:tc>
          <w:tcPr>
            <w:tcW w:w="2160" w:type="dxa"/>
            <w:tcBorders>
              <w:top w:val="single" w:color="auto" w:sz="6" w:space="0"/>
              <w:left w:val="single" w:color="auto" w:sz="6" w:space="0"/>
              <w:bottom w:val="single" w:color="auto" w:sz="6" w:space="0"/>
              <w:right w:val="single" w:color="auto" w:sz="6" w:space="0"/>
            </w:tcBorders>
          </w:tcPr>
          <w:p w14:paraId="49A299C9">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1.1%</w:t>
            </w:r>
          </w:p>
        </w:tc>
        <w:tc>
          <w:tcPr>
            <w:tcW w:w="2160" w:type="dxa"/>
            <w:tcBorders>
              <w:top w:val="single" w:color="auto" w:sz="6" w:space="0"/>
              <w:left w:val="single" w:color="auto" w:sz="6" w:space="0"/>
              <w:bottom w:val="single" w:color="auto" w:sz="6" w:space="0"/>
              <w:right w:val="double" w:color="auto" w:sz="4" w:space="0"/>
            </w:tcBorders>
            <w:vAlign w:val="center"/>
          </w:tcPr>
          <w:p w14:paraId="7DF294C0">
            <w:pPr>
              <w:spacing w:line="240" w:lineRule="auto"/>
              <w:ind w:firstLine="0" w:firstLineChars="0"/>
              <w:rPr>
                <w:rFonts w:hint="eastAsia" w:ascii="微软雅黑" w:hAnsi="微软雅黑" w:eastAsia="微软雅黑" w:cs="微软雅黑"/>
                <w:szCs w:val="21"/>
                <w:highlight w:val="none"/>
              </w:rPr>
            </w:pPr>
            <w:bookmarkStart w:id="218" w:name="_Toc493511758"/>
            <w:r>
              <w:rPr>
                <w:rFonts w:hint="eastAsia" w:ascii="微软雅黑" w:hAnsi="微软雅黑" w:eastAsia="微软雅黑" w:cs="微软雅黑"/>
                <w:szCs w:val="21"/>
                <w:highlight w:val="none"/>
              </w:rPr>
              <w:t>0.8％</w:t>
            </w:r>
            <w:bookmarkEnd w:id="218"/>
          </w:p>
        </w:tc>
      </w:tr>
      <w:tr w14:paraId="69F78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107368B4">
            <w:pPr>
              <w:spacing w:line="240" w:lineRule="auto"/>
              <w:ind w:firstLine="0" w:firstLineChars="0"/>
              <w:rPr>
                <w:rFonts w:hint="eastAsia" w:ascii="微软雅黑" w:hAnsi="微软雅黑" w:eastAsia="微软雅黑" w:cs="微软雅黑"/>
                <w:szCs w:val="21"/>
                <w:highlight w:val="none"/>
              </w:rPr>
            </w:pPr>
            <w:bookmarkStart w:id="219" w:name="_Toc493511759"/>
            <w:r>
              <w:rPr>
                <w:rFonts w:hint="eastAsia" w:ascii="微软雅黑" w:hAnsi="微软雅黑" w:eastAsia="微软雅黑" w:cs="微软雅黑"/>
                <w:szCs w:val="21"/>
                <w:highlight w:val="none"/>
              </w:rPr>
              <w:t>500-1000</w:t>
            </w:r>
            <w:bookmarkEnd w:id="219"/>
          </w:p>
        </w:tc>
        <w:tc>
          <w:tcPr>
            <w:tcW w:w="2160" w:type="dxa"/>
            <w:tcBorders>
              <w:top w:val="single" w:color="auto" w:sz="6" w:space="0"/>
              <w:left w:val="single" w:color="auto" w:sz="6" w:space="0"/>
              <w:bottom w:val="single" w:color="auto" w:sz="6" w:space="0"/>
              <w:right w:val="single" w:color="auto" w:sz="6" w:space="0"/>
            </w:tcBorders>
          </w:tcPr>
          <w:p w14:paraId="3684734B">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0.8%</w:t>
            </w:r>
          </w:p>
        </w:tc>
        <w:tc>
          <w:tcPr>
            <w:tcW w:w="2160" w:type="dxa"/>
            <w:tcBorders>
              <w:top w:val="single" w:color="auto" w:sz="6" w:space="0"/>
              <w:left w:val="single" w:color="auto" w:sz="6" w:space="0"/>
              <w:bottom w:val="single" w:color="auto" w:sz="6" w:space="0"/>
              <w:right w:val="double" w:color="auto" w:sz="4" w:space="0"/>
            </w:tcBorders>
            <w:vAlign w:val="center"/>
          </w:tcPr>
          <w:p w14:paraId="1247DD0A">
            <w:pPr>
              <w:spacing w:line="240" w:lineRule="auto"/>
              <w:ind w:firstLine="0" w:firstLineChars="0"/>
              <w:rPr>
                <w:rFonts w:hint="eastAsia" w:ascii="微软雅黑" w:hAnsi="微软雅黑" w:eastAsia="微软雅黑" w:cs="微软雅黑"/>
                <w:szCs w:val="21"/>
                <w:highlight w:val="none"/>
              </w:rPr>
            </w:pPr>
            <w:bookmarkStart w:id="220" w:name="_Toc493511760"/>
            <w:r>
              <w:rPr>
                <w:rFonts w:hint="eastAsia" w:ascii="微软雅黑" w:hAnsi="微软雅黑" w:eastAsia="微软雅黑" w:cs="微软雅黑"/>
                <w:szCs w:val="21"/>
                <w:highlight w:val="none"/>
              </w:rPr>
              <w:t>0.45％</w:t>
            </w:r>
            <w:bookmarkEnd w:id="220"/>
          </w:p>
        </w:tc>
      </w:tr>
    </w:tbl>
    <w:p w14:paraId="57C85FAD">
      <w:pPr>
        <w:ind w:firstLine="420"/>
        <w:rPr>
          <w:rFonts w:hint="eastAsia" w:ascii="微软雅黑" w:hAnsi="微软雅黑" w:eastAsia="微软雅黑" w:cs="微软雅黑"/>
          <w:szCs w:val="21"/>
          <w:highlight w:val="none"/>
        </w:rPr>
      </w:pPr>
      <w:bookmarkStart w:id="221" w:name="_Toc493511761"/>
      <w:r>
        <w:rPr>
          <w:rFonts w:hint="eastAsia" w:ascii="微软雅黑" w:hAnsi="微软雅黑" w:eastAsia="微软雅黑" w:cs="微软雅黑"/>
          <w:szCs w:val="21"/>
          <w:highlight w:val="none"/>
        </w:rPr>
        <w:t>例如：某项目服务类招标代理业务中标金额为900万元，计算中标服务费收费额如下：</w:t>
      </w:r>
      <w:bookmarkEnd w:id="221"/>
    </w:p>
    <w:p w14:paraId="3D0B5F31">
      <w:pPr>
        <w:ind w:firstLine="420"/>
        <w:rPr>
          <w:rFonts w:hint="eastAsia" w:ascii="微软雅黑" w:hAnsi="微软雅黑" w:eastAsia="微软雅黑" w:cs="微软雅黑"/>
          <w:szCs w:val="21"/>
          <w:highlight w:val="none"/>
        </w:rPr>
      </w:pPr>
      <w:bookmarkStart w:id="222" w:name="_Toc493511762"/>
      <w:r>
        <w:rPr>
          <w:rFonts w:hint="eastAsia" w:ascii="微软雅黑" w:hAnsi="微软雅黑" w:eastAsia="微软雅黑" w:cs="微软雅黑"/>
          <w:szCs w:val="21"/>
          <w:highlight w:val="none"/>
        </w:rPr>
        <w:t>100万元 × 1.5% = 1.5万元</w:t>
      </w:r>
      <w:bookmarkEnd w:id="222"/>
    </w:p>
    <w:p w14:paraId="784FB17D">
      <w:pPr>
        <w:ind w:firstLine="420"/>
        <w:rPr>
          <w:rFonts w:hint="eastAsia" w:ascii="微软雅黑" w:hAnsi="微软雅黑" w:eastAsia="微软雅黑" w:cs="微软雅黑"/>
          <w:szCs w:val="21"/>
          <w:highlight w:val="none"/>
        </w:rPr>
      </w:pPr>
      <w:bookmarkStart w:id="223" w:name="_Toc493511763"/>
      <w:r>
        <w:rPr>
          <w:rFonts w:hint="eastAsia" w:ascii="微软雅黑" w:hAnsi="微软雅黑" w:eastAsia="微软雅黑" w:cs="微软雅黑"/>
          <w:szCs w:val="21"/>
          <w:highlight w:val="none"/>
        </w:rPr>
        <w:t>（500-100）万元 × 0.8% = 3.2万元</w:t>
      </w:r>
      <w:bookmarkEnd w:id="223"/>
    </w:p>
    <w:p w14:paraId="24590EAF">
      <w:pPr>
        <w:ind w:firstLine="420"/>
        <w:rPr>
          <w:rFonts w:hint="eastAsia" w:ascii="微软雅黑" w:hAnsi="微软雅黑" w:eastAsia="微软雅黑" w:cs="微软雅黑"/>
          <w:szCs w:val="21"/>
          <w:highlight w:val="none"/>
        </w:rPr>
      </w:pPr>
      <w:bookmarkStart w:id="224" w:name="_Toc493511764"/>
      <w:r>
        <w:rPr>
          <w:rFonts w:hint="eastAsia" w:ascii="微软雅黑" w:hAnsi="微软雅黑" w:eastAsia="微软雅黑" w:cs="微软雅黑"/>
          <w:szCs w:val="21"/>
          <w:highlight w:val="none"/>
        </w:rPr>
        <w:t>（900-500）万元×0.45% = 1.8万元</w:t>
      </w:r>
      <w:bookmarkEnd w:id="224"/>
    </w:p>
    <w:p w14:paraId="0795163C">
      <w:pPr>
        <w:ind w:firstLine="420"/>
        <w:rPr>
          <w:rFonts w:hint="eastAsia" w:ascii="微软雅黑" w:hAnsi="微软雅黑" w:eastAsia="微软雅黑" w:cs="微软雅黑"/>
          <w:szCs w:val="21"/>
          <w:highlight w:val="none"/>
        </w:rPr>
      </w:pPr>
      <w:bookmarkStart w:id="225" w:name="_Toc493511765"/>
      <w:r>
        <w:rPr>
          <w:rFonts w:hint="eastAsia" w:ascii="微软雅黑" w:hAnsi="微软雅黑" w:eastAsia="微软雅黑" w:cs="微软雅黑"/>
          <w:szCs w:val="21"/>
          <w:highlight w:val="none"/>
        </w:rPr>
        <w:t>计收费 = 1.5万元 + 3.2万元+1.8万元 = 6.5万元</w:t>
      </w:r>
      <w:bookmarkEnd w:id="225"/>
    </w:p>
    <w:p w14:paraId="7D82BA49">
      <w:pPr>
        <w:ind w:firstLine="420"/>
        <w:rPr>
          <w:rFonts w:hint="eastAsia" w:ascii="微软雅黑" w:hAnsi="微软雅黑" w:eastAsia="微软雅黑" w:cs="微软雅黑"/>
          <w:szCs w:val="21"/>
          <w:highlight w:val="none"/>
        </w:rPr>
      </w:pPr>
      <w:bookmarkStart w:id="226" w:name="_Toc493511766"/>
      <w:r>
        <w:rPr>
          <w:rFonts w:hint="eastAsia" w:ascii="微软雅黑" w:hAnsi="微软雅黑" w:eastAsia="微软雅黑" w:cs="微软雅黑"/>
          <w:szCs w:val="21"/>
          <w:highlight w:val="none"/>
        </w:rPr>
        <w:t>3、</w:t>
      </w:r>
      <w:bookmarkEnd w:id="226"/>
      <w:r>
        <w:rPr>
          <w:rFonts w:hint="eastAsia" w:ascii="微软雅黑" w:hAnsi="微软雅黑" w:eastAsia="微软雅黑" w:cs="微软雅黑"/>
          <w:szCs w:val="21"/>
          <w:highlight w:val="none"/>
        </w:rPr>
        <w:t>本项目以服务类招标收费标准的70%收取中标服务费，对于招标代理服务费不足5000元的按5000元计取招标代理服务费。</w:t>
      </w:r>
    </w:p>
    <w:p w14:paraId="1B316F18">
      <w:pPr>
        <w:ind w:firstLine="420"/>
        <w:rPr>
          <w:rFonts w:hint="eastAsia" w:ascii="微软雅黑" w:hAnsi="微软雅黑" w:eastAsia="微软雅黑" w:cs="微软雅黑"/>
          <w:szCs w:val="21"/>
          <w:highlight w:val="none"/>
        </w:rPr>
      </w:pPr>
      <w:bookmarkStart w:id="227" w:name="_Toc493511767"/>
      <w:r>
        <w:rPr>
          <w:rFonts w:hint="eastAsia" w:ascii="微软雅黑" w:hAnsi="微软雅黑" w:eastAsia="微软雅黑" w:cs="微软雅黑"/>
          <w:szCs w:val="21"/>
          <w:highlight w:val="none"/>
        </w:rPr>
        <w:t>4、服务费的货币为人民币。</w:t>
      </w:r>
      <w:bookmarkEnd w:id="227"/>
    </w:p>
    <w:p w14:paraId="527FA6D6">
      <w:pPr>
        <w:ind w:firstLine="420"/>
        <w:rPr>
          <w:rFonts w:hint="eastAsia" w:ascii="微软雅黑" w:hAnsi="微软雅黑" w:eastAsia="微软雅黑" w:cs="微软雅黑"/>
          <w:szCs w:val="21"/>
          <w:highlight w:val="none"/>
        </w:rPr>
      </w:pPr>
      <w:bookmarkStart w:id="228" w:name="_Toc493511768"/>
      <w:r>
        <w:rPr>
          <w:rFonts w:hint="eastAsia" w:ascii="微软雅黑" w:hAnsi="微软雅黑" w:eastAsia="微软雅黑" w:cs="微软雅黑"/>
          <w:szCs w:val="21"/>
          <w:highlight w:val="none"/>
        </w:rPr>
        <w:t>5、服务费支付方式：一次性以银行划账、电汇、汇票或支票的形式支付。</w:t>
      </w:r>
      <w:bookmarkEnd w:id="228"/>
    </w:p>
    <w:p w14:paraId="063045A6">
      <w:pPr>
        <w:ind w:firstLine="420"/>
        <w:rPr>
          <w:rFonts w:hint="eastAsia" w:ascii="微软雅黑" w:hAnsi="微软雅黑" w:eastAsia="微软雅黑" w:cs="微软雅黑"/>
          <w:szCs w:val="21"/>
          <w:highlight w:val="none"/>
        </w:rPr>
      </w:pPr>
      <w:bookmarkStart w:id="229" w:name="_Toc493511769"/>
      <w:r>
        <w:rPr>
          <w:rFonts w:hint="eastAsia" w:ascii="微软雅黑" w:hAnsi="微软雅黑" w:eastAsia="微软雅黑" w:cs="微软雅黑"/>
          <w:szCs w:val="21"/>
          <w:highlight w:val="none"/>
        </w:rPr>
        <w:t>6、服务费以银行划账方式按下列要求提交：</w:t>
      </w:r>
      <w:bookmarkEnd w:id="229"/>
    </w:p>
    <w:p w14:paraId="04ECA5FC">
      <w:pPr>
        <w:ind w:firstLine="420"/>
        <w:rPr>
          <w:rFonts w:hint="eastAsia" w:ascii="微软雅黑" w:hAnsi="微软雅黑" w:eastAsia="微软雅黑" w:cs="微软雅黑"/>
          <w:szCs w:val="21"/>
          <w:highlight w:val="none"/>
        </w:rPr>
      </w:pPr>
      <w:bookmarkStart w:id="230" w:name="_Toc493511770"/>
      <w:r>
        <w:rPr>
          <w:rFonts w:hint="eastAsia" w:ascii="微软雅黑" w:hAnsi="微软雅黑" w:eastAsia="微软雅黑" w:cs="微软雅黑"/>
          <w:szCs w:val="21"/>
          <w:highlight w:val="none"/>
        </w:rPr>
        <w:t>收款人：嘉兴市千秋工程咨询有限公司</w:t>
      </w:r>
      <w:bookmarkEnd w:id="230"/>
    </w:p>
    <w:p w14:paraId="05A85C43">
      <w:pPr>
        <w:ind w:firstLine="420"/>
        <w:rPr>
          <w:rFonts w:hint="eastAsia" w:ascii="微软雅黑" w:hAnsi="微软雅黑" w:eastAsia="微软雅黑" w:cs="微软雅黑"/>
          <w:szCs w:val="21"/>
          <w:highlight w:val="none"/>
        </w:rPr>
      </w:pPr>
      <w:bookmarkStart w:id="231" w:name="_Toc493511771"/>
      <w:r>
        <w:rPr>
          <w:rFonts w:hint="eastAsia" w:ascii="微软雅黑" w:hAnsi="微软雅黑" w:eastAsia="微软雅黑" w:cs="微软雅黑"/>
          <w:szCs w:val="21"/>
          <w:highlight w:val="none"/>
        </w:rPr>
        <w:t>户名：嘉兴市千秋工程咨询有限公司</w:t>
      </w:r>
      <w:bookmarkEnd w:id="231"/>
    </w:p>
    <w:p w14:paraId="26E83428">
      <w:pPr>
        <w:ind w:firstLine="420"/>
        <w:rPr>
          <w:rFonts w:hint="eastAsia" w:ascii="微软雅黑" w:hAnsi="微软雅黑" w:eastAsia="微软雅黑" w:cs="微软雅黑"/>
          <w:szCs w:val="21"/>
          <w:highlight w:val="none"/>
        </w:rPr>
      </w:pPr>
      <w:bookmarkStart w:id="232" w:name="_Toc493511772"/>
      <w:r>
        <w:rPr>
          <w:rFonts w:hint="eastAsia" w:ascii="微软雅黑" w:hAnsi="微软雅黑" w:eastAsia="微软雅黑" w:cs="微软雅黑"/>
          <w:szCs w:val="21"/>
          <w:highlight w:val="none"/>
        </w:rPr>
        <w:t>开户银行：交通银行嘉兴分行</w:t>
      </w:r>
      <w:bookmarkEnd w:id="232"/>
    </w:p>
    <w:p w14:paraId="3525B6C0">
      <w:pPr>
        <w:ind w:firstLine="420"/>
        <w:rPr>
          <w:rFonts w:hint="eastAsia" w:ascii="微软雅黑" w:hAnsi="微软雅黑" w:eastAsia="微软雅黑" w:cs="微软雅黑"/>
          <w:szCs w:val="21"/>
          <w:highlight w:val="none"/>
        </w:rPr>
      </w:pPr>
      <w:bookmarkStart w:id="233" w:name="_Toc493511773"/>
      <w:r>
        <w:rPr>
          <w:rFonts w:hint="eastAsia" w:ascii="微软雅黑" w:hAnsi="微软雅黑" w:eastAsia="微软雅黑" w:cs="微软雅黑"/>
          <w:szCs w:val="21"/>
          <w:highlight w:val="none"/>
        </w:rPr>
        <w:t>账号：334601000018170160050</w:t>
      </w:r>
      <w:bookmarkEnd w:id="233"/>
    </w:p>
    <w:p w14:paraId="02E0C3E3">
      <w:pPr>
        <w:ind w:firstLine="420"/>
        <w:rPr>
          <w:rFonts w:hint="eastAsia" w:ascii="微软雅黑" w:hAnsi="微软雅黑" w:eastAsia="微软雅黑" w:cs="微软雅黑"/>
          <w:szCs w:val="21"/>
          <w:highlight w:val="none"/>
        </w:rPr>
      </w:pPr>
      <w:bookmarkStart w:id="234" w:name="_Toc493511775"/>
      <w:r>
        <w:rPr>
          <w:rFonts w:hint="eastAsia" w:ascii="微软雅黑" w:hAnsi="微软雅黑" w:eastAsia="微软雅黑" w:cs="微软雅黑"/>
          <w:szCs w:val="21"/>
          <w:highlight w:val="none"/>
        </w:rPr>
        <w:t>7、服务费不在投标报价中单列。</w:t>
      </w:r>
      <w:bookmarkEnd w:id="234"/>
    </w:p>
    <w:p w14:paraId="141A252A">
      <w:pPr>
        <w:pStyle w:val="50"/>
        <w:spacing w:before="0" w:after="0"/>
        <w:ind w:firstLine="640"/>
        <w:outlineLvl w:val="9"/>
        <w:rPr>
          <w:rFonts w:hint="eastAsia" w:ascii="微软雅黑" w:hAnsi="微软雅黑" w:eastAsia="微软雅黑" w:cs="微软雅黑"/>
          <w:highlight w:val="none"/>
        </w:rPr>
        <w:sectPr>
          <w:footerReference r:id="rId16" w:type="first"/>
          <w:footerReference r:id="rId15"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235" w:name="_Toc493511776"/>
      <w:bookmarkStart w:id="236" w:name="_Toc25435"/>
      <w:bookmarkStart w:id="237" w:name="_Toc177870559"/>
      <w:bookmarkStart w:id="238" w:name="_Toc170792807"/>
      <w:bookmarkStart w:id="239" w:name="_Toc417992896"/>
      <w:bookmarkStart w:id="240" w:name="_Toc493511826"/>
      <w:bookmarkStart w:id="241" w:name="_Toc416422800"/>
      <w:bookmarkStart w:id="242" w:name="_Toc170792802"/>
    </w:p>
    <w:p w14:paraId="1A05A241">
      <w:pPr>
        <w:pStyle w:val="4"/>
        <w:numPr>
          <w:ilvl w:val="0"/>
          <w:numId w:val="4"/>
        </w:numPr>
        <w:rPr>
          <w:rStyle w:val="66"/>
          <w:rFonts w:hint="eastAsia" w:ascii="微软雅黑" w:hAnsi="微软雅黑" w:eastAsia="微软雅黑" w:cs="微软雅黑"/>
          <w:b/>
          <w:bCs/>
          <w:highlight w:val="none"/>
        </w:rPr>
      </w:pPr>
      <w:r>
        <w:rPr>
          <w:rStyle w:val="66"/>
          <w:rFonts w:hint="eastAsia" w:ascii="微软雅黑" w:hAnsi="微软雅黑" w:eastAsia="微软雅黑" w:cs="微软雅黑"/>
          <w:b/>
          <w:bCs/>
          <w:highlight w:val="none"/>
        </w:rPr>
        <w:t xml:space="preserve">  </w:t>
      </w:r>
      <w:bookmarkStart w:id="243" w:name="_Toc7414"/>
      <w:bookmarkStart w:id="244" w:name="_Toc191238336"/>
      <w:r>
        <w:rPr>
          <w:rStyle w:val="66"/>
          <w:rFonts w:hint="eastAsia" w:ascii="微软雅黑" w:hAnsi="微软雅黑" w:eastAsia="微软雅黑" w:cs="微软雅黑"/>
          <w:b/>
          <w:bCs/>
          <w:highlight w:val="none"/>
        </w:rPr>
        <w:t>磋商办法及磋商标准</w:t>
      </w:r>
      <w:bookmarkEnd w:id="235"/>
      <w:bookmarkEnd w:id="236"/>
      <w:bookmarkEnd w:id="243"/>
      <w:bookmarkEnd w:id="244"/>
    </w:p>
    <w:p w14:paraId="652E4F93">
      <w:pPr>
        <w:spacing w:before="120" w:beforeLines="50" w:after="120" w:afterLines="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为公正、公平、科学地选择中标供应商，根据《中华人民共和国政府采购法》等有关法律法规的规定，并结合本项目的实际，制定本办法。</w:t>
      </w:r>
    </w:p>
    <w:p w14:paraId="3CAF9F4B">
      <w:pPr>
        <w:ind w:firstLine="420"/>
        <w:rPr>
          <w:rFonts w:hint="eastAsia" w:ascii="微软雅黑" w:hAnsi="微软雅黑" w:eastAsia="微软雅黑" w:cs="微软雅黑"/>
          <w:szCs w:val="21"/>
          <w:highlight w:val="none"/>
        </w:rPr>
      </w:pPr>
      <w:r>
        <w:rPr>
          <w:rFonts w:hint="eastAsia" w:ascii="微软雅黑" w:hAnsi="微软雅黑" w:eastAsia="微软雅黑" w:cs="微软雅黑"/>
          <w:highlight w:val="none"/>
        </w:rPr>
        <w:t>本办法适用于本项目的评标</w:t>
      </w:r>
      <w:r>
        <w:rPr>
          <w:rFonts w:hint="eastAsia" w:ascii="微软雅黑" w:hAnsi="微软雅黑" w:eastAsia="微软雅黑" w:cs="微软雅黑"/>
          <w:szCs w:val="21"/>
          <w:highlight w:val="none"/>
        </w:rPr>
        <w:t>。</w:t>
      </w:r>
    </w:p>
    <w:bookmarkEnd w:id="237"/>
    <w:bookmarkEnd w:id="238"/>
    <w:p w14:paraId="387EDD28">
      <w:pPr>
        <w:pStyle w:val="6"/>
        <w:ind w:firstLine="420"/>
        <w:rPr>
          <w:rFonts w:hint="eastAsia" w:ascii="微软雅黑" w:hAnsi="微软雅黑" w:eastAsia="微软雅黑" w:cs="微软雅黑"/>
          <w:szCs w:val="21"/>
          <w:highlight w:val="none"/>
        </w:rPr>
      </w:pPr>
      <w:bookmarkStart w:id="245" w:name="_Toc21944"/>
      <w:r>
        <w:rPr>
          <w:rFonts w:hint="eastAsia" w:ascii="微软雅黑" w:hAnsi="微软雅黑" w:eastAsia="微软雅黑" w:cs="微软雅黑"/>
          <w:szCs w:val="21"/>
          <w:highlight w:val="none"/>
        </w:rPr>
        <w:t>一、总则</w:t>
      </w:r>
      <w:bookmarkEnd w:id="245"/>
    </w:p>
    <w:p w14:paraId="75F72A5C">
      <w:pPr>
        <w:spacing w:before="120" w:beforeLines="50" w:after="120" w:afterLines="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本次磋商采用综合评分法，总分为100分。合格供应商的评标得分为各项目汇总得分，成交候选资格按评标得分由高到低顺序排列，得分相同的，按响应报价由低到高顺序排列；得分且响应报价相同的，按商务技术得分由高到低顺序排列，仍不能分出前后的，以投标解密先后顺序确定中标候选供应商。成交候选供应商数量：1家，采购人应从评审报告确定的成交候选供应商名单中按顺序确定中标供应商，成交供应商拒绝与采购人签订合同的，确定下一候选供应商为成交供应商，也可以重新开展政府采购活动。评分过程中采用四舍五入法，并保留小数2位。</w:t>
      </w:r>
    </w:p>
    <w:p w14:paraId="2620FBAB">
      <w:pPr>
        <w:spacing w:before="120" w:beforeLines="50" w:after="120" w:afterLines="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供应商评标综合得分=价格分+技术分+资信及其他分</w:t>
      </w:r>
    </w:p>
    <w:p w14:paraId="372B7288">
      <w:pPr>
        <w:pStyle w:val="6"/>
        <w:ind w:firstLine="420"/>
        <w:rPr>
          <w:rFonts w:hint="eastAsia" w:ascii="微软雅黑" w:hAnsi="微软雅黑" w:eastAsia="微软雅黑" w:cs="微软雅黑"/>
          <w:szCs w:val="21"/>
          <w:highlight w:val="none"/>
        </w:rPr>
      </w:pPr>
      <w:bookmarkStart w:id="246" w:name="_Toc7173"/>
      <w:r>
        <w:rPr>
          <w:rFonts w:hint="eastAsia" w:ascii="微软雅黑" w:hAnsi="微软雅黑" w:eastAsia="微软雅黑" w:cs="微软雅黑"/>
          <w:szCs w:val="21"/>
          <w:highlight w:val="none"/>
        </w:rPr>
        <w:t>二、磋商办法及标准</w:t>
      </w:r>
      <w:bookmarkEnd w:id="246"/>
    </w:p>
    <w:p w14:paraId="18D58E52">
      <w:pPr>
        <w:tabs>
          <w:tab w:val="left" w:pos="3870"/>
          <w:tab w:val="left" w:pos="4085"/>
        </w:tabs>
        <w:snapToGrid w:val="0"/>
        <w:spacing w:before="120" w:beforeLines="50" w:after="120" w:afterLines="50"/>
        <w:ind w:firstLine="420"/>
        <w:outlineLvl w:val="2"/>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（一）价格分（10分）</w:t>
      </w:r>
    </w:p>
    <w:p w14:paraId="53C19B22">
      <w:pPr>
        <w:pStyle w:val="21"/>
        <w:spacing w:before="120" w:beforeLines="50" w:after="120" w:afterLines="50" w:line="360" w:lineRule="auto"/>
        <w:ind w:firstLine="404"/>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1.价格分采用低价优先法计算，即满足磋商文件要求且磋商价格最低的投标报价为评标基准价，其他供应商的价格分按照下列公式计算：</w:t>
      </w:r>
    </w:p>
    <w:p w14:paraId="1F5B2139">
      <w:pPr>
        <w:pStyle w:val="29"/>
        <w:spacing w:line="360" w:lineRule="auto"/>
        <w:ind w:firstLine="420" w:firstLineChars="200"/>
        <w:rPr>
          <w:rFonts w:hint="default" w:ascii="微软雅黑" w:hAnsi="微软雅黑" w:eastAsia="微软雅黑" w:cs="微软雅黑"/>
          <w:highlight w:val="none"/>
          <w:lang w:val="en-US"/>
        </w:rPr>
      </w:pPr>
      <w:r>
        <w:rPr>
          <w:rFonts w:hint="eastAsia" w:ascii="微软雅黑" w:hAnsi="微软雅黑" w:eastAsia="微软雅黑" w:cs="微软雅黑"/>
          <w:highlight w:val="none"/>
        </w:rPr>
        <w:t>线路</w:t>
      </w:r>
      <w:r>
        <w:rPr>
          <w:rFonts w:hint="eastAsia" w:cs="微软雅黑"/>
          <w:highlight w:val="none"/>
          <w:lang w:val="en-US" w:eastAsia="zh-CN"/>
        </w:rPr>
        <w:t>1</w:t>
      </w:r>
      <w:r>
        <w:rPr>
          <w:rFonts w:hint="eastAsia" w:ascii="微软雅黑" w:hAnsi="微软雅黑" w:eastAsia="微软雅黑" w:cs="微软雅黑"/>
          <w:highlight w:val="none"/>
        </w:rPr>
        <w:t>：</w:t>
      </w:r>
      <w:r>
        <w:rPr>
          <w:rFonts w:hint="eastAsia" w:cs="微软雅黑"/>
          <w:highlight w:val="none"/>
          <w:lang w:val="en-US" w:eastAsia="zh-CN"/>
        </w:rPr>
        <w:t>不超过6000元/人</w:t>
      </w:r>
      <w:r>
        <w:rPr>
          <w:rFonts w:hint="eastAsia" w:ascii="微软雅黑" w:hAnsi="微软雅黑" w:eastAsia="微软雅黑" w:cs="微软雅黑"/>
          <w:highlight w:val="none"/>
        </w:rPr>
        <w:t>：价格分=（评标基准价/投标报价）×10%×</w:t>
      </w:r>
      <w:r>
        <w:rPr>
          <w:rFonts w:hint="eastAsia" w:cs="微软雅黑"/>
          <w:highlight w:val="none"/>
          <w:lang w:val="en-US" w:eastAsia="zh-CN"/>
        </w:rPr>
        <w:t>80</w:t>
      </w:r>
    </w:p>
    <w:p w14:paraId="57BA4292">
      <w:pPr>
        <w:pStyle w:val="29"/>
        <w:spacing w:line="360" w:lineRule="auto"/>
        <w:ind w:firstLine="420" w:firstLineChars="200"/>
        <w:rPr>
          <w:rFonts w:hint="default" w:ascii="微软雅黑" w:hAnsi="微软雅黑" w:eastAsia="微软雅黑" w:cs="微软雅黑"/>
          <w:highlight w:val="none"/>
          <w:lang w:val="en-US"/>
        </w:rPr>
      </w:pPr>
      <w:r>
        <w:rPr>
          <w:rFonts w:hint="eastAsia" w:ascii="微软雅黑" w:hAnsi="微软雅黑" w:eastAsia="微软雅黑" w:cs="微软雅黑"/>
          <w:highlight w:val="none"/>
        </w:rPr>
        <w:t>线路</w:t>
      </w:r>
      <w:r>
        <w:rPr>
          <w:rFonts w:hint="eastAsia" w:cs="微软雅黑"/>
          <w:highlight w:val="none"/>
          <w:lang w:val="en-US" w:eastAsia="zh-CN"/>
        </w:rPr>
        <w:t>2、3、4</w:t>
      </w:r>
      <w:r>
        <w:rPr>
          <w:rFonts w:hint="eastAsia" w:ascii="微软雅黑" w:hAnsi="微软雅黑" w:eastAsia="微软雅黑" w:cs="微软雅黑"/>
          <w:highlight w:val="none"/>
        </w:rPr>
        <w:t>：3000元/人（价格固定）：价格分=（评标基准价/投标报价）×10%×</w:t>
      </w:r>
    </w:p>
    <w:p w14:paraId="61BF58C8">
      <w:pPr>
        <w:pStyle w:val="21"/>
        <w:spacing w:before="120" w:beforeLines="50" w:after="120" w:afterLines="50" w:line="360" w:lineRule="auto"/>
        <w:ind w:firstLine="404"/>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bookmarkEnd w:id="239"/>
    <w:bookmarkEnd w:id="240"/>
    <w:bookmarkEnd w:id="241"/>
    <w:p w14:paraId="04BDCBD9">
      <w:pPr>
        <w:spacing w:line="400" w:lineRule="exact"/>
        <w:ind w:firstLine="420"/>
        <w:outlineLvl w:val="1"/>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（二）、技术分：</w:t>
      </w:r>
    </w:p>
    <w:tbl>
      <w:tblPr>
        <w:tblStyle w:val="5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10"/>
        <w:gridCol w:w="6348"/>
        <w:gridCol w:w="750"/>
        <w:gridCol w:w="721"/>
      </w:tblGrid>
      <w:tr w14:paraId="1C70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041F97C">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7058" w:type="dxa"/>
            <w:gridSpan w:val="2"/>
            <w:vAlign w:val="center"/>
          </w:tcPr>
          <w:p w14:paraId="7E0CBF9E">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评分标准</w:t>
            </w:r>
          </w:p>
        </w:tc>
        <w:tc>
          <w:tcPr>
            <w:tcW w:w="750" w:type="dxa"/>
            <w:vAlign w:val="center"/>
          </w:tcPr>
          <w:p w14:paraId="4A200BBB">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最高得分</w:t>
            </w:r>
          </w:p>
        </w:tc>
        <w:tc>
          <w:tcPr>
            <w:tcW w:w="721" w:type="dxa"/>
            <w:vAlign w:val="center"/>
          </w:tcPr>
          <w:p w14:paraId="4A6EEC69">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评分设置</w:t>
            </w:r>
          </w:p>
        </w:tc>
      </w:tr>
      <w:tr w14:paraId="543D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19" w:type="dxa"/>
            <w:vMerge w:val="restart"/>
            <w:vAlign w:val="center"/>
          </w:tcPr>
          <w:p w14:paraId="1B22EC70">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710" w:type="dxa"/>
            <w:vMerge w:val="restart"/>
            <w:vAlign w:val="center"/>
          </w:tcPr>
          <w:p w14:paraId="25D54A5F">
            <w:pPr>
              <w:snapToGrid w:val="0"/>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实施</w:t>
            </w:r>
            <w:r>
              <w:rPr>
                <w:rFonts w:hint="eastAsia" w:ascii="微软雅黑" w:hAnsi="微软雅黑" w:eastAsia="微软雅黑" w:cs="微软雅黑"/>
                <w:sz w:val="21"/>
                <w:szCs w:val="21"/>
                <w:highlight w:val="none"/>
                <w:lang w:val="zh-CN"/>
              </w:rPr>
              <w:t>方案</w:t>
            </w:r>
          </w:p>
          <w:p w14:paraId="0B4645B3">
            <w:pPr>
              <w:snapToGrid w:val="0"/>
              <w:spacing w:line="240" w:lineRule="auto"/>
              <w:ind w:firstLine="0" w:firstLineChars="0"/>
              <w:rPr>
                <w:rFonts w:hint="eastAsia" w:ascii="微软雅黑" w:hAnsi="微软雅黑" w:eastAsia="微软雅黑" w:cs="微软雅黑"/>
                <w:sz w:val="21"/>
                <w:szCs w:val="21"/>
                <w:highlight w:val="none"/>
              </w:rPr>
            </w:pPr>
          </w:p>
        </w:tc>
        <w:tc>
          <w:tcPr>
            <w:tcW w:w="6348" w:type="dxa"/>
            <w:vAlign w:val="center"/>
          </w:tcPr>
          <w:p w14:paraId="4F412473">
            <w:pPr>
              <w:snapToGrid w:val="0"/>
              <w:spacing w:line="240" w:lineRule="auto"/>
              <w:ind w:firstLine="0" w:firstLineChars="0"/>
              <w:rPr>
                <w:rFonts w:hint="eastAsia" w:ascii="微软雅黑" w:hAnsi="微软雅黑" w:eastAsia="微软雅黑" w:cs="微软雅黑"/>
                <w:sz w:val="21"/>
                <w:szCs w:val="21"/>
                <w:highlight w:val="none"/>
                <w:lang w:val="zh-CN" w:eastAsia="zh-CN"/>
              </w:rPr>
            </w:pPr>
            <w:r>
              <w:rPr>
                <w:rFonts w:hint="eastAsia" w:ascii="微软雅黑" w:hAnsi="微软雅黑" w:eastAsia="微软雅黑" w:cs="微软雅黑"/>
                <w:sz w:val="21"/>
                <w:szCs w:val="21"/>
                <w:highlight w:val="none"/>
                <w:lang w:val="en-US" w:eastAsia="zh-CN"/>
              </w:rPr>
              <w:t>根据</w:t>
            </w:r>
            <w:r>
              <w:rPr>
                <w:rFonts w:hint="eastAsia" w:ascii="微软雅黑" w:hAnsi="微软雅黑" w:eastAsia="微软雅黑" w:cs="微软雅黑"/>
                <w:sz w:val="21"/>
                <w:szCs w:val="21"/>
                <w:highlight w:val="none"/>
                <w:lang w:val="zh-CN" w:eastAsia="zh-CN"/>
              </w:rPr>
              <w:t>投标供应商针对本项目</w:t>
            </w:r>
            <w:r>
              <w:rPr>
                <w:rFonts w:hint="eastAsia" w:ascii="微软雅黑" w:hAnsi="微软雅黑" w:eastAsia="微软雅黑" w:cs="微软雅黑"/>
                <w:sz w:val="21"/>
                <w:szCs w:val="21"/>
                <w:highlight w:val="none"/>
                <w:lang w:val="en-US" w:eastAsia="zh-CN"/>
              </w:rPr>
              <w:t>提供的餐标情况，包括特色菜，菜品等，</w:t>
            </w:r>
            <w:r>
              <w:rPr>
                <w:rFonts w:hint="eastAsia" w:ascii="微软雅黑" w:hAnsi="微软雅黑" w:eastAsia="微软雅黑" w:cs="微软雅黑"/>
                <w:sz w:val="21"/>
                <w:szCs w:val="21"/>
                <w:highlight w:val="none"/>
                <w:lang w:val="zh-CN" w:eastAsia="zh-CN"/>
              </w:rPr>
              <w:t>是否与采购需求符合性或匹配度进行打分（</w:t>
            </w:r>
            <w:r>
              <w:rPr>
                <w:rFonts w:hint="eastAsia" w:ascii="微软雅黑" w:hAnsi="微软雅黑" w:eastAsia="微软雅黑" w:cs="微软雅黑"/>
                <w:sz w:val="21"/>
                <w:szCs w:val="21"/>
                <w:highlight w:val="none"/>
                <w:lang w:val="en-US" w:eastAsia="zh-CN"/>
              </w:rPr>
              <w:t>评分范围：5/4/3/2/1,没有不得分</w:t>
            </w:r>
            <w:r>
              <w:rPr>
                <w:rFonts w:hint="eastAsia" w:ascii="微软雅黑" w:hAnsi="微软雅黑" w:eastAsia="微软雅黑" w:cs="微软雅黑"/>
                <w:sz w:val="21"/>
                <w:szCs w:val="21"/>
                <w:highlight w:val="none"/>
                <w:lang w:val="zh-CN" w:eastAsia="zh-CN"/>
              </w:rPr>
              <w:t>）；</w:t>
            </w:r>
          </w:p>
        </w:tc>
        <w:tc>
          <w:tcPr>
            <w:tcW w:w="750" w:type="dxa"/>
            <w:vAlign w:val="center"/>
          </w:tcPr>
          <w:p w14:paraId="21EC94A8">
            <w:pPr>
              <w:pStyle w:val="29"/>
              <w:spacing w:after="0" w:line="240" w:lineRule="auto"/>
              <w:ind w:firstLine="0" w:firstLineChars="0"/>
              <w:jc w:val="center"/>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5</w:t>
            </w:r>
          </w:p>
        </w:tc>
        <w:tc>
          <w:tcPr>
            <w:tcW w:w="721" w:type="dxa"/>
            <w:vMerge w:val="restart"/>
            <w:vAlign w:val="center"/>
          </w:tcPr>
          <w:p w14:paraId="0C0FC674">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6912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continue"/>
            <w:vAlign w:val="center"/>
          </w:tcPr>
          <w:p w14:paraId="0433102B">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135D8498">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652A94CA">
            <w:pPr>
              <w:snapToGrid w:val="0"/>
              <w:spacing w:line="240" w:lineRule="auto"/>
              <w:ind w:firstLine="0" w:firstLineChars="0"/>
              <w:rPr>
                <w:rFonts w:hint="eastAsia" w:ascii="微软雅黑" w:hAnsi="微软雅黑" w:eastAsia="微软雅黑" w:cs="微软雅黑"/>
                <w:sz w:val="21"/>
                <w:szCs w:val="21"/>
                <w:highlight w:val="none"/>
                <w:lang w:val="zh-CN" w:eastAsia="zh-CN"/>
              </w:rPr>
            </w:pPr>
            <w:r>
              <w:rPr>
                <w:rFonts w:hint="eastAsia" w:ascii="微软雅黑" w:hAnsi="微软雅黑" w:eastAsia="微软雅黑" w:cs="微软雅黑"/>
                <w:sz w:val="21"/>
                <w:szCs w:val="21"/>
                <w:highlight w:val="none"/>
                <w:lang w:val="en-US" w:eastAsia="zh-CN"/>
              </w:rPr>
              <w:t>根据</w:t>
            </w:r>
            <w:r>
              <w:rPr>
                <w:rFonts w:hint="eastAsia" w:ascii="微软雅黑" w:hAnsi="微软雅黑" w:eastAsia="微软雅黑" w:cs="微软雅黑"/>
                <w:sz w:val="21"/>
                <w:szCs w:val="21"/>
                <w:highlight w:val="none"/>
                <w:lang w:val="zh-CN" w:eastAsia="zh-CN"/>
              </w:rPr>
              <w:t>投标供应商针对本项目</w:t>
            </w:r>
            <w:r>
              <w:rPr>
                <w:rFonts w:hint="eastAsia" w:ascii="微软雅黑" w:hAnsi="微软雅黑" w:eastAsia="微软雅黑" w:cs="微软雅黑"/>
                <w:sz w:val="21"/>
                <w:szCs w:val="21"/>
                <w:highlight w:val="none"/>
                <w:lang w:val="en-US" w:eastAsia="zh-CN"/>
              </w:rPr>
              <w:t>提供的住宿环境、位置、酒店星级情况，</w:t>
            </w:r>
            <w:r>
              <w:rPr>
                <w:rFonts w:hint="eastAsia" w:ascii="微软雅黑" w:hAnsi="微软雅黑" w:eastAsia="微软雅黑" w:cs="微软雅黑"/>
                <w:sz w:val="21"/>
                <w:szCs w:val="21"/>
                <w:highlight w:val="none"/>
                <w:lang w:val="zh-CN" w:eastAsia="zh-CN"/>
              </w:rPr>
              <w:t>是否与采购需求符合性或匹配度进行打分（</w:t>
            </w:r>
            <w:r>
              <w:rPr>
                <w:rFonts w:hint="eastAsia" w:ascii="微软雅黑" w:hAnsi="微软雅黑" w:eastAsia="微软雅黑" w:cs="微软雅黑"/>
                <w:sz w:val="21"/>
                <w:szCs w:val="21"/>
                <w:highlight w:val="none"/>
                <w:lang w:val="en-US" w:eastAsia="zh-CN"/>
              </w:rPr>
              <w:t>评分范围：5/4/3/2/1,没有不得分</w:t>
            </w:r>
            <w:r>
              <w:rPr>
                <w:rFonts w:hint="eastAsia" w:ascii="微软雅黑" w:hAnsi="微软雅黑" w:eastAsia="微软雅黑" w:cs="微软雅黑"/>
                <w:sz w:val="21"/>
                <w:szCs w:val="21"/>
                <w:highlight w:val="none"/>
                <w:lang w:val="zh-CN" w:eastAsia="zh-CN"/>
              </w:rPr>
              <w:t>）；</w:t>
            </w:r>
          </w:p>
        </w:tc>
        <w:tc>
          <w:tcPr>
            <w:tcW w:w="750" w:type="dxa"/>
            <w:vAlign w:val="center"/>
          </w:tcPr>
          <w:p w14:paraId="5039B158">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56BFEAAB">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7F47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19" w:type="dxa"/>
            <w:vMerge w:val="continue"/>
            <w:vAlign w:val="center"/>
          </w:tcPr>
          <w:p w14:paraId="080A472B">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6352500D">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47E5739B">
            <w:pPr>
              <w:snapToGrid w:val="0"/>
              <w:spacing w:line="240" w:lineRule="auto"/>
              <w:ind w:firstLine="0" w:firstLineChars="0"/>
              <w:rPr>
                <w:rFonts w:hint="eastAsia" w:ascii="微软雅黑" w:hAnsi="微软雅黑" w:eastAsia="微软雅黑" w:cs="微软雅黑"/>
                <w:sz w:val="21"/>
                <w:szCs w:val="21"/>
                <w:highlight w:val="none"/>
                <w:lang w:val="zh-CN" w:eastAsia="zh-CN"/>
              </w:rPr>
            </w:pPr>
            <w:r>
              <w:rPr>
                <w:rFonts w:hint="eastAsia" w:ascii="微软雅黑" w:hAnsi="微软雅黑" w:eastAsia="微软雅黑" w:cs="微软雅黑"/>
                <w:sz w:val="21"/>
                <w:szCs w:val="21"/>
                <w:highlight w:val="none"/>
                <w:lang w:val="en-US" w:eastAsia="zh-CN"/>
              </w:rPr>
              <w:t>根据</w:t>
            </w:r>
            <w:r>
              <w:rPr>
                <w:rFonts w:hint="eastAsia" w:ascii="微软雅黑" w:hAnsi="微软雅黑" w:eastAsia="微软雅黑" w:cs="微软雅黑"/>
                <w:sz w:val="21"/>
                <w:szCs w:val="21"/>
                <w:highlight w:val="none"/>
                <w:lang w:val="zh-CN" w:eastAsia="zh-CN"/>
              </w:rPr>
              <w:t>投标供应商针对本项目</w:t>
            </w:r>
            <w:r>
              <w:rPr>
                <w:rFonts w:hint="eastAsia" w:ascii="微软雅黑" w:hAnsi="微软雅黑" w:eastAsia="微软雅黑" w:cs="微软雅黑"/>
                <w:sz w:val="21"/>
                <w:szCs w:val="21"/>
                <w:highlight w:val="none"/>
                <w:lang w:val="en-US" w:eastAsia="zh-CN"/>
              </w:rPr>
              <w:t>提供的出行的大交通的安排、往返时间，配置等方案，</w:t>
            </w:r>
            <w:r>
              <w:rPr>
                <w:rFonts w:hint="eastAsia" w:ascii="微软雅黑" w:hAnsi="微软雅黑" w:eastAsia="微软雅黑" w:cs="微软雅黑"/>
                <w:sz w:val="21"/>
                <w:szCs w:val="21"/>
                <w:highlight w:val="none"/>
                <w:lang w:val="zh-CN" w:eastAsia="zh-CN"/>
              </w:rPr>
              <w:t>是否与采购需求符合性或匹配度进行打分（</w:t>
            </w:r>
            <w:r>
              <w:rPr>
                <w:rFonts w:hint="eastAsia" w:ascii="微软雅黑" w:hAnsi="微软雅黑" w:eastAsia="微软雅黑" w:cs="微软雅黑"/>
                <w:sz w:val="21"/>
                <w:szCs w:val="21"/>
                <w:highlight w:val="none"/>
                <w:lang w:val="en-US" w:eastAsia="zh-CN"/>
              </w:rPr>
              <w:t>评分范围：5/4/3/2/1,没有不得分</w:t>
            </w:r>
            <w:r>
              <w:rPr>
                <w:rFonts w:hint="eastAsia" w:ascii="微软雅黑" w:hAnsi="微软雅黑" w:eastAsia="微软雅黑" w:cs="微软雅黑"/>
                <w:sz w:val="21"/>
                <w:szCs w:val="21"/>
                <w:highlight w:val="none"/>
                <w:lang w:val="zh-CN" w:eastAsia="zh-CN"/>
              </w:rPr>
              <w:t>）；</w:t>
            </w:r>
          </w:p>
        </w:tc>
        <w:tc>
          <w:tcPr>
            <w:tcW w:w="750" w:type="dxa"/>
            <w:vAlign w:val="center"/>
          </w:tcPr>
          <w:p w14:paraId="17475CC6">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2D338C87">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219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7A678D54">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31036066">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2499B9B5">
            <w:pPr>
              <w:snapToGrid w:val="0"/>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en-US" w:eastAsia="zh-CN"/>
              </w:rPr>
              <w:t>根据投标供应商针对本项目提供的出行</w:t>
            </w:r>
            <w:r>
              <w:rPr>
                <w:rFonts w:hint="eastAsia" w:ascii="微软雅黑" w:hAnsi="微软雅黑" w:eastAsia="微软雅黑" w:cs="微软雅黑"/>
                <w:sz w:val="21"/>
                <w:szCs w:val="21"/>
                <w:highlight w:val="none"/>
                <w:lang w:val="zh-CN"/>
              </w:rPr>
              <w:t>线路策划，</w:t>
            </w:r>
            <w:r>
              <w:rPr>
                <w:rFonts w:hint="eastAsia" w:ascii="微软雅黑" w:hAnsi="微软雅黑" w:eastAsia="微软雅黑" w:cs="微软雅黑"/>
                <w:sz w:val="21"/>
                <w:szCs w:val="21"/>
                <w:highlight w:val="none"/>
                <w:lang w:val="en-US" w:eastAsia="zh-CN"/>
              </w:rPr>
              <w:t>包括</w:t>
            </w:r>
            <w:r>
              <w:rPr>
                <w:rFonts w:hint="eastAsia" w:ascii="微软雅黑" w:hAnsi="微软雅黑" w:eastAsia="微软雅黑" w:cs="微软雅黑"/>
                <w:bCs/>
                <w:spacing w:val="-4"/>
                <w:sz w:val="21"/>
                <w:szCs w:val="21"/>
                <w:highlight w:val="none"/>
              </w:rPr>
              <w:t>出行路线</w:t>
            </w:r>
            <w:r>
              <w:rPr>
                <w:rFonts w:hint="eastAsia" w:ascii="微软雅黑" w:hAnsi="微软雅黑" w:eastAsia="微软雅黑" w:cs="微软雅黑"/>
                <w:bCs/>
                <w:spacing w:val="-4"/>
                <w:sz w:val="21"/>
                <w:szCs w:val="21"/>
                <w:highlight w:val="none"/>
                <w:lang w:eastAsia="zh-CN"/>
              </w:rPr>
              <w:t>、</w:t>
            </w:r>
            <w:r>
              <w:rPr>
                <w:rFonts w:hint="eastAsia" w:ascii="微软雅黑" w:hAnsi="微软雅黑" w:eastAsia="微软雅黑" w:cs="微软雅黑"/>
                <w:bCs/>
                <w:spacing w:val="-4"/>
                <w:sz w:val="21"/>
                <w:szCs w:val="21"/>
                <w:highlight w:val="none"/>
              </w:rPr>
              <w:t>时间安排</w:t>
            </w:r>
            <w:r>
              <w:rPr>
                <w:rFonts w:hint="eastAsia" w:ascii="微软雅黑" w:hAnsi="微软雅黑" w:eastAsia="微软雅黑" w:cs="微软雅黑"/>
                <w:bCs/>
                <w:spacing w:val="-4"/>
                <w:sz w:val="21"/>
                <w:szCs w:val="21"/>
                <w:highlight w:val="none"/>
                <w:lang w:val="en-US" w:eastAsia="zh-CN"/>
              </w:rPr>
              <w:t>，</w:t>
            </w:r>
            <w:r>
              <w:rPr>
                <w:rFonts w:hint="eastAsia" w:ascii="微软雅黑" w:hAnsi="微软雅黑" w:eastAsia="微软雅黑" w:cs="微软雅黑"/>
                <w:sz w:val="21"/>
                <w:szCs w:val="21"/>
                <w:highlight w:val="none"/>
                <w:lang w:val="zh-CN"/>
              </w:rPr>
              <w:t>是否与采购需求符合性或匹配度进行打分（</w:t>
            </w:r>
            <w:r>
              <w:rPr>
                <w:rFonts w:hint="eastAsia" w:ascii="微软雅黑" w:hAnsi="微软雅黑" w:eastAsia="微软雅黑" w:cs="微软雅黑"/>
                <w:kern w:val="0"/>
                <w:sz w:val="21"/>
                <w:szCs w:val="21"/>
                <w:highlight w:val="none"/>
              </w:rPr>
              <w:t>评分范围：5/4/3/2/1,没有不得分</w:t>
            </w:r>
            <w:r>
              <w:rPr>
                <w:rFonts w:hint="eastAsia" w:ascii="微软雅黑" w:hAnsi="微软雅黑" w:eastAsia="微软雅黑" w:cs="微软雅黑"/>
                <w:sz w:val="21"/>
                <w:szCs w:val="21"/>
                <w:highlight w:val="none"/>
                <w:lang w:val="zh-CN"/>
              </w:rPr>
              <w:t>）</w:t>
            </w:r>
          </w:p>
        </w:tc>
        <w:tc>
          <w:tcPr>
            <w:tcW w:w="750" w:type="dxa"/>
            <w:vAlign w:val="center"/>
          </w:tcPr>
          <w:p w14:paraId="129534BE">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4CDC72E1">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316B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19" w:type="dxa"/>
            <w:vMerge w:val="continue"/>
            <w:vAlign w:val="center"/>
          </w:tcPr>
          <w:p w14:paraId="564F0449">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4F8B58AC">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0A6EC399">
            <w:pPr>
              <w:snapToGrid w:val="0"/>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en-US" w:eastAsia="zh-CN"/>
              </w:rPr>
              <w:t>根据投标供应商针对提供的</w:t>
            </w:r>
            <w:r>
              <w:rPr>
                <w:rFonts w:hint="eastAsia" w:ascii="微软雅黑" w:hAnsi="微软雅黑" w:eastAsia="微软雅黑" w:cs="微软雅黑"/>
                <w:sz w:val="21"/>
                <w:szCs w:val="21"/>
                <w:highlight w:val="none"/>
              </w:rPr>
              <w:t>景点</w:t>
            </w:r>
            <w:r>
              <w:rPr>
                <w:rFonts w:hint="eastAsia" w:ascii="微软雅黑" w:hAnsi="微软雅黑" w:eastAsia="微软雅黑" w:cs="微软雅黑"/>
                <w:sz w:val="21"/>
                <w:szCs w:val="21"/>
                <w:highlight w:val="none"/>
                <w:lang w:val="en-US" w:eastAsia="zh-CN"/>
              </w:rPr>
              <w:t>安排情况</w:t>
            </w:r>
            <w:r>
              <w:rPr>
                <w:rFonts w:hint="eastAsia" w:ascii="微软雅黑" w:hAnsi="微软雅黑" w:eastAsia="微软雅黑" w:cs="微软雅黑"/>
                <w:bCs/>
                <w:spacing w:val="-4"/>
                <w:sz w:val="21"/>
                <w:szCs w:val="21"/>
                <w:highlight w:val="none"/>
                <w:lang w:eastAsia="zh-CN"/>
              </w:rPr>
              <w:t>，</w:t>
            </w:r>
            <w:r>
              <w:rPr>
                <w:rFonts w:hint="eastAsia" w:ascii="微软雅黑" w:hAnsi="微软雅黑" w:eastAsia="微软雅黑" w:cs="微软雅黑"/>
                <w:bCs/>
                <w:spacing w:val="-4"/>
                <w:sz w:val="21"/>
                <w:szCs w:val="21"/>
                <w:highlight w:val="none"/>
                <w:lang w:val="en-US" w:eastAsia="zh-CN"/>
              </w:rPr>
              <w:t>是否丰富、是否具有特色性和趣味性，</w:t>
            </w:r>
            <w:r>
              <w:rPr>
                <w:rFonts w:hint="eastAsia" w:ascii="微软雅黑" w:hAnsi="微软雅黑" w:eastAsia="微软雅黑" w:cs="微软雅黑"/>
                <w:sz w:val="21"/>
                <w:szCs w:val="21"/>
                <w:highlight w:val="none"/>
                <w:lang w:val="zh-CN"/>
              </w:rPr>
              <w:t>是否与采购需求符合性或匹配度进行打分（</w:t>
            </w:r>
            <w:r>
              <w:rPr>
                <w:rFonts w:hint="eastAsia" w:ascii="微软雅黑" w:hAnsi="微软雅黑" w:eastAsia="微软雅黑" w:cs="微软雅黑"/>
                <w:kern w:val="0"/>
                <w:sz w:val="21"/>
                <w:szCs w:val="21"/>
                <w:highlight w:val="none"/>
              </w:rPr>
              <w:t>评分范围：5/4/3/2/1,没有不得分</w:t>
            </w:r>
            <w:r>
              <w:rPr>
                <w:rFonts w:hint="eastAsia" w:ascii="微软雅黑" w:hAnsi="微软雅黑" w:eastAsia="微软雅黑" w:cs="微软雅黑"/>
                <w:sz w:val="21"/>
                <w:szCs w:val="21"/>
                <w:highlight w:val="none"/>
                <w:lang w:val="zh-CN"/>
              </w:rPr>
              <w:t>）</w:t>
            </w:r>
          </w:p>
        </w:tc>
        <w:tc>
          <w:tcPr>
            <w:tcW w:w="750" w:type="dxa"/>
            <w:vAlign w:val="center"/>
          </w:tcPr>
          <w:p w14:paraId="6916F5B7">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6D77B419">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446B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428116A">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7058" w:type="dxa"/>
            <w:gridSpan w:val="2"/>
          </w:tcPr>
          <w:p w14:paraId="5030EDFE">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对本项目投标方案中提供或使用主要设备的优劣等</w:t>
            </w:r>
            <w:r>
              <w:rPr>
                <w:rFonts w:hint="eastAsia" w:ascii="微软雅黑" w:hAnsi="微软雅黑" w:eastAsia="微软雅黑" w:cs="微软雅黑"/>
                <w:sz w:val="21"/>
                <w:szCs w:val="21"/>
                <w:highlight w:val="none"/>
                <w:lang w:val="zh-CN"/>
              </w:rPr>
              <w:t>，是否与采购需求符合性或匹配度进行打分，</w:t>
            </w:r>
            <w:r>
              <w:rPr>
                <w:rFonts w:hint="eastAsia" w:ascii="微软雅黑" w:hAnsi="微软雅黑" w:eastAsia="微软雅黑" w:cs="微软雅黑"/>
                <w:sz w:val="21"/>
                <w:szCs w:val="21"/>
                <w:highlight w:val="none"/>
              </w:rPr>
              <w:t>包括：</w:t>
            </w:r>
          </w:p>
          <w:p w14:paraId="002704FD">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1、根据车队情况（包括车型、车况、座位比、司机驾龄、当地用车情况等），满足招标需求的得基本分5分，</w:t>
            </w:r>
            <w:r>
              <w:rPr>
                <w:rFonts w:hint="eastAsia" w:ascii="微软雅黑" w:hAnsi="微软雅黑" w:eastAsia="微软雅黑" w:cs="微软雅黑"/>
                <w:sz w:val="21"/>
                <w:szCs w:val="21"/>
                <w:highlight w:val="none"/>
              </w:rPr>
              <w:t>有一项负偏离的本项不得分。由评审小组组认定有实质性正偏离的</w:t>
            </w:r>
            <w:r>
              <w:rPr>
                <w:rFonts w:hint="eastAsia" w:ascii="微软雅黑" w:hAnsi="微软雅黑" w:eastAsia="微软雅黑" w:cs="微软雅黑"/>
                <w:bCs/>
                <w:sz w:val="21"/>
                <w:szCs w:val="21"/>
                <w:highlight w:val="none"/>
              </w:rPr>
              <w:t>，每一条加0.5分，最多加2分。</w:t>
            </w:r>
          </w:p>
          <w:p w14:paraId="73F71DF9">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2、旅行小伴配置情况满足招标需求的得基本分3分，</w:t>
            </w:r>
            <w:r>
              <w:rPr>
                <w:rFonts w:hint="eastAsia" w:ascii="微软雅黑" w:hAnsi="微软雅黑" w:eastAsia="微软雅黑" w:cs="微软雅黑"/>
                <w:sz w:val="21"/>
                <w:szCs w:val="21"/>
                <w:highlight w:val="none"/>
              </w:rPr>
              <w:t>有一项负偏离的本项不得分。由评审小组组认定有实质性正偏离的</w:t>
            </w:r>
            <w:r>
              <w:rPr>
                <w:rFonts w:hint="eastAsia" w:ascii="微软雅黑" w:hAnsi="微软雅黑" w:eastAsia="微软雅黑" w:cs="微软雅黑"/>
                <w:bCs/>
                <w:sz w:val="21"/>
                <w:szCs w:val="21"/>
                <w:highlight w:val="none"/>
              </w:rPr>
              <w:t>，每一条加0.5分，最多加2分。</w:t>
            </w:r>
          </w:p>
        </w:tc>
        <w:tc>
          <w:tcPr>
            <w:tcW w:w="750" w:type="dxa"/>
            <w:vAlign w:val="center"/>
          </w:tcPr>
          <w:p w14:paraId="6A45BEE9">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12</w:t>
            </w:r>
          </w:p>
        </w:tc>
        <w:tc>
          <w:tcPr>
            <w:tcW w:w="721" w:type="dxa"/>
            <w:vAlign w:val="center"/>
          </w:tcPr>
          <w:p w14:paraId="10B9D6A0">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sz w:val="21"/>
                <w:szCs w:val="21"/>
                <w:highlight w:val="none"/>
              </w:rPr>
              <w:t>客观</w:t>
            </w:r>
          </w:p>
        </w:tc>
      </w:tr>
      <w:tr w14:paraId="067B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9451685">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058" w:type="dxa"/>
            <w:gridSpan w:val="2"/>
          </w:tcPr>
          <w:p w14:paraId="1A7DD0DF">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w:t>
            </w:r>
            <w:r>
              <w:rPr>
                <w:rFonts w:hint="eastAsia" w:ascii="微软雅黑" w:hAnsi="微软雅黑" w:eastAsia="微软雅黑" w:cs="微软雅黑"/>
                <w:sz w:val="21"/>
                <w:szCs w:val="21"/>
                <w:highlight w:val="none"/>
                <w:lang w:val="zh-CN"/>
              </w:rPr>
              <w:t>保证进度和项目完成的方案和措施等，是否与采购需求符合性或匹配度进行打分，包括：</w:t>
            </w:r>
          </w:p>
          <w:p w14:paraId="67C2CBB5">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疗休养实施</w:t>
            </w:r>
            <w:r>
              <w:rPr>
                <w:rFonts w:hint="eastAsia" w:ascii="微软雅黑" w:hAnsi="微软雅黑" w:eastAsia="微软雅黑" w:cs="微软雅黑"/>
                <w:sz w:val="21"/>
                <w:szCs w:val="21"/>
                <w:highlight w:val="none"/>
                <w:lang w:val="zh-CN"/>
              </w:rPr>
              <w:t>工作程序和步骤（</w:t>
            </w:r>
            <w:r>
              <w:rPr>
                <w:rFonts w:hint="eastAsia" w:ascii="微软雅黑" w:hAnsi="微软雅黑" w:eastAsia="微软雅黑" w:cs="微软雅黑"/>
                <w:kern w:val="0"/>
                <w:sz w:val="21"/>
                <w:szCs w:val="21"/>
                <w:highlight w:val="none"/>
              </w:rPr>
              <w:t>评分范围：1/0.5,没有不得分</w:t>
            </w:r>
            <w:r>
              <w:rPr>
                <w:rFonts w:hint="eastAsia" w:ascii="微软雅黑" w:hAnsi="微软雅黑" w:eastAsia="微软雅黑" w:cs="微软雅黑"/>
                <w:sz w:val="21"/>
                <w:szCs w:val="21"/>
                <w:highlight w:val="none"/>
                <w:lang w:val="zh-CN"/>
              </w:rPr>
              <w:t>）；</w:t>
            </w:r>
          </w:p>
          <w:p w14:paraId="370DD0A5">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zh-CN"/>
              </w:rPr>
              <w:t>管理和协调方法（</w:t>
            </w:r>
            <w:r>
              <w:rPr>
                <w:rFonts w:hint="eastAsia" w:ascii="微软雅黑" w:hAnsi="微软雅黑" w:eastAsia="微软雅黑" w:cs="微软雅黑"/>
                <w:kern w:val="0"/>
                <w:sz w:val="21"/>
                <w:szCs w:val="21"/>
                <w:highlight w:val="none"/>
              </w:rPr>
              <w:t>评分范围：1/0.5,没有不得分</w:t>
            </w:r>
            <w:r>
              <w:rPr>
                <w:rFonts w:hint="eastAsia" w:ascii="微软雅黑" w:hAnsi="微软雅黑" w:eastAsia="微软雅黑" w:cs="微软雅黑"/>
                <w:sz w:val="21"/>
                <w:szCs w:val="21"/>
                <w:highlight w:val="none"/>
                <w:lang w:val="zh-CN"/>
              </w:rPr>
              <w:t>）；</w:t>
            </w:r>
          </w:p>
          <w:p w14:paraId="280A2761">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zh-CN"/>
              </w:rPr>
              <w:t>关键步骤和要点（</w:t>
            </w:r>
            <w:r>
              <w:rPr>
                <w:rFonts w:hint="eastAsia" w:ascii="微软雅黑" w:hAnsi="微软雅黑" w:eastAsia="微软雅黑" w:cs="微软雅黑"/>
                <w:kern w:val="0"/>
                <w:sz w:val="21"/>
                <w:szCs w:val="21"/>
                <w:highlight w:val="none"/>
              </w:rPr>
              <w:t>评分范围：1/0.5,没有不得分</w:t>
            </w:r>
            <w:r>
              <w:rPr>
                <w:rFonts w:hint="eastAsia" w:ascii="微软雅黑" w:hAnsi="微软雅黑" w:eastAsia="微软雅黑" w:cs="微软雅黑"/>
                <w:sz w:val="21"/>
                <w:szCs w:val="21"/>
                <w:highlight w:val="none"/>
                <w:lang w:val="zh-CN"/>
              </w:rPr>
              <w:t>）。</w:t>
            </w:r>
          </w:p>
        </w:tc>
        <w:tc>
          <w:tcPr>
            <w:tcW w:w="750" w:type="dxa"/>
            <w:vAlign w:val="center"/>
          </w:tcPr>
          <w:p w14:paraId="28957B1F">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09A127A9">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7923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0295EB1">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4</w:t>
            </w:r>
          </w:p>
        </w:tc>
        <w:tc>
          <w:tcPr>
            <w:tcW w:w="7058" w:type="dxa"/>
            <w:gridSpan w:val="2"/>
          </w:tcPr>
          <w:p w14:paraId="0E2280AC">
            <w:pPr>
              <w:snapToGrid w:val="0"/>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对本项目的项目负责人及技术力量安排等</w:t>
            </w:r>
          </w:p>
          <w:p w14:paraId="5CAF0E30">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供应商拥有中级及以上导游员或市级及以上优秀或金牌导游员的得</w:t>
            </w:r>
            <w:r>
              <w:rPr>
                <w:rFonts w:hint="eastAsia" w:ascii="微软雅黑" w:hAnsi="微软雅黑" w:eastAsia="微软雅黑" w:cs="微软雅黑"/>
                <w:bCs/>
                <w:sz w:val="21"/>
                <w:szCs w:val="21"/>
                <w:highlight w:val="none"/>
              </w:rPr>
              <w:t>2</w:t>
            </w:r>
            <w:r>
              <w:rPr>
                <w:rFonts w:hint="eastAsia" w:ascii="微软雅黑" w:hAnsi="微软雅黑" w:eastAsia="微软雅黑" w:cs="微软雅黑"/>
                <w:bCs/>
                <w:sz w:val="21"/>
                <w:szCs w:val="21"/>
                <w:highlight w:val="none"/>
                <w:lang w:val="zh-CN"/>
              </w:rPr>
              <w:t>分，拥有区县级优秀或金牌导游员的得</w:t>
            </w:r>
            <w:r>
              <w:rPr>
                <w:rFonts w:hint="eastAsia" w:ascii="微软雅黑" w:hAnsi="微软雅黑" w:eastAsia="微软雅黑" w:cs="微软雅黑"/>
                <w:bCs/>
                <w:sz w:val="21"/>
                <w:szCs w:val="21"/>
                <w:highlight w:val="none"/>
              </w:rPr>
              <w:t>1</w:t>
            </w:r>
            <w:r>
              <w:rPr>
                <w:rFonts w:hint="eastAsia" w:ascii="微软雅黑" w:hAnsi="微软雅黑" w:eastAsia="微软雅黑" w:cs="微软雅黑"/>
                <w:bCs/>
                <w:sz w:val="21"/>
                <w:szCs w:val="21"/>
                <w:highlight w:val="none"/>
                <w:lang w:val="zh-CN"/>
              </w:rPr>
              <w:t>分。</w:t>
            </w:r>
          </w:p>
          <w:p w14:paraId="42C0411F">
            <w:pPr>
              <w:snapToGrid w:val="0"/>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lang w:val="zh-CN"/>
              </w:rPr>
              <w:t>提供</w:t>
            </w:r>
            <w:r>
              <w:rPr>
                <w:rFonts w:hint="eastAsia" w:ascii="微软雅黑" w:hAnsi="微软雅黑" w:eastAsia="微软雅黑" w:cs="微软雅黑"/>
                <w:bCs/>
                <w:sz w:val="21"/>
                <w:szCs w:val="21"/>
                <w:highlight w:val="none"/>
              </w:rPr>
              <w:t>该</w:t>
            </w:r>
            <w:r>
              <w:rPr>
                <w:rFonts w:hint="eastAsia" w:ascii="微软雅黑" w:hAnsi="微软雅黑" w:eastAsia="微软雅黑" w:cs="微软雅黑"/>
                <w:bCs/>
                <w:sz w:val="21"/>
                <w:szCs w:val="21"/>
                <w:highlight w:val="none"/>
                <w:lang w:val="zh-CN"/>
              </w:rPr>
              <w:t>导游员投标截止前</w:t>
            </w:r>
            <w:r>
              <w:rPr>
                <w:rFonts w:hint="eastAsia" w:ascii="微软雅黑" w:hAnsi="微软雅黑" w:eastAsia="微软雅黑" w:cs="微软雅黑"/>
                <w:bCs/>
                <w:sz w:val="21"/>
                <w:szCs w:val="21"/>
                <w:highlight w:val="none"/>
              </w:rPr>
              <w:t>3个月内任意一个月</w:t>
            </w:r>
            <w:r>
              <w:rPr>
                <w:rFonts w:hint="eastAsia" w:ascii="微软雅黑" w:hAnsi="微软雅黑" w:eastAsia="微软雅黑" w:cs="微软雅黑"/>
                <w:bCs/>
                <w:sz w:val="21"/>
                <w:szCs w:val="21"/>
                <w:highlight w:val="none"/>
                <w:lang w:val="zh-CN"/>
              </w:rPr>
              <w:t>在</w:t>
            </w:r>
            <w:r>
              <w:rPr>
                <w:rFonts w:hint="eastAsia" w:ascii="微软雅黑" w:hAnsi="微软雅黑" w:eastAsia="微软雅黑" w:cs="微软雅黑"/>
                <w:bCs/>
                <w:sz w:val="21"/>
                <w:szCs w:val="21"/>
                <w:highlight w:val="none"/>
              </w:rPr>
              <w:t>所在</w:t>
            </w:r>
            <w:r>
              <w:rPr>
                <w:rFonts w:hint="eastAsia" w:ascii="微软雅黑" w:hAnsi="微软雅黑" w:eastAsia="微软雅黑" w:cs="微软雅黑"/>
                <w:bCs/>
                <w:sz w:val="21"/>
                <w:szCs w:val="21"/>
                <w:highlight w:val="none"/>
                <w:lang w:val="zh-CN"/>
              </w:rPr>
              <w:t>单位的</w:t>
            </w:r>
            <w:r>
              <w:rPr>
                <w:rFonts w:hint="eastAsia" w:ascii="微软雅黑" w:hAnsi="微软雅黑" w:eastAsia="微软雅黑" w:cs="微软雅黑"/>
                <w:bCs/>
                <w:sz w:val="21"/>
                <w:szCs w:val="21"/>
                <w:highlight w:val="none"/>
              </w:rPr>
              <w:t>社</w:t>
            </w:r>
            <w:r>
              <w:rPr>
                <w:rFonts w:hint="eastAsia" w:ascii="微软雅黑" w:hAnsi="微软雅黑" w:eastAsia="微软雅黑" w:cs="微软雅黑"/>
                <w:bCs/>
                <w:sz w:val="21"/>
                <w:szCs w:val="21"/>
                <w:highlight w:val="none"/>
                <w:lang w:val="zh-CN"/>
              </w:rPr>
              <w:t>保证明、导游证、中高级导游员或优秀导游员或金牌导游员证书材料，</w:t>
            </w:r>
            <w:r>
              <w:rPr>
                <w:rFonts w:hint="eastAsia" w:ascii="微软雅黑" w:hAnsi="微软雅黑" w:eastAsia="微软雅黑" w:cs="微软雅黑"/>
                <w:bCs/>
                <w:sz w:val="21"/>
                <w:szCs w:val="21"/>
                <w:highlight w:val="none"/>
              </w:rPr>
              <w:t>否则不得分</w:t>
            </w:r>
            <w:r>
              <w:rPr>
                <w:rFonts w:hint="eastAsia" w:ascii="微软雅黑" w:hAnsi="微软雅黑" w:eastAsia="微软雅黑" w:cs="微软雅黑"/>
                <w:bCs/>
                <w:sz w:val="21"/>
                <w:szCs w:val="21"/>
                <w:highlight w:val="none"/>
                <w:lang w:val="zh-CN"/>
              </w:rPr>
              <w:t>。</w:t>
            </w:r>
          </w:p>
        </w:tc>
        <w:tc>
          <w:tcPr>
            <w:tcW w:w="750" w:type="dxa"/>
            <w:vAlign w:val="center"/>
          </w:tcPr>
          <w:p w14:paraId="648F1B80">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2</w:t>
            </w:r>
          </w:p>
        </w:tc>
        <w:tc>
          <w:tcPr>
            <w:tcW w:w="721" w:type="dxa"/>
            <w:vAlign w:val="center"/>
          </w:tcPr>
          <w:p w14:paraId="611EE426">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客观</w:t>
            </w:r>
          </w:p>
        </w:tc>
      </w:tr>
      <w:tr w14:paraId="13E7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1F8967C">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5</w:t>
            </w:r>
          </w:p>
        </w:tc>
        <w:tc>
          <w:tcPr>
            <w:tcW w:w="7058" w:type="dxa"/>
            <w:gridSpan w:val="2"/>
          </w:tcPr>
          <w:p w14:paraId="18B1FAFA">
            <w:pPr>
              <w:snapToGrid w:val="0"/>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对本项目的合理化建议：</w:t>
            </w:r>
          </w:p>
          <w:p w14:paraId="7EF5F9D2">
            <w:pPr>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在</w:t>
            </w:r>
            <w:r>
              <w:rPr>
                <w:rFonts w:hint="eastAsia" w:ascii="微软雅黑" w:hAnsi="微软雅黑" w:eastAsia="微软雅黑" w:cs="微软雅黑"/>
                <w:bCs/>
                <w:sz w:val="21"/>
                <w:szCs w:val="21"/>
                <w:highlight w:val="none"/>
                <w:lang w:eastAsia="zh-CN"/>
              </w:rPr>
              <w:t>招标文件</w:t>
            </w:r>
            <w:r>
              <w:rPr>
                <w:rFonts w:hint="eastAsia" w:ascii="微软雅黑" w:hAnsi="微软雅黑" w:eastAsia="微软雅黑" w:cs="微软雅黑"/>
                <w:bCs/>
                <w:sz w:val="21"/>
                <w:szCs w:val="21"/>
                <w:highlight w:val="none"/>
              </w:rPr>
              <w:t>规定的线路标准的基础上，根据投标方优化方案，提出合理化建议，根据建议</w:t>
            </w:r>
            <w:r>
              <w:rPr>
                <w:rFonts w:hint="eastAsia" w:ascii="微软雅黑" w:hAnsi="微软雅黑" w:eastAsia="微软雅黑" w:cs="微软雅黑"/>
                <w:bCs/>
                <w:sz w:val="21"/>
                <w:szCs w:val="21"/>
                <w:highlight w:val="none"/>
                <w:lang w:val="zh-CN"/>
              </w:rPr>
              <w:t>是否与采购需求符合性或匹配度进行打分（</w:t>
            </w:r>
            <w:r>
              <w:rPr>
                <w:rFonts w:hint="eastAsia" w:ascii="微软雅黑" w:hAnsi="微软雅黑" w:eastAsia="微软雅黑" w:cs="微软雅黑"/>
                <w:bCs/>
                <w:kern w:val="0"/>
                <w:sz w:val="21"/>
                <w:szCs w:val="21"/>
                <w:highlight w:val="none"/>
              </w:rPr>
              <w:t>评分范围：</w:t>
            </w:r>
            <w:r>
              <w:rPr>
                <w:rFonts w:hint="eastAsia" w:ascii="微软雅黑" w:hAnsi="微软雅黑" w:eastAsia="微软雅黑" w:cs="微软雅黑"/>
                <w:bCs/>
                <w:sz w:val="21"/>
                <w:szCs w:val="21"/>
                <w:highlight w:val="none"/>
              </w:rPr>
              <w:t>3</w:t>
            </w:r>
            <w:r>
              <w:rPr>
                <w:rFonts w:hint="eastAsia" w:ascii="微软雅黑" w:hAnsi="微软雅黑" w:eastAsia="微软雅黑" w:cs="微软雅黑"/>
                <w:bCs/>
                <w:kern w:val="0"/>
                <w:sz w:val="21"/>
                <w:szCs w:val="21"/>
                <w:highlight w:val="none"/>
              </w:rPr>
              <w:t>/2/1,没有不得分</w:t>
            </w:r>
            <w:r>
              <w:rPr>
                <w:rFonts w:hint="eastAsia" w:ascii="微软雅黑" w:hAnsi="微软雅黑" w:eastAsia="微软雅黑" w:cs="微软雅黑"/>
                <w:bCs/>
                <w:sz w:val="21"/>
                <w:szCs w:val="21"/>
                <w:highlight w:val="none"/>
              </w:rPr>
              <w:t>）。</w:t>
            </w:r>
          </w:p>
        </w:tc>
        <w:tc>
          <w:tcPr>
            <w:tcW w:w="750" w:type="dxa"/>
            <w:vAlign w:val="center"/>
          </w:tcPr>
          <w:p w14:paraId="3D7DE58D">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3</w:t>
            </w:r>
          </w:p>
        </w:tc>
        <w:tc>
          <w:tcPr>
            <w:tcW w:w="721" w:type="dxa"/>
            <w:vAlign w:val="center"/>
          </w:tcPr>
          <w:p w14:paraId="21DC1A3B">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sz w:val="21"/>
                <w:szCs w:val="21"/>
                <w:highlight w:val="none"/>
              </w:rPr>
              <w:t>主观</w:t>
            </w:r>
          </w:p>
        </w:tc>
      </w:tr>
      <w:tr w14:paraId="4163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2B48376">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6</w:t>
            </w:r>
          </w:p>
        </w:tc>
        <w:tc>
          <w:tcPr>
            <w:tcW w:w="7058" w:type="dxa"/>
            <w:gridSpan w:val="2"/>
            <w:vAlign w:val="center"/>
          </w:tcPr>
          <w:p w14:paraId="022407A9">
            <w:pPr>
              <w:snapToGrid w:val="0"/>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投标供应商针对本项目</w:t>
            </w:r>
            <w:r>
              <w:rPr>
                <w:rFonts w:hint="eastAsia" w:ascii="微软雅黑" w:hAnsi="微软雅黑" w:eastAsia="微软雅黑" w:cs="微软雅黑"/>
                <w:bCs/>
                <w:sz w:val="21"/>
                <w:szCs w:val="21"/>
                <w:highlight w:val="none"/>
                <w:lang w:val="zh-CN"/>
              </w:rPr>
              <w:t>服务质量保证情况，</w:t>
            </w:r>
            <w:r>
              <w:rPr>
                <w:rFonts w:hint="eastAsia" w:ascii="微软雅黑" w:hAnsi="微软雅黑" w:eastAsia="微软雅黑" w:cs="微软雅黑"/>
                <w:bCs/>
                <w:sz w:val="21"/>
                <w:szCs w:val="21"/>
                <w:highlight w:val="none"/>
              </w:rPr>
              <w:t>是否与采购需求符合性或匹配度进行打分，包括：</w:t>
            </w:r>
          </w:p>
          <w:p w14:paraId="3B467DF1">
            <w:pPr>
              <w:numPr>
                <w:ilvl w:val="0"/>
                <w:numId w:val="34"/>
              </w:numPr>
              <w:autoSpaceDE w:val="0"/>
              <w:autoSpaceDN w:val="0"/>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根据出行服务（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1A5A4C17">
            <w:pPr>
              <w:numPr>
                <w:ilvl w:val="0"/>
                <w:numId w:val="34"/>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人性化服务（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1525C80E">
            <w:pPr>
              <w:numPr>
                <w:ilvl w:val="0"/>
                <w:numId w:val="34"/>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与地接人员衔接服务（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65786F51">
            <w:pPr>
              <w:numPr>
                <w:ilvl w:val="0"/>
                <w:numId w:val="34"/>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安排入住酒店（</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58535309">
            <w:pPr>
              <w:numPr>
                <w:ilvl w:val="0"/>
                <w:numId w:val="34"/>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用餐服务（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0FA56D98">
            <w:pPr>
              <w:numPr>
                <w:ilvl w:val="0"/>
                <w:numId w:val="34"/>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与本次疗休养有关的服务质量编制详细计划（</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tc>
        <w:tc>
          <w:tcPr>
            <w:tcW w:w="750" w:type="dxa"/>
            <w:vAlign w:val="center"/>
          </w:tcPr>
          <w:p w14:paraId="586A1438">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w:t>
            </w:r>
          </w:p>
        </w:tc>
        <w:tc>
          <w:tcPr>
            <w:tcW w:w="721" w:type="dxa"/>
            <w:vAlign w:val="center"/>
          </w:tcPr>
          <w:p w14:paraId="7896846D">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302A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A6EDF80">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7</w:t>
            </w:r>
          </w:p>
        </w:tc>
        <w:tc>
          <w:tcPr>
            <w:tcW w:w="7058" w:type="dxa"/>
            <w:gridSpan w:val="2"/>
          </w:tcPr>
          <w:p w14:paraId="2A80E49A">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投标供应商针对本项目的安全保障措施，是否与采购需求符合性或匹配度进行打分，</w:t>
            </w:r>
            <w:r>
              <w:rPr>
                <w:rFonts w:hint="eastAsia" w:ascii="微软雅黑" w:hAnsi="微软雅黑" w:eastAsia="微软雅黑" w:cs="微软雅黑"/>
                <w:sz w:val="21"/>
                <w:szCs w:val="21"/>
                <w:highlight w:val="none"/>
              </w:rPr>
              <w:t>包括：</w:t>
            </w:r>
          </w:p>
          <w:p w14:paraId="2DCEBD24">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sz w:val="21"/>
                <w:szCs w:val="21"/>
                <w:highlight w:val="none"/>
                <w:lang w:val="zh-CN"/>
              </w:rPr>
              <w:t>提供详细的突发事件处理方案（</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p w14:paraId="6F3AD5B5">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val="zh-CN"/>
              </w:rPr>
              <w:t>安防措施（</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p w14:paraId="3F257378">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3、</w:t>
            </w:r>
            <w:r>
              <w:rPr>
                <w:rFonts w:hint="eastAsia" w:ascii="微软雅黑" w:hAnsi="微软雅黑" w:eastAsia="微软雅黑" w:cs="微软雅黑"/>
                <w:sz w:val="21"/>
                <w:szCs w:val="21"/>
                <w:highlight w:val="none"/>
                <w:lang w:val="zh-CN"/>
              </w:rPr>
              <w:t>投诉处理（</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p w14:paraId="1ACBA008">
            <w:pPr>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sz w:val="21"/>
                <w:szCs w:val="21"/>
                <w:highlight w:val="none"/>
              </w:rPr>
              <w:t>4、</w:t>
            </w:r>
            <w:r>
              <w:rPr>
                <w:rFonts w:hint="eastAsia" w:ascii="微软雅黑" w:hAnsi="微软雅黑" w:eastAsia="微软雅黑" w:cs="微软雅黑"/>
                <w:sz w:val="21"/>
                <w:szCs w:val="21"/>
                <w:highlight w:val="none"/>
                <w:lang w:val="zh-CN"/>
              </w:rPr>
              <w:t>纠纷处理方案（</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tc>
        <w:tc>
          <w:tcPr>
            <w:tcW w:w="750" w:type="dxa"/>
            <w:vAlign w:val="center"/>
          </w:tcPr>
          <w:p w14:paraId="10C719CB">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16</w:t>
            </w:r>
          </w:p>
        </w:tc>
        <w:tc>
          <w:tcPr>
            <w:tcW w:w="721" w:type="dxa"/>
            <w:vAlign w:val="center"/>
          </w:tcPr>
          <w:p w14:paraId="41352DC7">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7917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8081008">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8</w:t>
            </w:r>
          </w:p>
        </w:tc>
        <w:tc>
          <w:tcPr>
            <w:tcW w:w="7058" w:type="dxa"/>
            <w:gridSpan w:val="2"/>
          </w:tcPr>
          <w:p w14:paraId="485BD746">
            <w:pPr>
              <w:autoSpaceDE w:val="0"/>
              <w:autoSpaceDN w:val="0"/>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根据投标供应商在投标文件中明确未成年游客收费标准及加床、用餐、门票、占座等收费明细，是否与采购需求符合性或匹配度进行打分（</w:t>
            </w:r>
            <w:r>
              <w:rPr>
                <w:rFonts w:hint="eastAsia" w:ascii="微软雅黑" w:hAnsi="微软雅黑" w:eastAsia="微软雅黑" w:cs="微软雅黑"/>
                <w:kern w:val="0"/>
                <w:sz w:val="21"/>
                <w:szCs w:val="21"/>
                <w:highlight w:val="none"/>
              </w:rPr>
              <w:t>评分范围：</w:t>
            </w:r>
            <w:r>
              <w:rPr>
                <w:rFonts w:hint="eastAsia" w:ascii="微软雅黑" w:hAnsi="微软雅黑" w:eastAsia="微软雅黑" w:cs="微软雅黑"/>
                <w:sz w:val="21"/>
                <w:szCs w:val="21"/>
                <w:highlight w:val="none"/>
              </w:rPr>
              <w:t>3</w:t>
            </w:r>
            <w:r>
              <w:rPr>
                <w:rFonts w:hint="eastAsia" w:ascii="微软雅黑" w:hAnsi="微软雅黑" w:eastAsia="微软雅黑" w:cs="微软雅黑"/>
                <w:kern w:val="0"/>
                <w:sz w:val="21"/>
                <w:szCs w:val="21"/>
                <w:highlight w:val="none"/>
              </w:rPr>
              <w:t>/2/1,没有不得分</w:t>
            </w:r>
            <w:r>
              <w:rPr>
                <w:rFonts w:hint="eastAsia" w:ascii="微软雅黑" w:hAnsi="微软雅黑" w:eastAsia="微软雅黑" w:cs="微软雅黑"/>
                <w:sz w:val="21"/>
                <w:szCs w:val="21"/>
                <w:highlight w:val="none"/>
              </w:rPr>
              <w:t>）。</w:t>
            </w:r>
          </w:p>
        </w:tc>
        <w:tc>
          <w:tcPr>
            <w:tcW w:w="750" w:type="dxa"/>
            <w:vAlign w:val="center"/>
          </w:tcPr>
          <w:p w14:paraId="065E8681">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735AAFD1">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68E8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4A6F5C6">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9</w:t>
            </w:r>
          </w:p>
        </w:tc>
        <w:tc>
          <w:tcPr>
            <w:tcW w:w="7058" w:type="dxa"/>
            <w:gridSpan w:val="2"/>
          </w:tcPr>
          <w:p w14:paraId="342F619B">
            <w:pPr>
              <w:autoSpaceDE w:val="0"/>
              <w:autoSpaceDN w:val="0"/>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zh-TW"/>
              </w:rPr>
              <w:t>根据投标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sz w:val="21"/>
                <w:szCs w:val="21"/>
                <w:highlight w:val="none"/>
                <w:lang w:val="zh-TW"/>
              </w:rPr>
              <w:t>针对</w:t>
            </w:r>
            <w:r>
              <w:rPr>
                <w:rFonts w:hint="eastAsia" w:ascii="微软雅黑" w:hAnsi="微软雅黑" w:eastAsia="微软雅黑" w:cs="微软雅黑"/>
                <w:sz w:val="21"/>
                <w:szCs w:val="21"/>
                <w:highlight w:val="none"/>
                <w:lang w:val="zh-TW" w:eastAsia="zh-CN"/>
              </w:rPr>
              <w:t>本项目</w:t>
            </w:r>
            <w:r>
              <w:rPr>
                <w:rFonts w:hint="eastAsia" w:ascii="微软雅黑" w:hAnsi="微软雅黑" w:eastAsia="微软雅黑" w:cs="微软雅黑"/>
                <w:sz w:val="21"/>
                <w:szCs w:val="21"/>
                <w:highlight w:val="none"/>
                <w:lang w:val="zh-TW"/>
              </w:rPr>
              <w:t>职工家属参加疗休养，超本项目预算部分，投标供应商提供优惠政策和</w:t>
            </w:r>
            <w:r>
              <w:rPr>
                <w:rFonts w:hint="eastAsia" w:ascii="微软雅黑" w:hAnsi="微软雅黑" w:eastAsia="微软雅黑" w:cs="微软雅黑"/>
                <w:sz w:val="21"/>
                <w:szCs w:val="21"/>
                <w:highlight w:val="none"/>
              </w:rPr>
              <w:t>服务</w:t>
            </w:r>
            <w:r>
              <w:rPr>
                <w:rFonts w:hint="eastAsia" w:ascii="微软雅黑" w:hAnsi="微软雅黑" w:eastAsia="微软雅黑" w:cs="微软雅黑"/>
                <w:sz w:val="21"/>
                <w:szCs w:val="21"/>
                <w:highlight w:val="none"/>
                <w:lang w:val="zh-TW"/>
              </w:rPr>
              <w:t>，是否与采购需求符合性或匹配度进行打分（</w:t>
            </w:r>
            <w:r>
              <w:rPr>
                <w:rFonts w:hint="eastAsia" w:ascii="微软雅黑" w:hAnsi="微软雅黑" w:eastAsia="微软雅黑" w:cs="微软雅黑"/>
                <w:kern w:val="0"/>
                <w:sz w:val="21"/>
                <w:szCs w:val="21"/>
                <w:highlight w:val="none"/>
              </w:rPr>
              <w:t>评分范围：3/2/1,没有不得分</w:t>
            </w:r>
            <w:r>
              <w:rPr>
                <w:rFonts w:hint="eastAsia" w:ascii="微软雅黑" w:hAnsi="微软雅黑" w:eastAsia="微软雅黑" w:cs="微软雅黑"/>
                <w:sz w:val="21"/>
                <w:szCs w:val="21"/>
                <w:highlight w:val="none"/>
                <w:lang w:val="zh-TW"/>
              </w:rPr>
              <w:t>）</w:t>
            </w:r>
          </w:p>
        </w:tc>
        <w:tc>
          <w:tcPr>
            <w:tcW w:w="750" w:type="dxa"/>
            <w:vAlign w:val="center"/>
          </w:tcPr>
          <w:p w14:paraId="18C04563">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2332A4C8">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5B27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5D95182">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10</w:t>
            </w:r>
          </w:p>
        </w:tc>
        <w:tc>
          <w:tcPr>
            <w:tcW w:w="7058" w:type="dxa"/>
            <w:gridSpan w:val="2"/>
          </w:tcPr>
          <w:p w14:paraId="6D18C3C9">
            <w:pPr>
              <w:autoSpaceDE w:val="0"/>
              <w:autoSpaceDN w:val="0"/>
              <w:spacing w:line="240" w:lineRule="auto"/>
              <w:ind w:firstLine="0" w:firstLineChars="0"/>
              <w:rPr>
                <w:rFonts w:hint="eastAsia" w:ascii="微软雅黑" w:hAnsi="微软雅黑" w:eastAsia="微软雅黑" w:cs="微软雅黑"/>
                <w:sz w:val="21"/>
                <w:szCs w:val="21"/>
                <w:highlight w:val="none"/>
                <w:lang w:val="zh-TW"/>
              </w:rPr>
            </w:pPr>
            <w:r>
              <w:rPr>
                <w:rFonts w:hint="eastAsia" w:ascii="微软雅黑" w:hAnsi="微软雅黑" w:eastAsia="微软雅黑" w:cs="微软雅黑"/>
                <w:sz w:val="21"/>
                <w:szCs w:val="21"/>
                <w:highlight w:val="none"/>
                <w:lang w:val="zh-TW"/>
              </w:rPr>
              <w:t>根据投标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sz w:val="21"/>
                <w:szCs w:val="21"/>
                <w:highlight w:val="none"/>
                <w:lang w:val="zh-TW"/>
              </w:rPr>
              <w:t>提供的增值（特色）服务内容，是否与采购需求符合性或匹配度进行打分（</w:t>
            </w:r>
            <w:r>
              <w:rPr>
                <w:rFonts w:hint="eastAsia" w:ascii="微软雅黑" w:hAnsi="微软雅黑" w:eastAsia="微软雅黑" w:cs="微软雅黑"/>
                <w:kern w:val="0"/>
                <w:sz w:val="21"/>
                <w:szCs w:val="21"/>
                <w:highlight w:val="none"/>
              </w:rPr>
              <w:t>评分范围：</w:t>
            </w:r>
            <w:r>
              <w:rPr>
                <w:rFonts w:hint="eastAsia" w:ascii="微软雅黑" w:hAnsi="微软雅黑" w:eastAsia="微软雅黑" w:cs="微软雅黑"/>
                <w:sz w:val="21"/>
                <w:szCs w:val="21"/>
                <w:highlight w:val="none"/>
              </w:rPr>
              <w:t>3</w:t>
            </w:r>
            <w:r>
              <w:rPr>
                <w:rFonts w:hint="eastAsia" w:ascii="微软雅黑" w:hAnsi="微软雅黑" w:eastAsia="微软雅黑" w:cs="微软雅黑"/>
                <w:kern w:val="0"/>
                <w:sz w:val="21"/>
                <w:szCs w:val="21"/>
                <w:highlight w:val="none"/>
              </w:rPr>
              <w:t>/2/1,没有不得分</w:t>
            </w:r>
            <w:r>
              <w:rPr>
                <w:rFonts w:hint="eastAsia" w:ascii="微软雅黑" w:hAnsi="微软雅黑" w:eastAsia="微软雅黑" w:cs="微软雅黑"/>
                <w:sz w:val="21"/>
                <w:szCs w:val="21"/>
                <w:highlight w:val="none"/>
                <w:lang w:val="zh-TW"/>
              </w:rPr>
              <w:t>）。</w:t>
            </w:r>
          </w:p>
        </w:tc>
        <w:tc>
          <w:tcPr>
            <w:tcW w:w="750" w:type="dxa"/>
            <w:vAlign w:val="center"/>
          </w:tcPr>
          <w:p w14:paraId="6A1BF4DF">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4D8DFCC8">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1B12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0F958F5">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11</w:t>
            </w:r>
          </w:p>
        </w:tc>
        <w:tc>
          <w:tcPr>
            <w:tcW w:w="7058" w:type="dxa"/>
            <w:gridSpan w:val="2"/>
          </w:tcPr>
          <w:p w14:paraId="48D66DCB">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lang w:val="zh-TW"/>
              </w:rPr>
              <w:t>根据投标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bCs/>
                <w:sz w:val="21"/>
                <w:szCs w:val="21"/>
                <w:highlight w:val="none"/>
                <w:lang w:val="zh-CN"/>
              </w:rPr>
              <w:t>针对本项目的服务承诺，是否与采购需求符合性或匹配度进行打分</w:t>
            </w:r>
          </w:p>
          <w:p w14:paraId="653EE6D3">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提供后续服务计划（包含但不限于：旅游</w:t>
            </w:r>
            <w:r>
              <w:rPr>
                <w:rFonts w:hint="eastAsia" w:ascii="微软雅黑" w:hAnsi="微软雅黑" w:eastAsia="微软雅黑" w:cs="微软雅黑"/>
                <w:bCs/>
                <w:sz w:val="21"/>
                <w:szCs w:val="21"/>
                <w:highlight w:val="none"/>
                <w:lang w:val="en-US" w:eastAsia="zh-CN"/>
              </w:rPr>
              <w:t>投诉</w:t>
            </w:r>
            <w:r>
              <w:rPr>
                <w:rFonts w:hint="eastAsia" w:ascii="微软雅黑" w:hAnsi="微软雅黑" w:eastAsia="微软雅黑" w:cs="微软雅黑"/>
                <w:bCs/>
                <w:sz w:val="21"/>
                <w:szCs w:val="21"/>
                <w:highlight w:val="none"/>
                <w:lang w:val="zh-CN"/>
              </w:rPr>
              <w:t>处理、顾客回访等）（</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lang w:val="zh-CN"/>
              </w:rPr>
              <w:t>）</w:t>
            </w:r>
          </w:p>
          <w:p w14:paraId="392A23F0">
            <w:pPr>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lang w:val="zh-CN"/>
              </w:rPr>
              <w:t>根据</w:t>
            </w:r>
            <w:r>
              <w:rPr>
                <w:rFonts w:hint="eastAsia" w:ascii="微软雅黑" w:hAnsi="微软雅黑" w:eastAsia="微软雅黑" w:cs="微软雅黑"/>
                <w:sz w:val="21"/>
                <w:szCs w:val="21"/>
                <w:highlight w:val="none"/>
                <w:lang w:val="zh-TW"/>
              </w:rPr>
              <w:t>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bCs/>
                <w:sz w:val="21"/>
                <w:szCs w:val="21"/>
                <w:highlight w:val="none"/>
                <w:lang w:val="zh-CN"/>
              </w:rPr>
              <w:t>是否能提供方便、快捷、优质服务方案及承诺等情况 （</w:t>
            </w:r>
            <w:r>
              <w:rPr>
                <w:rFonts w:hint="eastAsia" w:ascii="微软雅黑" w:hAnsi="微软雅黑" w:eastAsia="微软雅黑" w:cs="微软雅黑"/>
                <w:bCs/>
                <w:kern w:val="0"/>
                <w:sz w:val="21"/>
                <w:szCs w:val="21"/>
                <w:highlight w:val="none"/>
              </w:rPr>
              <w:t>评分范围：1/0.5,没有不得分</w:t>
            </w:r>
            <w:r>
              <w:rPr>
                <w:rFonts w:hint="eastAsia" w:ascii="微软雅黑" w:hAnsi="微软雅黑" w:eastAsia="微软雅黑" w:cs="微软雅黑"/>
                <w:bCs/>
                <w:sz w:val="21"/>
                <w:szCs w:val="21"/>
                <w:highlight w:val="none"/>
                <w:lang w:val="zh-CN"/>
              </w:rPr>
              <w:t>）</w:t>
            </w:r>
          </w:p>
        </w:tc>
        <w:tc>
          <w:tcPr>
            <w:tcW w:w="750" w:type="dxa"/>
            <w:vAlign w:val="center"/>
          </w:tcPr>
          <w:p w14:paraId="20B18E9F">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56B93AD5">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6358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DAD31EE">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w:t>
            </w:r>
          </w:p>
        </w:tc>
        <w:tc>
          <w:tcPr>
            <w:tcW w:w="7058" w:type="dxa"/>
            <w:gridSpan w:val="2"/>
            <w:vAlign w:val="center"/>
          </w:tcPr>
          <w:p w14:paraId="08615340">
            <w:pPr>
              <w:spacing w:line="240" w:lineRule="auto"/>
              <w:ind w:firstLine="0" w:firstLineChars="0"/>
              <w:rPr>
                <w:rFonts w:hint="eastAsia" w:ascii="微软雅黑" w:hAnsi="微软雅黑" w:eastAsia="微软雅黑" w:cs="微软雅黑"/>
                <w:bCs/>
                <w:sz w:val="21"/>
                <w:szCs w:val="21"/>
                <w:highlight w:val="none"/>
                <w:lang w:val="zh-CN"/>
              </w:rPr>
            </w:pPr>
            <w:bookmarkStart w:id="353" w:name="_GoBack"/>
            <w:r>
              <w:rPr>
                <w:rFonts w:hint="eastAsia" w:ascii="微软雅黑" w:hAnsi="微软雅黑" w:eastAsia="微软雅黑" w:cs="微软雅黑"/>
                <w:bCs/>
                <w:sz w:val="21"/>
                <w:szCs w:val="21"/>
                <w:highlight w:val="none"/>
                <w:lang w:val="zh-CN"/>
              </w:rPr>
              <w:t>投标供应商针对临时不参加活动人员的费用退还方案（包含整团退费、个别退费、途中无法继续行程、个别行程不参加等情况）进行综合评分：</w:t>
            </w:r>
          </w:p>
          <w:p w14:paraId="18C38549">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退费方案中对各种退费情况及退费金额或替代方案列举清晰，承诺退还费用90%（含）以上的得4分；</w:t>
            </w:r>
          </w:p>
          <w:p w14:paraId="1FDCFC7E">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退费方案中对各种退费情况及退费金额或替代方案列举较清晰，并承诺退还费用90%-85%（含）的得3分；</w:t>
            </w:r>
          </w:p>
          <w:p w14:paraId="7BCF1F5F">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退费方案基本清晰，并承诺退还费用85%-80%（含）的得2分；</w:t>
            </w:r>
          </w:p>
          <w:p w14:paraId="53F38927">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退还方案部分存在瑕疵，并承诺退还费用80%-75%（含）的得1分；</w:t>
            </w:r>
          </w:p>
          <w:p w14:paraId="40E190EF">
            <w:pPr>
              <w:spacing w:line="240" w:lineRule="auto"/>
              <w:ind w:firstLine="0" w:firstLineChars="0"/>
              <w:rPr>
                <w:rFonts w:hint="eastAsia" w:ascii="微软雅黑" w:hAnsi="微软雅黑" w:eastAsia="微软雅黑" w:cs="微软雅黑"/>
                <w:sz w:val="21"/>
                <w:szCs w:val="21"/>
                <w:highlight w:val="none"/>
                <w:lang w:val="zh-TW"/>
              </w:rPr>
            </w:pPr>
            <w:r>
              <w:rPr>
                <w:rFonts w:hint="eastAsia" w:ascii="微软雅黑" w:hAnsi="微软雅黑" w:eastAsia="微软雅黑" w:cs="微软雅黑"/>
                <w:bCs/>
                <w:sz w:val="21"/>
                <w:szCs w:val="21"/>
                <w:highlight w:val="none"/>
                <w:lang w:val="zh-CN"/>
              </w:rPr>
              <w:t>退还方案不明确、多处不足，承诺退还费用75%以下的或未提供得0分。</w:t>
            </w:r>
            <w:bookmarkEnd w:id="353"/>
          </w:p>
        </w:tc>
        <w:tc>
          <w:tcPr>
            <w:tcW w:w="750" w:type="dxa"/>
            <w:vAlign w:val="center"/>
          </w:tcPr>
          <w:p w14:paraId="2881ECA7">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w:t>
            </w:r>
          </w:p>
        </w:tc>
        <w:tc>
          <w:tcPr>
            <w:tcW w:w="721" w:type="dxa"/>
            <w:vAlign w:val="center"/>
          </w:tcPr>
          <w:p w14:paraId="1B60959E">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0380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9" w:type="dxa"/>
            <w:vAlign w:val="center"/>
          </w:tcPr>
          <w:p w14:paraId="55EB5B01">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小计</w:t>
            </w:r>
          </w:p>
        </w:tc>
        <w:tc>
          <w:tcPr>
            <w:tcW w:w="7058" w:type="dxa"/>
            <w:gridSpan w:val="2"/>
            <w:vAlign w:val="center"/>
          </w:tcPr>
          <w:p w14:paraId="410F077C">
            <w:pPr>
              <w:pStyle w:val="29"/>
              <w:spacing w:after="0" w:line="240" w:lineRule="auto"/>
              <w:ind w:firstLine="0" w:firstLineChars="0"/>
              <w:rPr>
                <w:rFonts w:hint="eastAsia" w:ascii="微软雅黑" w:hAnsi="微软雅黑" w:eastAsia="微软雅黑" w:cs="微软雅黑"/>
                <w:sz w:val="21"/>
                <w:szCs w:val="21"/>
                <w:highlight w:val="none"/>
              </w:rPr>
            </w:pPr>
          </w:p>
        </w:tc>
        <w:tc>
          <w:tcPr>
            <w:tcW w:w="750" w:type="dxa"/>
          </w:tcPr>
          <w:p w14:paraId="789EFCE1">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fldChar w:fldCharType="begin"/>
            </w:r>
            <w:r>
              <w:rPr>
                <w:rFonts w:hint="eastAsia" w:ascii="微软雅黑" w:hAnsi="微软雅黑" w:eastAsia="微软雅黑" w:cs="微软雅黑"/>
                <w:bCs/>
                <w:kern w:val="0"/>
                <w:sz w:val="21"/>
                <w:szCs w:val="21"/>
                <w:highlight w:val="none"/>
              </w:rPr>
              <w:instrText xml:space="preserve"> =SUM(ABOVE) </w:instrText>
            </w:r>
            <w:r>
              <w:rPr>
                <w:rFonts w:hint="eastAsia" w:ascii="微软雅黑" w:hAnsi="微软雅黑" w:eastAsia="微软雅黑" w:cs="微软雅黑"/>
                <w:bCs/>
                <w:kern w:val="0"/>
                <w:sz w:val="21"/>
                <w:szCs w:val="21"/>
                <w:highlight w:val="none"/>
              </w:rPr>
              <w:fldChar w:fldCharType="separate"/>
            </w:r>
            <w:r>
              <w:rPr>
                <w:rFonts w:hint="eastAsia" w:ascii="微软雅黑" w:hAnsi="微软雅黑" w:eastAsia="微软雅黑" w:cs="微软雅黑"/>
                <w:bCs/>
                <w:kern w:val="0"/>
                <w:sz w:val="21"/>
                <w:szCs w:val="21"/>
                <w:highlight w:val="none"/>
              </w:rPr>
              <w:t>89</w:t>
            </w:r>
            <w:r>
              <w:rPr>
                <w:rFonts w:hint="eastAsia" w:ascii="微软雅黑" w:hAnsi="微软雅黑" w:eastAsia="微软雅黑" w:cs="微软雅黑"/>
                <w:bCs/>
                <w:kern w:val="0"/>
                <w:sz w:val="21"/>
                <w:szCs w:val="21"/>
                <w:highlight w:val="none"/>
              </w:rPr>
              <w:fldChar w:fldCharType="end"/>
            </w:r>
          </w:p>
        </w:tc>
        <w:tc>
          <w:tcPr>
            <w:tcW w:w="721" w:type="dxa"/>
            <w:vAlign w:val="center"/>
          </w:tcPr>
          <w:p w14:paraId="065845F8">
            <w:pPr>
              <w:widowControl/>
              <w:spacing w:line="240" w:lineRule="auto"/>
              <w:ind w:firstLine="0" w:firstLineChars="0"/>
              <w:jc w:val="center"/>
              <w:rPr>
                <w:rFonts w:hint="eastAsia" w:ascii="微软雅黑" w:hAnsi="微软雅黑" w:eastAsia="微软雅黑" w:cs="微软雅黑"/>
                <w:bCs/>
                <w:kern w:val="0"/>
                <w:sz w:val="21"/>
                <w:szCs w:val="21"/>
                <w:highlight w:val="none"/>
              </w:rPr>
            </w:pPr>
          </w:p>
        </w:tc>
      </w:tr>
    </w:tbl>
    <w:p w14:paraId="028CBCE4">
      <w:pPr>
        <w:spacing w:line="400" w:lineRule="exact"/>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三、资信商务分：</w:t>
      </w:r>
    </w:p>
    <w:tbl>
      <w:tblPr>
        <w:tblStyle w:val="5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050"/>
        <w:gridCol w:w="716"/>
        <w:gridCol w:w="685"/>
      </w:tblGrid>
      <w:tr w14:paraId="3B2D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14:paraId="6C372090">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序号</w:t>
            </w:r>
          </w:p>
        </w:tc>
        <w:tc>
          <w:tcPr>
            <w:tcW w:w="7050" w:type="dxa"/>
            <w:tcBorders>
              <w:top w:val="single" w:color="auto" w:sz="4" w:space="0"/>
              <w:left w:val="single" w:color="auto" w:sz="4" w:space="0"/>
              <w:bottom w:val="single" w:color="auto" w:sz="4" w:space="0"/>
              <w:right w:val="single" w:color="auto" w:sz="4" w:space="0"/>
            </w:tcBorders>
          </w:tcPr>
          <w:p w14:paraId="19E914D3">
            <w:pPr>
              <w:spacing w:line="240" w:lineRule="auto"/>
              <w:ind w:firstLine="0" w:firstLineChars="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评分标准</w:t>
            </w:r>
          </w:p>
        </w:tc>
        <w:tc>
          <w:tcPr>
            <w:tcW w:w="716" w:type="dxa"/>
            <w:tcBorders>
              <w:top w:val="single" w:color="auto" w:sz="4" w:space="0"/>
              <w:left w:val="single" w:color="auto" w:sz="4" w:space="0"/>
              <w:bottom w:val="single" w:color="auto" w:sz="4" w:space="0"/>
              <w:right w:val="single" w:color="auto" w:sz="4" w:space="0"/>
            </w:tcBorders>
            <w:vAlign w:val="center"/>
          </w:tcPr>
          <w:p w14:paraId="1DD0AB69">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最高得分</w:t>
            </w:r>
          </w:p>
        </w:tc>
        <w:tc>
          <w:tcPr>
            <w:tcW w:w="685" w:type="dxa"/>
            <w:tcBorders>
              <w:top w:val="single" w:color="auto" w:sz="4" w:space="0"/>
              <w:left w:val="single" w:color="auto" w:sz="4" w:space="0"/>
              <w:bottom w:val="single" w:color="auto" w:sz="4" w:space="0"/>
              <w:right w:val="single" w:color="auto" w:sz="4" w:space="0"/>
            </w:tcBorders>
            <w:vAlign w:val="center"/>
          </w:tcPr>
          <w:p w14:paraId="694C9CEE">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评分设置</w:t>
            </w:r>
          </w:p>
        </w:tc>
      </w:tr>
      <w:tr w14:paraId="646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14:paraId="5265EBD4">
            <w:pPr>
              <w:spacing w:line="240" w:lineRule="auto"/>
              <w:ind w:firstLine="0" w:firstLineChars="0"/>
              <w:jc w:val="center"/>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13</w:t>
            </w:r>
          </w:p>
        </w:tc>
        <w:tc>
          <w:tcPr>
            <w:tcW w:w="7050" w:type="dxa"/>
            <w:tcBorders>
              <w:top w:val="single" w:color="auto" w:sz="4" w:space="0"/>
              <w:left w:val="single" w:color="auto" w:sz="4" w:space="0"/>
              <w:bottom w:val="single" w:color="auto" w:sz="4" w:space="0"/>
              <w:right w:val="single" w:color="auto" w:sz="4" w:space="0"/>
            </w:tcBorders>
          </w:tcPr>
          <w:p w14:paraId="2B151370">
            <w:pPr>
              <w:snapToGrid w:val="0"/>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类似业绩</w:t>
            </w:r>
          </w:p>
          <w:p w14:paraId="629766FC">
            <w:pPr>
              <w:spacing w:line="240" w:lineRule="auto"/>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投标人</w:t>
            </w:r>
            <w:r>
              <w:rPr>
                <w:rFonts w:hint="eastAsia" w:ascii="微软雅黑" w:hAnsi="微软雅黑" w:eastAsia="微软雅黑" w:cs="微软雅黑"/>
                <w:bCs/>
                <w:szCs w:val="21"/>
                <w:highlight w:val="none"/>
              </w:rPr>
              <w:t>2022年1月1日以来</w:t>
            </w:r>
            <w:r>
              <w:rPr>
                <w:rFonts w:hint="eastAsia" w:ascii="微软雅黑" w:hAnsi="微软雅黑" w:eastAsia="微软雅黑" w:cs="微软雅黑"/>
                <w:szCs w:val="21"/>
                <w:highlight w:val="none"/>
              </w:rPr>
              <w:t>具有的同类项目业绩，每个得0.5分，本项最高得1分。（投标文件中需提供相关业绩的合同材料）</w:t>
            </w:r>
          </w:p>
        </w:tc>
        <w:tc>
          <w:tcPr>
            <w:tcW w:w="716" w:type="dxa"/>
            <w:tcBorders>
              <w:top w:val="single" w:color="auto" w:sz="4" w:space="0"/>
              <w:left w:val="single" w:color="auto" w:sz="4" w:space="0"/>
              <w:bottom w:val="single" w:color="auto" w:sz="4" w:space="0"/>
              <w:right w:val="single" w:color="auto" w:sz="4" w:space="0"/>
            </w:tcBorders>
            <w:vAlign w:val="center"/>
          </w:tcPr>
          <w:p w14:paraId="6556AD55">
            <w:pPr>
              <w:spacing w:line="240" w:lineRule="auto"/>
              <w:ind w:firstLine="0" w:firstLineChars="0"/>
              <w:jc w:val="center"/>
              <w:rPr>
                <w:rFonts w:hint="eastAsia"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rPr>
              <w:t>1</w:t>
            </w:r>
          </w:p>
        </w:tc>
        <w:tc>
          <w:tcPr>
            <w:tcW w:w="685" w:type="dxa"/>
            <w:tcBorders>
              <w:top w:val="single" w:color="auto" w:sz="4" w:space="0"/>
              <w:left w:val="single" w:color="auto" w:sz="4" w:space="0"/>
              <w:bottom w:val="single" w:color="auto" w:sz="4" w:space="0"/>
              <w:right w:val="single" w:color="auto" w:sz="4" w:space="0"/>
            </w:tcBorders>
            <w:vAlign w:val="center"/>
          </w:tcPr>
          <w:p w14:paraId="49448346">
            <w:pPr>
              <w:spacing w:line="240" w:lineRule="auto"/>
              <w:ind w:firstLine="0" w:firstLineChars="0"/>
              <w:jc w:val="center"/>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客观</w:t>
            </w:r>
          </w:p>
        </w:tc>
      </w:tr>
      <w:tr w14:paraId="1507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31D11CE">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小计</w:t>
            </w:r>
          </w:p>
        </w:tc>
        <w:tc>
          <w:tcPr>
            <w:tcW w:w="7050" w:type="dxa"/>
            <w:tcBorders>
              <w:top w:val="single" w:color="auto" w:sz="4" w:space="0"/>
              <w:left w:val="single" w:color="auto" w:sz="4" w:space="0"/>
              <w:bottom w:val="single" w:color="auto" w:sz="4" w:space="0"/>
              <w:right w:val="single" w:color="auto" w:sz="4" w:space="0"/>
            </w:tcBorders>
            <w:vAlign w:val="center"/>
          </w:tcPr>
          <w:p w14:paraId="4D40EF1E">
            <w:pPr>
              <w:spacing w:line="240" w:lineRule="auto"/>
              <w:ind w:firstLine="0" w:firstLineChars="0"/>
              <w:jc w:val="center"/>
              <w:rPr>
                <w:rFonts w:hint="eastAsia" w:ascii="微软雅黑" w:hAnsi="微软雅黑" w:eastAsia="微软雅黑" w:cs="微软雅黑"/>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F221F39">
            <w:pPr>
              <w:spacing w:line="240" w:lineRule="auto"/>
              <w:ind w:firstLine="0" w:firstLineChars="0"/>
              <w:jc w:val="center"/>
              <w:rPr>
                <w:rFonts w:hint="eastAsia"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rPr>
              <w:t>1</w:t>
            </w:r>
          </w:p>
        </w:tc>
        <w:tc>
          <w:tcPr>
            <w:tcW w:w="685" w:type="dxa"/>
            <w:tcBorders>
              <w:top w:val="single" w:color="auto" w:sz="4" w:space="0"/>
              <w:left w:val="single" w:color="auto" w:sz="4" w:space="0"/>
              <w:bottom w:val="single" w:color="auto" w:sz="4" w:space="0"/>
              <w:right w:val="single" w:color="auto" w:sz="4" w:space="0"/>
            </w:tcBorders>
            <w:vAlign w:val="center"/>
          </w:tcPr>
          <w:p w14:paraId="6B14B8ED">
            <w:pPr>
              <w:spacing w:line="240" w:lineRule="auto"/>
              <w:ind w:firstLine="0" w:firstLineChars="0"/>
              <w:jc w:val="center"/>
              <w:rPr>
                <w:rFonts w:hint="eastAsia" w:ascii="微软雅黑" w:hAnsi="微软雅黑" w:eastAsia="微软雅黑" w:cs="微软雅黑"/>
                <w:b/>
                <w:bCs/>
                <w:szCs w:val="21"/>
                <w:highlight w:val="none"/>
              </w:rPr>
            </w:pPr>
          </w:p>
        </w:tc>
      </w:tr>
    </w:tbl>
    <w:p w14:paraId="55E83F38">
      <w:pPr>
        <w:pStyle w:val="4"/>
        <w:numPr>
          <w:ilvl w:val="0"/>
          <w:numId w:val="35"/>
        </w:numPr>
        <w:rPr>
          <w:rStyle w:val="66"/>
          <w:rFonts w:hint="eastAsia" w:ascii="微软雅黑" w:hAnsi="微软雅黑" w:eastAsia="微软雅黑" w:cs="微软雅黑"/>
          <w:b/>
          <w:bCs/>
          <w:highlight w:val="none"/>
        </w:rPr>
        <w:sectPr>
          <w:footerReference r:id="rId17"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360C501E">
      <w:pPr>
        <w:pStyle w:val="4"/>
        <w:numPr>
          <w:ilvl w:val="0"/>
          <w:numId w:val="4"/>
        </w:numPr>
        <w:rPr>
          <w:rStyle w:val="66"/>
          <w:rFonts w:hint="eastAsia" w:ascii="微软雅黑" w:hAnsi="微软雅黑" w:eastAsia="微软雅黑" w:cs="微软雅黑"/>
          <w:b/>
          <w:bCs/>
          <w:sz w:val="21"/>
          <w:szCs w:val="21"/>
          <w:highlight w:val="none"/>
        </w:rPr>
      </w:pPr>
      <w:r>
        <w:rPr>
          <w:rStyle w:val="66"/>
          <w:rFonts w:hint="eastAsia" w:ascii="微软雅黑" w:hAnsi="微软雅黑" w:eastAsia="微软雅黑" w:cs="微软雅黑"/>
          <w:b/>
          <w:bCs/>
          <w:sz w:val="21"/>
          <w:szCs w:val="21"/>
          <w:highlight w:val="none"/>
        </w:rPr>
        <w:t xml:space="preserve">  </w:t>
      </w:r>
      <w:bookmarkStart w:id="247" w:name="_Toc2562"/>
      <w:bookmarkStart w:id="248" w:name="_Toc191238338"/>
      <w:r>
        <w:rPr>
          <w:rStyle w:val="66"/>
          <w:rFonts w:hint="eastAsia" w:ascii="微软雅黑" w:hAnsi="微软雅黑" w:eastAsia="微软雅黑" w:cs="微软雅黑"/>
          <w:b/>
          <w:bCs/>
          <w:sz w:val="21"/>
          <w:szCs w:val="21"/>
          <w:highlight w:val="none"/>
        </w:rPr>
        <w:t>采购合同（指引）</w:t>
      </w:r>
      <w:bookmarkEnd w:id="247"/>
      <w:bookmarkEnd w:id="248"/>
    </w:p>
    <w:p w14:paraId="116A6D63">
      <w:pPr>
        <w:pStyle w:val="6"/>
        <w:ind w:firstLine="420"/>
        <w:jc w:val="center"/>
        <w:rPr>
          <w:rFonts w:hint="eastAsia" w:ascii="微软雅黑" w:hAnsi="微软雅黑" w:eastAsia="微软雅黑" w:cs="微软雅黑"/>
          <w:szCs w:val="21"/>
          <w:highlight w:val="none"/>
        </w:rPr>
      </w:pPr>
      <w:bookmarkStart w:id="249" w:name="_Toc507"/>
      <w:bookmarkStart w:id="250" w:name="_Hlk111018671"/>
      <w:r>
        <w:rPr>
          <w:rFonts w:hint="eastAsia" w:ascii="微软雅黑" w:hAnsi="微软雅黑" w:eastAsia="微软雅黑" w:cs="微软雅黑"/>
          <w:szCs w:val="21"/>
          <w:highlight w:val="none"/>
        </w:rPr>
        <w:t>通用条款部分</w:t>
      </w:r>
      <w:bookmarkEnd w:id="249"/>
    </w:p>
    <w:p w14:paraId="3AF324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合同编号： </w:t>
      </w:r>
    </w:p>
    <w:p w14:paraId="1CC4F77E">
      <w:pPr>
        <w:tabs>
          <w:tab w:val="left" w:pos="8306"/>
        </w:tabs>
        <w:ind w:right="84"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项目名称： </w:t>
      </w:r>
    </w:p>
    <w:p w14:paraId="4B575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14:paraId="716C04E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政府采购计划（预算）确认书号： </w:t>
      </w:r>
    </w:p>
    <w:p w14:paraId="5803E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采购人（以下称甲方）：</w:t>
      </w:r>
      <w:r>
        <w:rPr>
          <w:rFonts w:hint="eastAsia" w:ascii="微软雅黑" w:hAnsi="微软雅黑" w:cs="微软雅黑"/>
          <w:szCs w:val="21"/>
          <w:highlight w:val="none"/>
          <w:lang w:eastAsia="zh-CN"/>
        </w:rPr>
        <w:t>嘉兴市秀洲区高照实验学校</w:t>
      </w:r>
      <w:r>
        <w:rPr>
          <w:rFonts w:hint="eastAsia" w:ascii="微软雅黑" w:hAnsi="微软雅黑" w:eastAsia="微软雅黑" w:cs="微软雅黑"/>
          <w:szCs w:val="21"/>
          <w:highlight w:val="none"/>
          <w:lang w:eastAsia="zh-CN"/>
        </w:rPr>
        <w:t xml:space="preserve">    </w:t>
      </w:r>
      <w:r>
        <w:rPr>
          <w:rFonts w:hint="eastAsia" w:ascii="微软雅黑" w:hAnsi="微软雅黑" w:eastAsia="微软雅黑" w:cs="微软雅黑"/>
          <w:szCs w:val="21"/>
          <w:highlight w:val="none"/>
        </w:rPr>
        <w:t xml:space="preserve"> </w:t>
      </w:r>
    </w:p>
    <w:p w14:paraId="29885C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供应商（以下称乙方）：</w:t>
      </w:r>
    </w:p>
    <w:p w14:paraId="6F48F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采购代理机构：嘉兴市千秋工程咨询有限公司 </w:t>
      </w:r>
    </w:p>
    <w:p w14:paraId="5D8AC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采购方式： 竞争性磋商</w:t>
      </w:r>
    </w:p>
    <w:p w14:paraId="2F5E36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根据《中华人民共和国政府采购法》、《民法典》等法律法规的规定，甲乙双方按照 </w:t>
      </w:r>
      <w:r>
        <w:rPr>
          <w:rFonts w:hint="eastAsia" w:ascii="微软雅黑" w:hAnsi="微软雅黑" w:eastAsia="微软雅黑" w:cs="微软雅黑"/>
          <w:kern w:val="0"/>
          <w:highlight w:val="none"/>
          <w:u w:val="single"/>
        </w:rPr>
        <w:t xml:space="preserve">             </w:t>
      </w:r>
      <w:r>
        <w:rPr>
          <w:rFonts w:hint="eastAsia" w:ascii="微软雅黑" w:hAnsi="微软雅黑" w:eastAsia="微软雅黑" w:cs="微软雅黑"/>
          <w:highlight w:val="none"/>
          <w:u w:val="single"/>
        </w:rPr>
        <w:t>项目（项目编号 ：           ）</w:t>
      </w:r>
      <w:r>
        <w:rPr>
          <w:rFonts w:hint="eastAsia" w:ascii="微软雅黑" w:hAnsi="微软雅黑" w:eastAsia="微软雅黑" w:cs="微软雅黑"/>
          <w:kern w:val="0"/>
          <w:highlight w:val="none"/>
        </w:rPr>
        <w:t>采购结果签订本合同。</w:t>
      </w:r>
    </w:p>
    <w:p w14:paraId="4C5E159B">
      <w:pPr>
        <w:widowControl/>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合同组成</w:t>
      </w:r>
    </w:p>
    <w:p w14:paraId="506FC9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本次采购活动的相关文件为本合同的组成部分，与本合同具有同等法律效力,这些文件包括但不限于：</w:t>
      </w:r>
    </w:p>
    <w:p w14:paraId="6B87A1D1">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1.甲方的采购文件与采购补充文件。</w:t>
      </w:r>
    </w:p>
    <w:p w14:paraId="4D57B068">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2.成交供应商响应文件。</w:t>
      </w:r>
    </w:p>
    <w:p w14:paraId="38176BC2">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3.答疑纪要和承诺书。</w:t>
      </w:r>
    </w:p>
    <w:p w14:paraId="758DD37B">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4.中标通知书。</w:t>
      </w:r>
    </w:p>
    <w:p w14:paraId="5CF7060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组成本合同的所有文件必须为书面形式。组成本合同的文件的优先顺序为：（1）本合同；（2）答疑纪要和承诺书；（3）甲方的采购文件与采购补充文件；（4）中标通知书；（5）成交供应商响应文件。</w:t>
      </w:r>
    </w:p>
    <w:p w14:paraId="0BAE12A2">
      <w:pPr>
        <w:pStyle w:val="29"/>
        <w:numPr>
          <w:ilvl w:val="0"/>
          <w:numId w:val="37"/>
        </w:numPr>
        <w:spacing w:line="360" w:lineRule="auto"/>
        <w:ind w:firstLineChars="0"/>
        <w:outlineLvl w:val="9"/>
        <w:rPr>
          <w:rFonts w:hint="eastAsia" w:ascii="微软雅黑" w:hAnsi="微软雅黑" w:eastAsia="微软雅黑" w:cs="微软雅黑"/>
          <w:highlight w:val="none"/>
        </w:rPr>
      </w:pPr>
      <w:bookmarkStart w:id="251" w:name="_Toc4526"/>
      <w:r>
        <w:rPr>
          <w:rFonts w:hint="eastAsia" w:ascii="微软雅黑" w:hAnsi="微软雅黑" w:eastAsia="微软雅黑" w:cs="微软雅黑"/>
          <w:highlight w:val="none"/>
        </w:rPr>
        <w:t>合同标的</w:t>
      </w:r>
      <w:bookmarkEnd w:id="251"/>
    </w:p>
    <w:p w14:paraId="300D8228">
      <w:pPr>
        <w:ind w:firstLine="424" w:firstLineChars="202"/>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本次采购的是：</w:t>
      </w:r>
      <w:r>
        <w:rPr>
          <w:rFonts w:hint="eastAsia" w:ascii="微软雅黑" w:hAnsi="微软雅黑" w:eastAsia="微软雅黑" w:cs="微软雅黑"/>
          <w:kern w:val="0"/>
          <w:szCs w:val="21"/>
          <w:highlight w:val="none"/>
          <w:u w:val="single"/>
        </w:rPr>
        <w:t xml:space="preserve">                   。</w:t>
      </w:r>
    </w:p>
    <w:p w14:paraId="1146FFF1">
      <w:pPr>
        <w:pStyle w:val="29"/>
        <w:spacing w:line="360" w:lineRule="auto"/>
        <w:outlineLvl w:val="9"/>
        <w:rPr>
          <w:rFonts w:hint="eastAsia" w:ascii="微软雅黑" w:hAnsi="微软雅黑" w:eastAsia="微软雅黑" w:cs="微软雅黑"/>
          <w:highlight w:val="none"/>
        </w:rPr>
      </w:pPr>
      <w:bookmarkStart w:id="252" w:name="_Toc875"/>
      <w:r>
        <w:rPr>
          <w:rFonts w:hint="eastAsia" w:ascii="微软雅黑" w:hAnsi="微软雅黑" w:eastAsia="微软雅黑" w:cs="微软雅黑"/>
          <w:highlight w:val="none"/>
        </w:rPr>
        <w:t>三、合同价款及付款方式</w:t>
      </w:r>
      <w:bookmarkEnd w:id="252"/>
    </w:p>
    <w:p w14:paraId="6BD57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1、本合同项下总价款为（大写）人民币</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，小写：     万元。</w:t>
      </w:r>
    </w:p>
    <w:p w14:paraId="77695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2、服务期限：壹年，自</w:t>
      </w:r>
      <w:r>
        <w:rPr>
          <w:rFonts w:hint="eastAsia" w:ascii="微软雅黑" w:hAnsi="微软雅黑" w:eastAsia="微软雅黑" w:cs="微软雅黑"/>
          <w:kern w:val="0"/>
          <w:szCs w:val="21"/>
          <w:highlight w:val="none"/>
          <w:u w:val="single"/>
        </w:rPr>
        <w:t>20  年  月  日至20  年  月  日</w:t>
      </w:r>
      <w:r>
        <w:rPr>
          <w:rFonts w:hint="eastAsia" w:ascii="微软雅黑" w:hAnsi="微软雅黑" w:eastAsia="微软雅黑" w:cs="微软雅黑"/>
          <w:kern w:val="0"/>
          <w:szCs w:val="21"/>
          <w:highlight w:val="none"/>
        </w:rPr>
        <w:t>。</w:t>
      </w:r>
    </w:p>
    <w:p w14:paraId="1FE2BD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3、本合同总价款包括所有服务、人员、货物设计、材料、制造、包装、运输、安装、调试、检测、售后服务、税费等全部费用。</w:t>
      </w:r>
    </w:p>
    <w:p w14:paraId="58927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4、本合同付款方式为以下第</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项：</w:t>
      </w:r>
    </w:p>
    <w:p w14:paraId="053CB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（1）本合同项下的采购资金系甲方自行支付，付款程序为</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w:t>
      </w:r>
    </w:p>
    <w:p w14:paraId="05AE1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（2）本合同项下的采购资金须财政直接支付，付款程序为</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w:t>
      </w:r>
    </w:p>
    <w:p w14:paraId="02CCF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（3）其他方式：</w:t>
      </w:r>
    </w:p>
    <w:p w14:paraId="0D06C2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5、本合同项下的采购资金付款进度按招响应文件规定，未规定时按以下第</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项支付：</w:t>
      </w:r>
    </w:p>
    <w:p w14:paraId="57543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（1）一次性付款：乙方合同履行达到</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（条件）时，一次性付款；</w:t>
      </w:r>
    </w:p>
    <w:p w14:paraId="556EF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（2）分期付款：乙方合同履行达到</w:t>
      </w:r>
      <w:r>
        <w:rPr>
          <w:rFonts w:hint="eastAsia" w:ascii="微软雅黑" w:hAnsi="微软雅黑" w:eastAsia="微软雅黑" w:cs="微软雅黑"/>
          <w:kern w:val="0"/>
          <w:szCs w:val="21"/>
          <w:highlight w:val="none"/>
          <w:u w:val="single"/>
        </w:rPr>
        <w:t xml:space="preserve"> 磋商文件和甲方要求时，</w:t>
      </w:r>
      <w:r>
        <w:rPr>
          <w:rFonts w:hint="eastAsia" w:ascii="微软雅黑" w:hAnsi="微软雅黑" w:eastAsia="微软雅黑" w:cs="微软雅黑"/>
          <w:kern w:val="0"/>
          <w:szCs w:val="21"/>
          <w:highlight w:val="none"/>
        </w:rPr>
        <w:t>甲方</w:t>
      </w:r>
      <w:r>
        <w:rPr>
          <w:rFonts w:hint="eastAsia" w:ascii="微软雅黑" w:hAnsi="微软雅黑" w:eastAsia="微软雅黑" w:cs="微软雅黑"/>
          <w:kern w:val="0"/>
          <w:szCs w:val="21"/>
          <w:highlight w:val="none"/>
          <w:u w:val="single"/>
        </w:rPr>
        <w:t xml:space="preserve">按   </w:t>
      </w:r>
      <w:r>
        <w:rPr>
          <w:rFonts w:hint="eastAsia" w:ascii="微软雅黑" w:hAnsi="微软雅黑" w:eastAsia="微软雅黑" w:cs="微软雅黑"/>
          <w:kern w:val="0"/>
          <w:szCs w:val="21"/>
          <w:highlight w:val="none"/>
        </w:rPr>
        <w:t>进行支付，乙方凭有效发票、验收单等提交甲方进行支付流程。</w:t>
      </w:r>
    </w:p>
    <w:p w14:paraId="1DFAA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若收取了履约保证金，则不应重复设置尾款支付条件。</w:t>
      </w:r>
    </w:p>
    <w:p w14:paraId="334D90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四、</w:t>
      </w:r>
      <w:r>
        <w:rPr>
          <w:rFonts w:hint="eastAsia" w:ascii="微软雅黑" w:hAnsi="微软雅黑" w:eastAsia="微软雅黑" w:cs="微软雅黑"/>
          <w:b/>
          <w:kern w:val="0"/>
          <w:szCs w:val="21"/>
          <w:highlight w:val="none"/>
        </w:rPr>
        <w:t>履约保证金</w:t>
      </w:r>
    </w:p>
    <w:p w14:paraId="41B4E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kern w:val="0"/>
          <w:szCs w:val="21"/>
          <w:highlight w:val="none"/>
        </w:rPr>
        <w:t>按以下第_________项处理：</w:t>
      </w:r>
    </w:p>
    <w:p w14:paraId="537E8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1、本项目设置履约保证金，乙方应于_________（时间）向甲方提交履约保证金_________元（不得高于本合同金额的1%）。履约保证金在_________（时间）退还乙方。</w:t>
      </w:r>
    </w:p>
    <w:p w14:paraId="392F8693">
      <w:pPr>
        <w:pStyle w:val="29"/>
        <w:spacing w:line="360" w:lineRule="auto"/>
        <w:outlineLvl w:val="9"/>
        <w:rPr>
          <w:rFonts w:hint="eastAsia" w:ascii="微软雅黑" w:hAnsi="微软雅黑" w:eastAsia="微软雅黑" w:cs="微软雅黑"/>
          <w:highlight w:val="none"/>
        </w:rPr>
      </w:pPr>
      <w:bookmarkStart w:id="253" w:name="_Toc29860"/>
      <w:r>
        <w:rPr>
          <w:rFonts w:hint="eastAsia" w:ascii="微软雅黑" w:hAnsi="微软雅黑" w:eastAsia="微软雅黑" w:cs="微软雅黑"/>
          <w:highlight w:val="none"/>
        </w:rPr>
        <w:t>2、本项目不设置履约保证金。</w:t>
      </w:r>
      <w:bookmarkEnd w:id="253"/>
    </w:p>
    <w:p w14:paraId="6F4A7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五、</w:t>
      </w:r>
      <w:r>
        <w:rPr>
          <w:rFonts w:hint="eastAsia" w:ascii="微软雅黑" w:hAnsi="微软雅黑" w:eastAsia="微软雅黑" w:cs="微软雅黑"/>
          <w:b/>
          <w:kern w:val="0"/>
          <w:szCs w:val="21"/>
          <w:highlight w:val="none"/>
        </w:rPr>
        <w:t>质量保证及售后服务</w:t>
      </w:r>
    </w:p>
    <w:p w14:paraId="16B459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1、乙方按磋商文件规定的时间和要求完成各项服务、考核。</w:t>
      </w:r>
    </w:p>
    <w:p w14:paraId="1FE3B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szCs w:val="21"/>
          <w:highlight w:val="none"/>
        </w:rPr>
        <w:t>2、甲方其他服务需求。</w:t>
      </w:r>
    </w:p>
    <w:p w14:paraId="7D9444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六、</w:t>
      </w:r>
      <w:r>
        <w:rPr>
          <w:rFonts w:hint="eastAsia" w:ascii="微软雅黑" w:hAnsi="微软雅黑" w:eastAsia="微软雅黑" w:cs="微软雅黑"/>
          <w:b/>
          <w:kern w:val="0"/>
          <w:szCs w:val="21"/>
          <w:highlight w:val="none"/>
        </w:rPr>
        <w:t>合同的变更和终止</w:t>
      </w:r>
    </w:p>
    <w:p w14:paraId="3C26D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除《政府采购法》第49条、第50条第二款规定的情形外，本合同一经签订，甲乙双方不得擅自终止合同或对合同实质性条款进行变更。确有特殊情况的，须经同级财政部门批准。</w:t>
      </w:r>
    </w:p>
    <w:p w14:paraId="38986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七、</w:t>
      </w:r>
      <w:r>
        <w:rPr>
          <w:rFonts w:hint="eastAsia" w:ascii="微软雅黑" w:hAnsi="微软雅黑" w:eastAsia="微软雅黑" w:cs="微软雅黑"/>
          <w:b/>
          <w:kern w:val="0"/>
          <w:szCs w:val="21"/>
          <w:highlight w:val="none"/>
        </w:rPr>
        <w:t>合同的转让与分包</w:t>
      </w:r>
    </w:p>
    <w:p w14:paraId="4AAC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乙方不得擅自部分或全部转让其应履行的合同义务。乙方分包的，应经过甲方书面同意。</w:t>
      </w:r>
    </w:p>
    <w:p w14:paraId="49C98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w:t>
      </w:r>
      <w:r>
        <w:rPr>
          <w:rFonts w:hint="eastAsia" w:ascii="微软雅黑" w:hAnsi="微软雅黑" w:eastAsia="微软雅黑" w:cs="微软雅黑"/>
          <w:b/>
          <w:kern w:val="0"/>
          <w:szCs w:val="21"/>
          <w:highlight w:val="none"/>
        </w:rPr>
        <w:t>违约责任</w:t>
      </w:r>
    </w:p>
    <w:p w14:paraId="5256E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14:paraId="6AF3D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26C5A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除不可抗力外，任何一方未能履行本合同约定的其他主要义务，经催告后在合理期限内仍未履行的，或者任何一方有其他违约行为致使不能实现合同目标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3C0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C07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C0FE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rPr>
        <w:t>6、如果出现政府采购监督管理部门在处理投诉事项期间，书面通知甲方暂停采购活动的情形，或者询问或质疑事项可能影响中标结果的，导致甲方中止履行合同的情形，均不视为甲方违约。</w:t>
      </w:r>
    </w:p>
    <w:p w14:paraId="79165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十一、</w:t>
      </w:r>
      <w:r>
        <w:rPr>
          <w:rFonts w:hint="eastAsia" w:ascii="微软雅黑" w:hAnsi="微软雅黑" w:eastAsia="微软雅黑" w:cs="微软雅黑"/>
          <w:b/>
          <w:kern w:val="0"/>
          <w:szCs w:val="21"/>
          <w:highlight w:val="none"/>
        </w:rPr>
        <w:t>不可抗力事件处理</w:t>
      </w:r>
    </w:p>
    <w:p w14:paraId="69D57E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1、在合同有效期内，任何一方因不可抗力事件导致不能履行合同的，合同履行期可延长，其延长期与不可抗力影响期相同。</w:t>
      </w:r>
    </w:p>
    <w:p w14:paraId="3E691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2、不可抗力事件发生后，应立即通知对方，并寄送有关权威机构出具的证明。</w:t>
      </w:r>
    </w:p>
    <w:p w14:paraId="61D6CA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3、不可抗力事件延续120天以上，双方应通过友好协商，确定是否继续履行合同。</w:t>
      </w:r>
    </w:p>
    <w:p w14:paraId="08346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十二、</w:t>
      </w:r>
      <w:r>
        <w:rPr>
          <w:rFonts w:hint="eastAsia" w:ascii="微软雅黑" w:hAnsi="微软雅黑" w:eastAsia="微软雅黑" w:cs="微软雅黑"/>
          <w:b/>
          <w:kern w:val="0"/>
          <w:szCs w:val="21"/>
          <w:highlight w:val="none"/>
        </w:rPr>
        <w:t>争议的解决</w:t>
      </w:r>
    </w:p>
    <w:p w14:paraId="5CCBD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1、因履行本合同引起的或与本合同有关的争议，甲、乙双方应首先通过友好协商解决，如果协商不能解决争议，则采取以下第</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种方式解决争议：</w:t>
      </w:r>
    </w:p>
    <w:p w14:paraId="124B5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（1）向甲方所在地有管辖权的人民法院提起诉讼；</w:t>
      </w:r>
    </w:p>
    <w:p w14:paraId="6F35D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（2）向</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仲裁委员申请仲裁。</w:t>
      </w:r>
    </w:p>
    <w:p w14:paraId="7F35E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十三、</w:t>
      </w:r>
      <w:r>
        <w:rPr>
          <w:rFonts w:hint="eastAsia" w:ascii="微软雅黑" w:hAnsi="微软雅黑" w:eastAsia="微软雅黑" w:cs="微软雅黑"/>
          <w:b/>
          <w:kern w:val="0"/>
          <w:szCs w:val="21"/>
          <w:highlight w:val="none"/>
        </w:rPr>
        <w:t>合同公告、合同生效及备案</w:t>
      </w:r>
    </w:p>
    <w:p w14:paraId="515E207F">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1、合同公告：本项目政府采购合同将于签订之日起2个工作日内发布于浙江政府采购网，但政府采购合同中涉及国家秘密、商业秘密的内容除外。</w:t>
      </w:r>
    </w:p>
    <w:p w14:paraId="2311770A">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2、合同经双方法定代表人或被授权人签字并加盖单位公章后生效。</w:t>
      </w:r>
    </w:p>
    <w:p w14:paraId="7010785F">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3、合同执行中涉及采购资金和采购内容修改或补充的，须经财政部门审批，并签书面补充协议报政府部门备案，方可作为主合同不可分割的一部分。</w:t>
      </w:r>
    </w:p>
    <w:p w14:paraId="42E6C820">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4、本合同未尽事宜，遵照《民法典》有关条文执行。</w:t>
      </w:r>
    </w:p>
    <w:p w14:paraId="2A9857F5">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5、本合同一式</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份，甲乙双方各执</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份。若执行政采贷，另加</w:t>
      </w:r>
      <w:r>
        <w:rPr>
          <w:rFonts w:hint="eastAsia" w:ascii="微软雅黑" w:hAnsi="微软雅黑" w:eastAsia="微软雅黑" w:cs="微软雅黑"/>
          <w:kern w:val="0"/>
          <w:szCs w:val="21"/>
          <w:highlight w:val="none"/>
          <w:u w:val="single"/>
        </w:rPr>
        <w:t xml:space="preserve"> 贰 </w:t>
      </w:r>
      <w:r>
        <w:rPr>
          <w:rFonts w:hint="eastAsia" w:ascii="微软雅黑" w:hAnsi="微软雅黑" w:eastAsia="微软雅黑" w:cs="微软雅黑"/>
          <w:kern w:val="0"/>
          <w:szCs w:val="21"/>
          <w:highlight w:val="none"/>
        </w:rPr>
        <w:t>份。</w:t>
      </w:r>
    </w:p>
    <w:p w14:paraId="31730DCC">
      <w:pPr>
        <w:pStyle w:val="6"/>
        <w:ind w:firstLine="420"/>
        <w:jc w:val="center"/>
        <w:rPr>
          <w:rFonts w:hint="eastAsia" w:ascii="微软雅黑" w:hAnsi="微软雅黑" w:eastAsia="微软雅黑" w:cs="微软雅黑"/>
          <w:szCs w:val="21"/>
          <w:highlight w:val="none"/>
        </w:rPr>
      </w:pPr>
      <w:bookmarkStart w:id="254" w:name="_Toc4827"/>
      <w:bookmarkStart w:id="255" w:name="_Toc23848"/>
      <w:bookmarkStart w:id="256" w:name="_Toc20276"/>
      <w:r>
        <w:rPr>
          <w:rFonts w:hint="eastAsia" w:ascii="微软雅黑" w:hAnsi="微软雅黑" w:eastAsia="微软雅黑" w:cs="微软雅黑"/>
          <w:szCs w:val="21"/>
          <w:highlight w:val="none"/>
        </w:rPr>
        <w:t>特殊专用条款部分</w:t>
      </w:r>
      <w:bookmarkEnd w:id="254"/>
      <w:bookmarkEnd w:id="255"/>
      <w:bookmarkEnd w:id="256"/>
    </w:p>
    <w:p w14:paraId="25E52301">
      <w:pPr>
        <w:pStyle w:val="29"/>
        <w:spacing w:line="360" w:lineRule="auto"/>
        <w:outlineLvl w:val="9"/>
        <w:rPr>
          <w:rFonts w:hint="eastAsia" w:ascii="微软雅黑" w:hAnsi="微软雅黑" w:eastAsia="微软雅黑" w:cs="微软雅黑"/>
          <w:highlight w:val="none"/>
        </w:rPr>
      </w:pPr>
      <w:bookmarkStart w:id="257" w:name="_Toc21251"/>
      <w:r>
        <w:rPr>
          <w:rFonts w:hint="eastAsia" w:ascii="微软雅黑" w:hAnsi="微软雅黑" w:eastAsia="微软雅黑" w:cs="微软雅黑"/>
          <w:highlight w:val="none"/>
        </w:rPr>
        <w:t>……</w:t>
      </w:r>
      <w:bookmarkEnd w:id="257"/>
    </w:p>
    <w:p w14:paraId="627C934F">
      <w:pPr>
        <w:pStyle w:val="29"/>
        <w:spacing w:line="360" w:lineRule="auto"/>
        <w:outlineLvl w:val="9"/>
        <w:rPr>
          <w:rFonts w:hint="eastAsia" w:ascii="微软雅黑" w:hAnsi="微软雅黑" w:eastAsia="微软雅黑" w:cs="微软雅黑"/>
          <w:highlight w:val="none"/>
        </w:rPr>
      </w:pPr>
      <w:bookmarkStart w:id="258" w:name="_Toc12502"/>
      <w:r>
        <w:rPr>
          <w:rFonts w:hint="eastAsia" w:ascii="微软雅黑" w:hAnsi="微软雅黑" w:eastAsia="微软雅黑" w:cs="微软雅黑"/>
          <w:highlight w:val="none"/>
        </w:rPr>
        <w:t>甲方：                             乙方：</w:t>
      </w:r>
      <w:bookmarkEnd w:id="258"/>
      <w:r>
        <w:rPr>
          <w:rFonts w:hint="eastAsia" w:ascii="微软雅黑" w:hAnsi="微软雅黑" w:eastAsia="微软雅黑" w:cs="微软雅黑"/>
          <w:highlight w:val="none"/>
        </w:rPr>
        <w:t xml:space="preserve"> </w:t>
      </w:r>
    </w:p>
    <w:p w14:paraId="602C3582">
      <w:pPr>
        <w:pStyle w:val="29"/>
        <w:spacing w:line="360" w:lineRule="auto"/>
        <w:outlineLvl w:val="9"/>
        <w:rPr>
          <w:rFonts w:hint="eastAsia" w:ascii="微软雅黑" w:hAnsi="微软雅黑" w:eastAsia="微软雅黑" w:cs="微软雅黑"/>
          <w:bCs/>
          <w:highlight w:val="none"/>
        </w:rPr>
      </w:pPr>
      <w:bookmarkStart w:id="259" w:name="_Toc12392"/>
      <w:r>
        <w:rPr>
          <w:rFonts w:hint="eastAsia" w:ascii="微软雅黑" w:hAnsi="微软雅黑" w:eastAsia="微软雅黑" w:cs="微软雅黑"/>
          <w:highlight w:val="none"/>
        </w:rPr>
        <w:t>地址：                             地址：</w:t>
      </w:r>
      <w:bookmarkEnd w:id="259"/>
      <w:r>
        <w:rPr>
          <w:rFonts w:hint="eastAsia" w:ascii="微软雅黑" w:hAnsi="微软雅黑" w:eastAsia="微软雅黑" w:cs="微软雅黑"/>
          <w:highlight w:val="none"/>
        </w:rPr>
        <w:t xml:space="preserve"> </w:t>
      </w:r>
    </w:p>
    <w:p w14:paraId="1B0DA714">
      <w:pPr>
        <w:pStyle w:val="29"/>
        <w:spacing w:line="360" w:lineRule="auto"/>
        <w:outlineLvl w:val="9"/>
        <w:rPr>
          <w:rFonts w:hint="eastAsia" w:ascii="微软雅黑" w:hAnsi="微软雅黑" w:eastAsia="微软雅黑" w:cs="微软雅黑"/>
          <w:highlight w:val="none"/>
        </w:rPr>
      </w:pPr>
      <w:bookmarkStart w:id="260" w:name="_Toc19138"/>
      <w:r>
        <w:rPr>
          <w:rFonts w:hint="eastAsia" w:ascii="微软雅黑" w:hAnsi="微软雅黑" w:eastAsia="微软雅黑" w:cs="微软雅黑"/>
          <w:highlight w:val="none"/>
        </w:rPr>
        <w:t>法定代表人或被授权人：             法定代表人或被授权人：</w:t>
      </w:r>
      <w:bookmarkEnd w:id="260"/>
    </w:p>
    <w:p w14:paraId="75CF5E7D">
      <w:pPr>
        <w:pStyle w:val="29"/>
        <w:spacing w:line="360" w:lineRule="auto"/>
        <w:outlineLvl w:val="9"/>
        <w:rPr>
          <w:rFonts w:hint="eastAsia" w:ascii="微软雅黑" w:hAnsi="微软雅黑" w:eastAsia="微软雅黑" w:cs="微软雅黑"/>
          <w:highlight w:val="none"/>
        </w:rPr>
      </w:pPr>
      <w:bookmarkStart w:id="261" w:name="_Toc17401"/>
      <w:r>
        <w:rPr>
          <w:rFonts w:hint="eastAsia" w:ascii="微软雅黑" w:hAnsi="微软雅黑" w:eastAsia="微软雅黑" w:cs="微软雅黑"/>
          <w:highlight w:val="none"/>
        </w:rPr>
        <w:t>签订地点：</w:t>
      </w:r>
      <w:bookmarkEnd w:id="261"/>
      <w:r>
        <w:rPr>
          <w:rFonts w:hint="eastAsia" w:ascii="微软雅黑" w:hAnsi="微软雅黑" w:eastAsia="微软雅黑" w:cs="微软雅黑"/>
          <w:highlight w:val="none"/>
        </w:rPr>
        <w:t xml:space="preserve">                  </w:t>
      </w:r>
    </w:p>
    <w:p w14:paraId="0EAD6C1C">
      <w:pPr>
        <w:pStyle w:val="29"/>
        <w:spacing w:line="360" w:lineRule="auto"/>
        <w:outlineLvl w:val="9"/>
        <w:rPr>
          <w:rFonts w:hint="eastAsia" w:ascii="微软雅黑" w:hAnsi="微软雅黑" w:eastAsia="微软雅黑" w:cs="微软雅黑"/>
          <w:highlight w:val="none"/>
        </w:rPr>
        <w:sectPr>
          <w:footerReference r:id="rId18"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262" w:name="_Toc1330"/>
      <w:r>
        <w:rPr>
          <w:rFonts w:hint="eastAsia" w:ascii="微软雅黑" w:hAnsi="微软雅黑" w:eastAsia="微软雅黑" w:cs="微软雅黑"/>
          <w:highlight w:val="none"/>
        </w:rPr>
        <w:t>签订日期：      年  月  日</w:t>
      </w:r>
      <w:bookmarkEnd w:id="262"/>
    </w:p>
    <w:p w14:paraId="635C8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p>
    <w:p w14:paraId="710BA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p>
    <w:bookmarkEnd w:id="250"/>
    <w:tbl>
      <w:tblPr>
        <w:tblStyle w:val="53"/>
        <w:tblpPr w:leftFromText="180" w:rightFromText="180" w:vertAnchor="page" w:horzAnchor="margin" w:tblpXSpec="center" w:tblpY="2071"/>
        <w:tblW w:w="8472" w:type="dxa"/>
        <w:tblInd w:w="0" w:type="dxa"/>
        <w:tblLayout w:type="fixed"/>
        <w:tblCellMar>
          <w:top w:w="0" w:type="dxa"/>
          <w:left w:w="108" w:type="dxa"/>
          <w:bottom w:w="0" w:type="dxa"/>
          <w:right w:w="108" w:type="dxa"/>
        </w:tblCellMar>
      </w:tblPr>
      <w:tblGrid>
        <w:gridCol w:w="2779"/>
        <w:gridCol w:w="2911"/>
        <w:gridCol w:w="769"/>
        <w:gridCol w:w="962"/>
        <w:gridCol w:w="1051"/>
      </w:tblGrid>
      <w:tr w14:paraId="004FE30C">
        <w:tblPrEx>
          <w:tblCellMar>
            <w:top w:w="0" w:type="dxa"/>
            <w:left w:w="108" w:type="dxa"/>
            <w:bottom w:w="0" w:type="dxa"/>
            <w:right w:w="108" w:type="dxa"/>
          </w:tblCellMar>
        </w:tblPrEx>
        <w:trPr>
          <w:trHeight w:val="336" w:hRule="atLeast"/>
        </w:trPr>
        <w:tc>
          <w:tcPr>
            <w:tcW w:w="8472" w:type="dxa"/>
            <w:gridSpan w:val="5"/>
            <w:tcBorders>
              <w:top w:val="nil"/>
              <w:left w:val="nil"/>
              <w:bottom w:val="nil"/>
              <w:right w:val="nil"/>
            </w:tcBorders>
            <w:vAlign w:val="center"/>
          </w:tcPr>
          <w:p w14:paraId="665FB281">
            <w:pPr>
              <w:pStyle w:val="6"/>
              <w:ind w:firstLine="420"/>
              <w:jc w:val="center"/>
              <w:rPr>
                <w:rFonts w:hint="eastAsia" w:ascii="微软雅黑" w:hAnsi="微软雅黑" w:eastAsia="微软雅黑" w:cs="微软雅黑"/>
                <w:bCs/>
                <w:szCs w:val="21"/>
                <w:highlight w:val="none"/>
              </w:rPr>
            </w:pPr>
            <w:bookmarkStart w:id="263" w:name="_Toc27098"/>
            <w:r>
              <w:rPr>
                <w:rFonts w:hint="eastAsia" w:ascii="微软雅黑" w:hAnsi="微软雅黑" w:eastAsia="微软雅黑" w:cs="微软雅黑"/>
                <w:bCs/>
                <w:szCs w:val="21"/>
                <w:highlight w:val="none"/>
              </w:rPr>
              <w:t>政 府 采 购 项 目 验 收 单</w:t>
            </w:r>
            <w:bookmarkEnd w:id="263"/>
          </w:p>
        </w:tc>
      </w:tr>
      <w:tr w14:paraId="670FEDCA">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13C5F138">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按照采购计划文号：      ，</w:t>
            </w:r>
          </w:p>
          <w:p w14:paraId="2BC3AB1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项目编号：                                       ,</w:t>
            </w:r>
          </w:p>
          <w:p w14:paraId="0C886178">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合同号：  </w:t>
            </w:r>
          </w:p>
        </w:tc>
      </w:tr>
      <w:tr w14:paraId="665FB47D">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69225D3C">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以下项目已采购到位并验收合格。</w:t>
            </w:r>
          </w:p>
        </w:tc>
      </w:tr>
      <w:tr w14:paraId="6F8FCAA5">
        <w:tblPrEx>
          <w:tblCellMar>
            <w:top w:w="0" w:type="dxa"/>
            <w:left w:w="108" w:type="dxa"/>
            <w:bottom w:w="0" w:type="dxa"/>
            <w:right w:w="108" w:type="dxa"/>
          </w:tblCellMar>
        </w:tblPrEx>
        <w:trPr>
          <w:trHeight w:val="398" w:hRule="atLeast"/>
        </w:trPr>
        <w:tc>
          <w:tcPr>
            <w:tcW w:w="2779" w:type="dxa"/>
            <w:tcBorders>
              <w:top w:val="single" w:color="auto" w:sz="4" w:space="0"/>
              <w:left w:val="single" w:color="auto" w:sz="4" w:space="0"/>
              <w:bottom w:val="nil"/>
              <w:right w:val="single" w:color="auto" w:sz="4" w:space="0"/>
            </w:tcBorders>
            <w:vAlign w:val="center"/>
          </w:tcPr>
          <w:p w14:paraId="009C1C9F">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服务名称</w:t>
            </w:r>
          </w:p>
        </w:tc>
        <w:tc>
          <w:tcPr>
            <w:tcW w:w="2911" w:type="dxa"/>
            <w:tcBorders>
              <w:top w:val="single" w:color="auto" w:sz="4" w:space="0"/>
              <w:left w:val="nil"/>
              <w:bottom w:val="nil"/>
              <w:right w:val="single" w:color="auto" w:sz="4" w:space="0"/>
            </w:tcBorders>
            <w:vAlign w:val="center"/>
          </w:tcPr>
          <w:p w14:paraId="0002A0E2">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服务内容</w:t>
            </w:r>
          </w:p>
        </w:tc>
        <w:tc>
          <w:tcPr>
            <w:tcW w:w="769" w:type="dxa"/>
            <w:tcBorders>
              <w:top w:val="single" w:color="auto" w:sz="4" w:space="0"/>
              <w:left w:val="nil"/>
              <w:bottom w:val="nil"/>
              <w:right w:val="single" w:color="auto" w:sz="4" w:space="0"/>
            </w:tcBorders>
            <w:vAlign w:val="center"/>
          </w:tcPr>
          <w:p w14:paraId="7FE2BC84">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数量</w:t>
            </w:r>
          </w:p>
        </w:tc>
        <w:tc>
          <w:tcPr>
            <w:tcW w:w="962" w:type="dxa"/>
            <w:tcBorders>
              <w:top w:val="single" w:color="auto" w:sz="4" w:space="0"/>
              <w:left w:val="nil"/>
              <w:bottom w:val="nil"/>
              <w:right w:val="single" w:color="auto" w:sz="4" w:space="0"/>
            </w:tcBorders>
            <w:vAlign w:val="center"/>
          </w:tcPr>
          <w:p w14:paraId="3867050E">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核定总价</w:t>
            </w:r>
          </w:p>
        </w:tc>
        <w:tc>
          <w:tcPr>
            <w:tcW w:w="1049" w:type="dxa"/>
            <w:tcBorders>
              <w:top w:val="single" w:color="auto" w:sz="4" w:space="0"/>
              <w:left w:val="nil"/>
              <w:bottom w:val="single" w:color="auto" w:sz="4" w:space="0"/>
              <w:right w:val="single" w:color="auto" w:sz="4" w:space="0"/>
            </w:tcBorders>
            <w:vAlign w:val="center"/>
          </w:tcPr>
          <w:p w14:paraId="6339C99E">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采购人</w:t>
            </w:r>
          </w:p>
          <w:p w14:paraId="3AF8A2F1">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验收意见</w:t>
            </w:r>
          </w:p>
        </w:tc>
      </w:tr>
      <w:tr w14:paraId="21FA3D22">
        <w:tblPrEx>
          <w:tblCellMar>
            <w:top w:w="0" w:type="dxa"/>
            <w:left w:w="108" w:type="dxa"/>
            <w:bottom w:w="0" w:type="dxa"/>
            <w:right w:w="108" w:type="dxa"/>
          </w:tblCellMar>
        </w:tblPrEx>
        <w:trPr>
          <w:trHeight w:val="324" w:hRule="atLeast"/>
        </w:trPr>
        <w:tc>
          <w:tcPr>
            <w:tcW w:w="2779" w:type="dxa"/>
            <w:tcBorders>
              <w:top w:val="single" w:color="auto" w:sz="4" w:space="0"/>
              <w:left w:val="single" w:color="auto" w:sz="4" w:space="0"/>
              <w:bottom w:val="single" w:color="auto" w:sz="4" w:space="0"/>
              <w:right w:val="single" w:color="auto" w:sz="4" w:space="0"/>
            </w:tcBorders>
            <w:vAlign w:val="center"/>
          </w:tcPr>
          <w:p w14:paraId="7A5E06A3">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2911" w:type="dxa"/>
            <w:tcBorders>
              <w:top w:val="single" w:color="auto" w:sz="4" w:space="0"/>
              <w:left w:val="nil"/>
              <w:bottom w:val="single" w:color="auto" w:sz="4" w:space="0"/>
              <w:right w:val="single" w:color="auto" w:sz="4" w:space="0"/>
            </w:tcBorders>
            <w:vAlign w:val="center"/>
          </w:tcPr>
          <w:p w14:paraId="04318E3C">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769" w:type="dxa"/>
            <w:tcBorders>
              <w:top w:val="single" w:color="auto" w:sz="4" w:space="0"/>
              <w:left w:val="nil"/>
              <w:bottom w:val="single" w:color="auto" w:sz="4" w:space="0"/>
              <w:right w:val="single" w:color="auto" w:sz="4" w:space="0"/>
            </w:tcBorders>
            <w:vAlign w:val="center"/>
          </w:tcPr>
          <w:p w14:paraId="7C2A4060">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962" w:type="dxa"/>
            <w:tcBorders>
              <w:top w:val="single" w:color="auto" w:sz="4" w:space="0"/>
              <w:left w:val="nil"/>
              <w:bottom w:val="single" w:color="auto" w:sz="4" w:space="0"/>
              <w:right w:val="single" w:color="auto" w:sz="4" w:space="0"/>
            </w:tcBorders>
            <w:vAlign w:val="center"/>
          </w:tcPr>
          <w:p w14:paraId="7BF4A5FF">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1049" w:type="dxa"/>
            <w:tcBorders>
              <w:top w:val="nil"/>
              <w:left w:val="nil"/>
              <w:bottom w:val="single" w:color="auto" w:sz="4" w:space="0"/>
              <w:right w:val="single" w:color="auto" w:sz="4" w:space="0"/>
            </w:tcBorders>
            <w:vAlign w:val="bottom"/>
          </w:tcPr>
          <w:p w14:paraId="7391230A">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389A38B4">
        <w:tblPrEx>
          <w:tblCellMar>
            <w:top w:w="0" w:type="dxa"/>
            <w:left w:w="108" w:type="dxa"/>
            <w:bottom w:w="0" w:type="dxa"/>
            <w:right w:w="108" w:type="dxa"/>
          </w:tblCellMar>
        </w:tblPrEx>
        <w:trPr>
          <w:trHeight w:val="343" w:hRule="atLeast"/>
        </w:trPr>
        <w:tc>
          <w:tcPr>
            <w:tcW w:w="2779" w:type="dxa"/>
            <w:tcBorders>
              <w:top w:val="nil"/>
              <w:left w:val="single" w:color="auto" w:sz="4" w:space="0"/>
              <w:bottom w:val="single" w:color="auto" w:sz="4" w:space="0"/>
              <w:right w:val="single" w:color="auto" w:sz="4" w:space="0"/>
            </w:tcBorders>
            <w:vAlign w:val="center"/>
          </w:tcPr>
          <w:p w14:paraId="1807F6A1">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合计总价款（人民币）</w:t>
            </w:r>
          </w:p>
        </w:tc>
        <w:tc>
          <w:tcPr>
            <w:tcW w:w="5692" w:type="dxa"/>
            <w:gridSpan w:val="4"/>
            <w:tcBorders>
              <w:top w:val="nil"/>
              <w:left w:val="nil"/>
              <w:bottom w:val="single" w:color="auto" w:sz="4" w:space="0"/>
              <w:right w:val="single" w:color="000000" w:sz="4" w:space="0"/>
            </w:tcBorders>
            <w:vAlign w:val="center"/>
          </w:tcPr>
          <w:p w14:paraId="048D3796">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人民币</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 xml:space="preserve">元整。       ￥: </w:t>
            </w:r>
            <w:r>
              <w:rPr>
                <w:rFonts w:hint="eastAsia" w:ascii="微软雅黑" w:hAnsi="微软雅黑" w:eastAsia="微软雅黑" w:cs="微软雅黑"/>
                <w:kern w:val="0"/>
                <w:szCs w:val="21"/>
                <w:highlight w:val="none"/>
                <w:u w:val="single"/>
              </w:rPr>
              <w:t xml:space="preserve">             </w:t>
            </w:r>
          </w:p>
        </w:tc>
      </w:tr>
      <w:tr w14:paraId="2EA2A4C5">
        <w:tblPrEx>
          <w:tblCellMar>
            <w:top w:w="0" w:type="dxa"/>
            <w:left w:w="108" w:type="dxa"/>
            <w:bottom w:w="0" w:type="dxa"/>
            <w:right w:w="108" w:type="dxa"/>
          </w:tblCellMar>
        </w:tblPrEx>
        <w:trPr>
          <w:trHeight w:val="316" w:hRule="atLeast"/>
        </w:trPr>
        <w:tc>
          <w:tcPr>
            <w:tcW w:w="2779" w:type="dxa"/>
            <w:tcBorders>
              <w:top w:val="nil"/>
              <w:left w:val="single" w:color="auto" w:sz="4" w:space="0"/>
              <w:bottom w:val="nil"/>
              <w:right w:val="nil"/>
            </w:tcBorders>
            <w:vAlign w:val="bottom"/>
          </w:tcPr>
          <w:p w14:paraId="0F7E289C">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供货单位（盖章）：                     </w:t>
            </w:r>
          </w:p>
        </w:tc>
        <w:tc>
          <w:tcPr>
            <w:tcW w:w="2911" w:type="dxa"/>
            <w:tcBorders>
              <w:top w:val="nil"/>
              <w:left w:val="nil"/>
              <w:bottom w:val="nil"/>
              <w:right w:val="nil"/>
            </w:tcBorders>
            <w:vAlign w:val="center"/>
          </w:tcPr>
          <w:p w14:paraId="75E8ACA1">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采购人（盖章）:</w:t>
            </w:r>
          </w:p>
        </w:tc>
        <w:tc>
          <w:tcPr>
            <w:tcW w:w="1731" w:type="dxa"/>
            <w:gridSpan w:val="2"/>
            <w:tcBorders>
              <w:top w:val="nil"/>
              <w:left w:val="nil"/>
              <w:bottom w:val="nil"/>
              <w:right w:val="nil"/>
            </w:tcBorders>
            <w:vAlign w:val="bottom"/>
          </w:tcPr>
          <w:p w14:paraId="7A339306">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279C34CF">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6AB04722">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3097DC8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经办项目负责人：</w:t>
            </w:r>
          </w:p>
        </w:tc>
        <w:tc>
          <w:tcPr>
            <w:tcW w:w="2911" w:type="dxa"/>
            <w:tcBorders>
              <w:top w:val="nil"/>
              <w:left w:val="nil"/>
              <w:bottom w:val="nil"/>
              <w:right w:val="nil"/>
            </w:tcBorders>
            <w:vAlign w:val="center"/>
          </w:tcPr>
          <w:p w14:paraId="4CF4F5E6">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项目验收组组长：</w:t>
            </w:r>
          </w:p>
        </w:tc>
        <w:tc>
          <w:tcPr>
            <w:tcW w:w="1731" w:type="dxa"/>
            <w:gridSpan w:val="2"/>
            <w:tcBorders>
              <w:top w:val="nil"/>
              <w:left w:val="nil"/>
              <w:bottom w:val="nil"/>
              <w:right w:val="nil"/>
            </w:tcBorders>
            <w:vAlign w:val="bottom"/>
          </w:tcPr>
          <w:p w14:paraId="6C8A48E0">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101AAECA">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2DBBE5F4">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07A5D5B2">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联系电话：</w:t>
            </w:r>
          </w:p>
        </w:tc>
        <w:tc>
          <w:tcPr>
            <w:tcW w:w="2911" w:type="dxa"/>
            <w:tcBorders>
              <w:top w:val="nil"/>
              <w:left w:val="nil"/>
              <w:bottom w:val="nil"/>
              <w:right w:val="nil"/>
            </w:tcBorders>
            <w:vAlign w:val="center"/>
          </w:tcPr>
          <w:p w14:paraId="0003C830">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联系电话：</w:t>
            </w:r>
          </w:p>
        </w:tc>
        <w:tc>
          <w:tcPr>
            <w:tcW w:w="769" w:type="dxa"/>
            <w:tcBorders>
              <w:top w:val="nil"/>
              <w:left w:val="nil"/>
              <w:bottom w:val="nil"/>
              <w:right w:val="nil"/>
            </w:tcBorders>
            <w:vAlign w:val="bottom"/>
          </w:tcPr>
          <w:p w14:paraId="2C238798">
            <w:pPr>
              <w:widowControl/>
              <w:ind w:firstLine="0" w:firstLineChars="0"/>
              <w:rPr>
                <w:rFonts w:hint="eastAsia" w:ascii="微软雅黑" w:hAnsi="微软雅黑" w:eastAsia="微软雅黑" w:cs="微软雅黑"/>
                <w:kern w:val="0"/>
                <w:szCs w:val="21"/>
                <w:highlight w:val="none"/>
              </w:rPr>
            </w:pPr>
          </w:p>
        </w:tc>
        <w:tc>
          <w:tcPr>
            <w:tcW w:w="962" w:type="dxa"/>
            <w:tcBorders>
              <w:top w:val="nil"/>
              <w:left w:val="nil"/>
              <w:bottom w:val="nil"/>
              <w:right w:val="nil"/>
            </w:tcBorders>
            <w:vAlign w:val="bottom"/>
          </w:tcPr>
          <w:p w14:paraId="6A15A7DC">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5BD5A230">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5313DD92">
        <w:tblPrEx>
          <w:tblCellMar>
            <w:top w:w="0" w:type="dxa"/>
            <w:left w:w="108" w:type="dxa"/>
            <w:bottom w:w="0" w:type="dxa"/>
            <w:right w:w="108" w:type="dxa"/>
          </w:tblCellMar>
        </w:tblPrEx>
        <w:trPr>
          <w:trHeight w:val="247" w:hRule="atLeast"/>
        </w:trPr>
        <w:tc>
          <w:tcPr>
            <w:tcW w:w="2779" w:type="dxa"/>
            <w:tcBorders>
              <w:top w:val="nil"/>
              <w:left w:val="single" w:color="auto" w:sz="4" w:space="0"/>
              <w:bottom w:val="nil"/>
              <w:right w:val="nil"/>
            </w:tcBorders>
            <w:vAlign w:val="bottom"/>
          </w:tcPr>
          <w:p w14:paraId="1C71854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开户银行：</w:t>
            </w:r>
          </w:p>
        </w:tc>
        <w:tc>
          <w:tcPr>
            <w:tcW w:w="2911" w:type="dxa"/>
            <w:tcBorders>
              <w:top w:val="nil"/>
              <w:left w:val="nil"/>
              <w:bottom w:val="nil"/>
              <w:right w:val="nil"/>
            </w:tcBorders>
            <w:vAlign w:val="center"/>
          </w:tcPr>
          <w:p w14:paraId="4A13B5A3">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项目验收组成员（签名）：</w:t>
            </w:r>
          </w:p>
        </w:tc>
        <w:tc>
          <w:tcPr>
            <w:tcW w:w="769" w:type="dxa"/>
            <w:tcBorders>
              <w:top w:val="nil"/>
              <w:left w:val="nil"/>
              <w:bottom w:val="nil"/>
              <w:right w:val="nil"/>
            </w:tcBorders>
            <w:vAlign w:val="bottom"/>
          </w:tcPr>
          <w:p w14:paraId="712BFFCF">
            <w:pPr>
              <w:widowControl/>
              <w:ind w:firstLine="0" w:firstLineChars="0"/>
              <w:rPr>
                <w:rFonts w:hint="eastAsia" w:ascii="微软雅黑" w:hAnsi="微软雅黑" w:eastAsia="微软雅黑" w:cs="微软雅黑"/>
                <w:kern w:val="0"/>
                <w:szCs w:val="21"/>
                <w:highlight w:val="none"/>
              </w:rPr>
            </w:pPr>
          </w:p>
        </w:tc>
        <w:tc>
          <w:tcPr>
            <w:tcW w:w="962" w:type="dxa"/>
            <w:tcBorders>
              <w:top w:val="nil"/>
              <w:left w:val="nil"/>
              <w:bottom w:val="nil"/>
              <w:right w:val="nil"/>
            </w:tcBorders>
            <w:vAlign w:val="bottom"/>
          </w:tcPr>
          <w:p w14:paraId="4001A0FC">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1989B5E5">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3D4CDB03">
        <w:tblPrEx>
          <w:tblCellMar>
            <w:top w:w="0" w:type="dxa"/>
            <w:left w:w="108" w:type="dxa"/>
            <w:bottom w:w="0" w:type="dxa"/>
            <w:right w:w="108" w:type="dxa"/>
          </w:tblCellMar>
        </w:tblPrEx>
        <w:trPr>
          <w:trHeight w:val="309" w:hRule="atLeast"/>
        </w:trPr>
        <w:tc>
          <w:tcPr>
            <w:tcW w:w="2779" w:type="dxa"/>
            <w:tcBorders>
              <w:top w:val="nil"/>
              <w:left w:val="single" w:color="auto" w:sz="4" w:space="0"/>
              <w:bottom w:val="single" w:color="auto" w:sz="4" w:space="0"/>
              <w:right w:val="nil"/>
            </w:tcBorders>
            <w:vAlign w:val="center"/>
          </w:tcPr>
          <w:p w14:paraId="3C27F98A">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银行帐号：</w:t>
            </w:r>
          </w:p>
        </w:tc>
        <w:tc>
          <w:tcPr>
            <w:tcW w:w="2911" w:type="dxa"/>
            <w:tcBorders>
              <w:top w:val="nil"/>
              <w:left w:val="nil"/>
              <w:bottom w:val="single" w:color="auto" w:sz="4" w:space="0"/>
              <w:right w:val="nil"/>
            </w:tcBorders>
            <w:vAlign w:val="bottom"/>
          </w:tcPr>
          <w:p w14:paraId="649CF241">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2781" w:type="dxa"/>
            <w:gridSpan w:val="3"/>
            <w:tcBorders>
              <w:top w:val="nil"/>
              <w:left w:val="nil"/>
              <w:bottom w:val="single" w:color="auto" w:sz="4" w:space="0"/>
              <w:right w:val="single" w:color="000000" w:sz="4" w:space="0"/>
            </w:tcBorders>
            <w:vAlign w:val="center"/>
          </w:tcPr>
          <w:p w14:paraId="7406A09F">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验收时间：       年     月     日</w:t>
            </w:r>
          </w:p>
        </w:tc>
      </w:tr>
      <w:tr w14:paraId="2E1476F6">
        <w:tblPrEx>
          <w:tblCellMar>
            <w:top w:w="0" w:type="dxa"/>
            <w:left w:w="108" w:type="dxa"/>
            <w:bottom w:w="0" w:type="dxa"/>
            <w:right w:w="108" w:type="dxa"/>
          </w:tblCellMar>
        </w:tblPrEx>
        <w:trPr>
          <w:trHeight w:val="157" w:hRule="atLeast"/>
        </w:trPr>
        <w:tc>
          <w:tcPr>
            <w:tcW w:w="8472" w:type="dxa"/>
            <w:gridSpan w:val="5"/>
            <w:tcBorders>
              <w:top w:val="single" w:color="auto" w:sz="4" w:space="0"/>
              <w:left w:val="nil"/>
              <w:bottom w:val="nil"/>
              <w:right w:val="nil"/>
            </w:tcBorders>
            <w:vAlign w:val="center"/>
          </w:tcPr>
          <w:p w14:paraId="487AE79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本单一式四联：第一联采购人留存，第二联作为财政支付凭证，第三联供货单位留存。</w:t>
            </w:r>
          </w:p>
        </w:tc>
      </w:tr>
    </w:tbl>
    <w:p w14:paraId="42CC88FF">
      <w:pPr>
        <w:pStyle w:val="29"/>
        <w:spacing w:line="360" w:lineRule="auto"/>
        <w:outlineLvl w:val="9"/>
        <w:rPr>
          <w:rStyle w:val="66"/>
          <w:rFonts w:hint="eastAsia" w:ascii="微软雅黑" w:hAnsi="微软雅黑" w:eastAsia="微软雅黑" w:cs="微软雅黑"/>
          <w:highlight w:val="none"/>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eastAsia="微软雅黑" w:cs="微软雅黑"/>
          <w:highlight w:val="none"/>
        </w:rPr>
        <w:t xml:space="preserve"> </w:t>
      </w:r>
      <w:r>
        <w:rPr>
          <w:rFonts w:hint="eastAsia" w:ascii="微软雅黑" w:hAnsi="微软雅黑" w:eastAsia="微软雅黑" w:cs="微软雅黑"/>
          <w:highlight w:val="none"/>
        </w:rPr>
        <w:br w:type="page"/>
      </w:r>
      <w:bookmarkEnd w:id="242"/>
      <w:bookmarkStart w:id="264" w:name="_Toc25864"/>
      <w:bookmarkStart w:id="265" w:name="_Toc493511828"/>
    </w:p>
    <w:p w14:paraId="2C1056E2">
      <w:pPr>
        <w:pStyle w:val="4"/>
        <w:numPr>
          <w:ilvl w:val="0"/>
          <w:numId w:val="4"/>
        </w:numPr>
        <w:rPr>
          <w:rStyle w:val="66"/>
          <w:rFonts w:hint="eastAsia" w:ascii="微软雅黑" w:hAnsi="微软雅黑" w:eastAsia="微软雅黑" w:cs="微软雅黑"/>
          <w:b/>
          <w:bCs/>
          <w:highlight w:val="none"/>
        </w:rPr>
      </w:pPr>
      <w:r>
        <w:rPr>
          <w:rStyle w:val="66"/>
          <w:rFonts w:hint="eastAsia" w:ascii="微软雅黑" w:hAnsi="微软雅黑" w:eastAsia="微软雅黑" w:cs="微软雅黑"/>
          <w:b/>
          <w:bCs/>
          <w:highlight w:val="none"/>
        </w:rPr>
        <w:t xml:space="preserve">  </w:t>
      </w:r>
      <w:bookmarkStart w:id="266" w:name="_Toc191238339"/>
      <w:bookmarkStart w:id="267" w:name="_Toc30233"/>
      <w:r>
        <w:rPr>
          <w:rStyle w:val="66"/>
          <w:rFonts w:hint="eastAsia" w:ascii="微软雅黑" w:hAnsi="微软雅黑" w:eastAsia="微软雅黑" w:cs="微软雅黑"/>
          <w:b/>
          <w:bCs/>
          <w:highlight w:val="none"/>
        </w:rPr>
        <w:t>响应文件相关格式</w:t>
      </w:r>
      <w:bookmarkEnd w:id="264"/>
      <w:bookmarkEnd w:id="265"/>
      <w:bookmarkEnd w:id="266"/>
      <w:bookmarkEnd w:id="267"/>
      <w:bookmarkStart w:id="268" w:name="_Toc430786287"/>
    </w:p>
    <w:bookmarkEnd w:id="268"/>
    <w:p w14:paraId="09E1DB92">
      <w:pPr>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资格文件部分</w:t>
      </w:r>
    </w:p>
    <w:p w14:paraId="38B11DBF">
      <w:pPr>
        <w:ind w:firstLine="420"/>
        <w:jc w:val="center"/>
        <w:rPr>
          <w:rFonts w:hint="eastAsia" w:ascii="微软雅黑" w:hAnsi="微软雅黑" w:eastAsia="微软雅黑" w:cs="微软雅黑"/>
          <w:b/>
          <w:kern w:val="0"/>
          <w:szCs w:val="21"/>
          <w:highlight w:val="none"/>
        </w:rPr>
      </w:pPr>
      <w:bookmarkStart w:id="269" w:name="_Toc164943223"/>
      <w:r>
        <w:rPr>
          <w:rFonts w:hint="eastAsia" w:ascii="微软雅黑" w:hAnsi="微软雅黑" w:eastAsia="微软雅黑" w:cs="微软雅黑"/>
          <w:b/>
          <w:kern w:val="0"/>
          <w:szCs w:val="21"/>
          <w:highlight w:val="none"/>
        </w:rPr>
        <w:t>目录</w:t>
      </w:r>
      <w:bookmarkEnd w:id="269"/>
    </w:p>
    <w:p w14:paraId="7DCEF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（1）符合参加政府采购活动应当具备的一般条件的承诺函……………（页码）</w:t>
      </w:r>
    </w:p>
    <w:p w14:paraId="08700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（2）落实政府采购政策需满足的资格要求……………（页码）</w:t>
      </w:r>
    </w:p>
    <w:p w14:paraId="4D39ED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（3）投标人营业执照副本复印件…………………………………………………（页码）</w:t>
      </w:r>
    </w:p>
    <w:p w14:paraId="425BA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kern w:val="0"/>
          <w:szCs w:val="21"/>
          <w:highlight w:val="none"/>
        </w:rPr>
        <w:t>（4）特定资格要求证明材料…………………………………………………（页码）</w:t>
      </w:r>
    </w:p>
    <w:p w14:paraId="5064A6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一、 符合参加政府采购活动应当具备的一般条件的承诺函</w:t>
      </w:r>
    </w:p>
    <w:p w14:paraId="4050F4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u w:val="single"/>
        </w:rPr>
        <w:t>（采购人）、（采购代理机构）</w:t>
      </w:r>
      <w:r>
        <w:rPr>
          <w:rFonts w:hint="eastAsia" w:ascii="微软雅黑" w:hAnsi="微软雅黑" w:eastAsia="微软雅黑" w:cs="微软雅黑"/>
          <w:kern w:val="0"/>
          <w:szCs w:val="21"/>
          <w:highlight w:val="none"/>
        </w:rPr>
        <w:t>：</w:t>
      </w:r>
    </w:p>
    <w:p w14:paraId="7CB6D0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我方参与（项目名称）【项目编号】政府采购活动，郑重承诺：</w:t>
      </w:r>
    </w:p>
    <w:p w14:paraId="0C5C5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（一）具备《中华人民共和国政府采购法》第二十二条第一款规定的条件：</w:t>
      </w:r>
    </w:p>
    <w:p w14:paraId="4E428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1、具有独立承担民事责任的能力；</w:t>
      </w:r>
    </w:p>
    <w:p w14:paraId="69F52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2、具有良好的商业信誉和健全的财务会计制度； </w:t>
      </w:r>
    </w:p>
    <w:p w14:paraId="7C2F9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3、具有履行合同所必需的设备和专业技术能力；</w:t>
      </w:r>
    </w:p>
    <w:p w14:paraId="4A118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4、有依法缴纳税收和社会保障资金的良好记录；</w:t>
      </w:r>
    </w:p>
    <w:p w14:paraId="1E78E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5、参加政府采购活动前三年内，在经营活动中没有重大违法记录；</w:t>
      </w:r>
    </w:p>
    <w:p w14:paraId="1F6E1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6、具有法律、行政法规规定的其他条件。</w:t>
      </w:r>
    </w:p>
    <w:p w14:paraId="5D491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（二）未被信用中国（www.creditchina.gov.cn)、中国政府采购网（www.ccgp.gov.cn）列入失信被执行人、重大税收违法案件当事人名单、政府采购严重违法失信行为记录名单。</w:t>
      </w:r>
    </w:p>
    <w:p w14:paraId="587EC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（三）不存在以下情况：</w:t>
      </w:r>
    </w:p>
    <w:p w14:paraId="1399B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1、单位负责人为同一人或者存在直接控股、管理关系的不同供应商参加同一合同项下的政府采购活动的；</w:t>
      </w:r>
    </w:p>
    <w:p w14:paraId="0AA38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2、为采购项目提供整体设计、规范编制或者项目管理、监理、检测等服务后再参加该采购项目的其他采购活动的。</w:t>
      </w:r>
    </w:p>
    <w:p w14:paraId="3DB50EB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66037C1E">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5D52D352">
      <w:pPr>
        <w:pStyle w:val="121"/>
        <w:ind w:firstLine="420"/>
        <w:jc w:val="center"/>
        <w:rPr>
          <w:rFonts w:hint="eastAsia" w:ascii="微软雅黑" w:hAnsi="微软雅黑" w:eastAsia="微软雅黑" w:cs="微软雅黑"/>
          <w:sz w:val="21"/>
          <w:szCs w:val="21"/>
          <w:highlight w:val="none"/>
        </w:rPr>
        <w:sectPr>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sz w:val="21"/>
          <w:szCs w:val="21"/>
          <w:highlight w:val="none"/>
        </w:rPr>
        <w:t xml:space="preserve">          日期： 年 月 日</w:t>
      </w:r>
    </w:p>
    <w:p w14:paraId="3580594B">
      <w:pPr>
        <w:snapToGrid w:val="0"/>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二、落实政府采购政策需满足的资格要求</w:t>
      </w:r>
    </w:p>
    <w:p w14:paraId="17EE7408">
      <w:pPr>
        <w:pStyle w:val="103"/>
        <w:widowControl/>
        <w:numPr>
          <w:ilvl w:val="0"/>
          <w:numId w:val="0"/>
        </w:numPr>
        <w:ind w:firstLine="424" w:firstLineChars="202"/>
        <w:rPr>
          <w:rFonts w:hint="eastAsia" w:ascii="微软雅黑" w:hAnsi="微软雅黑" w:eastAsia="微软雅黑" w:cs="微软雅黑"/>
          <w:kern w:val="0"/>
          <w:highlight w:val="none"/>
        </w:rPr>
      </w:pPr>
      <w:r>
        <w:rPr>
          <w:rFonts w:hint="eastAsia" w:ascii="微软雅黑" w:hAnsi="微软雅黑" w:eastAsia="微软雅黑" w:cs="微软雅黑"/>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落实政府采购政策需满足的资格要求为“无”即本项目或标项未预留份额专门面向中小企业的情况下，如非中企业可不提供。]</w:t>
      </w:r>
      <w:r>
        <w:rPr>
          <w:rFonts w:hint="eastAsia" w:ascii="微软雅黑" w:hAnsi="微软雅黑" w:eastAsia="微软雅黑" w:cs="微软雅黑"/>
          <w:kern w:val="0"/>
          <w:highlight w:val="none"/>
        </w:rPr>
        <w:t xml:space="preserve"> </w:t>
      </w:r>
    </w:p>
    <w:p w14:paraId="31E60BF5">
      <w:pPr>
        <w:snapToGrid w:val="0"/>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中小企业声明函</w:t>
      </w:r>
    </w:p>
    <w:p w14:paraId="6165808E">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本公司郑重声明，根据《政府采购促进中小企业发展管理办法》（财库﹝2020﹞46 号）的规定，本公司参加</w:t>
      </w:r>
      <w:r>
        <w:rPr>
          <w:rFonts w:hint="eastAsia" w:ascii="微软雅黑" w:hAnsi="微软雅黑" w:eastAsia="微软雅黑" w:cs="微软雅黑"/>
          <w:spacing w:val="-3"/>
          <w:szCs w:val="21"/>
          <w:highlight w:val="none"/>
          <w:u w:val="single"/>
        </w:rPr>
        <w:t xml:space="preserve">（单位名称） </w:t>
      </w:r>
      <w:r>
        <w:rPr>
          <w:rFonts w:hint="eastAsia" w:ascii="微软雅黑" w:hAnsi="微软雅黑" w:eastAsia="微软雅黑" w:cs="微软雅黑"/>
          <w:spacing w:val="-3"/>
          <w:szCs w:val="21"/>
          <w:highlight w:val="none"/>
        </w:rPr>
        <w:t xml:space="preserve"> 的 </w:t>
      </w:r>
      <w:r>
        <w:rPr>
          <w:rFonts w:hint="eastAsia" w:ascii="微软雅黑" w:hAnsi="微软雅黑" w:eastAsia="微软雅黑" w:cs="微软雅黑"/>
          <w:spacing w:val="-3"/>
          <w:szCs w:val="21"/>
          <w:highlight w:val="none"/>
          <w:u w:val="single"/>
        </w:rPr>
        <w:t xml:space="preserve">  （项目名称）</w:t>
      </w:r>
      <w:r>
        <w:rPr>
          <w:rFonts w:hint="eastAsia" w:ascii="微软雅黑" w:hAnsi="微软雅黑" w:eastAsia="微软雅黑" w:cs="微软雅黑"/>
          <w:spacing w:val="-3"/>
          <w:szCs w:val="21"/>
          <w:highlight w:val="none"/>
        </w:rPr>
        <w:t>采购活动，服务全部由符合政策要求的中小企业承接。相关企业</w:t>
      </w:r>
      <w:r>
        <w:rPr>
          <w:rFonts w:hint="eastAsia" w:ascii="微软雅黑" w:hAnsi="微软雅黑" w:eastAsia="微软雅黑" w:cs="微软雅黑"/>
          <w:szCs w:val="21"/>
          <w:highlight w:val="none"/>
        </w:rPr>
        <w:t>的具体情况如下：</w:t>
      </w:r>
    </w:p>
    <w:p w14:paraId="0E01BD87">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1.</w:t>
      </w:r>
      <w:r>
        <w:rPr>
          <w:rFonts w:hint="eastAsia" w:ascii="微软雅黑" w:hAnsi="微软雅黑" w:eastAsia="微软雅黑" w:cs="微软雅黑"/>
          <w:spacing w:val="-3"/>
          <w:szCs w:val="21"/>
          <w:highlight w:val="none"/>
          <w:u w:val="single"/>
        </w:rPr>
        <w:t>（标的名称）</w:t>
      </w:r>
      <w:r>
        <w:rPr>
          <w:rFonts w:hint="eastAsia" w:ascii="微软雅黑" w:hAnsi="微软雅黑" w:eastAsia="微软雅黑" w:cs="微软雅黑"/>
          <w:spacing w:val="-3"/>
          <w:szCs w:val="21"/>
          <w:highlight w:val="none"/>
        </w:rPr>
        <w:t>，属于</w:t>
      </w:r>
      <w:r>
        <w:rPr>
          <w:rFonts w:hint="eastAsia" w:ascii="微软雅黑" w:hAnsi="微软雅黑" w:eastAsia="微软雅黑" w:cs="微软雅黑"/>
          <w:spacing w:val="-3"/>
          <w:szCs w:val="21"/>
          <w:highlight w:val="none"/>
          <w:u w:val="single"/>
        </w:rPr>
        <w:t>（磋商文件中明确所属行业）</w:t>
      </w:r>
      <w:r>
        <w:rPr>
          <w:rFonts w:hint="eastAsia" w:ascii="微软雅黑" w:hAnsi="微软雅黑" w:eastAsia="微软雅黑" w:cs="微软雅黑"/>
          <w:spacing w:val="-3"/>
          <w:szCs w:val="21"/>
          <w:highlight w:val="none"/>
        </w:rPr>
        <w:t>承接企业为</w:t>
      </w:r>
      <w:r>
        <w:rPr>
          <w:rFonts w:hint="eastAsia" w:ascii="微软雅黑" w:hAnsi="微软雅黑" w:eastAsia="微软雅黑" w:cs="微软雅黑"/>
          <w:spacing w:val="-3"/>
          <w:szCs w:val="21"/>
          <w:highlight w:val="none"/>
          <w:u w:val="single"/>
        </w:rPr>
        <w:t>（企业名称）</w:t>
      </w:r>
      <w:r>
        <w:rPr>
          <w:rFonts w:hint="eastAsia" w:ascii="微软雅黑" w:hAnsi="微软雅黑" w:eastAsia="微软雅黑" w:cs="微软雅黑"/>
          <w:spacing w:val="-3"/>
          <w:szCs w:val="21"/>
          <w:highlight w:val="none"/>
        </w:rPr>
        <w:t>从业人员</w:t>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u w:val="single"/>
        </w:rPr>
        <w:tab/>
      </w:r>
      <w:r>
        <w:rPr>
          <w:rFonts w:hint="eastAsia" w:ascii="微软雅黑" w:hAnsi="微软雅黑" w:eastAsia="微软雅黑" w:cs="微软雅黑"/>
          <w:spacing w:val="-3"/>
          <w:szCs w:val="21"/>
          <w:highlight w:val="none"/>
        </w:rPr>
        <w:t>人，营业收入为</w:t>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u w:val="single"/>
        </w:rPr>
        <w:tab/>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rPr>
        <w:t>万元，资产总额为</w:t>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rPr>
        <w:t>万元¹，属于</w:t>
      </w:r>
      <w:r>
        <w:rPr>
          <w:rFonts w:hint="eastAsia" w:ascii="微软雅黑" w:hAnsi="微软雅黑" w:eastAsia="微软雅黑" w:cs="微软雅黑"/>
          <w:spacing w:val="-3"/>
          <w:szCs w:val="21"/>
          <w:highlight w:val="none"/>
          <w:u w:val="single"/>
        </w:rPr>
        <w:t>（</w:t>
      </w:r>
      <w:r>
        <w:rPr>
          <w:rFonts w:hint="eastAsia" w:ascii="微软雅黑" w:hAnsi="微软雅黑" w:eastAsia="微软雅黑" w:cs="微软雅黑"/>
          <w:szCs w:val="21"/>
          <w:highlight w:val="none"/>
          <w:u w:val="single"/>
        </w:rPr>
        <w:sym w:font="Wingdings" w:char="00A8"/>
      </w:r>
      <w:r>
        <w:rPr>
          <w:rFonts w:hint="eastAsia" w:ascii="微软雅黑" w:hAnsi="微软雅黑" w:eastAsia="微软雅黑" w:cs="微软雅黑"/>
          <w:szCs w:val="21"/>
          <w:highlight w:val="none"/>
          <w:u w:val="single"/>
        </w:rPr>
        <w:t>中型企业、</w:t>
      </w:r>
      <w:r>
        <w:rPr>
          <w:rFonts w:hint="eastAsia" w:ascii="微软雅黑" w:hAnsi="微软雅黑" w:eastAsia="微软雅黑" w:cs="微软雅黑"/>
          <w:szCs w:val="21"/>
          <w:highlight w:val="none"/>
          <w:u w:val="single"/>
        </w:rPr>
        <w:sym w:font="Wingdings" w:char="00A8"/>
      </w:r>
      <w:r>
        <w:rPr>
          <w:rFonts w:hint="eastAsia" w:ascii="微软雅黑" w:hAnsi="微软雅黑" w:eastAsia="微软雅黑" w:cs="微软雅黑"/>
          <w:szCs w:val="21"/>
          <w:highlight w:val="none"/>
          <w:u w:val="single"/>
        </w:rPr>
        <w:t>小型企业、</w:t>
      </w:r>
      <w:r>
        <w:rPr>
          <w:rFonts w:hint="eastAsia" w:ascii="微软雅黑" w:hAnsi="微软雅黑" w:eastAsia="微软雅黑" w:cs="微软雅黑"/>
          <w:szCs w:val="21"/>
          <w:highlight w:val="none"/>
          <w:u w:val="single"/>
        </w:rPr>
        <w:sym w:font="Wingdings" w:char="00A8"/>
      </w:r>
      <w:r>
        <w:rPr>
          <w:rFonts w:hint="eastAsia" w:ascii="微软雅黑" w:hAnsi="微软雅黑" w:eastAsia="微软雅黑" w:cs="微软雅黑"/>
          <w:szCs w:val="21"/>
          <w:highlight w:val="none"/>
          <w:u w:val="single"/>
        </w:rPr>
        <w:t>微型企业</w:t>
      </w:r>
      <w:r>
        <w:rPr>
          <w:rFonts w:hint="eastAsia" w:ascii="微软雅黑" w:hAnsi="微软雅黑" w:eastAsia="微软雅黑" w:cs="微软雅黑"/>
          <w:spacing w:val="-3"/>
          <w:szCs w:val="21"/>
          <w:highlight w:val="none"/>
          <w:u w:val="single"/>
        </w:rPr>
        <w:t>）</w:t>
      </w:r>
      <w:r>
        <w:rPr>
          <w:rFonts w:hint="eastAsia" w:ascii="微软雅黑" w:hAnsi="微软雅黑" w:eastAsia="微软雅黑" w:cs="微软雅黑"/>
          <w:spacing w:val="-3"/>
          <w:szCs w:val="21"/>
          <w:highlight w:val="none"/>
        </w:rPr>
        <w:t>；</w:t>
      </w:r>
    </w:p>
    <w:p w14:paraId="73D093C5">
      <w:pPr>
        <w:ind w:firstLine="408"/>
        <w:rPr>
          <w:rFonts w:hint="eastAsia" w:ascii="微软雅黑" w:hAnsi="微软雅黑" w:eastAsia="微软雅黑" w:cs="微软雅黑"/>
          <w:spacing w:val="-3"/>
          <w:szCs w:val="21"/>
          <w:highlight w:val="none"/>
        </w:rPr>
      </w:pPr>
    </w:p>
    <w:p w14:paraId="23C1E175">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w:t>
      </w:r>
    </w:p>
    <w:p w14:paraId="5FF306C4">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以上企业，不属于大企业的分支机构，不存在控股股东为大企业的情形，也不存在与大企业的负责人为同一人的情形。</w:t>
      </w:r>
    </w:p>
    <w:p w14:paraId="09576F10">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本企业对上述声明内容的真实性负责。如有虚假，将依法承担相应责任。</w:t>
      </w:r>
    </w:p>
    <w:p w14:paraId="7A4C74D4">
      <w:pPr>
        <w:ind w:firstLine="408"/>
        <w:rPr>
          <w:rFonts w:hint="eastAsia" w:ascii="微软雅黑" w:hAnsi="微软雅黑" w:eastAsia="微软雅黑" w:cs="微软雅黑"/>
          <w:spacing w:val="-3"/>
          <w:szCs w:val="21"/>
          <w:highlight w:val="none"/>
        </w:rPr>
      </w:pPr>
    </w:p>
    <w:p w14:paraId="622AD5CF">
      <w:pPr>
        <w:wordWrap w:val="0"/>
        <w:snapToGrid w:val="0"/>
        <w:ind w:firstLine="408"/>
        <w:jc w:val="right"/>
        <w:rPr>
          <w:rFonts w:hint="eastAsia" w:ascii="微软雅黑" w:hAnsi="微软雅黑" w:eastAsia="微软雅黑" w:cs="微软雅黑"/>
          <w:szCs w:val="21"/>
          <w:highlight w:val="none"/>
        </w:rPr>
      </w:pPr>
      <w:r>
        <w:rPr>
          <w:rFonts w:hint="eastAsia" w:ascii="微软雅黑" w:hAnsi="微软雅黑" w:eastAsia="微软雅黑" w:cs="微软雅黑"/>
          <w:spacing w:val="-3"/>
          <w:szCs w:val="21"/>
          <w:highlight w:val="none"/>
        </w:rPr>
        <w:t xml:space="preserve">              </w:t>
      </w:r>
      <w:r>
        <w:rPr>
          <w:rFonts w:hint="eastAsia" w:ascii="微软雅黑" w:hAnsi="微软雅黑" w:eastAsia="微软雅黑" w:cs="微软雅黑"/>
          <w:szCs w:val="21"/>
          <w:highlight w:val="none"/>
        </w:rPr>
        <w:t xml:space="preserve">法定代表人或被授权人签字（或盖章）：    </w:t>
      </w:r>
    </w:p>
    <w:p w14:paraId="20595C83">
      <w:pPr>
        <w:snapToGrid w:val="0"/>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投标供应商（公章）：      　　　　　　　　　　　　　</w:t>
      </w:r>
    </w:p>
    <w:p w14:paraId="1F3EE02A">
      <w:pPr>
        <w:ind w:firstLine="420"/>
        <w:jc w:val="center"/>
        <w:rPr>
          <w:rFonts w:hint="eastAsia" w:ascii="微软雅黑" w:hAnsi="微软雅黑" w:eastAsia="微软雅黑" w:cs="微软雅黑"/>
          <w:spacing w:val="-3"/>
          <w:szCs w:val="21"/>
          <w:highlight w:val="none"/>
        </w:rPr>
      </w:pPr>
      <w:r>
        <w:rPr>
          <w:rFonts w:hint="eastAsia" w:ascii="微软雅黑" w:hAnsi="微软雅黑" w:eastAsia="微软雅黑" w:cs="微软雅黑"/>
          <w:szCs w:val="21"/>
          <w:highlight w:val="none"/>
        </w:rPr>
        <w:t xml:space="preserve">                                           日期：   年  月  日</w:t>
      </w:r>
    </w:p>
    <w:p w14:paraId="4A2A652D">
      <w:pPr>
        <w:ind w:firstLine="408"/>
        <w:rPr>
          <w:rFonts w:hint="eastAsia" w:ascii="微软雅黑" w:hAnsi="微软雅黑" w:eastAsia="微软雅黑" w:cs="微软雅黑"/>
          <w:spacing w:val="-3"/>
          <w:szCs w:val="21"/>
          <w:highlight w:val="none"/>
        </w:rPr>
      </w:pPr>
    </w:p>
    <w:p w14:paraId="577858D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14:paraId="3EF54D15">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填写要求：①“标的名称”、“采购文件中明确的所属行业”依据磋商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639AE6B5">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EDDECD">
      <w:pPr>
        <w:snapToGrid w:val="0"/>
        <w:ind w:firstLine="420"/>
        <w:rPr>
          <w:rFonts w:hint="eastAsia" w:ascii="微软雅黑" w:hAnsi="微软雅黑" w:eastAsia="微软雅黑" w:cs="微软雅黑"/>
          <w:b/>
          <w:bCs/>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b/>
          <w:bCs/>
          <w:szCs w:val="21"/>
          <w:highlight w:val="none"/>
        </w:rPr>
        <w:t>3.根据实际情况，在（</w:t>
      </w:r>
      <w:r>
        <w:rPr>
          <w:rFonts w:hint="eastAsia" w:ascii="微软雅黑" w:hAnsi="微软雅黑" w:eastAsia="微软雅黑" w:cs="微软雅黑"/>
          <w:b/>
          <w:bCs/>
          <w:szCs w:val="21"/>
          <w:highlight w:val="none"/>
        </w:rPr>
        <w:sym w:font="Wingdings" w:char="00A8"/>
      </w:r>
      <w:r>
        <w:rPr>
          <w:rFonts w:hint="eastAsia" w:ascii="微软雅黑" w:hAnsi="微软雅黑" w:eastAsia="微软雅黑" w:cs="微软雅黑"/>
          <w:b/>
          <w:bCs/>
          <w:szCs w:val="21"/>
          <w:highlight w:val="none"/>
        </w:rPr>
        <w:t>中型企业、</w:t>
      </w:r>
      <w:r>
        <w:rPr>
          <w:rFonts w:hint="eastAsia" w:ascii="微软雅黑" w:hAnsi="微软雅黑" w:eastAsia="微软雅黑" w:cs="微软雅黑"/>
          <w:b/>
          <w:bCs/>
          <w:szCs w:val="21"/>
          <w:highlight w:val="none"/>
        </w:rPr>
        <w:sym w:font="Wingdings" w:char="00A8"/>
      </w:r>
      <w:r>
        <w:rPr>
          <w:rFonts w:hint="eastAsia" w:ascii="微软雅黑" w:hAnsi="微软雅黑" w:eastAsia="微软雅黑" w:cs="微软雅黑"/>
          <w:b/>
          <w:bCs/>
          <w:szCs w:val="21"/>
          <w:highlight w:val="none"/>
        </w:rPr>
        <w:t>小型企业、</w:t>
      </w:r>
      <w:r>
        <w:rPr>
          <w:rFonts w:hint="eastAsia" w:ascii="微软雅黑" w:hAnsi="微软雅黑" w:eastAsia="微软雅黑" w:cs="微软雅黑"/>
          <w:b/>
          <w:bCs/>
          <w:szCs w:val="21"/>
          <w:highlight w:val="none"/>
        </w:rPr>
        <w:sym w:font="Wingdings" w:char="00A8"/>
      </w:r>
      <w:r>
        <w:rPr>
          <w:rFonts w:hint="eastAsia" w:ascii="微软雅黑" w:hAnsi="微软雅黑" w:eastAsia="微软雅黑" w:cs="微软雅黑"/>
          <w:b/>
          <w:bCs/>
          <w:szCs w:val="21"/>
          <w:highlight w:val="none"/>
        </w:rPr>
        <w:t>微型企业）处进行勾选。</w:t>
      </w:r>
    </w:p>
    <w:p w14:paraId="164A3302">
      <w:pPr>
        <w:pStyle w:val="293"/>
        <w:keepNext w:val="0"/>
        <w:tabs>
          <w:tab w:val="clear" w:pos="720"/>
        </w:tabs>
        <w:snapToGrid w:val="0"/>
        <w:spacing w:before="120" w:after="120"/>
        <w:ind w:firstLine="640"/>
        <w:outlineLvl w:val="9"/>
        <w:rPr>
          <w:rFonts w:hint="eastAsia" w:ascii="微软雅黑" w:hAnsi="微软雅黑" w:eastAsia="微软雅黑" w:cs="微软雅黑"/>
          <w:kern w:val="2"/>
          <w:sz w:val="21"/>
          <w:szCs w:val="21"/>
          <w:highlight w:val="none"/>
        </w:rPr>
      </w:pPr>
      <w:bookmarkStart w:id="270" w:name="_Toc18728"/>
      <w:r>
        <w:rPr>
          <w:rFonts w:hint="eastAsia" w:ascii="微软雅黑" w:hAnsi="微软雅黑" w:eastAsia="微软雅黑" w:cs="微软雅黑"/>
          <w:kern w:val="2"/>
          <w:sz w:val="21"/>
          <w:szCs w:val="21"/>
          <w:highlight w:val="none"/>
        </w:rPr>
        <w:t>残疾人福利性单位声明函</w:t>
      </w:r>
      <w:bookmarkEnd w:id="270"/>
    </w:p>
    <w:p w14:paraId="379395E4">
      <w:pPr>
        <w:widowControl/>
        <w:ind w:firstLine="420"/>
        <w:textAlignment w:val="top"/>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EA0E37">
      <w:pPr>
        <w:widowControl/>
        <w:ind w:firstLine="420"/>
        <w:textAlignment w:val="top"/>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本单位对上述声明的真实性负责。如有虚假，将依法承担相应责任。</w:t>
      </w:r>
    </w:p>
    <w:p w14:paraId="35302B46">
      <w:pPr>
        <w:snapToGrid w:val="0"/>
        <w:spacing w:before="120" w:beforeLines="50"/>
        <w:ind w:firstLine="420"/>
        <w:jc w:val="center"/>
        <w:rPr>
          <w:rFonts w:hint="eastAsia" w:ascii="微软雅黑" w:hAnsi="微软雅黑" w:eastAsia="微软雅黑" w:cs="微软雅黑"/>
          <w:kern w:val="0"/>
          <w:szCs w:val="21"/>
          <w:highlight w:val="none"/>
        </w:rPr>
      </w:pPr>
    </w:p>
    <w:p w14:paraId="13F8E75C">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4ED08079">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FDD89CF">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60FC9A98">
      <w:pPr>
        <w:widowControl/>
        <w:ind w:right="480" w:firstLine="6825" w:firstLineChars="3250"/>
        <w:textAlignment w:val="top"/>
        <w:rPr>
          <w:rFonts w:hint="eastAsia" w:ascii="微软雅黑" w:hAnsi="微软雅黑" w:eastAsia="微软雅黑" w:cs="微软雅黑"/>
          <w:kern w:val="0"/>
          <w:szCs w:val="21"/>
          <w:highlight w:val="none"/>
        </w:rPr>
      </w:pPr>
    </w:p>
    <w:p w14:paraId="55C3B599">
      <w:pPr>
        <w:pStyle w:val="2"/>
        <w:ind w:firstLine="420"/>
        <w:rPr>
          <w:rFonts w:hint="eastAsia" w:ascii="微软雅黑" w:hAnsi="微软雅黑" w:eastAsia="微软雅黑" w:cs="微软雅黑"/>
          <w:highlight w:val="none"/>
        </w:rPr>
      </w:pPr>
    </w:p>
    <w:p w14:paraId="501A9C80">
      <w:pPr>
        <w:pStyle w:val="2"/>
        <w:ind w:firstLine="420"/>
        <w:rPr>
          <w:rFonts w:hint="eastAsia" w:ascii="微软雅黑" w:hAnsi="微软雅黑" w:eastAsia="微软雅黑" w:cs="微软雅黑"/>
          <w:highlight w:val="none"/>
        </w:rPr>
      </w:pPr>
    </w:p>
    <w:p w14:paraId="27F2C640">
      <w:pPr>
        <w:pStyle w:val="3"/>
        <w:ind w:firstLine="480"/>
        <w:rPr>
          <w:rFonts w:hint="eastAsia" w:ascii="微软雅黑" w:hAnsi="微软雅黑" w:eastAsia="微软雅黑" w:cs="微软雅黑"/>
          <w:highlight w:val="none"/>
        </w:rPr>
      </w:pPr>
    </w:p>
    <w:p w14:paraId="27AC405F">
      <w:pPr>
        <w:pStyle w:val="3"/>
        <w:ind w:firstLine="480"/>
        <w:rPr>
          <w:rFonts w:hint="eastAsia" w:ascii="微软雅黑" w:hAnsi="微软雅黑" w:eastAsia="微软雅黑" w:cs="微软雅黑"/>
          <w:highlight w:val="none"/>
        </w:rPr>
      </w:pPr>
    </w:p>
    <w:p w14:paraId="162E3C0E">
      <w:pPr>
        <w:pStyle w:val="3"/>
        <w:ind w:firstLine="480"/>
        <w:rPr>
          <w:rFonts w:hint="eastAsia" w:ascii="微软雅黑" w:hAnsi="微软雅黑" w:eastAsia="微软雅黑" w:cs="微软雅黑"/>
          <w:highlight w:val="none"/>
        </w:rPr>
      </w:pPr>
    </w:p>
    <w:p w14:paraId="06C299C4">
      <w:pPr>
        <w:pStyle w:val="3"/>
        <w:ind w:firstLine="480"/>
        <w:rPr>
          <w:rFonts w:hint="eastAsia" w:ascii="微软雅黑" w:hAnsi="微软雅黑" w:eastAsia="微软雅黑" w:cs="微软雅黑"/>
          <w:highlight w:val="none"/>
        </w:rPr>
      </w:pPr>
    </w:p>
    <w:p w14:paraId="72919BEA">
      <w:pPr>
        <w:pStyle w:val="2"/>
        <w:ind w:firstLine="420"/>
        <w:rPr>
          <w:rFonts w:hint="eastAsia" w:ascii="微软雅黑" w:hAnsi="微软雅黑" w:eastAsia="微软雅黑" w:cs="微软雅黑"/>
          <w:highlight w:val="none"/>
        </w:rPr>
      </w:pPr>
    </w:p>
    <w:p w14:paraId="57174430">
      <w:pPr>
        <w:pStyle w:val="3"/>
        <w:ind w:firstLine="480"/>
        <w:rPr>
          <w:rFonts w:hint="eastAsia" w:ascii="微软雅黑" w:hAnsi="微软雅黑" w:eastAsia="微软雅黑" w:cs="微软雅黑"/>
          <w:highlight w:val="none"/>
        </w:rPr>
      </w:pPr>
    </w:p>
    <w:p w14:paraId="329FB9BC">
      <w:pPr>
        <w:widowControl/>
        <w:ind w:firstLine="0" w:firstLineChars="0"/>
        <w:rPr>
          <w:rFonts w:hint="eastAsia" w:ascii="微软雅黑" w:hAnsi="微软雅黑" w:eastAsia="微软雅黑" w:cs="微软雅黑"/>
          <w:highlight w:val="none"/>
        </w:rPr>
      </w:pPr>
      <w:r>
        <w:rPr>
          <w:rFonts w:hint="eastAsia" w:ascii="微软雅黑" w:hAnsi="微软雅黑" w:eastAsia="微软雅黑" w:cs="微软雅黑"/>
          <w:highlight w:val="none"/>
        </w:rPr>
        <w:br w:type="page"/>
      </w:r>
    </w:p>
    <w:p w14:paraId="34A52209">
      <w:pPr>
        <w:ind w:firstLine="42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监狱企业证明文件</w:t>
      </w:r>
    </w:p>
    <w:p w14:paraId="3E178AB6">
      <w:pPr>
        <w:ind w:firstLine="420"/>
        <w:jc w:val="center"/>
        <w:rPr>
          <w:rFonts w:hint="eastAsia" w:ascii="微软雅黑" w:hAnsi="微软雅黑" w:eastAsia="微软雅黑" w:cs="微软雅黑"/>
          <w:b/>
          <w:szCs w:val="21"/>
          <w:highlight w:val="none"/>
        </w:rPr>
      </w:pPr>
      <w:bookmarkStart w:id="271" w:name="_Toc164943234"/>
      <w:bookmarkStart w:id="272" w:name="_Toc12078"/>
      <w:r>
        <w:rPr>
          <w:rFonts w:hint="eastAsia" w:ascii="微软雅黑" w:hAnsi="微软雅黑" w:eastAsia="微软雅黑" w:cs="微软雅黑"/>
          <w:b/>
          <w:szCs w:val="21"/>
          <w:highlight w:val="none"/>
        </w:rPr>
        <w:t>监狱企业证明文件</w:t>
      </w:r>
      <w:bookmarkEnd w:id="271"/>
      <w:bookmarkEnd w:id="272"/>
    </w:p>
    <w:tbl>
      <w:tblPr>
        <w:tblStyle w:val="53"/>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276AD6A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283140FC">
            <w:pPr>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相关部门出具的监狱企业证明文件</w:t>
            </w:r>
          </w:p>
          <w:p w14:paraId="0496C75C">
            <w:pPr>
              <w:ind w:firstLine="420"/>
              <w:jc w:val="center"/>
              <w:rPr>
                <w:rFonts w:hint="eastAsia" w:ascii="微软雅黑" w:hAnsi="微软雅黑" w:eastAsia="微软雅黑" w:cs="微软雅黑"/>
                <w:b/>
                <w:i/>
                <w:kern w:val="0"/>
                <w:szCs w:val="21"/>
                <w:highlight w:val="none"/>
              </w:rPr>
            </w:pPr>
            <w:r>
              <w:rPr>
                <w:rFonts w:hint="eastAsia" w:ascii="微软雅黑" w:hAnsi="微软雅黑" w:eastAsia="微软雅黑" w:cs="微软雅黑"/>
                <w:szCs w:val="21"/>
                <w:highlight w:val="none"/>
              </w:rPr>
              <w:t>（如是，提供</w:t>
            </w:r>
            <w:r>
              <w:rPr>
                <w:rFonts w:hint="eastAsia" w:ascii="微软雅黑" w:hAnsi="微软雅黑" w:eastAsia="微软雅黑" w:cs="微软雅黑"/>
                <w:kern w:val="0"/>
                <w:szCs w:val="21"/>
                <w:highlight w:val="none"/>
              </w:rPr>
              <w:t>复印件加盖投标供应商公章）</w:t>
            </w:r>
          </w:p>
        </w:tc>
      </w:tr>
    </w:tbl>
    <w:p w14:paraId="48B9DAC0">
      <w:pPr>
        <w:ind w:firstLine="420"/>
        <w:rPr>
          <w:rFonts w:hint="eastAsia" w:ascii="微软雅黑" w:hAnsi="微软雅黑" w:eastAsia="微软雅黑" w:cs="微软雅黑"/>
          <w:i/>
          <w:szCs w:val="21"/>
          <w:highlight w:val="none"/>
        </w:rPr>
      </w:pPr>
    </w:p>
    <w:p w14:paraId="1D09CAEC">
      <w:pPr>
        <w:snapToGrid w:val="0"/>
        <w:ind w:firstLine="0" w:firstLineChars="0"/>
        <w:rPr>
          <w:rFonts w:hint="eastAsia"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投标人名称：（盖章）</w:t>
      </w:r>
    </w:p>
    <w:p w14:paraId="1BBA8B0A">
      <w:pPr>
        <w:snapToGrid w:val="0"/>
        <w:ind w:firstLine="0" w:firstLineChars="0"/>
        <w:rPr>
          <w:rFonts w:hint="eastAsia"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法定代表人或授权代表（签字）：</w:t>
      </w:r>
    </w:p>
    <w:p w14:paraId="5E74C729">
      <w:pPr>
        <w:snapToGrid w:val="0"/>
        <w:ind w:firstLine="0" w:firstLineChars="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shd w:val="clear" w:color="auto" w:fill="FFFFFF"/>
        </w:rPr>
        <w:t>投标日期： 年 月 日</w:t>
      </w:r>
    </w:p>
    <w:p w14:paraId="41096981">
      <w:pPr>
        <w:pStyle w:val="276"/>
        <w:spacing w:line="360" w:lineRule="auto"/>
        <w:rPr>
          <w:rFonts w:hint="eastAsia" w:ascii="微软雅黑" w:hAnsi="微软雅黑" w:eastAsia="微软雅黑" w:cs="微软雅黑"/>
          <w:szCs w:val="21"/>
          <w:highlight w:val="none"/>
        </w:rPr>
      </w:pPr>
    </w:p>
    <w:p w14:paraId="21214C23">
      <w:pPr>
        <w:snapToGrid w:val="0"/>
        <w:ind w:firstLine="420"/>
        <w:rPr>
          <w:rFonts w:hint="eastAsia" w:ascii="微软雅黑" w:hAnsi="微软雅黑" w:eastAsia="微软雅黑" w:cs="微软雅黑"/>
          <w:b/>
          <w:bCs/>
          <w:szCs w:val="21"/>
          <w:highlight w:val="none"/>
        </w:rPr>
      </w:pPr>
    </w:p>
    <w:p w14:paraId="15729F21">
      <w:pPr>
        <w:pStyle w:val="121"/>
        <w:ind w:firstLine="420"/>
        <w:jc w:val="center"/>
        <w:rPr>
          <w:rFonts w:hint="eastAsia" w:ascii="微软雅黑" w:hAnsi="微软雅黑" w:eastAsia="微软雅黑" w:cs="微软雅黑"/>
          <w:sz w:val="21"/>
          <w:szCs w:val="21"/>
          <w:highlight w:val="none"/>
        </w:rPr>
      </w:pPr>
    </w:p>
    <w:p w14:paraId="694F623E">
      <w:pPr>
        <w:snapToGrid w:val="0"/>
        <w:ind w:right="480" w:firstLine="640"/>
        <w:jc w:val="center"/>
        <w:rPr>
          <w:rFonts w:hint="eastAsia" w:ascii="微软雅黑" w:hAnsi="微软雅黑" w:eastAsia="微软雅黑" w:cs="微软雅黑"/>
          <w:b/>
          <w:kern w:val="0"/>
          <w:sz w:val="32"/>
          <w:szCs w:val="32"/>
          <w:highlight w:val="none"/>
        </w:rPr>
      </w:pPr>
    </w:p>
    <w:p w14:paraId="2578D9A3">
      <w:pPr>
        <w:ind w:firstLine="420"/>
        <w:rPr>
          <w:rFonts w:hint="eastAsia" w:ascii="微软雅黑" w:hAnsi="微软雅黑" w:eastAsia="微软雅黑" w:cs="微软雅黑"/>
          <w:highlight w:val="none"/>
        </w:rPr>
      </w:pPr>
    </w:p>
    <w:p w14:paraId="35FE41B7">
      <w:pPr>
        <w:pStyle w:val="6"/>
        <w:ind w:firstLine="420"/>
        <w:rPr>
          <w:rFonts w:hint="eastAsia" w:ascii="微软雅黑" w:hAnsi="微软雅黑" w:eastAsia="微软雅黑" w:cs="微软雅黑"/>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AAE3D19">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商务技术文件部分</w:t>
      </w:r>
    </w:p>
    <w:p w14:paraId="596AA539">
      <w:pPr>
        <w:ind w:firstLine="420"/>
        <w:jc w:val="center"/>
        <w:rPr>
          <w:rFonts w:hint="eastAsia" w:ascii="微软雅黑" w:hAnsi="微软雅黑" w:eastAsia="微软雅黑" w:cs="微软雅黑"/>
          <w:b/>
          <w:kern w:val="0"/>
          <w:szCs w:val="21"/>
          <w:highlight w:val="none"/>
        </w:rPr>
      </w:pPr>
      <w:bookmarkStart w:id="273" w:name="_Toc164943225"/>
      <w:r>
        <w:rPr>
          <w:rFonts w:hint="eastAsia" w:ascii="微软雅黑" w:hAnsi="微软雅黑" w:eastAsia="微软雅黑" w:cs="微软雅黑"/>
          <w:b/>
          <w:kern w:val="0"/>
          <w:szCs w:val="21"/>
          <w:highlight w:val="none"/>
        </w:rPr>
        <w:t>目录</w:t>
      </w:r>
      <w:bookmarkEnd w:id="273"/>
    </w:p>
    <w:p w14:paraId="6B515DF0">
      <w:pPr>
        <w:numPr>
          <w:ilvl w:val="0"/>
          <w:numId w:val="38"/>
        </w:numPr>
        <w:ind w:firstLineChars="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投标函……………………………………………………………………（页码）</w:t>
      </w:r>
    </w:p>
    <w:p w14:paraId="2B8D9F0C">
      <w:pPr>
        <w:numPr>
          <w:ilvl w:val="0"/>
          <w:numId w:val="38"/>
        </w:numPr>
        <w:ind w:firstLineChars="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法定代表人授权委托书…………………………………………………（页码）</w:t>
      </w:r>
    </w:p>
    <w:p w14:paraId="731B67B2">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（3）政府采购活动现场确认声明书…………………………………………（页码）</w:t>
      </w:r>
    </w:p>
    <w:p w14:paraId="7D661DC8">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（4）符合性审查资料…………………………………………………………（页码）</w:t>
      </w:r>
    </w:p>
    <w:p w14:paraId="51918741">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（5）评分对应表………………………………………………………………（页码）</w:t>
      </w:r>
    </w:p>
    <w:p w14:paraId="56FE9D5B">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（6）商务响应表………………………………………………………………（页码）</w:t>
      </w:r>
    </w:p>
    <w:p w14:paraId="00E7969C">
      <w:pPr>
        <w:ind w:firstLine="420"/>
        <w:jc w:val="both"/>
        <w:rPr>
          <w:rFonts w:hint="eastAsia" w:ascii="微软雅黑" w:hAnsi="微软雅黑" w:eastAsia="微软雅黑" w:cs="微软雅黑"/>
          <w:b/>
          <w:kern w:val="0"/>
          <w:szCs w:val="21"/>
          <w:highlight w:val="none"/>
        </w:rPr>
      </w:pP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rPr>
        <w:t>7</w:t>
      </w:r>
      <w:r>
        <w:rPr>
          <w:rFonts w:hint="eastAsia" w:ascii="微软雅黑" w:hAnsi="微软雅黑" w:eastAsia="微软雅黑" w:cs="微软雅黑"/>
          <w:szCs w:val="21"/>
          <w:highlight w:val="none"/>
          <w:lang w:val="zh-CN"/>
        </w:rPr>
        <w:t>）评标标准相应的商务技术资料</w:t>
      </w:r>
      <w:r>
        <w:rPr>
          <w:rFonts w:hint="eastAsia" w:ascii="微软雅黑" w:hAnsi="微软雅黑" w:eastAsia="微软雅黑" w:cs="微软雅黑"/>
          <w:szCs w:val="21"/>
          <w:highlight w:val="none"/>
        </w:rPr>
        <w:t>…………………………………………（页码）</w:t>
      </w:r>
    </w:p>
    <w:p w14:paraId="680AFEBB">
      <w:pPr>
        <w:snapToGrid w:val="0"/>
        <w:ind w:firstLine="420"/>
        <w:jc w:val="center"/>
        <w:rPr>
          <w:rFonts w:hint="eastAsia" w:ascii="微软雅黑" w:hAnsi="微软雅黑" w:eastAsia="微软雅黑" w:cs="微软雅黑"/>
          <w:b/>
          <w:kern w:val="0"/>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D67BA14">
      <w:pPr>
        <w:snapToGrid w:val="0"/>
        <w:spacing w:before="120" w:beforeLines="50" w:after="50"/>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一、投标函</w:t>
      </w:r>
    </w:p>
    <w:p w14:paraId="3F5A71C6">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u w:val="single"/>
        </w:rPr>
        <w:t>（采购人）、（采购代理机构）</w:t>
      </w:r>
      <w:r>
        <w:rPr>
          <w:rFonts w:hint="eastAsia" w:ascii="微软雅黑" w:hAnsi="微软雅黑" w:eastAsia="微软雅黑" w:cs="微软雅黑"/>
          <w:szCs w:val="21"/>
          <w:highlight w:val="none"/>
        </w:rPr>
        <w:t>：</w:t>
      </w:r>
    </w:p>
    <w:p w14:paraId="0BCB90F9">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我方参加你方组织的（项目名称）【项目编号】招标的有关活动，并对此项目进行投标。为此：</w:t>
      </w:r>
    </w:p>
    <w:p w14:paraId="1B85645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1、我方承诺投标有效期从提交响应文件的截止之日起</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天（不少于90天），本响应文件在投标有效期满之前均具有约束力。</w:t>
      </w:r>
    </w:p>
    <w:p w14:paraId="67674D2C">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2、我方的响应文件包括以下内容：</w:t>
      </w:r>
    </w:p>
    <w:p w14:paraId="01087C96">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2.1资格文件：</w:t>
      </w:r>
    </w:p>
    <w:p w14:paraId="3DA033AD">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2.1.1符合参加政府采购活动应当具备的一般条件的承诺函；</w:t>
      </w:r>
    </w:p>
    <w:p w14:paraId="45EB3BA1">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2.1.2</w:t>
      </w:r>
      <w:r>
        <w:rPr>
          <w:rFonts w:hint="eastAsia" w:ascii="微软雅黑" w:hAnsi="微软雅黑" w:eastAsia="微软雅黑" w:cs="微软雅黑"/>
          <w:kern w:val="0"/>
          <w:szCs w:val="21"/>
          <w:highlight w:val="none"/>
        </w:rPr>
        <w:t>落实政府采购政策需满足的资格要求</w:t>
      </w:r>
      <w:r>
        <w:rPr>
          <w:rFonts w:hint="eastAsia" w:ascii="微软雅黑" w:hAnsi="微软雅黑" w:eastAsia="微软雅黑" w:cs="微软雅黑"/>
          <w:szCs w:val="21"/>
          <w:highlight w:val="none"/>
        </w:rPr>
        <w:t>；</w:t>
      </w:r>
    </w:p>
    <w:p w14:paraId="6C5B753D">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2.1.3投标人营业执照副本复印件；</w:t>
      </w:r>
    </w:p>
    <w:p w14:paraId="0BAD98A1">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2.1.4 特定资格要求证明材料；</w:t>
      </w:r>
    </w:p>
    <w:p w14:paraId="1DC50885">
      <w:pPr>
        <w:snapToGrid w:val="0"/>
        <w:ind w:left="210" w:leftChars="100" w:firstLine="42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 xml:space="preserve"> </w:t>
      </w:r>
      <w:r>
        <w:rPr>
          <w:rFonts w:hint="eastAsia" w:ascii="微软雅黑" w:hAnsi="微软雅黑" w:eastAsia="微软雅黑" w:cs="微软雅黑"/>
          <w:szCs w:val="21"/>
          <w:highlight w:val="none"/>
        </w:rPr>
        <w:t>商务技术</w:t>
      </w:r>
      <w:r>
        <w:rPr>
          <w:rFonts w:hint="eastAsia" w:ascii="微软雅黑" w:hAnsi="微软雅黑" w:eastAsia="微软雅黑" w:cs="微软雅黑"/>
          <w:szCs w:val="21"/>
          <w:highlight w:val="none"/>
          <w:lang w:val="zh-CN"/>
        </w:rPr>
        <w:t>文件：</w:t>
      </w:r>
    </w:p>
    <w:p w14:paraId="2AE49A5A">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2.2.1投标函；</w:t>
      </w:r>
      <w:r>
        <w:rPr>
          <w:rFonts w:hint="eastAsia" w:ascii="微软雅黑" w:hAnsi="微软雅黑" w:eastAsia="微软雅黑" w:cs="微软雅黑"/>
          <w:szCs w:val="21"/>
          <w:highlight w:val="none"/>
          <w:lang w:val="zh-CN"/>
        </w:rPr>
        <w:t xml:space="preserve"> </w:t>
      </w:r>
    </w:p>
    <w:p w14:paraId="1F0245D7">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2.2.2授权委托书或法定代表人（单位负责人）身份证明；</w:t>
      </w:r>
    </w:p>
    <w:p w14:paraId="353E0619">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2.2.3政府采购活动现场确认声明书；</w:t>
      </w:r>
    </w:p>
    <w:p w14:paraId="277CC161">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2.2.4符合性审查资料；</w:t>
      </w:r>
    </w:p>
    <w:p w14:paraId="781366F9">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2.2.5商务响应表；</w:t>
      </w:r>
    </w:p>
    <w:p w14:paraId="1B625C44">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2.2.6技术响应表；</w:t>
      </w:r>
    </w:p>
    <w:p w14:paraId="277A4F48">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2.2.7评标标准相应的商务技术资料；</w:t>
      </w:r>
    </w:p>
    <w:p w14:paraId="1A4047F0">
      <w:pPr>
        <w:snapToGrid w:val="0"/>
        <w:ind w:firstLine="840" w:firstLineChars="400"/>
        <w:rPr>
          <w:rFonts w:hint="eastAsia" w:ascii="微软雅黑" w:hAnsi="微软雅黑" w:eastAsia="微软雅黑" w:cs="微软雅黑"/>
          <w:szCs w:val="21"/>
          <w:highlight w:val="none"/>
          <w:lang w:val="en"/>
        </w:rPr>
      </w:pPr>
      <w:r>
        <w:rPr>
          <w:rFonts w:hint="eastAsia" w:ascii="微软雅黑" w:hAnsi="微软雅黑" w:eastAsia="微软雅黑" w:cs="微软雅黑"/>
          <w:szCs w:val="21"/>
          <w:highlight w:val="none"/>
        </w:rPr>
        <w:t>2.2.8评分对应表</w:t>
      </w:r>
      <w:r>
        <w:rPr>
          <w:rFonts w:hint="eastAsia" w:ascii="微软雅黑" w:hAnsi="微软雅黑" w:eastAsia="微软雅黑" w:cs="微软雅黑"/>
          <w:szCs w:val="21"/>
          <w:highlight w:val="none"/>
          <w:lang w:val="en"/>
        </w:rPr>
        <w:t>；</w:t>
      </w:r>
    </w:p>
    <w:p w14:paraId="2F14804E">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
        </w:rPr>
        <w:t>2.2.</w:t>
      </w:r>
      <w:r>
        <w:rPr>
          <w:rFonts w:hint="eastAsia" w:ascii="微软雅黑" w:hAnsi="微软雅黑" w:eastAsia="微软雅黑" w:cs="微软雅黑"/>
          <w:szCs w:val="21"/>
          <w:highlight w:val="none"/>
        </w:rPr>
        <w:t>9供应商认为需要提供的其他文件及资料（格式自拟）。</w:t>
      </w:r>
    </w:p>
    <w:p w14:paraId="408AFA11">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rPr>
        <w:t>3报价文件</w:t>
      </w:r>
    </w:p>
    <w:p w14:paraId="2EA82DD3">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2.3.1开标一览表（报价表）；</w:t>
      </w:r>
    </w:p>
    <w:p w14:paraId="04F2D4B8">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2.3.2投标供应商针对报价需要说明的其他文件和说明。</w:t>
      </w:r>
    </w:p>
    <w:p w14:paraId="72D73AE2">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b/>
          <w:bCs/>
          <w:szCs w:val="21"/>
          <w:highlight w:val="none"/>
        </w:rPr>
        <w:t>法定代表人授权委托书、投标函、开标一览表必须有法定代表人或被</w:t>
      </w:r>
      <w:r>
        <w:rPr>
          <w:rFonts w:hint="eastAsia" w:ascii="微软雅黑" w:hAnsi="微软雅黑" w:eastAsia="微软雅黑" w:cs="微软雅黑"/>
          <w:b/>
          <w:szCs w:val="21"/>
          <w:highlight w:val="none"/>
        </w:rPr>
        <w:t>授权</w:t>
      </w:r>
      <w:r>
        <w:rPr>
          <w:rFonts w:hint="eastAsia" w:ascii="微软雅黑" w:hAnsi="微软雅黑" w:eastAsia="微软雅黑" w:cs="微软雅黑"/>
          <w:b/>
          <w:bCs/>
          <w:szCs w:val="21"/>
          <w:highlight w:val="none"/>
        </w:rPr>
        <w:t>人签字（或签章）并加盖单位公章。</w:t>
      </w:r>
    </w:p>
    <w:p w14:paraId="45FAD81A">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3、我方承诺除商务技术响应表列出的偏离外，我方响应磋商文件的全部要求。</w:t>
      </w:r>
    </w:p>
    <w:p w14:paraId="43413BC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4、如我方中标，我方承诺：</w:t>
      </w:r>
    </w:p>
    <w:p w14:paraId="389F356F">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4.1在收到中标通知书后，在中标通知书规定的期限内与你方签订合同； </w:t>
      </w:r>
    </w:p>
    <w:p w14:paraId="4ED1ABA1">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4.2在签订合同时不向你方提出附加条件； </w:t>
      </w:r>
    </w:p>
    <w:p w14:paraId="5CB22431">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4.3按照磋商文件要求提交履约保证金； </w:t>
      </w:r>
    </w:p>
    <w:p w14:paraId="39234A70">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4.4在合同约定的期限内完成合同规定的全部义务。 </w:t>
      </w:r>
    </w:p>
    <w:p w14:paraId="19EB6DFA">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5、其他补充说明:</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p>
    <w:p w14:paraId="77E6C7A4">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6B85C4C7">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05DAFD35">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3D3097EC">
      <w:pPr>
        <w:snapToGrid w:val="0"/>
        <w:spacing w:before="120" w:beforeLines="50" w:after="50"/>
        <w:ind w:firstLine="640"/>
        <w:jc w:val="center"/>
        <w:rPr>
          <w:rFonts w:hint="eastAsia" w:ascii="微软雅黑" w:hAnsi="微软雅黑" w:eastAsia="微软雅黑" w:cs="微软雅黑"/>
          <w:b/>
          <w:sz w:val="32"/>
          <w:szCs w:val="32"/>
          <w:highlight w:val="none"/>
        </w:rPr>
      </w:pPr>
    </w:p>
    <w:p w14:paraId="3260EC06">
      <w:pPr>
        <w:snapToGrid w:val="0"/>
        <w:spacing w:before="120" w:beforeLines="50" w:after="50"/>
        <w:ind w:firstLine="640"/>
        <w:jc w:val="center"/>
        <w:rPr>
          <w:rFonts w:hint="eastAsia" w:ascii="微软雅黑" w:hAnsi="微软雅黑" w:eastAsia="微软雅黑" w:cs="微软雅黑"/>
          <w:b/>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48424D4">
      <w:pPr>
        <w:snapToGrid w:val="0"/>
        <w:spacing w:before="120" w:beforeLines="50" w:after="50"/>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二、法定代表人授权委托书</w:t>
      </w:r>
    </w:p>
    <w:p w14:paraId="4C85B3D4">
      <w:pPr>
        <w:snapToGrid w:val="0"/>
        <w:ind w:firstLine="42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u w:val="single"/>
        </w:rPr>
        <w:t>（采购人）、（采购代理机构）：</w:t>
      </w:r>
    </w:p>
    <w:p w14:paraId="4050AB8D">
      <w:pPr>
        <w:snapToGrid w:val="0"/>
        <w:spacing w:before="120" w:beforeLines="50" w:after="50"/>
        <w:ind w:firstLine="630" w:firstLineChars="300"/>
        <w:rPr>
          <w:rFonts w:hint="eastAsia" w:ascii="微软雅黑" w:hAnsi="微软雅黑" w:eastAsia="微软雅黑" w:cs="微软雅黑"/>
          <w:szCs w:val="20"/>
          <w:highlight w:val="none"/>
        </w:rPr>
      </w:pPr>
      <w:r>
        <w:rPr>
          <w:rFonts w:hint="eastAsia" w:ascii="微软雅黑" w:hAnsi="微软雅黑" w:eastAsia="微软雅黑" w:cs="微软雅黑"/>
          <w:highlight w:val="none"/>
        </w:rPr>
        <w:t>我</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（姓名）系</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（投标供应商名称）的法定代表人，现授权委托（姓名）以我方的名义参加</w:t>
      </w:r>
      <w:r>
        <w:rPr>
          <w:rFonts w:hint="eastAsia" w:ascii="微软雅黑" w:hAnsi="微软雅黑" w:eastAsia="微软雅黑" w:cs="微软雅黑"/>
          <w:highlight w:val="none"/>
          <w:u w:val="single"/>
        </w:rPr>
        <w:t xml:space="preserve">                项目</w:t>
      </w:r>
      <w:r>
        <w:rPr>
          <w:rFonts w:hint="eastAsia" w:ascii="微软雅黑" w:hAnsi="微软雅黑" w:eastAsia="微软雅黑" w:cs="微软雅黑"/>
          <w:highlight w:val="none"/>
        </w:rPr>
        <w:t>的投标活动，并代表我方全权办理针对上述项目的投标、开标、评标、签约等具体事务和签署相关文件。</w:t>
      </w:r>
    </w:p>
    <w:p w14:paraId="71D20A66">
      <w:pPr>
        <w:snapToGrid w:val="0"/>
        <w:spacing w:before="120" w:beforeLines="50" w:after="50"/>
        <w:ind w:firstLine="420"/>
        <w:rPr>
          <w:rFonts w:hint="eastAsia" w:ascii="微软雅黑" w:hAnsi="微软雅黑" w:eastAsia="微软雅黑" w:cs="微软雅黑"/>
          <w:szCs w:val="20"/>
          <w:highlight w:val="none"/>
        </w:rPr>
      </w:pPr>
      <w:r>
        <w:rPr>
          <w:rFonts w:hint="eastAsia" w:ascii="微软雅黑" w:hAnsi="微软雅黑" w:eastAsia="微软雅黑" w:cs="微软雅黑"/>
          <w:highlight w:val="none"/>
        </w:rPr>
        <w:t>我方对被授权人的签字事项负全部责任。</w:t>
      </w:r>
    </w:p>
    <w:p w14:paraId="21E5E484">
      <w:pPr>
        <w:snapToGrid w:val="0"/>
        <w:spacing w:before="120" w:beforeLines="50" w:after="50"/>
        <w:ind w:firstLine="420"/>
        <w:rPr>
          <w:rFonts w:hint="eastAsia" w:ascii="微软雅黑" w:hAnsi="微软雅黑" w:eastAsia="微软雅黑" w:cs="微软雅黑"/>
          <w:szCs w:val="20"/>
          <w:highlight w:val="none"/>
        </w:rPr>
      </w:pPr>
      <w:r>
        <w:rPr>
          <w:rFonts w:hint="eastAsia" w:ascii="微软雅黑" w:hAnsi="微软雅黑" w:eastAsia="微软雅黑" w:cs="微软雅黑"/>
          <w:highlight w:val="none"/>
          <w:u w:val="single"/>
        </w:rPr>
        <w:t>在撤销授权的书面通知以前，本授权书一直有效。</w:t>
      </w:r>
      <w:r>
        <w:rPr>
          <w:rFonts w:hint="eastAsia" w:ascii="微软雅黑" w:hAnsi="微软雅黑" w:eastAsia="微软雅黑" w:cs="微软雅黑"/>
          <w:highlight w:val="none"/>
        </w:rPr>
        <w:t>被授权人在授权书有效期内签署的所有文件不因授权的撤销而失效。</w:t>
      </w:r>
    </w:p>
    <w:p w14:paraId="0B7C605E">
      <w:pPr>
        <w:snapToGrid w:val="0"/>
        <w:spacing w:before="120" w:beforeLines="50" w:after="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被授权人无转委托权，特此委托。</w:t>
      </w:r>
    </w:p>
    <w:p w14:paraId="3D89A368">
      <w:pPr>
        <w:snapToGrid w:val="0"/>
        <w:spacing w:before="120" w:beforeLines="50" w:after="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　身份证粘贴处：                   身份证粘贴处：</w:t>
      </w:r>
    </w:p>
    <w:p w14:paraId="644E9B87">
      <w:pPr>
        <w:snapToGrid w:val="0"/>
        <w:spacing w:before="120" w:beforeLines="50" w:after="50"/>
        <w:ind w:firstLine="420"/>
        <w:rPr>
          <w:rFonts w:hint="eastAsia" w:ascii="微软雅黑" w:hAnsi="微软雅黑" w:eastAsia="微软雅黑" w:cs="微软雅黑"/>
          <w:highlight w:val="none"/>
        </w:rPr>
      </w:pPr>
    </w:p>
    <w:p w14:paraId="36B18693">
      <w:pPr>
        <w:snapToGrid w:val="0"/>
        <w:spacing w:before="120" w:beforeLines="50" w:after="50"/>
        <w:ind w:firstLine="420"/>
        <w:rPr>
          <w:rFonts w:hint="eastAsia" w:ascii="微软雅黑" w:hAnsi="微软雅黑" w:eastAsia="微软雅黑" w:cs="微软雅黑"/>
          <w:szCs w:val="20"/>
          <w:highlight w:val="none"/>
          <w:u w:val="single"/>
        </w:rPr>
      </w:pPr>
      <w:r>
        <w:rPr>
          <w:rFonts w:hint="eastAsia" w:ascii="微软雅黑" w:hAnsi="微软雅黑" w:eastAsia="微软雅黑" w:cs="微软雅黑"/>
          <w:highlight w:val="none"/>
        </w:rPr>
        <w:t>法定代表人签字（或盖章）：          被授权人签字（或盖章）：</w:t>
      </w:r>
    </w:p>
    <w:p w14:paraId="53848AE5">
      <w:pPr>
        <w:snapToGrid w:val="0"/>
        <w:spacing w:before="120" w:beforeLines="50" w:after="50"/>
        <w:ind w:firstLine="42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职务：                              职务：</w:t>
      </w:r>
    </w:p>
    <w:p w14:paraId="1ED156B3">
      <w:pPr>
        <w:snapToGrid w:val="0"/>
        <w:spacing w:before="120" w:beforeLines="50" w:after="50"/>
        <w:rPr>
          <w:rFonts w:hint="eastAsia" w:ascii="微软雅黑" w:hAnsi="微软雅黑" w:eastAsia="微软雅黑" w:cs="微软雅黑"/>
          <w:highlight w:val="none"/>
        </w:rPr>
      </w:pPr>
      <w:r>
        <w:rPr>
          <w:rFonts w:hint="eastAsia" w:ascii="微软雅黑" w:hAnsi="微软雅黑" w:eastAsia="微软雅黑" w:cs="微软雅黑"/>
          <w:sz w:val="24"/>
          <w:highlight w:val="none"/>
        </w:rPr>
        <w:t>供应商名称（公章）</w:t>
      </w:r>
      <w:r>
        <w:rPr>
          <w:rFonts w:hint="eastAsia" w:ascii="微软雅黑" w:hAnsi="微软雅黑" w:eastAsia="微软雅黑" w:cs="微软雅黑"/>
          <w:highlight w:val="none"/>
        </w:rPr>
        <w:t>：               年  月  日</w:t>
      </w:r>
    </w:p>
    <w:p w14:paraId="5FF7CCE5">
      <w:pPr>
        <w:ind w:firstLine="640"/>
        <w:jc w:val="center"/>
        <w:rPr>
          <w:rFonts w:hint="eastAsia" w:ascii="微软雅黑" w:hAnsi="微软雅黑" w:eastAsia="微软雅黑" w:cs="微软雅黑"/>
          <w:b/>
          <w:kern w:val="0"/>
          <w:sz w:val="32"/>
          <w:szCs w:val="32"/>
          <w:highlight w:val="none"/>
        </w:rPr>
      </w:pPr>
    </w:p>
    <w:p w14:paraId="35BD15A5">
      <w:pPr>
        <w:snapToGrid w:val="0"/>
        <w:spacing w:before="120" w:beforeLines="50" w:after="50"/>
        <w:ind w:firstLine="640"/>
        <w:jc w:val="center"/>
        <w:rPr>
          <w:rFonts w:hint="eastAsia" w:ascii="微软雅黑" w:hAnsi="微软雅黑" w:eastAsia="微软雅黑" w:cs="微软雅黑"/>
          <w:b/>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7E66E9">
      <w:pPr>
        <w:snapToGrid w:val="0"/>
        <w:spacing w:before="120" w:beforeLines="50" w:after="50"/>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三、政府采购活动现场确认声明书</w:t>
      </w:r>
    </w:p>
    <w:p w14:paraId="3B3EF0D5">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u w:val="single"/>
        </w:rPr>
        <w:t>（采购人）、（采购代理机构）：</w:t>
      </w:r>
      <w:r>
        <w:rPr>
          <w:rFonts w:hint="eastAsia" w:ascii="微软雅黑" w:hAnsi="微软雅黑" w:eastAsia="微软雅黑" w:cs="微软雅黑"/>
          <w:szCs w:val="21"/>
          <w:highlight w:val="none"/>
        </w:rPr>
        <w:t>:</w:t>
      </w:r>
    </w:p>
    <w:p w14:paraId="78A9DC57">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本人 ____________（授权代表姓名），经由______________________________（单位） ____________ （法定代表人姓名）合法授权参加 </w:t>
      </w:r>
      <w:r>
        <w:rPr>
          <w:rFonts w:hint="eastAsia" w:ascii="微软雅黑" w:hAnsi="微软雅黑" w:eastAsia="微软雅黑" w:cs="微软雅黑"/>
          <w:szCs w:val="21"/>
          <w:highlight w:val="none"/>
          <w:u w:val="single"/>
        </w:rPr>
        <w:t xml:space="preserve"> </w:t>
      </w:r>
      <w:r>
        <w:rPr>
          <w:rFonts w:hint="eastAsia" w:ascii="微软雅黑" w:hAnsi="微软雅黑" w:cs="微软雅黑"/>
          <w:szCs w:val="21"/>
          <w:highlight w:val="none"/>
          <w:u w:val="single"/>
          <w:lang w:eastAsia="zh-CN"/>
        </w:rPr>
        <w:t>嘉兴市秀洲区高照实验学校2025年暑期教职工疗休养项目</w:t>
      </w:r>
      <w:r>
        <w:rPr>
          <w:rFonts w:hint="eastAsia" w:ascii="微软雅黑" w:hAnsi="微软雅黑" w:eastAsia="微软雅黑" w:cs="微软雅黑"/>
          <w:szCs w:val="21"/>
          <w:highlight w:val="none"/>
          <w:u w:val="single"/>
        </w:rPr>
        <w:t>（编号：       ）</w:t>
      </w:r>
      <w:r>
        <w:rPr>
          <w:rFonts w:hint="eastAsia" w:ascii="微软雅黑" w:hAnsi="微软雅黑" w:eastAsia="微软雅黑" w:cs="微软雅黑"/>
          <w:szCs w:val="21"/>
          <w:highlight w:val="none"/>
        </w:rPr>
        <w:t>政府采购活动．经与本单位法人代表（负责人）联系确认，现就有关公平竞争事项郑重声明如下:</w:t>
      </w:r>
    </w:p>
    <w:p w14:paraId="2776E1F4">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一、本单位与采购人之间口不存在利害关系口存在下列利害关系：</w:t>
      </w:r>
    </w:p>
    <w:p w14:paraId="16C71A4C">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A．投资关系 B．行政隶属关系 C．业务指导关系D．其他可能影响采购公正的利害关系（如有，请如实说明）。</w:t>
      </w:r>
    </w:p>
    <w:p w14:paraId="6F48821D">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二、现已清楚知道参加本项目采购活动的其他所有供应商名称，本单位 口与其他所有供应商之间均不存在利害关系 口与______________（供应商名称）之间存在下列利害关系:</w:t>
      </w:r>
    </w:p>
    <w:p w14:paraId="4BB48EB1">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A．法定代表人或负责人或实际控制人是同一人</w:t>
      </w:r>
    </w:p>
    <w:p w14:paraId="68D2F563">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B．法定代表人或负责人或实际控制人是夫妻关系</w:t>
      </w:r>
    </w:p>
    <w:p w14:paraId="001CD60C">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C．法定代表人或负责人或实际控制人是直系血亲关系</w:t>
      </w:r>
    </w:p>
    <w:p w14:paraId="6D4C403B">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D．法定代表人或负责人或实际控制人存在三代以内旁系血亲关系</w:t>
      </w:r>
    </w:p>
    <w:p w14:paraId="21490847">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E．法定代表人或负责人或实际控制人存在近姻亲关系</w:t>
      </w:r>
    </w:p>
    <w:p w14:paraId="09CF62CA">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F．法定代表人或负责人或实际控制人存在股份控制或实际控制关系</w:t>
      </w:r>
    </w:p>
    <w:p w14:paraId="740D8E6F">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G．存在共同直接或间接投资设立子公司、联营企业和合营企业情况</w:t>
      </w:r>
    </w:p>
    <w:p w14:paraId="471E3B39">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H．存在分级代理或代销关系、同一生产制造商关系、管理关系、重要业务（占主营业务收入 50 ％以上）或重要财务往来关系（如融资）等其他实质性控制关系</w:t>
      </w:r>
    </w:p>
    <w:p w14:paraId="6DD2E022">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I．其他利害关系情况 ________________________________________。</w:t>
      </w:r>
    </w:p>
    <w:p w14:paraId="4DED5DCE">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三、现已清楚知道并严格遵守政府采购法律法规和现场纪律。</w:t>
      </w:r>
    </w:p>
    <w:p w14:paraId="26347F94">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四、我发现 ____________________供应商之间存在或可能存在上述第二条第 ____________项利害关系。</w:t>
      </w:r>
    </w:p>
    <w:p w14:paraId="470F1F24">
      <w:pPr>
        <w:snapToGrid w:val="0"/>
        <w:spacing w:before="120" w:beforeLines="50" w:after="50"/>
        <w:ind w:firstLine="420"/>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（供应商代表签名）:</w:t>
      </w:r>
    </w:p>
    <w:p w14:paraId="2A2A81C5">
      <w:pPr>
        <w:snapToGrid w:val="0"/>
        <w:spacing w:before="120" w:beforeLines="50" w:after="50"/>
        <w:ind w:firstLine="420"/>
        <w:jc w:val="right"/>
        <w:rPr>
          <w:rFonts w:hint="eastAsia" w:ascii="微软雅黑" w:hAnsi="微软雅黑" w:eastAsia="微软雅黑" w:cs="微软雅黑"/>
          <w:b/>
          <w:kern w:val="0"/>
          <w:szCs w:val="21"/>
          <w:highlight w:val="none"/>
        </w:rPr>
      </w:pPr>
      <w:r>
        <w:rPr>
          <w:rFonts w:hint="eastAsia" w:ascii="微软雅黑" w:hAnsi="微软雅黑" w:eastAsia="微软雅黑" w:cs="微软雅黑"/>
          <w:szCs w:val="21"/>
          <w:highlight w:val="none"/>
        </w:rPr>
        <w:t xml:space="preserve">    年  月  日</w:t>
      </w:r>
    </w:p>
    <w:p w14:paraId="627EAB25">
      <w:pPr>
        <w:ind w:firstLine="420"/>
        <w:jc w:val="center"/>
        <w:rPr>
          <w:rFonts w:hint="eastAsia" w:ascii="微软雅黑" w:hAnsi="微软雅黑" w:eastAsia="微软雅黑" w:cs="微软雅黑"/>
          <w:b/>
          <w:kern w:val="0"/>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E7399A">
      <w:pPr>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四、符合性审查资料</w:t>
      </w:r>
    </w:p>
    <w:tbl>
      <w:tblPr>
        <w:tblStyle w:val="53"/>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551"/>
        <w:gridCol w:w="2006"/>
      </w:tblGrid>
      <w:tr w14:paraId="4FEB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99BCC8">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序号</w:t>
            </w:r>
          </w:p>
        </w:tc>
        <w:tc>
          <w:tcPr>
            <w:tcW w:w="4140" w:type="dxa"/>
            <w:vAlign w:val="center"/>
          </w:tcPr>
          <w:p w14:paraId="54EC3DF7">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实质性要求</w:t>
            </w:r>
          </w:p>
        </w:tc>
        <w:tc>
          <w:tcPr>
            <w:tcW w:w="2551" w:type="dxa"/>
            <w:vAlign w:val="center"/>
          </w:tcPr>
          <w:p w14:paraId="0612099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需要提供的符合性审查资料</w:t>
            </w:r>
          </w:p>
        </w:tc>
        <w:tc>
          <w:tcPr>
            <w:tcW w:w="2006" w:type="dxa"/>
            <w:vAlign w:val="center"/>
          </w:tcPr>
          <w:p w14:paraId="7D05DB89">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响应文件中的</w:t>
            </w:r>
          </w:p>
          <w:p w14:paraId="64C40B2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页码位置</w:t>
            </w:r>
          </w:p>
        </w:tc>
      </w:tr>
      <w:tr w14:paraId="282C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14F086">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4140" w:type="dxa"/>
          </w:tcPr>
          <w:p w14:paraId="005C2052">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响应文件按照磋商文件要求签署、盖章。</w:t>
            </w:r>
          </w:p>
        </w:tc>
        <w:tc>
          <w:tcPr>
            <w:tcW w:w="2551" w:type="dxa"/>
            <w:vAlign w:val="center"/>
          </w:tcPr>
          <w:p w14:paraId="6950A2E2">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需要使用电子签名或者签字盖章的响应文件的组成部分</w:t>
            </w:r>
          </w:p>
        </w:tc>
        <w:tc>
          <w:tcPr>
            <w:tcW w:w="2006" w:type="dxa"/>
          </w:tcPr>
          <w:p w14:paraId="5585A1AD">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见响应文件</w:t>
            </w:r>
          </w:p>
          <w:p w14:paraId="02984F74">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第</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页</w:t>
            </w:r>
          </w:p>
        </w:tc>
      </w:tr>
      <w:tr w14:paraId="7E5E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992E5">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4140" w:type="dxa"/>
          </w:tcPr>
          <w:p w14:paraId="67E554DF">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响应文件中承诺的投标有效期不少于磋商文件中载明的投标有效期。</w:t>
            </w:r>
          </w:p>
        </w:tc>
        <w:tc>
          <w:tcPr>
            <w:tcW w:w="2551" w:type="dxa"/>
            <w:vAlign w:val="center"/>
          </w:tcPr>
          <w:p w14:paraId="63F5EE9D">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投标函</w:t>
            </w:r>
          </w:p>
        </w:tc>
        <w:tc>
          <w:tcPr>
            <w:tcW w:w="2006" w:type="dxa"/>
          </w:tcPr>
          <w:p w14:paraId="6CCFE3AF">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见响应文件第</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页</w:t>
            </w:r>
          </w:p>
        </w:tc>
      </w:tr>
      <w:tr w14:paraId="0DDE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D05E21">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4140" w:type="dxa"/>
          </w:tcPr>
          <w:p w14:paraId="24B7E099">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响应文件满足磋商文件的其它实质性要求。</w:t>
            </w:r>
          </w:p>
        </w:tc>
        <w:tc>
          <w:tcPr>
            <w:tcW w:w="2551" w:type="dxa"/>
            <w:vAlign w:val="center"/>
          </w:tcPr>
          <w:p w14:paraId="3D30016F">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磋商文件其它实质性要求相应的材料（“▲” 系指实质性要求条款，磋商文件无其它实质性要求的，无需提供）</w:t>
            </w:r>
          </w:p>
        </w:tc>
        <w:tc>
          <w:tcPr>
            <w:tcW w:w="2006" w:type="dxa"/>
          </w:tcPr>
          <w:p w14:paraId="75B3CD79">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见响应文件第</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页</w:t>
            </w:r>
          </w:p>
        </w:tc>
      </w:tr>
    </w:tbl>
    <w:p w14:paraId="2CCB8A0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177C2988">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11521635">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152AB3E4">
      <w:pPr>
        <w:ind w:firstLine="640"/>
        <w:jc w:val="both"/>
        <w:rPr>
          <w:rFonts w:hint="eastAsia" w:ascii="微软雅黑" w:hAnsi="微软雅黑" w:eastAsia="微软雅黑" w:cs="微软雅黑"/>
          <w:b/>
          <w:kern w:val="0"/>
          <w:sz w:val="32"/>
          <w:szCs w:val="32"/>
          <w:highlight w:val="none"/>
        </w:rPr>
      </w:pPr>
      <w:r>
        <w:rPr>
          <w:rFonts w:hint="eastAsia" w:ascii="微软雅黑" w:hAnsi="微软雅黑" w:eastAsia="微软雅黑" w:cs="微软雅黑"/>
          <w:b/>
          <w:kern w:val="0"/>
          <w:sz w:val="32"/>
          <w:szCs w:val="32"/>
          <w:highlight w:val="none"/>
        </w:rPr>
        <w:t xml:space="preserve">            </w:t>
      </w:r>
    </w:p>
    <w:p w14:paraId="790B9586">
      <w:pPr>
        <w:ind w:firstLine="640"/>
        <w:jc w:val="center"/>
        <w:rPr>
          <w:rFonts w:hint="eastAsia" w:ascii="微软雅黑" w:hAnsi="微软雅黑" w:eastAsia="微软雅黑" w:cs="微软雅黑"/>
          <w:b/>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F419A9">
      <w:pPr>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五、评分对应表</w:t>
      </w:r>
    </w:p>
    <w:tbl>
      <w:tblPr>
        <w:tblStyle w:val="53"/>
        <w:tblW w:w="94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26"/>
        <w:gridCol w:w="2622"/>
        <w:gridCol w:w="2478"/>
      </w:tblGrid>
      <w:tr w14:paraId="09EBB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326" w:type="dxa"/>
            <w:tcBorders>
              <w:top w:val="single" w:color="auto" w:sz="4" w:space="0"/>
              <w:left w:val="single" w:color="auto" w:sz="4" w:space="0"/>
              <w:bottom w:val="single" w:color="auto" w:sz="4" w:space="0"/>
              <w:right w:val="single" w:color="auto" w:sz="4" w:space="0"/>
            </w:tcBorders>
            <w:vAlign w:val="center"/>
          </w:tcPr>
          <w:p w14:paraId="66893FAF">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评分项目</w:t>
            </w:r>
          </w:p>
        </w:tc>
        <w:tc>
          <w:tcPr>
            <w:tcW w:w="2622" w:type="dxa"/>
            <w:tcBorders>
              <w:top w:val="single" w:color="auto" w:sz="4" w:space="0"/>
              <w:left w:val="single" w:color="auto" w:sz="4" w:space="0"/>
              <w:bottom w:val="single" w:color="auto" w:sz="4" w:space="0"/>
              <w:right w:val="single" w:color="auto" w:sz="4" w:space="0"/>
            </w:tcBorders>
            <w:vAlign w:val="center"/>
          </w:tcPr>
          <w:p w14:paraId="3A5D0DDE">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响应文件对应资料</w:t>
            </w:r>
          </w:p>
        </w:tc>
        <w:tc>
          <w:tcPr>
            <w:tcW w:w="2478" w:type="dxa"/>
            <w:tcBorders>
              <w:top w:val="single" w:color="auto" w:sz="4" w:space="0"/>
              <w:left w:val="single" w:color="auto" w:sz="4" w:space="0"/>
              <w:bottom w:val="single" w:color="auto" w:sz="4" w:space="0"/>
              <w:right w:val="single" w:color="auto" w:sz="4" w:space="0"/>
            </w:tcBorders>
            <w:vAlign w:val="center"/>
          </w:tcPr>
          <w:p w14:paraId="1EE9C9B4">
            <w:pPr>
              <w:snapToGrid w:val="0"/>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响应文件中的页码位置</w:t>
            </w:r>
          </w:p>
        </w:tc>
      </w:tr>
      <w:tr w14:paraId="608E2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342CEB23">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对应第四章评分办法及评分标准（报价除外）</w:t>
            </w:r>
          </w:p>
        </w:tc>
        <w:tc>
          <w:tcPr>
            <w:tcW w:w="2622" w:type="dxa"/>
            <w:tcBorders>
              <w:top w:val="single" w:color="auto" w:sz="4" w:space="0"/>
              <w:left w:val="single" w:color="auto" w:sz="4" w:space="0"/>
              <w:bottom w:val="single" w:color="auto" w:sz="4" w:space="0"/>
              <w:right w:val="single" w:color="auto" w:sz="4" w:space="0"/>
            </w:tcBorders>
          </w:tcPr>
          <w:p w14:paraId="3A4573BC">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1575BADB">
            <w:pPr>
              <w:snapToGrid w:val="0"/>
              <w:ind w:firstLine="0" w:firstLineChars="0"/>
              <w:rPr>
                <w:rFonts w:hint="eastAsia" w:ascii="微软雅黑" w:hAnsi="微软雅黑" w:eastAsia="微软雅黑" w:cs="微软雅黑"/>
                <w:szCs w:val="21"/>
                <w:highlight w:val="none"/>
              </w:rPr>
            </w:pPr>
          </w:p>
        </w:tc>
      </w:tr>
      <w:tr w14:paraId="0D62C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48C58708">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622" w:type="dxa"/>
            <w:tcBorders>
              <w:top w:val="single" w:color="auto" w:sz="4" w:space="0"/>
              <w:left w:val="single" w:color="auto" w:sz="4" w:space="0"/>
              <w:bottom w:val="single" w:color="auto" w:sz="4" w:space="0"/>
              <w:right w:val="single" w:color="auto" w:sz="4" w:space="0"/>
            </w:tcBorders>
          </w:tcPr>
          <w:p w14:paraId="5CDA23CF">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379C973D">
            <w:pPr>
              <w:snapToGrid w:val="0"/>
              <w:ind w:firstLine="0" w:firstLineChars="0"/>
              <w:rPr>
                <w:rFonts w:hint="eastAsia" w:ascii="微软雅黑" w:hAnsi="微软雅黑" w:eastAsia="微软雅黑" w:cs="微软雅黑"/>
                <w:szCs w:val="21"/>
                <w:highlight w:val="none"/>
              </w:rPr>
            </w:pPr>
          </w:p>
        </w:tc>
      </w:tr>
      <w:tr w14:paraId="62B26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22685AFA">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1876FD0B">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27D648C5">
            <w:pPr>
              <w:snapToGrid w:val="0"/>
              <w:ind w:firstLine="0" w:firstLineChars="0"/>
              <w:rPr>
                <w:rFonts w:hint="eastAsia" w:ascii="微软雅黑" w:hAnsi="微软雅黑" w:eastAsia="微软雅黑" w:cs="微软雅黑"/>
                <w:szCs w:val="21"/>
                <w:highlight w:val="none"/>
              </w:rPr>
            </w:pPr>
          </w:p>
        </w:tc>
      </w:tr>
      <w:tr w14:paraId="40544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083D1B1">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0C106100">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6B65ED7A">
            <w:pPr>
              <w:snapToGrid w:val="0"/>
              <w:ind w:firstLine="0" w:firstLineChars="0"/>
              <w:rPr>
                <w:rFonts w:hint="eastAsia" w:ascii="微软雅黑" w:hAnsi="微软雅黑" w:eastAsia="微软雅黑" w:cs="微软雅黑"/>
                <w:szCs w:val="21"/>
                <w:highlight w:val="none"/>
              </w:rPr>
            </w:pPr>
          </w:p>
        </w:tc>
      </w:tr>
      <w:tr w14:paraId="4AE5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D6DE32F">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7BB1759C">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61F9E578">
            <w:pPr>
              <w:snapToGrid w:val="0"/>
              <w:ind w:firstLine="0" w:firstLineChars="0"/>
              <w:rPr>
                <w:rFonts w:hint="eastAsia" w:ascii="微软雅黑" w:hAnsi="微软雅黑" w:eastAsia="微软雅黑" w:cs="微软雅黑"/>
                <w:szCs w:val="21"/>
                <w:highlight w:val="none"/>
              </w:rPr>
            </w:pPr>
          </w:p>
        </w:tc>
      </w:tr>
      <w:tr w14:paraId="139FF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5220005F">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30BB189A">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14AB887E">
            <w:pPr>
              <w:snapToGrid w:val="0"/>
              <w:ind w:firstLine="0" w:firstLineChars="0"/>
              <w:rPr>
                <w:rFonts w:hint="eastAsia" w:ascii="微软雅黑" w:hAnsi="微软雅黑" w:eastAsia="微软雅黑" w:cs="微软雅黑"/>
                <w:szCs w:val="21"/>
                <w:highlight w:val="none"/>
              </w:rPr>
            </w:pPr>
          </w:p>
        </w:tc>
      </w:tr>
      <w:tr w14:paraId="3174B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A6A6170">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5E29013E">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66219597">
            <w:pPr>
              <w:snapToGrid w:val="0"/>
              <w:ind w:firstLine="0" w:firstLineChars="0"/>
              <w:rPr>
                <w:rFonts w:hint="eastAsia" w:ascii="微软雅黑" w:hAnsi="微软雅黑" w:eastAsia="微软雅黑" w:cs="微软雅黑"/>
                <w:szCs w:val="21"/>
                <w:highlight w:val="none"/>
              </w:rPr>
            </w:pPr>
          </w:p>
        </w:tc>
      </w:tr>
      <w:tr w14:paraId="6B719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664B765F">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78090129">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0C7E7C42">
            <w:pPr>
              <w:snapToGrid w:val="0"/>
              <w:ind w:firstLine="0" w:firstLineChars="0"/>
              <w:rPr>
                <w:rFonts w:hint="eastAsia" w:ascii="微软雅黑" w:hAnsi="微软雅黑" w:eastAsia="微软雅黑" w:cs="微软雅黑"/>
                <w:szCs w:val="21"/>
                <w:highlight w:val="none"/>
              </w:rPr>
            </w:pPr>
          </w:p>
        </w:tc>
      </w:tr>
      <w:tr w14:paraId="137E1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F6AC3E6">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3DEA482A">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5FDF459A">
            <w:pPr>
              <w:snapToGrid w:val="0"/>
              <w:ind w:firstLine="0" w:firstLineChars="0"/>
              <w:rPr>
                <w:rFonts w:hint="eastAsia" w:ascii="微软雅黑" w:hAnsi="微软雅黑" w:eastAsia="微软雅黑" w:cs="微软雅黑"/>
                <w:szCs w:val="21"/>
                <w:highlight w:val="none"/>
              </w:rPr>
            </w:pPr>
          </w:p>
        </w:tc>
      </w:tr>
    </w:tbl>
    <w:p w14:paraId="67392D6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1790F0D1">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E732E36">
      <w:pPr>
        <w:pStyle w:val="121"/>
        <w:ind w:firstLine="420"/>
        <w:jc w:val="center"/>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sz w:val="21"/>
          <w:szCs w:val="21"/>
          <w:highlight w:val="none"/>
        </w:rPr>
        <w:t xml:space="preserve">          日期： 年 月 日</w:t>
      </w:r>
    </w:p>
    <w:p w14:paraId="13C08E82">
      <w:pPr>
        <w:ind w:firstLine="420"/>
        <w:jc w:val="center"/>
        <w:rPr>
          <w:rFonts w:hint="eastAsia" w:ascii="微软雅黑" w:hAnsi="微软雅黑" w:eastAsia="微软雅黑" w:cs="微软雅黑"/>
          <w:b/>
          <w:kern w:val="0"/>
          <w:szCs w:val="21"/>
          <w:highlight w:val="none"/>
        </w:rPr>
      </w:pPr>
    </w:p>
    <w:p w14:paraId="4183A39E">
      <w:pPr>
        <w:ind w:firstLine="420"/>
        <w:jc w:val="center"/>
        <w:rPr>
          <w:rFonts w:hint="eastAsia" w:ascii="微软雅黑" w:hAnsi="微软雅黑" w:eastAsia="微软雅黑" w:cs="微软雅黑"/>
          <w:b/>
          <w:kern w:val="0"/>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B6CAB25">
      <w:pPr>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b/>
          <w:kern w:val="0"/>
          <w:szCs w:val="21"/>
          <w:highlight w:val="none"/>
        </w:rPr>
        <w:t>六、评标标准相应的商务技术资料</w:t>
      </w:r>
    </w:p>
    <w:p w14:paraId="72EE955C">
      <w:pPr>
        <w:widowControl/>
        <w:ind w:firstLine="560"/>
        <w:rPr>
          <w:rFonts w:hint="eastAsia" w:ascii="微软雅黑" w:hAnsi="微软雅黑" w:eastAsia="微软雅黑" w:cs="微软雅黑"/>
          <w:b/>
          <w:bCs/>
          <w:sz w:val="28"/>
          <w:szCs w:val="28"/>
          <w:highlight w:val="none"/>
          <w:shd w:val="pct10" w:color="auto" w:fill="FFFFFF"/>
        </w:rPr>
      </w:pPr>
      <w:r>
        <w:rPr>
          <w:rFonts w:hint="eastAsia" w:ascii="微软雅黑" w:hAnsi="微软雅黑" w:eastAsia="微软雅黑" w:cs="微软雅黑"/>
          <w:b/>
          <w:bCs/>
          <w:kern w:val="0"/>
          <w:sz w:val="28"/>
          <w:szCs w:val="28"/>
          <w:highlight w:val="none"/>
          <w:shd w:val="pct10" w:color="auto" w:fill="FFFFFF"/>
          <w:lang w:bidi="ar"/>
        </w:rPr>
        <w:t>（根据采购需求、评标办法及标准要求，各供应商自行选取提供，除以下响应文件格式外相关资料由供应商自拟。）</w:t>
      </w:r>
    </w:p>
    <w:p w14:paraId="45E4F257">
      <w:pPr>
        <w:pStyle w:val="121"/>
        <w:jc w:val="both"/>
        <w:rPr>
          <w:rFonts w:hint="eastAsia" w:ascii="微软雅黑" w:hAnsi="微软雅黑" w:eastAsia="微软雅黑" w:cs="微软雅黑"/>
          <w:b/>
          <w:sz w:val="24"/>
          <w:szCs w:val="24"/>
          <w:highlight w:val="none"/>
        </w:rPr>
      </w:pPr>
    </w:p>
    <w:p w14:paraId="7B31E09F">
      <w:pPr>
        <w:pStyle w:val="121"/>
        <w:ind w:firstLine="420"/>
        <w:jc w:val="both"/>
        <w:rPr>
          <w:rFonts w:hint="eastAsia" w:ascii="微软雅黑" w:hAnsi="微软雅黑" w:eastAsia="微软雅黑" w:cs="微软雅黑"/>
          <w:sz w:val="21"/>
          <w:szCs w:val="21"/>
          <w:highlight w:val="none"/>
        </w:rPr>
      </w:pPr>
      <w:r>
        <w:rPr>
          <w:rFonts w:hint="eastAsia" w:ascii="微软雅黑" w:hAnsi="微软雅黑" w:eastAsia="微软雅黑" w:cs="微软雅黑"/>
          <w:b/>
          <w:sz w:val="21"/>
          <w:szCs w:val="21"/>
          <w:highlight w:val="none"/>
        </w:rPr>
        <w:t>1.同类项目业绩一览表</w:t>
      </w:r>
    </w:p>
    <w:p w14:paraId="43833EFB">
      <w:pPr>
        <w:pStyle w:val="121"/>
        <w:ind w:firstLine="420"/>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同类项目业绩一览表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0B28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1D13E98B">
            <w:pPr>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序号</w:t>
            </w:r>
          </w:p>
        </w:tc>
        <w:tc>
          <w:tcPr>
            <w:tcW w:w="1578" w:type="dxa"/>
            <w:vAlign w:val="center"/>
          </w:tcPr>
          <w:p w14:paraId="1FF3427B">
            <w:pPr>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采购人</w:t>
            </w:r>
          </w:p>
          <w:p w14:paraId="524A1903">
            <w:pPr>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名  称</w:t>
            </w:r>
          </w:p>
        </w:tc>
        <w:tc>
          <w:tcPr>
            <w:tcW w:w="2003" w:type="dxa"/>
            <w:vAlign w:val="center"/>
          </w:tcPr>
          <w:p w14:paraId="7FAE67FF">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tc>
        <w:tc>
          <w:tcPr>
            <w:tcW w:w="1798" w:type="dxa"/>
            <w:vAlign w:val="center"/>
          </w:tcPr>
          <w:p w14:paraId="60D88EA8">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项目起止时间</w:t>
            </w:r>
          </w:p>
        </w:tc>
        <w:tc>
          <w:tcPr>
            <w:tcW w:w="1291" w:type="dxa"/>
            <w:vAlign w:val="center"/>
          </w:tcPr>
          <w:p w14:paraId="6EE5A7F5">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合同金额</w:t>
            </w:r>
          </w:p>
          <w:p w14:paraId="7B69558A">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（万元）</w:t>
            </w:r>
          </w:p>
        </w:tc>
        <w:tc>
          <w:tcPr>
            <w:tcW w:w="2193" w:type="dxa"/>
            <w:vAlign w:val="center"/>
          </w:tcPr>
          <w:p w14:paraId="130392EF">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采购人联系人及联系电话</w:t>
            </w:r>
          </w:p>
        </w:tc>
      </w:tr>
      <w:tr w14:paraId="6DE2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30D35005">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1578" w:type="dxa"/>
            <w:vAlign w:val="center"/>
          </w:tcPr>
          <w:p w14:paraId="35B1ABE7">
            <w:pPr>
              <w:ind w:firstLine="0" w:firstLineChars="0"/>
              <w:jc w:val="center"/>
              <w:rPr>
                <w:rFonts w:hint="eastAsia" w:ascii="微软雅黑" w:hAnsi="微软雅黑" w:eastAsia="微软雅黑" w:cs="微软雅黑"/>
                <w:szCs w:val="21"/>
                <w:highlight w:val="none"/>
              </w:rPr>
            </w:pPr>
          </w:p>
        </w:tc>
        <w:tc>
          <w:tcPr>
            <w:tcW w:w="2003" w:type="dxa"/>
          </w:tcPr>
          <w:p w14:paraId="7C1C9FD2">
            <w:pPr>
              <w:ind w:firstLine="0" w:firstLineChars="0"/>
              <w:jc w:val="center"/>
              <w:rPr>
                <w:rFonts w:hint="eastAsia" w:ascii="微软雅黑" w:hAnsi="微软雅黑" w:eastAsia="微软雅黑" w:cs="微软雅黑"/>
                <w:szCs w:val="21"/>
                <w:highlight w:val="none"/>
              </w:rPr>
            </w:pPr>
          </w:p>
        </w:tc>
        <w:tc>
          <w:tcPr>
            <w:tcW w:w="1798" w:type="dxa"/>
          </w:tcPr>
          <w:p w14:paraId="712C327F">
            <w:pPr>
              <w:ind w:firstLine="0" w:firstLineChars="0"/>
              <w:jc w:val="center"/>
              <w:rPr>
                <w:rFonts w:hint="eastAsia" w:ascii="微软雅黑" w:hAnsi="微软雅黑" w:eastAsia="微软雅黑" w:cs="微软雅黑"/>
                <w:szCs w:val="21"/>
                <w:highlight w:val="none"/>
              </w:rPr>
            </w:pPr>
          </w:p>
        </w:tc>
        <w:tc>
          <w:tcPr>
            <w:tcW w:w="1291" w:type="dxa"/>
            <w:vAlign w:val="center"/>
          </w:tcPr>
          <w:p w14:paraId="479A320A">
            <w:pPr>
              <w:ind w:firstLine="0" w:firstLineChars="0"/>
              <w:jc w:val="center"/>
              <w:rPr>
                <w:rFonts w:hint="eastAsia" w:ascii="微软雅黑" w:hAnsi="微软雅黑" w:eastAsia="微软雅黑" w:cs="微软雅黑"/>
                <w:szCs w:val="21"/>
                <w:highlight w:val="none"/>
              </w:rPr>
            </w:pPr>
          </w:p>
        </w:tc>
        <w:tc>
          <w:tcPr>
            <w:tcW w:w="2193" w:type="dxa"/>
            <w:vAlign w:val="center"/>
          </w:tcPr>
          <w:p w14:paraId="017E85E0">
            <w:pPr>
              <w:ind w:firstLine="0" w:firstLineChars="0"/>
              <w:jc w:val="center"/>
              <w:rPr>
                <w:rFonts w:hint="eastAsia" w:ascii="微软雅黑" w:hAnsi="微软雅黑" w:eastAsia="微软雅黑" w:cs="微软雅黑"/>
                <w:szCs w:val="21"/>
                <w:highlight w:val="none"/>
              </w:rPr>
            </w:pPr>
          </w:p>
        </w:tc>
      </w:tr>
      <w:tr w14:paraId="5B21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264E5862">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1578" w:type="dxa"/>
            <w:vAlign w:val="center"/>
          </w:tcPr>
          <w:p w14:paraId="26A16711">
            <w:pPr>
              <w:ind w:firstLine="0" w:firstLineChars="0"/>
              <w:jc w:val="center"/>
              <w:rPr>
                <w:rFonts w:hint="eastAsia" w:ascii="微软雅黑" w:hAnsi="微软雅黑" w:eastAsia="微软雅黑" w:cs="微软雅黑"/>
                <w:szCs w:val="21"/>
                <w:highlight w:val="none"/>
              </w:rPr>
            </w:pPr>
          </w:p>
        </w:tc>
        <w:tc>
          <w:tcPr>
            <w:tcW w:w="2003" w:type="dxa"/>
          </w:tcPr>
          <w:p w14:paraId="18FBCB3F">
            <w:pPr>
              <w:ind w:firstLine="0" w:firstLineChars="0"/>
              <w:jc w:val="center"/>
              <w:rPr>
                <w:rFonts w:hint="eastAsia" w:ascii="微软雅黑" w:hAnsi="微软雅黑" w:eastAsia="微软雅黑" w:cs="微软雅黑"/>
                <w:szCs w:val="21"/>
                <w:highlight w:val="none"/>
              </w:rPr>
            </w:pPr>
          </w:p>
        </w:tc>
        <w:tc>
          <w:tcPr>
            <w:tcW w:w="1798" w:type="dxa"/>
          </w:tcPr>
          <w:p w14:paraId="0EB10216">
            <w:pPr>
              <w:ind w:firstLine="0" w:firstLineChars="0"/>
              <w:jc w:val="center"/>
              <w:rPr>
                <w:rFonts w:hint="eastAsia" w:ascii="微软雅黑" w:hAnsi="微软雅黑" w:eastAsia="微软雅黑" w:cs="微软雅黑"/>
                <w:szCs w:val="21"/>
                <w:highlight w:val="none"/>
              </w:rPr>
            </w:pPr>
          </w:p>
        </w:tc>
        <w:tc>
          <w:tcPr>
            <w:tcW w:w="1291" w:type="dxa"/>
            <w:vAlign w:val="center"/>
          </w:tcPr>
          <w:p w14:paraId="37A9C36F">
            <w:pPr>
              <w:ind w:firstLine="0" w:firstLineChars="0"/>
              <w:jc w:val="center"/>
              <w:rPr>
                <w:rFonts w:hint="eastAsia" w:ascii="微软雅黑" w:hAnsi="微软雅黑" w:eastAsia="微软雅黑" w:cs="微软雅黑"/>
                <w:szCs w:val="21"/>
                <w:highlight w:val="none"/>
              </w:rPr>
            </w:pPr>
          </w:p>
        </w:tc>
        <w:tc>
          <w:tcPr>
            <w:tcW w:w="2193" w:type="dxa"/>
            <w:vAlign w:val="center"/>
          </w:tcPr>
          <w:p w14:paraId="06BB5112">
            <w:pPr>
              <w:ind w:firstLine="0" w:firstLineChars="0"/>
              <w:jc w:val="center"/>
              <w:rPr>
                <w:rFonts w:hint="eastAsia" w:ascii="微软雅黑" w:hAnsi="微软雅黑" w:eastAsia="微软雅黑" w:cs="微软雅黑"/>
                <w:szCs w:val="21"/>
                <w:highlight w:val="none"/>
              </w:rPr>
            </w:pPr>
          </w:p>
        </w:tc>
      </w:tr>
      <w:tr w14:paraId="10C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39F145EA">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578" w:type="dxa"/>
            <w:vAlign w:val="center"/>
          </w:tcPr>
          <w:p w14:paraId="7813E5BD">
            <w:pPr>
              <w:ind w:firstLine="0" w:firstLineChars="0"/>
              <w:jc w:val="center"/>
              <w:rPr>
                <w:rFonts w:hint="eastAsia" w:ascii="微软雅黑" w:hAnsi="微软雅黑" w:eastAsia="微软雅黑" w:cs="微软雅黑"/>
                <w:szCs w:val="21"/>
                <w:highlight w:val="none"/>
              </w:rPr>
            </w:pPr>
          </w:p>
        </w:tc>
        <w:tc>
          <w:tcPr>
            <w:tcW w:w="2003" w:type="dxa"/>
          </w:tcPr>
          <w:p w14:paraId="2E618BA8">
            <w:pPr>
              <w:ind w:firstLine="0" w:firstLineChars="0"/>
              <w:jc w:val="center"/>
              <w:rPr>
                <w:rFonts w:hint="eastAsia" w:ascii="微软雅黑" w:hAnsi="微软雅黑" w:eastAsia="微软雅黑" w:cs="微软雅黑"/>
                <w:szCs w:val="21"/>
                <w:highlight w:val="none"/>
              </w:rPr>
            </w:pPr>
          </w:p>
        </w:tc>
        <w:tc>
          <w:tcPr>
            <w:tcW w:w="1798" w:type="dxa"/>
          </w:tcPr>
          <w:p w14:paraId="6F377994">
            <w:pPr>
              <w:ind w:firstLine="0" w:firstLineChars="0"/>
              <w:jc w:val="center"/>
              <w:rPr>
                <w:rFonts w:hint="eastAsia" w:ascii="微软雅黑" w:hAnsi="微软雅黑" w:eastAsia="微软雅黑" w:cs="微软雅黑"/>
                <w:szCs w:val="21"/>
                <w:highlight w:val="none"/>
              </w:rPr>
            </w:pPr>
          </w:p>
        </w:tc>
        <w:tc>
          <w:tcPr>
            <w:tcW w:w="1291" w:type="dxa"/>
            <w:vAlign w:val="center"/>
          </w:tcPr>
          <w:p w14:paraId="3E4022E5">
            <w:pPr>
              <w:ind w:firstLine="0" w:firstLineChars="0"/>
              <w:jc w:val="center"/>
              <w:rPr>
                <w:rFonts w:hint="eastAsia" w:ascii="微软雅黑" w:hAnsi="微软雅黑" w:eastAsia="微软雅黑" w:cs="微软雅黑"/>
                <w:szCs w:val="21"/>
                <w:highlight w:val="none"/>
              </w:rPr>
            </w:pPr>
          </w:p>
        </w:tc>
        <w:tc>
          <w:tcPr>
            <w:tcW w:w="2193" w:type="dxa"/>
            <w:vAlign w:val="center"/>
          </w:tcPr>
          <w:p w14:paraId="3D87760C">
            <w:pPr>
              <w:ind w:firstLine="0" w:firstLineChars="0"/>
              <w:jc w:val="center"/>
              <w:rPr>
                <w:rFonts w:hint="eastAsia" w:ascii="微软雅黑" w:hAnsi="微软雅黑" w:eastAsia="微软雅黑" w:cs="微软雅黑"/>
                <w:szCs w:val="21"/>
                <w:highlight w:val="none"/>
              </w:rPr>
            </w:pPr>
          </w:p>
        </w:tc>
      </w:tr>
    </w:tbl>
    <w:p w14:paraId="74682E05">
      <w:pPr>
        <w:pStyle w:val="121"/>
        <w:ind w:firstLine="420"/>
        <w:jc w:val="center"/>
        <w:rPr>
          <w:rFonts w:hint="eastAsia" w:ascii="微软雅黑" w:hAnsi="微软雅黑" w:eastAsia="微软雅黑" w:cs="微软雅黑"/>
          <w:b/>
          <w:sz w:val="21"/>
          <w:szCs w:val="21"/>
          <w:highlight w:val="none"/>
        </w:rPr>
      </w:pPr>
    </w:p>
    <w:p w14:paraId="5BBA6C34">
      <w:pPr>
        <w:snapToGrid w:val="0"/>
        <w:spacing w:before="120" w:beforeLines="50"/>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注：</w:t>
      </w:r>
      <w:r>
        <w:rPr>
          <w:rFonts w:hint="eastAsia" w:ascii="微软雅黑" w:hAnsi="微软雅黑" w:eastAsia="微软雅黑" w:cs="微软雅黑"/>
          <w:szCs w:val="21"/>
          <w:highlight w:val="none"/>
        </w:rPr>
        <w:t>须同时提供合同复印件证明材料加盖公章</w:t>
      </w:r>
    </w:p>
    <w:p w14:paraId="19D5E06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3D0FB820">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211786D">
      <w:pPr>
        <w:ind w:firstLine="420"/>
        <w:rPr>
          <w:rFonts w:hint="eastAsia" w:ascii="微软雅黑" w:hAnsi="微软雅黑" w:eastAsia="微软雅黑" w:cs="微软雅黑"/>
          <w:b/>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szCs w:val="21"/>
          <w:highlight w:val="none"/>
        </w:rPr>
        <w:t xml:space="preserve">          日期： 年 月 日</w:t>
      </w:r>
    </w:p>
    <w:p w14:paraId="5FDC7671">
      <w:pPr>
        <w:rPr>
          <w:rFonts w:hint="eastAsia" w:ascii="微软雅黑" w:hAnsi="微软雅黑" w:eastAsia="微软雅黑" w:cs="微软雅黑"/>
          <w:b/>
          <w:kern w:val="0"/>
          <w:szCs w:val="21"/>
          <w:highlight w:val="none"/>
        </w:rPr>
      </w:pPr>
      <w:r>
        <w:rPr>
          <w:rFonts w:hint="eastAsia" w:ascii="微软雅黑" w:hAnsi="微软雅黑" w:eastAsia="微软雅黑" w:cs="微软雅黑"/>
          <w:b/>
          <w:sz w:val="24"/>
          <w:highlight w:val="none"/>
        </w:rPr>
        <w:t>2.</w:t>
      </w:r>
      <w:r>
        <w:rPr>
          <w:rFonts w:hint="eastAsia" w:ascii="微软雅黑" w:hAnsi="微软雅黑" w:eastAsia="微软雅黑" w:cs="微软雅黑"/>
          <w:b/>
          <w:szCs w:val="21"/>
          <w:highlight w:val="none"/>
        </w:rPr>
        <w:t>商务响应表格式：</w:t>
      </w:r>
    </w:p>
    <w:p w14:paraId="27B8A6E4">
      <w:pPr>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商务响应表</w:t>
      </w:r>
    </w:p>
    <w:tbl>
      <w:tblPr>
        <w:tblStyle w:val="53"/>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14:paraId="7F1C4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1E74A7F">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3086" w:type="dxa"/>
          </w:tcPr>
          <w:p w14:paraId="5121E9E4">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磋商文件的规定</w:t>
            </w:r>
          </w:p>
        </w:tc>
        <w:tc>
          <w:tcPr>
            <w:tcW w:w="3710" w:type="dxa"/>
          </w:tcPr>
          <w:p w14:paraId="1D169E21">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响应文件的响应</w:t>
            </w:r>
          </w:p>
        </w:tc>
        <w:tc>
          <w:tcPr>
            <w:tcW w:w="1320" w:type="dxa"/>
          </w:tcPr>
          <w:p w14:paraId="07BD2AB6">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偏离说明</w:t>
            </w:r>
          </w:p>
        </w:tc>
      </w:tr>
      <w:tr w14:paraId="4118E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C34E4B6">
            <w:pPr>
              <w:ind w:firstLine="0" w:firstLineChars="0"/>
              <w:rPr>
                <w:rFonts w:hint="eastAsia" w:ascii="微软雅黑" w:hAnsi="微软雅黑" w:eastAsia="微软雅黑" w:cs="微软雅黑"/>
                <w:szCs w:val="21"/>
                <w:highlight w:val="none"/>
              </w:rPr>
            </w:pPr>
          </w:p>
        </w:tc>
        <w:tc>
          <w:tcPr>
            <w:tcW w:w="3086" w:type="dxa"/>
          </w:tcPr>
          <w:p w14:paraId="143711A1">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服务期限</w:t>
            </w:r>
          </w:p>
        </w:tc>
        <w:tc>
          <w:tcPr>
            <w:tcW w:w="3710" w:type="dxa"/>
          </w:tcPr>
          <w:p w14:paraId="1FAC1C8A">
            <w:pPr>
              <w:ind w:firstLine="0" w:firstLineChars="0"/>
              <w:rPr>
                <w:rFonts w:hint="eastAsia" w:ascii="微软雅黑" w:hAnsi="微软雅黑" w:eastAsia="微软雅黑" w:cs="微软雅黑"/>
                <w:szCs w:val="21"/>
                <w:highlight w:val="none"/>
              </w:rPr>
            </w:pPr>
          </w:p>
        </w:tc>
        <w:tc>
          <w:tcPr>
            <w:tcW w:w="1320" w:type="dxa"/>
          </w:tcPr>
          <w:p w14:paraId="28CFA5D0">
            <w:pPr>
              <w:ind w:firstLine="0" w:firstLineChars="0"/>
              <w:rPr>
                <w:rFonts w:hint="eastAsia" w:ascii="微软雅黑" w:hAnsi="微软雅黑" w:eastAsia="微软雅黑" w:cs="微软雅黑"/>
                <w:szCs w:val="21"/>
                <w:highlight w:val="none"/>
              </w:rPr>
            </w:pPr>
          </w:p>
        </w:tc>
      </w:tr>
      <w:tr w14:paraId="66AA5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tcPr>
          <w:p w14:paraId="7292830A">
            <w:pPr>
              <w:ind w:firstLine="0" w:firstLineChars="0"/>
              <w:rPr>
                <w:rFonts w:hint="eastAsia" w:ascii="微软雅黑" w:hAnsi="微软雅黑" w:eastAsia="微软雅黑" w:cs="微软雅黑"/>
                <w:szCs w:val="21"/>
                <w:highlight w:val="none"/>
              </w:rPr>
            </w:pPr>
          </w:p>
        </w:tc>
        <w:tc>
          <w:tcPr>
            <w:tcW w:w="3086" w:type="dxa"/>
          </w:tcPr>
          <w:p w14:paraId="79BA1123">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付款方式</w:t>
            </w:r>
          </w:p>
        </w:tc>
        <w:tc>
          <w:tcPr>
            <w:tcW w:w="3710" w:type="dxa"/>
          </w:tcPr>
          <w:p w14:paraId="72306B51">
            <w:pPr>
              <w:ind w:firstLine="0" w:firstLineChars="0"/>
              <w:rPr>
                <w:rFonts w:hint="eastAsia" w:ascii="微软雅黑" w:hAnsi="微软雅黑" w:eastAsia="微软雅黑" w:cs="微软雅黑"/>
                <w:szCs w:val="21"/>
                <w:highlight w:val="none"/>
              </w:rPr>
            </w:pPr>
          </w:p>
        </w:tc>
        <w:tc>
          <w:tcPr>
            <w:tcW w:w="1320" w:type="dxa"/>
          </w:tcPr>
          <w:p w14:paraId="4691E927">
            <w:pPr>
              <w:ind w:firstLine="0" w:firstLineChars="0"/>
              <w:rPr>
                <w:rFonts w:hint="eastAsia" w:ascii="微软雅黑" w:hAnsi="微软雅黑" w:eastAsia="微软雅黑" w:cs="微软雅黑"/>
                <w:szCs w:val="21"/>
                <w:highlight w:val="none"/>
              </w:rPr>
            </w:pPr>
          </w:p>
        </w:tc>
      </w:tr>
      <w:tr w14:paraId="2CB42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3006B755">
            <w:pPr>
              <w:ind w:firstLine="0" w:firstLineChars="0"/>
              <w:rPr>
                <w:rFonts w:hint="eastAsia" w:ascii="微软雅黑" w:hAnsi="微软雅黑" w:eastAsia="微软雅黑" w:cs="微软雅黑"/>
                <w:szCs w:val="21"/>
                <w:highlight w:val="none"/>
              </w:rPr>
            </w:pPr>
          </w:p>
        </w:tc>
        <w:tc>
          <w:tcPr>
            <w:tcW w:w="3086" w:type="dxa"/>
          </w:tcPr>
          <w:p w14:paraId="0CB3F5B3">
            <w:pPr>
              <w:ind w:firstLine="0" w:firstLineChars="0"/>
              <w:rPr>
                <w:rFonts w:hint="eastAsia" w:ascii="微软雅黑" w:hAnsi="微软雅黑" w:eastAsia="微软雅黑" w:cs="微软雅黑"/>
                <w:szCs w:val="21"/>
                <w:highlight w:val="none"/>
              </w:rPr>
            </w:pPr>
          </w:p>
        </w:tc>
        <w:tc>
          <w:tcPr>
            <w:tcW w:w="3710" w:type="dxa"/>
          </w:tcPr>
          <w:p w14:paraId="6EE581E2">
            <w:pPr>
              <w:ind w:firstLine="0" w:firstLineChars="0"/>
              <w:rPr>
                <w:rFonts w:hint="eastAsia" w:ascii="微软雅黑" w:hAnsi="微软雅黑" w:eastAsia="微软雅黑" w:cs="微软雅黑"/>
                <w:szCs w:val="21"/>
                <w:highlight w:val="none"/>
              </w:rPr>
            </w:pPr>
          </w:p>
        </w:tc>
        <w:tc>
          <w:tcPr>
            <w:tcW w:w="1320" w:type="dxa"/>
          </w:tcPr>
          <w:p w14:paraId="75B49B3B">
            <w:pPr>
              <w:ind w:firstLine="0" w:firstLineChars="0"/>
              <w:rPr>
                <w:rFonts w:hint="eastAsia" w:ascii="微软雅黑" w:hAnsi="微软雅黑" w:eastAsia="微软雅黑" w:cs="微软雅黑"/>
                <w:szCs w:val="21"/>
                <w:highlight w:val="none"/>
              </w:rPr>
            </w:pPr>
          </w:p>
        </w:tc>
      </w:tr>
    </w:tbl>
    <w:p w14:paraId="168009DC">
      <w:pPr>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注：投标供应商的响应文件（除技术规格部分）与磋商文件之规定存在偏离的，应在此表中如实说明。未在上表中说明的，将被认为完全响应磋商文件的规定。</w:t>
      </w:r>
    </w:p>
    <w:p w14:paraId="4907071A">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2DA8438B">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B33EFD5">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02848B09">
      <w:pPr>
        <w:ind w:firstLine="640"/>
        <w:jc w:val="center"/>
        <w:rPr>
          <w:rFonts w:hint="eastAsia" w:ascii="微软雅黑" w:hAnsi="微软雅黑" w:eastAsia="微软雅黑" w:cs="微软雅黑"/>
          <w:b/>
          <w:kern w:val="0"/>
          <w:sz w:val="32"/>
          <w:szCs w:val="32"/>
          <w:highlight w:val="none"/>
        </w:rPr>
      </w:pPr>
    </w:p>
    <w:p w14:paraId="31D684C7">
      <w:pPr>
        <w:ind w:firstLine="640"/>
        <w:jc w:val="center"/>
        <w:rPr>
          <w:rFonts w:hint="eastAsia" w:ascii="微软雅黑" w:hAnsi="微软雅黑" w:eastAsia="微软雅黑" w:cs="微软雅黑"/>
          <w:b/>
          <w:kern w:val="0"/>
          <w:sz w:val="32"/>
          <w:szCs w:val="32"/>
          <w:highlight w:val="none"/>
        </w:rPr>
      </w:pPr>
    </w:p>
    <w:p w14:paraId="1281B728">
      <w:pPr>
        <w:snapToGrid w:val="0"/>
        <w:spacing w:before="50" w:after="120" w:afterLines="50"/>
        <w:rPr>
          <w:rFonts w:hint="eastAsia" w:ascii="微软雅黑" w:hAnsi="微软雅黑" w:eastAsia="微软雅黑" w:cs="微软雅黑"/>
          <w:b/>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B60E802">
      <w:pPr>
        <w:snapToGrid w:val="0"/>
        <w:spacing w:before="50" w:after="120" w:afterLines="50"/>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3.技术响应表格式：</w:t>
      </w:r>
    </w:p>
    <w:p w14:paraId="5FB183C5">
      <w:pPr>
        <w:snapToGrid w:val="0"/>
        <w:spacing w:before="50" w:after="120" w:after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b/>
          <w:szCs w:val="21"/>
          <w:highlight w:val="none"/>
        </w:rPr>
        <w:t>技术响应表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636"/>
      </w:tblGrid>
      <w:tr w14:paraId="70712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14:paraId="3818FDC0">
            <w:pPr>
              <w:pStyle w:val="29"/>
              <w:spacing w:after="0" w:line="360" w:lineRule="auto"/>
              <w:ind w:firstLine="0" w:firstLineChars="0"/>
              <w:rPr>
                <w:rFonts w:hint="eastAsia" w:ascii="微软雅黑" w:hAnsi="微软雅黑" w:eastAsia="微软雅黑" w:cs="微软雅黑"/>
                <w:highlight w:val="none"/>
              </w:rPr>
            </w:pPr>
            <w:bookmarkStart w:id="274" w:name="_Toc25538"/>
            <w:bookmarkStart w:id="275" w:name="_Toc13640"/>
            <w:bookmarkStart w:id="276" w:name="_Toc465368115"/>
            <w:bookmarkStart w:id="277" w:name="_Toc164943227"/>
            <w:bookmarkStart w:id="278" w:name="_Toc191238340"/>
            <w:bookmarkStart w:id="279" w:name="_Toc25932"/>
            <w:r>
              <w:rPr>
                <w:rFonts w:hint="eastAsia" w:ascii="微软雅黑" w:hAnsi="微软雅黑" w:eastAsia="微软雅黑" w:cs="微软雅黑"/>
                <w:highlight w:val="none"/>
              </w:rPr>
              <w:t>序号</w:t>
            </w:r>
            <w:bookmarkEnd w:id="274"/>
            <w:bookmarkEnd w:id="275"/>
            <w:bookmarkEnd w:id="276"/>
            <w:bookmarkEnd w:id="277"/>
            <w:bookmarkEnd w:id="278"/>
            <w:bookmarkEnd w:id="279"/>
          </w:p>
        </w:tc>
        <w:tc>
          <w:tcPr>
            <w:tcW w:w="1056" w:type="dxa"/>
            <w:tcBorders>
              <w:top w:val="single" w:color="auto" w:sz="4" w:space="0"/>
              <w:left w:val="single" w:color="auto" w:sz="4" w:space="0"/>
              <w:bottom w:val="single" w:color="auto" w:sz="4" w:space="0"/>
              <w:right w:val="single" w:color="auto" w:sz="4" w:space="0"/>
            </w:tcBorders>
          </w:tcPr>
          <w:p w14:paraId="31CB78C8">
            <w:pPr>
              <w:pStyle w:val="29"/>
              <w:spacing w:after="0" w:line="360" w:lineRule="auto"/>
              <w:ind w:firstLine="0" w:firstLineChars="0"/>
              <w:rPr>
                <w:rFonts w:hint="eastAsia" w:ascii="微软雅黑" w:hAnsi="微软雅黑" w:eastAsia="微软雅黑" w:cs="微软雅黑"/>
                <w:highlight w:val="none"/>
              </w:rPr>
            </w:pPr>
            <w:bookmarkStart w:id="280" w:name="_Toc164943228"/>
            <w:bookmarkStart w:id="281" w:name="_Toc702241305"/>
            <w:bookmarkStart w:id="282" w:name="_Toc10032"/>
            <w:bookmarkStart w:id="283" w:name="_Toc6894"/>
            <w:bookmarkStart w:id="284" w:name="_Toc26241"/>
            <w:bookmarkStart w:id="285" w:name="_Toc191238341"/>
            <w:r>
              <w:rPr>
                <w:rFonts w:hint="eastAsia" w:ascii="微软雅黑" w:hAnsi="微软雅黑" w:eastAsia="微软雅黑" w:cs="微软雅黑"/>
                <w:highlight w:val="none"/>
              </w:rPr>
              <w:t>服务</w:t>
            </w:r>
            <w:bookmarkEnd w:id="280"/>
            <w:bookmarkEnd w:id="281"/>
            <w:bookmarkEnd w:id="282"/>
            <w:bookmarkEnd w:id="283"/>
            <w:bookmarkEnd w:id="284"/>
            <w:r>
              <w:rPr>
                <w:rFonts w:hint="eastAsia" w:ascii="微软雅黑" w:hAnsi="微软雅黑" w:eastAsia="微软雅黑" w:cs="微软雅黑"/>
                <w:highlight w:val="none"/>
              </w:rPr>
              <w:t>内容</w:t>
            </w:r>
            <w:bookmarkEnd w:id="285"/>
          </w:p>
        </w:tc>
        <w:tc>
          <w:tcPr>
            <w:tcW w:w="1896" w:type="dxa"/>
            <w:tcBorders>
              <w:top w:val="single" w:color="auto" w:sz="4" w:space="0"/>
              <w:left w:val="single" w:color="auto" w:sz="4" w:space="0"/>
              <w:bottom w:val="single" w:color="auto" w:sz="4" w:space="0"/>
              <w:right w:val="single" w:color="auto" w:sz="4" w:space="0"/>
            </w:tcBorders>
          </w:tcPr>
          <w:p w14:paraId="65E555D0">
            <w:pPr>
              <w:pStyle w:val="29"/>
              <w:spacing w:after="0" w:line="360" w:lineRule="auto"/>
              <w:ind w:firstLine="0" w:firstLineChars="0"/>
              <w:rPr>
                <w:rFonts w:hint="eastAsia" w:ascii="微软雅黑" w:hAnsi="微软雅黑" w:eastAsia="微软雅黑" w:cs="微软雅黑"/>
                <w:highlight w:val="none"/>
              </w:rPr>
            </w:pPr>
            <w:bookmarkStart w:id="286" w:name="_Toc377653976"/>
            <w:bookmarkStart w:id="287" w:name="_Toc385854156"/>
            <w:bookmarkStart w:id="288" w:name="_Toc377028057"/>
            <w:bookmarkStart w:id="289" w:name="_Toc381081903"/>
            <w:bookmarkStart w:id="290" w:name="_Toc402963095"/>
            <w:bookmarkStart w:id="291" w:name="_Toc401570290"/>
            <w:bookmarkStart w:id="292" w:name="_Toc382928118"/>
            <w:bookmarkStart w:id="293" w:name="_Toc385854110"/>
            <w:bookmarkStart w:id="294" w:name="_Toc402963128"/>
            <w:bookmarkStart w:id="295" w:name="_Toc406402957"/>
            <w:bookmarkStart w:id="296" w:name="_Toc401570314"/>
            <w:bookmarkStart w:id="297" w:name="_Toc377028119"/>
            <w:bookmarkStart w:id="298" w:name="_Toc382928236"/>
            <w:bookmarkStart w:id="299" w:name="_Toc406403001"/>
            <w:bookmarkStart w:id="300" w:name="_Toc381081907"/>
            <w:bookmarkStart w:id="301" w:name="_Toc377653980"/>
            <w:bookmarkStart w:id="302" w:name="_Toc734611807"/>
            <w:bookmarkStart w:id="303" w:name="_Toc382928122"/>
            <w:bookmarkStart w:id="304" w:name="_Toc402963132"/>
            <w:bookmarkStart w:id="305" w:name="_Toc14953"/>
            <w:bookmarkStart w:id="306" w:name="_Toc382928240"/>
            <w:bookmarkStart w:id="307" w:name="_Toc385854114"/>
            <w:bookmarkStart w:id="308" w:name="_Toc401570318"/>
            <w:bookmarkStart w:id="309" w:name="_Toc406402961"/>
            <w:bookmarkStart w:id="310" w:name="_Toc406403005"/>
            <w:bookmarkStart w:id="311" w:name="_Toc377028061"/>
            <w:bookmarkStart w:id="312" w:name="_Toc401570294"/>
            <w:bookmarkStart w:id="313" w:name="_Toc402963099"/>
            <w:bookmarkStart w:id="314" w:name="_Toc25293"/>
            <w:bookmarkStart w:id="315" w:name="_Toc385854160"/>
            <w:bookmarkStart w:id="316" w:name="_Toc164943229"/>
            <w:bookmarkStart w:id="317" w:name="_Toc377028123"/>
            <w:bookmarkStart w:id="318" w:name="_Toc7704"/>
            <w:bookmarkStart w:id="319" w:name="_Toc191238342"/>
            <w:r>
              <w:rPr>
                <w:rFonts w:hint="eastAsia" w:ascii="微软雅黑" w:hAnsi="微软雅黑" w:eastAsia="微软雅黑" w:cs="微软雅黑"/>
                <w:highlight w:val="none"/>
              </w:rPr>
              <w:t>磋商文件</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hint="eastAsia" w:ascii="微软雅黑" w:hAnsi="微软雅黑" w:eastAsia="微软雅黑" w:cs="微软雅黑"/>
                <w:highlight w:val="none"/>
              </w:rPr>
              <w:t>要求</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c>
          <w:tcPr>
            <w:tcW w:w="1896" w:type="dxa"/>
            <w:tcBorders>
              <w:top w:val="single" w:color="auto" w:sz="4" w:space="0"/>
              <w:left w:val="single" w:color="auto" w:sz="4" w:space="0"/>
              <w:bottom w:val="single" w:color="auto" w:sz="4" w:space="0"/>
              <w:right w:val="single" w:color="auto" w:sz="4" w:space="0"/>
            </w:tcBorders>
          </w:tcPr>
          <w:p w14:paraId="2A19FF81">
            <w:pPr>
              <w:pStyle w:val="29"/>
              <w:spacing w:after="0" w:line="360" w:lineRule="auto"/>
              <w:ind w:firstLine="0" w:firstLineChars="0"/>
              <w:rPr>
                <w:rFonts w:hint="eastAsia" w:ascii="微软雅黑" w:hAnsi="微软雅黑" w:eastAsia="微软雅黑" w:cs="微软雅黑"/>
                <w:highlight w:val="none"/>
              </w:rPr>
            </w:pPr>
            <w:bookmarkStart w:id="320" w:name="_Toc6139"/>
            <w:bookmarkStart w:id="321" w:name="_Toc929162729"/>
            <w:bookmarkStart w:id="322" w:name="_Toc164943230"/>
            <w:bookmarkStart w:id="323" w:name="_Toc8630"/>
            <w:bookmarkStart w:id="324" w:name="_Toc18303"/>
            <w:bookmarkStart w:id="325" w:name="_Toc191238343"/>
            <w:r>
              <w:rPr>
                <w:rFonts w:hint="eastAsia" w:ascii="微软雅黑" w:hAnsi="微软雅黑" w:eastAsia="微软雅黑" w:cs="微软雅黑"/>
                <w:highlight w:val="none"/>
              </w:rPr>
              <w:t>响应文件性能指标</w:t>
            </w:r>
            <w:bookmarkEnd w:id="320"/>
            <w:bookmarkEnd w:id="321"/>
            <w:bookmarkEnd w:id="322"/>
            <w:bookmarkEnd w:id="323"/>
            <w:bookmarkEnd w:id="324"/>
            <w:bookmarkEnd w:id="325"/>
          </w:p>
        </w:tc>
        <w:tc>
          <w:tcPr>
            <w:tcW w:w="2106" w:type="dxa"/>
            <w:tcBorders>
              <w:top w:val="single" w:color="auto" w:sz="4" w:space="0"/>
              <w:left w:val="single" w:color="auto" w:sz="4" w:space="0"/>
              <w:bottom w:val="single" w:color="auto" w:sz="4" w:space="0"/>
              <w:right w:val="single" w:color="auto" w:sz="4" w:space="0"/>
            </w:tcBorders>
          </w:tcPr>
          <w:p w14:paraId="426BC3C4">
            <w:pPr>
              <w:pStyle w:val="29"/>
              <w:spacing w:after="0" w:line="360" w:lineRule="auto"/>
              <w:ind w:firstLine="0" w:firstLineChars="0"/>
              <w:rPr>
                <w:rFonts w:hint="eastAsia" w:ascii="微软雅黑" w:hAnsi="微软雅黑" w:eastAsia="微软雅黑" w:cs="微软雅黑"/>
                <w:highlight w:val="none"/>
              </w:rPr>
            </w:pPr>
            <w:bookmarkStart w:id="326" w:name="_Toc382928120"/>
            <w:bookmarkStart w:id="327" w:name="_Toc382928238"/>
            <w:bookmarkStart w:id="328" w:name="_Toc402963097"/>
            <w:bookmarkStart w:id="329" w:name="_Toc406403003"/>
            <w:bookmarkStart w:id="330" w:name="_Toc401570292"/>
            <w:bookmarkStart w:id="331" w:name="_Toc406402959"/>
            <w:bookmarkStart w:id="332" w:name="_Toc377028059"/>
            <w:bookmarkStart w:id="333" w:name="_Toc401570316"/>
            <w:bookmarkStart w:id="334" w:name="_Toc385854158"/>
            <w:bookmarkStart w:id="335" w:name="_Toc381081905"/>
            <w:bookmarkStart w:id="336" w:name="_Toc385854112"/>
            <w:bookmarkStart w:id="337" w:name="_Toc377653978"/>
            <w:bookmarkStart w:id="338" w:name="_Toc377028121"/>
            <w:bookmarkStart w:id="339" w:name="_Toc402963130"/>
            <w:bookmarkStart w:id="340" w:name="_Toc164943231"/>
            <w:bookmarkStart w:id="341" w:name="_Toc191238344"/>
            <w:bookmarkStart w:id="342" w:name="_Toc4910"/>
            <w:bookmarkStart w:id="343" w:name="_Toc961276098"/>
            <w:bookmarkStart w:id="344" w:name="_Toc13109"/>
            <w:bookmarkStart w:id="345" w:name="_Toc6064"/>
            <w:r>
              <w:rPr>
                <w:rFonts w:hint="eastAsia" w:ascii="微软雅黑" w:hAnsi="微软雅黑" w:eastAsia="微软雅黑" w:cs="微软雅黑"/>
                <w:highlight w:val="none"/>
              </w:rPr>
              <w:t>偏离情况</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hint="eastAsia" w:ascii="微软雅黑" w:hAnsi="微软雅黑" w:eastAsia="微软雅黑" w:cs="微软雅黑"/>
                <w:highlight w:val="none"/>
              </w:rPr>
              <w:t>及证明材料</w:t>
            </w:r>
            <w:bookmarkEnd w:id="340"/>
            <w:bookmarkEnd w:id="341"/>
            <w:bookmarkEnd w:id="342"/>
            <w:bookmarkEnd w:id="343"/>
            <w:bookmarkEnd w:id="344"/>
            <w:bookmarkEnd w:id="345"/>
          </w:p>
        </w:tc>
        <w:tc>
          <w:tcPr>
            <w:tcW w:w="636" w:type="dxa"/>
            <w:tcBorders>
              <w:top w:val="single" w:color="auto" w:sz="4" w:space="0"/>
              <w:left w:val="single" w:color="auto" w:sz="4" w:space="0"/>
              <w:bottom w:val="single" w:color="auto" w:sz="4" w:space="0"/>
              <w:right w:val="single" w:color="auto" w:sz="4" w:space="0"/>
            </w:tcBorders>
            <w:vAlign w:val="center"/>
          </w:tcPr>
          <w:p w14:paraId="3B42101E">
            <w:pPr>
              <w:widowControl/>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14:paraId="021C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006AE67">
            <w:pPr>
              <w:pStyle w:val="29"/>
              <w:spacing w:after="0" w:line="360" w:lineRule="auto"/>
              <w:ind w:firstLine="0" w:firstLineChars="0"/>
              <w:outlineLvl w:val="9"/>
              <w:rPr>
                <w:rFonts w:hint="eastAsia" w:ascii="微软雅黑" w:hAnsi="微软雅黑" w:eastAsia="微软雅黑"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5B5D742B">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2B3E6BCA">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14B9F9E1">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3DB3E9E1">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3A203EF8">
            <w:pPr>
              <w:pStyle w:val="29"/>
              <w:spacing w:after="0" w:line="360" w:lineRule="auto"/>
              <w:ind w:firstLine="0" w:firstLineChars="0"/>
              <w:outlineLvl w:val="9"/>
              <w:rPr>
                <w:rFonts w:hint="eastAsia" w:ascii="微软雅黑" w:hAnsi="微软雅黑" w:eastAsia="微软雅黑" w:cs="微软雅黑"/>
                <w:highlight w:val="none"/>
              </w:rPr>
            </w:pPr>
          </w:p>
        </w:tc>
      </w:tr>
      <w:tr w14:paraId="6FF6E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1CA4FED5">
            <w:pPr>
              <w:widowControl/>
              <w:ind w:firstLine="0" w:firstLineChars="0"/>
              <w:rPr>
                <w:rFonts w:hint="eastAsia" w:ascii="微软雅黑" w:hAnsi="微软雅黑" w:eastAsia="微软雅黑" w:cs="微软雅黑"/>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00D10335">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6D74B9DB">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320AE9D7">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67B9B60B">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5A89B523">
            <w:pPr>
              <w:pStyle w:val="29"/>
              <w:spacing w:after="0" w:line="360" w:lineRule="auto"/>
              <w:ind w:firstLine="0" w:firstLineChars="0"/>
              <w:outlineLvl w:val="9"/>
              <w:rPr>
                <w:rFonts w:hint="eastAsia" w:ascii="微软雅黑" w:hAnsi="微软雅黑" w:eastAsia="微软雅黑" w:cs="微软雅黑"/>
                <w:highlight w:val="none"/>
              </w:rPr>
            </w:pPr>
          </w:p>
        </w:tc>
      </w:tr>
      <w:tr w14:paraId="64A59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6D9D1BE4">
            <w:pPr>
              <w:pStyle w:val="29"/>
              <w:spacing w:after="0" w:line="360" w:lineRule="auto"/>
              <w:ind w:firstLine="0" w:firstLineChars="0"/>
              <w:outlineLvl w:val="9"/>
              <w:rPr>
                <w:rFonts w:hint="eastAsia" w:ascii="微软雅黑" w:hAnsi="微软雅黑" w:eastAsia="微软雅黑"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3F43EFD7">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2C54E83E">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505E63E5">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502B2C12">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23468D40">
            <w:pPr>
              <w:pStyle w:val="29"/>
              <w:spacing w:after="0" w:line="360" w:lineRule="auto"/>
              <w:ind w:firstLine="0" w:firstLineChars="0"/>
              <w:outlineLvl w:val="9"/>
              <w:rPr>
                <w:rFonts w:hint="eastAsia" w:ascii="微软雅黑" w:hAnsi="微软雅黑" w:eastAsia="微软雅黑" w:cs="微软雅黑"/>
                <w:highlight w:val="none"/>
              </w:rPr>
            </w:pPr>
          </w:p>
        </w:tc>
      </w:tr>
      <w:tr w14:paraId="78C7B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02520ED">
            <w:pPr>
              <w:pStyle w:val="29"/>
              <w:spacing w:after="0" w:line="360" w:lineRule="auto"/>
              <w:ind w:firstLine="0" w:firstLineChars="0"/>
              <w:outlineLvl w:val="9"/>
              <w:rPr>
                <w:rFonts w:hint="eastAsia" w:ascii="微软雅黑" w:hAnsi="微软雅黑" w:eastAsia="微软雅黑"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6B6D0AAC">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513F5BE0">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06B46FBA">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532EF3C2">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4B4A345D">
            <w:pPr>
              <w:pStyle w:val="29"/>
              <w:spacing w:after="0" w:line="360" w:lineRule="auto"/>
              <w:ind w:firstLine="0" w:firstLineChars="0"/>
              <w:outlineLvl w:val="9"/>
              <w:rPr>
                <w:rFonts w:hint="eastAsia" w:ascii="微软雅黑" w:hAnsi="微软雅黑" w:eastAsia="微软雅黑" w:cs="微软雅黑"/>
                <w:highlight w:val="none"/>
              </w:rPr>
            </w:pPr>
          </w:p>
        </w:tc>
      </w:tr>
    </w:tbl>
    <w:p w14:paraId="21426EF1">
      <w:pPr>
        <w:pStyle w:val="20"/>
        <w:ind w:firstLine="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注：供应商应根据投标</w:t>
      </w:r>
      <w:r>
        <w:rPr>
          <w:rFonts w:hint="eastAsia" w:ascii="微软雅黑" w:hAnsi="微软雅黑" w:cs="微软雅黑"/>
          <w:sz w:val="21"/>
          <w:szCs w:val="21"/>
          <w:highlight w:val="none"/>
          <w:lang w:val="en-US" w:eastAsia="zh-CN"/>
        </w:rPr>
        <w:t>服务</w:t>
      </w:r>
      <w:r>
        <w:rPr>
          <w:rFonts w:hint="eastAsia" w:ascii="微软雅黑" w:hAnsi="微软雅黑" w:eastAsia="微软雅黑" w:cs="微软雅黑"/>
          <w:sz w:val="21"/>
          <w:szCs w:val="21"/>
          <w:highlight w:val="none"/>
        </w:rPr>
        <w:t>指标、对照磋商文件要求注明“正偏离”、“负偏离”或“无偏离”。</w:t>
      </w:r>
    </w:p>
    <w:p w14:paraId="0CA6E719">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79FC71DC">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64A90592">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4347AD99">
      <w:pPr>
        <w:pStyle w:val="292"/>
        <w:spacing w:line="360" w:lineRule="auto"/>
        <w:ind w:firstLine="482"/>
        <w:rPr>
          <w:rFonts w:hint="eastAsia" w:ascii="微软雅黑" w:hAnsi="微软雅黑" w:eastAsia="微软雅黑" w:cs="微软雅黑"/>
          <w:b/>
          <w:sz w:val="24"/>
          <w:szCs w:val="24"/>
          <w:highlight w:val="none"/>
        </w:rPr>
      </w:pPr>
    </w:p>
    <w:p w14:paraId="569E43B3">
      <w:pPr>
        <w:pStyle w:val="292"/>
        <w:spacing w:line="360" w:lineRule="auto"/>
        <w:ind w:firstLine="482"/>
        <w:rPr>
          <w:rFonts w:hint="eastAsia" w:ascii="微软雅黑" w:hAnsi="微软雅黑" w:eastAsia="微软雅黑" w:cs="微软雅黑"/>
          <w:b/>
          <w:sz w:val="24"/>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4EBA056">
      <w:pPr>
        <w:pStyle w:val="292"/>
        <w:spacing w:line="360" w:lineRule="auto"/>
        <w:ind w:firstLine="48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4. 项目实施人员一览表</w:t>
      </w:r>
    </w:p>
    <w:p w14:paraId="2E72BA3E">
      <w:pPr>
        <w:pStyle w:val="29"/>
        <w:spacing w:line="360" w:lineRule="auto"/>
        <w:outlineLvl w:val="9"/>
        <w:rPr>
          <w:rFonts w:hint="eastAsia" w:ascii="微软雅黑" w:hAnsi="微软雅黑" w:eastAsia="微软雅黑" w:cs="微软雅黑"/>
          <w:highlight w:val="none"/>
        </w:rPr>
      </w:pPr>
      <w:bookmarkStart w:id="346" w:name="_Toc7839"/>
      <w:r>
        <w:rPr>
          <w:rFonts w:hint="eastAsia" w:ascii="微软雅黑" w:hAnsi="微软雅黑" w:eastAsia="微软雅黑" w:cs="微软雅黑"/>
          <w:highlight w:val="none"/>
        </w:rPr>
        <w:t>项目实施人员一览表</w:t>
      </w:r>
      <w:bookmarkEnd w:id="346"/>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14:paraId="1EB0A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025F9C71">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29014C35">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31D546BA">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5E072443">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5306FE3F">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4E54A3E8">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2020E023">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284364ED">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典型业务</w:t>
            </w:r>
          </w:p>
          <w:p w14:paraId="3C839324">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与技术专长</w:t>
            </w:r>
          </w:p>
        </w:tc>
      </w:tr>
      <w:tr w14:paraId="72B2F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A9D713F">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vAlign w:val="center"/>
          </w:tcPr>
          <w:p w14:paraId="050E71F4">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6365F0E">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EE96584">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AE85318">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DC886E6">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0EC14D2">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2BE7B261">
            <w:pPr>
              <w:pStyle w:val="34"/>
              <w:ind w:firstLine="0" w:firstLineChars="0"/>
              <w:jc w:val="center"/>
              <w:rPr>
                <w:rFonts w:hint="eastAsia" w:ascii="微软雅黑" w:hAnsi="微软雅黑" w:eastAsia="微软雅黑" w:cs="微软雅黑"/>
                <w:sz w:val="21"/>
                <w:szCs w:val="21"/>
                <w:highlight w:val="none"/>
              </w:rPr>
            </w:pPr>
          </w:p>
        </w:tc>
      </w:tr>
      <w:tr w14:paraId="3D769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5D0BA90">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vAlign w:val="center"/>
          </w:tcPr>
          <w:p w14:paraId="43920ED6">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550107E">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B958910">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2B81C1B">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C1B03DC">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6FF6C7">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95ADA54">
            <w:pPr>
              <w:pStyle w:val="34"/>
              <w:ind w:firstLine="0" w:firstLineChars="0"/>
              <w:jc w:val="center"/>
              <w:rPr>
                <w:rFonts w:hint="eastAsia" w:ascii="微软雅黑" w:hAnsi="微软雅黑" w:eastAsia="微软雅黑" w:cs="微软雅黑"/>
                <w:sz w:val="21"/>
                <w:szCs w:val="21"/>
                <w:highlight w:val="none"/>
              </w:rPr>
            </w:pPr>
          </w:p>
        </w:tc>
      </w:tr>
      <w:tr w14:paraId="5A5DB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AACB554">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vAlign w:val="center"/>
          </w:tcPr>
          <w:p w14:paraId="1EB51CE7">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2522850A">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856902C">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6BE5C305">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68778B41">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2620F1">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ACA9FB5">
            <w:pPr>
              <w:pStyle w:val="34"/>
              <w:ind w:firstLine="0" w:firstLineChars="0"/>
              <w:jc w:val="center"/>
              <w:rPr>
                <w:rFonts w:hint="eastAsia" w:ascii="微软雅黑" w:hAnsi="微软雅黑" w:eastAsia="微软雅黑" w:cs="微软雅黑"/>
                <w:sz w:val="21"/>
                <w:szCs w:val="21"/>
                <w:highlight w:val="none"/>
              </w:rPr>
            </w:pPr>
          </w:p>
        </w:tc>
      </w:tr>
      <w:tr w14:paraId="46DF6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8CE2840">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w:t>
            </w:r>
          </w:p>
        </w:tc>
        <w:tc>
          <w:tcPr>
            <w:tcW w:w="1074" w:type="dxa"/>
            <w:tcBorders>
              <w:top w:val="single" w:color="auto" w:sz="4" w:space="0"/>
              <w:left w:val="single" w:color="auto" w:sz="4" w:space="0"/>
              <w:bottom w:val="single" w:color="auto" w:sz="4" w:space="0"/>
              <w:right w:val="single" w:color="auto" w:sz="4" w:space="0"/>
            </w:tcBorders>
            <w:vAlign w:val="center"/>
          </w:tcPr>
          <w:p w14:paraId="77EB170F">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0E0854D">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0668F5A">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499621E6">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1F9F42DB">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D49E48">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6C8F803">
            <w:pPr>
              <w:pStyle w:val="34"/>
              <w:ind w:firstLine="0" w:firstLineChars="0"/>
              <w:jc w:val="center"/>
              <w:rPr>
                <w:rFonts w:hint="eastAsia" w:ascii="微软雅黑" w:hAnsi="微软雅黑" w:eastAsia="微软雅黑" w:cs="微软雅黑"/>
                <w:sz w:val="21"/>
                <w:szCs w:val="21"/>
                <w:highlight w:val="none"/>
              </w:rPr>
            </w:pPr>
          </w:p>
        </w:tc>
      </w:tr>
      <w:tr w14:paraId="47FAB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44C6355">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w:t>
            </w:r>
          </w:p>
        </w:tc>
        <w:tc>
          <w:tcPr>
            <w:tcW w:w="1074" w:type="dxa"/>
            <w:tcBorders>
              <w:top w:val="single" w:color="auto" w:sz="4" w:space="0"/>
              <w:left w:val="single" w:color="auto" w:sz="4" w:space="0"/>
              <w:bottom w:val="single" w:color="auto" w:sz="4" w:space="0"/>
              <w:right w:val="single" w:color="auto" w:sz="4" w:space="0"/>
            </w:tcBorders>
            <w:vAlign w:val="center"/>
          </w:tcPr>
          <w:p w14:paraId="018B74EC">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E112852">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344C089">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F9B188C">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4C095EFE">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E8E0F97">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AF8DB1D">
            <w:pPr>
              <w:pStyle w:val="34"/>
              <w:ind w:firstLine="0" w:firstLineChars="0"/>
              <w:jc w:val="center"/>
              <w:rPr>
                <w:rFonts w:hint="eastAsia" w:ascii="微软雅黑" w:hAnsi="微软雅黑" w:eastAsia="微软雅黑" w:cs="微软雅黑"/>
                <w:sz w:val="21"/>
                <w:szCs w:val="21"/>
                <w:highlight w:val="none"/>
              </w:rPr>
            </w:pPr>
          </w:p>
        </w:tc>
      </w:tr>
      <w:tr w14:paraId="4C516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85B02BE">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074" w:type="dxa"/>
            <w:tcBorders>
              <w:top w:val="single" w:color="auto" w:sz="4" w:space="0"/>
              <w:left w:val="single" w:color="auto" w:sz="4" w:space="0"/>
              <w:bottom w:val="single" w:color="auto" w:sz="4" w:space="0"/>
              <w:right w:val="single" w:color="auto" w:sz="4" w:space="0"/>
            </w:tcBorders>
            <w:vAlign w:val="center"/>
          </w:tcPr>
          <w:p w14:paraId="56853DCA">
            <w:pPr>
              <w:ind w:firstLine="0" w:firstLineChars="0"/>
              <w:rPr>
                <w:rFonts w:hint="eastAsia" w:ascii="微软雅黑" w:hAnsi="微软雅黑" w:eastAsia="微软雅黑" w:cs="微软雅黑"/>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0A05782">
            <w:pPr>
              <w:ind w:firstLine="0" w:firstLineChars="0"/>
              <w:rPr>
                <w:rFonts w:hint="eastAsia" w:ascii="微软雅黑" w:hAnsi="微软雅黑" w:eastAsia="微软雅黑" w:cs="微软雅黑"/>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249E9FF">
            <w:pPr>
              <w:ind w:firstLine="0" w:firstLineChars="0"/>
              <w:rPr>
                <w:rFonts w:hint="eastAsia" w:ascii="微软雅黑" w:hAnsi="微软雅黑" w:eastAsia="微软雅黑" w:cs="微软雅黑"/>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8A2B852">
            <w:pPr>
              <w:ind w:firstLine="0" w:firstLineChars="0"/>
              <w:rPr>
                <w:rFonts w:hint="eastAsia" w:ascii="微软雅黑" w:hAnsi="微软雅黑" w:eastAsia="微软雅黑" w:cs="微软雅黑"/>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75861613">
            <w:pPr>
              <w:ind w:firstLine="0" w:firstLineChars="0"/>
              <w:rPr>
                <w:rFonts w:hint="eastAsia" w:ascii="微软雅黑" w:hAnsi="微软雅黑" w:eastAsia="微软雅黑" w:cs="微软雅黑"/>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409D382">
            <w:pPr>
              <w:ind w:firstLine="0" w:firstLineChars="0"/>
              <w:rPr>
                <w:rFonts w:hint="eastAsia" w:ascii="微软雅黑" w:hAnsi="微软雅黑" w:eastAsia="微软雅黑" w:cs="微软雅黑"/>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7803FEC3">
            <w:pPr>
              <w:ind w:firstLine="0" w:firstLineChars="0"/>
              <w:rPr>
                <w:rFonts w:hint="eastAsia" w:ascii="微软雅黑" w:hAnsi="微软雅黑" w:eastAsia="微软雅黑" w:cs="微软雅黑"/>
                <w:szCs w:val="21"/>
                <w:highlight w:val="none"/>
              </w:rPr>
            </w:pPr>
          </w:p>
        </w:tc>
      </w:tr>
    </w:tbl>
    <w:p w14:paraId="69A3E76F">
      <w:pPr>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注：1、“项目实施人员”指投标单位针对该项目实施所配备的人员。</w:t>
      </w:r>
    </w:p>
    <w:p w14:paraId="4FF276F9">
      <w:pPr>
        <w:ind w:firstLine="840" w:firstLineChars="40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2、附各专业人员简历及相关证明材料复印件；</w:t>
      </w:r>
    </w:p>
    <w:p w14:paraId="23CB0CA5">
      <w:pPr>
        <w:ind w:firstLine="840" w:firstLineChars="40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3、表格不够填写可添加。</w:t>
      </w:r>
    </w:p>
    <w:p w14:paraId="3FB0D5C8">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7E062A33">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4D8DF0D8">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37478DBD">
      <w:pPr>
        <w:pStyle w:val="292"/>
        <w:spacing w:line="360" w:lineRule="auto"/>
        <w:ind w:firstLine="482"/>
        <w:rPr>
          <w:rFonts w:hint="eastAsia" w:ascii="微软雅黑" w:hAnsi="微软雅黑" w:eastAsia="微软雅黑" w:cs="微软雅黑"/>
          <w:b/>
          <w:sz w:val="24"/>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1435BAD">
      <w:pPr>
        <w:pStyle w:val="292"/>
        <w:spacing w:line="360" w:lineRule="auto"/>
        <w:ind w:firstLine="48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5.诚信承诺函</w:t>
      </w:r>
    </w:p>
    <w:p w14:paraId="4020F468">
      <w:pPr>
        <w:pStyle w:val="15"/>
        <w:overflowPunct w:val="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诚信承诺函</w:t>
      </w:r>
    </w:p>
    <w:p w14:paraId="4B4D1DA9">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致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b/>
          <w:szCs w:val="21"/>
          <w:highlight w:val="none"/>
          <w:u w:val="single"/>
        </w:rPr>
        <w:t xml:space="preserve">（采购人）       </w:t>
      </w:r>
      <w:r>
        <w:rPr>
          <w:rFonts w:hint="eastAsia" w:ascii="微软雅黑" w:hAnsi="微软雅黑" w:eastAsia="微软雅黑" w:cs="微软雅黑"/>
          <w:szCs w:val="21"/>
          <w:highlight w:val="none"/>
        </w:rPr>
        <w:t>：</w:t>
      </w:r>
    </w:p>
    <w:p w14:paraId="6877BB1A">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我方在参加贵单位的</w:t>
      </w:r>
      <w:r>
        <w:rPr>
          <w:rFonts w:hint="eastAsia" w:ascii="微软雅黑" w:hAnsi="微软雅黑" w:eastAsia="微软雅黑" w:cs="微软雅黑"/>
          <w:szCs w:val="21"/>
          <w:highlight w:val="none"/>
          <w:u w:val="single"/>
        </w:rPr>
        <w:t xml:space="preserve">           政府采购项目</w:t>
      </w:r>
      <w:r>
        <w:rPr>
          <w:rFonts w:hint="eastAsia" w:ascii="微软雅黑" w:hAnsi="微软雅黑" w:eastAsia="微软雅黑" w:cs="微软雅黑"/>
          <w:szCs w:val="21"/>
          <w:highlight w:val="none"/>
        </w:rPr>
        <w:t>的招投标活动中，郑重承诺如下：</w:t>
      </w:r>
    </w:p>
    <w:p w14:paraId="5451C51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1.我方申报的所有资料都是真实、准确、完整的；</w:t>
      </w:r>
    </w:p>
    <w:p w14:paraId="6001D0E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2.我方无资质挂靠情形，保证不参与串标、围标及抬标；</w:t>
      </w:r>
    </w:p>
    <w:p w14:paraId="40B707F4">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3.我方未处于被各级行政主管部门做出停止市场行为处罚的期限内；</w:t>
      </w:r>
    </w:p>
    <w:p w14:paraId="48B8E8AB">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4.我方参加本项目政府采购活动前3年内在经营活动中没有受到行政处罚、行政处理(含通报)，未被记入不良行为，没有重大违法记录；</w:t>
      </w:r>
    </w:p>
    <w:p w14:paraId="78C2B778">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5.若我方中标，将严格按照规定及时与采购人签订合同；</w:t>
      </w:r>
    </w:p>
    <w:p w14:paraId="61055E25">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6.若我方中标，将严格按照磋商文件要求及响应文件承诺的报价、质量、工期、投标方案、项目负责人等内容组织实施；</w:t>
      </w:r>
    </w:p>
    <w:p w14:paraId="25F98C7B">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18F18C2">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特此承诺。</w:t>
      </w:r>
    </w:p>
    <w:p w14:paraId="19B5AEA9">
      <w:pPr>
        <w:wordWrap w:val="0"/>
        <w:snapToGrid w:val="0"/>
        <w:spacing w:before="50" w:after="50"/>
        <w:ind w:firstLine="420"/>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法定代表人或被授权人签字（或盖章）：    </w:t>
      </w:r>
    </w:p>
    <w:p w14:paraId="69FA3753">
      <w:pPr>
        <w:snapToGrid w:val="0"/>
        <w:spacing w:before="50" w:after="50"/>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投标供应商（公章）：      　　　　　　　　　　　　　</w:t>
      </w:r>
    </w:p>
    <w:p w14:paraId="3F295241">
      <w:pPr>
        <w:spacing w:before="108" w:after="120"/>
        <w:ind w:right="417"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日期：   年  月  日</w:t>
      </w:r>
    </w:p>
    <w:p w14:paraId="2F455F0E">
      <w:pPr>
        <w:ind w:firstLine="420"/>
        <w:rPr>
          <w:rFonts w:hint="eastAsia" w:ascii="微软雅黑" w:hAnsi="微软雅黑" w:eastAsia="微软雅黑" w:cs="微软雅黑"/>
          <w:highlight w:val="none"/>
        </w:rPr>
      </w:pPr>
    </w:p>
    <w:p w14:paraId="6804FFED">
      <w:pPr>
        <w:snapToGrid w:val="0"/>
        <w:ind w:firstLine="640"/>
        <w:jc w:val="center"/>
        <w:rPr>
          <w:rFonts w:hint="eastAsia" w:ascii="微软雅黑" w:hAnsi="微软雅黑" w:eastAsia="微软雅黑" w:cs="微软雅黑"/>
          <w:b/>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CFF7873">
      <w:pPr>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报价文件部分</w:t>
      </w:r>
    </w:p>
    <w:p w14:paraId="4FBCBC60">
      <w:pPr>
        <w:ind w:firstLine="420"/>
        <w:jc w:val="center"/>
        <w:rPr>
          <w:rFonts w:hint="eastAsia" w:ascii="微软雅黑" w:hAnsi="微软雅黑" w:eastAsia="微软雅黑" w:cs="微软雅黑"/>
          <w:b/>
          <w:kern w:val="0"/>
          <w:szCs w:val="21"/>
          <w:highlight w:val="none"/>
        </w:rPr>
      </w:pPr>
      <w:bookmarkStart w:id="347" w:name="_Toc164943233"/>
      <w:r>
        <w:rPr>
          <w:rFonts w:hint="eastAsia" w:ascii="微软雅黑" w:hAnsi="微软雅黑" w:eastAsia="微软雅黑" w:cs="微软雅黑"/>
          <w:b/>
          <w:kern w:val="0"/>
          <w:szCs w:val="21"/>
          <w:highlight w:val="none"/>
        </w:rPr>
        <w:t>目录</w:t>
      </w:r>
      <w:bookmarkEnd w:id="347"/>
    </w:p>
    <w:p w14:paraId="16939E99">
      <w:pPr>
        <w:pStyle w:val="103"/>
        <w:numPr>
          <w:ilvl w:val="0"/>
          <w:numId w:val="0"/>
        </w:numPr>
        <w:snapToGrid w:val="0"/>
        <w:spacing w:line="360" w:lineRule="auto"/>
        <w:ind w:firstLine="42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（1）开标一览表（报价表）………………………………………………………（页码）</w:t>
      </w:r>
    </w:p>
    <w:p w14:paraId="38380064">
      <w:pPr>
        <w:pStyle w:val="103"/>
        <w:numPr>
          <w:ilvl w:val="0"/>
          <w:numId w:val="0"/>
        </w:numPr>
        <w:snapToGrid w:val="0"/>
        <w:spacing w:line="360" w:lineRule="auto"/>
        <w:ind w:firstLine="426"/>
        <w:rPr>
          <w:rFonts w:hint="eastAsia" w:ascii="微软雅黑" w:hAnsi="微软雅黑" w:eastAsia="微软雅黑" w:cs="微软雅黑"/>
          <w:szCs w:val="21"/>
          <w:highlight w:val="none"/>
        </w:rPr>
      </w:pPr>
    </w:p>
    <w:p w14:paraId="5773C7A1">
      <w:pPr>
        <w:snapToGrid w:val="0"/>
        <w:ind w:right="480" w:firstLine="640"/>
        <w:jc w:val="center"/>
        <w:rPr>
          <w:rFonts w:hint="eastAsia" w:ascii="微软雅黑" w:hAnsi="微软雅黑" w:eastAsia="微软雅黑" w:cs="微软雅黑"/>
          <w:b/>
          <w:kern w:val="0"/>
          <w:sz w:val="32"/>
          <w:szCs w:val="32"/>
          <w:highlight w:val="none"/>
        </w:rPr>
      </w:pPr>
    </w:p>
    <w:p w14:paraId="0FBE5A63">
      <w:pPr>
        <w:snapToGrid w:val="0"/>
        <w:ind w:right="480" w:firstLine="640"/>
        <w:jc w:val="center"/>
        <w:rPr>
          <w:rFonts w:hint="eastAsia" w:ascii="微软雅黑" w:hAnsi="微软雅黑" w:eastAsia="微软雅黑" w:cs="微软雅黑"/>
          <w:b/>
          <w:kern w:val="0"/>
          <w:sz w:val="32"/>
          <w:szCs w:val="32"/>
          <w:highlight w:val="none"/>
        </w:rPr>
      </w:pPr>
    </w:p>
    <w:p w14:paraId="149E34DA">
      <w:pPr>
        <w:snapToGrid w:val="0"/>
        <w:ind w:right="480" w:firstLine="640"/>
        <w:jc w:val="center"/>
        <w:rPr>
          <w:rFonts w:hint="eastAsia" w:ascii="微软雅黑" w:hAnsi="微软雅黑" w:eastAsia="微软雅黑" w:cs="微软雅黑"/>
          <w:b/>
          <w:kern w:val="0"/>
          <w:sz w:val="32"/>
          <w:szCs w:val="32"/>
          <w:highlight w:val="none"/>
        </w:rPr>
      </w:pPr>
    </w:p>
    <w:p w14:paraId="145E3B1B">
      <w:pPr>
        <w:snapToGrid w:val="0"/>
        <w:ind w:right="480" w:firstLine="640"/>
        <w:jc w:val="center"/>
        <w:rPr>
          <w:rFonts w:hint="eastAsia" w:ascii="微软雅黑" w:hAnsi="微软雅黑" w:eastAsia="微软雅黑" w:cs="微软雅黑"/>
          <w:b/>
          <w:kern w:val="0"/>
          <w:sz w:val="32"/>
          <w:szCs w:val="32"/>
          <w:highlight w:val="none"/>
        </w:rPr>
      </w:pPr>
    </w:p>
    <w:p w14:paraId="7E0E3F37">
      <w:pPr>
        <w:snapToGrid w:val="0"/>
        <w:ind w:right="480" w:firstLine="640"/>
        <w:jc w:val="center"/>
        <w:rPr>
          <w:rFonts w:hint="eastAsia" w:ascii="微软雅黑" w:hAnsi="微软雅黑" w:eastAsia="微软雅黑" w:cs="微软雅黑"/>
          <w:b/>
          <w:kern w:val="0"/>
          <w:sz w:val="32"/>
          <w:szCs w:val="32"/>
          <w:highlight w:val="none"/>
        </w:rPr>
      </w:pPr>
    </w:p>
    <w:p w14:paraId="039C1AF8">
      <w:pPr>
        <w:snapToGrid w:val="0"/>
        <w:ind w:right="480" w:firstLine="640"/>
        <w:jc w:val="center"/>
        <w:rPr>
          <w:rFonts w:hint="eastAsia" w:ascii="微软雅黑" w:hAnsi="微软雅黑" w:eastAsia="微软雅黑" w:cs="微软雅黑"/>
          <w:b/>
          <w:kern w:val="0"/>
          <w:sz w:val="32"/>
          <w:szCs w:val="32"/>
          <w:highlight w:val="none"/>
        </w:rPr>
      </w:pPr>
    </w:p>
    <w:p w14:paraId="16C3447C">
      <w:pPr>
        <w:snapToGrid w:val="0"/>
        <w:ind w:right="480" w:firstLine="640"/>
        <w:jc w:val="center"/>
        <w:rPr>
          <w:rFonts w:hint="eastAsia" w:ascii="微软雅黑" w:hAnsi="微软雅黑" w:eastAsia="微软雅黑" w:cs="微软雅黑"/>
          <w:b/>
          <w:kern w:val="0"/>
          <w:sz w:val="32"/>
          <w:szCs w:val="32"/>
          <w:highlight w:val="none"/>
        </w:rPr>
      </w:pPr>
    </w:p>
    <w:p w14:paraId="5C26F8DA">
      <w:pPr>
        <w:snapToGrid w:val="0"/>
        <w:ind w:right="480" w:firstLine="640"/>
        <w:jc w:val="center"/>
        <w:rPr>
          <w:rFonts w:hint="eastAsia" w:ascii="微软雅黑" w:hAnsi="微软雅黑" w:eastAsia="微软雅黑" w:cs="微软雅黑"/>
          <w:b/>
          <w:kern w:val="0"/>
          <w:sz w:val="32"/>
          <w:szCs w:val="32"/>
          <w:highlight w:val="none"/>
        </w:rPr>
      </w:pPr>
    </w:p>
    <w:p w14:paraId="5E2598B0">
      <w:pPr>
        <w:snapToGrid w:val="0"/>
        <w:ind w:right="480" w:firstLine="640"/>
        <w:jc w:val="center"/>
        <w:rPr>
          <w:rFonts w:hint="eastAsia" w:ascii="微软雅黑" w:hAnsi="微软雅黑" w:eastAsia="微软雅黑" w:cs="微软雅黑"/>
          <w:b/>
          <w:kern w:val="0"/>
          <w:sz w:val="32"/>
          <w:szCs w:val="32"/>
          <w:highlight w:val="none"/>
        </w:rPr>
      </w:pPr>
    </w:p>
    <w:p w14:paraId="635F7B71">
      <w:pPr>
        <w:snapToGrid w:val="0"/>
        <w:ind w:right="480" w:firstLine="640"/>
        <w:jc w:val="center"/>
        <w:rPr>
          <w:rFonts w:hint="eastAsia" w:ascii="微软雅黑" w:hAnsi="微软雅黑" w:eastAsia="微软雅黑" w:cs="微软雅黑"/>
          <w:b/>
          <w:kern w:val="0"/>
          <w:sz w:val="32"/>
          <w:szCs w:val="32"/>
          <w:highlight w:val="none"/>
        </w:rPr>
      </w:pPr>
    </w:p>
    <w:p w14:paraId="610F8048">
      <w:pPr>
        <w:snapToGrid w:val="0"/>
        <w:ind w:right="480" w:firstLine="640"/>
        <w:jc w:val="center"/>
        <w:rPr>
          <w:rFonts w:hint="eastAsia" w:ascii="微软雅黑" w:hAnsi="微软雅黑" w:eastAsia="微软雅黑" w:cs="微软雅黑"/>
          <w:b/>
          <w:kern w:val="0"/>
          <w:sz w:val="32"/>
          <w:szCs w:val="32"/>
          <w:highlight w:val="none"/>
        </w:rPr>
      </w:pPr>
    </w:p>
    <w:p w14:paraId="114B1285">
      <w:pPr>
        <w:ind w:firstLine="420"/>
        <w:rPr>
          <w:rFonts w:hint="eastAsia" w:ascii="微软雅黑" w:hAnsi="微软雅黑" w:eastAsia="微软雅黑" w:cs="微软雅黑"/>
          <w:highlight w:val="none"/>
        </w:rPr>
        <w:sectPr>
          <w:headerReference r:id="rId20"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C6756A5">
      <w:pPr>
        <w:pStyle w:val="293"/>
        <w:keepNext w:val="0"/>
        <w:tabs>
          <w:tab w:val="clear" w:pos="720"/>
        </w:tabs>
        <w:snapToGrid w:val="0"/>
        <w:spacing w:before="120" w:after="120"/>
        <w:ind w:firstLine="640"/>
        <w:outlineLvl w:val="9"/>
        <w:rPr>
          <w:rFonts w:hint="eastAsia" w:ascii="微软雅黑" w:hAnsi="微软雅黑" w:eastAsia="微软雅黑" w:cs="微软雅黑"/>
          <w:kern w:val="2"/>
          <w:sz w:val="21"/>
          <w:szCs w:val="21"/>
          <w:highlight w:val="none"/>
        </w:rPr>
      </w:pPr>
      <w:bookmarkStart w:id="348" w:name="_Toc5722"/>
      <w:r>
        <w:rPr>
          <w:rFonts w:hint="eastAsia" w:ascii="微软雅黑" w:hAnsi="微软雅黑" w:eastAsia="微软雅黑" w:cs="微软雅黑"/>
          <w:kern w:val="2"/>
          <w:sz w:val="21"/>
          <w:szCs w:val="21"/>
          <w:highlight w:val="none"/>
        </w:rPr>
        <w:t>一、开标一览表</w:t>
      </w:r>
      <w:bookmarkEnd w:id="348"/>
    </w:p>
    <w:p w14:paraId="6F5AC2C9">
      <w:pPr>
        <w:ind w:firstLine="420"/>
        <w:rPr>
          <w:rFonts w:hint="eastAsia" w:ascii="微软雅黑" w:hAnsi="微软雅黑" w:eastAsia="微软雅黑" w:cs="微软雅黑"/>
          <w:bCs/>
          <w:kern w:val="36"/>
          <w:highlight w:val="none"/>
          <w:lang w:eastAsia="zh-CN"/>
        </w:rPr>
      </w:pPr>
      <w:r>
        <w:rPr>
          <w:rFonts w:hint="eastAsia" w:ascii="微软雅黑" w:hAnsi="微软雅黑" w:eastAsia="微软雅黑" w:cs="微软雅黑"/>
          <w:bCs/>
          <w:kern w:val="36"/>
          <w:highlight w:val="none"/>
        </w:rPr>
        <w:t>项目名称：</w:t>
      </w:r>
      <w:r>
        <w:rPr>
          <w:rFonts w:hint="eastAsia" w:ascii="微软雅黑" w:hAnsi="微软雅黑" w:cs="微软雅黑"/>
          <w:highlight w:val="none"/>
          <w:lang w:eastAsia="zh-CN"/>
        </w:rPr>
        <w:t>嘉兴市秀洲区高照实验学校2025年暑期教职工疗休养项目</w:t>
      </w:r>
    </w:p>
    <w:p w14:paraId="43E169EE">
      <w:pPr>
        <w:ind w:firstLine="420"/>
        <w:rPr>
          <w:rFonts w:hint="eastAsia" w:ascii="微软雅黑" w:hAnsi="微软雅黑" w:eastAsia="微软雅黑" w:cs="微软雅黑"/>
          <w:bCs/>
          <w:kern w:val="36"/>
          <w:highlight w:val="none"/>
        </w:rPr>
      </w:pPr>
      <w:r>
        <w:rPr>
          <w:rFonts w:hint="eastAsia" w:ascii="微软雅黑" w:hAnsi="微软雅黑" w:eastAsia="微软雅黑" w:cs="微软雅黑"/>
          <w:bCs/>
          <w:kern w:val="36"/>
          <w:highlight w:val="none"/>
        </w:rPr>
        <w:t>单位：元</w:t>
      </w:r>
    </w:p>
    <w:tbl>
      <w:tblPr>
        <w:tblStyle w:val="53"/>
        <w:tblW w:w="77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
        <w:gridCol w:w="3167"/>
        <w:gridCol w:w="1316"/>
        <w:gridCol w:w="2497"/>
      </w:tblGrid>
      <w:tr w14:paraId="50977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E4A2D6C">
            <w:pPr>
              <w:snapToGrid w:val="0"/>
              <w:spacing w:line="240" w:lineRule="auto"/>
              <w:ind w:firstLine="0" w:firstLineChars="0"/>
              <w:jc w:val="center"/>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lang w:val="en-US" w:eastAsia="zh-CN"/>
              </w:rPr>
              <w:t>线路</w:t>
            </w:r>
          </w:p>
        </w:tc>
        <w:tc>
          <w:tcPr>
            <w:tcW w:w="3167" w:type="dxa"/>
            <w:tcBorders>
              <w:top w:val="single" w:color="auto" w:sz="4" w:space="0"/>
              <w:left w:val="single" w:color="auto" w:sz="4" w:space="0"/>
              <w:bottom w:val="single" w:color="auto" w:sz="4" w:space="0"/>
              <w:right w:val="single" w:color="auto" w:sz="4" w:space="0"/>
            </w:tcBorders>
            <w:vAlign w:val="center"/>
          </w:tcPr>
          <w:p w14:paraId="6A6C5A4B">
            <w:pPr>
              <w:snapToGrid w:val="0"/>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tc>
        <w:tc>
          <w:tcPr>
            <w:tcW w:w="1316" w:type="dxa"/>
            <w:tcBorders>
              <w:top w:val="single" w:color="auto" w:sz="4" w:space="0"/>
              <w:left w:val="single" w:color="auto" w:sz="4" w:space="0"/>
              <w:bottom w:val="single" w:color="auto" w:sz="4" w:space="0"/>
              <w:right w:val="single" w:color="auto" w:sz="4" w:space="0"/>
            </w:tcBorders>
            <w:vAlign w:val="center"/>
          </w:tcPr>
          <w:p w14:paraId="0D5F2719">
            <w:pPr>
              <w:snapToGrid w:val="0"/>
              <w:spacing w:line="240" w:lineRule="auto"/>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线路</w:t>
            </w:r>
          </w:p>
        </w:tc>
        <w:tc>
          <w:tcPr>
            <w:tcW w:w="24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1C3D6C">
            <w:pPr>
              <w:snapToGrid w:val="0"/>
              <w:spacing w:line="240" w:lineRule="auto"/>
              <w:ind w:left="-271" w:leftChars="-129"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投标单价（元/人）</w:t>
            </w:r>
          </w:p>
        </w:tc>
      </w:tr>
      <w:tr w14:paraId="08078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C7D668F">
            <w:pPr>
              <w:snapToGrid w:val="0"/>
              <w:spacing w:line="240" w:lineRule="auto"/>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3167" w:type="dxa"/>
            <w:vMerge w:val="restart"/>
            <w:tcBorders>
              <w:top w:val="single" w:color="auto" w:sz="4" w:space="0"/>
              <w:left w:val="single" w:color="auto" w:sz="4" w:space="0"/>
              <w:right w:val="single" w:color="auto" w:sz="4" w:space="0"/>
            </w:tcBorders>
            <w:vAlign w:val="center"/>
          </w:tcPr>
          <w:p w14:paraId="7AFAAD5C">
            <w:pPr>
              <w:snapToGrid w:val="0"/>
              <w:spacing w:line="240" w:lineRule="auto"/>
              <w:ind w:firstLine="0" w:firstLineChars="0"/>
              <w:rPr>
                <w:rFonts w:hint="eastAsia" w:ascii="微软雅黑" w:hAnsi="微软雅黑" w:eastAsia="微软雅黑" w:cs="微软雅黑"/>
                <w:spacing w:val="20"/>
                <w:szCs w:val="21"/>
                <w:highlight w:val="none"/>
                <w:lang w:eastAsia="zh-CN"/>
              </w:rPr>
            </w:pPr>
            <w:r>
              <w:rPr>
                <w:rFonts w:hint="eastAsia" w:ascii="微软雅黑" w:hAnsi="微软雅黑" w:cs="微软雅黑"/>
                <w:highlight w:val="none"/>
                <w:lang w:eastAsia="zh-CN"/>
              </w:rPr>
              <w:t>嘉兴市秀洲区高照实验学校2025年暑期教职工疗休养项目</w:t>
            </w:r>
          </w:p>
        </w:tc>
        <w:tc>
          <w:tcPr>
            <w:tcW w:w="1316" w:type="dxa"/>
            <w:tcBorders>
              <w:top w:val="single" w:color="auto" w:sz="4" w:space="0"/>
              <w:left w:val="single" w:color="auto" w:sz="4" w:space="0"/>
              <w:bottom w:val="single" w:color="auto" w:sz="4" w:space="0"/>
              <w:right w:val="single" w:color="auto" w:sz="4" w:space="0"/>
            </w:tcBorders>
            <w:vAlign w:val="center"/>
          </w:tcPr>
          <w:p w14:paraId="58F7B9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spacing w:val="20"/>
                <w:szCs w:val="21"/>
                <w:highlight w:val="none"/>
                <w:lang w:val="en-US" w:eastAsia="zh-CN"/>
              </w:rPr>
            </w:pPr>
            <w:r>
              <w:rPr>
                <w:rFonts w:hint="eastAsia" w:ascii="微软雅黑" w:hAnsi="微软雅黑" w:cs="微软雅黑"/>
                <w:kern w:val="0"/>
                <w:sz w:val="21"/>
                <w:szCs w:val="21"/>
                <w:highlight w:val="none"/>
                <w:lang w:val="en-US" w:eastAsia="zh-CN"/>
              </w:rPr>
              <w:t>四川</w:t>
            </w:r>
          </w:p>
        </w:tc>
        <w:tc>
          <w:tcPr>
            <w:tcW w:w="24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CFFB15">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p>
        </w:tc>
      </w:tr>
      <w:tr w14:paraId="4188B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F148D5E">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w:t>
            </w:r>
          </w:p>
        </w:tc>
        <w:tc>
          <w:tcPr>
            <w:tcW w:w="3167" w:type="dxa"/>
            <w:vMerge w:val="continue"/>
            <w:tcBorders>
              <w:left w:val="single" w:color="auto" w:sz="4" w:space="0"/>
              <w:right w:val="single" w:color="auto" w:sz="4" w:space="0"/>
            </w:tcBorders>
            <w:vAlign w:val="center"/>
          </w:tcPr>
          <w:p w14:paraId="3D5DA46C">
            <w:pPr>
              <w:snapToGrid w:val="0"/>
              <w:spacing w:line="240" w:lineRule="auto"/>
              <w:ind w:firstLine="0" w:firstLineChars="0"/>
              <w:rPr>
                <w:rFonts w:hint="eastAsia" w:ascii="微软雅黑" w:hAnsi="微软雅黑" w:cs="微软雅黑"/>
                <w:highlight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14:paraId="7072A6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spacing w:val="20"/>
                <w:szCs w:val="21"/>
                <w:highlight w:val="none"/>
                <w:lang w:val="en-US" w:eastAsia="zh-CN"/>
              </w:rPr>
            </w:pPr>
            <w:r>
              <w:rPr>
                <w:rFonts w:hint="eastAsia" w:ascii="微软雅黑" w:hAnsi="微软雅黑" w:cs="微软雅黑"/>
                <w:kern w:val="0"/>
                <w:sz w:val="21"/>
                <w:szCs w:val="21"/>
                <w:highlight w:val="none"/>
                <w:lang w:val="en-US" w:eastAsia="zh-CN"/>
              </w:rPr>
              <w:t>舟山</w:t>
            </w:r>
          </w:p>
        </w:tc>
        <w:tc>
          <w:tcPr>
            <w:tcW w:w="24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8047B1">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3000.00</w:t>
            </w:r>
          </w:p>
        </w:tc>
      </w:tr>
      <w:tr w14:paraId="1091A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76F6121">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3</w:t>
            </w:r>
          </w:p>
        </w:tc>
        <w:tc>
          <w:tcPr>
            <w:tcW w:w="3167" w:type="dxa"/>
            <w:vMerge w:val="continue"/>
            <w:tcBorders>
              <w:left w:val="single" w:color="auto" w:sz="4" w:space="0"/>
              <w:right w:val="single" w:color="auto" w:sz="4" w:space="0"/>
            </w:tcBorders>
            <w:vAlign w:val="center"/>
          </w:tcPr>
          <w:p w14:paraId="6AA9CB20">
            <w:pPr>
              <w:snapToGrid w:val="0"/>
              <w:spacing w:line="240" w:lineRule="auto"/>
              <w:ind w:firstLine="0" w:firstLineChars="0"/>
              <w:rPr>
                <w:rFonts w:hint="eastAsia" w:ascii="微软雅黑" w:hAnsi="微软雅黑" w:cs="微软雅黑"/>
                <w:highlight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14:paraId="3551A6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spacing w:val="20"/>
                <w:szCs w:val="21"/>
                <w:highlight w:val="none"/>
                <w:lang w:val="en-US" w:eastAsia="zh-CN"/>
              </w:rPr>
            </w:pPr>
            <w:r>
              <w:rPr>
                <w:rFonts w:hint="eastAsia" w:ascii="微软雅黑" w:hAnsi="微软雅黑" w:cs="微软雅黑"/>
                <w:color w:val="000000"/>
                <w:kern w:val="0"/>
                <w:sz w:val="21"/>
                <w:szCs w:val="21"/>
                <w:highlight w:val="none"/>
                <w:lang w:val="en-US" w:eastAsia="zh-CN" w:bidi="ar"/>
              </w:rPr>
              <w:t>丽水</w:t>
            </w:r>
          </w:p>
        </w:tc>
        <w:tc>
          <w:tcPr>
            <w:tcW w:w="24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909546">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3000.00</w:t>
            </w:r>
          </w:p>
        </w:tc>
      </w:tr>
      <w:tr w14:paraId="09F52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98" w:type="dxa"/>
            <w:tcBorders>
              <w:top w:val="single" w:color="auto" w:sz="4" w:space="0"/>
              <w:left w:val="single" w:color="auto" w:sz="4" w:space="0"/>
              <w:right w:val="single" w:color="auto" w:sz="4" w:space="0"/>
            </w:tcBorders>
            <w:vAlign w:val="center"/>
          </w:tcPr>
          <w:p w14:paraId="4FB73237">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4</w:t>
            </w:r>
          </w:p>
        </w:tc>
        <w:tc>
          <w:tcPr>
            <w:tcW w:w="3167" w:type="dxa"/>
            <w:vMerge w:val="continue"/>
            <w:tcBorders>
              <w:left w:val="single" w:color="auto" w:sz="4" w:space="0"/>
              <w:right w:val="single" w:color="auto" w:sz="4" w:space="0"/>
            </w:tcBorders>
            <w:vAlign w:val="center"/>
          </w:tcPr>
          <w:p w14:paraId="301EC011">
            <w:pPr>
              <w:snapToGrid w:val="0"/>
              <w:spacing w:line="240" w:lineRule="auto"/>
              <w:ind w:firstLine="0" w:firstLineChars="0"/>
              <w:rPr>
                <w:rFonts w:hint="eastAsia" w:ascii="微软雅黑" w:hAnsi="微软雅黑" w:cs="微软雅黑"/>
                <w:highlight w:val="none"/>
                <w:lang w:eastAsia="zh-CN"/>
              </w:rPr>
            </w:pPr>
          </w:p>
        </w:tc>
        <w:tc>
          <w:tcPr>
            <w:tcW w:w="1316" w:type="dxa"/>
            <w:tcBorders>
              <w:top w:val="single" w:color="auto" w:sz="4" w:space="0"/>
              <w:left w:val="single" w:color="auto" w:sz="4" w:space="0"/>
              <w:right w:val="single" w:color="auto" w:sz="4" w:space="0"/>
            </w:tcBorders>
            <w:vAlign w:val="center"/>
          </w:tcPr>
          <w:p w14:paraId="7FCC49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spacing w:val="20"/>
                <w:szCs w:val="21"/>
                <w:highlight w:val="none"/>
                <w:lang w:val="en-US" w:eastAsia="zh-CN"/>
              </w:rPr>
            </w:pPr>
            <w:r>
              <w:rPr>
                <w:rFonts w:hint="eastAsia" w:ascii="微软雅黑" w:hAnsi="微软雅黑" w:cs="微软雅黑"/>
                <w:i w:val="0"/>
                <w:iCs w:val="0"/>
                <w:color w:val="000000"/>
                <w:kern w:val="0"/>
                <w:sz w:val="21"/>
                <w:szCs w:val="21"/>
                <w:u w:val="none"/>
                <w:lang w:val="en-US" w:eastAsia="zh-CN" w:bidi="ar"/>
              </w:rPr>
              <w:t>嘉兴本市</w:t>
            </w:r>
          </w:p>
        </w:tc>
        <w:tc>
          <w:tcPr>
            <w:tcW w:w="24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98FB2D">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3000.00</w:t>
            </w:r>
          </w:p>
        </w:tc>
      </w:tr>
    </w:tbl>
    <w:p w14:paraId="0F3D9331">
      <w:pPr>
        <w:ind w:firstLine="420"/>
        <w:rPr>
          <w:rFonts w:hint="eastAsia" w:ascii="微软雅黑" w:hAnsi="微软雅黑" w:eastAsia="微软雅黑" w:cs="微软雅黑"/>
          <w:bCs/>
          <w:kern w:val="36"/>
          <w:highlight w:val="none"/>
        </w:rPr>
      </w:pPr>
      <w:r>
        <w:rPr>
          <w:rFonts w:hint="eastAsia" w:ascii="微软雅黑" w:hAnsi="微软雅黑" w:eastAsia="微软雅黑" w:cs="微软雅黑"/>
          <w:szCs w:val="21"/>
          <w:highlight w:val="none"/>
        </w:rPr>
        <w:t>▲</w:t>
      </w:r>
      <w:r>
        <w:rPr>
          <w:rFonts w:hint="eastAsia" w:ascii="微软雅黑" w:hAnsi="微软雅黑" w:eastAsia="微软雅黑" w:cs="微软雅黑"/>
          <w:bCs/>
          <w:kern w:val="36"/>
          <w:highlight w:val="none"/>
        </w:rPr>
        <w:t>注：</w:t>
      </w:r>
    </w:p>
    <w:p w14:paraId="330D030F">
      <w:pPr>
        <w:pStyle w:val="29"/>
        <w:numPr>
          <w:ilvl w:val="1"/>
          <w:numId w:val="39"/>
        </w:numPr>
        <w:spacing w:line="360" w:lineRule="auto"/>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报价一经涂改，应在涂改处加盖单位公章或者由法定代表人或授权委托人签字或盖章，否则其投标作无效标处理。</w:t>
      </w:r>
    </w:p>
    <w:p w14:paraId="4E6C5D14">
      <w:pPr>
        <w:pStyle w:val="29"/>
        <w:numPr>
          <w:ilvl w:val="1"/>
          <w:numId w:val="39"/>
        </w:numPr>
        <w:spacing w:line="360" w:lineRule="auto"/>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线路预估金额为3000元/人，采用单价固定不下浮的方式报价，任何有浮动的报价均作无效标处理。</w:t>
      </w:r>
    </w:p>
    <w:p w14:paraId="1DC13A7B">
      <w:pPr>
        <w:pStyle w:val="29"/>
        <w:numPr>
          <w:ilvl w:val="1"/>
          <w:numId w:val="39"/>
        </w:numPr>
        <w:spacing w:line="360" w:lineRule="auto"/>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预估金额超过3000</w:t>
      </w:r>
      <w:r>
        <w:rPr>
          <w:rFonts w:hint="eastAsia" w:cs="微软雅黑"/>
          <w:highlight w:val="none"/>
          <w:lang w:val="en-US" w:eastAsia="zh-CN"/>
        </w:rPr>
        <w:t>.00</w:t>
      </w:r>
      <w:r>
        <w:rPr>
          <w:rFonts w:hint="eastAsia" w:ascii="微软雅黑" w:hAnsi="微软雅黑" w:eastAsia="微软雅黑" w:cs="微软雅黑"/>
          <w:highlight w:val="none"/>
        </w:rPr>
        <w:t>元/人的（其中3000</w:t>
      </w:r>
      <w:r>
        <w:rPr>
          <w:rFonts w:hint="eastAsia" w:cs="微软雅黑"/>
          <w:highlight w:val="none"/>
          <w:lang w:val="en-US" w:eastAsia="zh-CN"/>
        </w:rPr>
        <w:t>.00</w:t>
      </w:r>
      <w:r>
        <w:rPr>
          <w:rFonts w:hint="eastAsia" w:ascii="微软雅黑" w:hAnsi="微软雅黑" w:eastAsia="微软雅黑" w:cs="微软雅黑"/>
          <w:highlight w:val="none"/>
        </w:rPr>
        <w:t>元/人在本次招标内）超出补助部分由员工自理，超过当前线路预估金额的，报价作无效标处理</w:t>
      </w:r>
      <w:r>
        <w:rPr>
          <w:rFonts w:hint="eastAsia" w:cs="微软雅黑"/>
          <w:highlight w:val="none"/>
          <w:lang w:eastAsia="zh-CN"/>
        </w:rPr>
        <w:t>。</w:t>
      </w:r>
    </w:p>
    <w:p w14:paraId="3379673E">
      <w:pPr>
        <w:pStyle w:val="29"/>
        <w:numPr>
          <w:ilvl w:val="0"/>
          <w:numId w:val="0"/>
        </w:numPr>
        <w:spacing w:line="360" w:lineRule="auto"/>
        <w:ind w:leftChars="202"/>
        <w:rPr>
          <w:rFonts w:hint="eastAsia" w:ascii="微软雅黑" w:hAnsi="微软雅黑" w:eastAsia="微软雅黑" w:cs="微软雅黑"/>
          <w:highlight w:val="none"/>
        </w:rPr>
      </w:pPr>
    </w:p>
    <w:p w14:paraId="2880B36D">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投标人名称：（盖章）</w:t>
      </w:r>
    </w:p>
    <w:p w14:paraId="5F61C668">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法定代表人或</w:t>
      </w:r>
      <w:r>
        <w:rPr>
          <w:rFonts w:hint="eastAsia" w:ascii="微软雅黑" w:hAnsi="微软雅黑" w:eastAsia="微软雅黑" w:cs="微软雅黑"/>
          <w:highlight w:val="none"/>
        </w:rPr>
        <w:t>被授权人</w:t>
      </w:r>
      <w:r>
        <w:rPr>
          <w:rFonts w:hint="eastAsia" w:ascii="微软雅黑" w:hAnsi="微软雅黑" w:eastAsia="微软雅黑" w:cs="微软雅黑"/>
          <w:highlight w:val="none"/>
          <w:shd w:val="clear" w:color="auto" w:fill="FFFFFF"/>
        </w:rPr>
        <w:t>（签字或盖章）：</w:t>
      </w:r>
    </w:p>
    <w:p w14:paraId="7FED05D5">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sectPr>
          <w:pgSz w:w="11906" w:h="16838"/>
          <w:pgMar w:top="1440" w:right="1559" w:bottom="1440" w:left="1797" w:header="851" w:footer="851" w:gutter="0"/>
          <w:pgBorders>
            <w:top w:val="none" w:sz="0" w:space="0"/>
            <w:left w:val="none" w:sz="0" w:space="0"/>
            <w:bottom w:val="none" w:sz="0" w:space="0"/>
            <w:right w:val="none" w:sz="0" w:space="0"/>
          </w:pgBorders>
          <w:cols w:space="720" w:num="1"/>
        </w:sectPr>
      </w:pPr>
      <w:r>
        <w:rPr>
          <w:rFonts w:hint="eastAsia" w:ascii="微软雅黑" w:hAnsi="微软雅黑" w:eastAsia="微软雅黑" w:cs="微软雅黑"/>
          <w:highlight w:val="none"/>
          <w:shd w:val="clear" w:color="auto" w:fill="FFFFFF"/>
        </w:rPr>
        <w:t>投标日期：  年  月  日</w:t>
      </w:r>
    </w:p>
    <w:p w14:paraId="25C4ABBF">
      <w:pPr>
        <w:shd w:val="clear" w:color="auto" w:fill="FFFFFF"/>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附件：</w:t>
      </w:r>
    </w:p>
    <w:p w14:paraId="04FD8007">
      <w:pPr>
        <w:shd w:val="clear" w:color="auto" w:fill="FFFFFF"/>
        <w:ind w:firstLine="420"/>
        <w:jc w:val="center"/>
        <w:rPr>
          <w:rFonts w:hint="eastAsia" w:ascii="微软雅黑" w:hAnsi="微软雅黑" w:eastAsia="微软雅黑" w:cs="微软雅黑"/>
          <w:b/>
          <w:szCs w:val="21"/>
          <w:highlight w:val="none"/>
        </w:rPr>
      </w:pPr>
    </w:p>
    <w:p w14:paraId="0C254485">
      <w:pPr>
        <w:shd w:val="clear" w:color="auto" w:fill="FFFFFF"/>
        <w:ind w:firstLine="420"/>
        <w:jc w:val="center"/>
        <w:rPr>
          <w:rFonts w:hint="eastAsia" w:ascii="微软雅黑" w:hAnsi="微软雅黑" w:eastAsia="微软雅黑" w:cs="微软雅黑"/>
          <w:bCs/>
          <w:szCs w:val="21"/>
          <w:highlight w:val="none"/>
        </w:rPr>
      </w:pPr>
      <w:bookmarkStart w:id="349" w:name="_Toc23088"/>
      <w:bookmarkStart w:id="350" w:name="_Toc164943235"/>
      <w:r>
        <w:rPr>
          <w:rFonts w:hint="eastAsia" w:ascii="微软雅黑" w:hAnsi="微软雅黑" w:eastAsia="微软雅黑" w:cs="微软雅黑"/>
          <w:b/>
          <w:szCs w:val="21"/>
          <w:highlight w:val="none"/>
        </w:rPr>
        <w:t>国家统计局关于印发统计上大中小微型企业划分办法的通知</w:t>
      </w:r>
      <w:bookmarkEnd w:id="349"/>
      <w:bookmarkEnd w:id="350"/>
    </w:p>
    <w:p w14:paraId="0CC249BB">
      <w:pPr>
        <w:shd w:val="clear" w:color="auto" w:fill="FFFFFF"/>
        <w:ind w:firstLine="420"/>
        <w:jc w:val="center"/>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国统字〔2011〕75号</w:t>
      </w:r>
    </w:p>
    <w:p w14:paraId="1493533E">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72ED2FD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各省、自治区、直辖市统计局，新疆生产建设兵团统计局，国家统计局各调查总队，国务院有关部门：</w:t>
      </w:r>
    </w:p>
    <w:p w14:paraId="10520FE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37399419">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36F341DF">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2D32EA18">
      <w:pPr>
        <w:shd w:val="clear" w:color="auto" w:fill="FFFFFF"/>
        <w:ind w:firstLine="420"/>
        <w:jc w:val="right"/>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国家统计局 </w:t>
      </w:r>
    </w:p>
    <w:p w14:paraId="154B6BA5">
      <w:pPr>
        <w:shd w:val="clear" w:color="auto" w:fill="FFFFFF"/>
        <w:ind w:firstLine="420"/>
        <w:jc w:val="right"/>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二〇一一年九月二日</w:t>
      </w:r>
    </w:p>
    <w:p w14:paraId="096D5304">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42166B2A">
      <w:pPr>
        <w:shd w:val="clear" w:color="auto" w:fill="FFFFFF"/>
        <w:ind w:firstLine="420"/>
        <w:jc w:val="center"/>
        <w:rPr>
          <w:rFonts w:hint="eastAsia" w:ascii="微软雅黑" w:hAnsi="微软雅黑" w:eastAsia="微软雅黑" w:cs="微软雅黑"/>
          <w:bCs/>
          <w:szCs w:val="21"/>
          <w:highlight w:val="none"/>
        </w:rPr>
      </w:pPr>
      <w:bookmarkStart w:id="351" w:name="_Toc23951"/>
      <w:bookmarkStart w:id="352" w:name="_Toc164943236"/>
      <w:r>
        <w:rPr>
          <w:rFonts w:hint="eastAsia" w:ascii="微软雅黑" w:hAnsi="微软雅黑" w:eastAsia="微软雅黑" w:cs="微软雅黑"/>
          <w:b/>
          <w:szCs w:val="21"/>
          <w:highlight w:val="none"/>
        </w:rPr>
        <w:t>统计上大中小微型企业划分办法</w:t>
      </w:r>
      <w:bookmarkEnd w:id="351"/>
      <w:bookmarkEnd w:id="352"/>
    </w:p>
    <w:p w14:paraId="7119F243">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0B6FE389">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一、根据工业和信息化部、国家统计局、国家发展改革委、财政部《关于印发中小企业划型标准规定的通知》（工信部联企业〔2011〕300号），结合统计工作的实际情况，特制定本办法。</w:t>
      </w:r>
    </w:p>
    <w:p w14:paraId="5E78C786">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5A8B47D4">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二、本办法适用对象为在中华人民共和国境内依法设立的各种组织形式的法人企业或单位。个体工商户参照本办法进行划分。</w:t>
      </w:r>
    </w:p>
    <w:p w14:paraId="2C4F7C4A">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05FE86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四、本办法按照行业门类、大类、中类和组合类别，依据从业人员、营业收入、资产总额等指标或替代指标，将我国的企业划分为大型、中型、小型、微型等四种类型。具体划分标准见附表。</w:t>
      </w:r>
    </w:p>
    <w:p w14:paraId="7A6419E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五、企业划分由政府综合统计部门根据统计年报每年确定一次，定报统计原则上不进行调整。</w:t>
      </w:r>
    </w:p>
    <w:p w14:paraId="6D4376C2">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六、本办法自印发之日起执行，国家统计局2003年印发的《统计上大中小型企业划分办法（暂行）》（国统字〔2003〕17号）同时废止。</w:t>
      </w:r>
    </w:p>
    <w:p w14:paraId="502FDAA6">
      <w:pPr>
        <w:shd w:val="clear" w:color="auto" w:fill="FFFFFF"/>
        <w:rPr>
          <w:rFonts w:hint="eastAsia" w:ascii="微软雅黑" w:hAnsi="微软雅黑" w:eastAsia="微软雅黑" w:cs="微软雅黑"/>
          <w:bCs/>
          <w:szCs w:val="21"/>
          <w:highlight w:val="none"/>
        </w:rPr>
      </w:pPr>
      <w:r>
        <w:rPr>
          <w:rFonts w:hint="eastAsia" w:ascii="微软雅黑" w:hAnsi="微软雅黑" w:eastAsia="微软雅黑" w:cs="微软雅黑"/>
          <w:b/>
          <w:sz w:val="24"/>
          <w:highlight w:val="none"/>
        </w:rPr>
        <w:t> </w:t>
      </w:r>
      <w:r>
        <w:rPr>
          <w:rFonts w:hint="eastAsia" w:ascii="微软雅黑" w:hAnsi="微软雅黑" w:eastAsia="微软雅黑" w:cs="微软雅黑"/>
          <w:szCs w:val="21"/>
          <w:highlight w:val="none"/>
        </w:rPr>
        <w:t>　　附表：</w:t>
      </w:r>
    </w:p>
    <w:p w14:paraId="56E3FAFA">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r>
        <w:rPr>
          <w:rFonts w:hint="eastAsia" w:ascii="微软雅黑" w:hAnsi="微软雅黑" w:eastAsia="微软雅黑" w:cs="微软雅黑"/>
          <w:b/>
          <w:szCs w:val="21"/>
          <w:highlight w:val="none"/>
        </w:rPr>
        <w:t>统计上大中小微型企业划分标准</w:t>
      </w:r>
    </w:p>
    <w:tbl>
      <w:tblPr>
        <w:tblStyle w:val="53"/>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23F4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shd w:val="clear" w:color="auto" w:fill="auto"/>
            <w:tcMar>
              <w:top w:w="0" w:type="dxa"/>
              <w:left w:w="108" w:type="dxa"/>
              <w:bottom w:w="0" w:type="dxa"/>
              <w:right w:w="108" w:type="dxa"/>
            </w:tcMar>
            <w:vAlign w:val="center"/>
          </w:tcPr>
          <w:p w14:paraId="03203F83">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24"/>
                <w:highlight w:val="none"/>
              </w:rPr>
              <w:t> </w:t>
            </w:r>
            <w:r>
              <w:rPr>
                <w:rFonts w:hint="eastAsia" w:ascii="微软雅黑" w:hAnsi="微软雅黑" w:eastAsia="微软雅黑" w:cs="微软雅黑"/>
                <w:b/>
                <w:sz w:val="18"/>
                <w:szCs w:val="18"/>
                <w:highlight w:val="none"/>
              </w:rPr>
              <w:t>行业名称</w:t>
            </w:r>
          </w:p>
        </w:tc>
        <w:tc>
          <w:tcPr>
            <w:tcW w:w="1281" w:type="dxa"/>
            <w:shd w:val="clear" w:color="auto" w:fill="auto"/>
            <w:tcMar>
              <w:top w:w="0" w:type="dxa"/>
              <w:left w:w="108" w:type="dxa"/>
              <w:bottom w:w="0" w:type="dxa"/>
              <w:right w:w="108" w:type="dxa"/>
            </w:tcMar>
            <w:vAlign w:val="center"/>
          </w:tcPr>
          <w:p w14:paraId="07312D48">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指标名称</w:t>
            </w:r>
          </w:p>
        </w:tc>
        <w:tc>
          <w:tcPr>
            <w:tcW w:w="758" w:type="dxa"/>
            <w:shd w:val="clear" w:color="auto" w:fill="auto"/>
            <w:tcMar>
              <w:top w:w="0" w:type="dxa"/>
              <w:left w:w="108" w:type="dxa"/>
              <w:bottom w:w="0" w:type="dxa"/>
              <w:right w:w="108" w:type="dxa"/>
            </w:tcMar>
            <w:vAlign w:val="center"/>
          </w:tcPr>
          <w:p w14:paraId="04A2C87A">
            <w:pPr>
              <w:spacing w:line="240" w:lineRule="auto"/>
              <w:ind w:firstLine="0" w:firstLineChars="0"/>
              <w:jc w:val="center"/>
              <w:rPr>
                <w:rFonts w:hint="eastAsia" w:ascii="微软雅黑" w:hAnsi="微软雅黑" w:eastAsia="微软雅黑" w:cs="微软雅黑"/>
                <w:b/>
                <w:sz w:val="18"/>
                <w:szCs w:val="18"/>
                <w:highlight w:val="none"/>
              </w:rPr>
            </w:pPr>
            <w:r>
              <w:rPr>
                <w:rFonts w:hint="eastAsia" w:ascii="微软雅黑" w:hAnsi="微软雅黑" w:eastAsia="微软雅黑" w:cs="微软雅黑"/>
                <w:b/>
                <w:sz w:val="18"/>
                <w:szCs w:val="18"/>
                <w:highlight w:val="none"/>
              </w:rPr>
              <w:t>计量</w:t>
            </w:r>
          </w:p>
          <w:p w14:paraId="73F1A5F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单位</w:t>
            </w:r>
          </w:p>
        </w:tc>
        <w:tc>
          <w:tcPr>
            <w:tcW w:w="993" w:type="dxa"/>
            <w:shd w:val="clear" w:color="auto" w:fill="auto"/>
            <w:tcMar>
              <w:top w:w="0" w:type="dxa"/>
              <w:left w:w="108" w:type="dxa"/>
              <w:bottom w:w="0" w:type="dxa"/>
              <w:right w:w="108" w:type="dxa"/>
            </w:tcMar>
            <w:vAlign w:val="center"/>
          </w:tcPr>
          <w:p w14:paraId="18789B0D">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大型</w:t>
            </w:r>
          </w:p>
        </w:tc>
        <w:tc>
          <w:tcPr>
            <w:tcW w:w="1491" w:type="dxa"/>
            <w:shd w:val="clear" w:color="auto" w:fill="auto"/>
            <w:tcMar>
              <w:top w:w="0" w:type="dxa"/>
              <w:left w:w="108" w:type="dxa"/>
              <w:bottom w:w="0" w:type="dxa"/>
              <w:right w:w="108" w:type="dxa"/>
            </w:tcMar>
            <w:vAlign w:val="center"/>
          </w:tcPr>
          <w:p w14:paraId="65E0F5A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中型</w:t>
            </w:r>
          </w:p>
        </w:tc>
        <w:tc>
          <w:tcPr>
            <w:tcW w:w="1315" w:type="dxa"/>
            <w:shd w:val="clear" w:color="auto" w:fill="auto"/>
            <w:tcMar>
              <w:top w:w="0" w:type="dxa"/>
              <w:left w:w="108" w:type="dxa"/>
              <w:bottom w:w="0" w:type="dxa"/>
              <w:right w:w="108" w:type="dxa"/>
            </w:tcMar>
            <w:vAlign w:val="center"/>
          </w:tcPr>
          <w:p w14:paraId="023CB66D">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小型</w:t>
            </w:r>
          </w:p>
        </w:tc>
        <w:tc>
          <w:tcPr>
            <w:tcW w:w="908" w:type="dxa"/>
            <w:shd w:val="clear" w:color="auto" w:fill="auto"/>
            <w:tcMar>
              <w:top w:w="0" w:type="dxa"/>
              <w:left w:w="108" w:type="dxa"/>
              <w:bottom w:w="0" w:type="dxa"/>
              <w:right w:w="108" w:type="dxa"/>
            </w:tcMar>
            <w:vAlign w:val="center"/>
          </w:tcPr>
          <w:p w14:paraId="6E2F3442">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微型</w:t>
            </w:r>
          </w:p>
        </w:tc>
      </w:tr>
      <w:tr w14:paraId="2DF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7F49259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农、林、牧、渔业</w:t>
            </w:r>
          </w:p>
        </w:tc>
        <w:tc>
          <w:tcPr>
            <w:tcW w:w="1281" w:type="dxa"/>
            <w:shd w:val="clear" w:color="auto" w:fill="auto"/>
            <w:tcMar>
              <w:top w:w="0" w:type="dxa"/>
              <w:left w:w="108" w:type="dxa"/>
              <w:bottom w:w="0" w:type="dxa"/>
              <w:right w:w="108" w:type="dxa"/>
            </w:tcMar>
            <w:vAlign w:val="center"/>
          </w:tcPr>
          <w:p w14:paraId="343552D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7CB7517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FBD939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Y≥20000</w:t>
            </w:r>
          </w:p>
        </w:tc>
        <w:tc>
          <w:tcPr>
            <w:tcW w:w="1491" w:type="dxa"/>
            <w:shd w:val="clear" w:color="auto" w:fill="auto"/>
            <w:tcMar>
              <w:top w:w="0" w:type="dxa"/>
              <w:left w:w="108" w:type="dxa"/>
              <w:bottom w:w="0" w:type="dxa"/>
              <w:right w:w="108" w:type="dxa"/>
            </w:tcMar>
            <w:vAlign w:val="center"/>
          </w:tcPr>
          <w:p w14:paraId="46D3821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500≤Y＜20000</w:t>
            </w:r>
          </w:p>
        </w:tc>
        <w:tc>
          <w:tcPr>
            <w:tcW w:w="1315" w:type="dxa"/>
            <w:shd w:val="clear" w:color="auto" w:fill="auto"/>
            <w:tcMar>
              <w:top w:w="0" w:type="dxa"/>
              <w:left w:w="108" w:type="dxa"/>
              <w:bottom w:w="0" w:type="dxa"/>
              <w:right w:w="108" w:type="dxa"/>
            </w:tcMar>
            <w:vAlign w:val="center"/>
          </w:tcPr>
          <w:p w14:paraId="3B32605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50≤Y＜500</w:t>
            </w:r>
          </w:p>
        </w:tc>
        <w:tc>
          <w:tcPr>
            <w:tcW w:w="908" w:type="dxa"/>
            <w:shd w:val="clear" w:color="auto" w:fill="auto"/>
            <w:tcMar>
              <w:top w:w="0" w:type="dxa"/>
              <w:left w:w="108" w:type="dxa"/>
              <w:bottom w:w="0" w:type="dxa"/>
              <w:right w:w="108" w:type="dxa"/>
            </w:tcMar>
            <w:vAlign w:val="center"/>
          </w:tcPr>
          <w:p w14:paraId="16A75F2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w:t>
            </w:r>
          </w:p>
        </w:tc>
      </w:tr>
      <w:tr w14:paraId="3123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68ACB42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工业 *</w:t>
            </w:r>
          </w:p>
        </w:tc>
        <w:tc>
          <w:tcPr>
            <w:tcW w:w="1281" w:type="dxa"/>
            <w:shd w:val="clear" w:color="auto" w:fill="auto"/>
            <w:tcMar>
              <w:top w:w="0" w:type="dxa"/>
              <w:left w:w="108" w:type="dxa"/>
              <w:bottom w:w="0" w:type="dxa"/>
              <w:right w:w="108" w:type="dxa"/>
            </w:tcMar>
            <w:vAlign w:val="center"/>
          </w:tcPr>
          <w:p w14:paraId="4489222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5BF0ED8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44D5B52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55927F5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702C09F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20≤X＜300</w:t>
            </w:r>
          </w:p>
        </w:tc>
        <w:tc>
          <w:tcPr>
            <w:tcW w:w="908" w:type="dxa"/>
            <w:shd w:val="clear" w:color="auto" w:fill="auto"/>
            <w:tcMar>
              <w:top w:w="0" w:type="dxa"/>
              <w:left w:w="108" w:type="dxa"/>
              <w:bottom w:w="0" w:type="dxa"/>
              <w:right w:w="108" w:type="dxa"/>
            </w:tcMar>
            <w:vAlign w:val="center"/>
          </w:tcPr>
          <w:p w14:paraId="64872F0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454A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F0E053B">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47EB640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2C683D5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3606680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Y≥40000</w:t>
            </w:r>
          </w:p>
        </w:tc>
        <w:tc>
          <w:tcPr>
            <w:tcW w:w="1491" w:type="dxa"/>
            <w:shd w:val="clear" w:color="auto" w:fill="auto"/>
            <w:tcMar>
              <w:top w:w="0" w:type="dxa"/>
              <w:left w:w="108" w:type="dxa"/>
              <w:bottom w:w="0" w:type="dxa"/>
              <w:right w:w="108" w:type="dxa"/>
            </w:tcMar>
            <w:vAlign w:val="center"/>
          </w:tcPr>
          <w:p w14:paraId="2ED0E50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2000≤Y＜40000</w:t>
            </w:r>
          </w:p>
        </w:tc>
        <w:tc>
          <w:tcPr>
            <w:tcW w:w="1315" w:type="dxa"/>
            <w:shd w:val="clear" w:color="auto" w:fill="auto"/>
            <w:tcMar>
              <w:top w:w="0" w:type="dxa"/>
              <w:left w:w="108" w:type="dxa"/>
              <w:bottom w:w="0" w:type="dxa"/>
              <w:right w:w="108" w:type="dxa"/>
            </w:tcMar>
            <w:vAlign w:val="center"/>
          </w:tcPr>
          <w:p w14:paraId="1EEFF2C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300≤Y＜2000</w:t>
            </w:r>
          </w:p>
        </w:tc>
        <w:tc>
          <w:tcPr>
            <w:tcW w:w="908" w:type="dxa"/>
            <w:shd w:val="clear" w:color="auto" w:fill="auto"/>
            <w:tcMar>
              <w:top w:w="0" w:type="dxa"/>
              <w:left w:w="108" w:type="dxa"/>
              <w:bottom w:w="0" w:type="dxa"/>
              <w:right w:w="108" w:type="dxa"/>
            </w:tcMar>
            <w:vAlign w:val="center"/>
          </w:tcPr>
          <w:p w14:paraId="7641619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w:t>
            </w:r>
          </w:p>
        </w:tc>
      </w:tr>
      <w:tr w14:paraId="04B6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51B8924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建筑业</w:t>
            </w:r>
          </w:p>
        </w:tc>
        <w:tc>
          <w:tcPr>
            <w:tcW w:w="1281" w:type="dxa"/>
            <w:shd w:val="clear" w:color="auto" w:fill="auto"/>
            <w:tcMar>
              <w:top w:w="0" w:type="dxa"/>
              <w:left w:w="108" w:type="dxa"/>
              <w:bottom w:w="0" w:type="dxa"/>
              <w:right w:w="108" w:type="dxa"/>
            </w:tcMar>
            <w:vAlign w:val="center"/>
          </w:tcPr>
          <w:p w14:paraId="30D0FBF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5C603AA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2B8054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Y≥80000</w:t>
            </w:r>
          </w:p>
        </w:tc>
        <w:tc>
          <w:tcPr>
            <w:tcW w:w="1491" w:type="dxa"/>
            <w:shd w:val="clear" w:color="auto" w:fill="auto"/>
            <w:tcMar>
              <w:top w:w="0" w:type="dxa"/>
              <w:left w:w="108" w:type="dxa"/>
              <w:bottom w:w="0" w:type="dxa"/>
              <w:right w:w="108" w:type="dxa"/>
            </w:tcMar>
            <w:vAlign w:val="center"/>
          </w:tcPr>
          <w:p w14:paraId="18AEFCA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6000≤Y＜80000</w:t>
            </w:r>
          </w:p>
        </w:tc>
        <w:tc>
          <w:tcPr>
            <w:tcW w:w="1315" w:type="dxa"/>
            <w:shd w:val="clear" w:color="auto" w:fill="auto"/>
            <w:tcMar>
              <w:top w:w="0" w:type="dxa"/>
              <w:left w:w="108" w:type="dxa"/>
              <w:bottom w:w="0" w:type="dxa"/>
              <w:right w:w="108" w:type="dxa"/>
            </w:tcMar>
            <w:vAlign w:val="center"/>
          </w:tcPr>
          <w:p w14:paraId="0C1FBC1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300≤Y＜6000</w:t>
            </w:r>
          </w:p>
        </w:tc>
        <w:tc>
          <w:tcPr>
            <w:tcW w:w="908" w:type="dxa"/>
            <w:shd w:val="clear" w:color="auto" w:fill="auto"/>
            <w:tcMar>
              <w:top w:w="0" w:type="dxa"/>
              <w:left w:w="108" w:type="dxa"/>
              <w:bottom w:w="0" w:type="dxa"/>
              <w:right w:w="108" w:type="dxa"/>
            </w:tcMar>
            <w:vAlign w:val="center"/>
          </w:tcPr>
          <w:p w14:paraId="387F3F8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w:t>
            </w:r>
          </w:p>
        </w:tc>
      </w:tr>
      <w:tr w14:paraId="0046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54AA17A">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2B21A4B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资产总额(Z)</w:t>
            </w:r>
          </w:p>
        </w:tc>
        <w:tc>
          <w:tcPr>
            <w:tcW w:w="758" w:type="dxa"/>
            <w:shd w:val="clear" w:color="auto" w:fill="auto"/>
            <w:tcMar>
              <w:top w:w="0" w:type="dxa"/>
              <w:left w:w="108" w:type="dxa"/>
              <w:bottom w:w="0" w:type="dxa"/>
              <w:right w:w="108" w:type="dxa"/>
            </w:tcMar>
            <w:vAlign w:val="center"/>
          </w:tcPr>
          <w:p w14:paraId="44B86FF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2AD64F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Z≥80000</w:t>
            </w:r>
          </w:p>
        </w:tc>
        <w:tc>
          <w:tcPr>
            <w:tcW w:w="1491" w:type="dxa"/>
            <w:shd w:val="clear" w:color="auto" w:fill="auto"/>
            <w:tcMar>
              <w:top w:w="0" w:type="dxa"/>
              <w:left w:w="108" w:type="dxa"/>
              <w:bottom w:w="0" w:type="dxa"/>
              <w:right w:w="108" w:type="dxa"/>
            </w:tcMar>
            <w:vAlign w:val="center"/>
          </w:tcPr>
          <w:p w14:paraId="01078E6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5000≤Z＜80000</w:t>
            </w:r>
          </w:p>
        </w:tc>
        <w:tc>
          <w:tcPr>
            <w:tcW w:w="1315" w:type="dxa"/>
            <w:shd w:val="clear" w:color="auto" w:fill="auto"/>
            <w:tcMar>
              <w:top w:w="0" w:type="dxa"/>
              <w:left w:w="108" w:type="dxa"/>
              <w:bottom w:w="0" w:type="dxa"/>
              <w:right w:w="108" w:type="dxa"/>
            </w:tcMar>
            <w:vAlign w:val="center"/>
          </w:tcPr>
          <w:p w14:paraId="19EEFFA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300≤Z＜5000</w:t>
            </w:r>
          </w:p>
        </w:tc>
        <w:tc>
          <w:tcPr>
            <w:tcW w:w="908" w:type="dxa"/>
            <w:shd w:val="clear" w:color="auto" w:fill="auto"/>
            <w:tcMar>
              <w:top w:w="0" w:type="dxa"/>
              <w:left w:w="108" w:type="dxa"/>
              <w:bottom w:w="0" w:type="dxa"/>
              <w:right w:w="108" w:type="dxa"/>
            </w:tcMar>
            <w:vAlign w:val="center"/>
          </w:tcPr>
          <w:p w14:paraId="00D180C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Z＜300</w:t>
            </w:r>
          </w:p>
        </w:tc>
      </w:tr>
      <w:tr w14:paraId="24B3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2429BBA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批发业</w:t>
            </w:r>
          </w:p>
        </w:tc>
        <w:tc>
          <w:tcPr>
            <w:tcW w:w="1281" w:type="dxa"/>
            <w:shd w:val="clear" w:color="auto" w:fill="auto"/>
            <w:tcMar>
              <w:top w:w="0" w:type="dxa"/>
              <w:left w:w="108" w:type="dxa"/>
              <w:bottom w:w="0" w:type="dxa"/>
              <w:right w:w="108" w:type="dxa"/>
            </w:tcMar>
            <w:vAlign w:val="center"/>
          </w:tcPr>
          <w:p w14:paraId="70101AB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4DD43D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27808C9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X≥200</w:t>
            </w:r>
          </w:p>
        </w:tc>
        <w:tc>
          <w:tcPr>
            <w:tcW w:w="1491" w:type="dxa"/>
            <w:shd w:val="clear" w:color="auto" w:fill="auto"/>
            <w:tcMar>
              <w:top w:w="0" w:type="dxa"/>
              <w:left w:w="108" w:type="dxa"/>
              <w:bottom w:w="0" w:type="dxa"/>
              <w:right w:w="108" w:type="dxa"/>
            </w:tcMar>
            <w:vAlign w:val="center"/>
          </w:tcPr>
          <w:p w14:paraId="099F200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20≤X＜200</w:t>
            </w:r>
          </w:p>
        </w:tc>
        <w:tc>
          <w:tcPr>
            <w:tcW w:w="1315" w:type="dxa"/>
            <w:shd w:val="clear" w:color="auto" w:fill="auto"/>
            <w:tcMar>
              <w:top w:w="0" w:type="dxa"/>
              <w:left w:w="108" w:type="dxa"/>
              <w:bottom w:w="0" w:type="dxa"/>
              <w:right w:w="108" w:type="dxa"/>
            </w:tcMar>
            <w:vAlign w:val="center"/>
          </w:tcPr>
          <w:p w14:paraId="389C80D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5≤X＜20</w:t>
            </w:r>
          </w:p>
        </w:tc>
        <w:tc>
          <w:tcPr>
            <w:tcW w:w="908" w:type="dxa"/>
            <w:shd w:val="clear" w:color="auto" w:fill="auto"/>
            <w:tcMar>
              <w:top w:w="0" w:type="dxa"/>
              <w:left w:w="108" w:type="dxa"/>
              <w:bottom w:w="0" w:type="dxa"/>
              <w:right w:w="108" w:type="dxa"/>
            </w:tcMar>
            <w:vAlign w:val="center"/>
          </w:tcPr>
          <w:p w14:paraId="670778D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X＜5</w:t>
            </w:r>
          </w:p>
        </w:tc>
      </w:tr>
      <w:tr w14:paraId="2BC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0EF3C83">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14F1316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0400FEA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35363C6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Y≥40000</w:t>
            </w:r>
          </w:p>
        </w:tc>
        <w:tc>
          <w:tcPr>
            <w:tcW w:w="1491" w:type="dxa"/>
            <w:shd w:val="clear" w:color="auto" w:fill="auto"/>
            <w:tcMar>
              <w:top w:w="0" w:type="dxa"/>
              <w:left w:w="108" w:type="dxa"/>
              <w:bottom w:w="0" w:type="dxa"/>
              <w:right w:w="108" w:type="dxa"/>
            </w:tcMar>
            <w:vAlign w:val="center"/>
          </w:tcPr>
          <w:p w14:paraId="7CB7752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5000≤Y＜40000</w:t>
            </w:r>
          </w:p>
        </w:tc>
        <w:tc>
          <w:tcPr>
            <w:tcW w:w="1315" w:type="dxa"/>
            <w:shd w:val="clear" w:color="auto" w:fill="auto"/>
            <w:tcMar>
              <w:top w:w="0" w:type="dxa"/>
              <w:left w:w="108" w:type="dxa"/>
              <w:bottom w:w="0" w:type="dxa"/>
              <w:right w:w="108" w:type="dxa"/>
            </w:tcMar>
            <w:vAlign w:val="center"/>
          </w:tcPr>
          <w:p w14:paraId="25158B0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1000≤Y＜5000</w:t>
            </w:r>
          </w:p>
        </w:tc>
        <w:tc>
          <w:tcPr>
            <w:tcW w:w="908" w:type="dxa"/>
            <w:shd w:val="clear" w:color="auto" w:fill="auto"/>
            <w:tcMar>
              <w:top w:w="0" w:type="dxa"/>
              <w:left w:w="108" w:type="dxa"/>
              <w:bottom w:w="0" w:type="dxa"/>
              <w:right w:w="108" w:type="dxa"/>
            </w:tcMar>
            <w:vAlign w:val="center"/>
          </w:tcPr>
          <w:p w14:paraId="4683076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w:t>
            </w:r>
          </w:p>
        </w:tc>
      </w:tr>
      <w:tr w14:paraId="3083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160BCDE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零售业</w:t>
            </w:r>
          </w:p>
        </w:tc>
        <w:tc>
          <w:tcPr>
            <w:tcW w:w="1281" w:type="dxa"/>
            <w:shd w:val="clear" w:color="auto" w:fill="auto"/>
            <w:tcMar>
              <w:top w:w="0" w:type="dxa"/>
              <w:left w:w="108" w:type="dxa"/>
              <w:bottom w:w="0" w:type="dxa"/>
              <w:right w:w="108" w:type="dxa"/>
            </w:tcMar>
            <w:vAlign w:val="center"/>
          </w:tcPr>
          <w:p w14:paraId="5DE7E83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24C588F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49250C0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2D4C4D2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50≤X＜300</w:t>
            </w:r>
          </w:p>
        </w:tc>
        <w:tc>
          <w:tcPr>
            <w:tcW w:w="1315" w:type="dxa"/>
            <w:shd w:val="clear" w:color="auto" w:fill="auto"/>
            <w:tcMar>
              <w:top w:w="0" w:type="dxa"/>
              <w:left w:w="108" w:type="dxa"/>
              <w:bottom w:w="0" w:type="dxa"/>
              <w:right w:w="108" w:type="dxa"/>
            </w:tcMar>
            <w:vAlign w:val="center"/>
          </w:tcPr>
          <w:p w14:paraId="6337AED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10≤X＜50</w:t>
            </w:r>
          </w:p>
        </w:tc>
        <w:tc>
          <w:tcPr>
            <w:tcW w:w="908" w:type="dxa"/>
            <w:shd w:val="clear" w:color="auto" w:fill="auto"/>
            <w:tcMar>
              <w:top w:w="0" w:type="dxa"/>
              <w:left w:w="108" w:type="dxa"/>
              <w:bottom w:w="0" w:type="dxa"/>
              <w:right w:w="108" w:type="dxa"/>
            </w:tcMar>
            <w:vAlign w:val="center"/>
          </w:tcPr>
          <w:p w14:paraId="6A3C909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78B9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C6DE855">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5F76CCA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6B9649A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F9593B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Y≥20000</w:t>
            </w:r>
          </w:p>
        </w:tc>
        <w:tc>
          <w:tcPr>
            <w:tcW w:w="1491" w:type="dxa"/>
            <w:shd w:val="clear" w:color="auto" w:fill="auto"/>
            <w:tcMar>
              <w:top w:w="0" w:type="dxa"/>
              <w:left w:w="108" w:type="dxa"/>
              <w:bottom w:w="0" w:type="dxa"/>
              <w:right w:w="108" w:type="dxa"/>
            </w:tcMar>
            <w:vAlign w:val="center"/>
          </w:tcPr>
          <w:p w14:paraId="284FD45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500≤Y＜20000</w:t>
            </w:r>
          </w:p>
        </w:tc>
        <w:tc>
          <w:tcPr>
            <w:tcW w:w="1315" w:type="dxa"/>
            <w:shd w:val="clear" w:color="auto" w:fill="auto"/>
            <w:tcMar>
              <w:top w:w="0" w:type="dxa"/>
              <w:left w:w="108" w:type="dxa"/>
              <w:bottom w:w="0" w:type="dxa"/>
              <w:right w:w="108" w:type="dxa"/>
            </w:tcMar>
            <w:vAlign w:val="center"/>
          </w:tcPr>
          <w:p w14:paraId="19916B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100≤Y＜500</w:t>
            </w:r>
          </w:p>
        </w:tc>
        <w:tc>
          <w:tcPr>
            <w:tcW w:w="908" w:type="dxa"/>
            <w:shd w:val="clear" w:color="auto" w:fill="auto"/>
            <w:tcMar>
              <w:top w:w="0" w:type="dxa"/>
              <w:left w:w="108" w:type="dxa"/>
              <w:bottom w:w="0" w:type="dxa"/>
              <w:right w:w="108" w:type="dxa"/>
            </w:tcMar>
            <w:vAlign w:val="center"/>
          </w:tcPr>
          <w:p w14:paraId="7AC528C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570B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0AF5C05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交通运输业 *</w:t>
            </w:r>
          </w:p>
        </w:tc>
        <w:tc>
          <w:tcPr>
            <w:tcW w:w="1281" w:type="dxa"/>
            <w:shd w:val="clear" w:color="auto" w:fill="auto"/>
            <w:tcMar>
              <w:top w:w="0" w:type="dxa"/>
              <w:left w:w="108" w:type="dxa"/>
              <w:bottom w:w="0" w:type="dxa"/>
              <w:right w:w="108" w:type="dxa"/>
            </w:tcMar>
            <w:vAlign w:val="center"/>
          </w:tcPr>
          <w:p w14:paraId="10DF782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6812629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245DFC1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449C32F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375C850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20≤X＜300</w:t>
            </w:r>
          </w:p>
        </w:tc>
        <w:tc>
          <w:tcPr>
            <w:tcW w:w="908" w:type="dxa"/>
            <w:shd w:val="clear" w:color="auto" w:fill="auto"/>
            <w:tcMar>
              <w:top w:w="0" w:type="dxa"/>
              <w:left w:w="108" w:type="dxa"/>
              <w:bottom w:w="0" w:type="dxa"/>
              <w:right w:w="108" w:type="dxa"/>
            </w:tcMar>
            <w:vAlign w:val="center"/>
          </w:tcPr>
          <w:p w14:paraId="7367253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6928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73DE4F4">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1C856A7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45521A9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9D2F80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Y≥30000</w:t>
            </w:r>
          </w:p>
        </w:tc>
        <w:tc>
          <w:tcPr>
            <w:tcW w:w="1491" w:type="dxa"/>
            <w:shd w:val="clear" w:color="auto" w:fill="auto"/>
            <w:tcMar>
              <w:top w:w="0" w:type="dxa"/>
              <w:left w:w="108" w:type="dxa"/>
              <w:bottom w:w="0" w:type="dxa"/>
              <w:right w:w="108" w:type="dxa"/>
            </w:tcMar>
            <w:vAlign w:val="center"/>
          </w:tcPr>
          <w:p w14:paraId="2D8146C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3000≤Y＜30000</w:t>
            </w:r>
          </w:p>
        </w:tc>
        <w:tc>
          <w:tcPr>
            <w:tcW w:w="1315" w:type="dxa"/>
            <w:shd w:val="clear" w:color="auto" w:fill="auto"/>
            <w:tcMar>
              <w:top w:w="0" w:type="dxa"/>
              <w:left w:w="108" w:type="dxa"/>
              <w:bottom w:w="0" w:type="dxa"/>
              <w:right w:w="108" w:type="dxa"/>
            </w:tcMar>
            <w:vAlign w:val="center"/>
          </w:tcPr>
          <w:p w14:paraId="5386443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200≤Y＜3000</w:t>
            </w:r>
          </w:p>
        </w:tc>
        <w:tc>
          <w:tcPr>
            <w:tcW w:w="908" w:type="dxa"/>
            <w:shd w:val="clear" w:color="auto" w:fill="auto"/>
            <w:tcMar>
              <w:top w:w="0" w:type="dxa"/>
              <w:left w:w="108" w:type="dxa"/>
              <w:bottom w:w="0" w:type="dxa"/>
              <w:right w:w="108" w:type="dxa"/>
            </w:tcMar>
            <w:vAlign w:val="center"/>
          </w:tcPr>
          <w:p w14:paraId="60F3199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w:t>
            </w:r>
          </w:p>
        </w:tc>
      </w:tr>
      <w:tr w14:paraId="6C1E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560D94D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仓储业</w:t>
            </w:r>
          </w:p>
        </w:tc>
        <w:tc>
          <w:tcPr>
            <w:tcW w:w="1281" w:type="dxa"/>
            <w:shd w:val="clear" w:color="auto" w:fill="auto"/>
            <w:tcMar>
              <w:top w:w="0" w:type="dxa"/>
              <w:left w:w="108" w:type="dxa"/>
              <w:bottom w:w="0" w:type="dxa"/>
              <w:right w:w="108" w:type="dxa"/>
            </w:tcMar>
            <w:vAlign w:val="center"/>
          </w:tcPr>
          <w:p w14:paraId="6214F45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58EDC84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352A1BF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X≥200</w:t>
            </w:r>
          </w:p>
        </w:tc>
        <w:tc>
          <w:tcPr>
            <w:tcW w:w="1491" w:type="dxa"/>
            <w:shd w:val="clear" w:color="auto" w:fill="auto"/>
            <w:tcMar>
              <w:top w:w="0" w:type="dxa"/>
              <w:left w:w="108" w:type="dxa"/>
              <w:bottom w:w="0" w:type="dxa"/>
              <w:right w:w="108" w:type="dxa"/>
            </w:tcMar>
            <w:vAlign w:val="center"/>
          </w:tcPr>
          <w:p w14:paraId="2B80E04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100≤X＜200</w:t>
            </w:r>
          </w:p>
        </w:tc>
        <w:tc>
          <w:tcPr>
            <w:tcW w:w="1315" w:type="dxa"/>
            <w:shd w:val="clear" w:color="auto" w:fill="auto"/>
            <w:tcMar>
              <w:top w:w="0" w:type="dxa"/>
              <w:left w:w="108" w:type="dxa"/>
              <w:bottom w:w="0" w:type="dxa"/>
              <w:right w:w="108" w:type="dxa"/>
            </w:tcMar>
            <w:vAlign w:val="center"/>
          </w:tcPr>
          <w:p w14:paraId="0A29BB9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20≤X＜100</w:t>
            </w:r>
          </w:p>
        </w:tc>
        <w:tc>
          <w:tcPr>
            <w:tcW w:w="908" w:type="dxa"/>
            <w:shd w:val="clear" w:color="auto" w:fill="auto"/>
            <w:tcMar>
              <w:top w:w="0" w:type="dxa"/>
              <w:left w:w="108" w:type="dxa"/>
              <w:bottom w:w="0" w:type="dxa"/>
              <w:right w:w="108" w:type="dxa"/>
            </w:tcMar>
            <w:vAlign w:val="center"/>
          </w:tcPr>
          <w:p w14:paraId="7E0DA27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0E37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39E186E">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431C30D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2B8B869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22B850A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Y≥30000</w:t>
            </w:r>
          </w:p>
        </w:tc>
        <w:tc>
          <w:tcPr>
            <w:tcW w:w="1491" w:type="dxa"/>
            <w:shd w:val="clear" w:color="auto" w:fill="auto"/>
            <w:tcMar>
              <w:top w:w="0" w:type="dxa"/>
              <w:left w:w="108" w:type="dxa"/>
              <w:bottom w:w="0" w:type="dxa"/>
              <w:right w:w="108" w:type="dxa"/>
            </w:tcMar>
            <w:vAlign w:val="center"/>
          </w:tcPr>
          <w:p w14:paraId="13FB478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1000≤Y＜30000</w:t>
            </w:r>
          </w:p>
        </w:tc>
        <w:tc>
          <w:tcPr>
            <w:tcW w:w="1315" w:type="dxa"/>
            <w:shd w:val="clear" w:color="auto" w:fill="auto"/>
            <w:tcMar>
              <w:top w:w="0" w:type="dxa"/>
              <w:left w:w="108" w:type="dxa"/>
              <w:bottom w:w="0" w:type="dxa"/>
              <w:right w:w="108" w:type="dxa"/>
            </w:tcMar>
            <w:vAlign w:val="center"/>
          </w:tcPr>
          <w:p w14:paraId="29F2C6C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100≤Y＜1000</w:t>
            </w:r>
          </w:p>
        </w:tc>
        <w:tc>
          <w:tcPr>
            <w:tcW w:w="908" w:type="dxa"/>
            <w:shd w:val="clear" w:color="auto" w:fill="auto"/>
            <w:tcMar>
              <w:top w:w="0" w:type="dxa"/>
              <w:left w:w="108" w:type="dxa"/>
              <w:bottom w:w="0" w:type="dxa"/>
              <w:right w:w="108" w:type="dxa"/>
            </w:tcMar>
            <w:vAlign w:val="center"/>
          </w:tcPr>
          <w:p w14:paraId="61BF980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2E61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7A7B23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邮政业</w:t>
            </w:r>
          </w:p>
        </w:tc>
        <w:tc>
          <w:tcPr>
            <w:tcW w:w="1281" w:type="dxa"/>
            <w:shd w:val="clear" w:color="auto" w:fill="auto"/>
            <w:tcMar>
              <w:top w:w="0" w:type="dxa"/>
              <w:left w:w="108" w:type="dxa"/>
              <w:bottom w:w="0" w:type="dxa"/>
              <w:right w:w="108" w:type="dxa"/>
            </w:tcMar>
            <w:vAlign w:val="center"/>
          </w:tcPr>
          <w:p w14:paraId="776D83B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F63985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6AD821B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00932B3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28EE02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20≤X＜300</w:t>
            </w:r>
          </w:p>
        </w:tc>
        <w:tc>
          <w:tcPr>
            <w:tcW w:w="908" w:type="dxa"/>
            <w:shd w:val="clear" w:color="auto" w:fill="auto"/>
            <w:tcMar>
              <w:top w:w="0" w:type="dxa"/>
              <w:left w:w="108" w:type="dxa"/>
              <w:bottom w:w="0" w:type="dxa"/>
              <w:right w:w="108" w:type="dxa"/>
            </w:tcMar>
            <w:vAlign w:val="center"/>
          </w:tcPr>
          <w:p w14:paraId="4DDCE59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4259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EF0E646">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5ABF003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6C792B2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F7A69A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Y≥30000</w:t>
            </w:r>
          </w:p>
        </w:tc>
        <w:tc>
          <w:tcPr>
            <w:tcW w:w="1491" w:type="dxa"/>
            <w:shd w:val="clear" w:color="auto" w:fill="auto"/>
            <w:tcMar>
              <w:top w:w="0" w:type="dxa"/>
              <w:left w:w="108" w:type="dxa"/>
              <w:bottom w:w="0" w:type="dxa"/>
              <w:right w:w="108" w:type="dxa"/>
            </w:tcMar>
            <w:vAlign w:val="center"/>
          </w:tcPr>
          <w:p w14:paraId="1635670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2000≤Y＜30000</w:t>
            </w:r>
          </w:p>
        </w:tc>
        <w:tc>
          <w:tcPr>
            <w:tcW w:w="1315" w:type="dxa"/>
            <w:shd w:val="clear" w:color="auto" w:fill="auto"/>
            <w:tcMar>
              <w:top w:w="0" w:type="dxa"/>
              <w:left w:w="108" w:type="dxa"/>
              <w:bottom w:w="0" w:type="dxa"/>
              <w:right w:w="108" w:type="dxa"/>
            </w:tcMar>
            <w:vAlign w:val="center"/>
          </w:tcPr>
          <w:p w14:paraId="19BDFBD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100≤Y＜2000</w:t>
            </w:r>
          </w:p>
        </w:tc>
        <w:tc>
          <w:tcPr>
            <w:tcW w:w="908" w:type="dxa"/>
            <w:shd w:val="clear" w:color="auto" w:fill="auto"/>
            <w:tcMar>
              <w:top w:w="0" w:type="dxa"/>
              <w:left w:w="108" w:type="dxa"/>
              <w:bottom w:w="0" w:type="dxa"/>
              <w:right w:w="108" w:type="dxa"/>
            </w:tcMar>
            <w:vAlign w:val="center"/>
          </w:tcPr>
          <w:p w14:paraId="287241F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5C79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BD19AF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住宿业</w:t>
            </w:r>
          </w:p>
        </w:tc>
        <w:tc>
          <w:tcPr>
            <w:tcW w:w="1281" w:type="dxa"/>
            <w:shd w:val="clear" w:color="auto" w:fill="auto"/>
            <w:tcMar>
              <w:top w:w="0" w:type="dxa"/>
              <w:left w:w="108" w:type="dxa"/>
              <w:bottom w:w="0" w:type="dxa"/>
              <w:right w:w="108" w:type="dxa"/>
            </w:tcMar>
            <w:vAlign w:val="center"/>
          </w:tcPr>
          <w:p w14:paraId="33326E5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0BECDA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22E44A4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2B031C2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315BD62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2B32F1F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7A2D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4BC33C59">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1BEF069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3BDC83A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5B4863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w:t>
            </w:r>
          </w:p>
        </w:tc>
        <w:tc>
          <w:tcPr>
            <w:tcW w:w="1491" w:type="dxa"/>
            <w:shd w:val="clear" w:color="auto" w:fill="auto"/>
            <w:tcMar>
              <w:top w:w="0" w:type="dxa"/>
              <w:left w:w="108" w:type="dxa"/>
              <w:bottom w:w="0" w:type="dxa"/>
              <w:right w:w="108" w:type="dxa"/>
            </w:tcMar>
            <w:vAlign w:val="center"/>
          </w:tcPr>
          <w:p w14:paraId="498E14A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2000≤Y＜10000</w:t>
            </w:r>
          </w:p>
        </w:tc>
        <w:tc>
          <w:tcPr>
            <w:tcW w:w="1315" w:type="dxa"/>
            <w:shd w:val="clear" w:color="auto" w:fill="auto"/>
            <w:tcMar>
              <w:top w:w="0" w:type="dxa"/>
              <w:left w:w="108" w:type="dxa"/>
              <w:bottom w:w="0" w:type="dxa"/>
              <w:right w:w="108" w:type="dxa"/>
            </w:tcMar>
            <w:vAlign w:val="center"/>
          </w:tcPr>
          <w:p w14:paraId="6ABAD2E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100≤Y＜2000</w:t>
            </w:r>
          </w:p>
        </w:tc>
        <w:tc>
          <w:tcPr>
            <w:tcW w:w="908" w:type="dxa"/>
            <w:shd w:val="clear" w:color="auto" w:fill="auto"/>
            <w:tcMar>
              <w:top w:w="0" w:type="dxa"/>
              <w:left w:w="108" w:type="dxa"/>
              <w:bottom w:w="0" w:type="dxa"/>
              <w:right w:w="108" w:type="dxa"/>
            </w:tcMar>
            <w:vAlign w:val="center"/>
          </w:tcPr>
          <w:p w14:paraId="1C3A0DB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1F30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47DF555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餐饮业</w:t>
            </w:r>
          </w:p>
        </w:tc>
        <w:tc>
          <w:tcPr>
            <w:tcW w:w="1281" w:type="dxa"/>
            <w:shd w:val="clear" w:color="auto" w:fill="auto"/>
            <w:tcMar>
              <w:top w:w="0" w:type="dxa"/>
              <w:left w:w="108" w:type="dxa"/>
              <w:bottom w:w="0" w:type="dxa"/>
              <w:right w:w="108" w:type="dxa"/>
            </w:tcMar>
            <w:vAlign w:val="center"/>
          </w:tcPr>
          <w:p w14:paraId="5DD942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72C87C1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104E3AA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242C011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4732979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7AEE333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7B52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381FA14">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7C639A8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142CB9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2C46A5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w:t>
            </w:r>
          </w:p>
        </w:tc>
        <w:tc>
          <w:tcPr>
            <w:tcW w:w="1491" w:type="dxa"/>
            <w:shd w:val="clear" w:color="auto" w:fill="auto"/>
            <w:tcMar>
              <w:top w:w="0" w:type="dxa"/>
              <w:left w:w="108" w:type="dxa"/>
              <w:bottom w:w="0" w:type="dxa"/>
              <w:right w:w="108" w:type="dxa"/>
            </w:tcMar>
            <w:vAlign w:val="center"/>
          </w:tcPr>
          <w:p w14:paraId="142F4E3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2000≤Y＜10000</w:t>
            </w:r>
          </w:p>
        </w:tc>
        <w:tc>
          <w:tcPr>
            <w:tcW w:w="1315" w:type="dxa"/>
            <w:shd w:val="clear" w:color="auto" w:fill="auto"/>
            <w:tcMar>
              <w:top w:w="0" w:type="dxa"/>
              <w:left w:w="108" w:type="dxa"/>
              <w:bottom w:w="0" w:type="dxa"/>
              <w:right w:w="108" w:type="dxa"/>
            </w:tcMar>
            <w:vAlign w:val="center"/>
          </w:tcPr>
          <w:p w14:paraId="75D75A1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 100≤Y＜2000</w:t>
            </w:r>
          </w:p>
        </w:tc>
        <w:tc>
          <w:tcPr>
            <w:tcW w:w="908" w:type="dxa"/>
            <w:shd w:val="clear" w:color="auto" w:fill="auto"/>
            <w:tcMar>
              <w:top w:w="0" w:type="dxa"/>
              <w:left w:w="108" w:type="dxa"/>
              <w:bottom w:w="0" w:type="dxa"/>
              <w:right w:w="108" w:type="dxa"/>
            </w:tcMar>
            <w:vAlign w:val="center"/>
          </w:tcPr>
          <w:p w14:paraId="61A7BEE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1A1D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2C4E464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信息传输业 *</w:t>
            </w:r>
          </w:p>
        </w:tc>
        <w:tc>
          <w:tcPr>
            <w:tcW w:w="1281" w:type="dxa"/>
            <w:shd w:val="clear" w:color="auto" w:fill="auto"/>
            <w:tcMar>
              <w:top w:w="0" w:type="dxa"/>
              <w:left w:w="108" w:type="dxa"/>
              <w:bottom w:w="0" w:type="dxa"/>
              <w:right w:w="108" w:type="dxa"/>
            </w:tcMar>
            <w:vAlign w:val="center"/>
          </w:tcPr>
          <w:p w14:paraId="51EA5B2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26B870D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0CCEABE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X≥2000</w:t>
            </w:r>
          </w:p>
        </w:tc>
        <w:tc>
          <w:tcPr>
            <w:tcW w:w="1491" w:type="dxa"/>
            <w:shd w:val="clear" w:color="auto" w:fill="auto"/>
            <w:tcMar>
              <w:top w:w="0" w:type="dxa"/>
              <w:left w:w="108" w:type="dxa"/>
              <w:bottom w:w="0" w:type="dxa"/>
              <w:right w:w="108" w:type="dxa"/>
            </w:tcMar>
            <w:vAlign w:val="center"/>
          </w:tcPr>
          <w:p w14:paraId="6FA45ED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100≤X＜2000</w:t>
            </w:r>
          </w:p>
        </w:tc>
        <w:tc>
          <w:tcPr>
            <w:tcW w:w="1315" w:type="dxa"/>
            <w:shd w:val="clear" w:color="auto" w:fill="auto"/>
            <w:tcMar>
              <w:top w:w="0" w:type="dxa"/>
              <w:left w:w="108" w:type="dxa"/>
              <w:bottom w:w="0" w:type="dxa"/>
              <w:right w:w="108" w:type="dxa"/>
            </w:tcMar>
            <w:vAlign w:val="center"/>
          </w:tcPr>
          <w:p w14:paraId="0FD6DC8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40D72E7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2EDB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42495D7">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3A954B4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0C76758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3788A5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Y≥100000</w:t>
            </w:r>
          </w:p>
        </w:tc>
        <w:tc>
          <w:tcPr>
            <w:tcW w:w="1491" w:type="dxa"/>
            <w:shd w:val="clear" w:color="auto" w:fill="auto"/>
            <w:tcMar>
              <w:top w:w="0" w:type="dxa"/>
              <w:left w:w="108" w:type="dxa"/>
              <w:bottom w:w="0" w:type="dxa"/>
              <w:right w:w="108" w:type="dxa"/>
            </w:tcMar>
            <w:vAlign w:val="center"/>
          </w:tcPr>
          <w:p w14:paraId="103C1C3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1000≤Y＜100000</w:t>
            </w:r>
          </w:p>
        </w:tc>
        <w:tc>
          <w:tcPr>
            <w:tcW w:w="1315" w:type="dxa"/>
            <w:shd w:val="clear" w:color="auto" w:fill="auto"/>
            <w:tcMar>
              <w:top w:w="0" w:type="dxa"/>
              <w:left w:w="108" w:type="dxa"/>
              <w:bottom w:w="0" w:type="dxa"/>
              <w:right w:w="108" w:type="dxa"/>
            </w:tcMar>
            <w:vAlign w:val="center"/>
          </w:tcPr>
          <w:p w14:paraId="6D13AF3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100≤Y＜1000</w:t>
            </w:r>
          </w:p>
        </w:tc>
        <w:tc>
          <w:tcPr>
            <w:tcW w:w="908" w:type="dxa"/>
            <w:shd w:val="clear" w:color="auto" w:fill="auto"/>
            <w:tcMar>
              <w:top w:w="0" w:type="dxa"/>
              <w:left w:w="108" w:type="dxa"/>
              <w:bottom w:w="0" w:type="dxa"/>
              <w:right w:w="108" w:type="dxa"/>
            </w:tcMar>
            <w:vAlign w:val="center"/>
          </w:tcPr>
          <w:p w14:paraId="2734C7A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4C64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38CF712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pacing w:val="-12"/>
                <w:sz w:val="18"/>
                <w:szCs w:val="18"/>
                <w:highlight w:val="none"/>
              </w:rPr>
              <w:t>软件和信息技术服</w:t>
            </w:r>
            <w:r>
              <w:rPr>
                <w:rFonts w:hint="eastAsia" w:ascii="微软雅黑" w:hAnsi="微软雅黑" w:eastAsia="微软雅黑" w:cs="微软雅黑"/>
                <w:sz w:val="18"/>
                <w:szCs w:val="18"/>
                <w:highlight w:val="none"/>
              </w:rPr>
              <w:t>务业</w:t>
            </w:r>
          </w:p>
        </w:tc>
        <w:tc>
          <w:tcPr>
            <w:tcW w:w="1281" w:type="dxa"/>
            <w:shd w:val="clear" w:color="auto" w:fill="auto"/>
            <w:tcMar>
              <w:top w:w="0" w:type="dxa"/>
              <w:left w:w="108" w:type="dxa"/>
              <w:bottom w:w="0" w:type="dxa"/>
              <w:right w:w="108" w:type="dxa"/>
            </w:tcMar>
            <w:vAlign w:val="center"/>
          </w:tcPr>
          <w:p w14:paraId="093424C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074CB8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0BB1BC77">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3C97C559">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257AAFF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6EBC646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68AD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493152E6">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044618A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102B682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6C475238">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w:t>
            </w:r>
          </w:p>
        </w:tc>
        <w:tc>
          <w:tcPr>
            <w:tcW w:w="1491" w:type="dxa"/>
            <w:shd w:val="clear" w:color="auto" w:fill="auto"/>
            <w:tcMar>
              <w:top w:w="0" w:type="dxa"/>
              <w:left w:w="108" w:type="dxa"/>
              <w:bottom w:w="0" w:type="dxa"/>
              <w:right w:w="108" w:type="dxa"/>
            </w:tcMar>
            <w:vAlign w:val="center"/>
          </w:tcPr>
          <w:p w14:paraId="072A1513">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1000≤Y＜10000</w:t>
            </w:r>
          </w:p>
        </w:tc>
        <w:tc>
          <w:tcPr>
            <w:tcW w:w="1315" w:type="dxa"/>
            <w:shd w:val="clear" w:color="auto" w:fill="auto"/>
            <w:tcMar>
              <w:top w:w="0" w:type="dxa"/>
              <w:left w:w="108" w:type="dxa"/>
              <w:bottom w:w="0" w:type="dxa"/>
              <w:right w:w="108" w:type="dxa"/>
            </w:tcMar>
            <w:vAlign w:val="center"/>
          </w:tcPr>
          <w:p w14:paraId="74772E9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50≤Y＜1000</w:t>
            </w:r>
          </w:p>
        </w:tc>
        <w:tc>
          <w:tcPr>
            <w:tcW w:w="908" w:type="dxa"/>
            <w:shd w:val="clear" w:color="auto" w:fill="auto"/>
            <w:tcMar>
              <w:top w:w="0" w:type="dxa"/>
              <w:left w:w="108" w:type="dxa"/>
              <w:bottom w:w="0" w:type="dxa"/>
              <w:right w:w="108" w:type="dxa"/>
            </w:tcMar>
            <w:vAlign w:val="center"/>
          </w:tcPr>
          <w:p w14:paraId="1B42B1D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w:t>
            </w:r>
          </w:p>
        </w:tc>
      </w:tr>
      <w:tr w14:paraId="0AAC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5FB2A97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房地产开发经营</w:t>
            </w:r>
          </w:p>
        </w:tc>
        <w:tc>
          <w:tcPr>
            <w:tcW w:w="1281" w:type="dxa"/>
            <w:shd w:val="clear" w:color="auto" w:fill="auto"/>
            <w:tcMar>
              <w:top w:w="0" w:type="dxa"/>
              <w:left w:w="108" w:type="dxa"/>
              <w:bottom w:w="0" w:type="dxa"/>
              <w:right w:w="108" w:type="dxa"/>
            </w:tcMar>
            <w:vAlign w:val="center"/>
          </w:tcPr>
          <w:p w14:paraId="641CAB9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3AEF02B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E47F7E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Y≥200000</w:t>
            </w:r>
          </w:p>
        </w:tc>
        <w:tc>
          <w:tcPr>
            <w:tcW w:w="1491" w:type="dxa"/>
            <w:shd w:val="clear" w:color="auto" w:fill="auto"/>
            <w:tcMar>
              <w:top w:w="0" w:type="dxa"/>
              <w:left w:w="108" w:type="dxa"/>
              <w:bottom w:w="0" w:type="dxa"/>
              <w:right w:w="108" w:type="dxa"/>
            </w:tcMar>
            <w:vAlign w:val="center"/>
          </w:tcPr>
          <w:p w14:paraId="29FF29F2">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 1000≤Y＜200000</w:t>
            </w:r>
          </w:p>
        </w:tc>
        <w:tc>
          <w:tcPr>
            <w:tcW w:w="1315" w:type="dxa"/>
            <w:shd w:val="clear" w:color="auto" w:fill="auto"/>
            <w:tcMar>
              <w:top w:w="0" w:type="dxa"/>
              <w:left w:w="108" w:type="dxa"/>
              <w:bottom w:w="0" w:type="dxa"/>
              <w:right w:w="108" w:type="dxa"/>
            </w:tcMar>
            <w:vAlign w:val="center"/>
          </w:tcPr>
          <w:p w14:paraId="3CF903A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100≤Y＜1000</w:t>
            </w:r>
          </w:p>
        </w:tc>
        <w:tc>
          <w:tcPr>
            <w:tcW w:w="908" w:type="dxa"/>
            <w:shd w:val="clear" w:color="auto" w:fill="auto"/>
            <w:tcMar>
              <w:top w:w="0" w:type="dxa"/>
              <w:left w:w="108" w:type="dxa"/>
              <w:bottom w:w="0" w:type="dxa"/>
              <w:right w:w="108" w:type="dxa"/>
            </w:tcMar>
            <w:vAlign w:val="center"/>
          </w:tcPr>
          <w:p w14:paraId="380DF63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1DF5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9D7D3CE">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37E54DB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资产总额(Z)</w:t>
            </w:r>
          </w:p>
        </w:tc>
        <w:tc>
          <w:tcPr>
            <w:tcW w:w="758" w:type="dxa"/>
            <w:shd w:val="clear" w:color="auto" w:fill="auto"/>
            <w:tcMar>
              <w:top w:w="0" w:type="dxa"/>
              <w:left w:w="108" w:type="dxa"/>
              <w:bottom w:w="0" w:type="dxa"/>
              <w:right w:w="108" w:type="dxa"/>
            </w:tcMar>
            <w:vAlign w:val="center"/>
          </w:tcPr>
          <w:p w14:paraId="72E2608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19F1EF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Z≥10000</w:t>
            </w:r>
          </w:p>
        </w:tc>
        <w:tc>
          <w:tcPr>
            <w:tcW w:w="1491" w:type="dxa"/>
            <w:shd w:val="clear" w:color="auto" w:fill="auto"/>
            <w:tcMar>
              <w:top w:w="0" w:type="dxa"/>
              <w:left w:w="108" w:type="dxa"/>
              <w:bottom w:w="0" w:type="dxa"/>
              <w:right w:w="108" w:type="dxa"/>
            </w:tcMar>
            <w:vAlign w:val="center"/>
          </w:tcPr>
          <w:p w14:paraId="0073116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5000≤Z＜10000</w:t>
            </w:r>
          </w:p>
        </w:tc>
        <w:tc>
          <w:tcPr>
            <w:tcW w:w="1315" w:type="dxa"/>
            <w:shd w:val="clear" w:color="auto" w:fill="auto"/>
            <w:tcMar>
              <w:top w:w="0" w:type="dxa"/>
              <w:left w:w="108" w:type="dxa"/>
              <w:bottom w:w="0" w:type="dxa"/>
              <w:right w:w="108" w:type="dxa"/>
            </w:tcMar>
            <w:vAlign w:val="center"/>
          </w:tcPr>
          <w:p w14:paraId="596EFD5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2000≤Z＜5000  </w:t>
            </w:r>
          </w:p>
        </w:tc>
        <w:tc>
          <w:tcPr>
            <w:tcW w:w="908" w:type="dxa"/>
            <w:shd w:val="clear" w:color="auto" w:fill="auto"/>
            <w:tcMar>
              <w:top w:w="0" w:type="dxa"/>
              <w:left w:w="108" w:type="dxa"/>
              <w:bottom w:w="0" w:type="dxa"/>
              <w:right w:w="108" w:type="dxa"/>
            </w:tcMar>
            <w:vAlign w:val="center"/>
          </w:tcPr>
          <w:p w14:paraId="11F9246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Z＜2000</w:t>
            </w:r>
          </w:p>
        </w:tc>
      </w:tr>
      <w:tr w14:paraId="26A8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70BA3FD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物业管理</w:t>
            </w:r>
          </w:p>
        </w:tc>
        <w:tc>
          <w:tcPr>
            <w:tcW w:w="1281" w:type="dxa"/>
            <w:shd w:val="clear" w:color="auto" w:fill="auto"/>
            <w:tcMar>
              <w:top w:w="0" w:type="dxa"/>
              <w:left w:w="108" w:type="dxa"/>
              <w:bottom w:w="0" w:type="dxa"/>
              <w:right w:w="108" w:type="dxa"/>
            </w:tcMar>
            <w:vAlign w:val="center"/>
          </w:tcPr>
          <w:p w14:paraId="342FDC4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2B23044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7968329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2D69D56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502C7E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908" w:type="dxa"/>
            <w:shd w:val="clear" w:color="auto" w:fill="auto"/>
            <w:tcMar>
              <w:top w:w="0" w:type="dxa"/>
              <w:left w:w="108" w:type="dxa"/>
              <w:bottom w:w="0" w:type="dxa"/>
              <w:right w:w="108" w:type="dxa"/>
            </w:tcMar>
            <w:vAlign w:val="center"/>
          </w:tcPr>
          <w:p w14:paraId="55F8036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w:t>
            </w:r>
          </w:p>
        </w:tc>
      </w:tr>
      <w:tr w14:paraId="2E38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2BC68812">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7A5EDE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2484E4E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94F6E2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Y≥5000</w:t>
            </w:r>
          </w:p>
        </w:tc>
        <w:tc>
          <w:tcPr>
            <w:tcW w:w="1491" w:type="dxa"/>
            <w:shd w:val="clear" w:color="auto" w:fill="auto"/>
            <w:tcMar>
              <w:top w:w="0" w:type="dxa"/>
              <w:left w:w="108" w:type="dxa"/>
              <w:bottom w:w="0" w:type="dxa"/>
              <w:right w:w="108" w:type="dxa"/>
            </w:tcMar>
            <w:vAlign w:val="center"/>
          </w:tcPr>
          <w:p w14:paraId="1742ADE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1000≤Y＜5000</w:t>
            </w:r>
          </w:p>
        </w:tc>
        <w:tc>
          <w:tcPr>
            <w:tcW w:w="1315" w:type="dxa"/>
            <w:shd w:val="clear" w:color="auto" w:fill="auto"/>
            <w:tcMar>
              <w:top w:w="0" w:type="dxa"/>
              <w:left w:w="108" w:type="dxa"/>
              <w:bottom w:w="0" w:type="dxa"/>
              <w:right w:w="108" w:type="dxa"/>
            </w:tcMar>
            <w:vAlign w:val="center"/>
          </w:tcPr>
          <w:p w14:paraId="7415826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500≤Y＜1000</w:t>
            </w:r>
          </w:p>
        </w:tc>
        <w:tc>
          <w:tcPr>
            <w:tcW w:w="908" w:type="dxa"/>
            <w:shd w:val="clear" w:color="auto" w:fill="auto"/>
            <w:tcMar>
              <w:top w:w="0" w:type="dxa"/>
              <w:left w:w="108" w:type="dxa"/>
              <w:bottom w:w="0" w:type="dxa"/>
              <w:right w:w="108" w:type="dxa"/>
            </w:tcMar>
            <w:vAlign w:val="center"/>
          </w:tcPr>
          <w:p w14:paraId="7838984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Y＜500</w:t>
            </w:r>
          </w:p>
        </w:tc>
      </w:tr>
      <w:tr w14:paraId="5E4E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36A3910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租赁和商务服务业</w:t>
            </w:r>
          </w:p>
        </w:tc>
        <w:tc>
          <w:tcPr>
            <w:tcW w:w="1281" w:type="dxa"/>
            <w:shd w:val="clear" w:color="auto" w:fill="auto"/>
            <w:tcMar>
              <w:top w:w="0" w:type="dxa"/>
              <w:left w:w="108" w:type="dxa"/>
              <w:bottom w:w="0" w:type="dxa"/>
              <w:right w:w="108" w:type="dxa"/>
            </w:tcMar>
            <w:vAlign w:val="center"/>
          </w:tcPr>
          <w:p w14:paraId="3C0044B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7159D62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1E79B20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3DAF3C7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06AF621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1153FE4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1F54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D525F6F">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2C23E08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资产总额(Z)</w:t>
            </w:r>
          </w:p>
        </w:tc>
        <w:tc>
          <w:tcPr>
            <w:tcW w:w="758" w:type="dxa"/>
            <w:shd w:val="clear" w:color="auto" w:fill="auto"/>
            <w:tcMar>
              <w:top w:w="0" w:type="dxa"/>
              <w:left w:w="108" w:type="dxa"/>
              <w:bottom w:w="0" w:type="dxa"/>
              <w:right w:w="108" w:type="dxa"/>
            </w:tcMar>
            <w:vAlign w:val="center"/>
          </w:tcPr>
          <w:p w14:paraId="776914D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550B99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Z≥120000</w:t>
            </w:r>
          </w:p>
        </w:tc>
        <w:tc>
          <w:tcPr>
            <w:tcW w:w="1491" w:type="dxa"/>
            <w:shd w:val="clear" w:color="auto" w:fill="auto"/>
            <w:tcMar>
              <w:top w:w="0" w:type="dxa"/>
              <w:left w:w="108" w:type="dxa"/>
              <w:bottom w:w="0" w:type="dxa"/>
              <w:right w:w="108" w:type="dxa"/>
            </w:tcMar>
            <w:vAlign w:val="center"/>
          </w:tcPr>
          <w:p w14:paraId="54EBE47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8000≤Z＜120000</w:t>
            </w:r>
          </w:p>
        </w:tc>
        <w:tc>
          <w:tcPr>
            <w:tcW w:w="1315" w:type="dxa"/>
            <w:shd w:val="clear" w:color="auto" w:fill="auto"/>
            <w:tcMar>
              <w:top w:w="0" w:type="dxa"/>
              <w:left w:w="108" w:type="dxa"/>
              <w:bottom w:w="0" w:type="dxa"/>
              <w:right w:w="108" w:type="dxa"/>
            </w:tcMar>
            <w:vAlign w:val="center"/>
          </w:tcPr>
          <w:p w14:paraId="78A970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100≤Z＜8000</w:t>
            </w:r>
          </w:p>
        </w:tc>
        <w:tc>
          <w:tcPr>
            <w:tcW w:w="908" w:type="dxa"/>
            <w:shd w:val="clear" w:color="auto" w:fill="auto"/>
            <w:tcMar>
              <w:top w:w="0" w:type="dxa"/>
              <w:left w:w="108" w:type="dxa"/>
              <w:bottom w:w="0" w:type="dxa"/>
              <w:right w:w="108" w:type="dxa"/>
            </w:tcMar>
            <w:vAlign w:val="center"/>
          </w:tcPr>
          <w:p w14:paraId="173D222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Z＜100</w:t>
            </w:r>
          </w:p>
        </w:tc>
      </w:tr>
      <w:tr w14:paraId="370B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7799AC2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其他未列明行业 *</w:t>
            </w:r>
          </w:p>
        </w:tc>
        <w:tc>
          <w:tcPr>
            <w:tcW w:w="1281" w:type="dxa"/>
            <w:shd w:val="clear" w:color="auto" w:fill="auto"/>
            <w:tcMar>
              <w:top w:w="0" w:type="dxa"/>
              <w:left w:w="108" w:type="dxa"/>
              <w:bottom w:w="0" w:type="dxa"/>
              <w:right w:w="108" w:type="dxa"/>
            </w:tcMar>
            <w:vAlign w:val="center"/>
          </w:tcPr>
          <w:p w14:paraId="5D6EF46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04A37E0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0F2654C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4C8FB47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400AB5A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75E6EC7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bl>
    <w:p w14:paraId="3C65FE41">
      <w:pPr>
        <w:shd w:val="clear" w:color="auto" w:fill="FFFFFF"/>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z w:val="18"/>
          <w:szCs w:val="18"/>
          <w:highlight w:val="none"/>
        </w:rPr>
        <w:t> </w:t>
      </w:r>
      <w:r>
        <w:rPr>
          <w:rFonts w:hint="eastAsia" w:ascii="微软雅黑" w:hAnsi="微软雅黑" w:eastAsia="微软雅黑" w:cs="微软雅黑"/>
          <w:spacing w:val="8"/>
          <w:sz w:val="24"/>
          <w:highlight w:val="none"/>
        </w:rPr>
        <w:t>　</w:t>
      </w:r>
      <w:r>
        <w:rPr>
          <w:rFonts w:hint="eastAsia" w:ascii="微软雅黑" w:hAnsi="微软雅黑" w:eastAsia="微软雅黑" w:cs="微软雅黑"/>
          <w:spacing w:val="8"/>
          <w:szCs w:val="21"/>
          <w:highlight w:val="none"/>
        </w:rPr>
        <w:t>　说明：</w:t>
      </w:r>
    </w:p>
    <w:p w14:paraId="2FD7C900">
      <w:pPr>
        <w:shd w:val="clear" w:color="auto" w:fill="FFFFFF"/>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pacing w:val="8"/>
          <w:szCs w:val="21"/>
          <w:highlight w:val="none"/>
        </w:rPr>
        <w:t> 　　1.大型、中型和小型企业须同时满足所列指标的下限，否则下划一档；微型企业只须满足所列指标中的一项即可。</w:t>
      </w:r>
    </w:p>
    <w:p w14:paraId="0446C01F">
      <w:pPr>
        <w:shd w:val="clear" w:color="auto" w:fill="FFFFFF"/>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pacing w:val="8"/>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94524CD">
      <w:pPr>
        <w:shd w:val="clear" w:color="auto" w:fill="FFFFFF"/>
        <w:ind w:firstLine="0" w:firstLineChars="0"/>
        <w:rPr>
          <w:rFonts w:hint="eastAsia" w:ascii="微软雅黑" w:hAnsi="微软雅黑" w:eastAsia="微软雅黑" w:cs="微软雅黑"/>
          <w:highlight w:val="none"/>
        </w:rPr>
      </w:pPr>
      <w:r>
        <w:rPr>
          <w:rFonts w:hint="eastAsia" w:ascii="微软雅黑" w:hAnsi="微软雅黑" w:eastAsia="微软雅黑" w:cs="微软雅黑"/>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footerReference r:id="rId22" w:type="default"/>
      <w:pgSz w:w="11906" w:h="16838"/>
      <w:pgMar w:top="1474" w:right="1797" w:bottom="1247" w:left="1797"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9CF272D-D1AB-46C4-AB3C-CD1DF47A88E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B5124993-5D8E-459D-8795-5314989593CF}"/>
  </w:font>
  <w:font w:name="仿宋_GB2312">
    <w:panose1 w:val="02010609030101010101"/>
    <w:charset w:val="86"/>
    <w:family w:val="modern"/>
    <w:pitch w:val="default"/>
    <w:sig w:usb0="00000001" w:usb1="080E0000" w:usb2="00000000" w:usb3="00000000" w:csb0="00040000" w:csb1="00000000"/>
    <w:embedRegular r:id="rId3" w:fontKey="{50BF61B8-916A-4059-92DC-B014B125DC5B}"/>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7A6F">
    <w:pPr>
      <w:pStyle w:val="3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87220"/>
    </w:sdtPr>
    <w:sdtContent>
      <w:p w14:paraId="14E51FDC">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3503EF5F">
    <w:pPr>
      <w:ind w:firstLine="42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CB00">
    <w:pPr>
      <w:pStyle w:val="35"/>
      <w:ind w:left="360" w:firstLine="36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69676670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564A9790">
                          <w:pPr>
                            <w:pStyle w:val="35"/>
                            <w:ind w:firstLine="360"/>
                            <w:jc w:val="cente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naTQ0gAAAAQBAAAPAAAAAAAAAAEAIAAA&#10;ACIAAABkcnMvZG93bnJldi54bWxQSwECFAAUAAAACACHTuJAyN309BICAAALBAAADgAAAAAAAAAB&#10;ACAAAAAhAQAAZHJzL2Uyb0RvYy54bWxQSwUGAAAAAAYABgBZAQAApQUAAAAA&#10;">
              <v:fill on="f" focussize="0,0"/>
              <v:stroke on="f"/>
              <v:imagedata o:title=""/>
              <o:lock v:ext="edit" aspectratio="f"/>
              <v:textbox inset="0mm,0mm,0mm,0mm" style="mso-fit-shape-to-text:t;">
                <w:txbxContent>
                  <w:p w14:paraId="564A9790">
                    <w:pPr>
                      <w:pStyle w:val="35"/>
                      <w:ind w:firstLine="360"/>
                      <w:jc w:val="center"/>
                    </w:pPr>
                  </w:p>
                </w:txbxContent>
              </v:textbox>
            </v:shape>
          </w:pict>
        </mc:Fallback>
      </mc:AlternateContent>
    </w:r>
  </w:p>
  <w:p w14:paraId="748C929E">
    <w:pPr>
      <w:ind w:firstLine="42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70093"/>
    </w:sdtPr>
    <w:sdtContent>
      <w:p w14:paraId="1FA3F3D6">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6FCE0ED6">
    <w:pPr>
      <w:ind w:firstLine="42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3192">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E58F">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DEC0">
    <w:pPr>
      <w:pStyle w:val="35"/>
      <w:ind w:firstLine="360"/>
      <w:jc w:val="right"/>
    </w:pPr>
    <w:r>
      <w:fldChar w:fldCharType="begin"/>
    </w:r>
    <w:r>
      <w:instrText xml:space="preserve"> PAGE   \* MERGEFORMAT </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56C80">
    <w:pPr>
      <w:pStyle w:val="35"/>
      <w:ind w:firstLine="360"/>
      <w:jc w:val="center"/>
    </w:pPr>
    <w:r>
      <w:fldChar w:fldCharType="begin"/>
    </w:r>
    <w:r>
      <w:instrText xml:space="preserve">PAGE   \* MERGEFORMAT</w:instrText>
    </w:r>
    <w:r>
      <w:fldChar w:fldCharType="separate"/>
    </w:r>
    <w:r>
      <w:rPr>
        <w:lang w:val="zh-CN"/>
      </w:rPr>
      <w:t>41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907130"/>
    </w:sdtPr>
    <w:sdtContent>
      <w:p w14:paraId="2BBEAE60">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4D34557E">
    <w:pPr>
      <w:pStyle w:val="35"/>
      <w:ind w:right="720" w:firstLine="210" w:firstLineChars="100"/>
      <w:jc w:val="center"/>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6F76833">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6C65422B">
    <w:pPr>
      <w:pStyle w:val="3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08F3">
    <w:pPr>
      <w:pStyle w:val="35"/>
      <w:framePr w:wrap="around" w:vAnchor="text" w:hAnchor="margin" w:xAlign="center" w:y="1"/>
      <w:ind w:right="360" w:firstLine="360"/>
      <w:rPr>
        <w:rStyle w:val="59"/>
      </w:rPr>
    </w:pPr>
  </w:p>
  <w:p w14:paraId="41EF3FD3">
    <w:pPr>
      <w:pStyle w:val="35"/>
      <w:ind w:firstLine="7920" w:firstLineChars="4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144135" cy="131445"/>
              <wp:effectExtent l="0" t="0" r="0" b="0"/>
              <wp:wrapNone/>
              <wp:docPr id="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5553C95E">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1312;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DVvgWc0wEAAKk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W1DF5RYZvDBjz9/HH/9Of7+&#10;TublIivUe6ix8MFjaRw+uAH3JimX4oDBRHyQwaQvUiKYR30PZ33FEAnH4KK6vq6usBHHXHWF3iLB&#10;FJfbPkC8E86QZDQ04PtlWdn+I8Sx9FSSmll3q7TOb6jtkwBijhGRl2C6fRk4WXHYDBOLjWsPSK7H&#10;RWioxb2nRN9b1DntzMkIJ2NzMnY+qG2Hg1Z5SvDvdxFHypOmDiMsMkwOvmDmOm1bWpHHfq66/GG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NFw8fRAAAABAEAAA8AAAAAAAAAAQAgAAAAIgAAAGRy&#10;cy9kb3ducmV2LnhtbFBLAQIUABQAAAAIAIdO4kDVvgWc0wEAAKkDAAAOAAAAAAAAAAEAIAAAACAB&#10;AABkcnMvZTJvRG9jLnhtbFBLBQYAAAAABgAGAFkBAABlBQAAAAA=&#10;">
              <v:fill on="f" focussize="0,0"/>
              <v:stroke on="f"/>
              <v:imagedata o:title=""/>
              <o:lock v:ext="edit" aspectratio="f"/>
              <v:textbox inset="0mm,0mm,0mm,0mm" style="mso-fit-shape-to-text:t;">
                <w:txbxContent>
                  <w:p w14:paraId="5553C95E">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DF69">
    <w:pPr>
      <w:pStyle w:val="35"/>
      <w:framePr w:wrap="around" w:vAnchor="text" w:hAnchor="margin" w:xAlign="center" w:y="1"/>
      <w:ind w:right="360" w:firstLine="360"/>
      <w:rPr>
        <w:rStyle w:val="59"/>
      </w:rPr>
    </w:pPr>
  </w:p>
  <w:p w14:paraId="7EFDC14B">
    <w:pPr>
      <w:pStyle w:val="35"/>
      <w:ind w:firstLine="7920" w:firstLineChars="44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48CAEFBB">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2336;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BMT38H1AEAAKo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S1uwoISywy++PHnj+OvP8ff&#10;38m8XGSJeg81Vj54rI3DBzdgeZIuxQGDifkgg0lf5EQwjwIfzgKLIRKOwUV1fV1dYSOOueoKvUWC&#10;KS63fYB4J5whyWhowAfMurL9R4hj6akkNbPuVmmdH1HbJwHEHCMib8F0+zJwsuKwGSYWG9cekFyP&#10;m9BQi4tPib63KHRampMRTsbmZOx8UNsOB63ylODf7yKOlCdNHUZYZJgcfMLMdVq3tCOP/Vx1+cV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RcPH0QAAAAQBAAAPAAAAAAAAAAEAIAAAACIAAABk&#10;cnMvZG93bnJldi54bWxQSwECFAAUAAAACACHTuJATE9/B9QBAACqAwAADgAAAAAAAAABACAAAAAg&#10;AQAAZHJzL2Uyb0RvYy54bWxQSwUGAAAAAAYABgBZAQAAZgUAAAAA&#10;">
              <v:fill on="f" focussize="0,0"/>
              <v:stroke on="f"/>
              <v:imagedata o:title=""/>
              <o:lock v:ext="edit" aspectratio="f"/>
              <v:textbox inset="0mm,0mm,0mm,0mm" style="mso-fit-shape-to-text:t;">
                <w:txbxContent>
                  <w:p w14:paraId="48CAEFBB">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20EF">
    <w:pPr>
      <w:pStyle w:val="36"/>
      <w:rPr>
        <w:rFonts w:hint="eastAsia" w:ascii="微软雅黑" w:hAnsi="微软雅黑"/>
      </w:rPr>
    </w:pPr>
    <w:r>
      <w:rPr>
        <w:rFonts w:hint="eastAsia"/>
      </w:rPr>
      <w:pict>
        <v:shape id="PowerPlusWaterMarkObject13360720" o:spid="_x0000_s1026" o:spt="136" type="#_x0000_t136" style="position:absolute;left:0pt;height:41.85pt;width:544.0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3970">
    <w:pPr>
      <w:pStyle w:val="36"/>
    </w:pPr>
    <w:r>
      <w:pict>
        <v:shape id="PowerPlusWaterMarkObject13360719" o:spid="_x0000_s1027" o:spt="136" type="#_x0000_t136" style="position:absolute;left:0pt;height:41.85pt;width:544.0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8F62">
    <w:pPr>
      <w:pStyle w:val="36"/>
    </w:pPr>
    <w:r>
      <w:rPr>
        <w:rFonts w:hint="eastAsia" w:ascii="微软雅黑" w:hAnsi="微软雅黑"/>
        <w:lang w:eastAsia="zh-CN"/>
      </w:rPr>
      <w:t>嘉兴市秀洲区高照实验学校2025年暑期教职工疗休养项目</w:t>
    </w:r>
    <w:r>
      <w:rPr>
        <w:rFonts w:hint="eastAsia" w:ascii="微软雅黑" w:hAnsi="微软雅黑"/>
      </w:rPr>
      <w:t>・</w:t>
    </w:r>
    <w: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90525" cy="371475"/>
          <wp:effectExtent l="0" t="0" r="9525" b="9525"/>
          <wp:wrapNone/>
          <wp:docPr id="3" name="图片 3"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ascii="微软雅黑" w:hAnsi="微软雅黑"/>
      </w:rPr>
      <w:t>磋商文件采购文件</w:t>
    </w:r>
    <w:r>
      <w:pict>
        <v:shape id="PowerPlusWaterMarkObject13360718" o:spid="_x0000_s1025" o:spt="136" type="#_x0000_t136" style="position:absolute;left:0pt;height:41.85pt;width:544.0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3CAE0">
    <w:pPr>
      <w:pStyle w:val="36"/>
      <w:rPr>
        <w:rFonts w:hint="eastAsia" w:ascii="微软雅黑" w:hAnsi="微软雅黑"/>
      </w:rPr>
    </w:pPr>
    <w:r>
      <w:drawing>
        <wp:anchor distT="0" distB="0" distL="114300" distR="114300" simplePos="0" relativeHeight="251663360" behindDoc="0" locked="0" layoutInCell="1" allowOverlap="1">
          <wp:simplePos x="0" y="0"/>
          <wp:positionH relativeFrom="column">
            <wp:posOffset>1905</wp:posOffset>
          </wp:positionH>
          <wp:positionV relativeFrom="paragraph">
            <wp:posOffset>-130810</wp:posOffset>
          </wp:positionV>
          <wp:extent cx="390525" cy="371475"/>
          <wp:effectExtent l="19050" t="0" r="9525" b="0"/>
          <wp:wrapNone/>
          <wp:docPr id="90906319" name="图片 90906319"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6319" name="图片 90906319"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pict>
        <v:shape id="PowerPlusWaterMarkObject13360723" o:spid="_x0000_s1029" o:spt="136" type="#_x0000_t136" style="position:absolute;left:0pt;height:41.85pt;width:544.0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rPr>
      <w:t xml:space="preserve">  </w:t>
    </w:r>
    <w:r>
      <w:rPr>
        <w:rFonts w:hint="eastAsia"/>
        <w:lang w:eastAsia="zh-CN"/>
      </w:rPr>
      <w:t>嘉兴市秀洲区高照实验学校2025年暑期教职工疗休养项目</w:t>
    </w:r>
    <w:r>
      <w:rPr>
        <w:rFonts w:hint="eastAsia" w:ascii="微软雅黑" w:hAnsi="微软雅黑"/>
      </w:rPr>
      <w:t>・竞争性磋商采购文件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0B772">
    <w:pPr>
      <w:pStyle w:val="36"/>
    </w:pPr>
    <w:r>
      <w:rPr>
        <w:rFonts w:hint="eastAsia" w:ascii="微软雅黑" w:hAnsi="微软雅黑"/>
        <w:lang w:eastAsia="zh-CN"/>
      </w:rPr>
      <w:t>嘉兴市秀洲区高照实验学校2025年暑期教职工疗休养项目</w:t>
    </w:r>
    <w:r>
      <w:rPr>
        <w:rFonts w:hint="eastAsia" w:ascii="微软雅黑" w:hAnsi="微软雅黑"/>
      </w:rPr>
      <w:t>・</w:t>
    </w:r>
    <w: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90525" cy="371475"/>
          <wp:effectExtent l="0" t="0" r="9525" b="9525"/>
          <wp:wrapNone/>
          <wp:docPr id="2" name="图片 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pict>
        <v:shape id="_x0000_s1035" o:spid="_x0000_s1035" o:spt="136" type="#_x0000_t136" style="position:absolute;left:0pt;margin-left:-45.25pt;margin-top:323.6pt;height:41.85pt;width:544.05pt;mso-position-horizontal-relative:margin;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ascii="微软雅黑" w:hAnsi="微软雅黑"/>
      </w:rPr>
      <w:t>磋商文件采购文件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698A">
    <w:pPr>
      <w:pStyle w:val="36"/>
    </w:pP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90525" cy="371475"/>
          <wp:effectExtent l="19050" t="0" r="9525" b="0"/>
          <wp:wrapNone/>
          <wp:docPr id="4" name="图片 4"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 xml:space="preserve"> </w:t>
    </w:r>
    <w:r>
      <w:rPr>
        <w:rFonts w:hint="eastAsia"/>
        <w:lang w:eastAsia="zh-CN"/>
      </w:rPr>
      <w:t>嘉兴市秀洲区高照实验学校2025年暑期教职工疗休养项目</w:t>
    </w:r>
    <w:r>
      <w:rPr>
        <w:rFonts w:hint="eastAsia" w:ascii="微软雅黑" w:hAnsi="微软雅黑"/>
      </w:rPr>
      <w:t>・竞争性磋商采购文件</w:t>
    </w:r>
  </w:p>
  <w:p w14:paraId="6272A660">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CEF6B"/>
    <w:multiLevelType w:val="multilevel"/>
    <w:tmpl w:val="8EFCEF6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8CEFD8F"/>
    <w:multiLevelType w:val="multilevel"/>
    <w:tmpl w:val="98CEFD8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4232E0F"/>
    <w:multiLevelType w:val="multilevel"/>
    <w:tmpl w:val="A4232E0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6B0AF8A"/>
    <w:multiLevelType w:val="multilevel"/>
    <w:tmpl w:val="A6B0AF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5ACFC92"/>
    <w:multiLevelType w:val="multilevel"/>
    <w:tmpl w:val="B5ACFC9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B953A287"/>
    <w:multiLevelType w:val="multilevel"/>
    <w:tmpl w:val="B953A287"/>
    <w:lvl w:ilvl="0" w:tentative="0">
      <w:start w:val="1"/>
      <w:numFmt w:val="decimal"/>
      <w:lvlText w:val="%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C387CF19"/>
    <w:multiLevelType w:val="multilevel"/>
    <w:tmpl w:val="C387CF1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E151A36E"/>
    <w:multiLevelType w:val="multilevel"/>
    <w:tmpl w:val="E151A36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F1C0450D"/>
    <w:multiLevelType w:val="singleLevel"/>
    <w:tmpl w:val="F1C0450D"/>
    <w:lvl w:ilvl="0" w:tentative="0">
      <w:start w:val="1"/>
      <w:numFmt w:val="decimal"/>
      <w:lvlText w:val="%1."/>
      <w:lvlJc w:val="left"/>
      <w:pPr>
        <w:ind w:left="425" w:hanging="425"/>
      </w:pPr>
      <w:rPr>
        <w:rFonts w:hint="default"/>
      </w:rPr>
    </w:lvl>
  </w:abstractNum>
  <w:abstractNum w:abstractNumId="9">
    <w:nsid w:val="F4788770"/>
    <w:multiLevelType w:val="multilevel"/>
    <w:tmpl w:val="F478877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FD23A22F"/>
    <w:multiLevelType w:val="multilevel"/>
    <w:tmpl w:val="FD23A22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2">
    <w:nsid w:val="0425DD1C"/>
    <w:multiLevelType w:val="multilevel"/>
    <w:tmpl w:val="0425DD1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17C5B831"/>
    <w:multiLevelType w:val="singleLevel"/>
    <w:tmpl w:val="17C5B831"/>
    <w:lvl w:ilvl="0" w:tentative="0">
      <w:start w:val="1"/>
      <w:numFmt w:val="decimal"/>
      <w:lvlText w:val="%1."/>
      <w:lvlJc w:val="left"/>
      <w:pPr>
        <w:ind w:left="425" w:hanging="425"/>
      </w:pPr>
      <w:rPr>
        <w:rFonts w:hint="default"/>
      </w:rPr>
    </w:lvl>
  </w:abstractNum>
  <w:abstractNum w:abstractNumId="14">
    <w:nsid w:val="18CE5C9B"/>
    <w:multiLevelType w:val="multilevel"/>
    <w:tmpl w:val="18CE5C9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21C7DD74"/>
    <w:multiLevelType w:val="singleLevel"/>
    <w:tmpl w:val="21C7DD74"/>
    <w:lvl w:ilvl="0" w:tentative="0">
      <w:start w:val="1"/>
      <w:numFmt w:val="chineseCounting"/>
      <w:suff w:val="nothing"/>
      <w:lvlText w:val="%1、"/>
      <w:lvlJc w:val="left"/>
      <w:pPr>
        <w:ind w:left="0" w:firstLine="420"/>
      </w:pPr>
      <w:rPr>
        <w:rFonts w:hint="eastAsia"/>
      </w:rPr>
    </w:lvl>
  </w:abstractNum>
  <w:abstractNum w:abstractNumId="16">
    <w:nsid w:val="237699E8"/>
    <w:multiLevelType w:val="multilevel"/>
    <w:tmpl w:val="237699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2E8540F4"/>
    <w:multiLevelType w:val="singleLevel"/>
    <w:tmpl w:val="2E8540F4"/>
    <w:lvl w:ilvl="0" w:tentative="0">
      <w:start w:val="1"/>
      <w:numFmt w:val="decimal"/>
      <w:suff w:val="nothing"/>
      <w:lvlText w:val="%1、"/>
      <w:lvlJc w:val="left"/>
    </w:lvl>
  </w:abstractNum>
  <w:abstractNum w:abstractNumId="18">
    <w:nsid w:val="30EC45E3"/>
    <w:multiLevelType w:val="multilevel"/>
    <w:tmpl w:val="30EC45E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3E006CE6"/>
    <w:multiLevelType w:val="multilevel"/>
    <w:tmpl w:val="3E006CE6"/>
    <w:lvl w:ilvl="0" w:tentative="0">
      <w:start w:val="1"/>
      <w:numFmt w:val="decimal"/>
      <w:lvlText w:val="%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0">
    <w:nsid w:val="4034AC53"/>
    <w:multiLevelType w:val="singleLevel"/>
    <w:tmpl w:val="4034AC53"/>
    <w:lvl w:ilvl="0" w:tentative="0">
      <w:start w:val="1"/>
      <w:numFmt w:val="chineseCountingThousand"/>
      <w:suff w:val="space"/>
      <w:lvlText w:val="第%1章"/>
      <w:lvlJc w:val="left"/>
      <w:pPr>
        <w:ind w:left="0" w:firstLine="0"/>
      </w:pPr>
      <w:rPr>
        <w:rFonts w:hint="eastAsia"/>
      </w:rPr>
    </w:lvl>
  </w:abstractNum>
  <w:abstractNum w:abstractNumId="21">
    <w:nsid w:val="429B7209"/>
    <w:multiLevelType w:val="multilevel"/>
    <w:tmpl w:val="429B7209"/>
    <w:lvl w:ilvl="0" w:tentative="0">
      <w:start w:val="1"/>
      <w:numFmt w:val="decimal"/>
      <w:lvlText w:val="%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2">
    <w:nsid w:val="4E97481D"/>
    <w:multiLevelType w:val="multilevel"/>
    <w:tmpl w:val="4E97481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3">
    <w:nsid w:val="51FA1A31"/>
    <w:multiLevelType w:val="multilevel"/>
    <w:tmpl w:val="51FA1A31"/>
    <w:lvl w:ilvl="0" w:tentative="0">
      <w:start w:val="1"/>
      <w:numFmt w:val="japaneseCounting"/>
      <w:pStyle w:val="14"/>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26B21FC"/>
    <w:multiLevelType w:val="multilevel"/>
    <w:tmpl w:val="526B21F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528201DB"/>
    <w:multiLevelType w:val="multilevel"/>
    <w:tmpl w:val="528201DB"/>
    <w:lvl w:ilvl="0" w:tentative="0">
      <w:start w:val="1"/>
      <w:numFmt w:val="chineseCountingThousand"/>
      <w:lvlText w:val="第%1章"/>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5888B730"/>
    <w:multiLevelType w:val="multilevel"/>
    <w:tmpl w:val="5888B73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59953568"/>
    <w:multiLevelType w:val="multilevel"/>
    <w:tmpl w:val="599535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5B2ABB81"/>
    <w:multiLevelType w:val="singleLevel"/>
    <w:tmpl w:val="5B2ABB81"/>
    <w:lvl w:ilvl="0" w:tentative="0">
      <w:start w:val="1"/>
      <w:numFmt w:val="chineseCounting"/>
      <w:suff w:val="nothing"/>
      <w:lvlText w:val="%1、"/>
      <w:lvlJc w:val="left"/>
      <w:pPr>
        <w:ind w:left="0" w:firstLine="420"/>
      </w:pPr>
      <w:rPr>
        <w:rFonts w:hint="eastAsia"/>
      </w:rPr>
    </w:lvl>
  </w:abstractNum>
  <w:abstractNum w:abstractNumId="29">
    <w:nsid w:val="5CD05060"/>
    <w:multiLevelType w:val="multilevel"/>
    <w:tmpl w:val="5CD05060"/>
    <w:lvl w:ilvl="0" w:tentative="0">
      <w:start w:val="1"/>
      <w:numFmt w:val="decimal"/>
      <w:lvlText w:val="%1."/>
      <w:lvlJc w:val="left"/>
      <w:pPr>
        <w:ind w:left="5113" w:hanging="440"/>
      </w:pPr>
    </w:lvl>
    <w:lvl w:ilvl="1" w:tentative="0">
      <w:start w:val="1"/>
      <w:numFmt w:val="decimal"/>
      <w:pStyle w:val="103"/>
      <w:lvlText w:val="%2."/>
      <w:lvlJc w:val="left"/>
      <w:pPr>
        <w:ind w:left="5553" w:hanging="440"/>
      </w:pPr>
    </w:lvl>
    <w:lvl w:ilvl="2" w:tentative="0">
      <w:start w:val="1"/>
      <w:numFmt w:val="lowerRoman"/>
      <w:lvlText w:val="%3."/>
      <w:lvlJc w:val="right"/>
      <w:pPr>
        <w:ind w:left="5993" w:hanging="440"/>
      </w:pPr>
    </w:lvl>
    <w:lvl w:ilvl="3" w:tentative="0">
      <w:start w:val="1"/>
      <w:numFmt w:val="decimal"/>
      <w:lvlText w:val="%4."/>
      <w:lvlJc w:val="left"/>
      <w:pPr>
        <w:ind w:left="6433" w:hanging="440"/>
      </w:pPr>
    </w:lvl>
    <w:lvl w:ilvl="4" w:tentative="0">
      <w:start w:val="1"/>
      <w:numFmt w:val="lowerLetter"/>
      <w:lvlText w:val="%5)"/>
      <w:lvlJc w:val="left"/>
      <w:pPr>
        <w:ind w:left="6873" w:hanging="440"/>
      </w:pPr>
    </w:lvl>
    <w:lvl w:ilvl="5" w:tentative="0">
      <w:start w:val="1"/>
      <w:numFmt w:val="lowerRoman"/>
      <w:lvlText w:val="%6."/>
      <w:lvlJc w:val="right"/>
      <w:pPr>
        <w:ind w:left="7313" w:hanging="440"/>
      </w:pPr>
    </w:lvl>
    <w:lvl w:ilvl="6" w:tentative="0">
      <w:start w:val="1"/>
      <w:numFmt w:val="decimal"/>
      <w:lvlText w:val="%7."/>
      <w:lvlJc w:val="left"/>
      <w:pPr>
        <w:ind w:left="7753" w:hanging="440"/>
      </w:pPr>
    </w:lvl>
    <w:lvl w:ilvl="7" w:tentative="0">
      <w:start w:val="1"/>
      <w:numFmt w:val="lowerLetter"/>
      <w:lvlText w:val="%8)"/>
      <w:lvlJc w:val="left"/>
      <w:pPr>
        <w:ind w:left="8193" w:hanging="440"/>
      </w:pPr>
    </w:lvl>
    <w:lvl w:ilvl="8" w:tentative="0">
      <w:start w:val="1"/>
      <w:numFmt w:val="lowerRoman"/>
      <w:lvlText w:val="%9."/>
      <w:lvlJc w:val="right"/>
      <w:pPr>
        <w:ind w:left="8633" w:hanging="440"/>
      </w:pPr>
    </w:lvl>
  </w:abstractNum>
  <w:abstractNum w:abstractNumId="30">
    <w:nsid w:val="5F7181FD"/>
    <w:multiLevelType w:val="singleLevel"/>
    <w:tmpl w:val="5F7181FD"/>
    <w:lvl w:ilvl="0" w:tentative="0">
      <w:start w:val="2"/>
      <w:numFmt w:val="chineseCounting"/>
      <w:suff w:val="nothing"/>
      <w:lvlText w:val="%1、"/>
      <w:lvlJc w:val="left"/>
      <w:rPr>
        <w:rFonts w:hint="eastAsia"/>
      </w:rPr>
    </w:lvl>
  </w:abstractNum>
  <w:abstractNum w:abstractNumId="31">
    <w:nsid w:val="6445A677"/>
    <w:multiLevelType w:val="multilevel"/>
    <w:tmpl w:val="6445A6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68893CCE"/>
    <w:multiLevelType w:val="multilevel"/>
    <w:tmpl w:val="68893CC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3">
    <w:nsid w:val="6AB019D5"/>
    <w:multiLevelType w:val="singleLevel"/>
    <w:tmpl w:val="6AB019D5"/>
    <w:lvl w:ilvl="0" w:tentative="0">
      <w:start w:val="4"/>
      <w:numFmt w:val="decimal"/>
      <w:lvlText w:val="%1."/>
      <w:lvlJc w:val="left"/>
      <w:pPr>
        <w:tabs>
          <w:tab w:val="left" w:pos="312"/>
        </w:tabs>
      </w:pPr>
    </w:lvl>
  </w:abstractNum>
  <w:abstractNum w:abstractNumId="34">
    <w:nsid w:val="6B7944AA"/>
    <w:multiLevelType w:val="multilevel"/>
    <w:tmpl w:val="6B7944AA"/>
    <w:lvl w:ilvl="0" w:tentative="0">
      <w:start w:val="1"/>
      <w:numFmt w:val="decimal"/>
      <w:lvlText w:val="%1."/>
      <w:lvlJc w:val="left"/>
      <w:pPr>
        <w:ind w:left="420" w:hanging="420"/>
      </w:pPr>
    </w:lvl>
    <w:lvl w:ilvl="1" w:tentative="0">
      <w:start w:val="1"/>
      <w:numFmt w:val="decimal"/>
      <w:lvlText w:val="%2."/>
      <w:lvlJc w:val="left"/>
      <w:pPr>
        <w:ind w:left="844"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1DF37E8"/>
    <w:multiLevelType w:val="multilevel"/>
    <w:tmpl w:val="71DF37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6">
    <w:nsid w:val="773B5252"/>
    <w:multiLevelType w:val="multilevel"/>
    <w:tmpl w:val="773B5252"/>
    <w:lvl w:ilvl="0" w:tentative="0">
      <w:start w:val="1"/>
      <w:numFmt w:val="decimal"/>
      <w:lvlText w:val="%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7">
    <w:nsid w:val="7E220E61"/>
    <w:multiLevelType w:val="singleLevel"/>
    <w:tmpl w:val="7E220E61"/>
    <w:lvl w:ilvl="0" w:tentative="0">
      <w:start w:val="1"/>
      <w:numFmt w:val="bullet"/>
      <w:lvlText w:val=""/>
      <w:lvlJc w:val="left"/>
      <w:pPr>
        <w:ind w:left="420" w:hanging="420"/>
      </w:pPr>
      <w:rPr>
        <w:rFonts w:hint="default" w:ascii="Wingdings" w:hAnsi="Wingdings"/>
      </w:rPr>
    </w:lvl>
  </w:abstractNum>
  <w:abstractNum w:abstractNumId="38">
    <w:nsid w:val="7EEEC8A2"/>
    <w:multiLevelType w:val="singleLevel"/>
    <w:tmpl w:val="7EEEC8A2"/>
    <w:lvl w:ilvl="0" w:tentative="0">
      <w:start w:val="1"/>
      <w:numFmt w:val="decimal"/>
      <w:suff w:val="nothing"/>
      <w:lvlText w:val="（%1）"/>
      <w:lvlJc w:val="left"/>
    </w:lvl>
  </w:abstractNum>
  <w:num w:numId="1">
    <w:abstractNumId w:val="23"/>
  </w:num>
  <w:num w:numId="2">
    <w:abstractNumId w:val="11"/>
  </w:num>
  <w:num w:numId="3">
    <w:abstractNumId w:val="29"/>
  </w:num>
  <w:num w:numId="4">
    <w:abstractNumId w:val="20"/>
  </w:num>
  <w:num w:numId="5">
    <w:abstractNumId w:val="28"/>
  </w:num>
  <w:num w:numId="6">
    <w:abstractNumId w:val="13"/>
  </w:num>
  <w:num w:numId="7">
    <w:abstractNumId w:val="37"/>
  </w:num>
  <w:num w:numId="8">
    <w:abstractNumId w:val="36"/>
  </w:num>
  <w:num w:numId="9">
    <w:abstractNumId w:val="5"/>
  </w:num>
  <w:num w:numId="10">
    <w:abstractNumId w:val="21"/>
  </w:num>
  <w:num w:numId="11">
    <w:abstractNumId w:val="19"/>
  </w:num>
  <w:num w:numId="12">
    <w:abstractNumId w:val="22"/>
  </w:num>
  <w:num w:numId="13">
    <w:abstractNumId w:val="33"/>
  </w:num>
  <w:num w:numId="14">
    <w:abstractNumId w:val="8"/>
  </w:num>
  <w:num w:numId="15">
    <w:abstractNumId w:val="6"/>
  </w:num>
  <w:num w:numId="16">
    <w:abstractNumId w:val="9"/>
  </w:num>
  <w:num w:numId="17">
    <w:abstractNumId w:val="35"/>
  </w:num>
  <w:num w:numId="18">
    <w:abstractNumId w:val="0"/>
  </w:num>
  <w:num w:numId="19">
    <w:abstractNumId w:val="16"/>
  </w:num>
  <w:num w:numId="20">
    <w:abstractNumId w:val="3"/>
  </w:num>
  <w:num w:numId="21">
    <w:abstractNumId w:val="14"/>
  </w:num>
  <w:num w:numId="22">
    <w:abstractNumId w:val="26"/>
  </w:num>
  <w:num w:numId="23">
    <w:abstractNumId w:val="2"/>
  </w:num>
  <w:num w:numId="24">
    <w:abstractNumId w:val="7"/>
  </w:num>
  <w:num w:numId="25">
    <w:abstractNumId w:val="10"/>
  </w:num>
  <w:num w:numId="26">
    <w:abstractNumId w:val="1"/>
  </w:num>
  <w:num w:numId="27">
    <w:abstractNumId w:val="27"/>
  </w:num>
  <w:num w:numId="28">
    <w:abstractNumId w:val="12"/>
  </w:num>
  <w:num w:numId="29">
    <w:abstractNumId w:val="32"/>
  </w:num>
  <w:num w:numId="30">
    <w:abstractNumId w:val="31"/>
  </w:num>
  <w:num w:numId="31">
    <w:abstractNumId w:val="18"/>
  </w:num>
  <w:num w:numId="32">
    <w:abstractNumId w:val="4"/>
  </w:num>
  <w:num w:numId="33">
    <w:abstractNumId w:val="24"/>
  </w:num>
  <w:num w:numId="34">
    <w:abstractNumId w:val="17"/>
  </w:num>
  <w:num w:numId="35">
    <w:abstractNumId w:val="25"/>
  </w:num>
  <w:num w:numId="36">
    <w:abstractNumId w:val="15"/>
  </w:num>
  <w:num w:numId="37">
    <w:abstractNumId w:val="30"/>
  </w:num>
  <w:num w:numId="38">
    <w:abstractNumId w:val="3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hideSpellingErrors/>
  <w:documentProtection w:enforcement="0"/>
  <w:defaultTabStop w:val="24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MTYyNTAxYWM3MWI0NzliODIyODNmMjdmN2NhNGEifQ=="/>
    <w:docVar w:name="KSO_WPS_MARK_KEY" w:val="f7f1a3c7-16f2-44c1-9c55-6e93d61965af"/>
  </w:docVars>
  <w:rsids>
    <w:rsidRoot w:val="00172A27"/>
    <w:rsid w:val="00000868"/>
    <w:rsid w:val="00002FF3"/>
    <w:rsid w:val="00003C3C"/>
    <w:rsid w:val="00004262"/>
    <w:rsid w:val="000044F4"/>
    <w:rsid w:val="000058A3"/>
    <w:rsid w:val="00005B6A"/>
    <w:rsid w:val="0000613F"/>
    <w:rsid w:val="000062B1"/>
    <w:rsid w:val="00006676"/>
    <w:rsid w:val="00010B34"/>
    <w:rsid w:val="00010C33"/>
    <w:rsid w:val="00010C43"/>
    <w:rsid w:val="00011214"/>
    <w:rsid w:val="000112E4"/>
    <w:rsid w:val="00011499"/>
    <w:rsid w:val="000119C5"/>
    <w:rsid w:val="00011B6C"/>
    <w:rsid w:val="00011EDD"/>
    <w:rsid w:val="00012EA4"/>
    <w:rsid w:val="00014435"/>
    <w:rsid w:val="00015C8C"/>
    <w:rsid w:val="00016F84"/>
    <w:rsid w:val="000170F5"/>
    <w:rsid w:val="00017123"/>
    <w:rsid w:val="0001712E"/>
    <w:rsid w:val="0001791B"/>
    <w:rsid w:val="00017FF5"/>
    <w:rsid w:val="00020A3B"/>
    <w:rsid w:val="00023664"/>
    <w:rsid w:val="00023F05"/>
    <w:rsid w:val="0002437A"/>
    <w:rsid w:val="000248E6"/>
    <w:rsid w:val="00024B81"/>
    <w:rsid w:val="00025EE2"/>
    <w:rsid w:val="0003103E"/>
    <w:rsid w:val="00031953"/>
    <w:rsid w:val="00033451"/>
    <w:rsid w:val="00034D4D"/>
    <w:rsid w:val="00037CD8"/>
    <w:rsid w:val="0004008C"/>
    <w:rsid w:val="000401D5"/>
    <w:rsid w:val="000417EE"/>
    <w:rsid w:val="00042977"/>
    <w:rsid w:val="00042AFD"/>
    <w:rsid w:val="00042CE5"/>
    <w:rsid w:val="00042D82"/>
    <w:rsid w:val="00043120"/>
    <w:rsid w:val="00043142"/>
    <w:rsid w:val="000445D4"/>
    <w:rsid w:val="00044AF0"/>
    <w:rsid w:val="000462B4"/>
    <w:rsid w:val="0004692F"/>
    <w:rsid w:val="0005070C"/>
    <w:rsid w:val="00050ADC"/>
    <w:rsid w:val="000518B8"/>
    <w:rsid w:val="00051FC1"/>
    <w:rsid w:val="00052F01"/>
    <w:rsid w:val="000540C3"/>
    <w:rsid w:val="00054E1D"/>
    <w:rsid w:val="00055D20"/>
    <w:rsid w:val="00060047"/>
    <w:rsid w:val="00061917"/>
    <w:rsid w:val="000623FD"/>
    <w:rsid w:val="00062852"/>
    <w:rsid w:val="0006298F"/>
    <w:rsid w:val="000631C3"/>
    <w:rsid w:val="00063364"/>
    <w:rsid w:val="000636F8"/>
    <w:rsid w:val="000637C7"/>
    <w:rsid w:val="00063F1A"/>
    <w:rsid w:val="00064222"/>
    <w:rsid w:val="000643C7"/>
    <w:rsid w:val="00065016"/>
    <w:rsid w:val="0006534E"/>
    <w:rsid w:val="00065769"/>
    <w:rsid w:val="000658A9"/>
    <w:rsid w:val="00066093"/>
    <w:rsid w:val="000662AD"/>
    <w:rsid w:val="00066842"/>
    <w:rsid w:val="0007024A"/>
    <w:rsid w:val="00070975"/>
    <w:rsid w:val="000709B0"/>
    <w:rsid w:val="000718A7"/>
    <w:rsid w:val="00072638"/>
    <w:rsid w:val="0007340F"/>
    <w:rsid w:val="000736C9"/>
    <w:rsid w:val="00073793"/>
    <w:rsid w:val="000738B1"/>
    <w:rsid w:val="00073C4C"/>
    <w:rsid w:val="00074B98"/>
    <w:rsid w:val="00074E55"/>
    <w:rsid w:val="00074FC4"/>
    <w:rsid w:val="00076500"/>
    <w:rsid w:val="0007718F"/>
    <w:rsid w:val="0007759B"/>
    <w:rsid w:val="0008057D"/>
    <w:rsid w:val="0008113B"/>
    <w:rsid w:val="00081895"/>
    <w:rsid w:val="000856F4"/>
    <w:rsid w:val="00085D08"/>
    <w:rsid w:val="0008643D"/>
    <w:rsid w:val="00086AAA"/>
    <w:rsid w:val="000871CB"/>
    <w:rsid w:val="00087869"/>
    <w:rsid w:val="00087F2C"/>
    <w:rsid w:val="00090411"/>
    <w:rsid w:val="00090857"/>
    <w:rsid w:val="000910FD"/>
    <w:rsid w:val="00091BB2"/>
    <w:rsid w:val="000928F0"/>
    <w:rsid w:val="00092DE6"/>
    <w:rsid w:val="00093731"/>
    <w:rsid w:val="00093B7D"/>
    <w:rsid w:val="00093EB5"/>
    <w:rsid w:val="000941A5"/>
    <w:rsid w:val="000943B9"/>
    <w:rsid w:val="000945E3"/>
    <w:rsid w:val="00097DEE"/>
    <w:rsid w:val="000A0027"/>
    <w:rsid w:val="000A00E3"/>
    <w:rsid w:val="000A137F"/>
    <w:rsid w:val="000A2434"/>
    <w:rsid w:val="000A24D3"/>
    <w:rsid w:val="000A4B2A"/>
    <w:rsid w:val="000A4FF5"/>
    <w:rsid w:val="000A50C0"/>
    <w:rsid w:val="000A5FDE"/>
    <w:rsid w:val="000A610B"/>
    <w:rsid w:val="000A6697"/>
    <w:rsid w:val="000A69C1"/>
    <w:rsid w:val="000A7F08"/>
    <w:rsid w:val="000B0797"/>
    <w:rsid w:val="000B0A2D"/>
    <w:rsid w:val="000B1944"/>
    <w:rsid w:val="000B2E80"/>
    <w:rsid w:val="000B2FED"/>
    <w:rsid w:val="000B3A48"/>
    <w:rsid w:val="000B4EDA"/>
    <w:rsid w:val="000B55B1"/>
    <w:rsid w:val="000B60F2"/>
    <w:rsid w:val="000B76EC"/>
    <w:rsid w:val="000C0619"/>
    <w:rsid w:val="000C1788"/>
    <w:rsid w:val="000C1952"/>
    <w:rsid w:val="000C2B7E"/>
    <w:rsid w:val="000C3154"/>
    <w:rsid w:val="000C3B5A"/>
    <w:rsid w:val="000C3CB6"/>
    <w:rsid w:val="000C400E"/>
    <w:rsid w:val="000C4E12"/>
    <w:rsid w:val="000C4F94"/>
    <w:rsid w:val="000C519E"/>
    <w:rsid w:val="000C51E1"/>
    <w:rsid w:val="000C52F4"/>
    <w:rsid w:val="000C6A2F"/>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5EE"/>
    <w:rsid w:val="000E66F1"/>
    <w:rsid w:val="000E6EF0"/>
    <w:rsid w:val="000F00C6"/>
    <w:rsid w:val="000F1742"/>
    <w:rsid w:val="000F200A"/>
    <w:rsid w:val="000F2A44"/>
    <w:rsid w:val="000F2E02"/>
    <w:rsid w:val="000F41DC"/>
    <w:rsid w:val="000F6D7F"/>
    <w:rsid w:val="000F79F2"/>
    <w:rsid w:val="000F7AE1"/>
    <w:rsid w:val="000F7E5B"/>
    <w:rsid w:val="001012F5"/>
    <w:rsid w:val="001013E6"/>
    <w:rsid w:val="00101540"/>
    <w:rsid w:val="001025E9"/>
    <w:rsid w:val="001029B5"/>
    <w:rsid w:val="001033A9"/>
    <w:rsid w:val="00103BD1"/>
    <w:rsid w:val="00104A23"/>
    <w:rsid w:val="00104E7B"/>
    <w:rsid w:val="0010514D"/>
    <w:rsid w:val="001056B0"/>
    <w:rsid w:val="00106C43"/>
    <w:rsid w:val="00106CA0"/>
    <w:rsid w:val="00110D71"/>
    <w:rsid w:val="0011186C"/>
    <w:rsid w:val="00111AC6"/>
    <w:rsid w:val="00111C03"/>
    <w:rsid w:val="00111E50"/>
    <w:rsid w:val="00112556"/>
    <w:rsid w:val="00112C9C"/>
    <w:rsid w:val="001132F9"/>
    <w:rsid w:val="001136F2"/>
    <w:rsid w:val="0011455A"/>
    <w:rsid w:val="00114F25"/>
    <w:rsid w:val="001156CC"/>
    <w:rsid w:val="001156DA"/>
    <w:rsid w:val="00116E66"/>
    <w:rsid w:val="00117042"/>
    <w:rsid w:val="00124174"/>
    <w:rsid w:val="00124E28"/>
    <w:rsid w:val="00124F3C"/>
    <w:rsid w:val="0012571C"/>
    <w:rsid w:val="00126FBC"/>
    <w:rsid w:val="00130A08"/>
    <w:rsid w:val="00131164"/>
    <w:rsid w:val="0013190C"/>
    <w:rsid w:val="00131EB3"/>
    <w:rsid w:val="001323E2"/>
    <w:rsid w:val="0013283F"/>
    <w:rsid w:val="0013300D"/>
    <w:rsid w:val="001346DB"/>
    <w:rsid w:val="00134816"/>
    <w:rsid w:val="001351F1"/>
    <w:rsid w:val="0013572E"/>
    <w:rsid w:val="00136E52"/>
    <w:rsid w:val="001373A4"/>
    <w:rsid w:val="001411A8"/>
    <w:rsid w:val="001450B3"/>
    <w:rsid w:val="00145999"/>
    <w:rsid w:val="00146142"/>
    <w:rsid w:val="00146849"/>
    <w:rsid w:val="001476FF"/>
    <w:rsid w:val="00147E8D"/>
    <w:rsid w:val="00150C59"/>
    <w:rsid w:val="001512EB"/>
    <w:rsid w:val="00152CF7"/>
    <w:rsid w:val="00153259"/>
    <w:rsid w:val="00155885"/>
    <w:rsid w:val="00155A67"/>
    <w:rsid w:val="0015610D"/>
    <w:rsid w:val="0015639E"/>
    <w:rsid w:val="00156BB0"/>
    <w:rsid w:val="00157136"/>
    <w:rsid w:val="00160124"/>
    <w:rsid w:val="001608DD"/>
    <w:rsid w:val="00160CB6"/>
    <w:rsid w:val="001632A7"/>
    <w:rsid w:val="0016384D"/>
    <w:rsid w:val="00165C8C"/>
    <w:rsid w:val="001663C1"/>
    <w:rsid w:val="00170C38"/>
    <w:rsid w:val="00171130"/>
    <w:rsid w:val="001714F0"/>
    <w:rsid w:val="00171705"/>
    <w:rsid w:val="00171B2C"/>
    <w:rsid w:val="00172A27"/>
    <w:rsid w:val="0017424B"/>
    <w:rsid w:val="001749EA"/>
    <w:rsid w:val="00174FD2"/>
    <w:rsid w:val="00175441"/>
    <w:rsid w:val="00175B12"/>
    <w:rsid w:val="00175FF0"/>
    <w:rsid w:val="00176AF1"/>
    <w:rsid w:val="001773D9"/>
    <w:rsid w:val="00180135"/>
    <w:rsid w:val="001807AC"/>
    <w:rsid w:val="00180943"/>
    <w:rsid w:val="0018285A"/>
    <w:rsid w:val="00183E56"/>
    <w:rsid w:val="00184955"/>
    <w:rsid w:val="00185BE6"/>
    <w:rsid w:val="00185E3C"/>
    <w:rsid w:val="001862F8"/>
    <w:rsid w:val="00186C73"/>
    <w:rsid w:val="00187CA1"/>
    <w:rsid w:val="001902C8"/>
    <w:rsid w:val="00190A51"/>
    <w:rsid w:val="00191BFD"/>
    <w:rsid w:val="00191C4B"/>
    <w:rsid w:val="001931D5"/>
    <w:rsid w:val="001942A1"/>
    <w:rsid w:val="00194E79"/>
    <w:rsid w:val="00195029"/>
    <w:rsid w:val="00195EE5"/>
    <w:rsid w:val="001961BA"/>
    <w:rsid w:val="001963C7"/>
    <w:rsid w:val="00196E8A"/>
    <w:rsid w:val="00197B6E"/>
    <w:rsid w:val="001A3799"/>
    <w:rsid w:val="001A385B"/>
    <w:rsid w:val="001A45C5"/>
    <w:rsid w:val="001A5907"/>
    <w:rsid w:val="001A78E7"/>
    <w:rsid w:val="001B024B"/>
    <w:rsid w:val="001B07E5"/>
    <w:rsid w:val="001B1462"/>
    <w:rsid w:val="001B1FFE"/>
    <w:rsid w:val="001B31E0"/>
    <w:rsid w:val="001B333B"/>
    <w:rsid w:val="001B4755"/>
    <w:rsid w:val="001B4756"/>
    <w:rsid w:val="001B598A"/>
    <w:rsid w:val="001B6161"/>
    <w:rsid w:val="001C01C4"/>
    <w:rsid w:val="001C084B"/>
    <w:rsid w:val="001C1EF5"/>
    <w:rsid w:val="001C25E7"/>
    <w:rsid w:val="001C2AE0"/>
    <w:rsid w:val="001C2C06"/>
    <w:rsid w:val="001C2E1A"/>
    <w:rsid w:val="001C2F33"/>
    <w:rsid w:val="001C3D07"/>
    <w:rsid w:val="001C585A"/>
    <w:rsid w:val="001C5F4C"/>
    <w:rsid w:val="001C6AA7"/>
    <w:rsid w:val="001C7F92"/>
    <w:rsid w:val="001D15FA"/>
    <w:rsid w:val="001D3D2D"/>
    <w:rsid w:val="001D544B"/>
    <w:rsid w:val="001D60F8"/>
    <w:rsid w:val="001D6432"/>
    <w:rsid w:val="001D6C3A"/>
    <w:rsid w:val="001D7D6F"/>
    <w:rsid w:val="001D7E86"/>
    <w:rsid w:val="001E0DAD"/>
    <w:rsid w:val="001E0EB3"/>
    <w:rsid w:val="001E112D"/>
    <w:rsid w:val="001E14EA"/>
    <w:rsid w:val="001E2F45"/>
    <w:rsid w:val="001E31F8"/>
    <w:rsid w:val="001E3F99"/>
    <w:rsid w:val="001E3FCE"/>
    <w:rsid w:val="001E69F0"/>
    <w:rsid w:val="001F02A5"/>
    <w:rsid w:val="001F2692"/>
    <w:rsid w:val="001F32E4"/>
    <w:rsid w:val="001F5A4E"/>
    <w:rsid w:val="001F6A15"/>
    <w:rsid w:val="001F6F1B"/>
    <w:rsid w:val="001F7336"/>
    <w:rsid w:val="001F7997"/>
    <w:rsid w:val="002001BC"/>
    <w:rsid w:val="002004C0"/>
    <w:rsid w:val="00200E8E"/>
    <w:rsid w:val="002012BC"/>
    <w:rsid w:val="002024F0"/>
    <w:rsid w:val="002033CF"/>
    <w:rsid w:val="00203AEA"/>
    <w:rsid w:val="00203D55"/>
    <w:rsid w:val="00204712"/>
    <w:rsid w:val="00205048"/>
    <w:rsid w:val="00205E7B"/>
    <w:rsid w:val="00206B06"/>
    <w:rsid w:val="00210F56"/>
    <w:rsid w:val="00211484"/>
    <w:rsid w:val="002116AA"/>
    <w:rsid w:val="00211B35"/>
    <w:rsid w:val="00211F5E"/>
    <w:rsid w:val="00212194"/>
    <w:rsid w:val="002124CB"/>
    <w:rsid w:val="00214014"/>
    <w:rsid w:val="0021426B"/>
    <w:rsid w:val="00214F3B"/>
    <w:rsid w:val="00215023"/>
    <w:rsid w:val="00215167"/>
    <w:rsid w:val="00215261"/>
    <w:rsid w:val="0021582A"/>
    <w:rsid w:val="00216784"/>
    <w:rsid w:val="00216A4B"/>
    <w:rsid w:val="00216AF8"/>
    <w:rsid w:val="002172A3"/>
    <w:rsid w:val="00220675"/>
    <w:rsid w:val="00221007"/>
    <w:rsid w:val="002214C3"/>
    <w:rsid w:val="00221609"/>
    <w:rsid w:val="00221DE0"/>
    <w:rsid w:val="002237F5"/>
    <w:rsid w:val="00225B70"/>
    <w:rsid w:val="0022638E"/>
    <w:rsid w:val="002266AF"/>
    <w:rsid w:val="00226E27"/>
    <w:rsid w:val="0022764B"/>
    <w:rsid w:val="002310E4"/>
    <w:rsid w:val="00231165"/>
    <w:rsid w:val="002321B2"/>
    <w:rsid w:val="00232EC1"/>
    <w:rsid w:val="002331D8"/>
    <w:rsid w:val="0023367C"/>
    <w:rsid w:val="0023556C"/>
    <w:rsid w:val="0023594C"/>
    <w:rsid w:val="0023705C"/>
    <w:rsid w:val="0023766E"/>
    <w:rsid w:val="002402E9"/>
    <w:rsid w:val="00240907"/>
    <w:rsid w:val="00241277"/>
    <w:rsid w:val="002437FB"/>
    <w:rsid w:val="00243EEE"/>
    <w:rsid w:val="00245739"/>
    <w:rsid w:val="002460E2"/>
    <w:rsid w:val="0024712C"/>
    <w:rsid w:val="00250561"/>
    <w:rsid w:val="00250BAA"/>
    <w:rsid w:val="00251501"/>
    <w:rsid w:val="00251DDD"/>
    <w:rsid w:val="00253109"/>
    <w:rsid w:val="00254D47"/>
    <w:rsid w:val="00255D0F"/>
    <w:rsid w:val="00256732"/>
    <w:rsid w:val="00257251"/>
    <w:rsid w:val="00260DF2"/>
    <w:rsid w:val="00261255"/>
    <w:rsid w:val="00261E62"/>
    <w:rsid w:val="002628AD"/>
    <w:rsid w:val="0026292E"/>
    <w:rsid w:val="00263176"/>
    <w:rsid w:val="0026386E"/>
    <w:rsid w:val="00263BB3"/>
    <w:rsid w:val="00265959"/>
    <w:rsid w:val="00266055"/>
    <w:rsid w:val="00266D9C"/>
    <w:rsid w:val="0026746C"/>
    <w:rsid w:val="002705BE"/>
    <w:rsid w:val="00270CF7"/>
    <w:rsid w:val="00270F20"/>
    <w:rsid w:val="00271A16"/>
    <w:rsid w:val="00272EC3"/>
    <w:rsid w:val="00273015"/>
    <w:rsid w:val="0027337F"/>
    <w:rsid w:val="00274258"/>
    <w:rsid w:val="00274F22"/>
    <w:rsid w:val="002752CD"/>
    <w:rsid w:val="002754FB"/>
    <w:rsid w:val="00276170"/>
    <w:rsid w:val="00276513"/>
    <w:rsid w:val="00277087"/>
    <w:rsid w:val="002800F9"/>
    <w:rsid w:val="00281184"/>
    <w:rsid w:val="00281E16"/>
    <w:rsid w:val="0028553D"/>
    <w:rsid w:val="0028590F"/>
    <w:rsid w:val="00285C6B"/>
    <w:rsid w:val="0028632D"/>
    <w:rsid w:val="002864B8"/>
    <w:rsid w:val="0029034A"/>
    <w:rsid w:val="00290975"/>
    <w:rsid w:val="00291CAD"/>
    <w:rsid w:val="00292D2B"/>
    <w:rsid w:val="00292EB5"/>
    <w:rsid w:val="00293A0B"/>
    <w:rsid w:val="0029485F"/>
    <w:rsid w:val="002969BB"/>
    <w:rsid w:val="002975DF"/>
    <w:rsid w:val="002A0BA9"/>
    <w:rsid w:val="002A0E86"/>
    <w:rsid w:val="002A43F8"/>
    <w:rsid w:val="002A49EB"/>
    <w:rsid w:val="002A50D8"/>
    <w:rsid w:val="002A50EB"/>
    <w:rsid w:val="002A521B"/>
    <w:rsid w:val="002A5FDC"/>
    <w:rsid w:val="002A607A"/>
    <w:rsid w:val="002A62CD"/>
    <w:rsid w:val="002A6348"/>
    <w:rsid w:val="002A673A"/>
    <w:rsid w:val="002B0D8A"/>
    <w:rsid w:val="002B1FD9"/>
    <w:rsid w:val="002B31D5"/>
    <w:rsid w:val="002B42DB"/>
    <w:rsid w:val="002B463C"/>
    <w:rsid w:val="002B4CF5"/>
    <w:rsid w:val="002B5094"/>
    <w:rsid w:val="002B5C0A"/>
    <w:rsid w:val="002B6BA0"/>
    <w:rsid w:val="002B73C5"/>
    <w:rsid w:val="002B7CC9"/>
    <w:rsid w:val="002C1C27"/>
    <w:rsid w:val="002C201B"/>
    <w:rsid w:val="002C2BFF"/>
    <w:rsid w:val="002C2C79"/>
    <w:rsid w:val="002C2D68"/>
    <w:rsid w:val="002C3195"/>
    <w:rsid w:val="002C3490"/>
    <w:rsid w:val="002C4048"/>
    <w:rsid w:val="002C4195"/>
    <w:rsid w:val="002C4CA1"/>
    <w:rsid w:val="002C5362"/>
    <w:rsid w:val="002C5920"/>
    <w:rsid w:val="002C7739"/>
    <w:rsid w:val="002D0334"/>
    <w:rsid w:val="002D1096"/>
    <w:rsid w:val="002D30D0"/>
    <w:rsid w:val="002D3A29"/>
    <w:rsid w:val="002D3DE7"/>
    <w:rsid w:val="002D3F86"/>
    <w:rsid w:val="002D40B4"/>
    <w:rsid w:val="002D4599"/>
    <w:rsid w:val="002D4C6E"/>
    <w:rsid w:val="002D62B8"/>
    <w:rsid w:val="002D6ED5"/>
    <w:rsid w:val="002D7E08"/>
    <w:rsid w:val="002E3DB0"/>
    <w:rsid w:val="002E4582"/>
    <w:rsid w:val="002E49D7"/>
    <w:rsid w:val="002E608E"/>
    <w:rsid w:val="002E6D2B"/>
    <w:rsid w:val="002E77A8"/>
    <w:rsid w:val="002E7AFC"/>
    <w:rsid w:val="002E7E1D"/>
    <w:rsid w:val="002F0A31"/>
    <w:rsid w:val="002F0B10"/>
    <w:rsid w:val="002F0E92"/>
    <w:rsid w:val="002F22D6"/>
    <w:rsid w:val="002F46AD"/>
    <w:rsid w:val="002F6D21"/>
    <w:rsid w:val="0030135C"/>
    <w:rsid w:val="003023D9"/>
    <w:rsid w:val="00302A82"/>
    <w:rsid w:val="003034C4"/>
    <w:rsid w:val="00303B30"/>
    <w:rsid w:val="00306065"/>
    <w:rsid w:val="003070E6"/>
    <w:rsid w:val="00307F23"/>
    <w:rsid w:val="003108FD"/>
    <w:rsid w:val="00311A5D"/>
    <w:rsid w:val="00312FB3"/>
    <w:rsid w:val="003146C2"/>
    <w:rsid w:val="00314A13"/>
    <w:rsid w:val="00314F8A"/>
    <w:rsid w:val="00315019"/>
    <w:rsid w:val="003158C1"/>
    <w:rsid w:val="00315A4D"/>
    <w:rsid w:val="003163D4"/>
    <w:rsid w:val="00316CBA"/>
    <w:rsid w:val="00320024"/>
    <w:rsid w:val="00320CD5"/>
    <w:rsid w:val="0032517A"/>
    <w:rsid w:val="00326214"/>
    <w:rsid w:val="0032659B"/>
    <w:rsid w:val="00326C39"/>
    <w:rsid w:val="00326F34"/>
    <w:rsid w:val="00327B44"/>
    <w:rsid w:val="00330637"/>
    <w:rsid w:val="00331439"/>
    <w:rsid w:val="003319F1"/>
    <w:rsid w:val="00331A53"/>
    <w:rsid w:val="0033382F"/>
    <w:rsid w:val="0033557B"/>
    <w:rsid w:val="00335C7B"/>
    <w:rsid w:val="00336995"/>
    <w:rsid w:val="0033750D"/>
    <w:rsid w:val="003375B0"/>
    <w:rsid w:val="00340753"/>
    <w:rsid w:val="00340EF0"/>
    <w:rsid w:val="00341BA6"/>
    <w:rsid w:val="00341BAB"/>
    <w:rsid w:val="0034299D"/>
    <w:rsid w:val="003446A7"/>
    <w:rsid w:val="00344D19"/>
    <w:rsid w:val="0034565D"/>
    <w:rsid w:val="003462B2"/>
    <w:rsid w:val="003471ED"/>
    <w:rsid w:val="003476F2"/>
    <w:rsid w:val="003506C4"/>
    <w:rsid w:val="00350F1B"/>
    <w:rsid w:val="00350FAA"/>
    <w:rsid w:val="00351FA7"/>
    <w:rsid w:val="0035270E"/>
    <w:rsid w:val="00353D48"/>
    <w:rsid w:val="00353D4B"/>
    <w:rsid w:val="00354333"/>
    <w:rsid w:val="00357213"/>
    <w:rsid w:val="00360259"/>
    <w:rsid w:val="00360275"/>
    <w:rsid w:val="00361B16"/>
    <w:rsid w:val="00361F22"/>
    <w:rsid w:val="00362B9B"/>
    <w:rsid w:val="00362CB3"/>
    <w:rsid w:val="00364868"/>
    <w:rsid w:val="00364900"/>
    <w:rsid w:val="00367043"/>
    <w:rsid w:val="00367868"/>
    <w:rsid w:val="00367B84"/>
    <w:rsid w:val="003705EE"/>
    <w:rsid w:val="0037179B"/>
    <w:rsid w:val="003726C9"/>
    <w:rsid w:val="003729DC"/>
    <w:rsid w:val="00374661"/>
    <w:rsid w:val="00374AFA"/>
    <w:rsid w:val="0037688E"/>
    <w:rsid w:val="00376CC4"/>
    <w:rsid w:val="003809B7"/>
    <w:rsid w:val="00381803"/>
    <w:rsid w:val="00382685"/>
    <w:rsid w:val="00382D2E"/>
    <w:rsid w:val="003831B5"/>
    <w:rsid w:val="003833E2"/>
    <w:rsid w:val="00383CBF"/>
    <w:rsid w:val="00384211"/>
    <w:rsid w:val="003857B1"/>
    <w:rsid w:val="003859CB"/>
    <w:rsid w:val="00385A06"/>
    <w:rsid w:val="0038631D"/>
    <w:rsid w:val="00387D98"/>
    <w:rsid w:val="00391146"/>
    <w:rsid w:val="0039180D"/>
    <w:rsid w:val="00391E5A"/>
    <w:rsid w:val="00393A7B"/>
    <w:rsid w:val="00393B51"/>
    <w:rsid w:val="003940A9"/>
    <w:rsid w:val="003945FE"/>
    <w:rsid w:val="00394AE3"/>
    <w:rsid w:val="00395629"/>
    <w:rsid w:val="00397632"/>
    <w:rsid w:val="00397A22"/>
    <w:rsid w:val="003A35DE"/>
    <w:rsid w:val="003A368B"/>
    <w:rsid w:val="003A3D0C"/>
    <w:rsid w:val="003A55E2"/>
    <w:rsid w:val="003A65FE"/>
    <w:rsid w:val="003A7D8E"/>
    <w:rsid w:val="003B0C2A"/>
    <w:rsid w:val="003B130E"/>
    <w:rsid w:val="003B1D8D"/>
    <w:rsid w:val="003B296C"/>
    <w:rsid w:val="003C2E82"/>
    <w:rsid w:val="003C38D2"/>
    <w:rsid w:val="003C3D88"/>
    <w:rsid w:val="003C4C6A"/>
    <w:rsid w:val="003C542B"/>
    <w:rsid w:val="003C6088"/>
    <w:rsid w:val="003C6925"/>
    <w:rsid w:val="003C6F5B"/>
    <w:rsid w:val="003C704B"/>
    <w:rsid w:val="003C7C88"/>
    <w:rsid w:val="003C7DC6"/>
    <w:rsid w:val="003D1D29"/>
    <w:rsid w:val="003D1E74"/>
    <w:rsid w:val="003D28FF"/>
    <w:rsid w:val="003D38BD"/>
    <w:rsid w:val="003D3F8F"/>
    <w:rsid w:val="003D44ED"/>
    <w:rsid w:val="003D4CBC"/>
    <w:rsid w:val="003D7B96"/>
    <w:rsid w:val="003E25C9"/>
    <w:rsid w:val="003E3291"/>
    <w:rsid w:val="003E4A05"/>
    <w:rsid w:val="003E5218"/>
    <w:rsid w:val="003E62A6"/>
    <w:rsid w:val="003E6BD1"/>
    <w:rsid w:val="003E6C01"/>
    <w:rsid w:val="003F00F1"/>
    <w:rsid w:val="003F0267"/>
    <w:rsid w:val="003F0752"/>
    <w:rsid w:val="003F08DD"/>
    <w:rsid w:val="003F095C"/>
    <w:rsid w:val="003F32EA"/>
    <w:rsid w:val="003F3578"/>
    <w:rsid w:val="003F361B"/>
    <w:rsid w:val="003F47CC"/>
    <w:rsid w:val="003F4E9D"/>
    <w:rsid w:val="003F6C99"/>
    <w:rsid w:val="003F7B60"/>
    <w:rsid w:val="00400BB4"/>
    <w:rsid w:val="00401095"/>
    <w:rsid w:val="00401627"/>
    <w:rsid w:val="00401A1A"/>
    <w:rsid w:val="00402745"/>
    <w:rsid w:val="00403750"/>
    <w:rsid w:val="00403AE9"/>
    <w:rsid w:val="00404445"/>
    <w:rsid w:val="00404C20"/>
    <w:rsid w:val="00405426"/>
    <w:rsid w:val="00405C98"/>
    <w:rsid w:val="004062EE"/>
    <w:rsid w:val="004101FC"/>
    <w:rsid w:val="00410F2A"/>
    <w:rsid w:val="00410FAF"/>
    <w:rsid w:val="004114AA"/>
    <w:rsid w:val="00411AC7"/>
    <w:rsid w:val="00412095"/>
    <w:rsid w:val="0041237D"/>
    <w:rsid w:val="00412CD1"/>
    <w:rsid w:val="00412DD5"/>
    <w:rsid w:val="004132A9"/>
    <w:rsid w:val="00413F4C"/>
    <w:rsid w:val="00414BA7"/>
    <w:rsid w:val="00415698"/>
    <w:rsid w:val="004156B5"/>
    <w:rsid w:val="00415C9C"/>
    <w:rsid w:val="00417BE9"/>
    <w:rsid w:val="00420F8D"/>
    <w:rsid w:val="004214B5"/>
    <w:rsid w:val="004222FB"/>
    <w:rsid w:val="004225B5"/>
    <w:rsid w:val="00423ECD"/>
    <w:rsid w:val="004250BA"/>
    <w:rsid w:val="00425389"/>
    <w:rsid w:val="004256E8"/>
    <w:rsid w:val="004267A0"/>
    <w:rsid w:val="00430674"/>
    <w:rsid w:val="00430924"/>
    <w:rsid w:val="004313B2"/>
    <w:rsid w:val="004317DD"/>
    <w:rsid w:val="00431CF0"/>
    <w:rsid w:val="0043214E"/>
    <w:rsid w:val="00437762"/>
    <w:rsid w:val="00437DEC"/>
    <w:rsid w:val="004400E1"/>
    <w:rsid w:val="00440709"/>
    <w:rsid w:val="004409B0"/>
    <w:rsid w:val="004410F2"/>
    <w:rsid w:val="0044176C"/>
    <w:rsid w:val="004426D3"/>
    <w:rsid w:val="004432C4"/>
    <w:rsid w:val="00443E49"/>
    <w:rsid w:val="00444E81"/>
    <w:rsid w:val="004453B9"/>
    <w:rsid w:val="004461E1"/>
    <w:rsid w:val="0044646A"/>
    <w:rsid w:val="004466ED"/>
    <w:rsid w:val="00446898"/>
    <w:rsid w:val="00451372"/>
    <w:rsid w:val="00451D14"/>
    <w:rsid w:val="00451DDB"/>
    <w:rsid w:val="004527FC"/>
    <w:rsid w:val="00453177"/>
    <w:rsid w:val="0045398A"/>
    <w:rsid w:val="00454225"/>
    <w:rsid w:val="004548E3"/>
    <w:rsid w:val="00455FB6"/>
    <w:rsid w:val="00456855"/>
    <w:rsid w:val="00456AB9"/>
    <w:rsid w:val="00456ABD"/>
    <w:rsid w:val="00457046"/>
    <w:rsid w:val="00457252"/>
    <w:rsid w:val="00457A35"/>
    <w:rsid w:val="004600A5"/>
    <w:rsid w:val="00461435"/>
    <w:rsid w:val="004658A1"/>
    <w:rsid w:val="0046601C"/>
    <w:rsid w:val="0047000B"/>
    <w:rsid w:val="00470411"/>
    <w:rsid w:val="00470989"/>
    <w:rsid w:val="00472A6B"/>
    <w:rsid w:val="004730CD"/>
    <w:rsid w:val="004746E7"/>
    <w:rsid w:val="00474734"/>
    <w:rsid w:val="00474BD6"/>
    <w:rsid w:val="004753EA"/>
    <w:rsid w:val="00477067"/>
    <w:rsid w:val="0047764D"/>
    <w:rsid w:val="00477B0A"/>
    <w:rsid w:val="00482362"/>
    <w:rsid w:val="00483AF6"/>
    <w:rsid w:val="0048457D"/>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2E72"/>
    <w:rsid w:val="004A339A"/>
    <w:rsid w:val="004A33C5"/>
    <w:rsid w:val="004A3408"/>
    <w:rsid w:val="004A3427"/>
    <w:rsid w:val="004A35E4"/>
    <w:rsid w:val="004A35EC"/>
    <w:rsid w:val="004A55CE"/>
    <w:rsid w:val="004A63AD"/>
    <w:rsid w:val="004A6CD4"/>
    <w:rsid w:val="004A6D3D"/>
    <w:rsid w:val="004A763F"/>
    <w:rsid w:val="004B1146"/>
    <w:rsid w:val="004B5BDD"/>
    <w:rsid w:val="004B662A"/>
    <w:rsid w:val="004B79C2"/>
    <w:rsid w:val="004C024F"/>
    <w:rsid w:val="004C19B1"/>
    <w:rsid w:val="004C1A50"/>
    <w:rsid w:val="004C1B3D"/>
    <w:rsid w:val="004C3C1F"/>
    <w:rsid w:val="004C423E"/>
    <w:rsid w:val="004C69DC"/>
    <w:rsid w:val="004C7A06"/>
    <w:rsid w:val="004D07AC"/>
    <w:rsid w:val="004D25A2"/>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2FAE"/>
    <w:rsid w:val="004F4D33"/>
    <w:rsid w:val="004F5EEB"/>
    <w:rsid w:val="004F666F"/>
    <w:rsid w:val="004F69A4"/>
    <w:rsid w:val="004F6AAA"/>
    <w:rsid w:val="004F75A8"/>
    <w:rsid w:val="004F77AC"/>
    <w:rsid w:val="004F7EA8"/>
    <w:rsid w:val="00500422"/>
    <w:rsid w:val="005006EE"/>
    <w:rsid w:val="0050140C"/>
    <w:rsid w:val="00501FF8"/>
    <w:rsid w:val="00502215"/>
    <w:rsid w:val="00502E02"/>
    <w:rsid w:val="00503332"/>
    <w:rsid w:val="00504332"/>
    <w:rsid w:val="0050494A"/>
    <w:rsid w:val="00504E3A"/>
    <w:rsid w:val="00505328"/>
    <w:rsid w:val="005067D2"/>
    <w:rsid w:val="00507566"/>
    <w:rsid w:val="005101D0"/>
    <w:rsid w:val="005101F0"/>
    <w:rsid w:val="0051205B"/>
    <w:rsid w:val="00512076"/>
    <w:rsid w:val="00512C76"/>
    <w:rsid w:val="00512DE6"/>
    <w:rsid w:val="005135C9"/>
    <w:rsid w:val="00513791"/>
    <w:rsid w:val="00513EE1"/>
    <w:rsid w:val="00514286"/>
    <w:rsid w:val="0051455D"/>
    <w:rsid w:val="005145C1"/>
    <w:rsid w:val="00514B38"/>
    <w:rsid w:val="005167B7"/>
    <w:rsid w:val="00520BD0"/>
    <w:rsid w:val="00521558"/>
    <w:rsid w:val="00521C1B"/>
    <w:rsid w:val="00521FA8"/>
    <w:rsid w:val="00521FF6"/>
    <w:rsid w:val="00523056"/>
    <w:rsid w:val="005232C5"/>
    <w:rsid w:val="0052346E"/>
    <w:rsid w:val="005235A4"/>
    <w:rsid w:val="0052607A"/>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1677"/>
    <w:rsid w:val="00541F3F"/>
    <w:rsid w:val="005432E2"/>
    <w:rsid w:val="00543984"/>
    <w:rsid w:val="005450F7"/>
    <w:rsid w:val="00545D29"/>
    <w:rsid w:val="0054671E"/>
    <w:rsid w:val="0054707A"/>
    <w:rsid w:val="005471EA"/>
    <w:rsid w:val="005474F2"/>
    <w:rsid w:val="00551A9F"/>
    <w:rsid w:val="00551FAE"/>
    <w:rsid w:val="005520FF"/>
    <w:rsid w:val="00552BFE"/>
    <w:rsid w:val="00552CD3"/>
    <w:rsid w:val="0055338C"/>
    <w:rsid w:val="00553EF5"/>
    <w:rsid w:val="00554537"/>
    <w:rsid w:val="00555250"/>
    <w:rsid w:val="005567CC"/>
    <w:rsid w:val="005577EC"/>
    <w:rsid w:val="005579A1"/>
    <w:rsid w:val="00557DD1"/>
    <w:rsid w:val="00560272"/>
    <w:rsid w:val="00562FE2"/>
    <w:rsid w:val="00563D15"/>
    <w:rsid w:val="00564533"/>
    <w:rsid w:val="005648EC"/>
    <w:rsid w:val="00566FF8"/>
    <w:rsid w:val="0056771B"/>
    <w:rsid w:val="00567FD0"/>
    <w:rsid w:val="00571414"/>
    <w:rsid w:val="005719F3"/>
    <w:rsid w:val="00571C2F"/>
    <w:rsid w:val="00572072"/>
    <w:rsid w:val="00572649"/>
    <w:rsid w:val="005727E0"/>
    <w:rsid w:val="00572C44"/>
    <w:rsid w:val="00573C6F"/>
    <w:rsid w:val="005767CF"/>
    <w:rsid w:val="00576E0E"/>
    <w:rsid w:val="00577099"/>
    <w:rsid w:val="005774DA"/>
    <w:rsid w:val="00583887"/>
    <w:rsid w:val="00583E2C"/>
    <w:rsid w:val="005844A7"/>
    <w:rsid w:val="00584C25"/>
    <w:rsid w:val="005853A4"/>
    <w:rsid w:val="00585418"/>
    <w:rsid w:val="0058575C"/>
    <w:rsid w:val="005857E0"/>
    <w:rsid w:val="00585FD8"/>
    <w:rsid w:val="0058700F"/>
    <w:rsid w:val="005906D6"/>
    <w:rsid w:val="0059112B"/>
    <w:rsid w:val="00591922"/>
    <w:rsid w:val="0059244D"/>
    <w:rsid w:val="00593229"/>
    <w:rsid w:val="00594791"/>
    <w:rsid w:val="005955B8"/>
    <w:rsid w:val="00595B50"/>
    <w:rsid w:val="0059630A"/>
    <w:rsid w:val="00596EB2"/>
    <w:rsid w:val="00597102"/>
    <w:rsid w:val="00597843"/>
    <w:rsid w:val="005979E9"/>
    <w:rsid w:val="00597A7A"/>
    <w:rsid w:val="005A0314"/>
    <w:rsid w:val="005A102D"/>
    <w:rsid w:val="005A23B9"/>
    <w:rsid w:val="005A2A02"/>
    <w:rsid w:val="005A422B"/>
    <w:rsid w:val="005A4EA4"/>
    <w:rsid w:val="005A76B0"/>
    <w:rsid w:val="005A7EAB"/>
    <w:rsid w:val="005B05FC"/>
    <w:rsid w:val="005B0DAB"/>
    <w:rsid w:val="005B1B67"/>
    <w:rsid w:val="005B26C5"/>
    <w:rsid w:val="005B432B"/>
    <w:rsid w:val="005B4A70"/>
    <w:rsid w:val="005B530E"/>
    <w:rsid w:val="005B5A68"/>
    <w:rsid w:val="005B6616"/>
    <w:rsid w:val="005B67AE"/>
    <w:rsid w:val="005B7C00"/>
    <w:rsid w:val="005B7E52"/>
    <w:rsid w:val="005B7EB7"/>
    <w:rsid w:val="005B7F47"/>
    <w:rsid w:val="005C020F"/>
    <w:rsid w:val="005C0E52"/>
    <w:rsid w:val="005C1C87"/>
    <w:rsid w:val="005C25DD"/>
    <w:rsid w:val="005C2CA4"/>
    <w:rsid w:val="005C33CD"/>
    <w:rsid w:val="005C34B9"/>
    <w:rsid w:val="005C3A36"/>
    <w:rsid w:val="005C4729"/>
    <w:rsid w:val="005C5EF0"/>
    <w:rsid w:val="005C6DB7"/>
    <w:rsid w:val="005C75FA"/>
    <w:rsid w:val="005D02B3"/>
    <w:rsid w:val="005D0B4F"/>
    <w:rsid w:val="005D19DC"/>
    <w:rsid w:val="005D2A4D"/>
    <w:rsid w:val="005D3740"/>
    <w:rsid w:val="005D3A36"/>
    <w:rsid w:val="005D3D54"/>
    <w:rsid w:val="005D452A"/>
    <w:rsid w:val="005D46E1"/>
    <w:rsid w:val="005D4DE6"/>
    <w:rsid w:val="005D5F44"/>
    <w:rsid w:val="005D6F33"/>
    <w:rsid w:val="005D799D"/>
    <w:rsid w:val="005E1036"/>
    <w:rsid w:val="005E250B"/>
    <w:rsid w:val="005E30E2"/>
    <w:rsid w:val="005E3B8F"/>
    <w:rsid w:val="005E3FAF"/>
    <w:rsid w:val="005E4590"/>
    <w:rsid w:val="005E5615"/>
    <w:rsid w:val="005E60BB"/>
    <w:rsid w:val="005E69DB"/>
    <w:rsid w:val="005E7161"/>
    <w:rsid w:val="005F05EE"/>
    <w:rsid w:val="005F08D3"/>
    <w:rsid w:val="005F20C7"/>
    <w:rsid w:val="005F22D0"/>
    <w:rsid w:val="005F27D0"/>
    <w:rsid w:val="005F2CAA"/>
    <w:rsid w:val="005F3F1A"/>
    <w:rsid w:val="005F51B4"/>
    <w:rsid w:val="005F5253"/>
    <w:rsid w:val="005F55D0"/>
    <w:rsid w:val="005F5AC8"/>
    <w:rsid w:val="005F6215"/>
    <w:rsid w:val="005F6C9E"/>
    <w:rsid w:val="005F6CC1"/>
    <w:rsid w:val="005F6F6C"/>
    <w:rsid w:val="005F75FA"/>
    <w:rsid w:val="005F7B25"/>
    <w:rsid w:val="006003BB"/>
    <w:rsid w:val="006003FA"/>
    <w:rsid w:val="00600451"/>
    <w:rsid w:val="006016E9"/>
    <w:rsid w:val="006018C4"/>
    <w:rsid w:val="00602918"/>
    <w:rsid w:val="0060344C"/>
    <w:rsid w:val="006034EC"/>
    <w:rsid w:val="0060465A"/>
    <w:rsid w:val="006061EE"/>
    <w:rsid w:val="00606717"/>
    <w:rsid w:val="0060733C"/>
    <w:rsid w:val="00610BBA"/>
    <w:rsid w:val="00610F42"/>
    <w:rsid w:val="00612183"/>
    <w:rsid w:val="006122BB"/>
    <w:rsid w:val="0061389F"/>
    <w:rsid w:val="00613CE4"/>
    <w:rsid w:val="00617BF8"/>
    <w:rsid w:val="00617CB5"/>
    <w:rsid w:val="00617E39"/>
    <w:rsid w:val="006212FF"/>
    <w:rsid w:val="006216C7"/>
    <w:rsid w:val="00622315"/>
    <w:rsid w:val="00622DA0"/>
    <w:rsid w:val="006239D2"/>
    <w:rsid w:val="0062434B"/>
    <w:rsid w:val="0062447E"/>
    <w:rsid w:val="006246DD"/>
    <w:rsid w:val="00625664"/>
    <w:rsid w:val="006257D2"/>
    <w:rsid w:val="00626086"/>
    <w:rsid w:val="006264D7"/>
    <w:rsid w:val="00626FFC"/>
    <w:rsid w:val="00627091"/>
    <w:rsid w:val="00627BB3"/>
    <w:rsid w:val="006306BD"/>
    <w:rsid w:val="0063192E"/>
    <w:rsid w:val="00633C39"/>
    <w:rsid w:val="0063463C"/>
    <w:rsid w:val="00634C16"/>
    <w:rsid w:val="00634CF6"/>
    <w:rsid w:val="00635154"/>
    <w:rsid w:val="006361F8"/>
    <w:rsid w:val="006365E5"/>
    <w:rsid w:val="00636968"/>
    <w:rsid w:val="00636BB2"/>
    <w:rsid w:val="00637470"/>
    <w:rsid w:val="006374F5"/>
    <w:rsid w:val="006408F0"/>
    <w:rsid w:val="00640D1D"/>
    <w:rsid w:val="00642E63"/>
    <w:rsid w:val="00643083"/>
    <w:rsid w:val="00643B12"/>
    <w:rsid w:val="0064538B"/>
    <w:rsid w:val="00645823"/>
    <w:rsid w:val="00645EF4"/>
    <w:rsid w:val="00647897"/>
    <w:rsid w:val="0065028A"/>
    <w:rsid w:val="00650D71"/>
    <w:rsid w:val="00652459"/>
    <w:rsid w:val="0065246B"/>
    <w:rsid w:val="006526B4"/>
    <w:rsid w:val="0065314B"/>
    <w:rsid w:val="0065347C"/>
    <w:rsid w:val="00653D5E"/>
    <w:rsid w:val="00656181"/>
    <w:rsid w:val="0065790A"/>
    <w:rsid w:val="00660207"/>
    <w:rsid w:val="0066034E"/>
    <w:rsid w:val="00660A09"/>
    <w:rsid w:val="006613BF"/>
    <w:rsid w:val="00661A0B"/>
    <w:rsid w:val="00662379"/>
    <w:rsid w:val="006625F1"/>
    <w:rsid w:val="006626E8"/>
    <w:rsid w:val="00662D47"/>
    <w:rsid w:val="00663202"/>
    <w:rsid w:val="006638E5"/>
    <w:rsid w:val="0066420F"/>
    <w:rsid w:val="006653E7"/>
    <w:rsid w:val="00665EA4"/>
    <w:rsid w:val="00666A09"/>
    <w:rsid w:val="00670985"/>
    <w:rsid w:val="00670FB1"/>
    <w:rsid w:val="00671101"/>
    <w:rsid w:val="00672FAE"/>
    <w:rsid w:val="0067304C"/>
    <w:rsid w:val="006731F3"/>
    <w:rsid w:val="0067332C"/>
    <w:rsid w:val="006733E5"/>
    <w:rsid w:val="00673758"/>
    <w:rsid w:val="00674FA9"/>
    <w:rsid w:val="00675241"/>
    <w:rsid w:val="006756B6"/>
    <w:rsid w:val="00676B76"/>
    <w:rsid w:val="006771BD"/>
    <w:rsid w:val="00677579"/>
    <w:rsid w:val="00680805"/>
    <w:rsid w:val="00680D84"/>
    <w:rsid w:val="00681F1D"/>
    <w:rsid w:val="00685F3B"/>
    <w:rsid w:val="006867FE"/>
    <w:rsid w:val="00686DEF"/>
    <w:rsid w:val="00687D03"/>
    <w:rsid w:val="0069003B"/>
    <w:rsid w:val="006939FB"/>
    <w:rsid w:val="00694C0D"/>
    <w:rsid w:val="00695242"/>
    <w:rsid w:val="00696035"/>
    <w:rsid w:val="00696549"/>
    <w:rsid w:val="0069692F"/>
    <w:rsid w:val="00696D40"/>
    <w:rsid w:val="00696E22"/>
    <w:rsid w:val="0069719C"/>
    <w:rsid w:val="00697724"/>
    <w:rsid w:val="00697D3A"/>
    <w:rsid w:val="006A0193"/>
    <w:rsid w:val="006A0516"/>
    <w:rsid w:val="006A09E2"/>
    <w:rsid w:val="006A297A"/>
    <w:rsid w:val="006A349C"/>
    <w:rsid w:val="006A4F65"/>
    <w:rsid w:val="006A5034"/>
    <w:rsid w:val="006A506E"/>
    <w:rsid w:val="006A6139"/>
    <w:rsid w:val="006B18DF"/>
    <w:rsid w:val="006B1DA1"/>
    <w:rsid w:val="006B3051"/>
    <w:rsid w:val="006B429A"/>
    <w:rsid w:val="006B526A"/>
    <w:rsid w:val="006B721F"/>
    <w:rsid w:val="006B7A97"/>
    <w:rsid w:val="006C0ED1"/>
    <w:rsid w:val="006C119A"/>
    <w:rsid w:val="006C1BA2"/>
    <w:rsid w:val="006C2D6E"/>
    <w:rsid w:val="006C2E01"/>
    <w:rsid w:val="006C3040"/>
    <w:rsid w:val="006C4081"/>
    <w:rsid w:val="006C51AB"/>
    <w:rsid w:val="006C69B4"/>
    <w:rsid w:val="006C6DEC"/>
    <w:rsid w:val="006C7114"/>
    <w:rsid w:val="006C7366"/>
    <w:rsid w:val="006C769A"/>
    <w:rsid w:val="006C7F22"/>
    <w:rsid w:val="006C7F2C"/>
    <w:rsid w:val="006D0625"/>
    <w:rsid w:val="006D0E7E"/>
    <w:rsid w:val="006D1AB5"/>
    <w:rsid w:val="006D1C10"/>
    <w:rsid w:val="006D3EC2"/>
    <w:rsid w:val="006D41C9"/>
    <w:rsid w:val="006D48EB"/>
    <w:rsid w:val="006D4B08"/>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F1882"/>
    <w:rsid w:val="006F4BE4"/>
    <w:rsid w:val="006F5954"/>
    <w:rsid w:val="006F5957"/>
    <w:rsid w:val="006F6C91"/>
    <w:rsid w:val="006F70D4"/>
    <w:rsid w:val="00700127"/>
    <w:rsid w:val="007003DE"/>
    <w:rsid w:val="007021A5"/>
    <w:rsid w:val="00702498"/>
    <w:rsid w:val="00702A38"/>
    <w:rsid w:val="007047D4"/>
    <w:rsid w:val="00704857"/>
    <w:rsid w:val="00704DB1"/>
    <w:rsid w:val="00704DED"/>
    <w:rsid w:val="00706309"/>
    <w:rsid w:val="0070665D"/>
    <w:rsid w:val="007075E5"/>
    <w:rsid w:val="00707AF4"/>
    <w:rsid w:val="00710338"/>
    <w:rsid w:val="007104E1"/>
    <w:rsid w:val="00711632"/>
    <w:rsid w:val="007122C6"/>
    <w:rsid w:val="00712C26"/>
    <w:rsid w:val="007132F7"/>
    <w:rsid w:val="00714040"/>
    <w:rsid w:val="00714D00"/>
    <w:rsid w:val="0071596C"/>
    <w:rsid w:val="00717D24"/>
    <w:rsid w:val="00720330"/>
    <w:rsid w:val="00721233"/>
    <w:rsid w:val="0072126B"/>
    <w:rsid w:val="00721428"/>
    <w:rsid w:val="00721560"/>
    <w:rsid w:val="0072159D"/>
    <w:rsid w:val="007224ED"/>
    <w:rsid w:val="00723CCF"/>
    <w:rsid w:val="00724504"/>
    <w:rsid w:val="007255B1"/>
    <w:rsid w:val="00725CA3"/>
    <w:rsid w:val="007267BA"/>
    <w:rsid w:val="00726FB9"/>
    <w:rsid w:val="00727D8A"/>
    <w:rsid w:val="00731A35"/>
    <w:rsid w:val="007325C3"/>
    <w:rsid w:val="0073287D"/>
    <w:rsid w:val="00732A99"/>
    <w:rsid w:val="00732BBD"/>
    <w:rsid w:val="00733274"/>
    <w:rsid w:val="00734A72"/>
    <w:rsid w:val="00734C56"/>
    <w:rsid w:val="00734F91"/>
    <w:rsid w:val="007354DB"/>
    <w:rsid w:val="007355FD"/>
    <w:rsid w:val="007365F1"/>
    <w:rsid w:val="00737E26"/>
    <w:rsid w:val="00740E34"/>
    <w:rsid w:val="00740FDC"/>
    <w:rsid w:val="00741C98"/>
    <w:rsid w:val="00743F42"/>
    <w:rsid w:val="007444CB"/>
    <w:rsid w:val="0074472E"/>
    <w:rsid w:val="00744C5B"/>
    <w:rsid w:val="007455C4"/>
    <w:rsid w:val="00746702"/>
    <w:rsid w:val="00746D26"/>
    <w:rsid w:val="00747A6F"/>
    <w:rsid w:val="0075030B"/>
    <w:rsid w:val="0075085C"/>
    <w:rsid w:val="0075200D"/>
    <w:rsid w:val="00753417"/>
    <w:rsid w:val="00753B59"/>
    <w:rsid w:val="00754302"/>
    <w:rsid w:val="007555B4"/>
    <w:rsid w:val="007556A3"/>
    <w:rsid w:val="00755C10"/>
    <w:rsid w:val="00755EDC"/>
    <w:rsid w:val="0075681F"/>
    <w:rsid w:val="007602DE"/>
    <w:rsid w:val="00760AE5"/>
    <w:rsid w:val="0076214C"/>
    <w:rsid w:val="00762450"/>
    <w:rsid w:val="0076277F"/>
    <w:rsid w:val="00762FD9"/>
    <w:rsid w:val="00764DD1"/>
    <w:rsid w:val="00765390"/>
    <w:rsid w:val="0076539C"/>
    <w:rsid w:val="0076602C"/>
    <w:rsid w:val="007674A5"/>
    <w:rsid w:val="00770364"/>
    <w:rsid w:val="00771333"/>
    <w:rsid w:val="0077177C"/>
    <w:rsid w:val="007723D5"/>
    <w:rsid w:val="00773454"/>
    <w:rsid w:val="00773806"/>
    <w:rsid w:val="007769B3"/>
    <w:rsid w:val="007776CA"/>
    <w:rsid w:val="00777F0C"/>
    <w:rsid w:val="00780177"/>
    <w:rsid w:val="0078038B"/>
    <w:rsid w:val="00780B79"/>
    <w:rsid w:val="00781AAB"/>
    <w:rsid w:val="00781C39"/>
    <w:rsid w:val="0078203B"/>
    <w:rsid w:val="00782FEF"/>
    <w:rsid w:val="00783049"/>
    <w:rsid w:val="00783A8A"/>
    <w:rsid w:val="0078417B"/>
    <w:rsid w:val="00786222"/>
    <w:rsid w:val="007862D9"/>
    <w:rsid w:val="00786753"/>
    <w:rsid w:val="00787045"/>
    <w:rsid w:val="0079078D"/>
    <w:rsid w:val="00790AFD"/>
    <w:rsid w:val="00790F1A"/>
    <w:rsid w:val="0079108E"/>
    <w:rsid w:val="007918EB"/>
    <w:rsid w:val="00792C96"/>
    <w:rsid w:val="00792D5E"/>
    <w:rsid w:val="0079454D"/>
    <w:rsid w:val="00794ABF"/>
    <w:rsid w:val="00796572"/>
    <w:rsid w:val="007972D9"/>
    <w:rsid w:val="00797443"/>
    <w:rsid w:val="00797AFA"/>
    <w:rsid w:val="00797F4B"/>
    <w:rsid w:val="007A0048"/>
    <w:rsid w:val="007A1211"/>
    <w:rsid w:val="007A126B"/>
    <w:rsid w:val="007A166C"/>
    <w:rsid w:val="007A1F35"/>
    <w:rsid w:val="007A29E6"/>
    <w:rsid w:val="007A2DF8"/>
    <w:rsid w:val="007A2FD5"/>
    <w:rsid w:val="007A48D7"/>
    <w:rsid w:val="007A68F9"/>
    <w:rsid w:val="007A7604"/>
    <w:rsid w:val="007A7CFB"/>
    <w:rsid w:val="007B125D"/>
    <w:rsid w:val="007B158D"/>
    <w:rsid w:val="007B2033"/>
    <w:rsid w:val="007B2975"/>
    <w:rsid w:val="007B31F7"/>
    <w:rsid w:val="007B3253"/>
    <w:rsid w:val="007B33D2"/>
    <w:rsid w:val="007B3A1C"/>
    <w:rsid w:val="007B4DC3"/>
    <w:rsid w:val="007B6AE9"/>
    <w:rsid w:val="007B6DE8"/>
    <w:rsid w:val="007C0C43"/>
    <w:rsid w:val="007C17C6"/>
    <w:rsid w:val="007C3D13"/>
    <w:rsid w:val="007C4908"/>
    <w:rsid w:val="007D04E8"/>
    <w:rsid w:val="007D0FC4"/>
    <w:rsid w:val="007D119B"/>
    <w:rsid w:val="007D128A"/>
    <w:rsid w:val="007D17C7"/>
    <w:rsid w:val="007D196E"/>
    <w:rsid w:val="007D2C20"/>
    <w:rsid w:val="007D41A5"/>
    <w:rsid w:val="007D51DD"/>
    <w:rsid w:val="007D62CF"/>
    <w:rsid w:val="007D6377"/>
    <w:rsid w:val="007D7120"/>
    <w:rsid w:val="007D72DD"/>
    <w:rsid w:val="007D799A"/>
    <w:rsid w:val="007E130A"/>
    <w:rsid w:val="007E218A"/>
    <w:rsid w:val="007E59D4"/>
    <w:rsid w:val="007E6EAB"/>
    <w:rsid w:val="007E7296"/>
    <w:rsid w:val="007F01D0"/>
    <w:rsid w:val="007F12CD"/>
    <w:rsid w:val="007F1C24"/>
    <w:rsid w:val="007F2282"/>
    <w:rsid w:val="007F3333"/>
    <w:rsid w:val="007F3706"/>
    <w:rsid w:val="007F3C74"/>
    <w:rsid w:val="007F49DD"/>
    <w:rsid w:val="007F4A8B"/>
    <w:rsid w:val="007F707D"/>
    <w:rsid w:val="007F757C"/>
    <w:rsid w:val="007F75BA"/>
    <w:rsid w:val="007F7D48"/>
    <w:rsid w:val="008009B7"/>
    <w:rsid w:val="00801661"/>
    <w:rsid w:val="0080173B"/>
    <w:rsid w:val="00803D5B"/>
    <w:rsid w:val="008042BC"/>
    <w:rsid w:val="00805DB5"/>
    <w:rsid w:val="008062BD"/>
    <w:rsid w:val="0080721E"/>
    <w:rsid w:val="00807935"/>
    <w:rsid w:val="00807F93"/>
    <w:rsid w:val="008108E2"/>
    <w:rsid w:val="00811089"/>
    <w:rsid w:val="00811F66"/>
    <w:rsid w:val="00812DA6"/>
    <w:rsid w:val="00813A11"/>
    <w:rsid w:val="00814674"/>
    <w:rsid w:val="00814678"/>
    <w:rsid w:val="0081505A"/>
    <w:rsid w:val="008159B4"/>
    <w:rsid w:val="00815B82"/>
    <w:rsid w:val="00817841"/>
    <w:rsid w:val="008202DE"/>
    <w:rsid w:val="0082153C"/>
    <w:rsid w:val="00821CA7"/>
    <w:rsid w:val="00821D23"/>
    <w:rsid w:val="008233B0"/>
    <w:rsid w:val="0082484D"/>
    <w:rsid w:val="00824D8F"/>
    <w:rsid w:val="00824F31"/>
    <w:rsid w:val="00826B63"/>
    <w:rsid w:val="00826EDE"/>
    <w:rsid w:val="00826F90"/>
    <w:rsid w:val="008275CA"/>
    <w:rsid w:val="008300BD"/>
    <w:rsid w:val="00831355"/>
    <w:rsid w:val="008326ED"/>
    <w:rsid w:val="00832A0B"/>
    <w:rsid w:val="00832E3A"/>
    <w:rsid w:val="0083477D"/>
    <w:rsid w:val="00837D68"/>
    <w:rsid w:val="008400FE"/>
    <w:rsid w:val="008403BC"/>
    <w:rsid w:val="00841358"/>
    <w:rsid w:val="0084161D"/>
    <w:rsid w:val="00842C36"/>
    <w:rsid w:val="008435BC"/>
    <w:rsid w:val="00844133"/>
    <w:rsid w:val="00847462"/>
    <w:rsid w:val="008506A3"/>
    <w:rsid w:val="0085251A"/>
    <w:rsid w:val="00852726"/>
    <w:rsid w:val="008529C4"/>
    <w:rsid w:val="00852AD5"/>
    <w:rsid w:val="00852D3F"/>
    <w:rsid w:val="00853144"/>
    <w:rsid w:val="00854F0F"/>
    <w:rsid w:val="00855211"/>
    <w:rsid w:val="00860CBA"/>
    <w:rsid w:val="00861FE8"/>
    <w:rsid w:val="008626E3"/>
    <w:rsid w:val="008632BE"/>
    <w:rsid w:val="00863C21"/>
    <w:rsid w:val="00863EA8"/>
    <w:rsid w:val="00863FF2"/>
    <w:rsid w:val="00864017"/>
    <w:rsid w:val="00864368"/>
    <w:rsid w:val="00865BD0"/>
    <w:rsid w:val="008660BF"/>
    <w:rsid w:val="00866A0C"/>
    <w:rsid w:val="0086763B"/>
    <w:rsid w:val="00867695"/>
    <w:rsid w:val="008677A7"/>
    <w:rsid w:val="00867DB1"/>
    <w:rsid w:val="0087228F"/>
    <w:rsid w:val="0087455A"/>
    <w:rsid w:val="00874F52"/>
    <w:rsid w:val="0087768F"/>
    <w:rsid w:val="0088024B"/>
    <w:rsid w:val="008802C1"/>
    <w:rsid w:val="008814BE"/>
    <w:rsid w:val="008819F5"/>
    <w:rsid w:val="00882E0F"/>
    <w:rsid w:val="0088545C"/>
    <w:rsid w:val="00885495"/>
    <w:rsid w:val="008855F7"/>
    <w:rsid w:val="00885B7C"/>
    <w:rsid w:val="00885F21"/>
    <w:rsid w:val="00886208"/>
    <w:rsid w:val="00886678"/>
    <w:rsid w:val="008874B0"/>
    <w:rsid w:val="008879CF"/>
    <w:rsid w:val="0089028E"/>
    <w:rsid w:val="00890374"/>
    <w:rsid w:val="008908B3"/>
    <w:rsid w:val="00890A34"/>
    <w:rsid w:val="008911FC"/>
    <w:rsid w:val="008913CF"/>
    <w:rsid w:val="00891708"/>
    <w:rsid w:val="00891AA7"/>
    <w:rsid w:val="00892213"/>
    <w:rsid w:val="008934C7"/>
    <w:rsid w:val="008935EF"/>
    <w:rsid w:val="008951D6"/>
    <w:rsid w:val="0089600B"/>
    <w:rsid w:val="008963F5"/>
    <w:rsid w:val="008976B5"/>
    <w:rsid w:val="008A02B1"/>
    <w:rsid w:val="008A1501"/>
    <w:rsid w:val="008A36DD"/>
    <w:rsid w:val="008A3F5A"/>
    <w:rsid w:val="008A7414"/>
    <w:rsid w:val="008B0984"/>
    <w:rsid w:val="008B1096"/>
    <w:rsid w:val="008B1F00"/>
    <w:rsid w:val="008B21DE"/>
    <w:rsid w:val="008B2239"/>
    <w:rsid w:val="008B333D"/>
    <w:rsid w:val="008B47ED"/>
    <w:rsid w:val="008B6323"/>
    <w:rsid w:val="008B6399"/>
    <w:rsid w:val="008B65EC"/>
    <w:rsid w:val="008B6EDB"/>
    <w:rsid w:val="008C09DC"/>
    <w:rsid w:val="008C110B"/>
    <w:rsid w:val="008C1F09"/>
    <w:rsid w:val="008C22CA"/>
    <w:rsid w:val="008C2733"/>
    <w:rsid w:val="008C2E7B"/>
    <w:rsid w:val="008C3227"/>
    <w:rsid w:val="008C3389"/>
    <w:rsid w:val="008C35F5"/>
    <w:rsid w:val="008C462C"/>
    <w:rsid w:val="008C4831"/>
    <w:rsid w:val="008C6718"/>
    <w:rsid w:val="008D1519"/>
    <w:rsid w:val="008D3C76"/>
    <w:rsid w:val="008D40FE"/>
    <w:rsid w:val="008D429D"/>
    <w:rsid w:val="008D44A6"/>
    <w:rsid w:val="008D5472"/>
    <w:rsid w:val="008D5502"/>
    <w:rsid w:val="008D5B86"/>
    <w:rsid w:val="008D6AE9"/>
    <w:rsid w:val="008D6C1D"/>
    <w:rsid w:val="008D6EC7"/>
    <w:rsid w:val="008D792D"/>
    <w:rsid w:val="008E0015"/>
    <w:rsid w:val="008E2CC5"/>
    <w:rsid w:val="008E2E66"/>
    <w:rsid w:val="008E31D4"/>
    <w:rsid w:val="008E3343"/>
    <w:rsid w:val="008E3C9E"/>
    <w:rsid w:val="008E41E4"/>
    <w:rsid w:val="008E440F"/>
    <w:rsid w:val="008E459D"/>
    <w:rsid w:val="008E7754"/>
    <w:rsid w:val="008E7C2F"/>
    <w:rsid w:val="008F019A"/>
    <w:rsid w:val="008F2266"/>
    <w:rsid w:val="008F2B6F"/>
    <w:rsid w:val="008F2B87"/>
    <w:rsid w:val="008F2D70"/>
    <w:rsid w:val="008F3F27"/>
    <w:rsid w:val="008F4A55"/>
    <w:rsid w:val="008F6541"/>
    <w:rsid w:val="008F669A"/>
    <w:rsid w:val="008F6AFA"/>
    <w:rsid w:val="008F778B"/>
    <w:rsid w:val="008F7C92"/>
    <w:rsid w:val="008F7D1A"/>
    <w:rsid w:val="00902097"/>
    <w:rsid w:val="00902279"/>
    <w:rsid w:val="00903445"/>
    <w:rsid w:val="009035A2"/>
    <w:rsid w:val="00903CAD"/>
    <w:rsid w:val="00905489"/>
    <w:rsid w:val="009063E7"/>
    <w:rsid w:val="00906A2C"/>
    <w:rsid w:val="00907B36"/>
    <w:rsid w:val="00911D00"/>
    <w:rsid w:val="00911E6D"/>
    <w:rsid w:val="00913558"/>
    <w:rsid w:val="009148B5"/>
    <w:rsid w:val="00914DCE"/>
    <w:rsid w:val="00914E44"/>
    <w:rsid w:val="009172A2"/>
    <w:rsid w:val="00917F98"/>
    <w:rsid w:val="00921780"/>
    <w:rsid w:val="009232BB"/>
    <w:rsid w:val="00923DFD"/>
    <w:rsid w:val="00924527"/>
    <w:rsid w:val="00924CD1"/>
    <w:rsid w:val="0092562D"/>
    <w:rsid w:val="00925D50"/>
    <w:rsid w:val="00926352"/>
    <w:rsid w:val="00926BC7"/>
    <w:rsid w:val="00927375"/>
    <w:rsid w:val="009301C6"/>
    <w:rsid w:val="00931291"/>
    <w:rsid w:val="00931AE8"/>
    <w:rsid w:val="00933119"/>
    <w:rsid w:val="009331D5"/>
    <w:rsid w:val="00933D0C"/>
    <w:rsid w:val="00934086"/>
    <w:rsid w:val="009356E6"/>
    <w:rsid w:val="00940860"/>
    <w:rsid w:val="0094096B"/>
    <w:rsid w:val="00942355"/>
    <w:rsid w:val="00942A32"/>
    <w:rsid w:val="00942E66"/>
    <w:rsid w:val="009436DD"/>
    <w:rsid w:val="00944743"/>
    <w:rsid w:val="00944E03"/>
    <w:rsid w:val="009455C7"/>
    <w:rsid w:val="00945A5A"/>
    <w:rsid w:val="00945D37"/>
    <w:rsid w:val="0094601A"/>
    <w:rsid w:val="009476E6"/>
    <w:rsid w:val="00947914"/>
    <w:rsid w:val="0095401B"/>
    <w:rsid w:val="009546FA"/>
    <w:rsid w:val="0095489E"/>
    <w:rsid w:val="00954CC7"/>
    <w:rsid w:val="009550FB"/>
    <w:rsid w:val="009601CF"/>
    <w:rsid w:val="00960C5A"/>
    <w:rsid w:val="00960E78"/>
    <w:rsid w:val="00960F09"/>
    <w:rsid w:val="00961025"/>
    <w:rsid w:val="00961DC5"/>
    <w:rsid w:val="009621A3"/>
    <w:rsid w:val="00962CC9"/>
    <w:rsid w:val="00963606"/>
    <w:rsid w:val="00963E8A"/>
    <w:rsid w:val="0096523F"/>
    <w:rsid w:val="0096577B"/>
    <w:rsid w:val="009664EC"/>
    <w:rsid w:val="0096732F"/>
    <w:rsid w:val="0096772B"/>
    <w:rsid w:val="009707D3"/>
    <w:rsid w:val="00971956"/>
    <w:rsid w:val="00971AB6"/>
    <w:rsid w:val="00971C84"/>
    <w:rsid w:val="009722EC"/>
    <w:rsid w:val="009725F6"/>
    <w:rsid w:val="0097581E"/>
    <w:rsid w:val="00977B42"/>
    <w:rsid w:val="009805B6"/>
    <w:rsid w:val="0098082A"/>
    <w:rsid w:val="009812FB"/>
    <w:rsid w:val="00982CA1"/>
    <w:rsid w:val="00983BD8"/>
    <w:rsid w:val="00984643"/>
    <w:rsid w:val="00984685"/>
    <w:rsid w:val="0098486E"/>
    <w:rsid w:val="009851CF"/>
    <w:rsid w:val="0098529B"/>
    <w:rsid w:val="00987241"/>
    <w:rsid w:val="00987B72"/>
    <w:rsid w:val="00987E56"/>
    <w:rsid w:val="00990492"/>
    <w:rsid w:val="00990ACE"/>
    <w:rsid w:val="009911B5"/>
    <w:rsid w:val="00991C50"/>
    <w:rsid w:val="009953DA"/>
    <w:rsid w:val="00995425"/>
    <w:rsid w:val="009975E2"/>
    <w:rsid w:val="009A01A1"/>
    <w:rsid w:val="009A05B4"/>
    <w:rsid w:val="009A1026"/>
    <w:rsid w:val="009A2194"/>
    <w:rsid w:val="009A26DA"/>
    <w:rsid w:val="009A373A"/>
    <w:rsid w:val="009A3D54"/>
    <w:rsid w:val="009A5858"/>
    <w:rsid w:val="009A5B9F"/>
    <w:rsid w:val="009A7012"/>
    <w:rsid w:val="009A793D"/>
    <w:rsid w:val="009B07D5"/>
    <w:rsid w:val="009B0E57"/>
    <w:rsid w:val="009B1A3C"/>
    <w:rsid w:val="009B1D19"/>
    <w:rsid w:val="009B2B19"/>
    <w:rsid w:val="009B53B5"/>
    <w:rsid w:val="009B5467"/>
    <w:rsid w:val="009B5A9A"/>
    <w:rsid w:val="009B5BAB"/>
    <w:rsid w:val="009B65FF"/>
    <w:rsid w:val="009B7D88"/>
    <w:rsid w:val="009C1A76"/>
    <w:rsid w:val="009C2218"/>
    <w:rsid w:val="009C2CA9"/>
    <w:rsid w:val="009C2F65"/>
    <w:rsid w:val="009C317F"/>
    <w:rsid w:val="009C4B30"/>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C11"/>
    <w:rsid w:val="009F6DBF"/>
    <w:rsid w:val="009F734C"/>
    <w:rsid w:val="009F757B"/>
    <w:rsid w:val="009F7948"/>
    <w:rsid w:val="00A022AC"/>
    <w:rsid w:val="00A022BD"/>
    <w:rsid w:val="00A027F6"/>
    <w:rsid w:val="00A03EED"/>
    <w:rsid w:val="00A0423C"/>
    <w:rsid w:val="00A05515"/>
    <w:rsid w:val="00A067B2"/>
    <w:rsid w:val="00A0716B"/>
    <w:rsid w:val="00A0740A"/>
    <w:rsid w:val="00A0776D"/>
    <w:rsid w:val="00A07E6E"/>
    <w:rsid w:val="00A11008"/>
    <w:rsid w:val="00A110CB"/>
    <w:rsid w:val="00A113E7"/>
    <w:rsid w:val="00A126F5"/>
    <w:rsid w:val="00A12D4C"/>
    <w:rsid w:val="00A1304B"/>
    <w:rsid w:val="00A135C1"/>
    <w:rsid w:val="00A139BE"/>
    <w:rsid w:val="00A140FC"/>
    <w:rsid w:val="00A14D57"/>
    <w:rsid w:val="00A150D6"/>
    <w:rsid w:val="00A17DAF"/>
    <w:rsid w:val="00A17E5F"/>
    <w:rsid w:val="00A20D42"/>
    <w:rsid w:val="00A21A92"/>
    <w:rsid w:val="00A23CD6"/>
    <w:rsid w:val="00A24765"/>
    <w:rsid w:val="00A27232"/>
    <w:rsid w:val="00A27898"/>
    <w:rsid w:val="00A27FE7"/>
    <w:rsid w:val="00A30918"/>
    <w:rsid w:val="00A32389"/>
    <w:rsid w:val="00A34B44"/>
    <w:rsid w:val="00A35282"/>
    <w:rsid w:val="00A37923"/>
    <w:rsid w:val="00A379AB"/>
    <w:rsid w:val="00A4137B"/>
    <w:rsid w:val="00A43093"/>
    <w:rsid w:val="00A43DC1"/>
    <w:rsid w:val="00A4595F"/>
    <w:rsid w:val="00A45B82"/>
    <w:rsid w:val="00A479AB"/>
    <w:rsid w:val="00A47EFB"/>
    <w:rsid w:val="00A5035B"/>
    <w:rsid w:val="00A50701"/>
    <w:rsid w:val="00A50B67"/>
    <w:rsid w:val="00A50FD4"/>
    <w:rsid w:val="00A522E7"/>
    <w:rsid w:val="00A52889"/>
    <w:rsid w:val="00A53356"/>
    <w:rsid w:val="00A540FA"/>
    <w:rsid w:val="00A546C3"/>
    <w:rsid w:val="00A54900"/>
    <w:rsid w:val="00A553B3"/>
    <w:rsid w:val="00A55CFE"/>
    <w:rsid w:val="00A560B4"/>
    <w:rsid w:val="00A562F7"/>
    <w:rsid w:val="00A5672A"/>
    <w:rsid w:val="00A60679"/>
    <w:rsid w:val="00A62591"/>
    <w:rsid w:val="00A6391F"/>
    <w:rsid w:val="00A6428C"/>
    <w:rsid w:val="00A679EC"/>
    <w:rsid w:val="00A67BF2"/>
    <w:rsid w:val="00A67DE3"/>
    <w:rsid w:val="00A700DC"/>
    <w:rsid w:val="00A70891"/>
    <w:rsid w:val="00A72211"/>
    <w:rsid w:val="00A73EE2"/>
    <w:rsid w:val="00A746A3"/>
    <w:rsid w:val="00A74967"/>
    <w:rsid w:val="00A74B20"/>
    <w:rsid w:val="00A74D3D"/>
    <w:rsid w:val="00A74F9C"/>
    <w:rsid w:val="00A754D8"/>
    <w:rsid w:val="00A76ED9"/>
    <w:rsid w:val="00A8099F"/>
    <w:rsid w:val="00A80F72"/>
    <w:rsid w:val="00A81798"/>
    <w:rsid w:val="00A83A12"/>
    <w:rsid w:val="00A83DE6"/>
    <w:rsid w:val="00A83F83"/>
    <w:rsid w:val="00A84669"/>
    <w:rsid w:val="00A84DA9"/>
    <w:rsid w:val="00A850BE"/>
    <w:rsid w:val="00A8532B"/>
    <w:rsid w:val="00A856C5"/>
    <w:rsid w:val="00A85D87"/>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0BED"/>
    <w:rsid w:val="00AA1DB3"/>
    <w:rsid w:val="00AA27E6"/>
    <w:rsid w:val="00AA3573"/>
    <w:rsid w:val="00AA37B0"/>
    <w:rsid w:val="00AA3F9B"/>
    <w:rsid w:val="00AA43C0"/>
    <w:rsid w:val="00AA586A"/>
    <w:rsid w:val="00AA66B6"/>
    <w:rsid w:val="00AA7670"/>
    <w:rsid w:val="00AA7EEC"/>
    <w:rsid w:val="00AB0141"/>
    <w:rsid w:val="00AB46F3"/>
    <w:rsid w:val="00AB6555"/>
    <w:rsid w:val="00AB7B8F"/>
    <w:rsid w:val="00AC0D28"/>
    <w:rsid w:val="00AC1327"/>
    <w:rsid w:val="00AC1A60"/>
    <w:rsid w:val="00AC21F5"/>
    <w:rsid w:val="00AC424A"/>
    <w:rsid w:val="00AC4702"/>
    <w:rsid w:val="00AC4D7F"/>
    <w:rsid w:val="00AC5213"/>
    <w:rsid w:val="00AC5810"/>
    <w:rsid w:val="00AC5C00"/>
    <w:rsid w:val="00AC6E7B"/>
    <w:rsid w:val="00AD210E"/>
    <w:rsid w:val="00AD2370"/>
    <w:rsid w:val="00AD2744"/>
    <w:rsid w:val="00AD4606"/>
    <w:rsid w:val="00AD4FDE"/>
    <w:rsid w:val="00AD694B"/>
    <w:rsid w:val="00AE2548"/>
    <w:rsid w:val="00AE37B5"/>
    <w:rsid w:val="00AE3B00"/>
    <w:rsid w:val="00AE3BC8"/>
    <w:rsid w:val="00AE42D3"/>
    <w:rsid w:val="00AE4FD7"/>
    <w:rsid w:val="00AE5870"/>
    <w:rsid w:val="00AE627B"/>
    <w:rsid w:val="00AE6B42"/>
    <w:rsid w:val="00AE782E"/>
    <w:rsid w:val="00AE786D"/>
    <w:rsid w:val="00AE7BC9"/>
    <w:rsid w:val="00AF0CED"/>
    <w:rsid w:val="00AF2432"/>
    <w:rsid w:val="00AF2A4D"/>
    <w:rsid w:val="00AF31BD"/>
    <w:rsid w:val="00AF3C70"/>
    <w:rsid w:val="00AF470C"/>
    <w:rsid w:val="00AF6438"/>
    <w:rsid w:val="00AF79AE"/>
    <w:rsid w:val="00B00E4A"/>
    <w:rsid w:val="00B0131C"/>
    <w:rsid w:val="00B01F1C"/>
    <w:rsid w:val="00B02BC1"/>
    <w:rsid w:val="00B02D24"/>
    <w:rsid w:val="00B02EA7"/>
    <w:rsid w:val="00B031CB"/>
    <w:rsid w:val="00B058B5"/>
    <w:rsid w:val="00B06D2F"/>
    <w:rsid w:val="00B07171"/>
    <w:rsid w:val="00B07739"/>
    <w:rsid w:val="00B07C8A"/>
    <w:rsid w:val="00B10013"/>
    <w:rsid w:val="00B10E1E"/>
    <w:rsid w:val="00B11006"/>
    <w:rsid w:val="00B11E3E"/>
    <w:rsid w:val="00B11F0D"/>
    <w:rsid w:val="00B1217E"/>
    <w:rsid w:val="00B12333"/>
    <w:rsid w:val="00B13A91"/>
    <w:rsid w:val="00B1419C"/>
    <w:rsid w:val="00B15306"/>
    <w:rsid w:val="00B15548"/>
    <w:rsid w:val="00B1687F"/>
    <w:rsid w:val="00B20276"/>
    <w:rsid w:val="00B20284"/>
    <w:rsid w:val="00B20963"/>
    <w:rsid w:val="00B21658"/>
    <w:rsid w:val="00B21A18"/>
    <w:rsid w:val="00B23740"/>
    <w:rsid w:val="00B24110"/>
    <w:rsid w:val="00B2434A"/>
    <w:rsid w:val="00B24813"/>
    <w:rsid w:val="00B24C1A"/>
    <w:rsid w:val="00B2508D"/>
    <w:rsid w:val="00B258C4"/>
    <w:rsid w:val="00B30AD4"/>
    <w:rsid w:val="00B30FF4"/>
    <w:rsid w:val="00B31AC2"/>
    <w:rsid w:val="00B31AF4"/>
    <w:rsid w:val="00B31EC3"/>
    <w:rsid w:val="00B3233A"/>
    <w:rsid w:val="00B3265D"/>
    <w:rsid w:val="00B32AE3"/>
    <w:rsid w:val="00B33510"/>
    <w:rsid w:val="00B34E84"/>
    <w:rsid w:val="00B354FD"/>
    <w:rsid w:val="00B3578A"/>
    <w:rsid w:val="00B37252"/>
    <w:rsid w:val="00B400C5"/>
    <w:rsid w:val="00B413BD"/>
    <w:rsid w:val="00B41CCB"/>
    <w:rsid w:val="00B446F6"/>
    <w:rsid w:val="00B46B89"/>
    <w:rsid w:val="00B50697"/>
    <w:rsid w:val="00B51BFB"/>
    <w:rsid w:val="00B531F8"/>
    <w:rsid w:val="00B5485C"/>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47C"/>
    <w:rsid w:val="00B80C64"/>
    <w:rsid w:val="00B826D9"/>
    <w:rsid w:val="00B833F4"/>
    <w:rsid w:val="00B85EF8"/>
    <w:rsid w:val="00B8668D"/>
    <w:rsid w:val="00B86D63"/>
    <w:rsid w:val="00B877E8"/>
    <w:rsid w:val="00B9019C"/>
    <w:rsid w:val="00B902DB"/>
    <w:rsid w:val="00B90445"/>
    <w:rsid w:val="00B90518"/>
    <w:rsid w:val="00B90CE7"/>
    <w:rsid w:val="00B91622"/>
    <w:rsid w:val="00B916D2"/>
    <w:rsid w:val="00B935DB"/>
    <w:rsid w:val="00B951D3"/>
    <w:rsid w:val="00B95A0E"/>
    <w:rsid w:val="00B95ED6"/>
    <w:rsid w:val="00B96215"/>
    <w:rsid w:val="00B96AD3"/>
    <w:rsid w:val="00B97106"/>
    <w:rsid w:val="00B97F02"/>
    <w:rsid w:val="00BA22BB"/>
    <w:rsid w:val="00BA252C"/>
    <w:rsid w:val="00BA2D3F"/>
    <w:rsid w:val="00BA329F"/>
    <w:rsid w:val="00BA36F9"/>
    <w:rsid w:val="00BA3708"/>
    <w:rsid w:val="00BA45F4"/>
    <w:rsid w:val="00BA4DE2"/>
    <w:rsid w:val="00BA5B6A"/>
    <w:rsid w:val="00BB04E5"/>
    <w:rsid w:val="00BB146C"/>
    <w:rsid w:val="00BB27C8"/>
    <w:rsid w:val="00BB3868"/>
    <w:rsid w:val="00BB449E"/>
    <w:rsid w:val="00BB5076"/>
    <w:rsid w:val="00BB5138"/>
    <w:rsid w:val="00BB5419"/>
    <w:rsid w:val="00BB578C"/>
    <w:rsid w:val="00BB6398"/>
    <w:rsid w:val="00BB72E5"/>
    <w:rsid w:val="00BB77C6"/>
    <w:rsid w:val="00BC073F"/>
    <w:rsid w:val="00BC206C"/>
    <w:rsid w:val="00BC2C8E"/>
    <w:rsid w:val="00BC4070"/>
    <w:rsid w:val="00BC4506"/>
    <w:rsid w:val="00BC4F53"/>
    <w:rsid w:val="00BC6916"/>
    <w:rsid w:val="00BC6B41"/>
    <w:rsid w:val="00BC764F"/>
    <w:rsid w:val="00BC784D"/>
    <w:rsid w:val="00BD049D"/>
    <w:rsid w:val="00BD04F0"/>
    <w:rsid w:val="00BD11D3"/>
    <w:rsid w:val="00BD1AD3"/>
    <w:rsid w:val="00BD2170"/>
    <w:rsid w:val="00BD25B3"/>
    <w:rsid w:val="00BD295A"/>
    <w:rsid w:val="00BD3BC3"/>
    <w:rsid w:val="00BD46C0"/>
    <w:rsid w:val="00BD5779"/>
    <w:rsid w:val="00BD6483"/>
    <w:rsid w:val="00BD7BDE"/>
    <w:rsid w:val="00BD7C91"/>
    <w:rsid w:val="00BE0C76"/>
    <w:rsid w:val="00BE1033"/>
    <w:rsid w:val="00BE1121"/>
    <w:rsid w:val="00BE217C"/>
    <w:rsid w:val="00BE25E1"/>
    <w:rsid w:val="00BE405F"/>
    <w:rsid w:val="00BE4129"/>
    <w:rsid w:val="00BE44E8"/>
    <w:rsid w:val="00BE5F2B"/>
    <w:rsid w:val="00BE66CD"/>
    <w:rsid w:val="00BE76E2"/>
    <w:rsid w:val="00BE7E94"/>
    <w:rsid w:val="00BF2121"/>
    <w:rsid w:val="00BF2B61"/>
    <w:rsid w:val="00BF3222"/>
    <w:rsid w:val="00BF4B23"/>
    <w:rsid w:val="00BF60AE"/>
    <w:rsid w:val="00BF6DA5"/>
    <w:rsid w:val="00BF6E09"/>
    <w:rsid w:val="00C0037E"/>
    <w:rsid w:val="00C03817"/>
    <w:rsid w:val="00C03ED8"/>
    <w:rsid w:val="00C0673F"/>
    <w:rsid w:val="00C07842"/>
    <w:rsid w:val="00C07873"/>
    <w:rsid w:val="00C113D8"/>
    <w:rsid w:val="00C1160A"/>
    <w:rsid w:val="00C1212A"/>
    <w:rsid w:val="00C12356"/>
    <w:rsid w:val="00C1264A"/>
    <w:rsid w:val="00C1583D"/>
    <w:rsid w:val="00C15EC4"/>
    <w:rsid w:val="00C17027"/>
    <w:rsid w:val="00C1740C"/>
    <w:rsid w:val="00C17609"/>
    <w:rsid w:val="00C17F41"/>
    <w:rsid w:val="00C210D3"/>
    <w:rsid w:val="00C24074"/>
    <w:rsid w:val="00C25ADA"/>
    <w:rsid w:val="00C264AB"/>
    <w:rsid w:val="00C26995"/>
    <w:rsid w:val="00C26C5A"/>
    <w:rsid w:val="00C270BC"/>
    <w:rsid w:val="00C27678"/>
    <w:rsid w:val="00C30029"/>
    <w:rsid w:val="00C30504"/>
    <w:rsid w:val="00C31177"/>
    <w:rsid w:val="00C31346"/>
    <w:rsid w:val="00C325B0"/>
    <w:rsid w:val="00C32DDA"/>
    <w:rsid w:val="00C33896"/>
    <w:rsid w:val="00C33F33"/>
    <w:rsid w:val="00C34216"/>
    <w:rsid w:val="00C3460D"/>
    <w:rsid w:val="00C34701"/>
    <w:rsid w:val="00C36950"/>
    <w:rsid w:val="00C41EFC"/>
    <w:rsid w:val="00C42A90"/>
    <w:rsid w:val="00C4452D"/>
    <w:rsid w:val="00C45D65"/>
    <w:rsid w:val="00C46D89"/>
    <w:rsid w:val="00C47DC3"/>
    <w:rsid w:val="00C51384"/>
    <w:rsid w:val="00C51AB1"/>
    <w:rsid w:val="00C52765"/>
    <w:rsid w:val="00C5400C"/>
    <w:rsid w:val="00C54167"/>
    <w:rsid w:val="00C541FB"/>
    <w:rsid w:val="00C54B89"/>
    <w:rsid w:val="00C54EB8"/>
    <w:rsid w:val="00C55465"/>
    <w:rsid w:val="00C576C5"/>
    <w:rsid w:val="00C57E71"/>
    <w:rsid w:val="00C60816"/>
    <w:rsid w:val="00C6113C"/>
    <w:rsid w:val="00C61B31"/>
    <w:rsid w:val="00C61F0D"/>
    <w:rsid w:val="00C6260C"/>
    <w:rsid w:val="00C63424"/>
    <w:rsid w:val="00C647F9"/>
    <w:rsid w:val="00C65D18"/>
    <w:rsid w:val="00C67595"/>
    <w:rsid w:val="00C67DBB"/>
    <w:rsid w:val="00C70246"/>
    <w:rsid w:val="00C70298"/>
    <w:rsid w:val="00C7079A"/>
    <w:rsid w:val="00C720E4"/>
    <w:rsid w:val="00C7354A"/>
    <w:rsid w:val="00C745AA"/>
    <w:rsid w:val="00C75AFA"/>
    <w:rsid w:val="00C76EDA"/>
    <w:rsid w:val="00C77265"/>
    <w:rsid w:val="00C7745B"/>
    <w:rsid w:val="00C77E32"/>
    <w:rsid w:val="00C803CE"/>
    <w:rsid w:val="00C8084B"/>
    <w:rsid w:val="00C819F9"/>
    <w:rsid w:val="00C82101"/>
    <w:rsid w:val="00C82BC8"/>
    <w:rsid w:val="00C84015"/>
    <w:rsid w:val="00C85E77"/>
    <w:rsid w:val="00C86B52"/>
    <w:rsid w:val="00C86B5C"/>
    <w:rsid w:val="00C86C1B"/>
    <w:rsid w:val="00C86E6D"/>
    <w:rsid w:val="00C876B1"/>
    <w:rsid w:val="00C8779E"/>
    <w:rsid w:val="00C911D4"/>
    <w:rsid w:val="00C91287"/>
    <w:rsid w:val="00C9331F"/>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4EEB"/>
    <w:rsid w:val="00CA6A3F"/>
    <w:rsid w:val="00CA6B32"/>
    <w:rsid w:val="00CA7C4D"/>
    <w:rsid w:val="00CB0E63"/>
    <w:rsid w:val="00CB1417"/>
    <w:rsid w:val="00CB2777"/>
    <w:rsid w:val="00CB2E1F"/>
    <w:rsid w:val="00CB478B"/>
    <w:rsid w:val="00CB5158"/>
    <w:rsid w:val="00CB6D46"/>
    <w:rsid w:val="00CB7161"/>
    <w:rsid w:val="00CB728B"/>
    <w:rsid w:val="00CB735C"/>
    <w:rsid w:val="00CB7D80"/>
    <w:rsid w:val="00CB7FED"/>
    <w:rsid w:val="00CC027E"/>
    <w:rsid w:val="00CC1235"/>
    <w:rsid w:val="00CC1CCD"/>
    <w:rsid w:val="00CC20F9"/>
    <w:rsid w:val="00CC26F5"/>
    <w:rsid w:val="00CC2BB2"/>
    <w:rsid w:val="00CC3911"/>
    <w:rsid w:val="00CC481B"/>
    <w:rsid w:val="00CC66B9"/>
    <w:rsid w:val="00CC6847"/>
    <w:rsid w:val="00CD088F"/>
    <w:rsid w:val="00CD0AD4"/>
    <w:rsid w:val="00CD186C"/>
    <w:rsid w:val="00CD1FC9"/>
    <w:rsid w:val="00CD1FD8"/>
    <w:rsid w:val="00CD2E19"/>
    <w:rsid w:val="00CD3B17"/>
    <w:rsid w:val="00CD3BC9"/>
    <w:rsid w:val="00CD3C59"/>
    <w:rsid w:val="00CD4946"/>
    <w:rsid w:val="00CD5D78"/>
    <w:rsid w:val="00CD60D5"/>
    <w:rsid w:val="00CD7C9C"/>
    <w:rsid w:val="00CE0432"/>
    <w:rsid w:val="00CE11A9"/>
    <w:rsid w:val="00CE1739"/>
    <w:rsid w:val="00CE1907"/>
    <w:rsid w:val="00CE1BB4"/>
    <w:rsid w:val="00CE2836"/>
    <w:rsid w:val="00CE3A57"/>
    <w:rsid w:val="00CE4FCA"/>
    <w:rsid w:val="00CE6A0A"/>
    <w:rsid w:val="00CE6F12"/>
    <w:rsid w:val="00CE7ED6"/>
    <w:rsid w:val="00CF050D"/>
    <w:rsid w:val="00CF0EA2"/>
    <w:rsid w:val="00CF28C2"/>
    <w:rsid w:val="00CF29E3"/>
    <w:rsid w:val="00CF34B8"/>
    <w:rsid w:val="00CF3A2B"/>
    <w:rsid w:val="00CF4957"/>
    <w:rsid w:val="00CF5875"/>
    <w:rsid w:val="00CF648C"/>
    <w:rsid w:val="00CF6FB5"/>
    <w:rsid w:val="00CF6FCE"/>
    <w:rsid w:val="00CF77E7"/>
    <w:rsid w:val="00D00227"/>
    <w:rsid w:val="00D00B5D"/>
    <w:rsid w:val="00D01634"/>
    <w:rsid w:val="00D01CC0"/>
    <w:rsid w:val="00D022B9"/>
    <w:rsid w:val="00D02DFC"/>
    <w:rsid w:val="00D02FFE"/>
    <w:rsid w:val="00D032F2"/>
    <w:rsid w:val="00D0423D"/>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49A"/>
    <w:rsid w:val="00D138E6"/>
    <w:rsid w:val="00D1440B"/>
    <w:rsid w:val="00D15525"/>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3309D"/>
    <w:rsid w:val="00D34D0B"/>
    <w:rsid w:val="00D34DF8"/>
    <w:rsid w:val="00D36496"/>
    <w:rsid w:val="00D370DD"/>
    <w:rsid w:val="00D40186"/>
    <w:rsid w:val="00D4282D"/>
    <w:rsid w:val="00D43B64"/>
    <w:rsid w:val="00D45A23"/>
    <w:rsid w:val="00D460AC"/>
    <w:rsid w:val="00D46D80"/>
    <w:rsid w:val="00D479A4"/>
    <w:rsid w:val="00D506E1"/>
    <w:rsid w:val="00D50A5E"/>
    <w:rsid w:val="00D50CFD"/>
    <w:rsid w:val="00D528B5"/>
    <w:rsid w:val="00D52E95"/>
    <w:rsid w:val="00D534E2"/>
    <w:rsid w:val="00D56E13"/>
    <w:rsid w:val="00D607C2"/>
    <w:rsid w:val="00D61199"/>
    <w:rsid w:val="00D61F40"/>
    <w:rsid w:val="00D622EC"/>
    <w:rsid w:val="00D623AF"/>
    <w:rsid w:val="00D64126"/>
    <w:rsid w:val="00D65953"/>
    <w:rsid w:val="00D65A78"/>
    <w:rsid w:val="00D70C8E"/>
    <w:rsid w:val="00D726AD"/>
    <w:rsid w:val="00D73633"/>
    <w:rsid w:val="00D73FDF"/>
    <w:rsid w:val="00D75813"/>
    <w:rsid w:val="00D76018"/>
    <w:rsid w:val="00D76083"/>
    <w:rsid w:val="00D7779A"/>
    <w:rsid w:val="00D8040E"/>
    <w:rsid w:val="00D81C5F"/>
    <w:rsid w:val="00D828AC"/>
    <w:rsid w:val="00D83251"/>
    <w:rsid w:val="00D8482F"/>
    <w:rsid w:val="00D85744"/>
    <w:rsid w:val="00D8624B"/>
    <w:rsid w:val="00D863F8"/>
    <w:rsid w:val="00D90104"/>
    <w:rsid w:val="00D90682"/>
    <w:rsid w:val="00D90FDA"/>
    <w:rsid w:val="00D91844"/>
    <w:rsid w:val="00D943A3"/>
    <w:rsid w:val="00D9614A"/>
    <w:rsid w:val="00D963A5"/>
    <w:rsid w:val="00D97408"/>
    <w:rsid w:val="00D9755B"/>
    <w:rsid w:val="00D9761B"/>
    <w:rsid w:val="00D9780E"/>
    <w:rsid w:val="00DA02B6"/>
    <w:rsid w:val="00DA049C"/>
    <w:rsid w:val="00DA1DE6"/>
    <w:rsid w:val="00DA2F03"/>
    <w:rsid w:val="00DA4E28"/>
    <w:rsid w:val="00DA59B9"/>
    <w:rsid w:val="00DA657E"/>
    <w:rsid w:val="00DA68F6"/>
    <w:rsid w:val="00DA6F72"/>
    <w:rsid w:val="00DB03D9"/>
    <w:rsid w:val="00DB0ED2"/>
    <w:rsid w:val="00DB139A"/>
    <w:rsid w:val="00DB3587"/>
    <w:rsid w:val="00DB4122"/>
    <w:rsid w:val="00DB52EA"/>
    <w:rsid w:val="00DB5BAA"/>
    <w:rsid w:val="00DB6C28"/>
    <w:rsid w:val="00DB7330"/>
    <w:rsid w:val="00DB7BD6"/>
    <w:rsid w:val="00DC01CF"/>
    <w:rsid w:val="00DC0304"/>
    <w:rsid w:val="00DC048F"/>
    <w:rsid w:val="00DC05AA"/>
    <w:rsid w:val="00DC05C9"/>
    <w:rsid w:val="00DC07E6"/>
    <w:rsid w:val="00DC1D64"/>
    <w:rsid w:val="00DC2245"/>
    <w:rsid w:val="00DC3758"/>
    <w:rsid w:val="00DC3B4F"/>
    <w:rsid w:val="00DC5EF3"/>
    <w:rsid w:val="00DD13BF"/>
    <w:rsid w:val="00DD177A"/>
    <w:rsid w:val="00DD1CB4"/>
    <w:rsid w:val="00DD1D88"/>
    <w:rsid w:val="00DD1E12"/>
    <w:rsid w:val="00DD25AF"/>
    <w:rsid w:val="00DD2B5A"/>
    <w:rsid w:val="00DD405A"/>
    <w:rsid w:val="00DD4618"/>
    <w:rsid w:val="00DD63EA"/>
    <w:rsid w:val="00DD7942"/>
    <w:rsid w:val="00DD7C9A"/>
    <w:rsid w:val="00DE0F91"/>
    <w:rsid w:val="00DE1EB2"/>
    <w:rsid w:val="00DE260A"/>
    <w:rsid w:val="00DE3126"/>
    <w:rsid w:val="00DE3142"/>
    <w:rsid w:val="00DE3350"/>
    <w:rsid w:val="00DE3877"/>
    <w:rsid w:val="00DE48CE"/>
    <w:rsid w:val="00DE4E50"/>
    <w:rsid w:val="00DE4F7E"/>
    <w:rsid w:val="00DE50B8"/>
    <w:rsid w:val="00DE51AF"/>
    <w:rsid w:val="00DE6415"/>
    <w:rsid w:val="00DE6453"/>
    <w:rsid w:val="00DE6A64"/>
    <w:rsid w:val="00DE72F6"/>
    <w:rsid w:val="00DE75CE"/>
    <w:rsid w:val="00DE7B75"/>
    <w:rsid w:val="00DE7D89"/>
    <w:rsid w:val="00DE7DFD"/>
    <w:rsid w:val="00DF02CF"/>
    <w:rsid w:val="00DF054C"/>
    <w:rsid w:val="00DF065A"/>
    <w:rsid w:val="00DF0696"/>
    <w:rsid w:val="00DF2554"/>
    <w:rsid w:val="00DF2587"/>
    <w:rsid w:val="00DF31A7"/>
    <w:rsid w:val="00DF42F2"/>
    <w:rsid w:val="00DF51F1"/>
    <w:rsid w:val="00DF521F"/>
    <w:rsid w:val="00DF5223"/>
    <w:rsid w:val="00DF55D3"/>
    <w:rsid w:val="00DF7250"/>
    <w:rsid w:val="00DF72A5"/>
    <w:rsid w:val="00DF7B48"/>
    <w:rsid w:val="00E00BCE"/>
    <w:rsid w:val="00E04341"/>
    <w:rsid w:val="00E04E49"/>
    <w:rsid w:val="00E04F98"/>
    <w:rsid w:val="00E05BBE"/>
    <w:rsid w:val="00E060D6"/>
    <w:rsid w:val="00E06342"/>
    <w:rsid w:val="00E0677E"/>
    <w:rsid w:val="00E07ED7"/>
    <w:rsid w:val="00E104CF"/>
    <w:rsid w:val="00E10C8D"/>
    <w:rsid w:val="00E1153C"/>
    <w:rsid w:val="00E11A31"/>
    <w:rsid w:val="00E13035"/>
    <w:rsid w:val="00E134B3"/>
    <w:rsid w:val="00E1363E"/>
    <w:rsid w:val="00E143C7"/>
    <w:rsid w:val="00E15FF2"/>
    <w:rsid w:val="00E1624F"/>
    <w:rsid w:val="00E20949"/>
    <w:rsid w:val="00E22095"/>
    <w:rsid w:val="00E22B41"/>
    <w:rsid w:val="00E24E70"/>
    <w:rsid w:val="00E25417"/>
    <w:rsid w:val="00E258E5"/>
    <w:rsid w:val="00E26493"/>
    <w:rsid w:val="00E26FF4"/>
    <w:rsid w:val="00E271C1"/>
    <w:rsid w:val="00E27C67"/>
    <w:rsid w:val="00E27CED"/>
    <w:rsid w:val="00E3064D"/>
    <w:rsid w:val="00E30C09"/>
    <w:rsid w:val="00E33259"/>
    <w:rsid w:val="00E33458"/>
    <w:rsid w:val="00E33C03"/>
    <w:rsid w:val="00E346D4"/>
    <w:rsid w:val="00E34D99"/>
    <w:rsid w:val="00E352DF"/>
    <w:rsid w:val="00E35E4A"/>
    <w:rsid w:val="00E36CA0"/>
    <w:rsid w:val="00E37057"/>
    <w:rsid w:val="00E37C9D"/>
    <w:rsid w:val="00E40836"/>
    <w:rsid w:val="00E4115A"/>
    <w:rsid w:val="00E4185F"/>
    <w:rsid w:val="00E418A7"/>
    <w:rsid w:val="00E41E7D"/>
    <w:rsid w:val="00E425D3"/>
    <w:rsid w:val="00E4395B"/>
    <w:rsid w:val="00E451F1"/>
    <w:rsid w:val="00E45518"/>
    <w:rsid w:val="00E45D67"/>
    <w:rsid w:val="00E50CAC"/>
    <w:rsid w:val="00E52070"/>
    <w:rsid w:val="00E52BA5"/>
    <w:rsid w:val="00E54872"/>
    <w:rsid w:val="00E54C00"/>
    <w:rsid w:val="00E5511A"/>
    <w:rsid w:val="00E56697"/>
    <w:rsid w:val="00E60023"/>
    <w:rsid w:val="00E600D6"/>
    <w:rsid w:val="00E605AE"/>
    <w:rsid w:val="00E61031"/>
    <w:rsid w:val="00E613A0"/>
    <w:rsid w:val="00E61705"/>
    <w:rsid w:val="00E61D84"/>
    <w:rsid w:val="00E6235E"/>
    <w:rsid w:val="00E6236E"/>
    <w:rsid w:val="00E64383"/>
    <w:rsid w:val="00E643EB"/>
    <w:rsid w:val="00E64524"/>
    <w:rsid w:val="00E674E5"/>
    <w:rsid w:val="00E675D0"/>
    <w:rsid w:val="00E677BE"/>
    <w:rsid w:val="00E702C4"/>
    <w:rsid w:val="00E71EFD"/>
    <w:rsid w:val="00E74412"/>
    <w:rsid w:val="00E74EEC"/>
    <w:rsid w:val="00E74FFA"/>
    <w:rsid w:val="00E757CE"/>
    <w:rsid w:val="00E76FA7"/>
    <w:rsid w:val="00E80C4B"/>
    <w:rsid w:val="00E81AB3"/>
    <w:rsid w:val="00E8332B"/>
    <w:rsid w:val="00E8455F"/>
    <w:rsid w:val="00E8721F"/>
    <w:rsid w:val="00E874B4"/>
    <w:rsid w:val="00E87785"/>
    <w:rsid w:val="00E90F8A"/>
    <w:rsid w:val="00E9259D"/>
    <w:rsid w:val="00E93101"/>
    <w:rsid w:val="00E9313E"/>
    <w:rsid w:val="00E948A5"/>
    <w:rsid w:val="00E95E76"/>
    <w:rsid w:val="00E962F2"/>
    <w:rsid w:val="00E9716E"/>
    <w:rsid w:val="00E977FB"/>
    <w:rsid w:val="00EA0ED1"/>
    <w:rsid w:val="00EA279A"/>
    <w:rsid w:val="00EA2F8B"/>
    <w:rsid w:val="00EA51ED"/>
    <w:rsid w:val="00EA57D0"/>
    <w:rsid w:val="00EA6445"/>
    <w:rsid w:val="00EA70CB"/>
    <w:rsid w:val="00EA71EB"/>
    <w:rsid w:val="00EA7D98"/>
    <w:rsid w:val="00EB21D4"/>
    <w:rsid w:val="00EB2483"/>
    <w:rsid w:val="00EB3769"/>
    <w:rsid w:val="00EB476A"/>
    <w:rsid w:val="00EB5B14"/>
    <w:rsid w:val="00EB683C"/>
    <w:rsid w:val="00EB734F"/>
    <w:rsid w:val="00EB75C2"/>
    <w:rsid w:val="00EC02A2"/>
    <w:rsid w:val="00EC070C"/>
    <w:rsid w:val="00EC0B9D"/>
    <w:rsid w:val="00EC0C9D"/>
    <w:rsid w:val="00EC0E05"/>
    <w:rsid w:val="00EC1014"/>
    <w:rsid w:val="00EC23BF"/>
    <w:rsid w:val="00EC2D8A"/>
    <w:rsid w:val="00EC3280"/>
    <w:rsid w:val="00EC3E45"/>
    <w:rsid w:val="00EC4359"/>
    <w:rsid w:val="00EC50EF"/>
    <w:rsid w:val="00EC5273"/>
    <w:rsid w:val="00EC65FD"/>
    <w:rsid w:val="00EC7913"/>
    <w:rsid w:val="00EC7FDD"/>
    <w:rsid w:val="00ED1312"/>
    <w:rsid w:val="00ED3121"/>
    <w:rsid w:val="00ED3E13"/>
    <w:rsid w:val="00ED45D9"/>
    <w:rsid w:val="00ED64EE"/>
    <w:rsid w:val="00EE01D0"/>
    <w:rsid w:val="00EE08D1"/>
    <w:rsid w:val="00EE0E63"/>
    <w:rsid w:val="00EE259E"/>
    <w:rsid w:val="00EE47B1"/>
    <w:rsid w:val="00EE5274"/>
    <w:rsid w:val="00EE55CB"/>
    <w:rsid w:val="00EE6081"/>
    <w:rsid w:val="00EE6375"/>
    <w:rsid w:val="00EE6C5B"/>
    <w:rsid w:val="00EF05FD"/>
    <w:rsid w:val="00EF1219"/>
    <w:rsid w:val="00EF1B3B"/>
    <w:rsid w:val="00EF231F"/>
    <w:rsid w:val="00EF3B2E"/>
    <w:rsid w:val="00EF4657"/>
    <w:rsid w:val="00EF4AAC"/>
    <w:rsid w:val="00EF4C37"/>
    <w:rsid w:val="00EF5378"/>
    <w:rsid w:val="00EF54AC"/>
    <w:rsid w:val="00EF59F0"/>
    <w:rsid w:val="00F00465"/>
    <w:rsid w:val="00F004CC"/>
    <w:rsid w:val="00F00F70"/>
    <w:rsid w:val="00F02FDE"/>
    <w:rsid w:val="00F045F2"/>
    <w:rsid w:val="00F05C0C"/>
    <w:rsid w:val="00F05C68"/>
    <w:rsid w:val="00F075A8"/>
    <w:rsid w:val="00F10B41"/>
    <w:rsid w:val="00F113B5"/>
    <w:rsid w:val="00F1154F"/>
    <w:rsid w:val="00F12106"/>
    <w:rsid w:val="00F13231"/>
    <w:rsid w:val="00F149A4"/>
    <w:rsid w:val="00F14FA8"/>
    <w:rsid w:val="00F15307"/>
    <w:rsid w:val="00F153D7"/>
    <w:rsid w:val="00F15AB4"/>
    <w:rsid w:val="00F15ED8"/>
    <w:rsid w:val="00F164E6"/>
    <w:rsid w:val="00F16DC2"/>
    <w:rsid w:val="00F17346"/>
    <w:rsid w:val="00F178C8"/>
    <w:rsid w:val="00F17B63"/>
    <w:rsid w:val="00F21756"/>
    <w:rsid w:val="00F2296F"/>
    <w:rsid w:val="00F252E5"/>
    <w:rsid w:val="00F26A87"/>
    <w:rsid w:val="00F27049"/>
    <w:rsid w:val="00F308D4"/>
    <w:rsid w:val="00F30CF8"/>
    <w:rsid w:val="00F34292"/>
    <w:rsid w:val="00F35ABF"/>
    <w:rsid w:val="00F362B5"/>
    <w:rsid w:val="00F3698A"/>
    <w:rsid w:val="00F36B80"/>
    <w:rsid w:val="00F405A9"/>
    <w:rsid w:val="00F41906"/>
    <w:rsid w:val="00F4190E"/>
    <w:rsid w:val="00F41A6F"/>
    <w:rsid w:val="00F4375D"/>
    <w:rsid w:val="00F460F9"/>
    <w:rsid w:val="00F46D04"/>
    <w:rsid w:val="00F4723C"/>
    <w:rsid w:val="00F47F3F"/>
    <w:rsid w:val="00F520A9"/>
    <w:rsid w:val="00F52F66"/>
    <w:rsid w:val="00F534F3"/>
    <w:rsid w:val="00F53AA0"/>
    <w:rsid w:val="00F54B7A"/>
    <w:rsid w:val="00F54D98"/>
    <w:rsid w:val="00F5519F"/>
    <w:rsid w:val="00F551C4"/>
    <w:rsid w:val="00F57471"/>
    <w:rsid w:val="00F57672"/>
    <w:rsid w:val="00F608E2"/>
    <w:rsid w:val="00F61E95"/>
    <w:rsid w:val="00F63934"/>
    <w:rsid w:val="00F63C7D"/>
    <w:rsid w:val="00F647A2"/>
    <w:rsid w:val="00F64F8E"/>
    <w:rsid w:val="00F66ABB"/>
    <w:rsid w:val="00F7014A"/>
    <w:rsid w:val="00F70322"/>
    <w:rsid w:val="00F7062F"/>
    <w:rsid w:val="00F715BA"/>
    <w:rsid w:val="00F72CAC"/>
    <w:rsid w:val="00F7304F"/>
    <w:rsid w:val="00F745E4"/>
    <w:rsid w:val="00F750A2"/>
    <w:rsid w:val="00F7574E"/>
    <w:rsid w:val="00F76B24"/>
    <w:rsid w:val="00F76B4C"/>
    <w:rsid w:val="00F7719C"/>
    <w:rsid w:val="00F773B6"/>
    <w:rsid w:val="00F7747B"/>
    <w:rsid w:val="00F777F3"/>
    <w:rsid w:val="00F77815"/>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A707C"/>
    <w:rsid w:val="00FB13C0"/>
    <w:rsid w:val="00FB204D"/>
    <w:rsid w:val="00FB22A1"/>
    <w:rsid w:val="00FB2CE4"/>
    <w:rsid w:val="00FB3C74"/>
    <w:rsid w:val="00FB4486"/>
    <w:rsid w:val="00FB4AB1"/>
    <w:rsid w:val="00FB4BAB"/>
    <w:rsid w:val="00FB4C7F"/>
    <w:rsid w:val="00FB4DFC"/>
    <w:rsid w:val="00FB5308"/>
    <w:rsid w:val="00FB6F40"/>
    <w:rsid w:val="00FB6FB1"/>
    <w:rsid w:val="00FB7CD5"/>
    <w:rsid w:val="00FC057E"/>
    <w:rsid w:val="00FC09B6"/>
    <w:rsid w:val="00FC0E82"/>
    <w:rsid w:val="00FC1C7C"/>
    <w:rsid w:val="00FC1ED9"/>
    <w:rsid w:val="00FC23EF"/>
    <w:rsid w:val="00FC3C5B"/>
    <w:rsid w:val="00FC3DC5"/>
    <w:rsid w:val="00FC692E"/>
    <w:rsid w:val="00FD0635"/>
    <w:rsid w:val="00FD08E7"/>
    <w:rsid w:val="00FD326B"/>
    <w:rsid w:val="00FD4590"/>
    <w:rsid w:val="00FD5416"/>
    <w:rsid w:val="00FD5EDE"/>
    <w:rsid w:val="00FD6FA6"/>
    <w:rsid w:val="00FD7CE2"/>
    <w:rsid w:val="00FE0490"/>
    <w:rsid w:val="00FE14CB"/>
    <w:rsid w:val="00FE224B"/>
    <w:rsid w:val="00FE25D0"/>
    <w:rsid w:val="00FE3E11"/>
    <w:rsid w:val="00FE437E"/>
    <w:rsid w:val="00FE44B9"/>
    <w:rsid w:val="00FE5245"/>
    <w:rsid w:val="00FE585E"/>
    <w:rsid w:val="00FE5897"/>
    <w:rsid w:val="00FE5A74"/>
    <w:rsid w:val="00FE6905"/>
    <w:rsid w:val="00FE7515"/>
    <w:rsid w:val="00FE7D3B"/>
    <w:rsid w:val="00FE7EE4"/>
    <w:rsid w:val="00FF0CE4"/>
    <w:rsid w:val="00FF1496"/>
    <w:rsid w:val="00FF3293"/>
    <w:rsid w:val="00FF32A1"/>
    <w:rsid w:val="00FF37E9"/>
    <w:rsid w:val="00FF3AB6"/>
    <w:rsid w:val="00FF3FA1"/>
    <w:rsid w:val="00FF5A82"/>
    <w:rsid w:val="00FF5D23"/>
    <w:rsid w:val="00FF615D"/>
    <w:rsid w:val="00FF6180"/>
    <w:rsid w:val="00FF6511"/>
    <w:rsid w:val="00FF7475"/>
    <w:rsid w:val="00FF7D2B"/>
    <w:rsid w:val="011B609E"/>
    <w:rsid w:val="01203AB8"/>
    <w:rsid w:val="015010AA"/>
    <w:rsid w:val="016A347B"/>
    <w:rsid w:val="01781CCF"/>
    <w:rsid w:val="018D1D97"/>
    <w:rsid w:val="019C54BA"/>
    <w:rsid w:val="01AC001A"/>
    <w:rsid w:val="01B11D31"/>
    <w:rsid w:val="01BB2247"/>
    <w:rsid w:val="01E21679"/>
    <w:rsid w:val="02497DC5"/>
    <w:rsid w:val="02C33164"/>
    <w:rsid w:val="02D72892"/>
    <w:rsid w:val="0313351D"/>
    <w:rsid w:val="03225EBC"/>
    <w:rsid w:val="0331568B"/>
    <w:rsid w:val="03331B52"/>
    <w:rsid w:val="034E123B"/>
    <w:rsid w:val="03AF009C"/>
    <w:rsid w:val="03B22EB7"/>
    <w:rsid w:val="03F946A1"/>
    <w:rsid w:val="0498022D"/>
    <w:rsid w:val="04C41D07"/>
    <w:rsid w:val="04D47AED"/>
    <w:rsid w:val="04DD0BDE"/>
    <w:rsid w:val="04F211FD"/>
    <w:rsid w:val="054144F3"/>
    <w:rsid w:val="05BF3C09"/>
    <w:rsid w:val="05C11CB3"/>
    <w:rsid w:val="05FA5F91"/>
    <w:rsid w:val="06291F19"/>
    <w:rsid w:val="06311428"/>
    <w:rsid w:val="064B2EFA"/>
    <w:rsid w:val="066C37F1"/>
    <w:rsid w:val="0674477F"/>
    <w:rsid w:val="06B2781F"/>
    <w:rsid w:val="06BC4119"/>
    <w:rsid w:val="06FC4FE2"/>
    <w:rsid w:val="071E1F77"/>
    <w:rsid w:val="072645C7"/>
    <w:rsid w:val="078330CF"/>
    <w:rsid w:val="07C53F2A"/>
    <w:rsid w:val="07CB7562"/>
    <w:rsid w:val="08246B9D"/>
    <w:rsid w:val="0841589E"/>
    <w:rsid w:val="08606D2F"/>
    <w:rsid w:val="08A5700D"/>
    <w:rsid w:val="08A950C0"/>
    <w:rsid w:val="08F11EEC"/>
    <w:rsid w:val="094A73A8"/>
    <w:rsid w:val="094F54E0"/>
    <w:rsid w:val="095073FA"/>
    <w:rsid w:val="09672192"/>
    <w:rsid w:val="09B252A0"/>
    <w:rsid w:val="0A0E7CC3"/>
    <w:rsid w:val="0A9C3FF0"/>
    <w:rsid w:val="0A9D5F75"/>
    <w:rsid w:val="0AAE050B"/>
    <w:rsid w:val="0AC265F7"/>
    <w:rsid w:val="0B051958"/>
    <w:rsid w:val="0B3E34A4"/>
    <w:rsid w:val="0B755ADA"/>
    <w:rsid w:val="0B7D3B65"/>
    <w:rsid w:val="0B861314"/>
    <w:rsid w:val="0BA76028"/>
    <w:rsid w:val="0BC96E8C"/>
    <w:rsid w:val="0C1B1C59"/>
    <w:rsid w:val="0C4C1D02"/>
    <w:rsid w:val="0C527C98"/>
    <w:rsid w:val="0C6A6D99"/>
    <w:rsid w:val="0CCC02C9"/>
    <w:rsid w:val="0CDE0DBE"/>
    <w:rsid w:val="0D4268F6"/>
    <w:rsid w:val="0D663D9A"/>
    <w:rsid w:val="0D6D7E7A"/>
    <w:rsid w:val="0D803DE0"/>
    <w:rsid w:val="0D8E0749"/>
    <w:rsid w:val="0D9B25D5"/>
    <w:rsid w:val="0DFF4618"/>
    <w:rsid w:val="0E1606BA"/>
    <w:rsid w:val="0E466A71"/>
    <w:rsid w:val="0E817E24"/>
    <w:rsid w:val="0EA867EE"/>
    <w:rsid w:val="0EAB79FE"/>
    <w:rsid w:val="0EAE4631"/>
    <w:rsid w:val="0ED938A1"/>
    <w:rsid w:val="0F1F783B"/>
    <w:rsid w:val="0F2332B5"/>
    <w:rsid w:val="0F3672DB"/>
    <w:rsid w:val="0F3B1C50"/>
    <w:rsid w:val="0F4B5006"/>
    <w:rsid w:val="0F6C173D"/>
    <w:rsid w:val="0F723707"/>
    <w:rsid w:val="0F821D2A"/>
    <w:rsid w:val="0F8751F8"/>
    <w:rsid w:val="0F9E1512"/>
    <w:rsid w:val="0FB75ADD"/>
    <w:rsid w:val="0FC6545B"/>
    <w:rsid w:val="0FE515BF"/>
    <w:rsid w:val="0FF11AD6"/>
    <w:rsid w:val="10085717"/>
    <w:rsid w:val="105A5D31"/>
    <w:rsid w:val="1067666B"/>
    <w:rsid w:val="107B54F8"/>
    <w:rsid w:val="10AA1BED"/>
    <w:rsid w:val="10AD2D8F"/>
    <w:rsid w:val="10EC36E3"/>
    <w:rsid w:val="10FA47CF"/>
    <w:rsid w:val="11186A30"/>
    <w:rsid w:val="1120753A"/>
    <w:rsid w:val="11922413"/>
    <w:rsid w:val="11A67D57"/>
    <w:rsid w:val="1202516B"/>
    <w:rsid w:val="12083555"/>
    <w:rsid w:val="12086AC4"/>
    <w:rsid w:val="122330C2"/>
    <w:rsid w:val="129E0923"/>
    <w:rsid w:val="129E21C9"/>
    <w:rsid w:val="12A876B7"/>
    <w:rsid w:val="12B544E0"/>
    <w:rsid w:val="12C51243"/>
    <w:rsid w:val="12E4191E"/>
    <w:rsid w:val="12E62049"/>
    <w:rsid w:val="12FF1AC9"/>
    <w:rsid w:val="13655D82"/>
    <w:rsid w:val="137E513F"/>
    <w:rsid w:val="13A64828"/>
    <w:rsid w:val="13F13588"/>
    <w:rsid w:val="13FF40DE"/>
    <w:rsid w:val="14770F16"/>
    <w:rsid w:val="14935D07"/>
    <w:rsid w:val="149F25F2"/>
    <w:rsid w:val="14B80346"/>
    <w:rsid w:val="14BE670D"/>
    <w:rsid w:val="14DE2FAC"/>
    <w:rsid w:val="14DF4D11"/>
    <w:rsid w:val="14EF0366"/>
    <w:rsid w:val="14F52FE5"/>
    <w:rsid w:val="1510360E"/>
    <w:rsid w:val="15205FE5"/>
    <w:rsid w:val="15AD23FE"/>
    <w:rsid w:val="15E454EF"/>
    <w:rsid w:val="15EA6563"/>
    <w:rsid w:val="1600013C"/>
    <w:rsid w:val="160F6598"/>
    <w:rsid w:val="161D0F66"/>
    <w:rsid w:val="16337603"/>
    <w:rsid w:val="16A93BC6"/>
    <w:rsid w:val="171447CD"/>
    <w:rsid w:val="175224D1"/>
    <w:rsid w:val="175D51F2"/>
    <w:rsid w:val="17861225"/>
    <w:rsid w:val="17905436"/>
    <w:rsid w:val="17A61150"/>
    <w:rsid w:val="17D3547E"/>
    <w:rsid w:val="17DB7F17"/>
    <w:rsid w:val="17FE2AC3"/>
    <w:rsid w:val="180065DE"/>
    <w:rsid w:val="18040BE2"/>
    <w:rsid w:val="18512847"/>
    <w:rsid w:val="18562E3A"/>
    <w:rsid w:val="18713064"/>
    <w:rsid w:val="189B6524"/>
    <w:rsid w:val="18B70996"/>
    <w:rsid w:val="18C176C1"/>
    <w:rsid w:val="18F56459"/>
    <w:rsid w:val="19772B02"/>
    <w:rsid w:val="19791E80"/>
    <w:rsid w:val="19C2772D"/>
    <w:rsid w:val="1A4E2C79"/>
    <w:rsid w:val="1AE6442F"/>
    <w:rsid w:val="1AE72562"/>
    <w:rsid w:val="1AFD7DD2"/>
    <w:rsid w:val="1B1172A3"/>
    <w:rsid w:val="1B1A3DC2"/>
    <w:rsid w:val="1B3D238A"/>
    <w:rsid w:val="1B4D36AA"/>
    <w:rsid w:val="1BA77E3C"/>
    <w:rsid w:val="1BE514FB"/>
    <w:rsid w:val="1C0E4FD7"/>
    <w:rsid w:val="1C385A98"/>
    <w:rsid w:val="1C3D7F62"/>
    <w:rsid w:val="1C5B59DF"/>
    <w:rsid w:val="1C6012AB"/>
    <w:rsid w:val="1CA93168"/>
    <w:rsid w:val="1CAF2B6F"/>
    <w:rsid w:val="1CC70C64"/>
    <w:rsid w:val="1CCD47D1"/>
    <w:rsid w:val="1CD13D54"/>
    <w:rsid w:val="1CE63000"/>
    <w:rsid w:val="1CEA2A09"/>
    <w:rsid w:val="1CF5372F"/>
    <w:rsid w:val="1D0330AF"/>
    <w:rsid w:val="1D4B5AB7"/>
    <w:rsid w:val="1D6443BD"/>
    <w:rsid w:val="1D6F0EAA"/>
    <w:rsid w:val="1DA67191"/>
    <w:rsid w:val="1DBA2812"/>
    <w:rsid w:val="1DBA5E0C"/>
    <w:rsid w:val="1DE76E77"/>
    <w:rsid w:val="1DFA622C"/>
    <w:rsid w:val="1E2B7A27"/>
    <w:rsid w:val="1E413DFF"/>
    <w:rsid w:val="1E6F2157"/>
    <w:rsid w:val="1EAA2CB1"/>
    <w:rsid w:val="1ED26B6B"/>
    <w:rsid w:val="1EE1004B"/>
    <w:rsid w:val="1EF37A50"/>
    <w:rsid w:val="1F403D00"/>
    <w:rsid w:val="1F754312"/>
    <w:rsid w:val="1FB73684"/>
    <w:rsid w:val="1FCB2C57"/>
    <w:rsid w:val="1FE1254C"/>
    <w:rsid w:val="1FE864E5"/>
    <w:rsid w:val="1FF030A7"/>
    <w:rsid w:val="1FFF19CA"/>
    <w:rsid w:val="200118CD"/>
    <w:rsid w:val="204A5E21"/>
    <w:rsid w:val="2092780F"/>
    <w:rsid w:val="209C4048"/>
    <w:rsid w:val="20FB17E4"/>
    <w:rsid w:val="21041B4F"/>
    <w:rsid w:val="21051FDB"/>
    <w:rsid w:val="212E107B"/>
    <w:rsid w:val="217A22CB"/>
    <w:rsid w:val="219405BB"/>
    <w:rsid w:val="21974945"/>
    <w:rsid w:val="219E55D3"/>
    <w:rsid w:val="21A97F88"/>
    <w:rsid w:val="22141A80"/>
    <w:rsid w:val="221A0B49"/>
    <w:rsid w:val="225278E7"/>
    <w:rsid w:val="225D46D5"/>
    <w:rsid w:val="227855A0"/>
    <w:rsid w:val="22BC414A"/>
    <w:rsid w:val="22D46A8B"/>
    <w:rsid w:val="22DA1DB7"/>
    <w:rsid w:val="231E25BB"/>
    <w:rsid w:val="23474BA1"/>
    <w:rsid w:val="23522A46"/>
    <w:rsid w:val="236E24FF"/>
    <w:rsid w:val="23956A32"/>
    <w:rsid w:val="23957430"/>
    <w:rsid w:val="23B50BAC"/>
    <w:rsid w:val="23FF13A9"/>
    <w:rsid w:val="24043D2A"/>
    <w:rsid w:val="24085B1D"/>
    <w:rsid w:val="245A1E77"/>
    <w:rsid w:val="246663ED"/>
    <w:rsid w:val="24671674"/>
    <w:rsid w:val="246D27B7"/>
    <w:rsid w:val="24926765"/>
    <w:rsid w:val="24B659C5"/>
    <w:rsid w:val="24DC69FA"/>
    <w:rsid w:val="24EB5A5A"/>
    <w:rsid w:val="25181AFC"/>
    <w:rsid w:val="25284887"/>
    <w:rsid w:val="25501F14"/>
    <w:rsid w:val="258157FB"/>
    <w:rsid w:val="25BA0ADA"/>
    <w:rsid w:val="25D4692C"/>
    <w:rsid w:val="25D9195D"/>
    <w:rsid w:val="262518DA"/>
    <w:rsid w:val="263D6290"/>
    <w:rsid w:val="26422054"/>
    <w:rsid w:val="267D2399"/>
    <w:rsid w:val="268C70C4"/>
    <w:rsid w:val="26AF0423"/>
    <w:rsid w:val="26C3475A"/>
    <w:rsid w:val="27513464"/>
    <w:rsid w:val="27617FC1"/>
    <w:rsid w:val="27AA2ECC"/>
    <w:rsid w:val="27C10C81"/>
    <w:rsid w:val="27C6599E"/>
    <w:rsid w:val="287A53A0"/>
    <w:rsid w:val="289D60C5"/>
    <w:rsid w:val="28BE63A3"/>
    <w:rsid w:val="29220014"/>
    <w:rsid w:val="2942746F"/>
    <w:rsid w:val="294A5EAA"/>
    <w:rsid w:val="294F52C6"/>
    <w:rsid w:val="296F408E"/>
    <w:rsid w:val="298C278E"/>
    <w:rsid w:val="29D17943"/>
    <w:rsid w:val="29F24443"/>
    <w:rsid w:val="29FA4DB3"/>
    <w:rsid w:val="2A7D1370"/>
    <w:rsid w:val="2A814865"/>
    <w:rsid w:val="2AC02B05"/>
    <w:rsid w:val="2AC9060F"/>
    <w:rsid w:val="2AD22063"/>
    <w:rsid w:val="2ADE4A5A"/>
    <w:rsid w:val="2AEB2F44"/>
    <w:rsid w:val="2AF43C32"/>
    <w:rsid w:val="2B386B58"/>
    <w:rsid w:val="2B580267"/>
    <w:rsid w:val="2B6D169A"/>
    <w:rsid w:val="2B7C2F64"/>
    <w:rsid w:val="2B904518"/>
    <w:rsid w:val="2BA2543C"/>
    <w:rsid w:val="2BCF3F91"/>
    <w:rsid w:val="2BDD6E85"/>
    <w:rsid w:val="2BF5382C"/>
    <w:rsid w:val="2BF56177"/>
    <w:rsid w:val="2C043729"/>
    <w:rsid w:val="2C446624"/>
    <w:rsid w:val="2C4A524D"/>
    <w:rsid w:val="2C6A192D"/>
    <w:rsid w:val="2D062784"/>
    <w:rsid w:val="2D1479B8"/>
    <w:rsid w:val="2D402581"/>
    <w:rsid w:val="2D501E79"/>
    <w:rsid w:val="2D7651BC"/>
    <w:rsid w:val="2D880D0E"/>
    <w:rsid w:val="2D8B3AA8"/>
    <w:rsid w:val="2D8B5555"/>
    <w:rsid w:val="2DAC144D"/>
    <w:rsid w:val="2DE33931"/>
    <w:rsid w:val="2E0266F3"/>
    <w:rsid w:val="2E6A207C"/>
    <w:rsid w:val="2E6B62B5"/>
    <w:rsid w:val="2E9277C7"/>
    <w:rsid w:val="2EB21CA2"/>
    <w:rsid w:val="2EBE3270"/>
    <w:rsid w:val="2EE97D1D"/>
    <w:rsid w:val="2F272951"/>
    <w:rsid w:val="30077F63"/>
    <w:rsid w:val="303E3EDB"/>
    <w:rsid w:val="30750BCA"/>
    <w:rsid w:val="308F2696"/>
    <w:rsid w:val="309C4F4E"/>
    <w:rsid w:val="30AF20B2"/>
    <w:rsid w:val="30BC747F"/>
    <w:rsid w:val="30C71A99"/>
    <w:rsid w:val="30D67AED"/>
    <w:rsid w:val="30E672E7"/>
    <w:rsid w:val="30F73308"/>
    <w:rsid w:val="30FF525B"/>
    <w:rsid w:val="3121636C"/>
    <w:rsid w:val="3128164D"/>
    <w:rsid w:val="31393D0B"/>
    <w:rsid w:val="31471305"/>
    <w:rsid w:val="31552F50"/>
    <w:rsid w:val="318772B5"/>
    <w:rsid w:val="31884818"/>
    <w:rsid w:val="318B1795"/>
    <w:rsid w:val="318D5335"/>
    <w:rsid w:val="31CF708E"/>
    <w:rsid w:val="31D20CB8"/>
    <w:rsid w:val="31EA6FB9"/>
    <w:rsid w:val="32025F32"/>
    <w:rsid w:val="32431F1A"/>
    <w:rsid w:val="324C7700"/>
    <w:rsid w:val="324E32ED"/>
    <w:rsid w:val="325A0134"/>
    <w:rsid w:val="32681759"/>
    <w:rsid w:val="32AF1CF9"/>
    <w:rsid w:val="32C55DBE"/>
    <w:rsid w:val="33351062"/>
    <w:rsid w:val="334A756F"/>
    <w:rsid w:val="33535654"/>
    <w:rsid w:val="335674D7"/>
    <w:rsid w:val="33631731"/>
    <w:rsid w:val="33647109"/>
    <w:rsid w:val="336809E1"/>
    <w:rsid w:val="33785864"/>
    <w:rsid w:val="33AC2E79"/>
    <w:rsid w:val="33AC33B1"/>
    <w:rsid w:val="33E52369"/>
    <w:rsid w:val="33FE4ED8"/>
    <w:rsid w:val="34172F02"/>
    <w:rsid w:val="347E7293"/>
    <w:rsid w:val="349E27E5"/>
    <w:rsid w:val="34ED0D1F"/>
    <w:rsid w:val="34F50CEC"/>
    <w:rsid w:val="358A706E"/>
    <w:rsid w:val="35A420EE"/>
    <w:rsid w:val="35B84DA3"/>
    <w:rsid w:val="360266F6"/>
    <w:rsid w:val="36180069"/>
    <w:rsid w:val="3681649D"/>
    <w:rsid w:val="36E641B0"/>
    <w:rsid w:val="37135E71"/>
    <w:rsid w:val="37201D86"/>
    <w:rsid w:val="372E2279"/>
    <w:rsid w:val="37340B1D"/>
    <w:rsid w:val="373F4B97"/>
    <w:rsid w:val="37656E71"/>
    <w:rsid w:val="379725E6"/>
    <w:rsid w:val="37BA0680"/>
    <w:rsid w:val="37BC27AA"/>
    <w:rsid w:val="37BFEA95"/>
    <w:rsid w:val="37EE3655"/>
    <w:rsid w:val="37F401F0"/>
    <w:rsid w:val="38050F1D"/>
    <w:rsid w:val="382328E4"/>
    <w:rsid w:val="386A05F6"/>
    <w:rsid w:val="3877602E"/>
    <w:rsid w:val="38CB3825"/>
    <w:rsid w:val="38D31EFB"/>
    <w:rsid w:val="38EF1480"/>
    <w:rsid w:val="390B61E4"/>
    <w:rsid w:val="393A2C69"/>
    <w:rsid w:val="3940251A"/>
    <w:rsid w:val="394967D1"/>
    <w:rsid w:val="3961079B"/>
    <w:rsid w:val="399D7BBA"/>
    <w:rsid w:val="39A968A7"/>
    <w:rsid w:val="39AF7098"/>
    <w:rsid w:val="39DF4A9D"/>
    <w:rsid w:val="39E4143F"/>
    <w:rsid w:val="3A977B99"/>
    <w:rsid w:val="3A9C0161"/>
    <w:rsid w:val="3ABF55C9"/>
    <w:rsid w:val="3B07350D"/>
    <w:rsid w:val="3B146949"/>
    <w:rsid w:val="3B35724B"/>
    <w:rsid w:val="3B494567"/>
    <w:rsid w:val="3B786E57"/>
    <w:rsid w:val="3BF74D73"/>
    <w:rsid w:val="3C1956B5"/>
    <w:rsid w:val="3C470F01"/>
    <w:rsid w:val="3C7E4D09"/>
    <w:rsid w:val="3C990195"/>
    <w:rsid w:val="3CB1039E"/>
    <w:rsid w:val="3CBC08FD"/>
    <w:rsid w:val="3CBE7ACF"/>
    <w:rsid w:val="3CE55188"/>
    <w:rsid w:val="3D005425"/>
    <w:rsid w:val="3D127F47"/>
    <w:rsid w:val="3D18555E"/>
    <w:rsid w:val="3D2B5CCA"/>
    <w:rsid w:val="3D346109"/>
    <w:rsid w:val="3D3E7892"/>
    <w:rsid w:val="3D5E514C"/>
    <w:rsid w:val="3D6A0C7C"/>
    <w:rsid w:val="3D6D7A89"/>
    <w:rsid w:val="3D9E4EC8"/>
    <w:rsid w:val="3D9E6899"/>
    <w:rsid w:val="3DA84DBE"/>
    <w:rsid w:val="3DF937E3"/>
    <w:rsid w:val="3E314507"/>
    <w:rsid w:val="3E7734E0"/>
    <w:rsid w:val="3E951A15"/>
    <w:rsid w:val="3EAD2E3C"/>
    <w:rsid w:val="3F4927C9"/>
    <w:rsid w:val="3FCB2DAF"/>
    <w:rsid w:val="405A4613"/>
    <w:rsid w:val="4060397D"/>
    <w:rsid w:val="406552EC"/>
    <w:rsid w:val="40B30B18"/>
    <w:rsid w:val="40CF23D7"/>
    <w:rsid w:val="411063A8"/>
    <w:rsid w:val="411C37B1"/>
    <w:rsid w:val="41226AE7"/>
    <w:rsid w:val="413309DD"/>
    <w:rsid w:val="41840E0E"/>
    <w:rsid w:val="418D1537"/>
    <w:rsid w:val="41BE0FAC"/>
    <w:rsid w:val="41D32337"/>
    <w:rsid w:val="41FF0A67"/>
    <w:rsid w:val="42026DA2"/>
    <w:rsid w:val="42064FC2"/>
    <w:rsid w:val="42141E62"/>
    <w:rsid w:val="42465BB8"/>
    <w:rsid w:val="425A6597"/>
    <w:rsid w:val="426452A3"/>
    <w:rsid w:val="426876C0"/>
    <w:rsid w:val="42DD0C8B"/>
    <w:rsid w:val="43146368"/>
    <w:rsid w:val="431F2EC4"/>
    <w:rsid w:val="435C38A7"/>
    <w:rsid w:val="437C436D"/>
    <w:rsid w:val="43AE495E"/>
    <w:rsid w:val="44550E45"/>
    <w:rsid w:val="4489684F"/>
    <w:rsid w:val="44CB58A8"/>
    <w:rsid w:val="44D77858"/>
    <w:rsid w:val="44DF7562"/>
    <w:rsid w:val="45235D66"/>
    <w:rsid w:val="452D7DE1"/>
    <w:rsid w:val="454669E0"/>
    <w:rsid w:val="454D291D"/>
    <w:rsid w:val="4565162D"/>
    <w:rsid w:val="4566369E"/>
    <w:rsid w:val="45735417"/>
    <w:rsid w:val="45B9610A"/>
    <w:rsid w:val="45D93101"/>
    <w:rsid w:val="462638EC"/>
    <w:rsid w:val="46923296"/>
    <w:rsid w:val="469E06AA"/>
    <w:rsid w:val="46A35290"/>
    <w:rsid w:val="46B20870"/>
    <w:rsid w:val="471E0024"/>
    <w:rsid w:val="475C6F0F"/>
    <w:rsid w:val="476129A2"/>
    <w:rsid w:val="478550DE"/>
    <w:rsid w:val="479D11C6"/>
    <w:rsid w:val="47E81371"/>
    <w:rsid w:val="4811786E"/>
    <w:rsid w:val="482E0744"/>
    <w:rsid w:val="484F1B92"/>
    <w:rsid w:val="48832BE0"/>
    <w:rsid w:val="488F6C58"/>
    <w:rsid w:val="48A84BA3"/>
    <w:rsid w:val="48F514A5"/>
    <w:rsid w:val="492E7EB7"/>
    <w:rsid w:val="4955273D"/>
    <w:rsid w:val="496D1BA9"/>
    <w:rsid w:val="49B22896"/>
    <w:rsid w:val="49D11EAC"/>
    <w:rsid w:val="49E73E7F"/>
    <w:rsid w:val="49F61ACB"/>
    <w:rsid w:val="49FA28DF"/>
    <w:rsid w:val="4A4675C3"/>
    <w:rsid w:val="4A4C5208"/>
    <w:rsid w:val="4A6B27E6"/>
    <w:rsid w:val="4A8927A6"/>
    <w:rsid w:val="4AC036E8"/>
    <w:rsid w:val="4AC760EA"/>
    <w:rsid w:val="4AD8632C"/>
    <w:rsid w:val="4B2C243B"/>
    <w:rsid w:val="4B3B30DB"/>
    <w:rsid w:val="4B421DA5"/>
    <w:rsid w:val="4B4A5785"/>
    <w:rsid w:val="4B790CA2"/>
    <w:rsid w:val="4B98430C"/>
    <w:rsid w:val="4BA74373"/>
    <w:rsid w:val="4BC64573"/>
    <w:rsid w:val="4C16799F"/>
    <w:rsid w:val="4C2D3A30"/>
    <w:rsid w:val="4C3D16B1"/>
    <w:rsid w:val="4C4D6F48"/>
    <w:rsid w:val="4C830346"/>
    <w:rsid w:val="4CA1354D"/>
    <w:rsid w:val="4CB64798"/>
    <w:rsid w:val="4CB856C4"/>
    <w:rsid w:val="4CF91CC3"/>
    <w:rsid w:val="4D105E11"/>
    <w:rsid w:val="4D1B533C"/>
    <w:rsid w:val="4D3337E2"/>
    <w:rsid w:val="4D3B0F38"/>
    <w:rsid w:val="4D5072F2"/>
    <w:rsid w:val="4D5221E6"/>
    <w:rsid w:val="4D640BC1"/>
    <w:rsid w:val="4D810EB4"/>
    <w:rsid w:val="4DFA07BB"/>
    <w:rsid w:val="4E166581"/>
    <w:rsid w:val="4E427551"/>
    <w:rsid w:val="4E6E3A66"/>
    <w:rsid w:val="4E7061A0"/>
    <w:rsid w:val="4EB03827"/>
    <w:rsid w:val="4F041DE6"/>
    <w:rsid w:val="4F3569A3"/>
    <w:rsid w:val="4F5502A8"/>
    <w:rsid w:val="4F9E292E"/>
    <w:rsid w:val="4FA727D4"/>
    <w:rsid w:val="4FB01626"/>
    <w:rsid w:val="500018BC"/>
    <w:rsid w:val="50AD4975"/>
    <w:rsid w:val="50C64E79"/>
    <w:rsid w:val="513C1731"/>
    <w:rsid w:val="515A0FD2"/>
    <w:rsid w:val="51660888"/>
    <w:rsid w:val="51A83299"/>
    <w:rsid w:val="52036385"/>
    <w:rsid w:val="521C656E"/>
    <w:rsid w:val="5227238D"/>
    <w:rsid w:val="523C2BCA"/>
    <w:rsid w:val="52432C25"/>
    <w:rsid w:val="53590226"/>
    <w:rsid w:val="537930FC"/>
    <w:rsid w:val="53AC6653"/>
    <w:rsid w:val="53D76AD2"/>
    <w:rsid w:val="54097D48"/>
    <w:rsid w:val="54764ED6"/>
    <w:rsid w:val="548A09C2"/>
    <w:rsid w:val="54F56B06"/>
    <w:rsid w:val="552D6CE0"/>
    <w:rsid w:val="55432854"/>
    <w:rsid w:val="554967A4"/>
    <w:rsid w:val="557213E7"/>
    <w:rsid w:val="55ED5354"/>
    <w:rsid w:val="560D43CB"/>
    <w:rsid w:val="56795584"/>
    <w:rsid w:val="571563F0"/>
    <w:rsid w:val="575C65CB"/>
    <w:rsid w:val="577C77EE"/>
    <w:rsid w:val="57B27CEE"/>
    <w:rsid w:val="57FB21B7"/>
    <w:rsid w:val="57FB4603"/>
    <w:rsid w:val="58444534"/>
    <w:rsid w:val="584A7943"/>
    <w:rsid w:val="58767185"/>
    <w:rsid w:val="58C67F77"/>
    <w:rsid w:val="58F06C5F"/>
    <w:rsid w:val="58F8777F"/>
    <w:rsid w:val="590E19C2"/>
    <w:rsid w:val="594B6385"/>
    <w:rsid w:val="59606E1A"/>
    <w:rsid w:val="59610F3C"/>
    <w:rsid w:val="59625723"/>
    <w:rsid w:val="596F3F43"/>
    <w:rsid w:val="597715CC"/>
    <w:rsid w:val="59A87812"/>
    <w:rsid w:val="59EC4579"/>
    <w:rsid w:val="5A1C3AC5"/>
    <w:rsid w:val="5A273430"/>
    <w:rsid w:val="5A8B6567"/>
    <w:rsid w:val="5A8D599C"/>
    <w:rsid w:val="5A9304C2"/>
    <w:rsid w:val="5AD602D0"/>
    <w:rsid w:val="5AE96331"/>
    <w:rsid w:val="5AFB0056"/>
    <w:rsid w:val="5AFF05F9"/>
    <w:rsid w:val="5B264E92"/>
    <w:rsid w:val="5B3034C8"/>
    <w:rsid w:val="5B6B1EF9"/>
    <w:rsid w:val="5B7148DE"/>
    <w:rsid w:val="5B9577A4"/>
    <w:rsid w:val="5BB82F9C"/>
    <w:rsid w:val="5BFF5C30"/>
    <w:rsid w:val="5C0D7E00"/>
    <w:rsid w:val="5C2E5C4B"/>
    <w:rsid w:val="5CAE3391"/>
    <w:rsid w:val="5D0E6E6F"/>
    <w:rsid w:val="5D27015D"/>
    <w:rsid w:val="5D36061C"/>
    <w:rsid w:val="5D57070C"/>
    <w:rsid w:val="5D613219"/>
    <w:rsid w:val="5DD32BF7"/>
    <w:rsid w:val="5E2F22B0"/>
    <w:rsid w:val="5E3A7745"/>
    <w:rsid w:val="5E4D2736"/>
    <w:rsid w:val="5E7A5CD0"/>
    <w:rsid w:val="5EB80508"/>
    <w:rsid w:val="5ED60B1C"/>
    <w:rsid w:val="5EDE4267"/>
    <w:rsid w:val="5EE33737"/>
    <w:rsid w:val="5F5435B3"/>
    <w:rsid w:val="5F5E65E2"/>
    <w:rsid w:val="5F6F353F"/>
    <w:rsid w:val="5FBA1C7F"/>
    <w:rsid w:val="60006884"/>
    <w:rsid w:val="602A7314"/>
    <w:rsid w:val="604371E9"/>
    <w:rsid w:val="607853FD"/>
    <w:rsid w:val="608B0080"/>
    <w:rsid w:val="608E2C7F"/>
    <w:rsid w:val="60ED2175"/>
    <w:rsid w:val="612F7066"/>
    <w:rsid w:val="61410811"/>
    <w:rsid w:val="615A2F22"/>
    <w:rsid w:val="615D67D7"/>
    <w:rsid w:val="619E7B58"/>
    <w:rsid w:val="61C2304A"/>
    <w:rsid w:val="61D95419"/>
    <w:rsid w:val="61DA389B"/>
    <w:rsid w:val="61F53F91"/>
    <w:rsid w:val="62017CD5"/>
    <w:rsid w:val="62082F3C"/>
    <w:rsid w:val="622938A5"/>
    <w:rsid w:val="62557A45"/>
    <w:rsid w:val="6269266B"/>
    <w:rsid w:val="62985900"/>
    <w:rsid w:val="629F4D22"/>
    <w:rsid w:val="62D4771E"/>
    <w:rsid w:val="62D65FCB"/>
    <w:rsid w:val="62DE6B35"/>
    <w:rsid w:val="62F04250"/>
    <w:rsid w:val="635A5793"/>
    <w:rsid w:val="63836D2F"/>
    <w:rsid w:val="63AC176D"/>
    <w:rsid w:val="63C9592A"/>
    <w:rsid w:val="63DF6B1A"/>
    <w:rsid w:val="63E7123E"/>
    <w:rsid w:val="63E765FC"/>
    <w:rsid w:val="63F9292C"/>
    <w:rsid w:val="64484D7D"/>
    <w:rsid w:val="644C495D"/>
    <w:rsid w:val="64523237"/>
    <w:rsid w:val="64530827"/>
    <w:rsid w:val="645A795A"/>
    <w:rsid w:val="647158EB"/>
    <w:rsid w:val="64803865"/>
    <w:rsid w:val="64986E00"/>
    <w:rsid w:val="64B45608"/>
    <w:rsid w:val="65203492"/>
    <w:rsid w:val="6547121B"/>
    <w:rsid w:val="65AD5D5E"/>
    <w:rsid w:val="65BC21E0"/>
    <w:rsid w:val="65CB1C97"/>
    <w:rsid w:val="65CB39C1"/>
    <w:rsid w:val="66032C5F"/>
    <w:rsid w:val="661D72F9"/>
    <w:rsid w:val="664647F4"/>
    <w:rsid w:val="66C82224"/>
    <w:rsid w:val="66DB5EC0"/>
    <w:rsid w:val="66EE6C6C"/>
    <w:rsid w:val="66FE7E4A"/>
    <w:rsid w:val="670E33AA"/>
    <w:rsid w:val="678069F0"/>
    <w:rsid w:val="678B64F1"/>
    <w:rsid w:val="67F307F2"/>
    <w:rsid w:val="6836320A"/>
    <w:rsid w:val="68C46AF0"/>
    <w:rsid w:val="68D87BAD"/>
    <w:rsid w:val="69403BFF"/>
    <w:rsid w:val="69404428"/>
    <w:rsid w:val="697D3697"/>
    <w:rsid w:val="69B13919"/>
    <w:rsid w:val="69CB0C4B"/>
    <w:rsid w:val="6A185A1C"/>
    <w:rsid w:val="6A5316ED"/>
    <w:rsid w:val="6AA87672"/>
    <w:rsid w:val="6AF723A7"/>
    <w:rsid w:val="6B17097C"/>
    <w:rsid w:val="6B7A68DE"/>
    <w:rsid w:val="6B82441D"/>
    <w:rsid w:val="6BA914A8"/>
    <w:rsid w:val="6BA92274"/>
    <w:rsid w:val="6BC95AC0"/>
    <w:rsid w:val="6BDE1078"/>
    <w:rsid w:val="6C97799E"/>
    <w:rsid w:val="6CA11693"/>
    <w:rsid w:val="6CA6202F"/>
    <w:rsid w:val="6CAC1493"/>
    <w:rsid w:val="6CD7380D"/>
    <w:rsid w:val="6D201119"/>
    <w:rsid w:val="6D4C7925"/>
    <w:rsid w:val="6D5A6403"/>
    <w:rsid w:val="6D5C06AE"/>
    <w:rsid w:val="6D67668E"/>
    <w:rsid w:val="6D724695"/>
    <w:rsid w:val="6DED03D4"/>
    <w:rsid w:val="6E0A5936"/>
    <w:rsid w:val="6E3E3780"/>
    <w:rsid w:val="6E7810B2"/>
    <w:rsid w:val="6ECB6F9F"/>
    <w:rsid w:val="6ED9295C"/>
    <w:rsid w:val="6EE92007"/>
    <w:rsid w:val="6EF750C9"/>
    <w:rsid w:val="6EFC5E74"/>
    <w:rsid w:val="6F252AAD"/>
    <w:rsid w:val="6F64527E"/>
    <w:rsid w:val="6FA47EE8"/>
    <w:rsid w:val="6FA973ED"/>
    <w:rsid w:val="6FBB387F"/>
    <w:rsid w:val="705F3231"/>
    <w:rsid w:val="70607A2D"/>
    <w:rsid w:val="70650505"/>
    <w:rsid w:val="70651D96"/>
    <w:rsid w:val="707304F0"/>
    <w:rsid w:val="70807521"/>
    <w:rsid w:val="70B84AFB"/>
    <w:rsid w:val="70BE7F18"/>
    <w:rsid w:val="70D51F0D"/>
    <w:rsid w:val="70DA6087"/>
    <w:rsid w:val="70FB6F0F"/>
    <w:rsid w:val="7121131A"/>
    <w:rsid w:val="714C65AC"/>
    <w:rsid w:val="718212CE"/>
    <w:rsid w:val="718E1C5D"/>
    <w:rsid w:val="718F575C"/>
    <w:rsid w:val="719D5C47"/>
    <w:rsid w:val="71B932EC"/>
    <w:rsid w:val="71D528FA"/>
    <w:rsid w:val="71F14B23"/>
    <w:rsid w:val="71F66F14"/>
    <w:rsid w:val="722D2A5F"/>
    <w:rsid w:val="723A6993"/>
    <w:rsid w:val="72A7693A"/>
    <w:rsid w:val="72B9172D"/>
    <w:rsid w:val="72D12DD4"/>
    <w:rsid w:val="733013C5"/>
    <w:rsid w:val="734C0DB6"/>
    <w:rsid w:val="735E6A2E"/>
    <w:rsid w:val="737F6027"/>
    <w:rsid w:val="738E3E5B"/>
    <w:rsid w:val="741B476E"/>
    <w:rsid w:val="74593A1A"/>
    <w:rsid w:val="74C268A7"/>
    <w:rsid w:val="74C96ED9"/>
    <w:rsid w:val="74E035BA"/>
    <w:rsid w:val="751C5464"/>
    <w:rsid w:val="7575450C"/>
    <w:rsid w:val="757A1BBB"/>
    <w:rsid w:val="758A1FF2"/>
    <w:rsid w:val="75914E8A"/>
    <w:rsid w:val="75AF6610"/>
    <w:rsid w:val="75CF0D1C"/>
    <w:rsid w:val="75D5241C"/>
    <w:rsid w:val="76000750"/>
    <w:rsid w:val="76020C18"/>
    <w:rsid w:val="76262768"/>
    <w:rsid w:val="762A1EF8"/>
    <w:rsid w:val="762C5820"/>
    <w:rsid w:val="76394E40"/>
    <w:rsid w:val="767A2E7B"/>
    <w:rsid w:val="769D790F"/>
    <w:rsid w:val="76AA4771"/>
    <w:rsid w:val="76B03266"/>
    <w:rsid w:val="76C95286"/>
    <w:rsid w:val="76F74738"/>
    <w:rsid w:val="77232D4C"/>
    <w:rsid w:val="77286A7D"/>
    <w:rsid w:val="773A3F7D"/>
    <w:rsid w:val="774921A7"/>
    <w:rsid w:val="77495D38"/>
    <w:rsid w:val="77937168"/>
    <w:rsid w:val="77FD4F1F"/>
    <w:rsid w:val="78250EF0"/>
    <w:rsid w:val="78356E3D"/>
    <w:rsid w:val="783A38D3"/>
    <w:rsid w:val="786848E4"/>
    <w:rsid w:val="787342B9"/>
    <w:rsid w:val="78812137"/>
    <w:rsid w:val="78B1091B"/>
    <w:rsid w:val="78B61821"/>
    <w:rsid w:val="78B7156B"/>
    <w:rsid w:val="78CD5BE3"/>
    <w:rsid w:val="78E42E01"/>
    <w:rsid w:val="78F63C9E"/>
    <w:rsid w:val="793643CF"/>
    <w:rsid w:val="79554E68"/>
    <w:rsid w:val="79571192"/>
    <w:rsid w:val="795B5254"/>
    <w:rsid w:val="79720631"/>
    <w:rsid w:val="799D054B"/>
    <w:rsid w:val="79A25A09"/>
    <w:rsid w:val="79EB12BD"/>
    <w:rsid w:val="7A3C0679"/>
    <w:rsid w:val="7A8F6F22"/>
    <w:rsid w:val="7AAC6D0A"/>
    <w:rsid w:val="7ACD41A8"/>
    <w:rsid w:val="7AD674D4"/>
    <w:rsid w:val="7AD735DD"/>
    <w:rsid w:val="7ADB2D19"/>
    <w:rsid w:val="7AEC5358"/>
    <w:rsid w:val="7AEF0BC9"/>
    <w:rsid w:val="7B6356FB"/>
    <w:rsid w:val="7B6F0238"/>
    <w:rsid w:val="7B7A34C4"/>
    <w:rsid w:val="7BE90D12"/>
    <w:rsid w:val="7BFD268B"/>
    <w:rsid w:val="7C1430A5"/>
    <w:rsid w:val="7C5D7A84"/>
    <w:rsid w:val="7C985069"/>
    <w:rsid w:val="7CA0464C"/>
    <w:rsid w:val="7D010CB5"/>
    <w:rsid w:val="7D2A2F98"/>
    <w:rsid w:val="7D31799A"/>
    <w:rsid w:val="7D3E4628"/>
    <w:rsid w:val="7D5B7A91"/>
    <w:rsid w:val="7DA92B63"/>
    <w:rsid w:val="7DAE4DB7"/>
    <w:rsid w:val="7DBA3708"/>
    <w:rsid w:val="7DCF4714"/>
    <w:rsid w:val="7DD63A33"/>
    <w:rsid w:val="7DD91E91"/>
    <w:rsid w:val="7DDE6F1F"/>
    <w:rsid w:val="7DF05927"/>
    <w:rsid w:val="7E094473"/>
    <w:rsid w:val="7E2801E5"/>
    <w:rsid w:val="7E3C152F"/>
    <w:rsid w:val="7E436780"/>
    <w:rsid w:val="7E4A4E5F"/>
    <w:rsid w:val="7E935395"/>
    <w:rsid w:val="7EB51F05"/>
    <w:rsid w:val="7EC124FC"/>
    <w:rsid w:val="7F571DBD"/>
    <w:rsid w:val="7F6244B6"/>
    <w:rsid w:val="7FB1091F"/>
    <w:rsid w:val="7FB31BD4"/>
    <w:rsid w:val="7FE82B2E"/>
    <w:rsid w:val="7FF80366"/>
    <w:rsid w:val="EEFE3B73"/>
    <w:rsid w:val="EF9D2E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4">
    <w:name w:val="heading 1"/>
    <w:basedOn w:val="1"/>
    <w:next w:val="5"/>
    <w:link w:val="66"/>
    <w:qFormat/>
    <w:uiPriority w:val="9"/>
    <w:pPr>
      <w:keepNext/>
      <w:keepLines/>
      <w:ind w:firstLine="0" w:firstLineChars="0"/>
      <w:jc w:val="center"/>
      <w:outlineLvl w:val="0"/>
    </w:pPr>
    <w:rPr>
      <w:b/>
      <w:bCs/>
      <w:kern w:val="44"/>
      <w:sz w:val="24"/>
      <w:szCs w:val="44"/>
    </w:rPr>
  </w:style>
  <w:style w:type="paragraph" w:styleId="6">
    <w:name w:val="heading 2"/>
    <w:basedOn w:val="1"/>
    <w:next w:val="1"/>
    <w:link w:val="153"/>
    <w:qFormat/>
    <w:uiPriority w:val="9"/>
    <w:pPr>
      <w:keepNext/>
      <w:adjustRightInd w:val="0"/>
      <w:snapToGrid w:val="0"/>
      <w:textAlignment w:val="baseline"/>
      <w:outlineLvl w:val="1"/>
    </w:pPr>
    <w:rPr>
      <w:rFonts w:ascii="仿宋_GB2312" w:hAnsi="仿宋_GB2312"/>
      <w:kern w:val="0"/>
      <w:szCs w:val="20"/>
    </w:rPr>
  </w:style>
  <w:style w:type="paragraph" w:styleId="7">
    <w:name w:val="heading 3"/>
    <w:basedOn w:val="1"/>
    <w:next w:val="1"/>
    <w:link w:val="68"/>
    <w:qFormat/>
    <w:uiPriority w:val="0"/>
    <w:pPr>
      <w:keepNext/>
      <w:keepLines/>
      <w:ind w:firstLine="602"/>
      <w:outlineLvl w:val="2"/>
    </w:pPr>
    <w:rPr>
      <w:rFonts w:ascii="仿宋_GB2312" w:hAnsi="仿宋_GB2312"/>
      <w:bCs/>
      <w:szCs w:val="20"/>
    </w:rPr>
  </w:style>
  <w:style w:type="paragraph" w:styleId="8">
    <w:name w:val="heading 4"/>
    <w:basedOn w:val="1"/>
    <w:next w:val="1"/>
    <w:link w:val="67"/>
    <w:qFormat/>
    <w:uiPriority w:val="0"/>
    <w:pPr>
      <w:keepNext/>
      <w:keepLines/>
      <w:outlineLvl w:val="3"/>
    </w:pPr>
    <w:rPr>
      <w:rFonts w:ascii="等线 Light" w:hAnsi="等线 Light"/>
      <w:b/>
      <w:bCs/>
      <w:szCs w:val="28"/>
    </w:rPr>
  </w:style>
  <w:style w:type="paragraph" w:styleId="9">
    <w:name w:val="heading 5"/>
    <w:basedOn w:val="1"/>
    <w:next w:val="1"/>
    <w:link w:val="149"/>
    <w:qFormat/>
    <w:uiPriority w:val="0"/>
    <w:pPr>
      <w:keepNext/>
      <w:keepLines/>
      <w:outlineLvl w:val="4"/>
    </w:pPr>
    <w:rPr>
      <w:b/>
      <w:bCs/>
      <w:szCs w:val="28"/>
    </w:rPr>
  </w:style>
  <w:style w:type="paragraph" w:styleId="10">
    <w:name w:val="heading 6"/>
    <w:basedOn w:val="1"/>
    <w:next w:val="1"/>
    <w:link w:val="150"/>
    <w:qFormat/>
    <w:uiPriority w:val="0"/>
    <w:pPr>
      <w:keepNext/>
      <w:keepLines/>
      <w:spacing w:before="240" w:after="64" w:line="320" w:lineRule="auto"/>
      <w:outlineLvl w:val="5"/>
    </w:pPr>
    <w:rPr>
      <w:rFonts w:ascii="Arial" w:hAnsi="Arial" w:eastAsia="黑体"/>
      <w:b/>
      <w:bCs/>
      <w:sz w:val="24"/>
      <w:szCs w:val="20"/>
    </w:rPr>
  </w:style>
  <w:style w:type="paragraph" w:styleId="11">
    <w:name w:val="heading 7"/>
    <w:basedOn w:val="1"/>
    <w:next w:val="1"/>
    <w:link w:val="65"/>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link w:val="15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5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First Indent"/>
    <w:basedOn w:val="2"/>
    <w:next w:val="1"/>
    <w:link w:val="216"/>
    <w:qFormat/>
    <w:uiPriority w:val="0"/>
    <w:pPr>
      <w:ind w:firstLine="200"/>
    </w:pPr>
    <w:rPr>
      <w:rFonts w:asciiTheme="minorHAnsi" w:hAnsiTheme="minorHAnsi" w:eastAsiaTheme="minorEastAsia" w:cstheme="minorBidi"/>
      <w:bCs/>
      <w:sz w:val="24"/>
    </w:rPr>
  </w:style>
  <w:style w:type="paragraph" w:customStyle="1" w:styleId="5">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14">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5">
    <w:name w:val="Normal Indent"/>
    <w:basedOn w:val="1"/>
    <w:link w:val="72"/>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8">
    <w:name w:val="Document Map"/>
    <w:basedOn w:val="1"/>
    <w:link w:val="218"/>
    <w:semiHidden/>
    <w:qFormat/>
    <w:uiPriority w:val="0"/>
    <w:pPr>
      <w:shd w:val="clear" w:color="auto" w:fill="000080"/>
    </w:pPr>
  </w:style>
  <w:style w:type="paragraph" w:styleId="19">
    <w:name w:val="annotation text"/>
    <w:basedOn w:val="1"/>
    <w:link w:val="74"/>
    <w:qFormat/>
    <w:uiPriority w:val="0"/>
  </w:style>
  <w:style w:type="paragraph" w:styleId="20">
    <w:name w:val="Body Text 3"/>
    <w:basedOn w:val="1"/>
    <w:link w:val="75"/>
    <w:qFormat/>
    <w:uiPriority w:val="0"/>
    <w:pPr>
      <w:spacing w:after="120"/>
    </w:pPr>
    <w:rPr>
      <w:sz w:val="16"/>
      <w:szCs w:val="16"/>
    </w:rPr>
  </w:style>
  <w:style w:type="paragraph" w:styleId="21">
    <w:name w:val="Body Text Indent"/>
    <w:basedOn w:val="1"/>
    <w:link w:val="76"/>
    <w:qFormat/>
    <w:uiPriority w:val="99"/>
    <w:pPr>
      <w:spacing w:line="200" w:lineRule="exact"/>
      <w:ind w:firstLine="301"/>
    </w:pPr>
    <w:rPr>
      <w:rFonts w:ascii="宋体" w:hAnsi="Courier New"/>
      <w:spacing w:val="-4"/>
      <w:sz w:val="18"/>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566" w:hanging="283"/>
      <w:contextualSpacing/>
    </w:pPr>
  </w:style>
  <w:style w:type="paragraph" w:styleId="24">
    <w:name w:val="Block Text"/>
    <w:basedOn w:val="1"/>
    <w:qFormat/>
    <w:uiPriority w:val="0"/>
    <w:pPr>
      <w:spacing w:before="120"/>
      <w:ind w:left="824" w:right="202" w:firstLine="0" w:firstLineChars="0"/>
      <w:jc w:val="both"/>
    </w:pPr>
    <w:rPr>
      <w:rFonts w:ascii="宋体" w:eastAsia="宋体"/>
      <w:sz w:val="24"/>
      <w:szCs w:val="21"/>
    </w:rPr>
  </w:style>
  <w:style w:type="paragraph" w:styleId="25">
    <w:name w:val="List Bullet 2"/>
    <w:basedOn w:val="1"/>
    <w:qFormat/>
    <w:uiPriority w:val="0"/>
    <w:pPr>
      <w:tabs>
        <w:tab w:val="left" w:pos="360"/>
        <w:tab w:val="left" w:pos="1191"/>
      </w:tabs>
      <w:snapToGrid w:val="0"/>
      <w:ind w:left="482" w:hanging="482" w:hangingChars="200"/>
    </w:pPr>
    <w:rPr>
      <w:b/>
      <w:bCs/>
      <w:sz w:val="24"/>
      <w:szCs w:val="32"/>
    </w:rPr>
  </w:style>
  <w:style w:type="paragraph" w:styleId="26">
    <w:name w:val="index 4"/>
    <w:basedOn w:val="1"/>
    <w:next w:val="1"/>
    <w:qFormat/>
    <w:uiPriority w:val="0"/>
    <w:pPr>
      <w:ind w:left="600" w:leftChars="600"/>
    </w:pPr>
  </w:style>
  <w:style w:type="paragraph" w:styleId="27">
    <w:name w:val="toc 5"/>
    <w:basedOn w:val="1"/>
    <w:next w:val="1"/>
    <w:semiHidden/>
    <w:qFormat/>
    <w:uiPriority w:val="0"/>
    <w:pPr>
      <w:spacing w:afterLines="50"/>
      <w:ind w:left="840"/>
    </w:pPr>
    <w:rPr>
      <w:snapToGrid w:val="0"/>
      <w:kern w:val="0"/>
      <w:sz w:val="18"/>
      <w:szCs w:val="18"/>
    </w:rPr>
  </w:style>
  <w:style w:type="paragraph" w:styleId="28">
    <w:name w:val="toc 3"/>
    <w:basedOn w:val="1"/>
    <w:next w:val="1"/>
    <w:qFormat/>
    <w:uiPriority w:val="39"/>
    <w:pPr>
      <w:tabs>
        <w:tab w:val="right" w:leader="dot" w:pos="8296"/>
      </w:tabs>
    </w:pPr>
    <w:rPr>
      <w:b/>
      <w:bCs/>
      <w:iCs/>
    </w:rPr>
  </w:style>
  <w:style w:type="paragraph" w:styleId="29">
    <w:name w:val="Plain Text"/>
    <w:basedOn w:val="1"/>
    <w:link w:val="79"/>
    <w:qFormat/>
    <w:uiPriority w:val="99"/>
    <w:pPr>
      <w:snapToGrid w:val="0"/>
      <w:spacing w:after="120" w:line="460" w:lineRule="exact"/>
      <w:ind w:firstLine="424" w:firstLineChars="202"/>
      <w:outlineLvl w:val="0"/>
    </w:pPr>
    <w:rPr>
      <w:rFonts w:ascii="微软雅黑" w:hAnsi="微软雅黑" w:cs="宋体"/>
      <w:szCs w:val="21"/>
    </w:rPr>
  </w:style>
  <w:style w:type="paragraph" w:styleId="30">
    <w:name w:val="toc 8"/>
    <w:basedOn w:val="1"/>
    <w:next w:val="1"/>
    <w:semiHidden/>
    <w:qFormat/>
    <w:uiPriority w:val="0"/>
    <w:pPr>
      <w:spacing w:afterLines="50"/>
      <w:ind w:left="1470"/>
    </w:pPr>
    <w:rPr>
      <w:snapToGrid w:val="0"/>
      <w:kern w:val="0"/>
      <w:sz w:val="18"/>
      <w:szCs w:val="18"/>
    </w:rPr>
  </w:style>
  <w:style w:type="paragraph" w:styleId="31">
    <w:name w:val="Date"/>
    <w:basedOn w:val="1"/>
    <w:next w:val="1"/>
    <w:link w:val="81"/>
    <w:qFormat/>
    <w:uiPriority w:val="0"/>
    <w:pPr>
      <w:ind w:left="2500" w:leftChars="2500"/>
    </w:pPr>
    <w:rPr>
      <w:rFonts w:eastAsia="楷体_GB2312"/>
      <w:sz w:val="32"/>
      <w:szCs w:val="20"/>
    </w:rPr>
  </w:style>
  <w:style w:type="paragraph" w:styleId="32">
    <w:name w:val="Body Text Indent 2"/>
    <w:basedOn w:val="1"/>
    <w:link w:val="82"/>
    <w:qFormat/>
    <w:uiPriority w:val="0"/>
    <w:pPr>
      <w:snapToGrid w:val="0"/>
      <w:ind w:firstLine="542" w:firstLineChars="225"/>
    </w:pPr>
    <w:rPr>
      <w:rFonts w:ascii="仿宋_GB2312" w:hAnsi="宋体"/>
      <w:b/>
      <w:bCs/>
      <w:color w:val="000000"/>
      <w:sz w:val="24"/>
    </w:rPr>
  </w:style>
  <w:style w:type="paragraph" w:styleId="33">
    <w:name w:val="endnote text"/>
    <w:basedOn w:val="1"/>
    <w:link w:val="184"/>
    <w:semiHidden/>
    <w:qFormat/>
    <w:uiPriority w:val="0"/>
    <w:pPr>
      <w:snapToGrid w:val="0"/>
      <w:spacing w:afterLines="50"/>
    </w:pPr>
    <w:rPr>
      <w:rFonts w:ascii="宋体"/>
      <w:snapToGrid w:val="0"/>
      <w:kern w:val="0"/>
      <w:szCs w:val="20"/>
    </w:rPr>
  </w:style>
  <w:style w:type="paragraph" w:styleId="34">
    <w:name w:val="Balloon Text"/>
    <w:basedOn w:val="1"/>
    <w:link w:val="83"/>
    <w:qFormat/>
    <w:uiPriority w:val="0"/>
    <w:rPr>
      <w:sz w:val="18"/>
      <w:szCs w:val="18"/>
    </w:rPr>
  </w:style>
  <w:style w:type="paragraph" w:styleId="35">
    <w:name w:val="footer"/>
    <w:basedOn w:val="1"/>
    <w:link w:val="84"/>
    <w:qFormat/>
    <w:uiPriority w:val="0"/>
    <w:pPr>
      <w:tabs>
        <w:tab w:val="center" w:pos="4153"/>
        <w:tab w:val="right" w:pos="8306"/>
      </w:tabs>
      <w:snapToGrid w:val="0"/>
    </w:pPr>
    <w:rPr>
      <w:sz w:val="18"/>
      <w:szCs w:val="18"/>
    </w:rPr>
  </w:style>
  <w:style w:type="paragraph" w:styleId="36">
    <w:name w:val="header"/>
    <w:basedOn w:val="1"/>
    <w:link w:val="85"/>
    <w:qFormat/>
    <w:uiPriority w:val="99"/>
    <w:pPr>
      <w:pBdr>
        <w:bottom w:val="single" w:color="auto" w:sz="6" w:space="1"/>
      </w:pBdr>
      <w:tabs>
        <w:tab w:val="center" w:pos="4153"/>
        <w:tab w:val="right" w:pos="8306"/>
      </w:tabs>
      <w:snapToGrid w:val="0"/>
      <w:ind w:firstLine="360"/>
      <w:jc w:val="right"/>
    </w:pPr>
    <w:rPr>
      <w:sz w:val="18"/>
      <w:szCs w:val="18"/>
    </w:rPr>
  </w:style>
  <w:style w:type="paragraph" w:styleId="37">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8">
    <w:name w:val="toc 4"/>
    <w:basedOn w:val="1"/>
    <w:next w:val="1"/>
    <w:semiHidden/>
    <w:qFormat/>
    <w:uiPriority w:val="0"/>
    <w:pPr>
      <w:ind w:left="629"/>
    </w:pPr>
    <w:rPr>
      <w:snapToGrid w:val="0"/>
      <w:kern w:val="0"/>
      <w:szCs w:val="18"/>
    </w:rPr>
  </w:style>
  <w:style w:type="paragraph" w:styleId="39">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83" w:hanging="283"/>
      <w:contextualSpacing/>
    </w:pPr>
  </w:style>
  <w:style w:type="paragraph" w:styleId="41">
    <w:name w:val="footnote text"/>
    <w:basedOn w:val="1"/>
    <w:link w:val="89"/>
    <w:unhideWhenUsed/>
    <w:qFormat/>
    <w:uiPriority w:val="99"/>
    <w:pPr>
      <w:snapToGrid w:val="0"/>
    </w:pPr>
    <w:rPr>
      <w:rFonts w:ascii="Calibri" w:hAnsi="Calibri"/>
      <w:sz w:val="18"/>
    </w:rPr>
  </w:style>
  <w:style w:type="paragraph" w:styleId="42">
    <w:name w:val="toc 6"/>
    <w:basedOn w:val="1"/>
    <w:next w:val="1"/>
    <w:semiHidden/>
    <w:unhideWhenUsed/>
    <w:qFormat/>
    <w:uiPriority w:val="39"/>
    <w:pPr>
      <w:ind w:left="2100" w:leftChars="1000"/>
    </w:pPr>
  </w:style>
  <w:style w:type="paragraph" w:styleId="43">
    <w:name w:val="Body Text Indent 3"/>
    <w:basedOn w:val="1"/>
    <w:link w:val="91"/>
    <w:qFormat/>
    <w:uiPriority w:val="0"/>
    <w:pPr>
      <w:snapToGrid w:val="0"/>
    </w:pPr>
    <w:rPr>
      <w:rFonts w:ascii="仿宋_GB2312" w:hAnsi="宋体" w:eastAsia="仿宋_GB2312"/>
      <w:color w:val="000000"/>
      <w:sz w:val="24"/>
    </w:rPr>
  </w:style>
  <w:style w:type="paragraph" w:styleId="44">
    <w:name w:val="table of figures"/>
    <w:basedOn w:val="1"/>
    <w:next w:val="1"/>
    <w:unhideWhenUsed/>
    <w:qFormat/>
    <w:uiPriority w:val="0"/>
    <w:pPr>
      <w:ind w:left="200" w:leftChars="200" w:hanging="200" w:hangingChars="200"/>
    </w:pPr>
  </w:style>
  <w:style w:type="paragraph" w:styleId="45">
    <w:name w:val="toc 2"/>
    <w:basedOn w:val="1"/>
    <w:next w:val="1"/>
    <w:qFormat/>
    <w:uiPriority w:val="39"/>
    <w:pPr>
      <w:tabs>
        <w:tab w:val="right" w:leader="dot" w:pos="8296"/>
      </w:tabs>
      <w:ind w:left="210"/>
    </w:pPr>
    <w:rPr>
      <w:b/>
      <w:smallCaps/>
    </w:rPr>
  </w:style>
  <w:style w:type="paragraph" w:styleId="46">
    <w:name w:val="Body Text 2"/>
    <w:basedOn w:val="1"/>
    <w:link w:val="94"/>
    <w:qFormat/>
    <w:uiPriority w:val="0"/>
    <w:pPr>
      <w:widowControl/>
      <w:snapToGrid w:val="0"/>
      <w:spacing w:before="50" w:afterLines="50" w:line="400" w:lineRule="exact"/>
    </w:pPr>
    <w:rPr>
      <w:rFonts w:ascii="宋体" w:hAnsi="宋体"/>
      <w:color w:val="000000"/>
      <w:sz w:val="24"/>
    </w:rPr>
  </w:style>
  <w:style w:type="paragraph" w:styleId="47">
    <w:name w:val="HTML Preformatted"/>
    <w:basedOn w:val="1"/>
    <w:link w:val="2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8">
    <w:name w:val="Normal (Web)"/>
    <w:basedOn w:val="1"/>
    <w:link w:val="95"/>
    <w:qFormat/>
    <w:uiPriority w:val="99"/>
    <w:pPr>
      <w:widowControl/>
      <w:spacing w:before="100" w:beforeAutospacing="1" w:after="100" w:afterAutospacing="1"/>
    </w:pPr>
    <w:rPr>
      <w:rFonts w:ascii="宋体" w:hAnsi="宋体"/>
      <w:kern w:val="0"/>
      <w:sz w:val="24"/>
    </w:rPr>
  </w:style>
  <w:style w:type="paragraph" w:styleId="49">
    <w:name w:val="index 1"/>
    <w:basedOn w:val="1"/>
    <w:next w:val="1"/>
    <w:semiHidden/>
    <w:qFormat/>
    <w:uiPriority w:val="0"/>
    <w:rPr>
      <w:szCs w:val="20"/>
    </w:rPr>
  </w:style>
  <w:style w:type="paragraph" w:styleId="50">
    <w:name w:val="Title"/>
    <w:basedOn w:val="1"/>
    <w:next w:val="1"/>
    <w:link w:val="96"/>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7"/>
    <w:qFormat/>
    <w:uiPriority w:val="0"/>
    <w:rPr>
      <w:b/>
      <w:bCs/>
    </w:rPr>
  </w:style>
  <w:style w:type="paragraph" w:styleId="52">
    <w:name w:val="Body Text First Indent 2"/>
    <w:basedOn w:val="21"/>
    <w:link w:val="288"/>
    <w:semiHidden/>
    <w:unhideWhenUsed/>
    <w:qFormat/>
    <w:uiPriority w:val="0"/>
    <w:pPr>
      <w:spacing w:after="120" w:line="360" w:lineRule="auto"/>
      <w:ind w:left="420" w:leftChars="200" w:firstLine="420"/>
    </w:pPr>
    <w:rPr>
      <w:rFonts w:ascii="Times New Roman" w:hAnsi="Times New Roman"/>
      <w:spacing w:val="0"/>
      <w:sz w:val="21"/>
      <w:szCs w:val="24"/>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Grid 1"/>
    <w:basedOn w:val="5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6">
    <w:name w:val="Table Grid 8"/>
    <w:basedOn w:val="53"/>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8">
    <w:name w:val="Strong"/>
    <w:qFormat/>
    <w:uiPriority w:val="22"/>
    <w:rPr>
      <w:b/>
      <w:bCs/>
    </w:rPr>
  </w:style>
  <w:style w:type="character" w:styleId="59">
    <w:name w:val="page number"/>
    <w:qFormat/>
    <w:uiPriority w:val="0"/>
  </w:style>
  <w:style w:type="character" w:styleId="60">
    <w:name w:val="FollowedHyperlink"/>
    <w:basedOn w:val="57"/>
    <w:semiHidden/>
    <w:unhideWhenUsed/>
    <w:qFormat/>
    <w:uiPriority w:val="99"/>
    <w:rPr>
      <w:color w:val="954F72" w:themeColor="followedHyperlink"/>
      <w:u w:val="single"/>
      <w14:textFill>
        <w14:solidFill>
          <w14:schemeClr w14:val="folHlink"/>
        </w14:solidFill>
      </w14:textFill>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unhideWhenUsed/>
    <w:qFormat/>
    <w:uiPriority w:val="99"/>
    <w:rPr>
      <w:rFonts w:hint="default" w:ascii="Times New Roman"/>
      <w:sz w:val="24"/>
      <w:vertAlign w:val="superscript"/>
    </w:rPr>
  </w:style>
  <w:style w:type="paragraph" w:customStyle="1" w:styleId="64">
    <w:name w:val="标准正文"/>
    <w:basedOn w:val="1"/>
    <w:qFormat/>
    <w:uiPriority w:val="0"/>
    <w:pPr>
      <w:spacing w:line="560" w:lineRule="exact"/>
      <w:ind w:firstLine="424" w:firstLineChars="202"/>
    </w:pPr>
    <w:rPr>
      <w:rFonts w:ascii="微软雅黑" w:hAnsi="微软雅黑"/>
      <w:szCs w:val="21"/>
    </w:rPr>
  </w:style>
  <w:style w:type="character" w:customStyle="1" w:styleId="65">
    <w:name w:val="标题 7 字符"/>
    <w:basedOn w:val="57"/>
    <w:link w:val="11"/>
    <w:qFormat/>
    <w:uiPriority w:val="0"/>
    <w:rPr>
      <w:rFonts w:ascii="宋体" w:eastAsia="仿宋_GB2312"/>
      <w:b/>
      <w:sz w:val="24"/>
    </w:rPr>
  </w:style>
  <w:style w:type="character" w:customStyle="1" w:styleId="66">
    <w:name w:val="标题 1 字符"/>
    <w:basedOn w:val="57"/>
    <w:link w:val="4"/>
    <w:qFormat/>
    <w:uiPriority w:val="9"/>
    <w:rPr>
      <w:rFonts w:eastAsia="微软雅黑"/>
      <w:b/>
      <w:bCs/>
      <w:kern w:val="44"/>
      <w:sz w:val="24"/>
      <w:szCs w:val="44"/>
    </w:rPr>
  </w:style>
  <w:style w:type="character" w:customStyle="1" w:styleId="67">
    <w:name w:val="标题 4 字符"/>
    <w:link w:val="8"/>
    <w:qFormat/>
    <w:uiPriority w:val="0"/>
    <w:rPr>
      <w:rFonts w:ascii="等线 Light" w:hAnsi="等线 Light" w:eastAsia="微软雅黑" w:cs="Times New Roman"/>
      <w:b/>
      <w:bCs/>
      <w:kern w:val="2"/>
      <w:sz w:val="21"/>
      <w:szCs w:val="28"/>
    </w:rPr>
  </w:style>
  <w:style w:type="character" w:customStyle="1" w:styleId="68">
    <w:name w:val="标题 3 字符"/>
    <w:basedOn w:val="57"/>
    <w:link w:val="7"/>
    <w:qFormat/>
    <w:uiPriority w:val="0"/>
    <w:rPr>
      <w:rFonts w:ascii="仿宋_GB2312" w:hAnsi="仿宋_GB2312" w:eastAsia="微软雅黑"/>
      <w:bCs/>
      <w:kern w:val="2"/>
      <w:sz w:val="21"/>
    </w:rPr>
  </w:style>
  <w:style w:type="paragraph" w:customStyle="1" w:styleId="69">
    <w:name w:val="表格文字"/>
    <w:basedOn w:val="70"/>
    <w:next w:val="2"/>
    <w:qFormat/>
    <w:uiPriority w:val="0"/>
  </w:style>
  <w:style w:type="paragraph" w:customStyle="1" w:styleId="70">
    <w:name w:val="表格文字（两侧对齐）"/>
    <w:basedOn w:val="1"/>
    <w:qFormat/>
    <w:uiPriority w:val="0"/>
    <w:pPr>
      <w:snapToGrid w:val="0"/>
    </w:pPr>
    <w:rPr>
      <w:rFonts w:eastAsia="宋体"/>
      <w:sz w:val="20"/>
    </w:rPr>
  </w:style>
  <w:style w:type="character" w:customStyle="1" w:styleId="71">
    <w:name w:val="正文文本 字符"/>
    <w:link w:val="2"/>
    <w:qFormat/>
    <w:uiPriority w:val="0"/>
    <w:rPr>
      <w:kern w:val="2"/>
      <w:sz w:val="21"/>
      <w:szCs w:val="24"/>
    </w:rPr>
  </w:style>
  <w:style w:type="character" w:customStyle="1" w:styleId="72">
    <w:name w:val="正文缩进 字符1"/>
    <w:link w:val="15"/>
    <w:qFormat/>
    <w:uiPriority w:val="0"/>
    <w:rPr>
      <w:kern w:val="2"/>
      <w:sz w:val="21"/>
    </w:rPr>
  </w:style>
  <w:style w:type="paragraph" w:customStyle="1" w:styleId="73">
    <w:name w:val="目录 71"/>
    <w:basedOn w:val="1"/>
    <w:next w:val="1"/>
    <w:unhideWhenUsed/>
    <w:qFormat/>
    <w:uiPriority w:val="39"/>
    <w:pPr>
      <w:ind w:left="2520" w:leftChars="1200"/>
    </w:pPr>
    <w:rPr>
      <w:rFonts w:ascii="Calibri" w:hAnsi="Calibri"/>
      <w:szCs w:val="22"/>
    </w:rPr>
  </w:style>
  <w:style w:type="character" w:customStyle="1" w:styleId="74">
    <w:name w:val="批注文字 字符"/>
    <w:link w:val="19"/>
    <w:qFormat/>
    <w:uiPriority w:val="0"/>
    <w:rPr>
      <w:kern w:val="2"/>
      <w:sz w:val="21"/>
      <w:szCs w:val="24"/>
    </w:rPr>
  </w:style>
  <w:style w:type="character" w:customStyle="1" w:styleId="75">
    <w:name w:val="正文文本 3 字符"/>
    <w:link w:val="20"/>
    <w:qFormat/>
    <w:uiPriority w:val="0"/>
    <w:rPr>
      <w:kern w:val="2"/>
      <w:sz w:val="16"/>
      <w:szCs w:val="16"/>
    </w:rPr>
  </w:style>
  <w:style w:type="character" w:customStyle="1" w:styleId="76">
    <w:name w:val="正文文本缩进 字符"/>
    <w:link w:val="21"/>
    <w:qFormat/>
    <w:uiPriority w:val="99"/>
    <w:rPr>
      <w:rFonts w:ascii="宋体" w:hAnsi="Courier New"/>
      <w:spacing w:val="-4"/>
      <w:kern w:val="2"/>
      <w:sz w:val="18"/>
    </w:rPr>
  </w:style>
  <w:style w:type="paragraph" w:customStyle="1" w:styleId="77">
    <w:name w:val="目录 51"/>
    <w:basedOn w:val="1"/>
    <w:next w:val="1"/>
    <w:unhideWhenUsed/>
    <w:qFormat/>
    <w:uiPriority w:val="39"/>
    <w:pPr>
      <w:ind w:left="1680" w:leftChars="800"/>
    </w:pPr>
    <w:rPr>
      <w:rFonts w:ascii="Calibri" w:hAnsi="Calibri"/>
      <w:szCs w:val="22"/>
    </w:rPr>
  </w:style>
  <w:style w:type="paragraph" w:customStyle="1" w:styleId="78">
    <w:name w:val="目录 31"/>
    <w:basedOn w:val="1"/>
    <w:next w:val="1"/>
    <w:qFormat/>
    <w:uiPriority w:val="39"/>
    <w:pPr>
      <w:ind w:left="840" w:leftChars="400"/>
    </w:pPr>
  </w:style>
  <w:style w:type="character" w:customStyle="1" w:styleId="79">
    <w:name w:val="纯文本 字符"/>
    <w:link w:val="29"/>
    <w:qFormat/>
    <w:uiPriority w:val="99"/>
    <w:rPr>
      <w:rFonts w:ascii="微软雅黑" w:hAnsi="微软雅黑" w:eastAsia="微软雅黑" w:cs="宋体"/>
      <w:kern w:val="2"/>
      <w:sz w:val="21"/>
      <w:szCs w:val="21"/>
    </w:rPr>
  </w:style>
  <w:style w:type="paragraph" w:customStyle="1" w:styleId="80">
    <w:name w:val="目录 81"/>
    <w:basedOn w:val="1"/>
    <w:next w:val="1"/>
    <w:unhideWhenUsed/>
    <w:qFormat/>
    <w:uiPriority w:val="39"/>
    <w:pPr>
      <w:ind w:left="2940" w:leftChars="1400"/>
    </w:pPr>
    <w:rPr>
      <w:rFonts w:ascii="Calibri" w:hAnsi="Calibri"/>
      <w:szCs w:val="22"/>
    </w:rPr>
  </w:style>
  <w:style w:type="character" w:customStyle="1" w:styleId="81">
    <w:name w:val="日期 字符"/>
    <w:link w:val="31"/>
    <w:qFormat/>
    <w:uiPriority w:val="0"/>
    <w:rPr>
      <w:rFonts w:eastAsia="楷体_GB2312"/>
      <w:kern w:val="2"/>
      <w:sz w:val="32"/>
    </w:rPr>
  </w:style>
  <w:style w:type="character" w:customStyle="1" w:styleId="82">
    <w:name w:val="正文文本缩进 2 字符"/>
    <w:link w:val="32"/>
    <w:qFormat/>
    <w:uiPriority w:val="0"/>
    <w:rPr>
      <w:rFonts w:ascii="仿宋_GB2312" w:hAnsi="宋体" w:cs="Arial"/>
      <w:b/>
      <w:bCs/>
      <w:color w:val="000000"/>
      <w:kern w:val="2"/>
      <w:sz w:val="24"/>
      <w:szCs w:val="24"/>
    </w:rPr>
  </w:style>
  <w:style w:type="character" w:customStyle="1" w:styleId="83">
    <w:name w:val="批注框文本 字符"/>
    <w:link w:val="34"/>
    <w:qFormat/>
    <w:uiPriority w:val="0"/>
    <w:rPr>
      <w:kern w:val="2"/>
      <w:sz w:val="18"/>
      <w:szCs w:val="18"/>
    </w:rPr>
  </w:style>
  <w:style w:type="character" w:customStyle="1" w:styleId="84">
    <w:name w:val="页脚 字符1"/>
    <w:link w:val="35"/>
    <w:qFormat/>
    <w:locked/>
    <w:uiPriority w:val="0"/>
    <w:rPr>
      <w:kern w:val="2"/>
      <w:sz w:val="18"/>
      <w:szCs w:val="18"/>
    </w:rPr>
  </w:style>
  <w:style w:type="character" w:customStyle="1" w:styleId="85">
    <w:name w:val="页眉 字符"/>
    <w:link w:val="36"/>
    <w:qFormat/>
    <w:uiPriority w:val="99"/>
    <w:rPr>
      <w:rFonts w:eastAsia="微软雅黑"/>
      <w:kern w:val="2"/>
      <w:sz w:val="18"/>
      <w:szCs w:val="18"/>
    </w:rPr>
  </w:style>
  <w:style w:type="paragraph" w:customStyle="1" w:styleId="86">
    <w:name w:val="目录 11"/>
    <w:basedOn w:val="1"/>
    <w:next w:val="1"/>
    <w:qFormat/>
    <w:uiPriority w:val="39"/>
  </w:style>
  <w:style w:type="paragraph" w:customStyle="1" w:styleId="87">
    <w:name w:val="目录 41"/>
    <w:basedOn w:val="1"/>
    <w:next w:val="1"/>
    <w:unhideWhenUsed/>
    <w:qFormat/>
    <w:uiPriority w:val="39"/>
    <w:pPr>
      <w:ind w:left="1260" w:leftChars="600"/>
    </w:pPr>
    <w:rPr>
      <w:rFonts w:ascii="Calibri" w:hAnsi="Calibri"/>
      <w:szCs w:val="22"/>
    </w:rPr>
  </w:style>
  <w:style w:type="character" w:customStyle="1" w:styleId="88">
    <w:name w:val="副标题 字符"/>
    <w:link w:val="39"/>
    <w:qFormat/>
    <w:uiPriority w:val="0"/>
    <w:rPr>
      <w:rFonts w:ascii="Cambria" w:hAnsi="Cambria"/>
      <w:b/>
      <w:bCs/>
      <w:kern w:val="28"/>
      <w:sz w:val="32"/>
      <w:szCs w:val="32"/>
    </w:rPr>
  </w:style>
  <w:style w:type="character" w:customStyle="1" w:styleId="89">
    <w:name w:val="脚注文本 字符"/>
    <w:link w:val="41"/>
    <w:qFormat/>
    <w:uiPriority w:val="99"/>
    <w:rPr>
      <w:rFonts w:ascii="Calibri" w:hAnsi="Calibri"/>
      <w:kern w:val="2"/>
      <w:sz w:val="18"/>
      <w:szCs w:val="24"/>
    </w:rPr>
  </w:style>
  <w:style w:type="paragraph" w:customStyle="1" w:styleId="90">
    <w:name w:val="目录 61"/>
    <w:basedOn w:val="1"/>
    <w:next w:val="1"/>
    <w:unhideWhenUsed/>
    <w:qFormat/>
    <w:uiPriority w:val="39"/>
    <w:pPr>
      <w:ind w:left="2100" w:leftChars="1000"/>
    </w:pPr>
    <w:rPr>
      <w:rFonts w:ascii="Calibri" w:hAnsi="Calibri"/>
      <w:szCs w:val="22"/>
    </w:rPr>
  </w:style>
  <w:style w:type="character" w:customStyle="1" w:styleId="91">
    <w:name w:val="正文文本缩进 3 字符"/>
    <w:link w:val="43"/>
    <w:qFormat/>
    <w:uiPriority w:val="0"/>
    <w:rPr>
      <w:rFonts w:ascii="仿宋_GB2312" w:hAnsi="宋体" w:eastAsia="仿宋_GB2312"/>
      <w:color w:val="000000"/>
      <w:kern w:val="2"/>
      <w:sz w:val="24"/>
      <w:szCs w:val="24"/>
    </w:rPr>
  </w:style>
  <w:style w:type="paragraph" w:customStyle="1" w:styleId="92">
    <w:name w:val="目录 21"/>
    <w:basedOn w:val="1"/>
    <w:next w:val="1"/>
    <w:qFormat/>
    <w:uiPriority w:val="39"/>
    <w:pPr>
      <w:ind w:left="420" w:leftChars="200"/>
    </w:pPr>
  </w:style>
  <w:style w:type="paragraph" w:customStyle="1" w:styleId="93">
    <w:name w:val="目录 91"/>
    <w:basedOn w:val="1"/>
    <w:next w:val="1"/>
    <w:unhideWhenUsed/>
    <w:qFormat/>
    <w:uiPriority w:val="39"/>
    <w:pPr>
      <w:ind w:left="3360" w:leftChars="1600"/>
    </w:pPr>
    <w:rPr>
      <w:rFonts w:ascii="Calibri" w:hAnsi="Calibri"/>
      <w:szCs w:val="22"/>
    </w:rPr>
  </w:style>
  <w:style w:type="character" w:customStyle="1" w:styleId="94">
    <w:name w:val="正文文本 2 字符"/>
    <w:link w:val="46"/>
    <w:qFormat/>
    <w:uiPriority w:val="0"/>
    <w:rPr>
      <w:rFonts w:ascii="宋体" w:hAnsi="宋体"/>
      <w:color w:val="000000"/>
      <w:kern w:val="2"/>
      <w:sz w:val="24"/>
      <w:szCs w:val="24"/>
    </w:rPr>
  </w:style>
  <w:style w:type="character" w:customStyle="1" w:styleId="95">
    <w:name w:val="普通(网站) 字符"/>
    <w:link w:val="48"/>
    <w:qFormat/>
    <w:locked/>
    <w:uiPriority w:val="99"/>
    <w:rPr>
      <w:rFonts w:ascii="宋体" w:hAnsi="宋体" w:cs="宋体"/>
      <w:sz w:val="24"/>
      <w:szCs w:val="24"/>
    </w:rPr>
  </w:style>
  <w:style w:type="character" w:customStyle="1" w:styleId="96">
    <w:name w:val="标题 字符"/>
    <w:link w:val="50"/>
    <w:qFormat/>
    <w:uiPriority w:val="0"/>
    <w:rPr>
      <w:rFonts w:ascii="Cambria" w:hAnsi="Cambria"/>
      <w:b/>
      <w:bCs/>
      <w:kern w:val="2"/>
      <w:sz w:val="32"/>
      <w:szCs w:val="32"/>
    </w:rPr>
  </w:style>
  <w:style w:type="character" w:customStyle="1" w:styleId="97">
    <w:name w:val="批注主题 字符"/>
    <w:link w:val="51"/>
    <w:qFormat/>
    <w:uiPriority w:val="0"/>
    <w:rPr>
      <w:b/>
      <w:bCs/>
      <w:kern w:val="2"/>
      <w:sz w:val="21"/>
      <w:szCs w:val="24"/>
    </w:rPr>
  </w:style>
  <w:style w:type="paragraph" w:customStyle="1" w:styleId="98">
    <w:name w:val="正文首行缩进1"/>
    <w:basedOn w:val="2"/>
    <w:link w:val="99"/>
    <w:qFormat/>
    <w:uiPriority w:val="0"/>
    <w:pPr>
      <w:ind w:firstLine="420" w:firstLineChars="100"/>
    </w:pPr>
  </w:style>
  <w:style w:type="character" w:customStyle="1" w:styleId="99">
    <w:name w:val="正文首行缩进 Char"/>
    <w:link w:val="98"/>
    <w:qFormat/>
    <w:uiPriority w:val="0"/>
  </w:style>
  <w:style w:type="character" w:customStyle="1" w:styleId="100">
    <w:name w:val="已访问的超链接1"/>
    <w:qFormat/>
    <w:uiPriority w:val="0"/>
    <w:rPr>
      <w:color w:val="800080"/>
      <w:u w:val="single"/>
    </w:rPr>
  </w:style>
  <w:style w:type="character" w:customStyle="1" w:styleId="101">
    <w:name w:val="正文缩进 字符"/>
    <w:qFormat/>
    <w:uiPriority w:val="0"/>
    <w:rPr>
      <w:snapToGrid/>
      <w:kern w:val="0"/>
      <w:sz w:val="24"/>
    </w:rPr>
  </w:style>
  <w:style w:type="character" w:customStyle="1" w:styleId="102">
    <w:name w:val="列表段落 字符1"/>
    <w:link w:val="103"/>
    <w:qFormat/>
    <w:uiPriority w:val="99"/>
    <w:rPr>
      <w:rFonts w:eastAsia="微软雅黑"/>
      <w:kern w:val="2"/>
      <w:sz w:val="21"/>
      <w:szCs w:val="22"/>
    </w:rPr>
  </w:style>
  <w:style w:type="paragraph" w:styleId="103">
    <w:name w:val="List Paragraph"/>
    <w:basedOn w:val="1"/>
    <w:link w:val="102"/>
    <w:qFormat/>
    <w:uiPriority w:val="99"/>
    <w:pPr>
      <w:numPr>
        <w:ilvl w:val="1"/>
        <w:numId w:val="3"/>
      </w:numPr>
      <w:spacing w:line="560" w:lineRule="exact"/>
      <w:ind w:right="-147" w:rightChars="-70" w:firstLine="0" w:firstLineChars="0"/>
    </w:pPr>
    <w:rPr>
      <w:szCs w:val="22"/>
    </w:rPr>
  </w:style>
  <w:style w:type="character" w:customStyle="1" w:styleId="104">
    <w:name w:val="列表段落 字符"/>
    <w:qFormat/>
    <w:uiPriority w:val="34"/>
    <w:rPr>
      <w:rFonts w:ascii="Times New Roman" w:hAnsi="Times New Roman" w:eastAsia="宋体" w:cs="Times New Roman"/>
      <w:szCs w:val="24"/>
    </w:rPr>
  </w:style>
  <w:style w:type="character" w:customStyle="1" w:styleId="105">
    <w:name w:val="页脚 字符"/>
    <w:qFormat/>
    <w:uiPriority w:val="99"/>
  </w:style>
  <w:style w:type="character" w:customStyle="1" w:styleId="106">
    <w:name w:val="页眉 Char1"/>
    <w:qFormat/>
    <w:uiPriority w:val="99"/>
    <w:rPr>
      <w:kern w:val="2"/>
      <w:sz w:val="18"/>
      <w:szCs w:val="18"/>
    </w:rPr>
  </w:style>
  <w:style w:type="character" w:customStyle="1" w:styleId="107">
    <w:name w:val="普通文字 Char Char2"/>
    <w:qFormat/>
    <w:uiPriority w:val="0"/>
    <w:rPr>
      <w:rFonts w:ascii="宋体" w:hAnsi="Courier New" w:eastAsia="宋体"/>
      <w:kern w:val="2"/>
      <w:sz w:val="24"/>
      <w:szCs w:val="24"/>
      <w:lang w:val="en-US" w:eastAsia="zh-CN" w:bidi="ar-SA"/>
    </w:rPr>
  </w:style>
  <w:style w:type="character" w:customStyle="1" w:styleId="108">
    <w:name w:val="批注文字 Char"/>
    <w:qFormat/>
    <w:uiPriority w:val="0"/>
    <w:rPr>
      <w:kern w:val="2"/>
      <w:sz w:val="21"/>
      <w:szCs w:val="24"/>
    </w:rPr>
  </w:style>
  <w:style w:type="character" w:customStyle="1" w:styleId="109">
    <w:name w:val="ca-92"/>
    <w:qFormat/>
    <w:uiPriority w:val="0"/>
  </w:style>
  <w:style w:type="character" w:customStyle="1" w:styleId="110">
    <w:name w:val="bookmark-item"/>
    <w:qFormat/>
    <w:uiPriority w:val="0"/>
  </w:style>
  <w:style w:type="character" w:customStyle="1" w:styleId="111">
    <w:name w:val="纯文本 Char3"/>
    <w:qFormat/>
    <w:uiPriority w:val="0"/>
    <w:rPr>
      <w:rFonts w:ascii="宋体" w:hAnsi="Courier New" w:eastAsia="宋体"/>
      <w:kern w:val="2"/>
      <w:sz w:val="24"/>
      <w:szCs w:val="24"/>
      <w:lang w:val="en-US" w:eastAsia="zh-CN" w:bidi="ar-SA"/>
    </w:rPr>
  </w:style>
  <w:style w:type="character" w:customStyle="1" w:styleId="112">
    <w:name w:val="sub"/>
    <w:qFormat/>
    <w:uiPriority w:val="0"/>
  </w:style>
  <w:style w:type="character" w:customStyle="1" w:styleId="113">
    <w:name w:val="纯文本 Char1"/>
    <w:qFormat/>
    <w:uiPriority w:val="0"/>
    <w:rPr>
      <w:rFonts w:ascii="宋体" w:hAnsi="Courier New" w:eastAsia="宋体" w:cs="Times New Roman"/>
      <w:sz w:val="24"/>
      <w:szCs w:val="24"/>
    </w:rPr>
  </w:style>
  <w:style w:type="paragraph" w:customStyle="1" w:styleId="114">
    <w:name w:val="_Style 2"/>
    <w:basedOn w:val="1"/>
    <w:qFormat/>
    <w:uiPriority w:val="0"/>
    <w:pPr>
      <w:adjustRightInd w:val="0"/>
      <w:snapToGrid w:val="0"/>
      <w:ind w:firstLine="420"/>
    </w:pPr>
    <w:rPr>
      <w:rFonts w:ascii="Calibri" w:hAnsi="Calibri"/>
      <w:sz w:val="24"/>
    </w:rPr>
  </w:style>
  <w:style w:type="paragraph" w:customStyle="1" w:styleId="115">
    <w:name w:val="Char Char9 Char Char"/>
    <w:basedOn w:val="1"/>
    <w:qFormat/>
    <w:uiPriority w:val="0"/>
    <w:pPr>
      <w:tabs>
        <w:tab w:val="left" w:pos="360"/>
      </w:tabs>
    </w:pPr>
  </w:style>
  <w:style w:type="paragraph" w:customStyle="1" w:styleId="116">
    <w:name w:val="样式 正文1 + 段前: 0.1 行"/>
    <w:basedOn w:val="1"/>
    <w:qFormat/>
    <w:uiPriority w:val="0"/>
    <w:pPr>
      <w:snapToGrid w:val="0"/>
      <w:spacing w:beforeLines="10" w:line="440" w:lineRule="atLeast"/>
      <w:ind w:firstLine="510"/>
    </w:pPr>
    <w:rPr>
      <w:sz w:val="24"/>
    </w:rPr>
  </w:style>
  <w:style w:type="paragraph" w:customStyle="1" w:styleId="117">
    <w:name w:val="列表段落1"/>
    <w:basedOn w:val="1"/>
    <w:qFormat/>
    <w:uiPriority w:val="0"/>
    <w:pPr>
      <w:ind w:firstLine="420"/>
    </w:pPr>
    <w:rPr>
      <w:szCs w:val="21"/>
    </w:rPr>
  </w:style>
  <w:style w:type="paragraph" w:customStyle="1" w:styleId="118">
    <w:name w:val="列出段落1"/>
    <w:basedOn w:val="1"/>
    <w:link w:val="284"/>
    <w:qFormat/>
    <w:uiPriority w:val="0"/>
    <w:pPr>
      <w:ind w:firstLine="420"/>
    </w:pPr>
    <w:rPr>
      <w:rFonts w:ascii="Calibri" w:hAnsi="Calibri"/>
      <w:szCs w:val="20"/>
    </w:rPr>
  </w:style>
  <w:style w:type="paragraph" w:customStyle="1" w:styleId="119">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2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1">
    <w:name w:val="纯文本1"/>
    <w:basedOn w:val="1"/>
    <w:qFormat/>
    <w:uiPriority w:val="0"/>
    <w:pPr>
      <w:adjustRightInd w:val="0"/>
      <w:textAlignment w:val="baseline"/>
    </w:pPr>
    <w:rPr>
      <w:rFonts w:ascii="宋体" w:hAnsi="Courier New" w:eastAsia="楷体_GB2312"/>
      <w:sz w:val="26"/>
      <w:szCs w:val="20"/>
    </w:rPr>
  </w:style>
  <w:style w:type="paragraph" w:customStyle="1" w:styleId="122">
    <w:name w:val="默认段落字体 Para Char Char Char Char Char Char Char Char Char1 Char Char Char Char"/>
    <w:basedOn w:val="1"/>
    <w:qFormat/>
    <w:uiPriority w:val="0"/>
    <w:rPr>
      <w:rFonts w:ascii="Tahoma" w:hAnsi="Tahoma"/>
      <w:sz w:val="24"/>
      <w:szCs w:val="20"/>
    </w:rPr>
  </w:style>
  <w:style w:type="paragraph" w:customStyle="1" w:styleId="123">
    <w:name w:val="表内文字"/>
    <w:basedOn w:val="1"/>
    <w:qFormat/>
    <w:uiPriority w:val="0"/>
    <w:pPr>
      <w:jc w:val="center"/>
    </w:pPr>
    <w:rPr>
      <w:rFonts w:ascii="仿宋_GB2312" w:eastAsia="仿宋_GB2312"/>
      <w:sz w:val="24"/>
    </w:rPr>
  </w:style>
  <w:style w:type="paragraph" w:customStyle="1" w:styleId="12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5">
    <w:name w:val="1 Char Char Char Char"/>
    <w:basedOn w:val="1"/>
    <w:qFormat/>
    <w:uiPriority w:val="0"/>
    <w:rPr>
      <w:rFonts w:ascii="Tahoma" w:hAnsi="Tahoma"/>
      <w:sz w:val="24"/>
      <w:szCs w:val="20"/>
    </w:rPr>
  </w:style>
  <w:style w:type="paragraph" w:customStyle="1" w:styleId="126">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7">
    <w:name w:val="Char Char Char Char Char Char Char"/>
    <w:basedOn w:val="1"/>
    <w:qFormat/>
    <w:uiPriority w:val="0"/>
    <w:rPr>
      <w:szCs w:val="21"/>
    </w:rPr>
  </w:style>
  <w:style w:type="paragraph" w:customStyle="1" w:styleId="128">
    <w:name w:val="TOC 标题1"/>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9">
    <w:name w:val="正文段"/>
    <w:basedOn w:val="1"/>
    <w:qFormat/>
    <w:uiPriority w:val="0"/>
    <w:pPr>
      <w:widowControl/>
      <w:snapToGrid w:val="0"/>
      <w:spacing w:afterLines="50"/>
      <w:ind w:firstLine="200"/>
    </w:pPr>
    <w:rPr>
      <w:kern w:val="0"/>
      <w:sz w:val="24"/>
      <w:szCs w:val="20"/>
    </w:rPr>
  </w:style>
  <w:style w:type="paragraph" w:customStyle="1" w:styleId="130">
    <w:name w:val="纯文本2"/>
    <w:basedOn w:val="1"/>
    <w:qFormat/>
    <w:uiPriority w:val="0"/>
    <w:pPr>
      <w:adjustRightInd w:val="0"/>
      <w:textAlignment w:val="baseline"/>
    </w:pPr>
    <w:rPr>
      <w:rFonts w:ascii="宋体" w:hAnsi="Courier New" w:eastAsia="楷体_GB2312"/>
      <w:sz w:val="26"/>
      <w:szCs w:val="20"/>
    </w:rPr>
  </w:style>
  <w:style w:type="paragraph" w:customStyle="1" w:styleId="131">
    <w:name w:val="默认段落字体 Para Char Char Char Char"/>
    <w:basedOn w:val="1"/>
    <w:qFormat/>
    <w:uiPriority w:val="0"/>
    <w:rPr>
      <w:rFonts w:ascii="Arial" w:hAnsi="Arial" w:cs="Arial"/>
      <w:szCs w:val="21"/>
    </w:rPr>
  </w:style>
  <w:style w:type="paragraph" w:customStyle="1" w:styleId="132">
    <w:name w:val="_Style 54"/>
    <w:basedOn w:val="1"/>
    <w:qFormat/>
    <w:uiPriority w:val="0"/>
    <w:pPr>
      <w:adjustRightInd w:val="0"/>
      <w:snapToGrid w:val="0"/>
      <w:ind w:firstLine="420"/>
    </w:pPr>
    <w:rPr>
      <w:rFonts w:ascii="Calibri" w:hAnsi="Calibri"/>
      <w:sz w:val="24"/>
    </w:rPr>
  </w:style>
  <w:style w:type="paragraph" w:customStyle="1" w:styleId="133">
    <w:name w:val="CM11"/>
    <w:basedOn w:val="119"/>
    <w:next w:val="119"/>
    <w:unhideWhenUsed/>
    <w:qFormat/>
    <w:uiPriority w:val="99"/>
    <w:pPr>
      <w:spacing w:line="520" w:lineRule="atLeast"/>
    </w:pPr>
  </w:style>
  <w:style w:type="paragraph" w:customStyle="1" w:styleId="134">
    <w:name w:val="WPSOffice手动目录 1"/>
    <w:qFormat/>
    <w:uiPriority w:val="0"/>
    <w:rPr>
      <w:rFonts w:ascii="Times New Roman" w:hAnsi="Times New Roman" w:eastAsia="宋体" w:cs="Times New Roman"/>
      <w:lang w:val="en-US" w:eastAsia="zh-CN" w:bidi="ar-SA"/>
    </w:rPr>
  </w:style>
  <w:style w:type="paragraph" w:customStyle="1" w:styleId="135">
    <w:name w:val="p16"/>
    <w:basedOn w:val="1"/>
    <w:qFormat/>
    <w:uiPriority w:val="0"/>
    <w:pPr>
      <w:widowControl/>
    </w:pPr>
    <w:rPr>
      <w:rFonts w:ascii="宋体" w:hAnsi="宋体" w:cs="宋体"/>
      <w:kern w:val="0"/>
      <w:sz w:val="27"/>
      <w:szCs w:val="27"/>
    </w:rPr>
  </w:style>
  <w:style w:type="paragraph" w:customStyle="1" w:styleId="136">
    <w:name w:val="CM13"/>
    <w:basedOn w:val="119"/>
    <w:next w:val="119"/>
    <w:unhideWhenUsed/>
    <w:qFormat/>
    <w:uiPriority w:val="99"/>
    <w:pPr>
      <w:spacing w:line="520" w:lineRule="atLeast"/>
    </w:pPr>
  </w:style>
  <w:style w:type="paragraph" w:customStyle="1" w:styleId="137">
    <w:name w:val="CM19"/>
    <w:basedOn w:val="119"/>
    <w:next w:val="119"/>
    <w:unhideWhenUsed/>
    <w:qFormat/>
    <w:uiPriority w:val="99"/>
  </w:style>
  <w:style w:type="character" w:customStyle="1" w:styleId="138">
    <w:name w:val="font01"/>
    <w:qFormat/>
    <w:uiPriority w:val="0"/>
    <w:rPr>
      <w:rFonts w:hint="eastAsia" w:ascii="宋体" w:hAnsi="宋体" w:eastAsia="宋体" w:cs="宋体"/>
      <w:color w:val="000000"/>
      <w:sz w:val="21"/>
      <w:szCs w:val="21"/>
      <w:u w:val="none"/>
      <w:vertAlign w:val="superscript"/>
    </w:rPr>
  </w:style>
  <w:style w:type="character" w:customStyle="1" w:styleId="139">
    <w:name w:val="font11"/>
    <w:qFormat/>
    <w:uiPriority w:val="0"/>
    <w:rPr>
      <w:rFonts w:hint="eastAsia" w:ascii="宋体" w:hAnsi="宋体" w:eastAsia="宋体" w:cs="宋体"/>
      <w:color w:val="000000"/>
      <w:sz w:val="21"/>
      <w:szCs w:val="21"/>
      <w:u w:val="none"/>
    </w:rPr>
  </w:style>
  <w:style w:type="paragraph" w:customStyle="1" w:styleId="140">
    <w:name w:val="--规划正文"/>
    <w:basedOn w:val="1"/>
    <w:qFormat/>
    <w:uiPriority w:val="0"/>
    <w:pPr>
      <w:widowControl/>
      <w:suppressAutoHyphens/>
      <w:ind w:firstLine="200"/>
    </w:pPr>
    <w:rPr>
      <w:kern w:val="1"/>
      <w:szCs w:val="20"/>
      <w:lang w:eastAsia="ar-SA"/>
    </w:rPr>
  </w:style>
  <w:style w:type="character" w:customStyle="1" w:styleId="141">
    <w:name w:val="正文首行缩进 2 Char"/>
    <w:link w:val="142"/>
    <w:qFormat/>
    <w:uiPriority w:val="0"/>
    <w:rPr>
      <w:rFonts w:ascii="宋体" w:hAnsi="Courier New"/>
      <w:spacing w:val="-4"/>
      <w:kern w:val="2"/>
      <w:sz w:val="24"/>
    </w:rPr>
  </w:style>
  <w:style w:type="paragraph" w:customStyle="1" w:styleId="142">
    <w:name w:val="正文首行缩进 21"/>
    <w:basedOn w:val="21"/>
    <w:link w:val="141"/>
    <w:unhideWhenUsed/>
    <w:qFormat/>
    <w:uiPriority w:val="0"/>
    <w:pPr>
      <w:spacing w:after="120" w:line="360" w:lineRule="auto"/>
      <w:ind w:left="420" w:leftChars="200" w:firstLine="420"/>
    </w:pPr>
    <w:rPr>
      <w:sz w:val="24"/>
    </w:rPr>
  </w:style>
  <w:style w:type="character" w:customStyle="1" w:styleId="143">
    <w:name w:val="正文首行缩进 2 Char1"/>
    <w:qFormat/>
    <w:uiPriority w:val="0"/>
    <w:rPr>
      <w:rFonts w:ascii="宋体" w:hAnsi="Courier New"/>
      <w:spacing w:val="-4"/>
      <w:kern w:val="2"/>
      <w:sz w:val="21"/>
      <w:szCs w:val="24"/>
    </w:rPr>
  </w:style>
  <w:style w:type="paragraph" w:customStyle="1" w:styleId="144">
    <w:name w:val="正文sl"/>
    <w:basedOn w:val="1"/>
    <w:qFormat/>
    <w:uiPriority w:val="0"/>
    <w:pPr>
      <w:ind w:firstLine="600"/>
    </w:pPr>
    <w:rPr>
      <w:rFonts w:ascii="仿宋_GB2312" w:eastAsia="仿宋_GB2312" w:cs="宋体"/>
      <w:sz w:val="30"/>
      <w:szCs w:val="20"/>
    </w:rPr>
  </w:style>
  <w:style w:type="paragraph" w:customStyle="1" w:styleId="1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fontstyle01"/>
    <w:qFormat/>
    <w:uiPriority w:val="0"/>
    <w:rPr>
      <w:rFonts w:hint="eastAsia" w:ascii="宋体" w:hAnsi="宋体" w:eastAsia="宋体" w:cs="宋体"/>
      <w:color w:val="000000"/>
      <w:sz w:val="24"/>
      <w:szCs w:val="24"/>
    </w:rPr>
  </w:style>
  <w:style w:type="character" w:customStyle="1" w:styleId="147">
    <w:name w:val="inline-comment-marker"/>
    <w:basedOn w:val="57"/>
    <w:qFormat/>
    <w:uiPriority w:val="0"/>
  </w:style>
  <w:style w:type="paragraph" w:customStyle="1" w:styleId="148">
    <w:name w:val="列表段落11"/>
    <w:basedOn w:val="1"/>
    <w:qFormat/>
    <w:uiPriority w:val="34"/>
    <w:pPr>
      <w:widowControl/>
      <w:ind w:firstLine="420"/>
    </w:pPr>
    <w:rPr>
      <w:rFonts w:ascii="宋体" w:hAnsi="宋体" w:cs="宋体"/>
      <w:kern w:val="0"/>
      <w:sz w:val="24"/>
    </w:rPr>
  </w:style>
  <w:style w:type="character" w:customStyle="1" w:styleId="149">
    <w:name w:val="标题 5 字符"/>
    <w:basedOn w:val="57"/>
    <w:link w:val="9"/>
    <w:qFormat/>
    <w:uiPriority w:val="0"/>
    <w:rPr>
      <w:rFonts w:eastAsia="微软雅黑"/>
      <w:b/>
      <w:bCs/>
      <w:kern w:val="2"/>
      <w:sz w:val="21"/>
      <w:szCs w:val="28"/>
    </w:rPr>
  </w:style>
  <w:style w:type="character" w:customStyle="1" w:styleId="150">
    <w:name w:val="标题 6 字符"/>
    <w:basedOn w:val="57"/>
    <w:link w:val="10"/>
    <w:qFormat/>
    <w:uiPriority w:val="0"/>
    <w:rPr>
      <w:rFonts w:ascii="Arial" w:hAnsi="Arial" w:eastAsia="黑体"/>
      <w:b/>
      <w:bCs/>
      <w:kern w:val="2"/>
      <w:sz w:val="24"/>
    </w:rPr>
  </w:style>
  <w:style w:type="character" w:customStyle="1" w:styleId="151">
    <w:name w:val="标题 8 字符"/>
    <w:basedOn w:val="57"/>
    <w:link w:val="12"/>
    <w:qFormat/>
    <w:uiPriority w:val="0"/>
    <w:rPr>
      <w:rFonts w:ascii="Arial" w:hAnsi="Arial" w:eastAsia="黑体"/>
      <w:sz w:val="24"/>
    </w:rPr>
  </w:style>
  <w:style w:type="character" w:customStyle="1" w:styleId="152">
    <w:name w:val="标题 9 字符"/>
    <w:basedOn w:val="57"/>
    <w:link w:val="13"/>
    <w:qFormat/>
    <w:uiPriority w:val="0"/>
    <w:rPr>
      <w:rFonts w:ascii="Arial" w:hAnsi="Arial" w:eastAsia="黑体"/>
      <w:sz w:val="28"/>
    </w:rPr>
  </w:style>
  <w:style w:type="character" w:customStyle="1" w:styleId="153">
    <w:name w:val="标题 2 字符"/>
    <w:basedOn w:val="57"/>
    <w:link w:val="6"/>
    <w:qFormat/>
    <w:uiPriority w:val="9"/>
    <w:rPr>
      <w:rFonts w:ascii="仿宋_GB2312" w:hAnsi="仿宋_GB2312" w:eastAsia="微软雅黑"/>
      <w:b/>
      <w:sz w:val="21"/>
    </w:rPr>
  </w:style>
  <w:style w:type="character" w:customStyle="1" w:styleId="154">
    <w:name w:val="unnamed11"/>
    <w:qFormat/>
    <w:uiPriority w:val="0"/>
    <w:rPr>
      <w:sz w:val="20"/>
      <w:szCs w:val="20"/>
    </w:rPr>
  </w:style>
  <w:style w:type="character" w:customStyle="1" w:styleId="155">
    <w:name w:val="标题 1 Char Char"/>
    <w:qFormat/>
    <w:uiPriority w:val="0"/>
    <w:rPr>
      <w:rFonts w:eastAsia="宋体"/>
      <w:b/>
      <w:spacing w:val="-2"/>
      <w:sz w:val="24"/>
      <w:lang w:val="en-US" w:eastAsia="zh-CN" w:bidi="ar-SA"/>
    </w:rPr>
  </w:style>
  <w:style w:type="character" w:customStyle="1" w:styleId="156">
    <w:name w:val="line1"/>
    <w:qFormat/>
    <w:uiPriority w:val="0"/>
    <w:rPr>
      <w:u w:val="none"/>
    </w:rPr>
  </w:style>
  <w:style w:type="character" w:customStyle="1" w:styleId="157">
    <w:name w:val="point_normal1"/>
    <w:qFormat/>
    <w:uiPriority w:val="0"/>
    <w:rPr>
      <w:rFonts w:hint="default" w:ascii="Arial" w:hAnsi="Arial" w:cs="Arial"/>
      <w:sz w:val="18"/>
      <w:szCs w:val="18"/>
    </w:rPr>
  </w:style>
  <w:style w:type="character" w:customStyle="1" w:styleId="158">
    <w:name w:val="样式 小四"/>
    <w:qFormat/>
    <w:uiPriority w:val="0"/>
    <w:rPr>
      <w:sz w:val="21"/>
    </w:rPr>
  </w:style>
  <w:style w:type="character" w:customStyle="1" w:styleId="159">
    <w:name w:val="para"/>
    <w:basedOn w:val="57"/>
    <w:qFormat/>
    <w:uiPriority w:val="0"/>
  </w:style>
  <w:style w:type="character" w:customStyle="1" w:styleId="16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61">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2">
    <w:name w:val="A C"/>
    <w:qFormat/>
    <w:uiPriority w:val="0"/>
    <w:rPr>
      <w:rFonts w:ascii="仿宋_GB2312"/>
      <w:bCs/>
      <w:iCs/>
      <w:sz w:val="24"/>
    </w:rPr>
  </w:style>
  <w:style w:type="character" w:customStyle="1" w:styleId="163">
    <w:name w:val="huide001"/>
    <w:qFormat/>
    <w:uiPriority w:val="0"/>
    <w:rPr>
      <w:rFonts w:hint="default" w:ascii="Arial" w:hAnsi="Arial" w:cs="Arial"/>
      <w:color w:val="666666"/>
      <w:sz w:val="18"/>
      <w:szCs w:val="18"/>
    </w:rPr>
  </w:style>
  <w:style w:type="character" w:customStyle="1" w:styleId="164">
    <w:name w:val="tw4winMark"/>
    <w:qFormat/>
    <w:uiPriority w:val="0"/>
    <w:rPr>
      <w:rFonts w:ascii="Courier New" w:hAnsi="Courier New"/>
      <w:vanish/>
      <w:color w:val="800080"/>
      <w:vertAlign w:val="subscript"/>
    </w:rPr>
  </w:style>
  <w:style w:type="character" w:customStyle="1" w:styleId="165">
    <w:name w:val="tw4winError"/>
    <w:qFormat/>
    <w:uiPriority w:val="0"/>
    <w:rPr>
      <w:rFonts w:ascii="Courier New" w:hAnsi="Courier New"/>
      <w:color w:val="00FF00"/>
      <w:sz w:val="40"/>
    </w:rPr>
  </w:style>
  <w:style w:type="character" w:customStyle="1" w:styleId="166">
    <w:name w:val="tw4winTerm"/>
    <w:qFormat/>
    <w:uiPriority w:val="0"/>
    <w:rPr>
      <w:color w:val="0000FF"/>
    </w:rPr>
  </w:style>
  <w:style w:type="character" w:customStyle="1" w:styleId="167">
    <w:name w:val="tw4winPopup"/>
    <w:qFormat/>
    <w:uiPriority w:val="0"/>
    <w:rPr>
      <w:rFonts w:ascii="Courier New" w:hAnsi="Courier New"/>
      <w:color w:val="008000"/>
    </w:rPr>
  </w:style>
  <w:style w:type="character" w:customStyle="1" w:styleId="168">
    <w:name w:val="tw4winJump"/>
    <w:qFormat/>
    <w:uiPriority w:val="0"/>
    <w:rPr>
      <w:rFonts w:ascii="Courier New" w:hAnsi="Courier New"/>
      <w:color w:val="008080"/>
    </w:rPr>
  </w:style>
  <w:style w:type="character" w:customStyle="1" w:styleId="169">
    <w:name w:val="tw4winExternal"/>
    <w:qFormat/>
    <w:uiPriority w:val="0"/>
    <w:rPr>
      <w:rFonts w:ascii="Courier New" w:hAnsi="Courier New"/>
      <w:color w:val="808080"/>
    </w:rPr>
  </w:style>
  <w:style w:type="character" w:customStyle="1" w:styleId="170">
    <w:name w:val="tw4winInternal"/>
    <w:qFormat/>
    <w:uiPriority w:val="0"/>
    <w:rPr>
      <w:rFonts w:ascii="Courier New" w:hAnsi="Courier New"/>
      <w:color w:val="FF0000"/>
    </w:rPr>
  </w:style>
  <w:style w:type="paragraph" w:customStyle="1" w:styleId="171">
    <w:name w:val="样式 样式 标题 4 + 段后: 0.5 行1"/>
    <w:basedOn w:val="172"/>
    <w:next w:val="33"/>
    <w:qFormat/>
    <w:uiPriority w:val="0"/>
    <w:pPr>
      <w:spacing w:after="120"/>
    </w:pPr>
  </w:style>
  <w:style w:type="paragraph" w:customStyle="1" w:styleId="172">
    <w:name w:val="样式 标题 4 + 段后: 0.5 行"/>
    <w:basedOn w:val="8"/>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3">
    <w:name w:val="Bullet1"/>
    <w:basedOn w:val="1"/>
    <w:qFormat/>
    <w:uiPriority w:val="0"/>
    <w:pPr>
      <w:spacing w:afterLines="50"/>
      <w:ind w:left="720" w:hanging="432"/>
    </w:pPr>
    <w:rPr>
      <w:rFonts w:ascii="宋体"/>
      <w:snapToGrid w:val="0"/>
      <w:kern w:val="0"/>
      <w:szCs w:val="20"/>
    </w:rPr>
  </w:style>
  <w:style w:type="paragraph" w:customStyle="1" w:styleId="174">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5">
    <w:name w:val="标准标题1"/>
    <w:basedOn w:val="4"/>
    <w:qFormat/>
    <w:uiPriority w:val="0"/>
    <w:pPr>
      <w:pageBreakBefore/>
      <w:tabs>
        <w:tab w:val="left" w:pos="360"/>
        <w:tab w:val="left" w:pos="1080"/>
      </w:tabs>
      <w:ind w:left="425" w:hanging="425"/>
    </w:pPr>
    <w:rPr>
      <w:rFonts w:eastAsia="仿宋_GB2312"/>
      <w:sz w:val="32"/>
    </w:rPr>
  </w:style>
  <w:style w:type="character" w:customStyle="1" w:styleId="176">
    <w:name w:val="脚注文本 Char1"/>
    <w:basedOn w:val="57"/>
    <w:semiHidden/>
    <w:qFormat/>
    <w:uiPriority w:val="99"/>
    <w:rPr>
      <w:rFonts w:ascii="Times New Roman" w:hAnsi="Times New Roman" w:eastAsia="宋体" w:cs="Times New Roman"/>
      <w:sz w:val="18"/>
      <w:szCs w:val="18"/>
    </w:rPr>
  </w:style>
  <w:style w:type="paragraph" w:customStyle="1" w:styleId="177">
    <w:name w:val="样式 标题 2Chapter X.X. Statementh22Header 2l2Level 2 Headhea..."/>
    <w:basedOn w:val="6"/>
    <w:qFormat/>
    <w:uiPriority w:val="0"/>
    <w:pPr>
      <w:tabs>
        <w:tab w:val="left" w:pos="720"/>
      </w:tabs>
      <w:adjustRightInd/>
      <w:snapToGrid/>
      <w:spacing w:afterLines="50" w:line="240" w:lineRule="auto"/>
      <w:textAlignment w:val="auto"/>
    </w:pPr>
    <w:rPr>
      <w:rFonts w:ascii="宋体" w:eastAsia="宋体" w:cs="宋体"/>
      <w:snapToGrid w:val="0"/>
      <w:sz w:val="24"/>
      <w:szCs w:val="24"/>
    </w:rPr>
  </w:style>
  <w:style w:type="paragraph" w:customStyle="1" w:styleId="178">
    <w:name w:val="此正文"/>
    <w:basedOn w:val="1"/>
    <w:qFormat/>
    <w:uiPriority w:val="0"/>
    <w:pPr>
      <w:ind w:firstLine="200"/>
    </w:pPr>
    <w:rPr>
      <w:sz w:val="24"/>
      <w:szCs w:val="20"/>
    </w:rPr>
  </w:style>
  <w:style w:type="paragraph" w:customStyle="1" w:styleId="179">
    <w:name w:val="样式 标题 3Chapter X.X.X"/>
    <w:basedOn w:val="180"/>
    <w:qFormat/>
    <w:uiPriority w:val="0"/>
    <w:pPr>
      <w:tabs>
        <w:tab w:val="left" w:pos="709"/>
      </w:tabs>
      <w:spacing w:after="120"/>
    </w:pPr>
  </w:style>
  <w:style w:type="paragraph" w:customStyle="1" w:styleId="180">
    <w:name w:val="标题 3Chapter X.X.X. + 段后: 0.5 行 + 段后: 0.5 行 + 段后: 0.5 行1"/>
    <w:basedOn w:val="181"/>
    <w:qFormat/>
    <w:uiPriority w:val="0"/>
    <w:pPr>
      <w:tabs>
        <w:tab w:val="left" w:pos="709"/>
      </w:tabs>
    </w:pPr>
  </w:style>
  <w:style w:type="paragraph" w:customStyle="1" w:styleId="181">
    <w:name w:val="样式 样式 标题 3Chapter X.X.X. + 段后: 0.5 行 + 段后: 0.5 行"/>
    <w:basedOn w:val="182"/>
    <w:qFormat/>
    <w:uiPriority w:val="0"/>
    <w:pPr>
      <w:tabs>
        <w:tab w:val="left" w:pos="709"/>
      </w:tabs>
    </w:pPr>
  </w:style>
  <w:style w:type="paragraph" w:customStyle="1" w:styleId="182">
    <w:name w:val="样式 标题 3Chapter X.X.X. +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3">
    <w:name w:val="正文文本 Char1"/>
    <w:basedOn w:val="57"/>
    <w:semiHidden/>
    <w:qFormat/>
    <w:uiPriority w:val="99"/>
    <w:rPr>
      <w:rFonts w:ascii="Times New Roman" w:hAnsi="Times New Roman" w:eastAsia="宋体" w:cs="Times New Roman"/>
      <w:szCs w:val="20"/>
    </w:rPr>
  </w:style>
  <w:style w:type="character" w:customStyle="1" w:styleId="184">
    <w:name w:val="尾注文本 字符"/>
    <w:basedOn w:val="57"/>
    <w:link w:val="33"/>
    <w:semiHidden/>
    <w:qFormat/>
    <w:uiPriority w:val="0"/>
    <w:rPr>
      <w:rFonts w:ascii="宋体"/>
      <w:snapToGrid w:val="0"/>
      <w:sz w:val="21"/>
    </w:rPr>
  </w:style>
  <w:style w:type="paragraph" w:customStyle="1" w:styleId="185">
    <w:name w:val="样式 标题 2"/>
    <w:basedOn w:val="6"/>
    <w:next w:val="186"/>
    <w:qFormat/>
    <w:uiPriority w:val="0"/>
    <w:pPr>
      <w:tabs>
        <w:tab w:val="left" w:pos="720"/>
      </w:tabs>
      <w:adjustRightInd/>
      <w:snapToGrid/>
      <w:spacing w:afterLines="50" w:line="240" w:lineRule="auto"/>
      <w:ind w:left="380" w:hanging="380"/>
      <w:textAlignment w:val="auto"/>
    </w:pPr>
    <w:rPr>
      <w:rFonts w:ascii="宋体" w:eastAsia="宋体" w:cs="宋体"/>
      <w:snapToGrid w:val="0"/>
      <w:sz w:val="28"/>
    </w:rPr>
  </w:style>
  <w:style w:type="paragraph" w:customStyle="1" w:styleId="186">
    <w:name w:val="最新标题3"/>
    <w:basedOn w:val="187"/>
    <w:next w:val="188"/>
    <w:qFormat/>
    <w:uiPriority w:val="0"/>
    <w:pPr>
      <w:tabs>
        <w:tab w:val="left" w:pos="709"/>
      </w:tabs>
      <w:spacing w:after="120"/>
    </w:pPr>
  </w:style>
  <w:style w:type="paragraph" w:customStyle="1" w:styleId="187">
    <w:name w:val="样式 标题 3"/>
    <w:basedOn w:val="7"/>
    <w:next w:val="188"/>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8">
    <w:name w:val="最新标题4"/>
    <w:basedOn w:val="189"/>
    <w:next w:val="1"/>
    <w:qFormat/>
    <w:uiPriority w:val="0"/>
    <w:pPr>
      <w:tabs>
        <w:tab w:val="left" w:pos="2100"/>
      </w:tabs>
      <w:spacing w:after="120"/>
      <w:ind w:left="0" w:firstLine="0"/>
    </w:pPr>
  </w:style>
  <w:style w:type="paragraph" w:customStyle="1" w:styleId="189">
    <w:name w:val="样式 标题 4"/>
    <w:basedOn w:val="190"/>
    <w:next w:val="191"/>
    <w:qFormat/>
    <w:uiPriority w:val="0"/>
    <w:pPr>
      <w:tabs>
        <w:tab w:val="left" w:pos="2100"/>
      </w:tabs>
      <w:spacing w:after="50"/>
      <w:ind w:left="2100" w:hanging="420"/>
    </w:pPr>
  </w:style>
  <w:style w:type="paragraph" w:customStyle="1" w:styleId="190">
    <w:name w:val="样式 标题 4Chapter X.X.X.X. + 段后: 0.5 行1"/>
    <w:basedOn w:val="172"/>
    <w:qFormat/>
    <w:uiPriority w:val="0"/>
    <w:pPr>
      <w:spacing w:after="120"/>
    </w:pPr>
  </w:style>
  <w:style w:type="paragraph" w:customStyle="1" w:styleId="191">
    <w:name w:val="样式 正文"/>
    <w:basedOn w:val="1"/>
    <w:next w:val="1"/>
    <w:qFormat/>
    <w:uiPriority w:val="0"/>
    <w:pPr>
      <w:spacing w:afterLines="50"/>
    </w:pPr>
    <w:rPr>
      <w:rFonts w:ascii="宋体" w:cs="宋体"/>
      <w:snapToGrid w:val="0"/>
      <w:kern w:val="0"/>
      <w:szCs w:val="20"/>
    </w:rPr>
  </w:style>
  <w:style w:type="paragraph" w:customStyle="1" w:styleId="192">
    <w:name w:val="样式 标题 2Chapter X.X. Statementh22Header 2l2Level 2 Headhea...1"/>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3">
    <w:name w:val="表格标题"/>
    <w:basedOn w:val="194"/>
    <w:qFormat/>
    <w:uiPriority w:val="0"/>
    <w:pPr>
      <w:jc w:val="center"/>
    </w:pPr>
    <w:rPr>
      <w:b/>
      <w:bCs/>
      <w:i/>
      <w:iCs/>
    </w:rPr>
  </w:style>
  <w:style w:type="paragraph" w:customStyle="1" w:styleId="194">
    <w:name w:val="表格内容"/>
    <w:basedOn w:val="2"/>
    <w:qFormat/>
    <w:uiPriority w:val="0"/>
    <w:pPr>
      <w:suppressLineNumbers/>
      <w:suppressAutoHyphens/>
    </w:pPr>
    <w:rPr>
      <w:rFonts w:asciiTheme="minorHAnsi" w:hAnsiTheme="minorHAnsi" w:eastAsiaTheme="minorEastAsia" w:cstheme="minorBidi"/>
      <w:kern w:val="1"/>
      <w:lang w:eastAsia="ar-SA"/>
    </w:rPr>
  </w:style>
  <w:style w:type="paragraph" w:customStyle="1" w:styleId="195">
    <w:name w:val="标准标题3"/>
    <w:basedOn w:val="7"/>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6">
    <w:name w:val="paragraph1"/>
    <w:basedOn w:val="1"/>
    <w:qFormat/>
    <w:uiPriority w:val="0"/>
    <w:pPr>
      <w:spacing w:afterLines="30"/>
      <w:ind w:firstLine="420"/>
    </w:pPr>
    <w:rPr>
      <w:rFonts w:eastAsia="楷体_GB2312"/>
      <w:sz w:val="24"/>
      <w:szCs w:val="20"/>
    </w:rPr>
  </w:style>
  <w:style w:type="paragraph" w:customStyle="1" w:styleId="197">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8">
    <w:name w:val="最新标题2"/>
    <w:basedOn w:val="185"/>
    <w:next w:val="186"/>
    <w:qFormat/>
    <w:uiPriority w:val="0"/>
  </w:style>
  <w:style w:type="paragraph" w:customStyle="1" w:styleId="199">
    <w:name w:val="Paragraph2"/>
    <w:basedOn w:val="1"/>
    <w:qFormat/>
    <w:uiPriority w:val="0"/>
    <w:pPr>
      <w:spacing w:before="80" w:afterLines="50"/>
      <w:ind w:left="720"/>
    </w:pPr>
    <w:rPr>
      <w:rFonts w:ascii="宋体"/>
      <w:snapToGrid w:val="0"/>
      <w:color w:val="000000"/>
      <w:kern w:val="0"/>
      <w:szCs w:val="20"/>
      <w:lang w:val="en-AU"/>
    </w:rPr>
  </w:style>
  <w:style w:type="paragraph" w:customStyle="1" w:styleId="200">
    <w:name w:val="样式 样式 正文文本缩进 + 仿宋_GB2312 小四 首行缩进:  0 厘米 行距: 1.5 倍行距 + (中文) 仿宋_GB..."/>
    <w:basedOn w:val="201"/>
    <w:qFormat/>
    <w:uiPriority w:val="0"/>
    <w:pPr>
      <w:ind w:firstLine="480"/>
    </w:pPr>
  </w:style>
  <w:style w:type="paragraph" w:customStyle="1" w:styleId="201">
    <w:name w:val="样式 正文文本缩进 + 仿宋_GB2312 小四 首行缩进:  0 厘米 行距: 1.5 倍行距"/>
    <w:basedOn w:val="21"/>
    <w:qFormat/>
    <w:uiPriority w:val="0"/>
    <w:pPr>
      <w:spacing w:line="360" w:lineRule="auto"/>
      <w:ind w:firstLine="0"/>
    </w:pPr>
    <w:rPr>
      <w:rFonts w:ascii="仿宋_GB2312" w:hAnsi="Times New Roman" w:eastAsia="新宋体"/>
      <w:spacing w:val="0"/>
      <w:sz w:val="24"/>
    </w:rPr>
  </w:style>
  <w:style w:type="paragraph" w:customStyle="1" w:styleId="202">
    <w:name w:val="样式 标题 1 + 段后: 0.5 行"/>
    <w:basedOn w:val="4"/>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3">
    <w:name w:val="Table - Text"/>
    <w:basedOn w:val="1"/>
    <w:qFormat/>
    <w:uiPriority w:val="0"/>
    <w:pPr>
      <w:widowControl/>
      <w:spacing w:before="60" w:afterLines="50"/>
    </w:pPr>
    <w:rPr>
      <w:kern w:val="0"/>
      <w:szCs w:val="20"/>
      <w:lang w:eastAsia="en-US"/>
    </w:rPr>
  </w:style>
  <w:style w:type="paragraph" w:customStyle="1" w:styleId="20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5">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206">
    <w:name w:val="S4-L15"/>
    <w:basedOn w:val="1"/>
    <w:qFormat/>
    <w:uiPriority w:val="0"/>
    <w:pPr>
      <w:spacing w:after="120"/>
      <w:ind w:left="720" w:firstLine="392"/>
    </w:pPr>
    <w:rPr>
      <w:szCs w:val="21"/>
      <w:lang w:val="fr-FR"/>
    </w:rPr>
  </w:style>
  <w:style w:type="paragraph" w:customStyle="1" w:styleId="207">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8">
    <w:name w:val="样式 标题 4Chapter X.X.X. + 段后: 0.5 行1 + 段后: 0.5 行"/>
    <w:basedOn w:val="209"/>
    <w:qFormat/>
    <w:uiPriority w:val="0"/>
    <w:rPr>
      <w:szCs w:val="21"/>
    </w:rPr>
  </w:style>
  <w:style w:type="paragraph" w:customStyle="1" w:styleId="209">
    <w:name w:val="样式 标题 4Chapter X.X.X. + 段后: 0.5 行1"/>
    <w:basedOn w:val="8"/>
    <w:next w:val="8"/>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1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11">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12">
    <w:name w:val="Paragraph1"/>
    <w:basedOn w:val="1"/>
    <w:qFormat/>
    <w:uiPriority w:val="0"/>
    <w:pPr>
      <w:spacing w:before="80" w:afterLines="50"/>
    </w:pPr>
    <w:rPr>
      <w:rFonts w:ascii="宋体"/>
      <w:snapToGrid w:val="0"/>
      <w:kern w:val="0"/>
      <w:szCs w:val="20"/>
    </w:rPr>
  </w:style>
  <w:style w:type="character" w:customStyle="1" w:styleId="213">
    <w:name w:val="HTML 预设格式 字符"/>
    <w:basedOn w:val="57"/>
    <w:link w:val="47"/>
    <w:qFormat/>
    <w:uiPriority w:val="0"/>
    <w:rPr>
      <w:rFonts w:ascii="Arial" w:hAnsi="Arial" w:cs="Arial"/>
      <w:sz w:val="24"/>
      <w:szCs w:val="24"/>
    </w:rPr>
  </w:style>
  <w:style w:type="paragraph" w:customStyle="1" w:styleId="214">
    <w:name w:val="S4-L15-No"/>
    <w:basedOn w:val="206"/>
    <w:qFormat/>
    <w:uiPriority w:val="0"/>
    <w:pPr>
      <w:tabs>
        <w:tab w:val="left" w:pos="720"/>
      </w:tabs>
      <w:ind w:hanging="720"/>
    </w:pPr>
  </w:style>
  <w:style w:type="paragraph" w:customStyle="1" w:styleId="215">
    <w:name w:val="样式 样式 样式 标题 3Chapter X.X.X. + 段后: 0.5 行 + 段后: 0.5 行 + 段后: 0.5 行"/>
    <w:basedOn w:val="181"/>
    <w:qFormat/>
    <w:uiPriority w:val="0"/>
    <w:pPr>
      <w:spacing w:after="120"/>
    </w:pPr>
  </w:style>
  <w:style w:type="character" w:customStyle="1" w:styleId="216">
    <w:name w:val="正文文本首行缩进 字符"/>
    <w:basedOn w:val="71"/>
    <w:link w:val="3"/>
    <w:semiHidden/>
    <w:qFormat/>
    <w:uiPriority w:val="0"/>
    <w:rPr>
      <w:kern w:val="2"/>
      <w:sz w:val="21"/>
      <w:szCs w:val="24"/>
    </w:rPr>
  </w:style>
  <w:style w:type="paragraph" w:customStyle="1" w:styleId="217">
    <w:name w:val="Paragraph3"/>
    <w:basedOn w:val="1"/>
    <w:qFormat/>
    <w:uiPriority w:val="0"/>
    <w:pPr>
      <w:spacing w:before="80" w:afterLines="50"/>
      <w:ind w:left="1530"/>
    </w:pPr>
    <w:rPr>
      <w:rFonts w:ascii="宋体"/>
      <w:snapToGrid w:val="0"/>
      <w:kern w:val="0"/>
      <w:szCs w:val="20"/>
    </w:rPr>
  </w:style>
  <w:style w:type="character" w:customStyle="1" w:styleId="218">
    <w:name w:val="文档结构图 字符"/>
    <w:basedOn w:val="57"/>
    <w:link w:val="18"/>
    <w:semiHidden/>
    <w:qFormat/>
    <w:uiPriority w:val="0"/>
    <w:rPr>
      <w:kern w:val="2"/>
      <w:sz w:val="21"/>
      <w:szCs w:val="24"/>
      <w:shd w:val="clear" w:color="auto" w:fill="00008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样式 标题 3Chapter X.X.X. + 五号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21">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2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3">
    <w:name w:val="S4-I-L15-U"/>
    <w:basedOn w:val="1"/>
    <w:qFormat/>
    <w:uiPriority w:val="0"/>
    <w:rPr>
      <w:b/>
      <w:i/>
      <w:sz w:val="24"/>
      <w:u w:val="single"/>
    </w:rPr>
  </w:style>
  <w:style w:type="paragraph" w:customStyle="1" w:styleId="224">
    <w:name w:val="InfoBlue"/>
    <w:basedOn w:val="1"/>
    <w:next w:val="2"/>
    <w:qFormat/>
    <w:uiPriority w:val="0"/>
    <w:pPr>
      <w:spacing w:afterLines="50"/>
      <w:ind w:left="720"/>
    </w:pPr>
    <w:rPr>
      <w:rFonts w:ascii="宋体"/>
      <w:i/>
      <w:snapToGrid w:val="0"/>
      <w:color w:val="0000FF"/>
      <w:kern w:val="0"/>
      <w:szCs w:val="20"/>
    </w:rPr>
  </w:style>
  <w:style w:type="paragraph" w:customStyle="1" w:styleId="225">
    <w:name w:val="标准标题2"/>
    <w:basedOn w:val="6"/>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6">
    <w:name w:val="样式 左侧:  1 厘米 段后: 0.5 行"/>
    <w:basedOn w:val="1"/>
    <w:qFormat/>
    <w:uiPriority w:val="0"/>
    <w:pPr>
      <w:spacing w:afterLines="50"/>
      <w:ind w:firstLine="425"/>
    </w:pPr>
    <w:rPr>
      <w:rFonts w:ascii="宋体" w:cs="宋体"/>
      <w:snapToGrid w:val="0"/>
      <w:kern w:val="0"/>
      <w:szCs w:val="20"/>
    </w:rPr>
  </w:style>
  <w:style w:type="paragraph" w:customStyle="1" w:styleId="227">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8">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9">
    <w:name w:val="样式 标题1"/>
    <w:basedOn w:val="202"/>
    <w:next w:val="198"/>
    <w:qFormat/>
    <w:uiPriority w:val="0"/>
    <w:pPr>
      <w:tabs>
        <w:tab w:val="left" w:pos="1140"/>
      </w:tabs>
      <w:spacing w:after="50"/>
      <w:ind w:left="1140" w:hanging="720"/>
    </w:pPr>
    <w:rPr>
      <w:bCs w:val="0"/>
      <w:sz w:val="32"/>
    </w:rPr>
  </w:style>
  <w:style w:type="paragraph" w:customStyle="1" w:styleId="230">
    <w:name w:val="Tabletext"/>
    <w:basedOn w:val="1"/>
    <w:qFormat/>
    <w:uiPriority w:val="0"/>
    <w:pPr>
      <w:keepLines/>
      <w:spacing w:afterLines="50"/>
    </w:pPr>
    <w:rPr>
      <w:rFonts w:ascii="宋体"/>
      <w:snapToGrid w:val="0"/>
      <w:kern w:val="0"/>
      <w:szCs w:val="20"/>
    </w:rPr>
  </w:style>
  <w:style w:type="paragraph" w:customStyle="1" w:styleId="231">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32">
    <w:name w:val="Bullet2"/>
    <w:basedOn w:val="1"/>
    <w:qFormat/>
    <w:uiPriority w:val="0"/>
    <w:pPr>
      <w:spacing w:afterLines="50"/>
      <w:ind w:left="1440" w:hanging="360"/>
    </w:pPr>
    <w:rPr>
      <w:rFonts w:ascii="宋体"/>
      <w:snapToGrid w:val="0"/>
      <w:color w:val="000080"/>
      <w:kern w:val="0"/>
      <w:szCs w:val="20"/>
    </w:rPr>
  </w:style>
  <w:style w:type="paragraph" w:customStyle="1" w:styleId="233">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5">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6">
    <w:name w:val="S4-L15-C"/>
    <w:basedOn w:val="1"/>
    <w:qFormat/>
    <w:uiPriority w:val="0"/>
    <w:pPr>
      <w:spacing w:after="120"/>
      <w:jc w:val="center"/>
    </w:pPr>
    <w:rPr>
      <w:szCs w:val="21"/>
    </w:rPr>
  </w:style>
  <w:style w:type="paragraph" w:customStyle="1" w:styleId="237">
    <w:name w:val="二级项目符号"/>
    <w:basedOn w:val="1"/>
    <w:qFormat/>
    <w:uiPriority w:val="0"/>
    <w:pPr>
      <w:widowControl/>
      <w:tabs>
        <w:tab w:val="left" w:pos="964"/>
      </w:tabs>
      <w:ind w:left="964" w:hanging="482"/>
    </w:pPr>
    <w:rPr>
      <w:kern w:val="0"/>
      <w:sz w:val="24"/>
      <w:szCs w:val="20"/>
    </w:rPr>
  </w:style>
  <w:style w:type="paragraph" w:customStyle="1" w:styleId="2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9">
    <w:name w:val="页脚 Char1"/>
    <w:basedOn w:val="57"/>
    <w:semiHidden/>
    <w:qFormat/>
    <w:uiPriority w:val="99"/>
    <w:rPr>
      <w:rFonts w:ascii="Times New Roman" w:hAnsi="Times New Roman" w:eastAsia="宋体" w:cs="Times New Roman"/>
      <w:sz w:val="18"/>
      <w:szCs w:val="18"/>
    </w:rPr>
  </w:style>
  <w:style w:type="paragraph" w:customStyle="1" w:styleId="240">
    <w:name w:val="样式 样式 标题 4 + 段后: 0.5 行 + 段后: 0.5 行"/>
    <w:basedOn w:val="172"/>
    <w:qFormat/>
    <w:uiPriority w:val="0"/>
  </w:style>
  <w:style w:type="paragraph" w:customStyle="1" w:styleId="241">
    <w:name w:val="Main Title"/>
    <w:basedOn w:val="1"/>
    <w:qFormat/>
    <w:uiPriority w:val="0"/>
    <w:pPr>
      <w:spacing w:before="480" w:afterLines="50"/>
      <w:jc w:val="center"/>
    </w:pPr>
    <w:rPr>
      <w:rFonts w:ascii="宋体"/>
      <w:b/>
      <w:snapToGrid w:val="0"/>
      <w:kern w:val="28"/>
      <w:sz w:val="32"/>
      <w:szCs w:val="20"/>
    </w:rPr>
  </w:style>
  <w:style w:type="paragraph" w:customStyle="1" w:styleId="242">
    <w:name w:val="样式 样式 正文文本缩进 + 仿宋_GB2312 小四 首行缩进:  0 厘米 行距: 1.5 倍行距 + (中文) 仿宋_GB... Char Char"/>
    <w:basedOn w:val="201"/>
    <w:qFormat/>
    <w:uiPriority w:val="0"/>
    <w:pPr>
      <w:ind w:firstLine="480"/>
    </w:pPr>
  </w:style>
  <w:style w:type="paragraph" w:customStyle="1" w:styleId="243">
    <w:name w:val="标题1"/>
    <w:basedOn w:val="29"/>
    <w:qFormat/>
    <w:uiPriority w:val="0"/>
    <w:rPr>
      <w:rFonts w:cstheme="minorBidi"/>
      <w:b/>
      <w:sz w:val="30"/>
      <w:szCs w:val="22"/>
    </w:rPr>
  </w:style>
  <w:style w:type="paragraph" w:customStyle="1" w:styleId="244">
    <w:name w:val="样式 三号 加粗 段后: 0.5 行"/>
    <w:basedOn w:val="1"/>
    <w:qFormat/>
    <w:uiPriority w:val="0"/>
    <w:pPr>
      <w:spacing w:afterLines="50"/>
    </w:pPr>
    <w:rPr>
      <w:rFonts w:ascii="宋体" w:cs="宋体"/>
      <w:b/>
      <w:bCs/>
      <w:snapToGrid w:val="0"/>
      <w:kern w:val="0"/>
      <w:sz w:val="32"/>
      <w:szCs w:val="20"/>
    </w:rPr>
  </w:style>
  <w:style w:type="paragraph" w:customStyle="1" w:styleId="245">
    <w:name w:val="标准有序列表（L1）"/>
    <w:basedOn w:val="15"/>
    <w:qFormat/>
    <w:uiPriority w:val="0"/>
    <w:pPr>
      <w:tabs>
        <w:tab w:val="left" w:pos="0"/>
      </w:tabs>
      <w:ind w:firstLine="0"/>
    </w:pPr>
    <w:rPr>
      <w:rFonts w:ascii="黑体" w:eastAsia="黑体" w:hAnsiTheme="minorHAnsi" w:cstheme="minorBidi"/>
      <w:color w:val="000000"/>
      <w:sz w:val="24"/>
      <w:szCs w:val="22"/>
    </w:rPr>
  </w:style>
  <w:style w:type="paragraph" w:customStyle="1" w:styleId="246">
    <w:name w:val="IBM 正文"/>
    <w:basedOn w:val="1"/>
    <w:qFormat/>
    <w:uiPriority w:val="0"/>
    <w:pPr>
      <w:spacing w:line="360" w:lineRule="atLeast"/>
    </w:pPr>
    <w:rPr>
      <w:sz w:val="24"/>
      <w:szCs w:val="20"/>
    </w:rPr>
  </w:style>
  <w:style w:type="paragraph" w:customStyle="1" w:styleId="247">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8">
    <w:name w:val="S4-I-U-L15-No-dot"/>
    <w:basedOn w:val="1"/>
    <w:qFormat/>
    <w:uiPriority w:val="0"/>
    <w:pPr>
      <w:tabs>
        <w:tab w:val="left" w:pos="1112"/>
      </w:tabs>
      <w:spacing w:after="120"/>
      <w:ind w:left="1112" w:hanging="420"/>
    </w:pPr>
    <w:rPr>
      <w:i/>
      <w:sz w:val="24"/>
      <w:u w:val="single"/>
    </w:rPr>
  </w:style>
  <w:style w:type="paragraph" w:customStyle="1" w:styleId="249">
    <w:name w:val="Paragraph4"/>
    <w:basedOn w:val="1"/>
    <w:qFormat/>
    <w:uiPriority w:val="0"/>
    <w:pPr>
      <w:spacing w:before="80" w:afterLines="50"/>
      <w:ind w:left="2250"/>
    </w:pPr>
    <w:rPr>
      <w:rFonts w:ascii="宋体"/>
      <w:snapToGrid w:val="0"/>
      <w:kern w:val="0"/>
      <w:szCs w:val="20"/>
    </w:rPr>
  </w:style>
  <w:style w:type="paragraph" w:customStyle="1" w:styleId="250">
    <w:name w:val="样式 标题 1 + 五号1 Char Char Char Char Char Char Char Char Char Char Char Char Char Char Char Char Char"/>
    <w:basedOn w:val="4"/>
    <w:qFormat/>
    <w:uiPriority w:val="0"/>
    <w:pPr>
      <w:tabs>
        <w:tab w:val="left" w:pos="360"/>
      </w:tabs>
      <w:spacing w:line="480" w:lineRule="auto"/>
    </w:pPr>
    <w:rPr>
      <w:sz w:val="21"/>
    </w:rPr>
  </w:style>
  <w:style w:type="paragraph" w:customStyle="1" w:styleId="251">
    <w:name w:val="样式 标题 3Chapter X.X.X. + 段后: 0.5 行1"/>
    <w:basedOn w:val="7"/>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52">
    <w:name w:val="Body"/>
    <w:basedOn w:val="1"/>
    <w:qFormat/>
    <w:uiPriority w:val="0"/>
    <w:pPr>
      <w:widowControl/>
      <w:spacing w:before="120" w:afterLines="50"/>
    </w:pPr>
    <w:rPr>
      <w:rFonts w:ascii="宋体"/>
      <w:snapToGrid w:val="0"/>
      <w:kern w:val="0"/>
      <w:szCs w:val="20"/>
    </w:rPr>
  </w:style>
  <w:style w:type="paragraph" w:customStyle="1" w:styleId="253">
    <w:name w:val="Proposals body"/>
    <w:basedOn w:val="1"/>
    <w:next w:val="1"/>
    <w:qFormat/>
    <w:uiPriority w:val="0"/>
    <w:pPr>
      <w:widowControl/>
    </w:pPr>
    <w:rPr>
      <w:rFonts w:ascii="宋体"/>
      <w:snapToGrid w:val="0"/>
      <w:color w:val="000000"/>
      <w:kern w:val="0"/>
      <w:sz w:val="24"/>
      <w:szCs w:val="20"/>
    </w:rPr>
  </w:style>
  <w:style w:type="paragraph" w:customStyle="1" w:styleId="254">
    <w:name w:val="章正文"/>
    <w:basedOn w:val="1"/>
    <w:qFormat/>
    <w:uiPriority w:val="0"/>
    <w:pPr>
      <w:spacing w:beforeLines="50" w:after="120" w:line="300" w:lineRule="auto"/>
    </w:pPr>
    <w:rPr>
      <w:rFonts w:ascii="Helvetica" w:hAnsi="Helvetica"/>
      <w:kern w:val="0"/>
      <w:sz w:val="24"/>
    </w:rPr>
  </w:style>
  <w:style w:type="paragraph" w:customStyle="1" w:styleId="255">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6">
    <w:name w:val="样式 标题 2 + 五号"/>
    <w:basedOn w:val="6"/>
    <w:qFormat/>
    <w:uiPriority w:val="0"/>
    <w:pPr>
      <w:keepLines/>
      <w:tabs>
        <w:tab w:val="left" w:pos="720"/>
      </w:tabs>
      <w:adjustRightInd/>
      <w:snapToGrid/>
      <w:spacing w:line="240" w:lineRule="auto"/>
      <w:jc w:val="both"/>
      <w:textAlignment w:val="auto"/>
    </w:pPr>
    <w:rPr>
      <w:rFonts w:ascii="宋体" w:hAnsi="宋体" w:eastAsia="宋体"/>
      <w:kern w:val="2"/>
      <w:szCs w:val="32"/>
    </w:rPr>
  </w:style>
  <w:style w:type="paragraph" w:customStyle="1" w:styleId="257">
    <w:name w:val="样式 标题 1 + 五号"/>
    <w:basedOn w:val="4"/>
    <w:qFormat/>
    <w:uiPriority w:val="0"/>
    <w:pPr>
      <w:tabs>
        <w:tab w:val="left" w:pos="360"/>
      </w:tabs>
      <w:spacing w:line="240" w:lineRule="auto"/>
    </w:pPr>
    <w:rPr>
      <w:sz w:val="32"/>
      <w:szCs w:val="32"/>
    </w:rPr>
  </w:style>
  <w:style w:type="paragraph" w:customStyle="1" w:styleId="258">
    <w:name w:val="文本框内文字"/>
    <w:basedOn w:val="1"/>
    <w:qFormat/>
    <w:uiPriority w:val="0"/>
    <w:pPr>
      <w:spacing w:line="0" w:lineRule="atLeast"/>
    </w:pPr>
    <w:rPr>
      <w:rFonts w:eastAsia="仿宋_GB2312"/>
      <w:sz w:val="22"/>
    </w:rPr>
  </w:style>
  <w:style w:type="paragraph" w:customStyle="1" w:styleId="259">
    <w:name w:val="P1"/>
    <w:basedOn w:val="1"/>
    <w:qFormat/>
    <w:uiPriority w:val="0"/>
    <w:pPr>
      <w:widowControl/>
      <w:spacing w:before="240" w:line="240" w:lineRule="atLeast"/>
    </w:pPr>
    <w:rPr>
      <w:b/>
      <w:kern w:val="0"/>
      <w:szCs w:val="21"/>
      <w:lang w:val="en-AU" w:eastAsia="en-US"/>
    </w:rPr>
  </w:style>
  <w:style w:type="paragraph" w:customStyle="1" w:styleId="260">
    <w:name w:val="最新标题1"/>
    <w:basedOn w:val="229"/>
    <w:next w:val="198"/>
    <w:qFormat/>
    <w:uiPriority w:val="0"/>
    <w:pPr>
      <w:spacing w:after="120"/>
    </w:pPr>
    <w:rPr>
      <w:bCs/>
    </w:rPr>
  </w:style>
  <w:style w:type="paragraph" w:customStyle="1" w:styleId="261">
    <w:name w:val="P2"/>
    <w:basedOn w:val="1"/>
    <w:qFormat/>
    <w:uiPriority w:val="0"/>
    <w:pPr>
      <w:widowControl/>
      <w:spacing w:before="240" w:line="240" w:lineRule="atLeast"/>
      <w:ind w:left="578"/>
    </w:pPr>
    <w:rPr>
      <w:b/>
      <w:kern w:val="0"/>
      <w:szCs w:val="21"/>
      <w:lang w:val="en-AU" w:eastAsia="en-US"/>
    </w:rPr>
  </w:style>
  <w:style w:type="paragraph" w:customStyle="1" w:styleId="262">
    <w:name w:val="Style-正文"/>
    <w:basedOn w:val="1"/>
    <w:qFormat/>
    <w:uiPriority w:val="0"/>
    <w:pPr>
      <w:ind w:firstLine="420"/>
    </w:pPr>
    <w:rPr>
      <w:rFonts w:ascii="宋体" w:hAnsi="宋体"/>
      <w:sz w:val="24"/>
    </w:rPr>
  </w:style>
  <w:style w:type="paragraph" w:customStyle="1" w:styleId="263">
    <w:name w:val="P3"/>
    <w:basedOn w:val="1"/>
    <w:qFormat/>
    <w:uiPriority w:val="0"/>
    <w:pPr>
      <w:widowControl/>
      <w:spacing w:before="240" w:line="240" w:lineRule="atLeast"/>
      <w:ind w:left="1152"/>
    </w:pPr>
    <w:rPr>
      <w:b/>
      <w:kern w:val="0"/>
      <w:szCs w:val="21"/>
      <w:lang w:val="en-AU" w:eastAsia="en-US"/>
    </w:rPr>
  </w:style>
  <w:style w:type="paragraph" w:customStyle="1" w:styleId="264">
    <w:name w:val="Plain Text1"/>
    <w:basedOn w:val="1"/>
    <w:qFormat/>
    <w:uiPriority w:val="0"/>
    <w:pPr>
      <w:autoSpaceDE w:val="0"/>
      <w:autoSpaceDN w:val="0"/>
      <w:adjustRightInd w:val="0"/>
    </w:pPr>
    <w:rPr>
      <w:rFonts w:hint="eastAsia" w:ascii="宋体" w:hAnsi="宋体"/>
      <w:sz w:val="24"/>
      <w:szCs w:val="20"/>
    </w:rPr>
  </w:style>
  <w:style w:type="paragraph" w:customStyle="1" w:styleId="265">
    <w:name w:val="样式　标题4"/>
    <w:basedOn w:val="209"/>
    <w:next w:val="1"/>
    <w:qFormat/>
    <w:uiPriority w:val="0"/>
  </w:style>
  <w:style w:type="paragraph" w:customStyle="1" w:styleId="266">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7">
    <w:name w:val="样式 模板描述"/>
    <w:basedOn w:val="1"/>
    <w:next w:val="191"/>
    <w:qFormat/>
    <w:uiPriority w:val="0"/>
    <w:pPr>
      <w:spacing w:afterLines="50"/>
    </w:pPr>
    <w:rPr>
      <w:rFonts w:ascii="宋体" w:cs="宋体"/>
      <w:i/>
      <w:iCs/>
      <w:snapToGrid w:val="0"/>
      <w:color w:val="0000FF"/>
      <w:kern w:val="0"/>
      <w:szCs w:val="21"/>
    </w:rPr>
  </w:style>
  <w:style w:type="paragraph" w:customStyle="1" w:styleId="268">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9">
    <w:name w:val="样式2"/>
    <w:basedOn w:val="6"/>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kern w:val="2"/>
      <w:sz w:val="32"/>
      <w:szCs w:val="32"/>
    </w:rPr>
  </w:style>
  <w:style w:type="paragraph" w:customStyle="1" w:styleId="270">
    <w:name w:val="S4-B-L15"/>
    <w:basedOn w:val="1"/>
    <w:qFormat/>
    <w:uiPriority w:val="0"/>
    <w:rPr>
      <w:b/>
      <w:bCs/>
      <w:sz w:val="24"/>
    </w:rPr>
  </w:style>
  <w:style w:type="paragraph" w:customStyle="1" w:styleId="271">
    <w:name w:val="样式 标题 3(A-3)sect1.2.3h3H3level_3PIM 3Level 3 HeadHeading..."/>
    <w:basedOn w:val="7"/>
    <w:qFormat/>
    <w:uiPriority w:val="0"/>
    <w:pPr>
      <w:tabs>
        <w:tab w:val="left" w:pos="709"/>
      </w:tabs>
      <w:spacing w:line="416" w:lineRule="auto"/>
      <w:ind w:firstLine="0" w:firstLineChars="0"/>
    </w:pPr>
    <w:rPr>
      <w:rFonts w:ascii="Arial" w:hAnsi="Arial" w:eastAsia="宋体"/>
      <w:szCs w:val="32"/>
    </w:rPr>
  </w:style>
  <w:style w:type="paragraph" w:customStyle="1" w:styleId="272">
    <w:name w:val="Char Char2"/>
    <w:basedOn w:val="1"/>
    <w:qFormat/>
    <w:uiPriority w:val="0"/>
    <w:rPr>
      <w:rFonts w:ascii="仿宋_GB2312" w:eastAsia="仿宋_GB2312"/>
      <w:b/>
      <w:sz w:val="32"/>
      <w:szCs w:val="32"/>
    </w:rPr>
  </w:style>
  <w:style w:type="paragraph" w:customStyle="1" w:styleId="273">
    <w:name w:val="p0"/>
    <w:basedOn w:val="1"/>
    <w:qFormat/>
    <w:uiPriority w:val="0"/>
    <w:pPr>
      <w:widowControl/>
    </w:pPr>
    <w:rPr>
      <w:kern w:val="0"/>
      <w:szCs w:val="21"/>
    </w:rPr>
  </w:style>
  <w:style w:type="table" w:customStyle="1" w:styleId="274">
    <w:name w:val="网格表 4 - 着色 11"/>
    <w:basedOn w:val="53"/>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5">
    <w:name w:val="font21"/>
    <w:qFormat/>
    <w:uiPriority w:val="0"/>
    <w:rPr>
      <w:rFonts w:hint="eastAsia" w:ascii="宋体" w:hAnsi="宋体" w:eastAsia="宋体" w:cs="宋体"/>
      <w:color w:val="000000"/>
      <w:sz w:val="24"/>
      <w:szCs w:val="24"/>
      <w:u w:val="none"/>
    </w:rPr>
  </w:style>
  <w:style w:type="paragraph" w:customStyle="1" w:styleId="27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7">
    <w:name w:val="List Paragraph1"/>
    <w:basedOn w:val="1"/>
    <w:qFormat/>
    <w:uiPriority w:val="99"/>
    <w:pPr>
      <w:spacing w:line="240" w:lineRule="auto"/>
      <w:ind w:firstLine="420"/>
      <w:jc w:val="both"/>
    </w:pPr>
    <w:rPr>
      <w:rFonts w:ascii="Calibri" w:hAnsi="Calibri" w:eastAsia="宋体" w:cs="宋体"/>
      <w:szCs w:val="21"/>
    </w:rPr>
  </w:style>
  <w:style w:type="character" w:customStyle="1" w:styleId="278">
    <w:name w:val="NormalCharacter"/>
    <w:qFormat/>
    <w:uiPriority w:val="0"/>
  </w:style>
  <w:style w:type="character" w:customStyle="1" w:styleId="279">
    <w:name w:val="标题 Char3"/>
    <w:qFormat/>
    <w:uiPriority w:val="0"/>
    <w:rPr>
      <w:rFonts w:ascii="Cambria" w:hAnsi="Cambria" w:eastAsia="宋体"/>
      <w:b/>
      <w:bCs/>
      <w:kern w:val="2"/>
      <w:sz w:val="32"/>
      <w:szCs w:val="32"/>
      <w:lang w:bidi="ar-SA"/>
    </w:rPr>
  </w:style>
  <w:style w:type="character" w:customStyle="1" w:styleId="280">
    <w:name w:val="正文缩进 Char2"/>
    <w:qFormat/>
    <w:uiPriority w:val="0"/>
  </w:style>
  <w:style w:type="paragraph" w:customStyle="1" w:styleId="281">
    <w:name w:val="样式 加粗 段前: 7.8 磅 段后: 7.8 磅 行距: 固定值 20 磅"/>
    <w:basedOn w:val="1"/>
    <w:qFormat/>
    <w:uiPriority w:val="0"/>
    <w:pPr>
      <w:spacing w:before="60" w:after="60" w:line="360" w:lineRule="exact"/>
      <w:ind w:firstLine="0" w:firstLineChars="0"/>
      <w:jc w:val="both"/>
    </w:pPr>
    <w:rPr>
      <w:rFonts w:eastAsia="宋体" w:cs="宋体"/>
      <w:b/>
      <w:bCs/>
      <w:spacing w:val="-2"/>
      <w:sz w:val="24"/>
      <w:szCs w:val="20"/>
    </w:rPr>
  </w:style>
  <w:style w:type="character" w:customStyle="1" w:styleId="282">
    <w:name w:val="未处理的提及1"/>
    <w:basedOn w:val="57"/>
    <w:semiHidden/>
    <w:unhideWhenUsed/>
    <w:qFormat/>
    <w:uiPriority w:val="99"/>
    <w:rPr>
      <w:color w:val="605E5C"/>
      <w:shd w:val="clear" w:color="auto" w:fill="E1DFDD"/>
    </w:rPr>
  </w:style>
  <w:style w:type="character" w:customStyle="1" w:styleId="283">
    <w:name w:val="纯文本 字符2"/>
    <w:qFormat/>
    <w:uiPriority w:val="0"/>
    <w:rPr>
      <w:rFonts w:ascii="宋体" w:hAnsi="Courier New" w:eastAsia="宋体" w:cs="Times New Roman"/>
      <w:kern w:val="2"/>
      <w:sz w:val="24"/>
      <w:szCs w:val="24"/>
      <w:lang w:val="en-US" w:eastAsia="zh-CN" w:bidi="ar-SA"/>
    </w:rPr>
  </w:style>
  <w:style w:type="character" w:customStyle="1" w:styleId="284">
    <w:name w:val="List Paragraph Char"/>
    <w:link w:val="118"/>
    <w:qFormat/>
    <w:uiPriority w:val="0"/>
    <w:rPr>
      <w:rFonts w:ascii="Calibri" w:hAnsi="Calibri" w:eastAsia="微软雅黑"/>
      <w:kern w:val="2"/>
      <w:sz w:val="21"/>
    </w:rPr>
  </w:style>
  <w:style w:type="character" w:customStyle="1" w:styleId="285">
    <w:name w:val="正文文本缩进 字符1"/>
    <w:qFormat/>
    <w:uiPriority w:val="0"/>
    <w:rPr>
      <w:rFonts w:ascii="宋体" w:hAnsi="Courier New"/>
      <w:spacing w:val="-4"/>
      <w:kern w:val="2"/>
      <w:sz w:val="18"/>
    </w:rPr>
  </w:style>
  <w:style w:type="paragraph" w:customStyle="1" w:styleId="286">
    <w:name w:val="清單段落"/>
    <w:basedOn w:val="1"/>
    <w:qFormat/>
    <w:uiPriority w:val="0"/>
    <w:pPr>
      <w:spacing w:line="240" w:lineRule="auto"/>
      <w:ind w:left="480" w:leftChars="200" w:firstLine="0" w:firstLineChars="0"/>
      <w:jc w:val="both"/>
    </w:pPr>
    <w:rPr>
      <w:rFonts w:eastAsia="宋体"/>
    </w:rPr>
  </w:style>
  <w:style w:type="character" w:customStyle="1" w:styleId="287">
    <w:name w:val="未处理的提及2"/>
    <w:basedOn w:val="57"/>
    <w:semiHidden/>
    <w:unhideWhenUsed/>
    <w:qFormat/>
    <w:uiPriority w:val="99"/>
    <w:rPr>
      <w:color w:val="605E5C"/>
      <w:shd w:val="clear" w:color="auto" w:fill="E1DFDD"/>
    </w:rPr>
  </w:style>
  <w:style w:type="character" w:customStyle="1" w:styleId="288">
    <w:name w:val="正文文本首行缩进 2 字符"/>
    <w:basedOn w:val="76"/>
    <w:link w:val="52"/>
    <w:semiHidden/>
    <w:qFormat/>
    <w:uiPriority w:val="0"/>
    <w:rPr>
      <w:rFonts w:ascii="宋体" w:hAnsi="Courier New" w:eastAsia="微软雅黑"/>
      <w:spacing w:val="-4"/>
      <w:kern w:val="2"/>
      <w:sz w:val="21"/>
      <w:szCs w:val="24"/>
    </w:rPr>
  </w:style>
  <w:style w:type="character" w:customStyle="1" w:styleId="289">
    <w:name w:val="标书正文 Char"/>
    <w:qFormat/>
    <w:uiPriority w:val="0"/>
    <w:rPr>
      <w:rFonts w:ascii="宋体" w:hAnsi="宋体" w:eastAsia="宋体" w:cs="Times New Roman"/>
      <w:kern w:val="0"/>
      <w:sz w:val="24"/>
      <w:szCs w:val="20"/>
    </w:rPr>
  </w:style>
  <w:style w:type="character" w:customStyle="1" w:styleId="290">
    <w:name w:val="未处理的提及3"/>
    <w:basedOn w:val="57"/>
    <w:semiHidden/>
    <w:unhideWhenUsed/>
    <w:qFormat/>
    <w:uiPriority w:val="99"/>
    <w:rPr>
      <w:color w:val="605E5C"/>
      <w:shd w:val="clear" w:color="auto" w:fill="E1DFDD"/>
    </w:rPr>
  </w:style>
  <w:style w:type="paragraph" w:customStyle="1" w:styleId="291">
    <w:name w:val="正文2"/>
    <w:basedOn w:val="1"/>
    <w:qFormat/>
    <w:uiPriority w:val="0"/>
    <w:pPr>
      <w:spacing w:before="156"/>
      <w:ind w:firstLine="510"/>
      <w:jc w:val="both"/>
    </w:pPr>
    <w:rPr>
      <w:rFonts w:eastAsia="宋体" w:cs="宋体"/>
      <w:sz w:val="24"/>
      <w:szCs w:val="20"/>
    </w:rPr>
  </w:style>
  <w:style w:type="paragraph" w:customStyle="1" w:styleId="292">
    <w:name w:val="纯文本3"/>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paragraph" w:customStyle="1" w:styleId="293">
    <w:name w:val="部分1"/>
    <w:basedOn w:val="1"/>
    <w:qFormat/>
    <w:uiPriority w:val="0"/>
    <w:pPr>
      <w:keepNext/>
      <w:pageBreakBefore/>
      <w:tabs>
        <w:tab w:val="left" w:pos="720"/>
      </w:tabs>
      <w:ind w:firstLine="0" w:firstLineChars="0"/>
      <w:jc w:val="center"/>
      <w:outlineLvl w:val="0"/>
    </w:pPr>
    <w:rPr>
      <w:rFonts w:eastAsia="黑体" w:cs="宋体"/>
      <w:b/>
      <w:kern w:val="44"/>
      <w:sz w:val="36"/>
      <w:szCs w:val="20"/>
    </w:rPr>
  </w:style>
  <w:style w:type="paragraph" w:customStyle="1" w:styleId="294">
    <w:name w:val="TOC 标题2"/>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5">
    <w:name w:val="纯文本 字符3"/>
    <w:qFormat/>
    <w:locked/>
    <w:uiPriority w:val="0"/>
    <w:rPr>
      <w:rFonts w:ascii="宋体" w:hAnsi="Courier New"/>
    </w:rPr>
  </w:style>
  <w:style w:type="paragraph" w:customStyle="1" w:styleId="296">
    <w:name w:val="首行缩进"/>
    <w:basedOn w:val="1"/>
    <w:qFormat/>
    <w:uiPriority w:val="0"/>
    <w:rPr>
      <w:rFonts w:ascii="宋体" w:hAnsi="宋体" w:eastAsia="宋体"/>
      <w:sz w:val="24"/>
      <w:szCs w:val="20"/>
    </w:rPr>
  </w:style>
  <w:style w:type="character" w:customStyle="1" w:styleId="297">
    <w:name w:val="未处理的提及4"/>
    <w:basedOn w:val="57"/>
    <w:semiHidden/>
    <w:unhideWhenUsed/>
    <w:qFormat/>
    <w:uiPriority w:val="99"/>
    <w:rPr>
      <w:color w:val="605E5C"/>
      <w:shd w:val="clear" w:color="auto" w:fill="E1DFDD"/>
    </w:rPr>
  </w:style>
  <w:style w:type="paragraph" w:customStyle="1" w:styleId="298">
    <w:name w:val="paragraph"/>
    <w:basedOn w:val="1"/>
    <w:qFormat/>
    <w:uiPriority w:val="0"/>
    <w:pPr>
      <w:widowControl/>
      <w:spacing w:before="100" w:beforeAutospacing="1" w:after="100" w:afterAutospacing="1" w:line="240" w:lineRule="auto"/>
      <w:ind w:firstLine="0" w:firstLineChars="0"/>
    </w:pPr>
    <w:rPr>
      <w:rFonts w:ascii="宋体" w:hAnsi="宋体" w:eastAsia="宋体"/>
      <w:kern w:val="0"/>
      <w:sz w:val="24"/>
    </w:rPr>
  </w:style>
  <w:style w:type="character" w:customStyle="1" w:styleId="299">
    <w:name w:val="未处理的提及5"/>
    <w:basedOn w:val="57"/>
    <w:semiHidden/>
    <w:unhideWhenUsed/>
    <w:qFormat/>
    <w:uiPriority w:val="99"/>
    <w:rPr>
      <w:color w:val="605E5C"/>
      <w:shd w:val="clear" w:color="auto" w:fill="E1DFDD"/>
    </w:rPr>
  </w:style>
  <w:style w:type="character" w:customStyle="1" w:styleId="300">
    <w:name w:val="font51"/>
    <w:basedOn w:val="57"/>
    <w:qFormat/>
    <w:uiPriority w:val="0"/>
    <w:rPr>
      <w:rFonts w:hint="eastAsia" w:ascii="宋体" w:hAnsi="宋体" w:eastAsia="宋体" w:cs="宋体"/>
      <w:color w:val="FF0000"/>
      <w:sz w:val="21"/>
      <w:szCs w:val="21"/>
      <w:u w:val="none"/>
    </w:rPr>
  </w:style>
  <w:style w:type="character" w:customStyle="1" w:styleId="301">
    <w:name w:val="font31"/>
    <w:basedOn w:val="57"/>
    <w:qFormat/>
    <w:uiPriority w:val="0"/>
    <w:rPr>
      <w:rFonts w:ascii="方正书宋_GBK" w:hAnsi="方正书宋_GBK" w:eastAsia="方正书宋_GBK" w:cs="方正书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5"/>
    <customShpInfo spid="_x0000_s1029"/>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69</Pages>
  <Words>23819</Words>
  <Characters>25390</Characters>
  <Lines>1528</Lines>
  <Paragraphs>1744</Paragraphs>
  <TotalTime>13</TotalTime>
  <ScaleCrop>false</ScaleCrop>
  <LinksUpToDate>false</LinksUpToDate>
  <CharactersWithSpaces>26398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2024-08-20T06:37:00Z</dcterms:created>
  <dc:creator>微软用户</dc:creator>
  <cp:lastModifiedBy>章大莉</cp:lastModifiedBy>
  <cp:lastPrinted>2025-02-23T12:50:00Z</cp:lastPrinted>
  <dcterms:modified xsi:type="dcterms:W3CDTF">2025-06-20T07:06:59Z</dcterms:modified>
  <dc:title>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27075B0CBAB34CEFB3CA852C1F20524B_13</vt:lpwstr>
  </property>
  <property fmtid="{D5CDD505-2E9C-101B-9397-08002B2CF9AE}" pid="4" name="KSOTemplateDocerSaveRecord">
    <vt:lpwstr>eyJoZGlkIjoiZDQyNmEwZDk3ZWMyODI4MTg4N2Y2OGIzNWNmNDQ1MmYiLCJ1c2VySWQiOiIxMTUwNjU0MTEyIn0=</vt:lpwstr>
  </property>
</Properties>
</file>