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BFFF5">
      <w:pPr>
        <w:tabs>
          <w:tab w:val="left" w:pos="3834"/>
        </w:tabs>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14:paraId="09E97961">
      <w:pPr>
        <w:widowControl/>
        <w:ind w:right="-2"/>
        <w:jc w:val="center"/>
        <w:rPr>
          <w:rFonts w:hint="eastAsia" w:ascii="宋体" w:hAnsi="宋体" w:eastAsia="宋体" w:cs="宋体"/>
          <w:b/>
          <w:color w:val="auto"/>
          <w:sz w:val="24"/>
          <w:highlight w:val="none"/>
        </w:rPr>
      </w:pPr>
    </w:p>
    <w:p w14:paraId="63360E7B">
      <w:pPr>
        <w:pStyle w:val="46"/>
        <w:jc w:val="center"/>
        <w:rPr>
          <w:rFonts w:hint="eastAsia" w:ascii="宋体" w:hAnsi="宋体" w:eastAsia="宋体" w:cs="宋体"/>
          <w:b/>
          <w:bCs/>
          <w:color w:val="auto"/>
          <w:sz w:val="72"/>
          <w:szCs w:val="72"/>
          <w:highlight w:val="none"/>
          <w:lang w:val="en-US" w:eastAsia="zh-CN"/>
        </w:rPr>
      </w:pPr>
    </w:p>
    <w:p w14:paraId="641995A5">
      <w:pPr>
        <w:pStyle w:val="46"/>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政府采购项目招标文件</w:t>
      </w:r>
    </w:p>
    <w:p w14:paraId="0B982A1D">
      <w:pPr>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（电子招投标）</w:t>
      </w:r>
    </w:p>
    <w:p w14:paraId="35CBA6C3">
      <w:pPr>
        <w:rPr>
          <w:rFonts w:hint="eastAsia" w:ascii="宋体" w:hAnsi="宋体" w:eastAsia="宋体" w:cs="宋体"/>
          <w:b/>
          <w:color w:val="auto"/>
          <w:sz w:val="24"/>
          <w:highlight w:val="none"/>
        </w:rPr>
      </w:pPr>
    </w:p>
    <w:p w14:paraId="43E045DA">
      <w:pPr>
        <w:pStyle w:val="46"/>
        <w:rPr>
          <w:rFonts w:hint="eastAsia" w:ascii="宋体" w:hAnsi="宋体" w:eastAsia="宋体" w:cs="宋体"/>
          <w:b/>
          <w:color w:val="auto"/>
          <w:sz w:val="24"/>
          <w:highlight w:val="none"/>
        </w:rPr>
      </w:pPr>
    </w:p>
    <w:p w14:paraId="600EC2C5">
      <w:pPr>
        <w:rPr>
          <w:rFonts w:hint="eastAsia" w:ascii="宋体" w:hAnsi="宋体" w:eastAsia="宋体" w:cs="宋体"/>
          <w:b/>
          <w:color w:val="auto"/>
          <w:sz w:val="24"/>
          <w:highlight w:val="none"/>
        </w:rPr>
      </w:pPr>
    </w:p>
    <w:p w14:paraId="4592E303">
      <w:pPr>
        <w:pStyle w:val="5"/>
        <w:rPr>
          <w:rFonts w:hint="eastAsia" w:ascii="宋体" w:hAnsi="宋体" w:eastAsia="宋体" w:cs="宋体"/>
          <w:b/>
          <w:color w:val="auto"/>
          <w:sz w:val="24"/>
          <w:highlight w:val="none"/>
        </w:rPr>
      </w:pPr>
    </w:p>
    <w:p w14:paraId="763EB6B1">
      <w:pPr>
        <w:rPr>
          <w:rFonts w:hint="eastAsia" w:ascii="宋体" w:hAnsi="宋体" w:eastAsia="宋体" w:cs="宋体"/>
          <w:b/>
          <w:color w:val="auto"/>
          <w:sz w:val="24"/>
          <w:highlight w:val="none"/>
        </w:rPr>
      </w:pPr>
    </w:p>
    <w:p w14:paraId="18598A7C">
      <w:pPr>
        <w:pStyle w:val="5"/>
        <w:rPr>
          <w:rFonts w:hint="eastAsia" w:ascii="宋体" w:hAnsi="宋体" w:eastAsia="宋体" w:cs="宋体"/>
          <w:b/>
          <w:color w:val="auto"/>
          <w:sz w:val="24"/>
          <w:highlight w:val="none"/>
        </w:rPr>
      </w:pPr>
    </w:p>
    <w:p w14:paraId="49626585">
      <w:pPr>
        <w:rPr>
          <w:rFonts w:hint="eastAsia" w:ascii="宋体" w:hAnsi="宋体" w:eastAsia="宋体" w:cs="宋体"/>
          <w:b/>
          <w:color w:val="auto"/>
          <w:sz w:val="24"/>
          <w:highlight w:val="none"/>
        </w:rPr>
      </w:pPr>
    </w:p>
    <w:p w14:paraId="40601AD3">
      <w:pPr>
        <w:pStyle w:val="5"/>
        <w:rPr>
          <w:rFonts w:hint="eastAsia" w:ascii="宋体" w:hAnsi="宋体" w:eastAsia="宋体" w:cs="宋体"/>
          <w:color w:val="auto"/>
          <w:highlight w:val="none"/>
        </w:rPr>
      </w:pPr>
    </w:p>
    <w:p w14:paraId="4BBEDEC4">
      <w:pPr>
        <w:pStyle w:val="46"/>
        <w:rPr>
          <w:rFonts w:hint="eastAsia" w:ascii="宋体" w:hAnsi="宋体" w:eastAsia="宋体" w:cs="宋体"/>
          <w:b/>
          <w:color w:val="auto"/>
          <w:sz w:val="24"/>
          <w:highlight w:val="none"/>
        </w:rPr>
      </w:pPr>
    </w:p>
    <w:p w14:paraId="6BA0982A">
      <w:pPr>
        <w:rPr>
          <w:rFonts w:hint="eastAsia" w:ascii="宋体" w:hAnsi="宋体" w:eastAsia="宋体" w:cs="宋体"/>
          <w:color w:val="auto"/>
          <w:highlight w:val="none"/>
        </w:rPr>
      </w:pPr>
    </w:p>
    <w:p w14:paraId="5F7EAAFA">
      <w:pPr>
        <w:rPr>
          <w:rFonts w:hint="eastAsia" w:ascii="宋体" w:hAnsi="宋体" w:eastAsia="宋体" w:cs="宋体"/>
          <w:color w:val="auto"/>
          <w:highlight w:val="none"/>
        </w:rPr>
      </w:pPr>
    </w:p>
    <w:tbl>
      <w:tblPr>
        <w:tblStyle w:val="65"/>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14:paraId="6ADEF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09FF7386">
            <w:pPr>
              <w:keepNext w:val="0"/>
              <w:keepLines w:val="0"/>
              <w:pageBreakBefore w:val="0"/>
              <w:widowControl w:val="0"/>
              <w:kinsoku/>
              <w:wordWrap/>
              <w:overflowPunct/>
              <w:topLinePunct w:val="0"/>
              <w:autoSpaceDE/>
              <w:autoSpaceDN/>
              <w:bidi w:val="0"/>
              <w:adjustRightInd w:val="0"/>
              <w:snapToGrid/>
              <w:spacing w:line="240" w:lineRule="auto"/>
              <w:ind w:left="0" w:left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7088" w:type="dxa"/>
            <w:tcBorders>
              <w:tl2br w:val="nil"/>
              <w:tr2bl w:val="nil"/>
            </w:tcBorders>
            <w:vAlign w:val="center"/>
          </w:tcPr>
          <w:p w14:paraId="257A3D4B">
            <w:pPr>
              <w:keepNext w:val="0"/>
              <w:keepLines w:val="0"/>
              <w:pageBreakBefore w:val="0"/>
              <w:widowControl w:val="0"/>
              <w:kinsoku/>
              <w:wordWrap/>
              <w:overflowPunct/>
              <w:topLinePunct w:val="0"/>
              <w:autoSpaceDE/>
              <w:autoSpaceDN/>
              <w:bidi w:val="0"/>
              <w:adjustRightInd w:val="0"/>
              <w:snapToGrid/>
              <w:spacing w:line="240" w:lineRule="auto"/>
              <w:ind w:left="0" w:leftChars="0" w:hanging="1"/>
              <w:textAlignment w:val="auto"/>
              <w:rPr>
                <w:rFonts w:hint="eastAsia" w:ascii="宋体" w:hAnsi="宋体" w:eastAsia="宋体" w:cs="宋体"/>
                <w:bCs/>
                <w:color w:val="auto"/>
                <w:kern w:val="0"/>
                <w:sz w:val="28"/>
                <w:szCs w:val="28"/>
                <w:highlight w:val="none"/>
                <w:u w:val="none"/>
                <w:lang w:val="en-US" w:eastAsia="zh-CN"/>
              </w:rPr>
            </w:pPr>
            <w:r>
              <w:rPr>
                <w:rFonts w:hint="eastAsia" w:ascii="宋体" w:hAnsi="宋体" w:cs="宋体"/>
                <w:bCs/>
                <w:color w:val="auto"/>
                <w:kern w:val="0"/>
                <w:sz w:val="28"/>
                <w:szCs w:val="28"/>
                <w:highlight w:val="none"/>
                <w:u w:val="none"/>
                <w:lang w:val="en-US" w:eastAsia="zh-CN"/>
              </w:rPr>
              <w:t>高新区人才人力大厦设备及其他附属采购项目</w:t>
            </w:r>
          </w:p>
        </w:tc>
      </w:tr>
      <w:tr w14:paraId="6FBB9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00607E2D">
            <w:pPr>
              <w:keepNext w:val="0"/>
              <w:keepLines w:val="0"/>
              <w:pageBreakBefore w:val="0"/>
              <w:widowControl w:val="0"/>
              <w:kinsoku/>
              <w:wordWrap/>
              <w:overflowPunct/>
              <w:topLinePunct w:val="0"/>
              <w:autoSpaceDE/>
              <w:autoSpaceDN/>
              <w:bidi w:val="0"/>
              <w:adjustRightInd w:val="0"/>
              <w:snapToGrid/>
              <w:spacing w:line="240" w:lineRule="auto"/>
              <w:ind w:left="0" w:left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c>
        <w:tc>
          <w:tcPr>
            <w:tcW w:w="7088" w:type="dxa"/>
            <w:tcBorders>
              <w:tl2br w:val="nil"/>
              <w:tr2bl w:val="nil"/>
            </w:tcBorders>
            <w:vAlign w:val="center"/>
          </w:tcPr>
          <w:p w14:paraId="2A597552">
            <w:pPr>
              <w:keepNext w:val="0"/>
              <w:keepLines w:val="0"/>
              <w:pageBreakBefore w:val="0"/>
              <w:widowControl w:val="0"/>
              <w:kinsoku/>
              <w:wordWrap/>
              <w:overflowPunct/>
              <w:topLinePunct w:val="0"/>
              <w:autoSpaceDE/>
              <w:autoSpaceDN/>
              <w:bidi w:val="0"/>
              <w:adjustRightInd w:val="0"/>
              <w:snapToGrid/>
              <w:spacing w:line="240" w:lineRule="auto"/>
              <w:ind w:left="0" w:leftChars="0" w:hanging="1"/>
              <w:textAlignment w:val="auto"/>
              <w:rPr>
                <w:rFonts w:hint="default"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ZJJYZFCG-2025-010</w:t>
            </w:r>
          </w:p>
        </w:tc>
      </w:tr>
      <w:tr w14:paraId="20333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7B2EB531">
            <w:pPr>
              <w:keepNext w:val="0"/>
              <w:keepLines w:val="0"/>
              <w:pageBreakBefore w:val="0"/>
              <w:widowControl w:val="0"/>
              <w:kinsoku/>
              <w:wordWrap/>
              <w:overflowPunct/>
              <w:topLinePunct w:val="0"/>
              <w:autoSpaceDE/>
              <w:autoSpaceDN/>
              <w:bidi w:val="0"/>
              <w:adjustRightInd w:val="0"/>
              <w:snapToGrid/>
              <w:spacing w:line="240" w:lineRule="auto"/>
              <w:ind w:left="0" w:left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7088" w:type="dxa"/>
            <w:tcBorders>
              <w:tl2br w:val="nil"/>
              <w:tr2bl w:val="nil"/>
            </w:tcBorders>
            <w:vAlign w:val="center"/>
          </w:tcPr>
          <w:p w14:paraId="5E428039">
            <w:pPr>
              <w:keepNext w:val="0"/>
              <w:keepLines w:val="0"/>
              <w:pageBreakBefore w:val="0"/>
              <w:widowControl w:val="0"/>
              <w:kinsoku/>
              <w:wordWrap/>
              <w:overflowPunct/>
              <w:topLinePunct w:val="0"/>
              <w:autoSpaceDE/>
              <w:autoSpaceDN/>
              <w:bidi w:val="0"/>
              <w:adjustRightInd w:val="0"/>
              <w:snapToGrid/>
              <w:spacing w:line="240" w:lineRule="auto"/>
              <w:ind w:left="0" w:leftChars="0" w:hanging="1"/>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公开招标</w:t>
            </w:r>
          </w:p>
        </w:tc>
      </w:tr>
      <w:tr w14:paraId="5773F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282E0E38">
            <w:pPr>
              <w:keepNext w:val="0"/>
              <w:keepLines w:val="0"/>
              <w:pageBreakBefore w:val="0"/>
              <w:widowControl w:val="0"/>
              <w:kinsoku/>
              <w:wordWrap/>
              <w:overflowPunct/>
              <w:topLinePunct w:val="0"/>
              <w:autoSpaceDE/>
              <w:autoSpaceDN/>
              <w:bidi w:val="0"/>
              <w:adjustRightInd w:val="0"/>
              <w:snapToGrid/>
              <w:spacing w:line="240" w:lineRule="auto"/>
              <w:ind w:left="0" w:left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交易方式：</w:t>
            </w:r>
          </w:p>
        </w:tc>
        <w:tc>
          <w:tcPr>
            <w:tcW w:w="7088" w:type="dxa"/>
            <w:tcBorders>
              <w:tl2br w:val="nil"/>
              <w:tr2bl w:val="nil"/>
            </w:tcBorders>
            <w:vAlign w:val="center"/>
          </w:tcPr>
          <w:p w14:paraId="3130F05A">
            <w:pPr>
              <w:keepNext w:val="0"/>
              <w:keepLines w:val="0"/>
              <w:pageBreakBefore w:val="0"/>
              <w:widowControl w:val="0"/>
              <w:kinsoku/>
              <w:wordWrap/>
              <w:overflowPunct/>
              <w:topLinePunct w:val="0"/>
              <w:autoSpaceDE/>
              <w:autoSpaceDN/>
              <w:bidi w:val="0"/>
              <w:adjustRightInd w:val="0"/>
              <w:snapToGrid/>
              <w:spacing w:line="240" w:lineRule="auto"/>
              <w:ind w:left="0" w:leftChars="0" w:hanging="1"/>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电子交易（政府采购云平台）</w:t>
            </w:r>
          </w:p>
        </w:tc>
      </w:tr>
      <w:tr w14:paraId="156E5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17B18858">
            <w:pPr>
              <w:keepNext w:val="0"/>
              <w:keepLines w:val="0"/>
              <w:pageBreakBefore w:val="0"/>
              <w:widowControl w:val="0"/>
              <w:kinsoku/>
              <w:wordWrap/>
              <w:overflowPunct/>
              <w:topLinePunct w:val="0"/>
              <w:autoSpaceDE/>
              <w:autoSpaceDN/>
              <w:bidi w:val="0"/>
              <w:adjustRightInd w:val="0"/>
              <w:snapToGrid/>
              <w:spacing w:line="240" w:lineRule="auto"/>
              <w:ind w:left="0" w:left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p>
        </w:tc>
        <w:tc>
          <w:tcPr>
            <w:tcW w:w="7088" w:type="dxa"/>
            <w:tcBorders>
              <w:tl2br w:val="nil"/>
              <w:tr2bl w:val="nil"/>
            </w:tcBorders>
            <w:vAlign w:val="center"/>
          </w:tcPr>
          <w:p w14:paraId="63F7CC9E">
            <w:pPr>
              <w:keepNext w:val="0"/>
              <w:keepLines w:val="0"/>
              <w:pageBreakBefore w:val="0"/>
              <w:widowControl w:val="0"/>
              <w:kinsoku/>
              <w:wordWrap/>
              <w:overflowPunct/>
              <w:topLinePunct w:val="0"/>
              <w:autoSpaceDE/>
              <w:autoSpaceDN/>
              <w:bidi w:val="0"/>
              <w:adjustRightInd w:val="0"/>
              <w:snapToGrid/>
              <w:spacing w:line="240" w:lineRule="auto"/>
              <w:ind w:left="0" w:leftChars="0" w:hanging="1"/>
              <w:jc w:val="left"/>
              <w:textAlignment w:val="auto"/>
              <w:rPr>
                <w:rFonts w:hint="eastAsia" w:ascii="宋体" w:hAnsi="宋体" w:eastAsia="宋体" w:cs="宋体"/>
                <w:bCs/>
                <w:color w:val="auto"/>
                <w:kern w:val="0"/>
                <w:sz w:val="28"/>
                <w:szCs w:val="28"/>
                <w:highlight w:val="none"/>
                <w:lang w:val="en-US" w:eastAsia="zh-CN"/>
              </w:rPr>
            </w:pPr>
            <w:r>
              <w:rPr>
                <w:rFonts w:hint="eastAsia" w:ascii="宋体" w:hAnsi="宋体" w:cs="宋体"/>
                <w:bCs/>
                <w:color w:val="auto"/>
                <w:kern w:val="0"/>
                <w:sz w:val="28"/>
                <w:szCs w:val="28"/>
                <w:highlight w:val="none"/>
                <w:u w:val="none"/>
                <w:lang w:val="en-US" w:eastAsia="zh-CN"/>
              </w:rPr>
              <w:t>嘉兴市秀洲区人民政府高照街道办事处</w:t>
            </w:r>
          </w:p>
        </w:tc>
      </w:tr>
      <w:tr w14:paraId="6ADEF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2EC4A0EC">
            <w:pPr>
              <w:keepNext w:val="0"/>
              <w:keepLines w:val="0"/>
              <w:pageBreakBefore w:val="0"/>
              <w:widowControl w:val="0"/>
              <w:kinsoku/>
              <w:wordWrap/>
              <w:overflowPunct/>
              <w:topLinePunct w:val="0"/>
              <w:autoSpaceDE/>
              <w:autoSpaceDN/>
              <w:bidi w:val="0"/>
              <w:adjustRightInd w:val="0"/>
              <w:snapToGrid/>
              <w:spacing w:line="240" w:lineRule="auto"/>
              <w:ind w:left="0" w:left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w:t>
            </w:r>
          </w:p>
        </w:tc>
        <w:tc>
          <w:tcPr>
            <w:tcW w:w="7088" w:type="dxa"/>
            <w:tcBorders>
              <w:tl2br w:val="nil"/>
              <w:tr2bl w:val="nil"/>
            </w:tcBorders>
            <w:vAlign w:val="center"/>
          </w:tcPr>
          <w:p w14:paraId="4F107698">
            <w:pPr>
              <w:keepNext w:val="0"/>
              <w:keepLines w:val="0"/>
              <w:pageBreakBefore w:val="0"/>
              <w:widowControl w:val="0"/>
              <w:kinsoku/>
              <w:wordWrap/>
              <w:overflowPunct/>
              <w:topLinePunct w:val="0"/>
              <w:autoSpaceDE/>
              <w:autoSpaceDN/>
              <w:bidi w:val="0"/>
              <w:adjustRightInd w:val="0"/>
              <w:snapToGrid/>
              <w:spacing w:line="240" w:lineRule="auto"/>
              <w:ind w:left="0" w:leftChars="0" w:hanging="1"/>
              <w:jc w:val="left"/>
              <w:textAlignment w:val="auto"/>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浙江槿阳建设管理有限公司</w:t>
            </w:r>
          </w:p>
        </w:tc>
      </w:tr>
      <w:tr w14:paraId="7B1D7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1" w:type="dxa"/>
            <w:tcBorders>
              <w:tl2br w:val="nil"/>
              <w:tr2bl w:val="nil"/>
            </w:tcBorders>
            <w:vAlign w:val="center"/>
          </w:tcPr>
          <w:p w14:paraId="19DB349B">
            <w:pPr>
              <w:keepNext w:val="0"/>
              <w:keepLines w:val="0"/>
              <w:pageBreakBefore w:val="0"/>
              <w:widowControl w:val="0"/>
              <w:kinsoku/>
              <w:wordWrap/>
              <w:overflowPunct/>
              <w:topLinePunct w:val="0"/>
              <w:autoSpaceDE/>
              <w:autoSpaceDN/>
              <w:bidi w:val="0"/>
              <w:adjustRightInd w:val="0"/>
              <w:snapToGrid/>
              <w:spacing w:line="240" w:lineRule="auto"/>
              <w:ind w:left="0" w:left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tc>
        <w:tc>
          <w:tcPr>
            <w:tcW w:w="7088" w:type="dxa"/>
            <w:tcBorders>
              <w:tl2br w:val="nil"/>
              <w:tr2bl w:val="nil"/>
            </w:tcBorders>
            <w:vAlign w:val="center"/>
          </w:tcPr>
          <w:p w14:paraId="21CA295D">
            <w:pPr>
              <w:keepNext w:val="0"/>
              <w:keepLines w:val="0"/>
              <w:pageBreakBefore w:val="0"/>
              <w:widowControl w:val="0"/>
              <w:kinsoku/>
              <w:wordWrap/>
              <w:overflowPunct/>
              <w:topLinePunct w:val="0"/>
              <w:autoSpaceDE/>
              <w:autoSpaceDN/>
              <w:bidi w:val="0"/>
              <w:adjustRightInd w:val="0"/>
              <w:snapToGrid/>
              <w:spacing w:line="240" w:lineRule="auto"/>
              <w:ind w:left="0" w:leftChars="0" w:hanging="1"/>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二○二</w:t>
            </w:r>
            <w:r>
              <w:rPr>
                <w:rFonts w:hint="eastAsia" w:ascii="宋体" w:hAnsi="宋体" w:cs="宋体"/>
                <w:color w:val="auto"/>
                <w:kern w:val="0"/>
                <w:sz w:val="28"/>
                <w:szCs w:val="28"/>
                <w:highlight w:val="none"/>
                <w:lang w:val="en-US" w:eastAsia="zh-CN"/>
              </w:rPr>
              <w:t>五</w:t>
            </w:r>
            <w:r>
              <w:rPr>
                <w:rFonts w:hint="eastAsia" w:ascii="宋体" w:hAnsi="宋体" w:eastAsia="宋体" w:cs="宋体"/>
                <w:color w:val="auto"/>
                <w:kern w:val="0"/>
                <w:sz w:val="28"/>
                <w:szCs w:val="28"/>
                <w:highlight w:val="none"/>
              </w:rPr>
              <w:t>年</w:t>
            </w:r>
            <w:r>
              <w:rPr>
                <w:rFonts w:hint="eastAsia" w:ascii="宋体" w:hAnsi="宋体" w:cs="宋体"/>
                <w:color w:val="auto"/>
                <w:kern w:val="0"/>
                <w:sz w:val="28"/>
                <w:szCs w:val="28"/>
                <w:highlight w:val="none"/>
                <w:lang w:val="en-US" w:eastAsia="zh-CN"/>
              </w:rPr>
              <w:t>七</w:t>
            </w:r>
            <w:r>
              <w:rPr>
                <w:rFonts w:hint="eastAsia" w:ascii="宋体" w:hAnsi="宋体" w:eastAsia="宋体" w:cs="宋体"/>
                <w:color w:val="auto"/>
                <w:kern w:val="0"/>
                <w:sz w:val="28"/>
                <w:szCs w:val="28"/>
                <w:highlight w:val="none"/>
              </w:rPr>
              <w:t>月</w:t>
            </w:r>
          </w:p>
        </w:tc>
      </w:tr>
    </w:tbl>
    <w:p w14:paraId="67A72E8D">
      <w:pPr>
        <w:snapToGrid w:val="0"/>
        <w:spacing w:line="360" w:lineRule="auto"/>
        <w:jc w:val="center"/>
        <w:rPr>
          <w:rFonts w:hint="eastAsia" w:ascii="宋体" w:hAnsi="宋体" w:eastAsia="宋体" w:cs="宋体"/>
          <w:color w:val="auto"/>
          <w:sz w:val="30"/>
          <w:highlight w:val="none"/>
        </w:rPr>
      </w:pPr>
    </w:p>
    <w:p w14:paraId="276101A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94B645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9E0DFCC">
      <w:pPr>
        <w:spacing w:line="360" w:lineRule="auto"/>
        <w:rPr>
          <w:rFonts w:hint="eastAsia" w:ascii="宋体" w:hAnsi="宋体" w:eastAsia="宋体" w:cs="宋体"/>
          <w:color w:val="auto"/>
          <w:sz w:val="32"/>
          <w:szCs w:val="32"/>
          <w:highlight w:val="none"/>
        </w:rPr>
      </w:pPr>
    </w:p>
    <w:p w14:paraId="2385A3DE">
      <w:pPr>
        <w:spacing w:line="360" w:lineRule="auto"/>
        <w:rPr>
          <w:rFonts w:hint="eastAsia" w:ascii="宋体" w:hAnsi="宋体" w:eastAsia="宋体" w:cs="宋体"/>
          <w:color w:val="auto"/>
          <w:sz w:val="32"/>
          <w:szCs w:val="32"/>
          <w:highlight w:val="none"/>
        </w:rPr>
      </w:pPr>
    </w:p>
    <w:p w14:paraId="18AE08B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FF067F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4BC058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EAEAAC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57E47C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F00C12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E2E362D">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F6DB808">
      <w:pPr>
        <w:spacing w:line="360" w:lineRule="auto"/>
        <w:ind w:firstLine="549" w:firstLineChars="229"/>
        <w:rPr>
          <w:rFonts w:hint="eastAsia" w:ascii="宋体" w:hAnsi="宋体" w:eastAsia="宋体" w:cs="宋体"/>
          <w:color w:val="auto"/>
          <w:sz w:val="24"/>
          <w:highlight w:val="none"/>
        </w:rPr>
      </w:pPr>
    </w:p>
    <w:p w14:paraId="10CA6232">
      <w:pPr>
        <w:spacing w:line="360" w:lineRule="auto"/>
        <w:ind w:firstLine="549" w:firstLineChars="229"/>
        <w:rPr>
          <w:rFonts w:hint="eastAsia" w:ascii="宋体" w:hAnsi="宋体" w:eastAsia="宋体" w:cs="宋体"/>
          <w:color w:val="auto"/>
          <w:sz w:val="24"/>
          <w:highlight w:val="none"/>
        </w:rPr>
      </w:pPr>
    </w:p>
    <w:p w14:paraId="7678B9B5">
      <w:pPr>
        <w:spacing w:line="360" w:lineRule="auto"/>
        <w:ind w:firstLine="549" w:firstLineChars="229"/>
        <w:rPr>
          <w:rFonts w:hint="eastAsia" w:ascii="宋体" w:hAnsi="宋体" w:eastAsia="宋体" w:cs="宋体"/>
          <w:color w:val="auto"/>
          <w:sz w:val="24"/>
          <w:highlight w:val="none"/>
        </w:rPr>
      </w:pPr>
    </w:p>
    <w:p w14:paraId="0A4B12D5">
      <w:pPr>
        <w:spacing w:line="360" w:lineRule="auto"/>
        <w:ind w:firstLine="549" w:firstLineChars="229"/>
        <w:rPr>
          <w:rFonts w:hint="eastAsia" w:ascii="宋体" w:hAnsi="宋体" w:eastAsia="宋体" w:cs="宋体"/>
          <w:color w:val="auto"/>
          <w:sz w:val="24"/>
          <w:highlight w:val="none"/>
        </w:rPr>
      </w:pPr>
    </w:p>
    <w:p w14:paraId="2884BC01">
      <w:pPr>
        <w:spacing w:line="360" w:lineRule="auto"/>
        <w:ind w:firstLine="549" w:firstLineChars="229"/>
        <w:rPr>
          <w:rFonts w:hint="eastAsia" w:ascii="宋体" w:hAnsi="宋体" w:eastAsia="宋体" w:cs="宋体"/>
          <w:color w:val="auto"/>
          <w:sz w:val="24"/>
          <w:highlight w:val="none"/>
        </w:rPr>
      </w:pPr>
    </w:p>
    <w:p w14:paraId="6F75311A">
      <w:pPr>
        <w:spacing w:line="360" w:lineRule="auto"/>
        <w:ind w:firstLine="549" w:firstLineChars="229"/>
        <w:rPr>
          <w:rFonts w:hint="eastAsia" w:ascii="宋体" w:hAnsi="宋体" w:eastAsia="宋体" w:cs="宋体"/>
          <w:color w:val="auto"/>
          <w:sz w:val="24"/>
          <w:highlight w:val="none"/>
        </w:rPr>
      </w:pPr>
    </w:p>
    <w:p w14:paraId="7DF5F77C">
      <w:pPr>
        <w:spacing w:line="360" w:lineRule="auto"/>
        <w:ind w:firstLine="549" w:firstLineChars="229"/>
        <w:rPr>
          <w:rFonts w:hint="eastAsia" w:ascii="宋体" w:hAnsi="宋体" w:eastAsia="宋体" w:cs="宋体"/>
          <w:color w:val="auto"/>
          <w:sz w:val="24"/>
          <w:highlight w:val="none"/>
        </w:rPr>
      </w:pPr>
    </w:p>
    <w:p w14:paraId="41067769">
      <w:pPr>
        <w:spacing w:line="360" w:lineRule="auto"/>
        <w:ind w:firstLine="549" w:firstLineChars="229"/>
        <w:rPr>
          <w:rFonts w:hint="eastAsia" w:ascii="宋体" w:hAnsi="宋体" w:eastAsia="宋体" w:cs="宋体"/>
          <w:color w:val="auto"/>
          <w:sz w:val="24"/>
          <w:highlight w:val="none"/>
        </w:rPr>
      </w:pPr>
    </w:p>
    <w:p w14:paraId="760CDCBE">
      <w:pPr>
        <w:spacing w:line="360" w:lineRule="auto"/>
        <w:ind w:firstLine="549" w:firstLineChars="229"/>
        <w:rPr>
          <w:rFonts w:hint="eastAsia" w:ascii="宋体" w:hAnsi="宋体" w:eastAsia="宋体" w:cs="宋体"/>
          <w:color w:val="auto"/>
          <w:sz w:val="24"/>
          <w:highlight w:val="none"/>
        </w:rPr>
      </w:pPr>
    </w:p>
    <w:p w14:paraId="42B6A4E3">
      <w:pPr>
        <w:spacing w:line="360" w:lineRule="auto"/>
        <w:ind w:firstLine="549" w:firstLineChars="229"/>
        <w:rPr>
          <w:rFonts w:hint="eastAsia" w:ascii="宋体" w:hAnsi="宋体" w:eastAsia="宋体" w:cs="宋体"/>
          <w:color w:val="auto"/>
          <w:sz w:val="24"/>
          <w:highlight w:val="none"/>
        </w:rPr>
      </w:pPr>
    </w:p>
    <w:p w14:paraId="09E9ABF5">
      <w:pPr>
        <w:spacing w:line="360" w:lineRule="auto"/>
        <w:ind w:firstLine="549" w:firstLineChars="229"/>
        <w:rPr>
          <w:rFonts w:hint="eastAsia" w:ascii="宋体" w:hAnsi="宋体" w:eastAsia="宋体" w:cs="宋体"/>
          <w:color w:val="auto"/>
          <w:sz w:val="24"/>
          <w:highlight w:val="none"/>
        </w:rPr>
      </w:pPr>
    </w:p>
    <w:p w14:paraId="706A9650">
      <w:pPr>
        <w:spacing w:line="360" w:lineRule="auto"/>
        <w:ind w:firstLine="549" w:firstLineChars="229"/>
        <w:rPr>
          <w:rFonts w:hint="eastAsia" w:ascii="宋体" w:hAnsi="宋体" w:eastAsia="宋体" w:cs="宋体"/>
          <w:color w:val="auto"/>
          <w:sz w:val="24"/>
          <w:highlight w:val="none"/>
        </w:rPr>
      </w:pPr>
    </w:p>
    <w:p w14:paraId="096DE357">
      <w:pPr>
        <w:spacing w:line="360" w:lineRule="auto"/>
        <w:rPr>
          <w:rFonts w:hint="eastAsia" w:ascii="宋体" w:hAnsi="宋体" w:eastAsia="宋体" w:cs="宋体"/>
          <w:color w:val="auto"/>
          <w:sz w:val="24"/>
          <w:highlight w:val="none"/>
        </w:rPr>
      </w:pPr>
    </w:p>
    <w:p w14:paraId="4BBCDD5B">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36"/>
          <w:highlight w:val="none"/>
        </w:rPr>
        <w:t>第一部分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招标公告</w:t>
      </w:r>
    </w:p>
    <w:p w14:paraId="7EE82AE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54582A47">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val="en-US" w:eastAsia="zh-CN"/>
        </w:rPr>
        <w:t>高新区人才人力大厦设备及其他附属采购项目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w:t>
      </w:r>
      <w:r>
        <w:rPr>
          <w:rStyle w:val="76"/>
          <w:rFonts w:hint="eastAsia" w:ascii="宋体" w:hAnsi="宋体" w:eastAsia="宋体" w:cs="宋体"/>
          <w:snapToGrid/>
          <w:color w:val="auto"/>
          <w:kern w:val="2"/>
          <w:sz w:val="21"/>
          <w:szCs w:val="21"/>
          <w:highlight w:val="none"/>
          <w:u w:val="none"/>
        </w:rPr>
        <w:t>，并于</w:t>
      </w:r>
      <w:r>
        <w:rPr>
          <w:rStyle w:val="76"/>
          <w:rFonts w:hint="eastAsia" w:ascii="宋体" w:hAnsi="宋体" w:eastAsia="宋体" w:cs="宋体"/>
          <w:snapToGrid/>
          <w:color w:val="auto"/>
          <w:kern w:val="2"/>
          <w:sz w:val="21"/>
          <w:szCs w:val="21"/>
          <w:highlight w:val="none"/>
          <w:u w:val="single"/>
        </w:rPr>
        <w:t>202</w:t>
      </w:r>
      <w:r>
        <w:rPr>
          <w:rStyle w:val="76"/>
          <w:rFonts w:hint="eastAsia" w:ascii="宋体" w:hAnsi="宋体" w:cs="宋体"/>
          <w:snapToGrid/>
          <w:color w:val="auto"/>
          <w:kern w:val="2"/>
          <w:sz w:val="21"/>
          <w:szCs w:val="21"/>
          <w:highlight w:val="none"/>
          <w:u w:val="single"/>
          <w:lang w:val="en-US" w:eastAsia="zh-CN"/>
        </w:rPr>
        <w:t>5</w:t>
      </w:r>
      <w:r>
        <w:rPr>
          <w:rStyle w:val="76"/>
          <w:rFonts w:hint="eastAsia" w:ascii="宋体" w:hAnsi="宋体" w:eastAsia="宋体" w:cs="宋体"/>
          <w:snapToGrid/>
          <w:color w:val="auto"/>
          <w:kern w:val="2"/>
          <w:sz w:val="21"/>
          <w:szCs w:val="21"/>
          <w:highlight w:val="none"/>
          <w:u w:val="single"/>
        </w:rPr>
        <w:t>年</w:t>
      </w:r>
      <w:r>
        <w:rPr>
          <w:rStyle w:val="76"/>
          <w:rFonts w:hint="eastAsia" w:ascii="宋体" w:hAnsi="宋体" w:cs="宋体"/>
          <w:snapToGrid/>
          <w:color w:val="auto"/>
          <w:kern w:val="2"/>
          <w:sz w:val="21"/>
          <w:szCs w:val="21"/>
          <w:highlight w:val="none"/>
          <w:u w:val="single"/>
          <w:lang w:val="en-US" w:eastAsia="zh-CN"/>
        </w:rPr>
        <w:t>7</w:t>
      </w:r>
      <w:r>
        <w:rPr>
          <w:rStyle w:val="76"/>
          <w:rFonts w:hint="eastAsia" w:ascii="宋体" w:hAnsi="宋体" w:eastAsia="宋体" w:cs="宋体"/>
          <w:snapToGrid/>
          <w:color w:val="auto"/>
          <w:kern w:val="2"/>
          <w:sz w:val="21"/>
          <w:szCs w:val="21"/>
          <w:highlight w:val="none"/>
          <w:u w:val="single"/>
        </w:rPr>
        <w:t>月</w:t>
      </w:r>
      <w:r>
        <w:rPr>
          <w:rStyle w:val="76"/>
          <w:rFonts w:hint="eastAsia" w:ascii="宋体" w:hAnsi="宋体" w:cs="宋体"/>
          <w:snapToGrid/>
          <w:color w:val="auto"/>
          <w:kern w:val="2"/>
          <w:sz w:val="21"/>
          <w:szCs w:val="21"/>
          <w:highlight w:val="none"/>
          <w:u w:val="single"/>
          <w:lang w:val="en-US" w:eastAsia="zh-CN"/>
        </w:rPr>
        <w:t>30</w:t>
      </w:r>
      <w:r>
        <w:rPr>
          <w:rStyle w:val="76"/>
          <w:rFonts w:hint="eastAsia" w:ascii="宋体" w:hAnsi="宋体" w:eastAsia="宋体" w:cs="宋体"/>
          <w:snapToGrid/>
          <w:color w:val="auto"/>
          <w:kern w:val="2"/>
          <w:sz w:val="21"/>
          <w:szCs w:val="21"/>
          <w:highlight w:val="none"/>
          <w:u w:val="single"/>
        </w:rPr>
        <w:t>日</w:t>
      </w:r>
      <w:r>
        <w:rPr>
          <w:rStyle w:val="76"/>
          <w:rFonts w:hint="eastAsia" w:ascii="宋体" w:hAnsi="宋体" w:cs="宋体"/>
          <w:snapToGrid/>
          <w:color w:val="auto"/>
          <w:kern w:val="2"/>
          <w:sz w:val="21"/>
          <w:szCs w:val="21"/>
          <w:highlight w:val="none"/>
          <w:u w:val="single"/>
          <w:lang w:val="en-US" w:eastAsia="zh-CN"/>
        </w:rPr>
        <w:t>14</w:t>
      </w:r>
      <w:r>
        <w:rPr>
          <w:rStyle w:val="76"/>
          <w:rFonts w:hint="eastAsia" w:ascii="宋体" w:hAnsi="宋体" w:eastAsia="宋体" w:cs="宋体"/>
          <w:snapToGrid/>
          <w:color w:val="auto"/>
          <w:kern w:val="2"/>
          <w:sz w:val="21"/>
          <w:szCs w:val="21"/>
          <w:highlight w:val="none"/>
          <w:u w:val="single"/>
        </w:rPr>
        <w:t>点</w:t>
      </w:r>
      <w:r>
        <w:rPr>
          <w:rStyle w:val="76"/>
          <w:rFonts w:hint="eastAsia" w:ascii="宋体" w:hAnsi="宋体" w:cs="宋体"/>
          <w:snapToGrid/>
          <w:color w:val="auto"/>
          <w:kern w:val="2"/>
          <w:sz w:val="21"/>
          <w:szCs w:val="21"/>
          <w:highlight w:val="none"/>
          <w:u w:val="single"/>
          <w:lang w:val="en-US" w:eastAsia="zh-CN"/>
        </w:rPr>
        <w:t>00</w:t>
      </w:r>
      <w:r>
        <w:rPr>
          <w:rStyle w:val="76"/>
          <w:rFonts w:hint="eastAsia" w:ascii="宋体" w:hAnsi="宋体" w:eastAsia="宋体" w:cs="宋体"/>
          <w:snapToGrid/>
          <w:color w:val="auto"/>
          <w:kern w:val="2"/>
          <w:sz w:val="21"/>
          <w:szCs w:val="21"/>
          <w:highlight w:val="none"/>
          <w:u w:val="single"/>
        </w:rPr>
        <w:t>分</w:t>
      </w:r>
      <w:r>
        <w:rPr>
          <w:rStyle w:val="76"/>
          <w:rFonts w:hint="eastAsia" w:ascii="宋体" w:hAnsi="宋体" w:eastAsia="宋体" w:cs="宋体"/>
          <w:bCs/>
          <w:snapToGrid/>
          <w:color w:val="auto"/>
          <w:kern w:val="2"/>
          <w:sz w:val="21"/>
          <w:szCs w:val="21"/>
          <w:highlight w:val="none"/>
          <w:u w:val="singl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Cs w:val="21"/>
          <w:highlight w:val="none"/>
        </w:rPr>
        <w:t>（北京时间）前</w:t>
      </w:r>
      <w:r>
        <w:rPr>
          <w:rFonts w:hint="eastAsia" w:ascii="宋体" w:hAnsi="宋体" w:eastAsia="宋体" w:cs="宋体"/>
          <w:color w:val="auto"/>
          <w:szCs w:val="21"/>
          <w:highlight w:val="none"/>
        </w:rPr>
        <w:t>递交（上传）投标文件。</w:t>
      </w:r>
    </w:p>
    <w:p w14:paraId="4D327D19">
      <w:pPr>
        <w:keepNext w:val="0"/>
        <w:keepLines w:val="0"/>
        <w:pageBreakBefore w:val="0"/>
        <w:widowControl w:val="0"/>
        <w:kinsoku/>
        <w:wordWrap/>
        <w:overflowPunct/>
        <w:topLinePunct w:val="0"/>
        <w:autoSpaceDE/>
        <w:autoSpaceDN/>
        <w:bidi w:val="0"/>
        <w:adjustRightInd w:val="0"/>
        <w:snapToGrid/>
        <w:spacing w:before="240" w:beforeLines="100" w:after="313" w:afterLines="100" w:line="24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579E9866">
      <w:pPr>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项目编号：</w:t>
      </w:r>
      <w:bookmarkStart w:id="520" w:name="_GoBack"/>
      <w:bookmarkEnd w:id="520"/>
      <w:r>
        <w:rPr>
          <w:rFonts w:hint="eastAsia" w:ascii="宋体" w:hAnsi="宋体" w:cs="宋体"/>
          <w:bCs/>
          <w:color w:val="auto"/>
          <w:szCs w:val="21"/>
          <w:highlight w:val="none"/>
          <w:u w:val="single"/>
          <w:lang w:eastAsia="zh-CN"/>
        </w:rPr>
        <w:t>ZJJYZFCG-2025-010</w:t>
      </w:r>
    </w:p>
    <w:p w14:paraId="3644359D">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项目名称：</w:t>
      </w:r>
      <w:r>
        <w:rPr>
          <w:rFonts w:hint="eastAsia" w:ascii="宋体" w:hAnsi="宋体" w:cs="宋体"/>
          <w:bCs/>
          <w:color w:val="auto"/>
          <w:szCs w:val="21"/>
          <w:highlight w:val="none"/>
          <w:u w:val="single"/>
          <w:lang w:eastAsia="zh-CN"/>
        </w:rPr>
        <w:t>高新区人才人力大厦设备及其他附属采购项目</w:t>
      </w:r>
    </w:p>
    <w:p w14:paraId="5F394CEE">
      <w:pPr>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预算金额（元）：</w:t>
      </w:r>
      <w:r>
        <w:rPr>
          <w:rFonts w:hint="eastAsia" w:ascii="宋体" w:hAnsi="宋体" w:cs="宋体"/>
          <w:bCs/>
          <w:color w:val="auto"/>
          <w:szCs w:val="21"/>
          <w:highlight w:val="none"/>
          <w:u w:val="single"/>
          <w:lang w:val="en-US" w:eastAsia="zh-CN"/>
        </w:rPr>
        <w:t>100</w:t>
      </w:r>
      <w:r>
        <w:rPr>
          <w:rFonts w:hint="eastAsia" w:ascii="宋体" w:hAnsi="宋体" w:eastAsia="宋体" w:cs="宋体"/>
          <w:bCs/>
          <w:color w:val="auto"/>
          <w:szCs w:val="21"/>
          <w:highlight w:val="none"/>
          <w:u w:val="single"/>
        </w:rPr>
        <w:t>0000</w:t>
      </w:r>
    </w:p>
    <w:p w14:paraId="00FABB0C">
      <w:pPr>
        <w:spacing w:line="360" w:lineRule="auto"/>
        <w:ind w:firstLine="420" w:firstLineChars="200"/>
        <w:rPr>
          <w:rFonts w:hint="eastAsia" w:ascii="宋体" w:hAnsi="宋体" w:eastAsia="宋体" w:cs="宋体"/>
          <w:bCs/>
          <w:color w:val="auto"/>
          <w:szCs w:val="21"/>
          <w:highlight w:val="none"/>
          <w:u w:val="none"/>
          <w:lang w:val="en-US" w:eastAsia="zh-CN"/>
        </w:rPr>
      </w:pPr>
      <w:r>
        <w:rPr>
          <w:rFonts w:hint="eastAsia" w:ascii="宋体" w:hAnsi="宋体" w:eastAsia="宋体" w:cs="宋体"/>
          <w:bCs/>
          <w:color w:val="auto"/>
          <w:szCs w:val="21"/>
          <w:highlight w:val="none"/>
          <w:u w:val="none"/>
        </w:rPr>
        <w:t>最高限价（元）：</w:t>
      </w:r>
      <w:r>
        <w:rPr>
          <w:rFonts w:hint="eastAsia" w:ascii="宋体" w:hAnsi="宋体" w:cs="宋体"/>
          <w:bCs/>
          <w:color w:val="auto"/>
          <w:szCs w:val="21"/>
          <w:highlight w:val="none"/>
          <w:u w:val="single"/>
          <w:lang w:val="en-US" w:eastAsia="zh-CN"/>
        </w:rPr>
        <w:t>100</w:t>
      </w:r>
      <w:r>
        <w:rPr>
          <w:rFonts w:hint="eastAsia" w:ascii="宋体" w:hAnsi="宋体" w:eastAsia="宋体" w:cs="宋体"/>
          <w:bCs/>
          <w:color w:val="auto"/>
          <w:szCs w:val="21"/>
          <w:highlight w:val="none"/>
          <w:u w:val="single"/>
        </w:rPr>
        <w:t>0000</w:t>
      </w:r>
    </w:p>
    <w:p w14:paraId="11876D22">
      <w:pPr>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采购需求：</w:t>
      </w:r>
    </w:p>
    <w:p w14:paraId="58BAAD6C">
      <w:pPr>
        <w:spacing w:line="360" w:lineRule="auto"/>
        <w:ind w:firstLine="420" w:firstLineChars="200"/>
        <w:rPr>
          <w:rFonts w:hint="eastAsia" w:ascii="宋体" w:hAnsi="宋体" w:cs="宋体"/>
          <w:bCs/>
          <w:color w:val="auto"/>
          <w:szCs w:val="21"/>
          <w:highlight w:val="none"/>
          <w:u w:val="single"/>
          <w:lang w:eastAsia="zh-CN"/>
        </w:rPr>
      </w:pPr>
      <w:r>
        <w:rPr>
          <w:rFonts w:hint="eastAsia" w:ascii="宋体" w:hAnsi="宋体" w:cs="宋体"/>
          <w:bCs/>
          <w:color w:val="auto"/>
          <w:szCs w:val="21"/>
          <w:highlight w:val="none"/>
        </w:rPr>
        <w:t>标项名称：</w:t>
      </w:r>
      <w:r>
        <w:rPr>
          <w:rFonts w:hint="eastAsia" w:ascii="宋体" w:hAnsi="宋体" w:cs="宋体"/>
          <w:bCs/>
          <w:color w:val="auto"/>
          <w:szCs w:val="21"/>
          <w:highlight w:val="none"/>
          <w:u w:val="single"/>
          <w:lang w:eastAsia="zh-CN"/>
        </w:rPr>
        <w:t>高新区人才人力大厦设备及其他附属采购项目</w:t>
      </w:r>
    </w:p>
    <w:p w14:paraId="05FA676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数量：1</w:t>
      </w:r>
    </w:p>
    <w:p w14:paraId="082BD887">
      <w:pPr>
        <w:spacing w:line="360" w:lineRule="auto"/>
        <w:ind w:firstLine="420" w:firstLineChars="200"/>
        <w:rPr>
          <w:rFonts w:hint="default" w:ascii="宋体" w:hAnsi="宋体" w:cs="宋体"/>
          <w:bCs/>
          <w:color w:val="auto"/>
          <w:szCs w:val="21"/>
          <w:highlight w:val="none"/>
          <w:lang w:val="en-US"/>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u w:val="single"/>
          <w:lang w:val="en-US" w:eastAsia="zh-CN"/>
        </w:rPr>
        <w:t>1000000</w:t>
      </w:r>
    </w:p>
    <w:p w14:paraId="4D581FA3">
      <w:pPr>
        <w:spacing w:line="360" w:lineRule="auto"/>
        <w:ind w:firstLine="420" w:firstLineChars="200"/>
        <w:rPr>
          <w:rFonts w:hint="eastAsia" w:ascii="宋体" w:hAnsi="宋体" w:cs="宋体"/>
          <w:bCs/>
          <w:color w:val="auto"/>
          <w:szCs w:val="21"/>
          <w:highlight w:val="none"/>
        </w:rPr>
      </w:pPr>
      <w:r>
        <w:rPr>
          <w:rFonts w:hint="eastAsia" w:ascii="宋体" w:hAnsi="宋体" w:eastAsia="宋体" w:cs="宋体"/>
          <w:bCs/>
          <w:color w:val="auto"/>
          <w:szCs w:val="21"/>
          <w:highlight w:val="none"/>
          <w:u w:val="none"/>
        </w:rPr>
        <w:t>最高限价（元）：</w:t>
      </w:r>
      <w:r>
        <w:rPr>
          <w:rFonts w:hint="eastAsia" w:ascii="宋体" w:hAnsi="宋体" w:cs="宋体"/>
          <w:bCs/>
          <w:color w:val="auto"/>
          <w:szCs w:val="21"/>
          <w:highlight w:val="none"/>
          <w:u w:val="single"/>
          <w:lang w:val="en-US" w:eastAsia="zh-CN"/>
        </w:rPr>
        <w:t>100</w:t>
      </w:r>
      <w:r>
        <w:rPr>
          <w:rFonts w:hint="eastAsia" w:ascii="宋体" w:hAnsi="宋体" w:eastAsia="宋体" w:cs="宋体"/>
          <w:bCs/>
          <w:color w:val="auto"/>
          <w:szCs w:val="21"/>
          <w:highlight w:val="none"/>
          <w:u w:val="single"/>
        </w:rPr>
        <w:t>0000</w:t>
      </w:r>
    </w:p>
    <w:p w14:paraId="0D2DC3E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简要规格描述或项目基本概况介绍、用途：具体以招标文件第三部分采购需求为准，供应商可点击本公告下方“浏览采购文件”查看采购需求。</w:t>
      </w:r>
    </w:p>
    <w:p w14:paraId="6D9A26DB">
      <w:pPr>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rPr>
        <w:t>合同履约期限：</w:t>
      </w:r>
      <w:r>
        <w:rPr>
          <w:rFonts w:hint="eastAsia" w:ascii="宋体" w:hAnsi="宋体" w:cs="宋体"/>
          <w:color w:val="auto"/>
          <w:sz w:val="21"/>
          <w:szCs w:val="21"/>
          <w:highlight w:val="none"/>
          <w:u w:val="single"/>
          <w:lang w:val="en-US" w:eastAsia="zh-CN"/>
        </w:rPr>
        <w:t>签订合同后40个日历天内完成。</w:t>
      </w:r>
    </w:p>
    <w:p w14:paraId="5499121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本项目接受联合体投标：</w:t>
      </w:r>
      <w:sdt>
        <w:sdtPr>
          <w:rPr>
            <w:rFonts w:hint="eastAsia" w:ascii="宋体" w:hAnsi="宋体" w:eastAsia="宋体" w:cs="宋体"/>
            <w:bCs/>
            <w:color w:val="auto"/>
            <w:kern w:val="0"/>
            <w:szCs w:val="21"/>
            <w:highlight w:val="none"/>
          </w:rPr>
          <w:id w:val="2035453831"/>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A8"/>
          </w:r>
        </w:sdtContent>
      </w:sdt>
      <w:r>
        <w:rPr>
          <w:rFonts w:hint="eastAsia" w:ascii="宋体" w:hAnsi="宋体" w:eastAsia="宋体" w:cs="宋体"/>
          <w:bCs/>
          <w:color w:val="auto"/>
          <w:szCs w:val="21"/>
          <w:highlight w:val="none"/>
        </w:rPr>
        <w:t>是，</w:t>
      </w:r>
      <w:sdt>
        <w:sdtPr>
          <w:rPr>
            <w:rFonts w:hint="eastAsia" w:ascii="宋体" w:hAnsi="宋体" w:eastAsia="宋体" w:cs="宋体"/>
            <w:bCs/>
            <w:color w:val="auto"/>
            <w:kern w:val="0"/>
            <w:szCs w:val="21"/>
            <w:highlight w:val="none"/>
          </w:rPr>
          <w:id w:val="-1765526721"/>
        </w:sdtPr>
        <w:sdtEndPr>
          <w:rPr>
            <w:rFonts w:hint="eastAsia" w:ascii="宋体" w:hAnsi="宋体" w:eastAsia="宋体" w:cs="宋体"/>
            <w:bCs/>
            <w:color w:val="auto"/>
            <w:kern w:val="0"/>
            <w:szCs w:val="21"/>
            <w:highlight w:val="none"/>
          </w:rPr>
        </w:sdtEndPr>
        <w:sdtContent>
          <w:sdt>
            <w:sdtPr>
              <w:rPr>
                <w:rFonts w:hint="eastAsia" w:ascii="宋体" w:hAnsi="宋体" w:eastAsia="宋体" w:cs="宋体"/>
                <w:bCs/>
                <w:color w:val="auto"/>
                <w:kern w:val="0"/>
                <w:szCs w:val="21"/>
                <w:highlight w:val="none"/>
              </w:rPr>
              <w:id w:val="1928616923"/>
            </w:sdtPr>
            <w:sdtEndPr>
              <w:rPr>
                <w:rFonts w:hint="eastAsia" w:ascii="宋体" w:hAnsi="宋体" w:eastAsia="宋体" w:cs="宋体"/>
                <w:bCs/>
                <w:color w:val="auto"/>
                <w:kern w:val="0"/>
                <w:szCs w:val="21"/>
                <w:highlight w:val="none"/>
              </w:rPr>
            </w:sdtEndPr>
            <w:sdtContent>
              <w:r>
                <w:rPr>
                  <w:rFonts w:hint="eastAsia" w:ascii="宋体" w:hAnsi="宋体" w:eastAsia="宋体" w:cs="宋体"/>
                  <w:bCs/>
                  <w:color w:val="auto"/>
                  <w:kern w:val="0"/>
                  <w:szCs w:val="21"/>
                  <w:highlight w:val="none"/>
                </w:rPr>
                <w:sym w:font="Wingdings" w:char="00FE"/>
              </w:r>
            </w:sdtContent>
          </w:sdt>
        </w:sdtContent>
      </w:sdt>
      <w:r>
        <w:rPr>
          <w:rFonts w:hint="eastAsia" w:ascii="宋体" w:hAnsi="宋体" w:eastAsia="宋体" w:cs="宋体"/>
          <w:bCs/>
          <w:color w:val="auto"/>
          <w:szCs w:val="21"/>
          <w:highlight w:val="none"/>
        </w:rPr>
        <w:t>否</w:t>
      </w:r>
      <w:r>
        <w:rPr>
          <w:rFonts w:hint="eastAsia" w:ascii="宋体" w:hAnsi="宋体" w:eastAsia="宋体" w:cs="宋体"/>
          <w:bCs/>
          <w:color w:val="auto"/>
          <w:kern w:val="0"/>
          <w:szCs w:val="21"/>
          <w:highlight w:val="none"/>
        </w:rPr>
        <w:t>。</w:t>
      </w:r>
    </w:p>
    <w:p w14:paraId="4489F746">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2F8B1FDD">
      <w:pPr>
        <w:wordWrap w:val="0"/>
        <w:spacing w:line="360" w:lineRule="auto"/>
        <w:ind w:firstLine="482"/>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1367980">
      <w:pPr>
        <w:spacing w:line="360" w:lineRule="auto"/>
        <w:rPr>
          <w:rFonts w:hint="eastAsia" w:ascii="宋体" w:hAnsi="宋体" w:eastAsia="宋体" w:cs="宋体"/>
          <w:snapToGrid w:val="0"/>
          <w:color w:val="auto"/>
          <w:kern w:val="28"/>
          <w:szCs w:val="21"/>
          <w:highlight w:val="none"/>
          <w:lang w:val="en-US" w:eastAsia="zh-CN"/>
        </w:rPr>
      </w:pPr>
      <w:r>
        <w:rPr>
          <w:rFonts w:hint="eastAsia" w:ascii="宋体" w:hAnsi="宋体" w:eastAsia="宋体" w:cs="宋体"/>
          <w:snapToGrid w:val="0"/>
          <w:color w:val="auto"/>
          <w:kern w:val="28"/>
          <w:szCs w:val="21"/>
          <w:highlight w:val="none"/>
        </w:rPr>
        <w:t xml:space="preserve">    </w:t>
      </w:r>
      <w:r>
        <w:rPr>
          <w:rFonts w:hint="eastAsia" w:ascii="宋体" w:hAnsi="宋体" w:eastAsia="宋体" w:cs="宋体"/>
          <w:snapToGrid w:val="0"/>
          <w:color w:val="auto"/>
          <w:kern w:val="28"/>
          <w:szCs w:val="21"/>
          <w:highlight w:val="none"/>
          <w:lang w:val="en-US" w:eastAsia="zh-CN"/>
        </w:rPr>
        <w:t>2.以联合体形式投标的，提供联合协议(本项目不接受联合体投标或者投标人不以联合体形式投标的，则不需要提供) ；</w:t>
      </w:r>
    </w:p>
    <w:p w14:paraId="0CF0A01B">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lang w:val="en-US" w:eastAsia="zh-CN"/>
        </w:rPr>
        <w:t>3</w:t>
      </w:r>
      <w:r>
        <w:rPr>
          <w:rFonts w:hint="eastAsia" w:ascii="宋体" w:hAnsi="宋体" w:eastAsia="宋体" w:cs="宋体"/>
          <w:snapToGrid w:val="0"/>
          <w:color w:val="auto"/>
          <w:kern w:val="28"/>
          <w:szCs w:val="21"/>
          <w:highlight w:val="none"/>
        </w:rPr>
        <w:t>.落实政府采购政策需满足的资格要求：</w:t>
      </w:r>
    </w:p>
    <w:sdt>
      <w:sdtPr>
        <w:rPr>
          <w:rFonts w:hint="eastAsia" w:ascii="宋体" w:hAnsi="宋体" w:eastAsia="宋体" w:cs="宋体"/>
          <w:color w:val="auto"/>
          <w:kern w:val="0"/>
          <w:szCs w:val="21"/>
          <w:highlight w:val="none"/>
        </w:rPr>
        <w:id w:val="-1361431184"/>
      </w:sdtPr>
      <w:sdtEndPr>
        <w:rPr>
          <w:rFonts w:hint="eastAsia" w:ascii="宋体" w:hAnsi="宋体" w:eastAsia="宋体" w:cs="宋体"/>
          <w:color w:val="auto"/>
          <w:kern w:val="0"/>
          <w:szCs w:val="21"/>
          <w:highlight w:val="none"/>
        </w:rPr>
      </w:sdtEndPr>
      <w:sdtContent>
        <w:p w14:paraId="4B6861FC">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777057702"/>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color w:val="auto"/>
              <w:szCs w:val="21"/>
              <w:highlight w:val="none"/>
            </w:rPr>
            <w:t xml:space="preserve">无； </w:t>
          </w:r>
        </w:p>
        <w:p w14:paraId="103258F1">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024704304"/>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专</w:t>
          </w:r>
          <w:r>
            <w:rPr>
              <w:rFonts w:hint="eastAsia" w:ascii="宋体" w:hAnsi="宋体" w:eastAsia="宋体" w:cs="宋体"/>
              <w:color w:val="auto"/>
              <w:szCs w:val="21"/>
              <w:highlight w:val="none"/>
            </w:rPr>
            <w:t>门面向中小企业</w:t>
          </w:r>
        </w:p>
        <w:p w14:paraId="3DE12379">
          <w:pPr>
            <w:spacing w:line="360" w:lineRule="auto"/>
            <w:ind w:firstLine="840" w:firstLineChars="4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333685401"/>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202788315"/>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货物全部由符合政策要求的中小企业制造，提供中小企业声明函</w:t>
                  </w:r>
                </w:sdtContent>
              </w:sdt>
            </w:sdtContent>
          </w:sdt>
          <w:r>
            <w:rPr>
              <w:rFonts w:hint="eastAsia" w:ascii="宋体" w:hAnsi="宋体" w:eastAsia="宋体" w:cs="宋体"/>
              <w:color w:val="auto"/>
              <w:szCs w:val="21"/>
              <w:highlight w:val="none"/>
            </w:rPr>
            <w:t>；</w:t>
          </w:r>
        </w:p>
        <w:p w14:paraId="567C603A">
          <w:pPr>
            <w:spacing w:line="360" w:lineRule="auto"/>
            <w:ind w:firstLine="840" w:firstLineChars="400"/>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29960444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
            <w:sdtPr>
              <w:rPr>
                <w:rFonts w:hint="eastAsia" w:ascii="宋体" w:hAnsi="宋体" w:eastAsia="宋体" w:cs="宋体"/>
                <w:color w:val="auto"/>
                <w:kern w:val="0"/>
                <w:szCs w:val="21"/>
                <w:highlight w:val="none"/>
              </w:rPr>
              <w:id w:val="-2141025358"/>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t>货物全部由符合政策要求的小微企业制造，提供中小企业声明函</w:t>
              </w:r>
            </w:sdtContent>
          </w:sdt>
          <w:r>
            <w:rPr>
              <w:rFonts w:hint="eastAsia" w:ascii="宋体" w:hAnsi="宋体" w:eastAsia="宋体" w:cs="宋体"/>
              <w:color w:val="auto"/>
              <w:szCs w:val="21"/>
              <w:highlight w:val="none"/>
            </w:rPr>
            <w:t>；</w:t>
          </w:r>
        </w:p>
      </w:sdtContent>
    </w:sdt>
    <w:p w14:paraId="7D773F2D">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252388141"/>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64473"/>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szCs w:val="21"/>
          <w:highlight w:val="none"/>
        </w:rPr>
        <w:t>要求以联合体形式参加，提供联合协议和中小企业声明函，联合协议中中小企业合同金额应当达到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如果供应商本身提供所有标的均由中小企业制造、承建或承接，视同符合了资格条件，无需再与其他中小企业组成联合体参加政府采购活动，无需提供联合协议；</w:t>
      </w:r>
    </w:p>
    <w:p w14:paraId="776CCBFC">
      <w:pPr>
        <w:spacing w:line="360" w:lineRule="auto"/>
        <w:ind w:firstLine="420" w:firstLineChars="200"/>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167755400"/>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7681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szCs w:val="21"/>
          <w:highlight w:val="none"/>
        </w:rPr>
        <w:t>要求合同分包，提供分包意向协议和中小企业声明函，分包意向协议中中小企业合同金额应当达到达到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小微企业合同金额应当达到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如果供应商本身提供所有标的均由中小企业制造、承建或承接，视同符合了资格条件，无需再向中小企业分包，无需提供分包意向协议；</w:t>
      </w:r>
    </w:p>
    <w:p w14:paraId="20B613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4.本项目的特定资格要求：</w:t>
      </w:r>
    </w:p>
    <w:p w14:paraId="2333C9D3">
      <w:pPr>
        <w:spacing w:line="360" w:lineRule="auto"/>
        <w:ind w:firstLine="420" w:firstLineChars="200"/>
        <w:rPr>
          <w:rFonts w:ascii="宋体" w:hAnsi="宋体" w:cs="宋体"/>
          <w:color w:val="auto"/>
          <w:kern w:val="0"/>
          <w:szCs w:val="21"/>
          <w:highlight w:val="none"/>
        </w:rPr>
      </w:pPr>
      <w:sdt>
        <w:sdtPr>
          <w:rPr>
            <w:rFonts w:hint="eastAsia" w:ascii="宋体" w:hAnsi="宋体" w:cs="宋体"/>
            <w:color w:val="auto"/>
            <w:kern w:val="0"/>
            <w:szCs w:val="21"/>
            <w:highlight w:val="none"/>
          </w:rPr>
          <w:id w:val="103308144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无。</w:t>
      </w:r>
    </w:p>
    <w:p w14:paraId="4DDCBECE">
      <w:pPr>
        <w:spacing w:line="360" w:lineRule="auto"/>
        <w:ind w:firstLine="420" w:firstLineChars="200"/>
        <w:rPr>
          <w:rFonts w:hint="eastAsia" w:ascii="宋体" w:hAnsi="宋体" w:eastAsia="宋体" w:cs="宋体"/>
          <w:b/>
          <w:bCs/>
          <w:color w:val="auto"/>
          <w:szCs w:val="21"/>
          <w:highlight w:val="none"/>
        </w:rPr>
      </w:pPr>
      <w:sdt>
        <w:sdtPr>
          <w:rPr>
            <w:rFonts w:hint="eastAsia" w:ascii="宋体" w:hAnsi="宋体" w:cs="宋体"/>
            <w:color w:val="auto"/>
            <w:kern w:val="0"/>
            <w:szCs w:val="21"/>
            <w:highlight w:val="none"/>
          </w:rPr>
          <w:id w:val="76126335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0"/>
          <w:szCs w:val="21"/>
          <w:highlight w:val="none"/>
        </w:rPr>
        <w:t>有特定资格要求：</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，该特定条件的法律法规依据：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C67158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.单位负责人为同一人或者存在直接控股、管理关系的不同供应商，不得参加同一合同项下的政府采购活动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为采购项目提供整体设计、规范编制或者项目管理、监理、检测等服务后不得再参加该采购项目的其他采购活动。</w:t>
      </w:r>
    </w:p>
    <w:p w14:paraId="4C34CED2">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59BCD0A7">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时间：</w:t>
      </w:r>
      <w:r>
        <w:rPr>
          <w:rFonts w:hint="eastAsia" w:ascii="宋体" w:hAnsi="宋体" w:eastAsia="宋体" w:cs="宋体"/>
          <w:color w:val="auto"/>
          <w:szCs w:val="21"/>
          <w:highlight w:val="none"/>
          <w:u w:val="none"/>
        </w:rPr>
        <w:t>/至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，每天上午00:00至12:00 ，下午12:00至23:59（北京时间，线上获取法定节假日均可，线下获取文件法定节假日除外）</w:t>
      </w:r>
    </w:p>
    <w:p w14:paraId="013E6F71">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地点（网址）：</w:t>
      </w:r>
      <w:r>
        <w:rPr>
          <w:rFonts w:hint="eastAsia" w:ascii="宋体" w:hAnsi="宋体" w:eastAsia="宋体" w:cs="宋体"/>
          <w:color w:val="auto"/>
          <w:szCs w:val="21"/>
          <w:highlight w:val="none"/>
        </w:rPr>
        <w:t xml:space="preserve">政采云平台（https://www.zcygov.cn/） </w:t>
      </w:r>
    </w:p>
    <w:p w14:paraId="2BDAC556">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方式：</w:t>
      </w:r>
      <w:r>
        <w:rPr>
          <w:rFonts w:hint="eastAsia" w:ascii="宋体" w:hAnsi="宋体" w:eastAsia="宋体" w:cs="宋体"/>
          <w:color w:val="auto"/>
          <w:szCs w:val="21"/>
          <w:highlight w:val="none"/>
        </w:rPr>
        <w:t>供应商登录政采云平台https://www.zcygov.cn/在线申请获取采购文件（进入“项目采购”应用，在获取采购文件菜单中选择项目，申请获取采购文件）。</w:t>
      </w:r>
    </w:p>
    <w:p w14:paraId="7A801A46">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售价（元）：</w:t>
      </w:r>
      <w:r>
        <w:rPr>
          <w:rFonts w:hint="eastAsia" w:ascii="宋体" w:hAnsi="宋体" w:cs="宋体"/>
          <w:color w:val="auto"/>
          <w:szCs w:val="21"/>
          <w:highlight w:val="none"/>
          <w:lang w:val="en-US" w:eastAsia="zh-CN"/>
        </w:rPr>
        <w:t>免费</w:t>
      </w:r>
      <w:r>
        <w:rPr>
          <w:rFonts w:hint="eastAsia" w:ascii="宋体" w:hAnsi="宋体" w:eastAsia="宋体" w:cs="宋体"/>
          <w:color w:val="auto"/>
          <w:szCs w:val="21"/>
          <w:highlight w:val="none"/>
        </w:rPr>
        <w:t xml:space="preserve"> </w:t>
      </w:r>
    </w:p>
    <w:p w14:paraId="2AEBB92E">
      <w:pPr>
        <w:keepNext w:val="0"/>
        <w:keepLines w:val="0"/>
        <w:pageBreakBefore w:val="0"/>
        <w:widowControl w:val="0"/>
        <w:kinsoku/>
        <w:wordWrap w:val="0"/>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四、提交投标文件截止时间、开标时间和地点</w:t>
      </w:r>
    </w:p>
    <w:p w14:paraId="30748063">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提交投标文件截止时间：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（北京时间）</w:t>
      </w:r>
    </w:p>
    <w:p w14:paraId="1282C73D">
      <w:pPr>
        <w:wordWrap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投标地点（网址）：</w:t>
      </w:r>
      <w:r>
        <w:rPr>
          <w:rFonts w:hint="eastAsia" w:ascii="宋体" w:hAnsi="宋体" w:eastAsia="宋体" w:cs="宋体"/>
          <w:color w:val="auto"/>
          <w:szCs w:val="21"/>
          <w:highlight w:val="none"/>
        </w:rPr>
        <w:t xml:space="preserve">政采云平台（https://www.zcygov.cn/） </w:t>
      </w:r>
    </w:p>
    <w:p w14:paraId="5D84202B">
      <w:pPr>
        <w:wordWrap w:val="0"/>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开标时间：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p>
    <w:p w14:paraId="5ED722BD">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开标地点（网址）：</w:t>
      </w:r>
      <w:r>
        <w:rPr>
          <w:rFonts w:hint="eastAsia" w:ascii="宋体" w:hAnsi="宋体" w:eastAsia="宋体" w:cs="宋体"/>
          <w:color w:val="auto"/>
          <w:szCs w:val="21"/>
          <w:highlight w:val="none"/>
        </w:rPr>
        <w:t>政采云平台（https://www.zcygov.cn/）</w:t>
      </w:r>
    </w:p>
    <w:p w14:paraId="1D08634F">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、采购意向公开</w:t>
      </w:r>
    </w:p>
    <w:p w14:paraId="6BF85205">
      <w:pPr>
        <w:wordWrap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采购意向公开链接：</w:t>
      </w:r>
      <w:r>
        <w:rPr>
          <w:rFonts w:hint="eastAsia" w:ascii="宋体" w:hAnsi="宋体" w:cs="宋体"/>
          <w:color w:val="auto"/>
          <w:szCs w:val="21"/>
          <w:highlight w:val="none"/>
          <w:u w:val="single"/>
          <w:lang w:val="en-US" w:eastAsia="zh-CN"/>
        </w:rPr>
        <w:t>https://zfcg.czt.zj.gov.cn/site/detail?parentId=600007&amp;articleId=rG0EPvXtG5QGRMDhfRfVDQ%3D%3D</w:t>
      </w:r>
      <w:r>
        <w:rPr>
          <w:rFonts w:hint="eastAsia" w:ascii="宋体" w:hAnsi="宋体" w:eastAsia="宋体" w:cs="宋体"/>
          <w:color w:val="auto"/>
          <w:szCs w:val="21"/>
          <w:highlight w:val="none"/>
          <w:u w:val="none"/>
          <w:lang w:val="en-US" w:eastAsia="zh-CN"/>
        </w:rPr>
        <w:t xml:space="preserve">     </w:t>
      </w:r>
    </w:p>
    <w:p w14:paraId="521BC4E2">
      <w:pPr>
        <w:spacing w:line="360" w:lineRule="auto"/>
        <w:ind w:firstLine="420" w:firstLineChars="200"/>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发布时间：</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年</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en-US" w:eastAsia="zh-CN"/>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日</w:t>
      </w:r>
    </w:p>
    <w:p w14:paraId="3757A88A">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六、公告期限</w:t>
      </w:r>
    </w:p>
    <w:p w14:paraId="08476905">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2455D2C9">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七、其他补充事宜</w:t>
      </w:r>
    </w:p>
    <w:p w14:paraId="4048D070">
      <w:pPr>
        <w:wordWrap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Pr>
          <w:rFonts w:hint="eastAsia" w:ascii="宋体" w:hAnsi="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https://jinrong.zcygov.cn/finance-service/#/home。</w:t>
      </w:r>
    </w:p>
    <w:p w14:paraId="57093B9D">
      <w:pPr>
        <w:wordWrap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3B0230B">
      <w:pPr>
        <w:wordWrap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400C9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295E7C">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5.其他事项：</w:t>
      </w:r>
    </w:p>
    <w:p w14:paraId="51EB59FE">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需要落实的政府采购政策：包括节约资源、保护环境、支持创新、促进中小企业发展等。详见招标文件的第二部分总则。</w:t>
      </w:r>
    </w:p>
    <w:p w14:paraId="3A70373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电子招投标的说明：</w:t>
      </w:r>
    </w:p>
    <w:p w14:paraId="4E7FC337">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①电子招投标：本项目以数据电文形式，依托“政府采购云平台（www.zcygov.cn）”进行招投标活动，不接受纸质投标文件；</w:t>
      </w:r>
    </w:p>
    <w:p w14:paraId="5CA53CDF">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color w:val="auto"/>
          <w:szCs w:val="21"/>
          <w:highlight w:val="none"/>
          <w:lang w:eastAsia="zh-CN"/>
        </w:rPr>
        <w:t>。</w:t>
      </w:r>
    </w:p>
    <w:p w14:paraId="623CA10B">
      <w:pPr>
        <w:keepNext w:val="0"/>
        <w:keepLines w:val="0"/>
        <w:pageBreakBefore w:val="0"/>
        <w:widowControl w:val="0"/>
        <w:kinsoku/>
        <w:wordWrap w:val="0"/>
        <w:overflowPunct/>
        <w:topLinePunct w:val="0"/>
        <w:autoSpaceDE/>
        <w:autoSpaceDN w:val="0"/>
        <w:bidi w:val="0"/>
        <w:adjustRightInd w:val="0"/>
        <w:snapToGrid/>
        <w:spacing w:line="360"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CA驱动和申领流程</w:t>
      </w:r>
    </w:p>
    <w:p w14:paraId="1C3EDEFD">
      <w:pPr>
        <w:keepNext w:val="0"/>
        <w:keepLines w:val="0"/>
        <w:pageBreakBefore w:val="0"/>
        <w:widowControl w:val="0"/>
        <w:kinsoku/>
        <w:wordWrap w:val="0"/>
        <w:overflowPunct/>
        <w:topLinePunct w:val="0"/>
        <w:autoSpaceDE/>
        <w:autoSpaceDN w:val="0"/>
        <w:bidi w:val="0"/>
        <w:adjustRightInd w:val="0"/>
        <w:snapToGrid/>
        <w:spacing w:line="360"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https://zfcg.czt.zj.gov.cn/bidClientTemplate/2019-05-27/12945.html    </w:t>
      </w:r>
    </w:p>
    <w:p w14:paraId="6453A879">
      <w:pPr>
        <w:keepNext w:val="0"/>
        <w:keepLines w:val="0"/>
        <w:pageBreakBefore w:val="0"/>
        <w:widowControl w:val="0"/>
        <w:kinsoku/>
        <w:wordWrap w:val="0"/>
        <w:overflowPunct/>
        <w:topLinePunct w:val="0"/>
        <w:autoSpaceDE/>
        <w:autoSpaceDN w:val="0"/>
        <w:bidi w:val="0"/>
        <w:adjustRightInd w:val="0"/>
        <w:snapToGrid/>
        <w:spacing w:line="360"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注：CA证书遗失补办、延期、解锁、质保等业务可以在联连客户端上进行操作；使用政采云投标客户端时，建议使用windows7以上且64位的操作系统。</w:t>
      </w:r>
    </w:p>
    <w:p w14:paraId="112F51A7">
      <w:pPr>
        <w:keepNext w:val="0"/>
        <w:keepLines w:val="0"/>
        <w:pageBreakBefore w:val="0"/>
        <w:widowControl w:val="0"/>
        <w:kinsoku/>
        <w:wordWrap w:val="0"/>
        <w:overflowPunct/>
        <w:topLinePunct w:val="0"/>
        <w:autoSpaceDE/>
        <w:autoSpaceDN w:val="0"/>
        <w:bidi w:val="0"/>
        <w:adjustRightInd w:val="0"/>
        <w:snapToGrid/>
        <w:spacing w:line="360"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CA证书办理操作视频</w:t>
      </w:r>
    </w:p>
    <w:p w14:paraId="7E92E65C">
      <w:pPr>
        <w:keepNext w:val="0"/>
        <w:keepLines w:val="0"/>
        <w:pageBreakBefore w:val="0"/>
        <w:widowControl w:val="0"/>
        <w:kinsoku/>
        <w:wordWrap w:val="0"/>
        <w:overflowPunct/>
        <w:topLinePunct w:val="0"/>
        <w:autoSpaceDE/>
        <w:autoSpaceDN w:val="0"/>
        <w:bidi w:val="0"/>
        <w:adjustRightInd w:val="0"/>
        <w:snapToGrid/>
        <w:spacing w:line="360"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https://service.zcygov.cn/#/knowledges/UgcbC3EBiyELHE-opz1b/EWqqyXEByNnJ3A2CPyDI</w:t>
      </w:r>
    </w:p>
    <w:p w14:paraId="142B13BA">
      <w:pPr>
        <w:keepNext w:val="0"/>
        <w:keepLines w:val="0"/>
        <w:pageBreakBefore w:val="0"/>
        <w:widowControl w:val="0"/>
        <w:kinsoku/>
        <w:wordWrap w:val="0"/>
        <w:overflowPunct/>
        <w:topLinePunct w:val="0"/>
        <w:autoSpaceDE/>
        <w:autoSpaceDN w:val="0"/>
        <w:bidi w:val="0"/>
        <w:adjustRightInd w:val="0"/>
        <w:snapToGrid/>
        <w:spacing w:line="360"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CA绑定登录操作视频</w:t>
      </w:r>
    </w:p>
    <w:p w14:paraId="53FB1E57">
      <w:pPr>
        <w:keepNext w:val="0"/>
        <w:keepLines w:val="0"/>
        <w:pageBreakBefore w:val="0"/>
        <w:widowControl w:val="0"/>
        <w:kinsoku/>
        <w:wordWrap w:val="0"/>
        <w:overflowPunct/>
        <w:topLinePunct w:val="0"/>
        <w:autoSpaceDE/>
        <w:autoSpaceDN w:val="0"/>
        <w:bidi w:val="0"/>
        <w:adjustRightInd w:val="0"/>
        <w:snapToGrid/>
        <w:spacing w:line="360" w:lineRule="auto"/>
        <w:ind w:firstLine="39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https://service.zcygov.cn/#/knowledges/UgcbC3EBiyELHE-opz1b/nAkmyXEBiyELHE-o-983</w:t>
      </w:r>
    </w:p>
    <w:p w14:paraId="52E6F9DC">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③招标文件的获取：使用账号登录或者使用CA登录政采云平台；进入“项目采购”应用，在获取采购文件菜单中选择项目，获取招标文件；</w:t>
      </w:r>
    </w:p>
    <w:p w14:paraId="0F452B6E">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④投标文件的制作：在“政采云电子交易客户端”中完成“填写基本信息”、“导入投标文件”、“标书关联”、“标书检查”、“电子签名”、“生成电子标书”等操作；</w:t>
      </w:r>
    </w:p>
    <w:p w14:paraId="3ED9CA8A">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⑤采购人、采购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机构将依托政采云平台完成本项目的电子交易活动，平台不接受未按上述方式获取招标文件的供应商进行投标活动；</w:t>
      </w:r>
    </w:p>
    <w:p w14:paraId="2AA879D5">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⑥对未按上述方式获取招标文件的供应商对该文件提出的质疑，采购人或采购代理机构将不予处理；</w:t>
      </w:r>
    </w:p>
    <w:p w14:paraId="2D12E4B9">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⑦不提供招标文件纸质版；</w:t>
      </w:r>
    </w:p>
    <w:p w14:paraId="75269786">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3CCDB61">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2D19DF44">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"https://edu.zcygov.cn/luban/e-biding"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https://edu.zcygov.cn/luban/e-biding</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045EC91">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招标文件公告期限与招标公告的公告期限一致。</w:t>
      </w:r>
    </w:p>
    <w:p w14:paraId="1885BA6E">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八、对本次采购提出询问、质疑、投诉，请按以下方式联系</w:t>
      </w:r>
    </w:p>
    <w:p w14:paraId="0D060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4FBF6FB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cs="宋体"/>
          <w:color w:val="auto"/>
          <w:szCs w:val="21"/>
          <w:highlight w:val="none"/>
          <w:lang w:val="en-US" w:eastAsia="zh-CN"/>
        </w:rPr>
        <w:t>嘉兴市秀洲区人民政府高照街道办事处</w:t>
      </w:r>
    </w:p>
    <w:p w14:paraId="2122F5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址：嘉兴市康和路1288号</w:t>
      </w:r>
    </w:p>
    <w:p w14:paraId="0D5C2A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w:t>
      </w:r>
    </w:p>
    <w:p w14:paraId="271C12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cs="宋体"/>
          <w:color w:val="auto"/>
          <w:szCs w:val="21"/>
          <w:highlight w:val="none"/>
          <w:lang w:val="en-US" w:eastAsia="zh-CN"/>
        </w:rPr>
        <w:t>沈小英</w:t>
      </w:r>
    </w:p>
    <w:p w14:paraId="396A30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cs="宋体"/>
          <w:color w:val="auto"/>
          <w:szCs w:val="21"/>
          <w:highlight w:val="none"/>
        </w:rPr>
        <w:t>0573-82790159</w:t>
      </w:r>
    </w:p>
    <w:p w14:paraId="53E38712">
      <w:pPr>
        <w:tabs>
          <w:tab w:val="left" w:pos="3241"/>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u w:val="none"/>
        </w:rPr>
        <w:t>金越瀚</w:t>
      </w:r>
    </w:p>
    <w:p w14:paraId="39A55D68">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质疑联系方式：</w:t>
      </w:r>
      <w:r>
        <w:rPr>
          <w:rFonts w:hint="eastAsia" w:ascii="宋体" w:hAnsi="宋体" w:cs="宋体"/>
          <w:color w:val="auto"/>
          <w:szCs w:val="21"/>
          <w:highlight w:val="none"/>
          <w:u w:val="none"/>
          <w:lang w:val="en-US" w:eastAsia="zh-CN"/>
        </w:rPr>
        <w:t>0573-83599727</w:t>
      </w:r>
    </w:p>
    <w:p w14:paraId="28B259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2.采购代理机构信息            </w:t>
      </w:r>
    </w:p>
    <w:p w14:paraId="29CD8A6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val="en-US" w:eastAsia="zh-CN"/>
        </w:rPr>
        <w:t>浙江槿阳建设管理有限公司</w:t>
      </w:r>
    </w:p>
    <w:p w14:paraId="5955A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地址：嘉兴市秀洲区成秀路205号鼎盛大厦4楼</w:t>
      </w:r>
    </w:p>
    <w:p w14:paraId="4B6D38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2B4E602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cs="宋体"/>
          <w:color w:val="auto"/>
          <w:szCs w:val="21"/>
          <w:highlight w:val="none"/>
          <w:lang w:val="en-US" w:eastAsia="zh-CN"/>
        </w:rPr>
        <w:t>沈勤伟</w:t>
      </w:r>
    </w:p>
    <w:p w14:paraId="469BF97C">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w:t>
      </w:r>
      <w:r>
        <w:rPr>
          <w:rFonts w:hint="eastAsia" w:ascii="宋体" w:hAnsi="宋体" w:cs="宋体"/>
          <w:color w:val="auto"/>
          <w:szCs w:val="21"/>
          <w:highlight w:val="none"/>
        </w:rPr>
        <w:t>0573-838076</w:t>
      </w:r>
      <w:r>
        <w:rPr>
          <w:rFonts w:hint="eastAsia" w:ascii="宋体" w:hAnsi="宋体" w:cs="宋体"/>
          <w:color w:val="auto"/>
          <w:szCs w:val="21"/>
          <w:highlight w:val="none"/>
          <w:lang w:val="en-US" w:eastAsia="zh-CN"/>
        </w:rPr>
        <w:t>72/18069691919</w:t>
      </w:r>
    </w:p>
    <w:p w14:paraId="58D7BF60">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薛玉来</w:t>
      </w:r>
      <w:r>
        <w:rPr>
          <w:rFonts w:hint="eastAsia" w:ascii="宋体" w:hAnsi="宋体" w:cs="宋体"/>
          <w:color w:val="auto"/>
          <w:szCs w:val="21"/>
          <w:highlight w:val="none"/>
          <w:lang w:val="en-US" w:eastAsia="zh-CN"/>
        </w:rPr>
        <w:tab/>
      </w:r>
    </w:p>
    <w:p w14:paraId="62888A6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质疑联系方式：0573-838076</w:t>
      </w:r>
      <w:r>
        <w:rPr>
          <w:rFonts w:hint="eastAsia" w:ascii="宋体" w:hAnsi="宋体" w:cs="宋体"/>
          <w:color w:val="auto"/>
          <w:szCs w:val="21"/>
          <w:highlight w:val="none"/>
          <w:lang w:val="en-US" w:eastAsia="zh-CN"/>
        </w:rPr>
        <w:t>72</w:t>
      </w:r>
    </w:p>
    <w:p w14:paraId="117DCC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3.同级政府采购监督管理部门            </w:t>
      </w:r>
    </w:p>
    <w:p w14:paraId="24A334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cs="宋体"/>
          <w:color w:val="auto"/>
          <w:szCs w:val="21"/>
          <w:highlight w:val="none"/>
        </w:rPr>
        <w:t>嘉兴市</w:t>
      </w:r>
      <w:r>
        <w:rPr>
          <w:rFonts w:hint="eastAsia" w:ascii="宋体" w:hAnsi="宋体" w:cs="宋体"/>
          <w:color w:val="auto"/>
          <w:szCs w:val="21"/>
          <w:highlight w:val="none"/>
          <w:lang w:val="en-US" w:eastAsia="zh-CN"/>
        </w:rPr>
        <w:t>秀洲区</w:t>
      </w:r>
      <w:r>
        <w:rPr>
          <w:rFonts w:hint="eastAsia" w:ascii="宋体" w:hAnsi="宋体" w:cs="宋体"/>
          <w:color w:val="auto"/>
          <w:szCs w:val="21"/>
          <w:highlight w:val="none"/>
        </w:rPr>
        <w:t>财政局</w:t>
      </w:r>
    </w:p>
    <w:p w14:paraId="34995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嘉兴市洪兴路1765号</w:t>
      </w:r>
    </w:p>
    <w:p w14:paraId="025D20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14:paraId="4B62A6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系</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cs="宋体"/>
          <w:color w:val="auto"/>
          <w:szCs w:val="21"/>
          <w:highlight w:val="none"/>
          <w:lang w:val="en-US" w:eastAsia="zh-CN"/>
        </w:rPr>
        <w:t>方先生</w:t>
      </w:r>
    </w:p>
    <w:p w14:paraId="1514BE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w:t>
      </w:r>
      <w:r>
        <w:rPr>
          <w:rFonts w:hint="eastAsia" w:ascii="宋体" w:hAnsi="宋体" w:cs="宋体"/>
          <w:color w:val="auto"/>
          <w:szCs w:val="21"/>
          <w:highlight w:val="none"/>
        </w:rPr>
        <w:t>0573-82720085</w:t>
      </w:r>
    </w:p>
    <w:p w14:paraId="6919D30B">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09984B7">
      <w:pPr>
        <w:wordWrap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CA问题联系电话（人工）：汇信CA 400-888-4636；天谷CA 400-087-8198。</w:t>
      </w:r>
    </w:p>
    <w:p w14:paraId="35FFFA52">
      <w:pPr>
        <w:adjustRightInd/>
        <w:spacing w:before="240" w:beforeLines="100" w:after="240" w:afterLines="100" w:line="360" w:lineRule="auto"/>
        <w:jc w:val="center"/>
        <w:outlineLvl w:val="0"/>
        <w:rPr>
          <w:rFonts w:hint="eastAsia" w:ascii="宋体" w:hAnsi="宋体" w:eastAsia="宋体" w:cs="宋体"/>
          <w:b/>
          <w:color w:val="auto"/>
          <w:sz w:val="36"/>
          <w:szCs w:val="20"/>
          <w:highlight w:val="none"/>
        </w:rPr>
      </w:pPr>
    </w:p>
    <w:p w14:paraId="1EFB6F15">
      <w:pPr>
        <w:adjustRightInd/>
        <w:spacing w:before="240" w:beforeLines="100" w:after="240" w:afterLines="100" w:line="360" w:lineRule="auto"/>
        <w:jc w:val="center"/>
        <w:outlineLvl w:val="0"/>
        <w:rPr>
          <w:rFonts w:hint="eastAsia" w:ascii="宋体" w:hAnsi="宋体" w:eastAsia="宋体" w:cs="宋体"/>
          <w:b/>
          <w:color w:val="auto"/>
          <w:sz w:val="36"/>
          <w:szCs w:val="20"/>
          <w:highlight w:val="none"/>
        </w:rPr>
      </w:pPr>
    </w:p>
    <w:p w14:paraId="43B524ED">
      <w:pPr>
        <w:adjustRightInd/>
        <w:spacing w:before="240" w:beforeLines="100" w:after="240" w:afterLines="100" w:line="360" w:lineRule="auto"/>
        <w:jc w:val="center"/>
        <w:outlineLvl w:val="0"/>
        <w:rPr>
          <w:rFonts w:hint="eastAsia" w:ascii="宋体" w:hAnsi="宋体" w:eastAsia="宋体" w:cs="宋体"/>
          <w:b/>
          <w:color w:val="auto"/>
          <w:sz w:val="36"/>
          <w:szCs w:val="20"/>
          <w:highlight w:val="none"/>
        </w:rPr>
      </w:pPr>
    </w:p>
    <w:p w14:paraId="26FC06AB">
      <w:pPr>
        <w:adjustRightInd/>
        <w:spacing w:before="240" w:beforeLines="100" w:after="240" w:afterLines="100" w:line="360" w:lineRule="auto"/>
        <w:jc w:val="center"/>
        <w:outlineLvl w:val="0"/>
        <w:rPr>
          <w:rFonts w:hint="eastAsia" w:ascii="宋体" w:hAnsi="宋体" w:eastAsia="宋体" w:cs="宋体"/>
          <w:b/>
          <w:color w:val="auto"/>
          <w:sz w:val="36"/>
          <w:szCs w:val="20"/>
          <w:highlight w:val="none"/>
        </w:rPr>
      </w:pPr>
    </w:p>
    <w:p w14:paraId="26062F1D">
      <w:pPr>
        <w:adjustRightInd/>
        <w:spacing w:before="240" w:beforeLines="100" w:after="240" w:afterLines="100" w:line="360" w:lineRule="auto"/>
        <w:jc w:val="center"/>
        <w:outlineLvl w:val="0"/>
        <w:rPr>
          <w:rFonts w:hint="eastAsia" w:ascii="宋体" w:hAnsi="宋体" w:eastAsia="宋体" w:cs="宋体"/>
          <w:b/>
          <w:color w:val="auto"/>
          <w:sz w:val="36"/>
          <w:szCs w:val="20"/>
          <w:highlight w:val="none"/>
        </w:rPr>
      </w:pPr>
    </w:p>
    <w:p w14:paraId="6944569F">
      <w:pPr>
        <w:keepNext w:val="0"/>
        <w:keepLines w:val="0"/>
        <w:pageBreakBefore w:val="0"/>
        <w:widowControl w:val="0"/>
        <w:kinsoku/>
        <w:wordWrap/>
        <w:overflowPunct/>
        <w:topLinePunct w:val="0"/>
        <w:autoSpaceDE/>
        <w:autoSpaceDN/>
        <w:bidi w:val="0"/>
        <w:adjustRightInd/>
        <w:spacing w:before="313" w:beforeLines="100" w:after="313" w:afterLines="100" w:line="240" w:lineRule="auto"/>
        <w:jc w:val="center"/>
        <w:textAlignment w:val="auto"/>
        <w:outlineLvl w:val="0"/>
        <w:rPr>
          <w:rFonts w:hint="eastAsia" w:ascii="宋体" w:hAnsi="宋体" w:eastAsia="宋体" w:cs="宋体"/>
          <w:b/>
          <w:color w:val="auto"/>
          <w:sz w:val="36"/>
          <w:szCs w:val="20"/>
          <w:highlight w:val="none"/>
        </w:rPr>
      </w:pPr>
    </w:p>
    <w:p w14:paraId="1CA4D4EF">
      <w:pPr>
        <w:keepNext w:val="0"/>
        <w:keepLines w:val="0"/>
        <w:pageBreakBefore w:val="0"/>
        <w:widowControl w:val="0"/>
        <w:kinsoku/>
        <w:wordWrap/>
        <w:overflowPunct/>
        <w:topLinePunct w:val="0"/>
        <w:autoSpaceDE/>
        <w:autoSpaceDN/>
        <w:bidi w:val="0"/>
        <w:adjustRightInd/>
        <w:spacing w:before="313" w:beforeLines="100" w:after="313" w:afterLines="100" w:line="240" w:lineRule="auto"/>
        <w:jc w:val="center"/>
        <w:textAlignment w:val="auto"/>
        <w:outlineLvl w:val="0"/>
        <w:rPr>
          <w:rFonts w:hint="eastAsia" w:ascii="宋体" w:hAnsi="宋体" w:eastAsia="宋体" w:cs="宋体"/>
          <w:b/>
          <w:color w:val="auto"/>
          <w:sz w:val="36"/>
          <w:szCs w:val="20"/>
          <w:highlight w:val="none"/>
        </w:rPr>
      </w:pPr>
    </w:p>
    <w:p w14:paraId="566C6372">
      <w:pPr>
        <w:keepNext w:val="0"/>
        <w:keepLines w:val="0"/>
        <w:pageBreakBefore w:val="0"/>
        <w:widowControl w:val="0"/>
        <w:kinsoku/>
        <w:wordWrap/>
        <w:overflowPunct/>
        <w:topLinePunct w:val="0"/>
        <w:autoSpaceDE/>
        <w:autoSpaceDN/>
        <w:bidi w:val="0"/>
        <w:adjustRightInd/>
        <w:spacing w:before="313" w:beforeLines="100" w:after="313" w:afterLines="100" w:line="240" w:lineRule="auto"/>
        <w:jc w:val="center"/>
        <w:textAlignment w:val="auto"/>
        <w:outlineLvl w:val="0"/>
        <w:rPr>
          <w:rFonts w:hint="eastAsia" w:ascii="宋体" w:hAnsi="宋体" w:eastAsia="宋体" w:cs="宋体"/>
          <w:b/>
          <w:color w:val="auto"/>
          <w:sz w:val="36"/>
          <w:szCs w:val="20"/>
          <w:highlight w:val="none"/>
        </w:rPr>
      </w:pPr>
    </w:p>
    <w:p w14:paraId="2AF677B0">
      <w:pPr>
        <w:pStyle w:val="64"/>
        <w:rPr>
          <w:rFonts w:hint="eastAsia"/>
          <w:color w:val="auto"/>
          <w:highlight w:val="none"/>
        </w:rPr>
      </w:pPr>
    </w:p>
    <w:p w14:paraId="1412DF46">
      <w:pPr>
        <w:keepNext w:val="0"/>
        <w:keepLines w:val="0"/>
        <w:pageBreakBefore w:val="0"/>
        <w:widowControl w:val="0"/>
        <w:kinsoku/>
        <w:wordWrap/>
        <w:overflowPunct/>
        <w:topLinePunct w:val="0"/>
        <w:autoSpaceDE/>
        <w:autoSpaceDN/>
        <w:bidi w:val="0"/>
        <w:adjustRightInd/>
        <w:spacing w:before="313" w:beforeLines="100" w:after="313" w:afterLines="100" w:line="240" w:lineRule="auto"/>
        <w:jc w:val="center"/>
        <w:textAlignment w:val="auto"/>
        <w:outlineLvl w:val="0"/>
        <w:rPr>
          <w:rFonts w:hint="eastAsia" w:ascii="宋体" w:hAnsi="宋体" w:eastAsia="宋体" w:cs="宋体"/>
          <w:b/>
          <w:color w:val="auto"/>
          <w:sz w:val="36"/>
          <w:szCs w:val="20"/>
          <w:highlight w:val="none"/>
        </w:rPr>
      </w:pPr>
    </w:p>
    <w:p w14:paraId="1B3DA9A2">
      <w:pPr>
        <w:keepNext w:val="0"/>
        <w:keepLines w:val="0"/>
        <w:pageBreakBefore w:val="0"/>
        <w:widowControl w:val="0"/>
        <w:kinsoku/>
        <w:wordWrap/>
        <w:overflowPunct/>
        <w:topLinePunct w:val="0"/>
        <w:autoSpaceDE/>
        <w:autoSpaceDN/>
        <w:bidi w:val="0"/>
        <w:adjustRightInd/>
        <w:spacing w:before="313" w:beforeLines="100" w:after="313" w:afterLines="100" w:line="24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5174034">
      <w:pPr>
        <w:keepNext w:val="0"/>
        <w:keepLines w:val="0"/>
        <w:pageBreakBefore w:val="0"/>
        <w:widowControl w:val="0"/>
        <w:kinsoku/>
        <w:wordWrap w:val="0"/>
        <w:overflowPunct/>
        <w:topLinePunct w:val="0"/>
        <w:autoSpaceDE/>
        <w:autoSpaceDN w:val="0"/>
        <w:bidi w:val="0"/>
        <w:adjustRightInd w:val="0"/>
        <w:snapToGrid w:val="0"/>
        <w:spacing w:before="313" w:beforeLines="100" w:line="24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748"/>
      </w:tblGrid>
      <w:tr w14:paraId="0A499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tcBorders>
              <w:tl2br w:val="nil"/>
              <w:tr2bl w:val="nil"/>
            </w:tcBorders>
            <w:shd w:val="clear" w:color="auto" w:fill="DCE6F2" w:themeFill="accent1" w:themeFillTint="32"/>
            <w:vAlign w:val="center"/>
          </w:tcPr>
          <w:p w14:paraId="6C40C6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序号</w:t>
            </w:r>
          </w:p>
        </w:tc>
        <w:tc>
          <w:tcPr>
            <w:tcW w:w="1907" w:type="dxa"/>
            <w:tcBorders>
              <w:tl2br w:val="nil"/>
              <w:tr2bl w:val="nil"/>
            </w:tcBorders>
            <w:shd w:val="clear" w:color="auto" w:fill="DCE6F2" w:themeFill="accent1" w:themeFillTint="32"/>
            <w:vAlign w:val="center"/>
          </w:tcPr>
          <w:p w14:paraId="6CD0AD5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事项</w:t>
            </w:r>
          </w:p>
        </w:tc>
        <w:tc>
          <w:tcPr>
            <w:tcW w:w="6748" w:type="dxa"/>
            <w:tcBorders>
              <w:tl2br w:val="nil"/>
              <w:tr2bl w:val="nil"/>
            </w:tcBorders>
            <w:shd w:val="clear" w:color="auto" w:fill="DCE6F2" w:themeFill="accent1" w:themeFillTint="32"/>
            <w:vAlign w:val="center"/>
          </w:tcPr>
          <w:p w14:paraId="71DFC43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本项目的特别规定</w:t>
            </w:r>
          </w:p>
        </w:tc>
      </w:tr>
      <w:tr w14:paraId="20702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59E671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p>
        </w:tc>
        <w:tc>
          <w:tcPr>
            <w:tcW w:w="1907" w:type="dxa"/>
            <w:tcBorders>
              <w:tl2br w:val="nil"/>
              <w:tr2bl w:val="nil"/>
            </w:tcBorders>
            <w:shd w:val="clear" w:color="auto" w:fill="FFFFFF" w:themeFill="background1"/>
            <w:vAlign w:val="center"/>
          </w:tcPr>
          <w:p w14:paraId="0DBC90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项目属性与核心产品</w:t>
            </w:r>
          </w:p>
        </w:tc>
        <w:tc>
          <w:tcPr>
            <w:tcW w:w="6748" w:type="dxa"/>
            <w:tcBorders>
              <w:tl2br w:val="nil"/>
              <w:tr2bl w:val="nil"/>
            </w:tcBorders>
            <w:shd w:val="clear" w:color="auto" w:fill="FFFFFF" w:themeFill="background1"/>
            <w:vAlign w:val="center"/>
          </w:tcPr>
          <w:p w14:paraId="5DE22C3F">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u w:val="single"/>
                <w:lang w:val="en-US" w:eastAsia="zh-CN"/>
              </w:rPr>
              <w:t>货物类，</w:t>
            </w:r>
            <w:r>
              <w:rPr>
                <w:rFonts w:hint="eastAsia" w:ascii="宋体" w:hAnsi="宋体" w:eastAsia="宋体" w:cs="宋体"/>
                <w:b w:val="0"/>
                <w:bCs w:val="0"/>
                <w:color w:val="auto"/>
                <w:kern w:val="0"/>
                <w:szCs w:val="21"/>
                <w:highlight w:val="none"/>
                <w:lang w:val="en-US" w:eastAsia="zh-CN"/>
              </w:rPr>
              <w:t>单一产品或核心产品为：</w:t>
            </w:r>
            <w:r>
              <w:rPr>
                <w:rFonts w:hint="eastAsia" w:ascii="宋体" w:hAnsi="宋体" w:eastAsia="宋体" w:cs="宋体"/>
                <w:b w:val="0"/>
                <w:bCs w:val="0"/>
                <w:color w:val="auto"/>
                <w:kern w:val="0"/>
                <w:szCs w:val="21"/>
                <w:highlight w:val="none"/>
                <w:u w:val="single"/>
                <w:lang w:eastAsia="zh-CN"/>
              </w:rPr>
              <w:t>室内LED</w:t>
            </w:r>
            <w:r>
              <w:rPr>
                <w:rFonts w:hint="eastAsia" w:ascii="宋体" w:hAnsi="宋体" w:cs="宋体"/>
                <w:b w:val="0"/>
                <w:bCs w:val="0"/>
                <w:color w:val="auto"/>
                <w:kern w:val="0"/>
                <w:szCs w:val="21"/>
                <w:highlight w:val="none"/>
                <w:u w:val="single"/>
                <w:lang w:val="en-US" w:eastAsia="zh-CN"/>
              </w:rPr>
              <w:t xml:space="preserve"> </w:t>
            </w:r>
            <w:r>
              <w:rPr>
                <w:rFonts w:hint="eastAsia" w:ascii="宋体" w:hAnsi="宋体" w:eastAsia="宋体" w:cs="宋体"/>
                <w:b w:val="0"/>
                <w:bCs w:val="0"/>
                <w:color w:val="auto"/>
                <w:kern w:val="0"/>
                <w:szCs w:val="21"/>
                <w:highlight w:val="none"/>
                <w:u w:val="single"/>
                <w:lang w:eastAsia="zh-CN"/>
              </w:rPr>
              <w:t>P1.86全彩屏</w:t>
            </w:r>
            <w:r>
              <w:rPr>
                <w:rFonts w:hint="eastAsia" w:ascii="宋体" w:hAnsi="宋体" w:eastAsia="宋体" w:cs="宋体"/>
                <w:b w:val="0"/>
                <w:bCs w:val="0"/>
                <w:color w:val="auto"/>
                <w:kern w:val="0"/>
                <w:szCs w:val="21"/>
                <w:highlight w:val="none"/>
                <w:u w:val="single"/>
                <w:lang w:val="en-US" w:eastAsia="zh-CN"/>
              </w:rPr>
              <w:t>。</w:t>
            </w:r>
          </w:p>
        </w:tc>
      </w:tr>
      <w:tr w14:paraId="13A7C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792DC7E9">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w:t>
            </w:r>
          </w:p>
        </w:tc>
        <w:tc>
          <w:tcPr>
            <w:tcW w:w="1907" w:type="dxa"/>
            <w:tcBorders>
              <w:tl2br w:val="nil"/>
              <w:tr2bl w:val="nil"/>
            </w:tcBorders>
            <w:shd w:val="clear" w:color="auto" w:fill="FFFFFF" w:themeFill="background1"/>
            <w:vAlign w:val="center"/>
          </w:tcPr>
          <w:p w14:paraId="2970A103">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采购标的及其对应的中小企业划分标准所属行业</w:t>
            </w:r>
          </w:p>
        </w:tc>
        <w:tc>
          <w:tcPr>
            <w:tcW w:w="6748" w:type="dxa"/>
            <w:tcBorders>
              <w:tl2br w:val="nil"/>
              <w:tr2bl w:val="nil"/>
            </w:tcBorders>
            <w:shd w:val="clear" w:color="auto" w:fill="FFFFFF" w:themeFill="background1"/>
            <w:vAlign w:val="center"/>
          </w:tcPr>
          <w:p w14:paraId="2FEE1154">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天花喇叭</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27B872F8">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专业功放</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3D764A98">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音频处理器</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3A4F1731">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(4)</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无线话筒（手持）</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380911DD">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(5)</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话筒天线</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12AADFC4">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(6)</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电源管理器</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0D40DB1B">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(7)</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室内LED P1.86全彩屏</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3AAE1B91">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(8)</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开关电源</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040DE6BF">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(9)</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接收卡</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5CE58689">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(10)</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视频处理器</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530128BD">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(11)</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智能终端</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31B37BC5">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(12)</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控制终端</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0297E061">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(13)</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人数统计终端</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2076DA55">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(14)</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信息发布终端43寸</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64299FBD">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(15)</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信息发布终端50寸</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3400713A">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(16)</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笔记本</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3F6CA964">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(17)</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会议终端85寸（带支架）</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1C9B0350">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(18)</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摄像机</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20D26114">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(19)</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会议一体机98寸（带支架）</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1E484501">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(20)</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专业音箱</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7753B6F5">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(21)</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调音台</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5FF023B0">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(22)</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电动幕布</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27553634">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(23)</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工程投影机</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13E5BB99">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(24)</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无线话筒</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7250F3FC">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(25)</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A3彩色智能一体机</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2F215503">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(26)</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A4黑白多功能一体机</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7D71BA06">
            <w:pPr>
              <w:spacing w:line="400" w:lineRule="exact"/>
              <w:rPr>
                <w:rFonts w:hint="eastAsia" w:ascii="宋体" w:hAnsi="宋体" w:eastAsia="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(27)</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台式电脑</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eastAsia="宋体" w:cs="宋体"/>
                <w:b w:val="0"/>
                <w:bCs w:val="0"/>
                <w:color w:val="auto"/>
                <w:kern w:val="0"/>
                <w:szCs w:val="21"/>
                <w:highlight w:val="none"/>
              </w:rPr>
              <w:t>；</w:t>
            </w:r>
          </w:p>
          <w:p w14:paraId="067A2C76">
            <w:pPr>
              <w:spacing w:line="400" w:lineRule="exact"/>
              <w:rPr>
                <w:rFonts w:hint="default" w:ascii="宋体" w:hAnsi="宋体" w:eastAsia="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(28)</w:t>
            </w:r>
            <w:r>
              <w:rPr>
                <w:rFonts w:hint="eastAsia" w:ascii="宋体" w:hAnsi="宋体" w:eastAsia="宋体" w:cs="宋体"/>
                <w:b w:val="0"/>
                <w:bCs w:val="0"/>
                <w:color w:val="auto"/>
                <w:kern w:val="0"/>
                <w:szCs w:val="21"/>
                <w:highlight w:val="none"/>
              </w:rPr>
              <w:t>标的：</w:t>
            </w:r>
            <w:r>
              <w:rPr>
                <w:rFonts w:hint="eastAsia" w:ascii="宋体" w:hAnsi="宋体" w:eastAsia="宋体" w:cs="宋体"/>
                <w:b w:val="0"/>
                <w:bCs w:val="0"/>
                <w:color w:val="auto"/>
                <w:kern w:val="0"/>
                <w:szCs w:val="21"/>
                <w:highlight w:val="none"/>
                <w:u w:val="single"/>
                <w:lang w:eastAsia="zh-CN"/>
              </w:rPr>
              <w:t>一体机</w:t>
            </w:r>
            <w:r>
              <w:rPr>
                <w:rFonts w:hint="eastAsia" w:ascii="宋体" w:hAnsi="宋体" w:eastAsia="宋体" w:cs="宋体"/>
                <w:b w:val="0"/>
                <w:bCs w:val="0"/>
                <w:color w:val="auto"/>
                <w:kern w:val="0"/>
                <w:szCs w:val="21"/>
                <w:highlight w:val="none"/>
              </w:rPr>
              <w:t>，属于</w:t>
            </w:r>
            <w:r>
              <w:rPr>
                <w:rFonts w:hint="eastAsia" w:ascii="宋体" w:hAnsi="宋体" w:eastAsia="宋体" w:cs="宋体"/>
                <w:b w:val="0"/>
                <w:bCs w:val="0"/>
                <w:color w:val="auto"/>
                <w:kern w:val="0"/>
                <w:szCs w:val="21"/>
                <w:highlight w:val="none"/>
                <w:u w:val="single"/>
                <w:lang w:val="en-US" w:eastAsia="zh-CN"/>
              </w:rPr>
              <w:t xml:space="preserve"> 工业 </w:t>
            </w:r>
            <w:r>
              <w:rPr>
                <w:rFonts w:hint="eastAsia" w:ascii="宋体" w:hAnsi="宋体" w:cs="宋体"/>
                <w:b w:val="0"/>
                <w:bCs w:val="0"/>
                <w:color w:val="auto"/>
                <w:kern w:val="0"/>
                <w:szCs w:val="21"/>
                <w:highlight w:val="none"/>
                <w:u w:val="single"/>
                <w:lang w:val="en-US" w:eastAsia="zh-CN"/>
              </w:rPr>
              <w:t>。</w:t>
            </w:r>
          </w:p>
        </w:tc>
      </w:tr>
      <w:tr w14:paraId="2A167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3D2314A7">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w:t>
            </w:r>
          </w:p>
        </w:tc>
        <w:tc>
          <w:tcPr>
            <w:tcW w:w="1907" w:type="dxa"/>
            <w:tcBorders>
              <w:tl2br w:val="nil"/>
              <w:tr2bl w:val="nil"/>
            </w:tcBorders>
            <w:shd w:val="clear" w:color="auto" w:fill="FFFFFF" w:themeFill="background1"/>
            <w:vAlign w:val="center"/>
          </w:tcPr>
          <w:p w14:paraId="592910A0">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是否允许采购进口产品</w:t>
            </w:r>
          </w:p>
        </w:tc>
        <w:tc>
          <w:tcPr>
            <w:tcW w:w="6748" w:type="dxa"/>
            <w:tcBorders>
              <w:tl2br w:val="nil"/>
              <w:tr2bl w:val="nil"/>
            </w:tcBorders>
            <w:shd w:val="clear" w:color="auto" w:fill="FFFFFF" w:themeFill="background1"/>
            <w:vAlign w:val="center"/>
          </w:tcPr>
          <w:p w14:paraId="31BEAB38">
            <w:pPr>
              <w:spacing w:line="400" w:lineRule="exact"/>
              <w:rPr>
                <w:rFonts w:hint="eastAsia" w:ascii="宋体" w:hAnsi="宋体" w:eastAsia="宋体" w:cs="宋体"/>
                <w:b w:val="0"/>
                <w:bCs/>
                <w:color w:val="auto"/>
                <w:kern w:val="0"/>
                <w:szCs w:val="21"/>
                <w:highlight w:val="none"/>
              </w:rPr>
            </w:pPr>
            <w:sdt>
              <w:sdtPr>
                <w:rPr>
                  <w:rFonts w:hint="eastAsia" w:ascii="宋体" w:hAnsi="宋体" w:eastAsia="宋体" w:cs="宋体"/>
                  <w:color w:val="auto"/>
                  <w:kern w:val="0"/>
                  <w:szCs w:val="21"/>
                  <w:highlight w:val="none"/>
                </w:rPr>
                <w:id w:val="147455292"/>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b w:val="0"/>
                <w:bCs/>
                <w:color w:val="auto"/>
                <w:kern w:val="0"/>
                <w:szCs w:val="21"/>
                <w:highlight w:val="none"/>
              </w:rPr>
              <w:t>本项目不允许采购进口产品。</w:t>
            </w:r>
          </w:p>
          <w:p w14:paraId="79D68271">
            <w:pPr>
              <w:spacing w:line="400" w:lineRule="exact"/>
              <w:rPr>
                <w:rFonts w:hint="eastAsia" w:ascii="宋体" w:hAnsi="宋体" w:eastAsia="宋体" w:cs="宋体"/>
                <w:b/>
                <w:color w:val="auto"/>
                <w:kern w:val="0"/>
                <w:szCs w:val="21"/>
                <w:highlight w:val="none"/>
              </w:rPr>
            </w:pPr>
            <w:sdt>
              <w:sdtPr>
                <w:rPr>
                  <w:rFonts w:hint="eastAsia" w:ascii="宋体" w:hAnsi="宋体" w:eastAsia="宋体" w:cs="宋体"/>
                  <w:color w:val="auto"/>
                  <w:kern w:val="0"/>
                  <w:szCs w:val="21"/>
                  <w:highlight w:val="none"/>
                </w:rPr>
                <w:id w:val="14746445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b w:val="0"/>
                <w:bCs/>
                <w:color w:val="auto"/>
                <w:kern w:val="0"/>
                <w:szCs w:val="21"/>
                <w:highlight w:val="none"/>
              </w:rPr>
              <w:t>可以就</w:t>
            </w:r>
            <w:r>
              <w:rPr>
                <w:rFonts w:hint="eastAsia" w:ascii="宋体" w:hAnsi="宋体" w:eastAsia="宋体" w:cs="宋体"/>
                <w:b w:val="0"/>
                <w:bCs/>
                <w:color w:val="auto"/>
                <w:kern w:val="0"/>
                <w:szCs w:val="21"/>
                <w:highlight w:val="none"/>
                <w:u w:val="single"/>
                <w:lang w:val="en-US" w:eastAsia="zh-CN"/>
              </w:rPr>
              <w:t xml:space="preserve">    </w:t>
            </w:r>
            <w:r>
              <w:rPr>
                <w:rFonts w:hint="eastAsia" w:ascii="宋体" w:hAnsi="宋体" w:eastAsia="宋体" w:cs="宋体"/>
                <w:b w:val="0"/>
                <w:bCs/>
                <w:color w:val="auto"/>
                <w:kern w:val="0"/>
                <w:szCs w:val="21"/>
                <w:highlight w:val="none"/>
              </w:rPr>
              <w:t>采购进口产品。</w:t>
            </w:r>
            <w:r>
              <w:rPr>
                <w:rFonts w:hint="eastAsia" w:ascii="宋体" w:hAnsi="宋体" w:cs="宋体"/>
                <w:bCs/>
                <w:color w:val="auto"/>
                <w:kern w:val="0"/>
                <w:szCs w:val="21"/>
                <w:highlight w:val="none"/>
              </w:rPr>
              <w:t>优先采购向我国企业转让技术、与我国企业签订消化吸收再创新方案的供应商的进口产品，详见</w:t>
            </w:r>
            <w:r>
              <w:rPr>
                <w:rFonts w:hint="eastAsia" w:ascii="宋体" w:hAnsi="宋体" w:cs="宋体"/>
                <w:bCs/>
                <w:color w:val="auto"/>
                <w:kern w:val="0"/>
                <w:szCs w:val="21"/>
                <w:highlight w:val="none"/>
                <w:u w:val="single"/>
              </w:rPr>
              <w:t>评分标准</w:t>
            </w:r>
            <w:r>
              <w:rPr>
                <w:rFonts w:hint="eastAsia" w:ascii="宋体" w:hAnsi="宋体" w:cs="宋体"/>
                <w:bCs/>
                <w:color w:val="auto"/>
                <w:kern w:val="0"/>
                <w:szCs w:val="21"/>
                <w:highlight w:val="none"/>
              </w:rPr>
              <w:t>。</w:t>
            </w:r>
          </w:p>
        </w:tc>
      </w:tr>
      <w:tr w14:paraId="72E1D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621D4096">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w:t>
            </w:r>
          </w:p>
        </w:tc>
        <w:tc>
          <w:tcPr>
            <w:tcW w:w="1907" w:type="dxa"/>
            <w:tcBorders>
              <w:tl2br w:val="nil"/>
              <w:tr2bl w:val="nil"/>
            </w:tcBorders>
            <w:shd w:val="clear" w:color="auto" w:fill="FFFFFF" w:themeFill="background1"/>
            <w:vAlign w:val="center"/>
          </w:tcPr>
          <w:p w14:paraId="7C900C29">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分包</w:t>
            </w:r>
          </w:p>
        </w:tc>
        <w:tc>
          <w:tcPr>
            <w:tcW w:w="6748" w:type="dxa"/>
            <w:tcBorders>
              <w:tl2br w:val="nil"/>
              <w:tr2bl w:val="nil"/>
            </w:tcBorders>
            <w:shd w:val="clear" w:color="auto" w:fill="FFFFFF" w:themeFill="background1"/>
            <w:vAlign w:val="center"/>
          </w:tcPr>
          <w:p w14:paraId="23B8882C">
            <w:pPr>
              <w:spacing w:line="400" w:lineRule="exact"/>
              <w:jc w:val="lef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4748238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color w:val="auto"/>
                <w:kern w:val="0"/>
                <w:szCs w:val="21"/>
                <w:highlight w:val="none"/>
              </w:rPr>
              <w:t>A同意将非主体、非关键性的</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US" w:eastAsia="zh-CN"/>
              </w:rPr>
              <w:t>室外工程</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工作分包。</w:t>
            </w:r>
          </w:p>
          <w:p w14:paraId="0FB56E1C">
            <w:pPr>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4747456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B不同意分包。</w:t>
            </w:r>
          </w:p>
          <w:p w14:paraId="00F8277E">
            <w:pPr>
              <w:spacing w:line="400" w:lineRule="exac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注：不得限制大中型企业向小微企业合理分包。</w:t>
            </w:r>
          </w:p>
        </w:tc>
      </w:tr>
      <w:tr w14:paraId="7C85A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4350C3CC">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w:t>
            </w:r>
          </w:p>
        </w:tc>
        <w:tc>
          <w:tcPr>
            <w:tcW w:w="1907" w:type="dxa"/>
            <w:tcBorders>
              <w:tl2br w:val="nil"/>
              <w:tr2bl w:val="nil"/>
            </w:tcBorders>
            <w:shd w:val="clear" w:color="auto" w:fill="FFFFFF" w:themeFill="background1"/>
            <w:vAlign w:val="center"/>
          </w:tcPr>
          <w:p w14:paraId="0D818B31">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开标前答疑会或现场考察</w:t>
            </w:r>
          </w:p>
        </w:tc>
        <w:tc>
          <w:tcPr>
            <w:tcW w:w="6748" w:type="dxa"/>
            <w:tcBorders>
              <w:tl2br w:val="nil"/>
              <w:tr2bl w:val="nil"/>
            </w:tcBorders>
            <w:shd w:val="clear" w:color="auto" w:fill="FFFFFF" w:themeFill="background1"/>
            <w:vAlign w:val="center"/>
          </w:tcPr>
          <w:p w14:paraId="57DD31AC">
            <w:pPr>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4745245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color w:val="auto"/>
                <w:kern w:val="0"/>
                <w:szCs w:val="21"/>
                <w:highlight w:val="none"/>
              </w:rPr>
              <w:t>A不组织。</w:t>
            </w:r>
          </w:p>
          <w:p w14:paraId="23035A07">
            <w:pPr>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47460460"/>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B组织，时间：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，联系方式：</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p>
        </w:tc>
      </w:tr>
      <w:tr w14:paraId="37DB9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5AE60FE3">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6</w:t>
            </w:r>
          </w:p>
        </w:tc>
        <w:tc>
          <w:tcPr>
            <w:tcW w:w="1907" w:type="dxa"/>
            <w:tcBorders>
              <w:tl2br w:val="nil"/>
              <w:tr2bl w:val="nil"/>
            </w:tcBorders>
            <w:shd w:val="clear" w:color="auto" w:fill="FFFFFF" w:themeFill="background1"/>
            <w:vAlign w:val="center"/>
          </w:tcPr>
          <w:p w14:paraId="1EC36250">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样品提供</w:t>
            </w:r>
          </w:p>
        </w:tc>
        <w:tc>
          <w:tcPr>
            <w:tcW w:w="6748" w:type="dxa"/>
            <w:tcBorders>
              <w:tl2br w:val="nil"/>
              <w:tr2bl w:val="nil"/>
            </w:tcBorders>
            <w:shd w:val="clear" w:color="auto" w:fill="FFFFFF" w:themeFill="background1"/>
            <w:vAlign w:val="center"/>
          </w:tcPr>
          <w:p w14:paraId="2C4D22E3">
            <w:pPr>
              <w:wordWrap w:val="0"/>
              <w:spacing w:line="400" w:lineRule="exact"/>
              <w:rPr>
                <w:rFonts w:hint="eastAsia" w:ascii="宋体" w:hAnsi="宋体" w:eastAsia="宋体" w:cs="宋体"/>
                <w:color w:val="auto"/>
                <w:szCs w:val="21"/>
                <w:highlight w:val="none"/>
              </w:rPr>
            </w:pPr>
            <w:sdt>
              <w:sdtPr>
                <w:rPr>
                  <w:rFonts w:hint="eastAsia" w:ascii="宋体" w:hAnsi="宋体" w:eastAsia="宋体" w:cs="宋体"/>
                  <w:color w:val="auto"/>
                  <w:kern w:val="0"/>
                  <w:szCs w:val="21"/>
                  <w:highlight w:val="none"/>
                </w:rPr>
                <w:id w:val="-163994648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color w:val="auto"/>
                <w:kern w:val="0"/>
                <w:szCs w:val="21"/>
                <w:highlight w:val="none"/>
              </w:rPr>
              <w:t>A</w:t>
            </w:r>
            <w:r>
              <w:rPr>
                <w:rFonts w:hint="eastAsia" w:ascii="宋体" w:hAnsi="宋体" w:eastAsia="宋体" w:cs="宋体"/>
                <w:color w:val="auto"/>
                <w:szCs w:val="21"/>
                <w:highlight w:val="none"/>
              </w:rPr>
              <w:t>不要求提供。</w:t>
            </w:r>
          </w:p>
          <w:p w14:paraId="502D51B4">
            <w:pPr>
              <w:wordWrap w:val="0"/>
              <w:spacing w:line="400" w:lineRule="exact"/>
              <w:rPr>
                <w:rFonts w:hint="eastAsia" w:ascii="宋体" w:hAnsi="宋体" w:eastAsia="宋体" w:cs="宋体"/>
                <w:color w:val="auto"/>
                <w:kern w:val="0"/>
                <w:szCs w:val="21"/>
                <w:highlight w:val="none"/>
              </w:rPr>
            </w:pPr>
            <w:sdt>
              <w:sdtPr>
                <w:rPr>
                  <w:rFonts w:hint="eastAsia" w:ascii="宋体" w:hAnsi="宋体" w:eastAsia="宋体" w:cs="宋体"/>
                  <w:color w:val="auto"/>
                  <w:kern w:val="0"/>
                  <w:szCs w:val="21"/>
                  <w:highlight w:val="none"/>
                </w:rPr>
                <w:id w:val="1026831988"/>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5912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sdtContent>
            </w:sdt>
            <w:r>
              <w:rPr>
                <w:rFonts w:hint="eastAsia" w:ascii="宋体" w:hAnsi="宋体" w:eastAsia="宋体" w:cs="宋体"/>
                <w:color w:val="auto"/>
                <w:kern w:val="0"/>
                <w:szCs w:val="21"/>
                <w:highlight w:val="none"/>
              </w:rPr>
              <w:t>B要求提供，</w:t>
            </w:r>
          </w:p>
          <w:p w14:paraId="47B176DA">
            <w:pPr>
              <w:wordWrap w:val="0"/>
              <w:spacing w:line="400" w:lineRule="exact"/>
              <w:rPr>
                <w:rFonts w:hint="eastAsia" w:ascii="宋体" w:hAnsi="宋体" w:eastAsia="宋体" w:cs="宋体"/>
                <w:snapToGrid w:val="0"/>
                <w:color w:val="auto"/>
                <w:kern w:val="28"/>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snapToGrid w:val="0"/>
                <w:color w:val="auto"/>
                <w:kern w:val="28"/>
                <w:szCs w:val="21"/>
                <w:highlight w:val="none"/>
              </w:rPr>
              <w:t>样品：</w:t>
            </w:r>
          </w:p>
          <w:p w14:paraId="0B2A7A5C">
            <w:pPr>
              <w:wordWrap w:val="0"/>
              <w:spacing w:line="400" w:lineRule="exact"/>
              <w:rPr>
                <w:rFonts w:hint="eastAsia" w:ascii="宋体" w:hAnsi="宋体" w:cs="宋体"/>
                <w:snapToGrid w:val="0"/>
                <w:color w:val="auto"/>
                <w:kern w:val="28"/>
                <w:szCs w:val="21"/>
                <w:highlight w:val="none"/>
                <w:u w:val="single"/>
                <w:lang w:val="en-US" w:eastAsia="zh-CN"/>
              </w:rPr>
            </w:pPr>
            <w:r>
              <w:rPr>
                <w:rFonts w:hint="eastAsia" w:ascii="宋体" w:hAnsi="宋体" w:cs="宋体"/>
                <w:snapToGrid w:val="0"/>
                <w:color w:val="auto"/>
                <w:kern w:val="28"/>
                <w:szCs w:val="21"/>
                <w:highlight w:val="none"/>
                <w:u w:val="single"/>
                <w:lang w:val="en-US" w:eastAsia="zh-CN"/>
              </w:rPr>
              <w:t>样品1：</w:t>
            </w:r>
            <w:r>
              <w:rPr>
                <w:rFonts w:hint="eastAsia" w:ascii="宋体" w:hAnsi="宋体" w:eastAsia="宋体" w:cs="宋体"/>
                <w:snapToGrid w:val="0"/>
                <w:color w:val="auto"/>
                <w:kern w:val="28"/>
                <w:szCs w:val="21"/>
                <w:highlight w:val="none"/>
                <w:u w:val="single"/>
                <w:lang w:val="en-US" w:eastAsia="zh-CN"/>
              </w:rPr>
              <w:t>1块规格≥320*160mm</w:t>
            </w:r>
            <w:r>
              <w:rPr>
                <w:rFonts w:hint="eastAsia" w:ascii="宋体" w:hAnsi="宋体" w:cs="宋体"/>
                <w:snapToGrid w:val="0"/>
                <w:color w:val="auto"/>
                <w:kern w:val="28"/>
                <w:szCs w:val="21"/>
                <w:highlight w:val="none"/>
                <w:u w:val="single"/>
                <w:lang w:val="en-US" w:eastAsia="zh-CN"/>
              </w:rPr>
              <w:t>的LED</w:t>
            </w:r>
            <w:r>
              <w:rPr>
                <w:rFonts w:hint="eastAsia" w:ascii="宋体" w:hAnsi="宋体" w:eastAsia="宋体" w:cs="宋体"/>
                <w:snapToGrid w:val="0"/>
                <w:color w:val="auto"/>
                <w:kern w:val="28"/>
                <w:szCs w:val="21"/>
                <w:highlight w:val="none"/>
                <w:u w:val="single"/>
                <w:lang w:val="en-US" w:eastAsia="zh-CN"/>
              </w:rPr>
              <w:t>模组小样</w:t>
            </w:r>
            <w:r>
              <w:rPr>
                <w:rFonts w:hint="eastAsia" w:ascii="宋体" w:hAnsi="宋体" w:cs="宋体"/>
                <w:snapToGrid w:val="0"/>
                <w:color w:val="auto"/>
                <w:kern w:val="28"/>
                <w:szCs w:val="21"/>
                <w:highlight w:val="none"/>
                <w:u w:val="single"/>
                <w:lang w:val="en-US" w:eastAsia="zh-CN"/>
              </w:rPr>
              <w:t>；</w:t>
            </w:r>
          </w:p>
          <w:p w14:paraId="7FC93023">
            <w:pPr>
              <w:wordWrap w:val="0"/>
              <w:spacing w:line="400" w:lineRule="exact"/>
              <w:rPr>
                <w:rFonts w:hint="eastAsia" w:ascii="宋体" w:hAnsi="宋体" w:cs="宋体"/>
                <w:snapToGrid w:val="0"/>
                <w:color w:val="auto"/>
                <w:kern w:val="28"/>
                <w:szCs w:val="21"/>
                <w:highlight w:val="none"/>
                <w:u w:val="single"/>
                <w:lang w:val="en-US" w:eastAsia="zh-CN"/>
              </w:rPr>
            </w:pPr>
            <w:r>
              <w:rPr>
                <w:rFonts w:hint="eastAsia" w:ascii="宋体" w:hAnsi="宋体" w:cs="宋体"/>
                <w:snapToGrid w:val="0"/>
                <w:color w:val="auto"/>
                <w:kern w:val="28"/>
                <w:szCs w:val="21"/>
                <w:highlight w:val="none"/>
                <w:u w:val="single"/>
                <w:lang w:val="en-US" w:eastAsia="zh-CN"/>
              </w:rPr>
              <w:t>样品2：1块规格为≥1280*640mm的LED小样，由≥6块模组组成；</w:t>
            </w:r>
          </w:p>
          <w:p w14:paraId="3E302828">
            <w:pPr>
              <w:wordWrap w:val="0"/>
              <w:spacing w:line="400" w:lineRule="exact"/>
              <w:rPr>
                <w:rFonts w:hint="eastAsia" w:ascii="宋体" w:hAnsi="宋体" w:eastAsia="宋体" w:cs="宋体"/>
                <w:color w:val="auto"/>
                <w:kern w:val="0"/>
                <w:szCs w:val="21"/>
                <w:highlight w:val="none"/>
              </w:rPr>
            </w:pPr>
            <w:r>
              <w:rPr>
                <w:rFonts w:hint="eastAsia" w:ascii="宋体" w:hAnsi="宋体" w:cs="宋体"/>
                <w:snapToGrid w:val="0"/>
                <w:color w:val="auto"/>
                <w:kern w:val="28"/>
                <w:szCs w:val="21"/>
                <w:highlight w:val="none"/>
                <w:u w:val="single"/>
                <w:lang w:val="en-US" w:eastAsia="zh-CN"/>
              </w:rPr>
              <w:t>样品3：1台43寸信息发布终端</w:t>
            </w:r>
            <w:r>
              <w:rPr>
                <w:rFonts w:hint="eastAsia" w:ascii="宋体" w:hAnsi="宋体" w:eastAsia="宋体" w:cs="宋体"/>
                <w:color w:val="auto"/>
                <w:kern w:val="0"/>
                <w:szCs w:val="21"/>
                <w:highlight w:val="none"/>
                <w:u w:val="single"/>
              </w:rPr>
              <w:t>；</w:t>
            </w:r>
          </w:p>
          <w:p w14:paraId="3DBF898B">
            <w:pPr>
              <w:wordWrap w:val="0"/>
              <w:spacing w:line="400" w:lineRule="exac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snapToGrid w:val="0"/>
                <w:color w:val="auto"/>
                <w:kern w:val="28"/>
                <w:szCs w:val="21"/>
                <w:highlight w:val="none"/>
              </w:rPr>
              <w:t>样品制作的标准和要求：</w:t>
            </w:r>
            <w:r>
              <w:rPr>
                <w:rFonts w:hint="eastAsia" w:ascii="宋体" w:hAnsi="宋体" w:cs="宋体"/>
                <w:snapToGrid w:val="0"/>
                <w:color w:val="auto"/>
                <w:kern w:val="28"/>
                <w:szCs w:val="21"/>
                <w:highlight w:val="none"/>
                <w:u w:val="single"/>
                <w:lang w:val="en-US" w:eastAsia="zh-CN"/>
              </w:rPr>
              <w:t>样品</w:t>
            </w:r>
            <w:r>
              <w:rPr>
                <w:rFonts w:hint="eastAsia" w:ascii="宋体" w:hAnsi="宋体" w:eastAsia="宋体" w:cs="宋体"/>
                <w:snapToGrid w:val="0"/>
                <w:color w:val="auto"/>
                <w:kern w:val="28"/>
                <w:szCs w:val="21"/>
                <w:highlight w:val="none"/>
                <w:u w:val="single"/>
                <w:lang w:val="en-US" w:eastAsia="zh-CN"/>
              </w:rPr>
              <w:t>1和</w:t>
            </w:r>
            <w:r>
              <w:rPr>
                <w:rFonts w:hint="eastAsia" w:ascii="宋体" w:hAnsi="宋体" w:cs="宋体"/>
                <w:snapToGrid w:val="0"/>
                <w:color w:val="auto"/>
                <w:kern w:val="28"/>
                <w:szCs w:val="21"/>
                <w:highlight w:val="none"/>
                <w:u w:val="single"/>
                <w:lang w:val="en-US" w:eastAsia="zh-CN"/>
              </w:rPr>
              <w:t>样品</w:t>
            </w:r>
            <w:r>
              <w:rPr>
                <w:rFonts w:hint="eastAsia" w:ascii="宋体" w:hAnsi="宋体" w:eastAsia="宋体" w:cs="宋体"/>
                <w:snapToGrid w:val="0"/>
                <w:color w:val="auto"/>
                <w:kern w:val="28"/>
                <w:szCs w:val="21"/>
                <w:highlight w:val="none"/>
                <w:u w:val="single"/>
                <w:lang w:val="en-US" w:eastAsia="zh-CN"/>
              </w:rPr>
              <w:t>2提供PCB阻燃报告，LED模组通过</w:t>
            </w:r>
            <w:r>
              <w:rPr>
                <w:rFonts w:hint="eastAsia" w:ascii="宋体" w:hAnsi="宋体" w:cs="宋体"/>
                <w:snapToGrid w:val="0"/>
                <w:color w:val="auto"/>
                <w:kern w:val="28"/>
                <w:szCs w:val="21"/>
                <w:highlight w:val="none"/>
                <w:u w:val="single"/>
                <w:lang w:val="en-US" w:eastAsia="zh-CN"/>
              </w:rPr>
              <w:t>3</w:t>
            </w:r>
            <w:r>
              <w:rPr>
                <w:rFonts w:hint="eastAsia" w:ascii="宋体" w:hAnsi="宋体" w:eastAsia="宋体" w:cs="宋体"/>
                <w:snapToGrid w:val="0"/>
                <w:color w:val="auto"/>
                <w:kern w:val="28"/>
                <w:szCs w:val="21"/>
                <w:highlight w:val="none"/>
                <w:u w:val="single"/>
                <w:lang w:val="en-US" w:eastAsia="zh-CN"/>
              </w:rPr>
              <w:t>C、节能产品认证。</w:t>
            </w:r>
            <w:r>
              <w:rPr>
                <w:rFonts w:hint="eastAsia" w:ascii="宋体" w:hAnsi="宋体" w:cs="宋体"/>
                <w:snapToGrid w:val="0"/>
                <w:color w:val="auto"/>
                <w:kern w:val="28"/>
                <w:szCs w:val="21"/>
                <w:highlight w:val="none"/>
                <w:u w:val="single"/>
                <w:lang w:val="en-US" w:eastAsia="zh-CN"/>
              </w:rPr>
              <w:t>样品</w:t>
            </w:r>
            <w:r>
              <w:rPr>
                <w:rFonts w:hint="eastAsia" w:ascii="宋体" w:hAnsi="宋体" w:eastAsia="宋体" w:cs="宋体"/>
                <w:snapToGrid w:val="0"/>
                <w:color w:val="auto"/>
                <w:kern w:val="28"/>
                <w:szCs w:val="21"/>
                <w:highlight w:val="none"/>
                <w:u w:val="single"/>
                <w:lang w:val="en-US" w:eastAsia="zh-CN"/>
              </w:rPr>
              <w:t>3</w:t>
            </w:r>
            <w:r>
              <w:rPr>
                <w:rFonts w:hint="eastAsia" w:ascii="宋体" w:hAnsi="宋体" w:cs="宋体"/>
                <w:snapToGrid w:val="0"/>
                <w:color w:val="auto"/>
                <w:kern w:val="28"/>
                <w:szCs w:val="21"/>
                <w:highlight w:val="none"/>
                <w:u w:val="single"/>
                <w:lang w:val="en-US" w:eastAsia="zh-CN"/>
              </w:rPr>
              <w:t>提供3</w:t>
            </w:r>
            <w:r>
              <w:rPr>
                <w:rFonts w:hint="eastAsia" w:ascii="宋体" w:hAnsi="宋体" w:eastAsia="宋体" w:cs="宋体"/>
                <w:snapToGrid w:val="0"/>
                <w:color w:val="auto"/>
                <w:kern w:val="28"/>
                <w:szCs w:val="21"/>
                <w:highlight w:val="none"/>
                <w:u w:val="single"/>
                <w:lang w:val="en-US" w:eastAsia="zh-CN"/>
              </w:rPr>
              <w:t>C、节能产品认证</w:t>
            </w:r>
            <w:r>
              <w:rPr>
                <w:rFonts w:hint="eastAsia" w:ascii="宋体" w:hAnsi="宋体" w:eastAsia="宋体" w:cs="宋体"/>
                <w:color w:val="auto"/>
                <w:kern w:val="0"/>
                <w:szCs w:val="21"/>
                <w:highlight w:val="none"/>
                <w:u w:val="single"/>
              </w:rPr>
              <w:t>；</w:t>
            </w:r>
          </w:p>
          <w:p w14:paraId="51252035">
            <w:pPr>
              <w:wordWrap w:val="0"/>
              <w:spacing w:line="400" w:lineRule="exac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样品的评审方法以及评审标准</w:t>
            </w:r>
            <w:r>
              <w:rPr>
                <w:rFonts w:hint="eastAsia" w:ascii="宋体" w:hAnsi="宋体" w:eastAsia="宋体" w:cs="宋体"/>
                <w:snapToGrid w:val="0"/>
                <w:color w:val="auto"/>
                <w:kern w:val="28"/>
                <w:szCs w:val="21"/>
                <w:highlight w:val="none"/>
              </w:rPr>
              <w:t>：详见</w:t>
            </w:r>
            <w:r>
              <w:rPr>
                <w:rFonts w:hint="eastAsia" w:ascii="宋体" w:hAnsi="宋体" w:eastAsia="宋体" w:cs="宋体"/>
                <w:color w:val="auto"/>
                <w:szCs w:val="21"/>
                <w:highlight w:val="none"/>
                <w:u w:val="single"/>
              </w:rPr>
              <w:t>评标办法</w:t>
            </w:r>
            <w:r>
              <w:rPr>
                <w:rFonts w:hint="eastAsia" w:ascii="宋体" w:hAnsi="宋体" w:eastAsia="宋体" w:cs="宋体"/>
                <w:color w:val="auto"/>
                <w:kern w:val="0"/>
                <w:szCs w:val="21"/>
                <w:highlight w:val="none"/>
              </w:rPr>
              <w:t>；</w:t>
            </w:r>
          </w:p>
          <w:p w14:paraId="7BA07E1F">
            <w:pPr>
              <w:wordWrap w:val="0"/>
              <w:spacing w:line="400" w:lineRule="exac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是否需要随样品提交检测报告：</w:t>
            </w:r>
            <w:sdt>
              <w:sdtPr>
                <w:rPr>
                  <w:rFonts w:hint="eastAsia" w:ascii="宋体" w:hAnsi="宋体" w:eastAsia="宋体" w:cs="宋体"/>
                  <w:color w:val="auto"/>
                  <w:kern w:val="0"/>
                  <w:szCs w:val="21"/>
                  <w:highlight w:val="none"/>
                </w:rPr>
                <w:id w:val="1303421454"/>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color w:val="auto"/>
                <w:kern w:val="0"/>
                <w:szCs w:val="21"/>
                <w:highlight w:val="none"/>
              </w:rPr>
              <w:t>否；</w:t>
            </w:r>
            <w:sdt>
              <w:sdtPr>
                <w:rPr>
                  <w:rFonts w:hint="eastAsia" w:ascii="宋体" w:hAnsi="宋体" w:eastAsia="宋体" w:cs="宋体"/>
                  <w:color w:val="auto"/>
                  <w:kern w:val="0"/>
                  <w:szCs w:val="21"/>
                  <w:highlight w:val="none"/>
                </w:rPr>
                <w:id w:val="1621728433"/>
              </w:sdtPr>
              <w:sdtEndPr>
                <w:rPr>
                  <w:rFonts w:hint="eastAsia" w:ascii="宋体" w:hAnsi="宋体" w:eastAsia="宋体" w:cs="宋体"/>
                  <w:color w:val="auto"/>
                  <w:kern w:val="0"/>
                  <w:szCs w:val="21"/>
                  <w:highlight w:val="none"/>
                </w:rPr>
              </w:sdtEndPr>
              <w:sdtContent>
                <w:sdt>
                  <w:sdtPr>
                    <w:rPr>
                      <w:rFonts w:hint="eastAsia" w:ascii="宋体" w:hAnsi="宋体" w:eastAsia="宋体" w:cs="宋体"/>
                      <w:color w:val="auto"/>
                      <w:kern w:val="0"/>
                      <w:szCs w:val="21"/>
                      <w:highlight w:val="none"/>
                    </w:rPr>
                    <w:id w:val="14747516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sdtContent>
            </w:sdt>
            <w:r>
              <w:rPr>
                <w:rFonts w:hint="eastAsia" w:ascii="宋体" w:hAnsi="宋体" w:eastAsia="宋体" w:cs="宋体"/>
                <w:color w:val="auto"/>
                <w:kern w:val="0"/>
                <w:szCs w:val="21"/>
                <w:highlight w:val="none"/>
              </w:rPr>
              <w:t>是，检测机构的要求</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；检测内容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53EF21E1">
            <w:pPr>
              <w:wordWrap w:val="0"/>
              <w:spacing w:line="400" w:lineRule="exact"/>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szCs w:val="21"/>
                <w:highlight w:val="none"/>
              </w:rPr>
              <w:t>提供样品的时间：</w:t>
            </w:r>
            <w:r>
              <w:rPr>
                <w:rFonts w:hint="eastAsia" w:ascii="宋体" w:hAnsi="宋体" w:cs="宋体"/>
                <w:color w:val="auto"/>
                <w:szCs w:val="21"/>
                <w:highlight w:val="none"/>
                <w:u w:val="single"/>
                <w:lang w:val="en-US" w:eastAsia="zh-CN"/>
              </w:rPr>
              <w:t>同</w:t>
            </w:r>
            <w:r>
              <w:rPr>
                <w:rFonts w:hint="eastAsia" w:ascii="宋体" w:hAnsi="宋体" w:eastAsia="宋体" w:cs="宋体"/>
                <w:color w:val="auto"/>
                <w:szCs w:val="21"/>
                <w:highlight w:val="none"/>
                <w:u w:val="single"/>
              </w:rPr>
              <w:t>提交投标文件截止时间</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u w:val="single"/>
                <w:lang w:val="en-US" w:eastAsia="zh-CN"/>
              </w:rPr>
              <w:t>嘉兴市秀洲区成秀路205号鼎盛大厦4楼411会议室</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沈先生</w:t>
            </w:r>
            <w:r>
              <w:rPr>
                <w:rFonts w:hint="eastAsia" w:ascii="宋体" w:hAnsi="宋体" w:eastAsia="宋体" w:cs="宋体"/>
                <w:color w:val="auto"/>
                <w:szCs w:val="21"/>
                <w:highlight w:val="none"/>
                <w:u w:val="single"/>
              </w:rPr>
              <w:t>，</w:t>
            </w:r>
            <w:r>
              <w:rPr>
                <w:rFonts w:hint="eastAsia" w:ascii="宋体" w:hAnsi="宋体" w:eastAsia="宋体" w:cs="宋体"/>
                <w:color w:val="auto"/>
                <w:kern w:val="28"/>
                <w:szCs w:val="21"/>
                <w:highlight w:val="none"/>
              </w:rPr>
              <w:t>联系电话：</w:t>
            </w:r>
            <w:r>
              <w:rPr>
                <w:rFonts w:hint="eastAsia" w:ascii="宋体" w:hAnsi="宋体" w:cs="宋体"/>
                <w:color w:val="auto"/>
                <w:kern w:val="28"/>
                <w:szCs w:val="21"/>
                <w:highlight w:val="none"/>
                <w:u w:val="single"/>
                <w:lang w:val="en-US" w:eastAsia="zh-CN"/>
              </w:rPr>
              <w:t>18069691919。</w:t>
            </w:r>
            <w:r>
              <w:rPr>
                <w:rFonts w:hint="eastAsia" w:ascii="宋体" w:hAnsi="宋体" w:eastAsia="宋体" w:cs="宋体"/>
                <w:color w:val="auto"/>
                <w:szCs w:val="21"/>
                <w:highlight w:val="none"/>
              </w:rPr>
              <w:t>请投标人在上述时间内提供样品并按规定位置安装完毕。超过截止时间的，采购人或采购代理机构将不予接收，并将清场并封闭样品现场。</w:t>
            </w:r>
          </w:p>
          <w:p w14:paraId="436B45D6">
            <w:pPr>
              <w:wordWrap w:val="0"/>
              <w:spacing w:line="400" w:lineRule="exact"/>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szCs w:val="21"/>
                <w:highlight w:val="none"/>
              </w:rPr>
              <w:t>采购活动结束后，对于未中标人提供的样品，采购人、采购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机构将通知未中标人在规定的时间内取回，逾期未取回的，采购人、采购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机构不负保管义务；对于中标人提供的样品，采购人将进行保管、封存，并作为履约验收的参考。</w:t>
            </w:r>
          </w:p>
          <w:p w14:paraId="71AA3F59">
            <w:pPr>
              <w:spacing w:line="400" w:lineRule="exac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szCs w:val="21"/>
                <w:highlight w:val="none"/>
              </w:rPr>
              <w:t>制作、运输、安装和保管样品所发生的一切费用由投标人自理。</w:t>
            </w:r>
          </w:p>
        </w:tc>
      </w:tr>
      <w:tr w14:paraId="71D6F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08EA780E">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w:t>
            </w:r>
          </w:p>
        </w:tc>
        <w:tc>
          <w:tcPr>
            <w:tcW w:w="1907" w:type="dxa"/>
            <w:tcBorders>
              <w:tl2br w:val="nil"/>
              <w:tr2bl w:val="nil"/>
            </w:tcBorders>
            <w:shd w:val="clear" w:color="auto" w:fill="FFFFFF" w:themeFill="background1"/>
            <w:vAlign w:val="center"/>
          </w:tcPr>
          <w:p w14:paraId="01DC2CCD">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方案讲解演示</w:t>
            </w:r>
          </w:p>
        </w:tc>
        <w:tc>
          <w:tcPr>
            <w:tcW w:w="6748" w:type="dxa"/>
            <w:tcBorders>
              <w:tl2br w:val="nil"/>
              <w:tr2bl w:val="nil"/>
            </w:tcBorders>
            <w:shd w:val="clear" w:color="auto" w:fill="FFFFFF" w:themeFill="background1"/>
            <w:vAlign w:val="center"/>
          </w:tcPr>
          <w:p w14:paraId="54545876">
            <w:pPr>
              <w:spacing w:line="400" w:lineRule="exact"/>
              <w:rPr>
                <w:rFonts w:hint="eastAsia" w:ascii="宋体" w:hAnsi="宋体" w:eastAsia="宋体" w:cs="宋体"/>
                <w:b w:val="0"/>
                <w:bCs/>
                <w:color w:val="auto"/>
                <w:kern w:val="0"/>
                <w:szCs w:val="21"/>
                <w:highlight w:val="none"/>
              </w:rPr>
            </w:pPr>
            <w:sdt>
              <w:sdtPr>
                <w:rPr>
                  <w:rFonts w:hint="eastAsia" w:ascii="宋体" w:hAnsi="宋体" w:eastAsia="宋体" w:cs="宋体"/>
                  <w:color w:val="auto"/>
                  <w:kern w:val="0"/>
                  <w:szCs w:val="21"/>
                  <w:highlight w:val="none"/>
                </w:rPr>
                <w:id w:val="147461986"/>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b w:val="0"/>
                <w:bCs/>
                <w:color w:val="auto"/>
                <w:kern w:val="0"/>
                <w:szCs w:val="21"/>
                <w:highlight w:val="none"/>
              </w:rPr>
              <w:t>A不组织。</w:t>
            </w:r>
          </w:p>
          <w:p w14:paraId="00599FBE">
            <w:pPr>
              <w:spacing w:line="400" w:lineRule="exact"/>
              <w:rPr>
                <w:rFonts w:hint="eastAsia" w:ascii="宋体" w:hAnsi="宋体" w:eastAsia="宋体" w:cs="宋体"/>
                <w:b w:val="0"/>
                <w:bCs/>
                <w:color w:val="auto"/>
                <w:kern w:val="0"/>
                <w:szCs w:val="21"/>
                <w:highlight w:val="none"/>
              </w:rPr>
            </w:pPr>
            <w:sdt>
              <w:sdtPr>
                <w:rPr>
                  <w:rFonts w:hint="eastAsia" w:ascii="宋体" w:hAnsi="宋体" w:eastAsia="宋体" w:cs="宋体"/>
                  <w:color w:val="auto"/>
                  <w:kern w:val="0"/>
                  <w:szCs w:val="21"/>
                  <w:highlight w:val="none"/>
                </w:rPr>
                <w:id w:val="147462079"/>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b w:val="0"/>
                <w:bCs/>
                <w:color w:val="auto"/>
                <w:kern w:val="0"/>
                <w:szCs w:val="21"/>
                <w:highlight w:val="none"/>
              </w:rPr>
              <w:t>B组织。</w:t>
            </w:r>
          </w:p>
          <w:p w14:paraId="1B5E06AD">
            <w:pPr>
              <w:spacing w:line="400" w:lineRule="exact"/>
              <w:rPr>
                <w:rFonts w:hint="eastAsia" w:ascii="宋体" w:hAnsi="宋体" w:eastAsia="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w:t>
            </w:r>
            <w:r>
              <w:rPr>
                <w:rFonts w:hint="eastAsia" w:ascii="宋体" w:hAnsi="宋体" w:eastAsia="宋体" w:cs="宋体"/>
                <w:b w:val="0"/>
                <w:bCs/>
                <w:color w:val="auto"/>
                <w:kern w:val="0"/>
                <w:szCs w:val="21"/>
                <w:highlight w:val="none"/>
              </w:rPr>
              <w:t>在评标时安排每个投标人进行方案讲解演示。每个投标人时间不超过</w:t>
            </w:r>
            <w:r>
              <w:rPr>
                <w:rFonts w:hint="eastAsia" w:ascii="宋体" w:hAnsi="宋体" w:eastAsia="宋体" w:cs="宋体"/>
                <w:b w:val="0"/>
                <w:bCs/>
                <w:color w:val="auto"/>
                <w:kern w:val="0"/>
                <w:szCs w:val="21"/>
                <w:highlight w:val="none"/>
                <w:lang w:val="en-US" w:eastAsia="zh-CN"/>
              </w:rPr>
              <w:t>20</w:t>
            </w:r>
            <w:r>
              <w:rPr>
                <w:rFonts w:hint="eastAsia" w:ascii="宋体" w:hAnsi="宋体" w:eastAsia="宋体" w:cs="宋体"/>
                <w:b w:val="0"/>
                <w:bCs/>
                <w:color w:val="auto"/>
                <w:kern w:val="0"/>
                <w:szCs w:val="21"/>
                <w:highlight w:val="none"/>
              </w:rPr>
              <w:t>分钟，讲解次序以投标文件解密时间先后次序为准，讲解演示人员不超过</w:t>
            </w:r>
            <w:r>
              <w:rPr>
                <w:rFonts w:hint="eastAsia" w:ascii="宋体" w:hAnsi="宋体" w:eastAsia="宋体" w:cs="宋体"/>
                <w:b w:val="0"/>
                <w:bCs/>
                <w:color w:val="auto"/>
                <w:kern w:val="0"/>
                <w:szCs w:val="21"/>
                <w:highlight w:val="none"/>
                <w:lang w:val="en-US" w:eastAsia="zh-CN"/>
              </w:rPr>
              <w:t>3</w:t>
            </w:r>
            <w:r>
              <w:rPr>
                <w:rFonts w:hint="eastAsia" w:ascii="宋体" w:hAnsi="宋体" w:eastAsia="宋体" w:cs="宋体"/>
                <w:b w:val="0"/>
                <w:bCs/>
                <w:color w:val="auto"/>
                <w:kern w:val="0"/>
                <w:szCs w:val="21"/>
                <w:highlight w:val="none"/>
              </w:rPr>
              <w:t>人。讲解演示结束后按要求解答评标委员会提问。</w:t>
            </w:r>
          </w:p>
          <w:p w14:paraId="1FC78E38">
            <w:pPr>
              <w:spacing w:line="400" w:lineRule="exact"/>
              <w:rPr>
                <w:rFonts w:hint="eastAsia" w:ascii="宋体" w:hAnsi="宋体" w:eastAsia="宋体" w:cs="宋体"/>
                <w:b w:val="0"/>
                <w:bCs/>
                <w:color w:val="auto"/>
                <w:kern w:val="0"/>
                <w:szCs w:val="21"/>
                <w:highlight w:val="none"/>
              </w:rPr>
            </w:pPr>
            <w:r>
              <w:rPr>
                <w:rFonts w:hint="eastAsia" w:ascii="宋体" w:hAnsi="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rPr>
              <w:t>方案讲解演示可选择以下其中一种方式：</w:t>
            </w:r>
          </w:p>
          <w:p w14:paraId="111B92B2">
            <w:pPr>
              <w:spacing w:line="400" w:lineRule="exact"/>
              <w:rPr>
                <w:rFonts w:hint="eastAsia" w:ascii="宋体" w:hAnsi="宋体" w:eastAsia="宋体" w:cs="宋体"/>
                <w:b w:val="0"/>
                <w:bCs/>
                <w:color w:val="auto"/>
                <w:kern w:val="0"/>
                <w:szCs w:val="21"/>
                <w:highlight w:val="none"/>
              </w:rPr>
            </w:pPr>
            <w:sdt>
              <w:sdtPr>
                <w:rPr>
                  <w:rFonts w:hint="eastAsia" w:ascii="宋体" w:hAnsi="宋体" w:eastAsia="宋体" w:cs="宋体"/>
                  <w:color w:val="auto"/>
                  <w:kern w:val="0"/>
                  <w:szCs w:val="21"/>
                  <w:highlight w:val="none"/>
                </w:rPr>
                <w:id w:val="147465981"/>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b w:val="0"/>
                <w:bCs/>
                <w:color w:val="auto"/>
                <w:kern w:val="0"/>
                <w:szCs w:val="21"/>
                <w:highlight w:val="none"/>
              </w:rPr>
              <w:t>方式一：政采云平台在线讲解演示。政采云平台在线讲解需投标人根据政采云平台操作要求做好准备工作，提前完善软硬件配置环境。</w:t>
            </w:r>
          </w:p>
          <w:p w14:paraId="735F6719">
            <w:pPr>
              <w:spacing w:line="400" w:lineRule="exact"/>
              <w:rPr>
                <w:rFonts w:hint="eastAsia" w:ascii="宋体" w:hAnsi="宋体" w:eastAsia="宋体" w:cs="宋体"/>
                <w:b w:val="0"/>
                <w:bCs/>
                <w:color w:val="auto"/>
                <w:kern w:val="0"/>
                <w:szCs w:val="21"/>
                <w:highlight w:val="none"/>
              </w:rPr>
            </w:pPr>
            <w:sdt>
              <w:sdtPr>
                <w:rPr>
                  <w:rFonts w:hint="eastAsia" w:ascii="宋体" w:hAnsi="宋体" w:eastAsia="宋体" w:cs="宋体"/>
                  <w:color w:val="auto"/>
                  <w:kern w:val="0"/>
                  <w:szCs w:val="21"/>
                  <w:highlight w:val="none"/>
                </w:rPr>
                <w:id w:val="147472917"/>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FE"/>
                </w:r>
              </w:sdtContent>
            </w:sdt>
            <w:r>
              <w:rPr>
                <w:rFonts w:hint="eastAsia" w:ascii="宋体" w:hAnsi="宋体" w:eastAsia="宋体" w:cs="宋体"/>
                <w:b w:val="0"/>
                <w:bCs/>
                <w:color w:val="auto"/>
                <w:kern w:val="0"/>
                <w:szCs w:val="21"/>
                <w:highlight w:val="none"/>
              </w:rPr>
              <w:t>方式二：采购代理机构现场讲解演示。现场讲解地点为</w:t>
            </w:r>
            <w:r>
              <w:rPr>
                <w:rFonts w:hint="eastAsia" w:ascii="宋体" w:hAnsi="宋体" w:eastAsia="宋体" w:cs="宋体"/>
                <w:b w:val="0"/>
                <w:bCs/>
                <w:color w:val="auto"/>
                <w:kern w:val="0"/>
                <w:szCs w:val="21"/>
                <w:highlight w:val="none"/>
                <w:u w:val="single"/>
                <w:lang w:val="en-US" w:eastAsia="zh-CN"/>
              </w:rPr>
              <w:t>嘉兴市秀洲区成秀路205号鼎盛大厦4楼</w:t>
            </w:r>
            <w:r>
              <w:rPr>
                <w:rFonts w:hint="eastAsia" w:ascii="宋体" w:hAnsi="宋体" w:cs="宋体"/>
                <w:b w:val="0"/>
                <w:bCs/>
                <w:color w:val="auto"/>
                <w:kern w:val="0"/>
                <w:szCs w:val="21"/>
                <w:highlight w:val="none"/>
                <w:u w:val="single"/>
                <w:lang w:val="en-US" w:eastAsia="zh-CN"/>
              </w:rPr>
              <w:t>411评标室</w:t>
            </w:r>
            <w:r>
              <w:rPr>
                <w:rFonts w:hint="eastAsia" w:ascii="宋体" w:hAnsi="宋体" w:eastAsia="宋体" w:cs="宋体"/>
                <w:b w:val="0"/>
                <w:bCs/>
                <w:color w:val="auto"/>
                <w:kern w:val="0"/>
                <w:szCs w:val="21"/>
                <w:highlight w:val="none"/>
              </w:rPr>
              <w:t>，讲解演示所用电脑等设备由投标人自备。现场讲解演示人员进场时提供讲解人员名单（加盖公章或授权代表签名）及身份证明，否则不得讲解演示。</w:t>
            </w:r>
          </w:p>
          <w:p w14:paraId="4E6CEB6A">
            <w:pPr>
              <w:spacing w:line="400" w:lineRule="exact"/>
              <w:rPr>
                <w:rFonts w:hint="eastAsia" w:ascii="宋体" w:hAnsi="宋体" w:eastAsia="宋体" w:cs="宋体"/>
                <w:b w:val="0"/>
                <w:bCs/>
                <w:color w:val="auto"/>
                <w:kern w:val="0"/>
                <w:szCs w:val="21"/>
                <w:highlight w:val="none"/>
              </w:rPr>
            </w:pPr>
            <w:sdt>
              <w:sdtPr>
                <w:rPr>
                  <w:rFonts w:hint="eastAsia" w:ascii="宋体" w:hAnsi="宋体" w:eastAsia="宋体" w:cs="宋体"/>
                  <w:color w:val="auto"/>
                  <w:kern w:val="0"/>
                  <w:szCs w:val="21"/>
                  <w:highlight w:val="none"/>
                </w:rPr>
                <w:id w:val="147482853"/>
              </w:sdtPr>
              <w:sdtEndPr>
                <w:rPr>
                  <w:rFonts w:hint="eastAsia" w:ascii="宋体" w:hAnsi="宋体" w:eastAsia="宋体" w:cs="宋体"/>
                  <w:color w:val="auto"/>
                  <w:kern w:val="0"/>
                  <w:szCs w:val="21"/>
                  <w:highlight w:val="none"/>
                </w:rPr>
              </w:sdtEndPr>
              <w:sdtContent>
                <w:r>
                  <w:rPr>
                    <w:rFonts w:hint="eastAsia" w:ascii="宋体" w:hAnsi="宋体" w:eastAsia="宋体" w:cs="宋体"/>
                    <w:color w:val="auto"/>
                    <w:kern w:val="0"/>
                    <w:szCs w:val="21"/>
                    <w:highlight w:val="none"/>
                  </w:rPr>
                  <w:sym w:font="Wingdings" w:char="00A8"/>
                </w:r>
              </w:sdtContent>
            </w:sdt>
            <w:r>
              <w:rPr>
                <w:rFonts w:hint="eastAsia" w:ascii="宋体" w:hAnsi="宋体" w:eastAsia="宋体" w:cs="宋体"/>
                <w:b w:val="0"/>
                <w:bCs/>
                <w:color w:val="auto"/>
                <w:kern w:val="0"/>
                <w:szCs w:val="21"/>
                <w:highlight w:val="none"/>
              </w:rPr>
              <w:t>方式三：采用“不见面”形式演示。投标人在投标截止时间前，递交自行录制的“音视频文件”</w:t>
            </w:r>
            <w:r>
              <w:rPr>
                <w:rFonts w:hint="eastAsia" w:ascii="宋体" w:hAnsi="宋体" w:cs="宋体"/>
                <w:b w:val="0"/>
                <w:bCs/>
                <w:color w:val="auto"/>
                <w:kern w:val="0"/>
                <w:szCs w:val="21"/>
                <w:highlight w:val="none"/>
                <w:lang w:val="en-US" w:eastAsia="zh-CN"/>
              </w:rPr>
              <w:t>至</w:t>
            </w:r>
            <w:r>
              <w:rPr>
                <w:rFonts w:hint="eastAsia" w:ascii="宋体" w:hAnsi="宋体" w:cs="宋体"/>
                <w:b w:val="0"/>
                <w:bCs/>
                <w:color w:val="auto"/>
                <w:kern w:val="0"/>
                <w:szCs w:val="21"/>
                <w:highlight w:val="none"/>
                <w:u w:val="single"/>
                <w:lang w:val="en-US" w:eastAsia="zh-CN"/>
              </w:rPr>
              <w:t>嘉兴市秀洲区成秀路205号鼎盛大厦4楼409招标代理部</w:t>
            </w:r>
            <w:r>
              <w:rPr>
                <w:rFonts w:hint="eastAsia" w:ascii="宋体" w:hAnsi="宋体" w:eastAsia="宋体" w:cs="宋体"/>
                <w:b w:val="0"/>
                <w:bCs/>
                <w:color w:val="auto"/>
                <w:kern w:val="0"/>
                <w:szCs w:val="21"/>
                <w:highlight w:val="none"/>
                <w:u w:val="single"/>
              </w:rPr>
              <w:t>，</w:t>
            </w:r>
            <w:r>
              <w:rPr>
                <w:rFonts w:hint="eastAsia" w:ascii="宋体" w:hAnsi="宋体" w:eastAsia="宋体" w:cs="宋体"/>
                <w:b w:val="0"/>
                <w:bCs/>
                <w:color w:val="auto"/>
                <w:kern w:val="0"/>
                <w:szCs w:val="21"/>
                <w:highlight w:val="none"/>
              </w:rPr>
              <w:t>评标委员会在评审现场对其进行播放并以此作为与方案演示有关评审内容的评分依据。各投标人递交的音视频文件光盘或U盘中应有确保文件正常打开的播放器。</w:t>
            </w:r>
          </w:p>
          <w:p w14:paraId="2FC822D7">
            <w:pPr>
              <w:spacing w:line="400" w:lineRule="exact"/>
              <w:rPr>
                <w:rFonts w:hint="eastAsia" w:ascii="宋体" w:hAnsi="宋体" w:eastAsia="宋体" w:cs="宋体"/>
                <w:b/>
                <w:color w:val="auto"/>
                <w:kern w:val="0"/>
                <w:szCs w:val="21"/>
                <w:highlight w:val="none"/>
              </w:rPr>
            </w:pPr>
            <w:r>
              <w:rPr>
                <w:rFonts w:hint="eastAsia" w:ascii="宋体" w:hAnsi="宋体" w:eastAsia="宋体" w:cs="宋体"/>
                <w:b w:val="0"/>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EC7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9" w:type="dxa"/>
            <w:vMerge w:val="restart"/>
            <w:tcBorders>
              <w:tl2br w:val="nil"/>
              <w:tr2bl w:val="nil"/>
            </w:tcBorders>
            <w:shd w:val="clear" w:color="auto" w:fill="FFFFFF" w:themeFill="background1"/>
            <w:vAlign w:val="center"/>
          </w:tcPr>
          <w:p w14:paraId="0999C442">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8</w:t>
            </w:r>
          </w:p>
        </w:tc>
        <w:tc>
          <w:tcPr>
            <w:tcW w:w="1907" w:type="dxa"/>
            <w:vMerge w:val="restart"/>
            <w:tcBorders>
              <w:tl2br w:val="nil"/>
              <w:tr2bl w:val="nil"/>
            </w:tcBorders>
            <w:shd w:val="clear" w:color="auto" w:fill="FFFFFF" w:themeFill="background1"/>
            <w:vAlign w:val="center"/>
          </w:tcPr>
          <w:p w14:paraId="5BE1E262">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投标人应当提供的资格、资信证明文件</w:t>
            </w:r>
          </w:p>
        </w:tc>
        <w:tc>
          <w:tcPr>
            <w:tcW w:w="6748" w:type="dxa"/>
            <w:tcBorders>
              <w:tl2br w:val="nil"/>
              <w:tr2bl w:val="nil"/>
            </w:tcBorders>
            <w:shd w:val="clear" w:color="auto" w:fill="FFFFFF" w:themeFill="background1"/>
            <w:vAlign w:val="center"/>
          </w:tcPr>
          <w:p w14:paraId="41BE1014">
            <w:pPr>
              <w:spacing w:line="400" w:lineRule="exact"/>
              <w:rPr>
                <w:rFonts w:hint="eastAsia" w:ascii="宋体" w:hAnsi="宋体" w:eastAsia="宋体" w:cs="宋体"/>
                <w:color w:val="auto"/>
                <w:szCs w:val="21"/>
                <w:highlight w:val="none"/>
              </w:rPr>
            </w:pPr>
            <w:r>
              <w:rPr>
                <w:rFonts w:hint="eastAsia" w:ascii="宋体" w:hAnsi="宋体" w:cs="宋体"/>
                <w:b w:val="0"/>
                <w:bCs/>
                <w:color w:val="auto"/>
                <w:kern w:val="0"/>
                <w:szCs w:val="21"/>
                <w:highlight w:val="none"/>
                <w:lang w:val="en-US" w:eastAsia="zh-CN"/>
              </w:rPr>
              <w:t>(1)</w:t>
            </w:r>
            <w:r>
              <w:rPr>
                <w:rFonts w:hint="eastAsia" w:ascii="宋体" w:hAnsi="宋体" w:eastAsia="宋体" w:cs="宋体"/>
                <w:color w:val="auto"/>
                <w:szCs w:val="21"/>
                <w:highlight w:val="none"/>
              </w:rPr>
              <w:t>资格证明文件：见招标文件第二部分11.1。</w:t>
            </w:r>
          </w:p>
          <w:p w14:paraId="22B9F003">
            <w:pPr>
              <w:spacing w:line="400" w:lineRule="exac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投标人未提供有效的资格证明文件的，视为投标人不具备招标文件中规定的资格要求，投标无效。</w:t>
            </w:r>
          </w:p>
        </w:tc>
      </w:tr>
      <w:tr w14:paraId="1CAD7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8" w:hRule="atLeast"/>
          <w:jc w:val="center"/>
        </w:trPr>
        <w:tc>
          <w:tcPr>
            <w:tcW w:w="729" w:type="dxa"/>
            <w:vMerge w:val="continue"/>
            <w:tcBorders>
              <w:tl2br w:val="nil"/>
              <w:tr2bl w:val="nil"/>
            </w:tcBorders>
            <w:shd w:val="clear" w:color="auto" w:fill="FFFFFF" w:themeFill="background1"/>
            <w:vAlign w:val="center"/>
          </w:tcPr>
          <w:p w14:paraId="20D9DE60">
            <w:pPr>
              <w:snapToGrid w:val="0"/>
              <w:jc w:val="center"/>
              <w:rPr>
                <w:rFonts w:hint="eastAsia" w:ascii="宋体" w:hAnsi="宋体" w:eastAsia="宋体" w:cs="宋体"/>
                <w:b w:val="0"/>
                <w:bCs w:val="0"/>
                <w:color w:val="auto"/>
                <w:szCs w:val="21"/>
                <w:highlight w:val="none"/>
                <w:lang w:val="en-US" w:eastAsia="zh-CN"/>
              </w:rPr>
            </w:pPr>
          </w:p>
        </w:tc>
        <w:tc>
          <w:tcPr>
            <w:tcW w:w="1907" w:type="dxa"/>
            <w:vMerge w:val="continue"/>
            <w:tcBorders>
              <w:tl2br w:val="nil"/>
              <w:tr2bl w:val="nil"/>
            </w:tcBorders>
            <w:shd w:val="clear" w:color="auto" w:fill="FFFFFF" w:themeFill="background1"/>
            <w:vAlign w:val="center"/>
          </w:tcPr>
          <w:p w14:paraId="63414317">
            <w:pPr>
              <w:snapToGrid w:val="0"/>
              <w:jc w:val="center"/>
              <w:rPr>
                <w:rFonts w:hint="eastAsia" w:ascii="宋体" w:hAnsi="宋体" w:eastAsia="宋体" w:cs="宋体"/>
                <w:b w:val="0"/>
                <w:bCs w:val="0"/>
                <w:color w:val="auto"/>
                <w:szCs w:val="21"/>
                <w:highlight w:val="none"/>
              </w:rPr>
            </w:pPr>
          </w:p>
        </w:tc>
        <w:tc>
          <w:tcPr>
            <w:tcW w:w="6748" w:type="dxa"/>
            <w:tcBorders>
              <w:tl2br w:val="nil"/>
              <w:tr2bl w:val="nil"/>
            </w:tcBorders>
            <w:shd w:val="clear" w:color="auto" w:fill="FFFFFF" w:themeFill="background1"/>
            <w:vAlign w:val="center"/>
          </w:tcPr>
          <w:p w14:paraId="5C217E72">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color w:val="auto"/>
                <w:kern w:val="0"/>
                <w:szCs w:val="21"/>
                <w:highlight w:val="none"/>
              </w:rPr>
            </w:pPr>
            <w:r>
              <w:rPr>
                <w:rFonts w:hint="eastAsia" w:ascii="宋体" w:hAnsi="宋体" w:cs="宋体"/>
                <w:b w:val="0"/>
                <w:bCs/>
                <w:color w:val="auto"/>
                <w:kern w:val="0"/>
                <w:szCs w:val="21"/>
                <w:highlight w:val="none"/>
                <w:lang w:val="en-US" w:eastAsia="zh-CN"/>
              </w:rPr>
              <w:t>(2)</w:t>
            </w:r>
            <w:r>
              <w:rPr>
                <w:rFonts w:hint="eastAsia" w:ascii="宋体" w:hAnsi="宋体" w:eastAsia="宋体" w:cs="宋体"/>
                <w:color w:val="auto"/>
                <w:szCs w:val="21"/>
                <w:highlight w:val="none"/>
              </w:rPr>
              <w:t>资信证明文件：根据招标文件第四部分评标标准提供。</w:t>
            </w:r>
          </w:p>
        </w:tc>
      </w:tr>
      <w:tr w14:paraId="2AE3F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39F2C6AB">
            <w:pPr>
              <w:snapToGrid w:val="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9</w:t>
            </w:r>
          </w:p>
        </w:tc>
        <w:tc>
          <w:tcPr>
            <w:tcW w:w="1907" w:type="dxa"/>
            <w:tcBorders>
              <w:tl2br w:val="nil"/>
              <w:tr2bl w:val="nil"/>
            </w:tcBorders>
            <w:shd w:val="clear" w:color="auto" w:fill="FFFFFF" w:themeFill="background1"/>
            <w:vAlign w:val="center"/>
          </w:tcPr>
          <w:p w14:paraId="151673B4">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节能产品、环境标志产品</w:t>
            </w:r>
          </w:p>
        </w:tc>
        <w:tc>
          <w:tcPr>
            <w:tcW w:w="6748" w:type="dxa"/>
            <w:tcBorders>
              <w:tl2br w:val="nil"/>
              <w:tr2bl w:val="nil"/>
            </w:tcBorders>
            <w:shd w:val="clear" w:color="auto" w:fill="FFFFFF" w:themeFill="background1"/>
            <w:vAlign w:val="center"/>
          </w:tcPr>
          <w:p w14:paraId="070D73BE">
            <w:pPr>
              <w:spacing w:line="400" w:lineRule="exact"/>
              <w:rPr>
                <w:rFonts w:hint="eastAsia" w:ascii="宋体" w:hAnsi="宋体" w:eastAsia="宋体" w:cs="宋体"/>
                <w:b/>
                <w:color w:val="auto"/>
                <w:kern w:val="0"/>
                <w:szCs w:val="21"/>
                <w:highlight w:val="none"/>
              </w:rPr>
            </w:pP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依据国家确定的认证机构出具的、处于有效期之内的节能产品认证证书，对获得证书的产品实施政府优先采购或强制采购；▲对</w:t>
            </w:r>
            <w:r>
              <w:rPr>
                <w:rFonts w:hint="eastAsia" w:ascii="宋体" w:hAnsi="宋体" w:cs="宋体"/>
                <w:color w:val="auto"/>
                <w:kern w:val="0"/>
                <w:szCs w:val="21"/>
                <w:highlight w:val="none"/>
                <w:u w:val="single"/>
              </w:rPr>
              <w:t>产品名称</w:t>
            </w:r>
            <w:r>
              <w:rPr>
                <w:rFonts w:hint="eastAsia" w:ascii="宋体" w:hAnsi="宋体" w:cs="宋体"/>
                <w:b/>
                <w:bCs/>
                <w:color w:val="auto"/>
                <w:kern w:val="0"/>
                <w:szCs w:val="21"/>
                <w:highlight w:val="none"/>
                <w:u w:val="single"/>
                <w:lang w:val="en-US" w:eastAsia="zh-CN"/>
              </w:rPr>
              <w:t>台式电脑、一体机、A3彩色复印一体机、A4黑白多功能一体机、会议一体机98寸（带支架）、会议终端85寸（带支架）、信息发布终端43寸、信息发布终端50寸</w:t>
            </w:r>
            <w:r>
              <w:rPr>
                <w:rFonts w:hint="eastAsia" w:ascii="宋体" w:hAnsi="宋体" w:cs="宋体"/>
                <w:color w:val="auto"/>
                <w:kern w:val="0"/>
                <w:szCs w:val="21"/>
                <w:highlight w:val="none"/>
              </w:rPr>
              <w:t>实施政府强制采购，</w:t>
            </w:r>
            <w:r>
              <w:rPr>
                <w:rFonts w:hint="eastAsia" w:ascii="宋体" w:hAnsi="宋体" w:cs="宋体"/>
                <w:b/>
                <w:bCs/>
                <w:color w:val="auto"/>
                <w:kern w:val="0"/>
                <w:szCs w:val="21"/>
                <w:highlight w:val="none"/>
              </w:rPr>
              <w:t>投标人就相应的投标产品未提供国家确定的认证机构出具的、处于有效期之内的节能产品认证证书的，投标无效。</w:t>
            </w:r>
          </w:p>
        </w:tc>
      </w:tr>
      <w:tr w14:paraId="083F7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58F28552">
            <w:pPr>
              <w:snapToGrid w:val="0"/>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10</w:t>
            </w:r>
          </w:p>
        </w:tc>
        <w:tc>
          <w:tcPr>
            <w:tcW w:w="1907" w:type="dxa"/>
            <w:tcBorders>
              <w:tl2br w:val="nil"/>
              <w:tr2bl w:val="nil"/>
            </w:tcBorders>
            <w:shd w:val="clear" w:color="auto" w:fill="FFFFFF" w:themeFill="background1"/>
            <w:vAlign w:val="center"/>
          </w:tcPr>
          <w:p w14:paraId="2E1DC520">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中小企业</w:t>
            </w:r>
          </w:p>
          <w:p w14:paraId="62DB5BE5">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预留份额情况</w:t>
            </w:r>
          </w:p>
        </w:tc>
        <w:tc>
          <w:tcPr>
            <w:tcW w:w="6748" w:type="dxa"/>
            <w:tcBorders>
              <w:tl2br w:val="nil"/>
              <w:tr2bl w:val="nil"/>
            </w:tcBorders>
            <w:shd w:val="clear" w:color="auto" w:fill="FFFFFF" w:themeFill="background1"/>
            <w:vAlign w:val="center"/>
          </w:tcPr>
          <w:p w14:paraId="596D1D0D">
            <w:pPr>
              <w:spacing w:line="400" w:lineRule="exact"/>
              <w:rPr>
                <w:rFonts w:hint="eastAsia" w:ascii="宋体" w:hAnsi="宋体" w:eastAsia="宋体" w:cs="宋体"/>
                <w:b/>
                <w:color w:val="auto"/>
                <w:kern w:val="0"/>
                <w:szCs w:val="21"/>
                <w:highlight w:val="none"/>
                <w:lang w:val="en-US" w:eastAsia="zh-CN"/>
              </w:rPr>
            </w:pPr>
            <w:r>
              <w:rPr>
                <w:rFonts w:hint="eastAsia" w:ascii="宋体" w:hAnsi="宋体" w:eastAsia="宋体" w:cs="宋体"/>
                <w:snapToGrid/>
                <w:color w:val="auto"/>
                <w:kern w:val="0"/>
                <w:sz w:val="21"/>
                <w:szCs w:val="21"/>
                <w:highlight w:val="none"/>
                <w:lang w:val="en-US" w:eastAsia="zh-CN" w:bidi="ar-SA"/>
              </w:rPr>
              <w:t>根据《政府采购促进中小企业发展管理办法》财库〔2020〕46号文件的规定，本项目</w:t>
            </w:r>
            <w:r>
              <w:rPr>
                <w:rFonts w:hint="eastAsia" w:ascii="宋体" w:hAnsi="宋体" w:eastAsia="宋体" w:cs="宋体"/>
                <w:snapToGrid/>
                <w:color w:val="auto"/>
                <w:kern w:val="0"/>
                <w:sz w:val="21"/>
                <w:szCs w:val="21"/>
                <w:highlight w:val="none"/>
                <w:u w:val="single"/>
                <w:lang w:val="en-US" w:eastAsia="zh-CN" w:bidi="ar-SA"/>
              </w:rPr>
              <w:t xml:space="preserve"> </w:t>
            </w:r>
            <w:r>
              <w:rPr>
                <w:rFonts w:hint="eastAsia" w:ascii="宋体" w:hAnsi="宋体" w:cs="宋体"/>
                <w:b w:val="0"/>
                <w:bCs w:val="0"/>
                <w:snapToGrid/>
                <w:color w:val="auto"/>
                <w:kern w:val="0"/>
                <w:sz w:val="21"/>
                <w:szCs w:val="21"/>
                <w:highlight w:val="none"/>
                <w:u w:val="single"/>
                <w:lang w:val="en-US" w:eastAsia="zh-CN" w:bidi="ar-SA"/>
              </w:rPr>
              <w:t>不</w:t>
            </w:r>
            <w:r>
              <w:rPr>
                <w:rFonts w:hint="eastAsia" w:ascii="宋体" w:hAnsi="宋体" w:eastAsia="宋体" w:cs="宋体"/>
                <w:b w:val="0"/>
                <w:bCs w:val="0"/>
                <w:snapToGrid/>
                <w:color w:val="auto"/>
                <w:kern w:val="0"/>
                <w:sz w:val="21"/>
                <w:szCs w:val="21"/>
                <w:highlight w:val="none"/>
                <w:u w:val="single"/>
                <w:lang w:val="en-US" w:eastAsia="zh-CN" w:bidi="ar-SA"/>
              </w:rPr>
              <w:t>属于</w:t>
            </w:r>
            <w:r>
              <w:rPr>
                <w:rFonts w:hint="eastAsia" w:ascii="宋体" w:hAnsi="宋体" w:eastAsia="宋体" w:cs="宋体"/>
                <w:b/>
                <w:bCs/>
                <w:snapToGrid/>
                <w:color w:val="auto"/>
                <w:kern w:val="0"/>
                <w:sz w:val="21"/>
                <w:szCs w:val="21"/>
                <w:highlight w:val="none"/>
                <w:u w:val="single"/>
                <w:lang w:val="en-US" w:eastAsia="zh-CN" w:bidi="ar-SA"/>
              </w:rPr>
              <w:t xml:space="preserve"> </w:t>
            </w:r>
            <w:r>
              <w:rPr>
                <w:rFonts w:hint="eastAsia" w:ascii="宋体" w:hAnsi="宋体" w:eastAsia="宋体" w:cs="宋体"/>
                <w:snapToGrid/>
                <w:color w:val="auto"/>
                <w:kern w:val="0"/>
                <w:sz w:val="21"/>
                <w:szCs w:val="21"/>
                <w:highlight w:val="none"/>
                <w:lang w:val="en-US" w:eastAsia="zh-CN" w:bidi="ar-SA"/>
              </w:rPr>
              <w:t>预留份额专门面向中小企业采购的项目。</w:t>
            </w:r>
          </w:p>
        </w:tc>
      </w:tr>
      <w:tr w14:paraId="7E819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2BA4E4C0">
            <w:pPr>
              <w:snapToGrid w:val="0"/>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rPr>
              <w:t>1</w:t>
            </w:r>
            <w:r>
              <w:rPr>
                <w:rFonts w:hint="eastAsia" w:ascii="宋体" w:hAnsi="宋体" w:cs="宋体"/>
                <w:b w:val="0"/>
                <w:bCs w:val="0"/>
                <w:color w:val="auto"/>
                <w:szCs w:val="21"/>
                <w:highlight w:val="none"/>
                <w:lang w:val="en-US" w:eastAsia="zh-CN"/>
              </w:rPr>
              <w:t>1</w:t>
            </w:r>
          </w:p>
        </w:tc>
        <w:tc>
          <w:tcPr>
            <w:tcW w:w="1907" w:type="dxa"/>
            <w:tcBorders>
              <w:tl2br w:val="nil"/>
              <w:tr2bl w:val="nil"/>
            </w:tcBorders>
            <w:shd w:val="clear" w:color="auto" w:fill="FFFFFF" w:themeFill="background1"/>
            <w:vAlign w:val="center"/>
          </w:tcPr>
          <w:p w14:paraId="2CE66E86">
            <w:pPr>
              <w:snapToGrid w:val="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报价要求</w:t>
            </w:r>
          </w:p>
        </w:tc>
        <w:tc>
          <w:tcPr>
            <w:tcW w:w="6748" w:type="dxa"/>
            <w:tcBorders>
              <w:tl2br w:val="nil"/>
              <w:tr2bl w:val="nil"/>
            </w:tcBorders>
            <w:shd w:val="clear" w:color="auto" w:fill="FFFFFF" w:themeFill="background1"/>
            <w:vAlign w:val="center"/>
          </w:tcPr>
          <w:p w14:paraId="02E6F4D2">
            <w:pPr>
              <w:snapToGrid w:val="0"/>
              <w:spacing w:line="400" w:lineRule="exact"/>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zh-CN"/>
              </w:rPr>
              <w:t>有关本项目实施</w:t>
            </w:r>
            <w:r>
              <w:rPr>
                <w:rFonts w:hint="eastAsia" w:ascii="宋体" w:hAnsi="宋体" w:eastAsia="宋体" w:cs="宋体"/>
                <w:color w:val="auto"/>
                <w:szCs w:val="21"/>
                <w:highlight w:val="none"/>
              </w:rPr>
              <w:t>所需的所有费用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含税费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均计入报价</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lang w:val="zh-CN"/>
              </w:rPr>
              <w:t>投标文件</w:t>
            </w:r>
            <w:r>
              <w:rPr>
                <w:rFonts w:hint="eastAsia" w:ascii="宋体" w:hAnsi="宋体" w:eastAsia="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Cs w:val="21"/>
                <w:highlight w:val="none"/>
              </w:rPr>
              <w:t>提醒：验收时检测费用由采购人承担，不包含在投标总价中。</w:t>
            </w:r>
          </w:p>
          <w:p w14:paraId="1AF0B91B">
            <w:pPr>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投标报价出现下列情形的，投标无效：</w:t>
            </w:r>
          </w:p>
          <w:p w14:paraId="150DBFB4">
            <w:pPr>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lang w:val="zh-CN"/>
              </w:rPr>
              <w:t>投标文件出现不是唯一的、有选择性投标报价的；</w:t>
            </w:r>
          </w:p>
          <w:p w14:paraId="077525A6">
            <w:pPr>
              <w:snapToGrid w:val="0"/>
              <w:spacing w:line="400" w:lineRule="exact"/>
              <w:jc w:val="left"/>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lang w:val="zh-CN"/>
              </w:rPr>
              <w:t>投标报价超过招标文件中规定的预算金额或者最高限价的;</w:t>
            </w:r>
          </w:p>
          <w:p w14:paraId="4CFEAFA9">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Cs w:val="21"/>
                <w:highlight w:val="none"/>
              </w:rPr>
              <w:t>;</w:t>
            </w:r>
          </w:p>
          <w:p w14:paraId="124171B0">
            <w:pPr>
              <w:spacing w:line="400" w:lineRule="exact"/>
              <w:rPr>
                <w:rFonts w:hint="eastAsia" w:ascii="宋体" w:hAnsi="宋体" w:eastAsia="宋体" w:cs="宋体"/>
                <w:color w:val="auto"/>
                <w:highlight w:val="none"/>
              </w:rPr>
            </w:pP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投标人对根据修正原则修正后的报价不确认的</w:t>
            </w:r>
            <w:r>
              <w:rPr>
                <w:rFonts w:hint="eastAsia" w:ascii="宋体" w:hAnsi="宋体" w:eastAsia="宋体" w:cs="宋体"/>
                <w:b/>
                <w:color w:val="auto"/>
                <w:szCs w:val="21"/>
                <w:highlight w:val="none"/>
              </w:rPr>
              <w:t>。</w:t>
            </w:r>
          </w:p>
        </w:tc>
      </w:tr>
      <w:tr w14:paraId="17114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1612778C">
            <w:pPr>
              <w:snapToGrid w:val="0"/>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1</w:t>
            </w:r>
            <w:r>
              <w:rPr>
                <w:rFonts w:hint="eastAsia" w:ascii="宋体" w:hAnsi="宋体" w:cs="宋体"/>
                <w:b w:val="0"/>
                <w:bCs w:val="0"/>
                <w:color w:val="auto"/>
                <w:szCs w:val="21"/>
                <w:highlight w:val="none"/>
                <w:lang w:val="en-US" w:eastAsia="zh-CN"/>
              </w:rPr>
              <w:t>2</w:t>
            </w:r>
          </w:p>
        </w:tc>
        <w:tc>
          <w:tcPr>
            <w:tcW w:w="1907" w:type="dxa"/>
            <w:tcBorders>
              <w:tl2br w:val="nil"/>
              <w:tr2bl w:val="nil"/>
            </w:tcBorders>
            <w:shd w:val="clear" w:color="auto" w:fill="FFFFFF" w:themeFill="background1"/>
            <w:vAlign w:val="center"/>
          </w:tcPr>
          <w:p w14:paraId="021EAB94">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中小企业信用融资</w:t>
            </w:r>
          </w:p>
        </w:tc>
        <w:tc>
          <w:tcPr>
            <w:tcW w:w="6748" w:type="dxa"/>
            <w:tcBorders>
              <w:tl2br w:val="nil"/>
              <w:tr2bl w:val="nil"/>
            </w:tcBorders>
            <w:shd w:val="clear" w:color="auto" w:fill="FFFFFF" w:themeFill="background1"/>
            <w:vAlign w:val="center"/>
          </w:tcPr>
          <w:p w14:paraId="5CD28DCB">
            <w:pPr>
              <w:pStyle w:val="7"/>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b/>
                <w:color w:val="auto"/>
                <w:highlight w:val="none"/>
              </w:rPr>
            </w:pPr>
            <w:r>
              <w:rPr>
                <w:rFonts w:hint="eastAsia" w:ascii="宋体" w:hAnsi="宋体" w:eastAsia="宋体" w:cs="宋体"/>
                <w:snapToGrid/>
                <w:color w:val="auto"/>
                <w:kern w:val="0"/>
                <w:highlight w:val="none"/>
              </w:rPr>
              <w:t>供应商中标后也可在“政采云”平台申请政采贷：操作路径：登录政采云平台</w:t>
            </w:r>
            <w:r>
              <w:rPr>
                <w:rFonts w:hint="eastAsia" w:ascii="宋体" w:hAnsi="宋体" w:eastAsia="宋体" w:cs="宋体"/>
                <w:snapToGrid/>
                <w:color w:val="auto"/>
                <w:kern w:val="0"/>
                <w:highlight w:val="none"/>
                <w:lang w:val="en-US" w:eastAsia="zh-CN"/>
              </w:rPr>
              <w:t>-</w:t>
            </w:r>
            <w:r>
              <w:rPr>
                <w:rFonts w:hint="eastAsia" w:ascii="宋体" w:hAnsi="宋体" w:eastAsia="宋体" w:cs="宋体"/>
                <w:snapToGrid/>
                <w:color w:val="auto"/>
                <w:kern w:val="0"/>
                <w:highlight w:val="none"/>
              </w:rPr>
              <w:t>金融服务中心</w:t>
            </w:r>
            <w:r>
              <w:rPr>
                <w:rFonts w:hint="eastAsia" w:ascii="宋体" w:hAnsi="宋体" w:eastAsia="宋体" w:cs="宋体"/>
                <w:snapToGrid/>
                <w:color w:val="auto"/>
                <w:kern w:val="0"/>
                <w:highlight w:val="none"/>
                <w:lang w:val="en-US" w:eastAsia="zh-CN"/>
              </w:rPr>
              <w:t>-</w:t>
            </w:r>
            <w:r>
              <w:rPr>
                <w:rFonts w:hint="eastAsia" w:ascii="宋体" w:hAnsi="宋体" w:eastAsia="宋体" w:cs="宋体"/>
                <w:snapToGrid/>
                <w:color w:val="auto"/>
                <w:kern w:val="0"/>
                <w:highlight w:val="none"/>
              </w:rPr>
              <w:t>【融资服务】，可在热门申请中选择产品直接申请，也可点击云智贷匹配适合产品进行申请，或者在可申请项目中根据该项目进行申请。</w:t>
            </w:r>
          </w:p>
        </w:tc>
      </w:tr>
      <w:tr w14:paraId="7EFEE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413D020C">
            <w:pPr>
              <w:snapToGrid w:val="0"/>
              <w:jc w:val="cente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Cs w:val="21"/>
                <w:highlight w:val="none"/>
              </w:rPr>
              <w:t>1</w:t>
            </w:r>
            <w:r>
              <w:rPr>
                <w:rFonts w:hint="eastAsia" w:ascii="宋体" w:hAnsi="宋体" w:cs="宋体"/>
                <w:b w:val="0"/>
                <w:bCs w:val="0"/>
                <w:color w:val="auto"/>
                <w:szCs w:val="21"/>
                <w:highlight w:val="none"/>
                <w:lang w:val="en-US" w:eastAsia="zh-CN"/>
              </w:rPr>
              <w:t>3</w:t>
            </w:r>
          </w:p>
        </w:tc>
        <w:tc>
          <w:tcPr>
            <w:tcW w:w="1907" w:type="dxa"/>
            <w:tcBorders>
              <w:tl2br w:val="nil"/>
              <w:tr2bl w:val="nil"/>
            </w:tcBorders>
            <w:shd w:val="clear" w:color="auto" w:fill="FFFFFF" w:themeFill="background1"/>
            <w:vAlign w:val="center"/>
          </w:tcPr>
          <w:p w14:paraId="55406FA5">
            <w:pPr>
              <w:snapToGrid w:val="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备份投标文件送达地点和签收人员</w:t>
            </w:r>
          </w:p>
        </w:tc>
        <w:tc>
          <w:tcPr>
            <w:tcW w:w="6748" w:type="dxa"/>
            <w:tcBorders>
              <w:tl2br w:val="nil"/>
              <w:tr2bl w:val="nil"/>
            </w:tcBorders>
            <w:shd w:val="clear" w:color="auto" w:fill="FFFFFF" w:themeFill="background1"/>
            <w:vAlign w:val="center"/>
          </w:tcPr>
          <w:p w14:paraId="632FFCEB">
            <w:pPr>
              <w:pStyle w:val="7"/>
              <w:spacing w:line="400" w:lineRule="exact"/>
              <w:rPr>
                <w:rFonts w:hint="eastAsia" w:ascii="宋体" w:hAnsi="宋体" w:eastAsia="宋体" w:cs="宋体"/>
                <w:color w:val="auto"/>
                <w:highlight w:val="none"/>
              </w:rPr>
            </w:pPr>
            <w:r>
              <w:rPr>
                <w:rFonts w:hint="eastAsia" w:ascii="宋体" w:hAnsi="宋体" w:eastAsia="宋体" w:cs="宋体"/>
                <w:color w:val="auto"/>
                <w:kern w:val="28"/>
                <w:highlight w:val="none"/>
              </w:rPr>
              <w:t>备份投标文件送达地点：</w:t>
            </w:r>
            <w:r>
              <w:rPr>
                <w:rFonts w:hint="eastAsia" w:ascii="宋体" w:hAnsi="宋体" w:eastAsia="宋体" w:cs="宋体"/>
                <w:color w:val="auto"/>
                <w:kern w:val="28"/>
                <w:highlight w:val="none"/>
                <w:u w:val="single"/>
              </w:rPr>
              <w:t>嘉兴市秀洲区成秀路205号鼎盛大厦4楼</w:t>
            </w:r>
            <w:r>
              <w:rPr>
                <w:rFonts w:hint="eastAsia" w:ascii="宋体" w:hAnsi="宋体" w:eastAsia="宋体" w:cs="宋体"/>
                <w:color w:val="auto"/>
                <w:kern w:val="28"/>
                <w:highlight w:val="none"/>
                <w:u w:val="single"/>
                <w:lang w:val="en-US" w:eastAsia="zh-CN"/>
              </w:rPr>
              <w:t>40</w:t>
            </w:r>
            <w:r>
              <w:rPr>
                <w:rFonts w:hint="eastAsia" w:hAnsi="宋体" w:cs="宋体"/>
                <w:color w:val="auto"/>
                <w:kern w:val="28"/>
                <w:highlight w:val="none"/>
                <w:u w:val="single"/>
                <w:lang w:val="en-US" w:eastAsia="zh-CN"/>
              </w:rPr>
              <w:t>9</w:t>
            </w:r>
            <w:r>
              <w:rPr>
                <w:rFonts w:hint="eastAsia" w:ascii="宋体" w:hAnsi="宋体" w:eastAsia="宋体" w:cs="宋体"/>
                <w:color w:val="auto"/>
                <w:kern w:val="28"/>
                <w:highlight w:val="none"/>
                <w:u w:val="single"/>
                <w:lang w:val="en-US" w:eastAsia="zh-CN"/>
              </w:rPr>
              <w:t>招标代理部</w:t>
            </w:r>
            <w:r>
              <w:rPr>
                <w:rFonts w:hint="eastAsia" w:ascii="宋体" w:hAnsi="宋体" w:eastAsia="宋体" w:cs="宋体"/>
                <w:color w:val="auto"/>
                <w:kern w:val="28"/>
                <w:highlight w:val="none"/>
              </w:rPr>
              <w:t>；备份投标文件签收联系人：</w:t>
            </w:r>
            <w:r>
              <w:rPr>
                <w:rFonts w:hint="eastAsia" w:hAnsi="宋体" w:cs="宋体"/>
                <w:color w:val="auto"/>
                <w:kern w:val="28"/>
                <w:highlight w:val="none"/>
                <w:u w:val="single"/>
                <w:lang w:val="en-US" w:eastAsia="zh-CN"/>
              </w:rPr>
              <w:t>沈勤伟</w:t>
            </w:r>
            <w:r>
              <w:rPr>
                <w:rFonts w:hint="eastAsia" w:ascii="宋体" w:hAnsi="宋体" w:eastAsia="宋体" w:cs="宋体"/>
                <w:color w:val="auto"/>
                <w:kern w:val="28"/>
                <w:highlight w:val="none"/>
                <w:u w:val="none"/>
                <w:lang w:val="en-US" w:eastAsia="zh-CN"/>
              </w:rPr>
              <w:t>。</w:t>
            </w:r>
            <w:r>
              <w:rPr>
                <w:rFonts w:hint="eastAsia" w:ascii="宋体" w:hAnsi="宋体" w:eastAsia="宋体" w:cs="宋体"/>
                <w:b/>
                <w:color w:val="auto"/>
                <w:highlight w:val="none"/>
              </w:rPr>
              <w:t>采购人、采购</w:t>
            </w:r>
            <w:r>
              <w:rPr>
                <w:rFonts w:hint="eastAsia" w:ascii="宋体" w:hAnsi="宋体" w:eastAsia="宋体" w:cs="宋体"/>
                <w:b/>
                <w:color w:val="auto"/>
                <w:highlight w:val="none"/>
                <w:lang w:val="en-US" w:eastAsia="zh-CN"/>
              </w:rPr>
              <w:t>代理</w:t>
            </w:r>
            <w:r>
              <w:rPr>
                <w:rFonts w:hint="eastAsia" w:ascii="宋体" w:hAnsi="宋体" w:eastAsia="宋体" w:cs="宋体"/>
                <w:b/>
                <w:color w:val="auto"/>
                <w:highlight w:val="none"/>
              </w:rPr>
              <w:t>机构不强制或变相强制投标人提交备份投标文件。</w:t>
            </w:r>
          </w:p>
        </w:tc>
      </w:tr>
      <w:tr w14:paraId="172FD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tcBorders>
              <w:tl2br w:val="nil"/>
              <w:tr2bl w:val="nil"/>
            </w:tcBorders>
            <w:shd w:val="clear" w:color="auto" w:fill="FFFFFF" w:themeFill="background1"/>
            <w:vAlign w:val="center"/>
          </w:tcPr>
          <w:p w14:paraId="60B021C8">
            <w:pPr>
              <w:snapToGrid w:val="0"/>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1</w:t>
            </w:r>
            <w:r>
              <w:rPr>
                <w:rFonts w:hint="eastAsia" w:ascii="宋体" w:hAnsi="宋体" w:cs="宋体"/>
                <w:b w:val="0"/>
                <w:bCs w:val="0"/>
                <w:color w:val="auto"/>
                <w:szCs w:val="21"/>
                <w:highlight w:val="none"/>
                <w:lang w:val="en-US" w:eastAsia="zh-CN"/>
              </w:rPr>
              <w:t>4</w:t>
            </w:r>
          </w:p>
        </w:tc>
        <w:tc>
          <w:tcPr>
            <w:tcW w:w="1907" w:type="dxa"/>
            <w:tcBorders>
              <w:tl2br w:val="nil"/>
              <w:tr2bl w:val="nil"/>
            </w:tcBorders>
            <w:shd w:val="clear" w:color="auto" w:fill="FFFFFF" w:themeFill="background1"/>
            <w:vAlign w:val="center"/>
          </w:tcPr>
          <w:p w14:paraId="49EB6302">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采购代理机构代理服务费用</w:t>
            </w:r>
          </w:p>
        </w:tc>
        <w:tc>
          <w:tcPr>
            <w:tcW w:w="6748" w:type="dxa"/>
            <w:tcBorders>
              <w:tl2br w:val="nil"/>
              <w:tr2bl w:val="nil"/>
            </w:tcBorders>
            <w:shd w:val="clear" w:color="auto" w:fill="FFFFFF" w:themeFill="background1"/>
            <w:vAlign w:val="center"/>
          </w:tcPr>
          <w:p w14:paraId="305980AA">
            <w:pPr>
              <w:pStyle w:val="7"/>
              <w:spacing w:line="400" w:lineRule="exact"/>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本项目采购代理服务费按国家计委计价〔2002〕1980号文的收费标准计取</w:t>
            </w:r>
            <w:r>
              <w:rPr>
                <w:rFonts w:hint="eastAsia" w:ascii="宋体" w:hAnsi="宋体" w:eastAsia="宋体" w:cs="宋体"/>
                <w:color w:val="auto"/>
                <w:highlight w:val="none"/>
                <w:lang w:eastAsia="zh-CN"/>
              </w:rPr>
              <w:t>；</w:t>
            </w:r>
          </w:p>
          <w:p w14:paraId="32175721">
            <w:pPr>
              <w:pStyle w:val="7"/>
              <w:spacing w:line="400" w:lineRule="exact"/>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2.中标人应在收取《中标通知书》时向采购代理机构交纳招标代理服务费，服务费的收费标准按计价【2002】1980号文规定计算</w:t>
            </w:r>
            <w:r>
              <w:rPr>
                <w:rFonts w:hint="eastAsia" w:ascii="宋体" w:hAnsi="宋体" w:eastAsia="宋体" w:cs="宋体"/>
                <w:color w:val="auto"/>
                <w:highlight w:val="none"/>
                <w:lang w:eastAsia="zh-CN"/>
              </w:rPr>
              <w:t>；</w:t>
            </w:r>
          </w:p>
          <w:p w14:paraId="2BBB86F3">
            <w:pPr>
              <w:pStyle w:val="7"/>
              <w:spacing w:line="400" w:lineRule="exact"/>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3.本项目以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货物</w:t>
            </w:r>
            <w:r>
              <w:rPr>
                <w:rFonts w:hint="eastAsia" w:ascii="宋体" w:hAnsi="宋体" w:eastAsia="宋体" w:cs="宋体"/>
                <w:color w:val="auto"/>
                <w:highlight w:val="none"/>
                <w:u w:val="single"/>
              </w:rPr>
              <w:t xml:space="preserve">类 </w:t>
            </w:r>
            <w:r>
              <w:rPr>
                <w:rFonts w:hint="eastAsia" w:ascii="宋体" w:hAnsi="宋体" w:eastAsia="宋体" w:cs="宋体"/>
                <w:color w:val="auto"/>
                <w:highlight w:val="none"/>
              </w:rPr>
              <w:t>招标收费标准收取中标服务费，对于招标代理服务费不足</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00元的按</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00元计取招标代理服务费</w:t>
            </w:r>
            <w:r>
              <w:rPr>
                <w:rFonts w:hint="eastAsia" w:ascii="宋体" w:hAnsi="宋体" w:eastAsia="宋体" w:cs="宋体"/>
                <w:color w:val="auto"/>
                <w:highlight w:val="none"/>
                <w:lang w:eastAsia="zh-CN"/>
              </w:rPr>
              <w:t>；</w:t>
            </w:r>
          </w:p>
          <w:p w14:paraId="7A05ADE6">
            <w:pPr>
              <w:pStyle w:val="7"/>
              <w:spacing w:line="400" w:lineRule="exact"/>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4.服务费的货币为人民币</w:t>
            </w:r>
            <w:r>
              <w:rPr>
                <w:rFonts w:hint="eastAsia" w:ascii="宋体" w:hAnsi="宋体" w:eastAsia="宋体" w:cs="宋体"/>
                <w:color w:val="auto"/>
                <w:highlight w:val="none"/>
                <w:lang w:eastAsia="zh-CN"/>
              </w:rPr>
              <w:t>；</w:t>
            </w:r>
          </w:p>
          <w:p w14:paraId="3257B09A">
            <w:pPr>
              <w:pStyle w:val="7"/>
              <w:spacing w:line="400" w:lineRule="exact"/>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5.服务费支付方式：一次性以银行划账、电汇、汇票或支票的形式支付</w:t>
            </w:r>
            <w:r>
              <w:rPr>
                <w:rFonts w:hint="eastAsia" w:ascii="宋体" w:hAnsi="宋体" w:eastAsia="宋体" w:cs="宋体"/>
                <w:color w:val="auto"/>
                <w:highlight w:val="none"/>
                <w:lang w:eastAsia="zh-CN"/>
              </w:rPr>
              <w:t>；</w:t>
            </w:r>
          </w:p>
          <w:p w14:paraId="401F277A">
            <w:pPr>
              <w:pStyle w:val="7"/>
              <w:spacing w:line="400" w:lineRule="exact"/>
              <w:contextualSpacing/>
              <w:rPr>
                <w:rFonts w:hint="eastAsia" w:ascii="宋体" w:hAnsi="宋体" w:eastAsia="宋体" w:cs="宋体"/>
                <w:color w:val="auto"/>
                <w:highlight w:val="none"/>
              </w:rPr>
            </w:pPr>
            <w:r>
              <w:rPr>
                <w:rFonts w:hint="eastAsia" w:ascii="宋体" w:hAnsi="宋体" w:eastAsia="宋体" w:cs="宋体"/>
                <w:color w:val="auto"/>
                <w:highlight w:val="none"/>
              </w:rPr>
              <w:t>6.服务费以银行划账方式按下列要求提交：</w:t>
            </w:r>
          </w:p>
          <w:p w14:paraId="21C54F66">
            <w:pPr>
              <w:pStyle w:val="7"/>
              <w:spacing w:line="400" w:lineRule="exact"/>
              <w:contextualSpacing/>
              <w:rPr>
                <w:rFonts w:hAnsi="宋体" w:cs="宋体"/>
                <w:color w:val="auto"/>
                <w:highlight w:val="none"/>
              </w:rPr>
            </w:pPr>
            <w:r>
              <w:rPr>
                <w:rFonts w:hint="eastAsia" w:hAnsi="宋体" w:cs="宋体"/>
                <w:color w:val="auto"/>
                <w:highlight w:val="none"/>
              </w:rPr>
              <w:t>收款人：</w:t>
            </w:r>
            <w:r>
              <w:rPr>
                <w:rFonts w:hint="eastAsia" w:ascii="宋体" w:hAnsi="宋体" w:eastAsia="宋体" w:cs="宋体"/>
                <w:color w:val="auto"/>
                <w:highlight w:val="none"/>
              </w:rPr>
              <w:t>浙江槿阳建设管理有限公司</w:t>
            </w:r>
          </w:p>
          <w:p w14:paraId="34C79272">
            <w:pPr>
              <w:pStyle w:val="7"/>
              <w:spacing w:line="400" w:lineRule="exact"/>
              <w:contextualSpacing/>
              <w:rPr>
                <w:rFonts w:hAnsi="宋体" w:cs="宋体"/>
                <w:color w:val="auto"/>
                <w:highlight w:val="none"/>
              </w:rPr>
            </w:pPr>
            <w:r>
              <w:rPr>
                <w:rFonts w:hint="eastAsia" w:hAnsi="宋体" w:cs="宋体"/>
                <w:color w:val="auto"/>
                <w:highlight w:val="none"/>
              </w:rPr>
              <w:t>户名：</w:t>
            </w:r>
            <w:r>
              <w:rPr>
                <w:rFonts w:hint="eastAsia" w:ascii="宋体" w:hAnsi="宋体" w:eastAsia="宋体" w:cs="宋体"/>
                <w:color w:val="auto"/>
                <w:highlight w:val="none"/>
              </w:rPr>
              <w:t>浙江槿阳建设管理有限公司</w:t>
            </w:r>
          </w:p>
          <w:p w14:paraId="39F75418">
            <w:pPr>
              <w:pStyle w:val="7"/>
              <w:spacing w:line="400" w:lineRule="exact"/>
              <w:contextualSpacing/>
              <w:rPr>
                <w:rFonts w:hAnsi="宋体" w:cs="宋体"/>
                <w:color w:val="auto"/>
                <w:highlight w:val="none"/>
              </w:rPr>
            </w:pPr>
            <w:r>
              <w:rPr>
                <w:rFonts w:hint="eastAsia" w:hAnsi="宋体" w:cs="宋体"/>
                <w:color w:val="auto"/>
                <w:highlight w:val="none"/>
              </w:rPr>
              <w:t>开户银行：</w:t>
            </w:r>
            <w:r>
              <w:rPr>
                <w:rFonts w:hint="eastAsia" w:ascii="宋体" w:hAnsi="宋体" w:eastAsia="宋体" w:cs="宋体"/>
                <w:color w:val="auto"/>
                <w:highlight w:val="none"/>
              </w:rPr>
              <w:t>中国建设银行股份有限公司嘉兴秀洲支行</w:t>
            </w:r>
          </w:p>
          <w:p w14:paraId="15F3E763">
            <w:pPr>
              <w:pStyle w:val="7"/>
              <w:spacing w:line="400" w:lineRule="exact"/>
              <w:contextualSpacing/>
              <w:rPr>
                <w:rFonts w:hint="eastAsia" w:ascii="宋体" w:hAnsi="宋体" w:eastAsia="宋体" w:cs="宋体"/>
                <w:color w:val="auto"/>
                <w:highlight w:val="none"/>
              </w:rPr>
            </w:pPr>
            <w:r>
              <w:rPr>
                <w:rFonts w:hint="eastAsia" w:hAnsi="宋体" w:cs="宋体"/>
                <w:color w:val="auto"/>
                <w:highlight w:val="none"/>
              </w:rPr>
              <w:t>账号：</w:t>
            </w:r>
            <w:r>
              <w:rPr>
                <w:rFonts w:hint="eastAsia" w:ascii="宋体" w:hAnsi="宋体" w:eastAsia="宋体" w:cs="宋体"/>
                <w:color w:val="auto"/>
                <w:highlight w:val="none"/>
              </w:rPr>
              <w:t>33050163803500001451</w:t>
            </w:r>
          </w:p>
          <w:p w14:paraId="7B0185E5">
            <w:pPr>
              <w:pStyle w:val="7"/>
              <w:spacing w:line="400" w:lineRule="exact"/>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7.服务费支付时间：服务费必须在中标人领取《中标通知书》时一次性付清，如果中标人未能按时交纳服务费，采购代理机构/采购人保留取消其中标资格并追究其法律责任的权利</w:t>
            </w:r>
            <w:r>
              <w:rPr>
                <w:rFonts w:hint="eastAsia" w:ascii="宋体" w:hAnsi="宋体" w:eastAsia="宋体" w:cs="宋体"/>
                <w:color w:val="auto"/>
                <w:highlight w:val="none"/>
                <w:lang w:eastAsia="zh-CN"/>
              </w:rPr>
              <w:t>；</w:t>
            </w:r>
          </w:p>
          <w:p w14:paraId="0C1B5EBC">
            <w:pPr>
              <w:pStyle w:val="7"/>
              <w:spacing w:line="400" w:lineRule="exact"/>
              <w:contextualSpacing/>
              <w:rPr>
                <w:rFonts w:hint="eastAsia" w:ascii="宋体" w:hAnsi="宋体" w:eastAsia="宋体" w:cs="宋体"/>
                <w:color w:val="auto"/>
                <w:kern w:val="28"/>
                <w:highlight w:val="none"/>
              </w:rPr>
            </w:pPr>
            <w:r>
              <w:rPr>
                <w:rFonts w:hint="eastAsia" w:ascii="宋体" w:hAnsi="宋体" w:eastAsia="宋体" w:cs="宋体"/>
                <w:color w:val="auto"/>
                <w:highlight w:val="none"/>
              </w:rPr>
              <w:t>8.服务费不在投标报价中单列。</w:t>
            </w:r>
          </w:p>
        </w:tc>
      </w:tr>
      <w:tr w14:paraId="0DC19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vMerge w:val="restart"/>
            <w:tcBorders>
              <w:tl2br w:val="nil"/>
              <w:tr2bl w:val="nil"/>
            </w:tcBorders>
            <w:shd w:val="clear" w:color="auto" w:fill="FFFFFF" w:themeFill="background1"/>
            <w:vAlign w:val="center"/>
          </w:tcPr>
          <w:p w14:paraId="5EAAA6BE">
            <w:pPr>
              <w:snapToGrid w:val="0"/>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1</w:t>
            </w:r>
            <w:r>
              <w:rPr>
                <w:rFonts w:hint="eastAsia" w:ascii="宋体" w:hAnsi="宋体" w:cs="宋体"/>
                <w:b w:val="0"/>
                <w:bCs w:val="0"/>
                <w:color w:val="auto"/>
                <w:szCs w:val="21"/>
                <w:highlight w:val="none"/>
                <w:lang w:val="en-US" w:eastAsia="zh-CN"/>
              </w:rPr>
              <w:t>5</w:t>
            </w:r>
          </w:p>
        </w:tc>
        <w:tc>
          <w:tcPr>
            <w:tcW w:w="1907" w:type="dxa"/>
            <w:vMerge w:val="restart"/>
            <w:tcBorders>
              <w:tl2br w:val="nil"/>
              <w:tr2bl w:val="nil"/>
            </w:tcBorders>
            <w:shd w:val="clear" w:color="auto" w:fill="FFFFFF" w:themeFill="background1"/>
            <w:vAlign w:val="center"/>
          </w:tcPr>
          <w:p w14:paraId="13C6C7BA">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特别说明</w:t>
            </w:r>
          </w:p>
        </w:tc>
        <w:tc>
          <w:tcPr>
            <w:tcW w:w="6748" w:type="dxa"/>
            <w:tcBorders>
              <w:tl2br w:val="nil"/>
              <w:tr2bl w:val="nil"/>
            </w:tcBorders>
            <w:shd w:val="clear" w:color="auto" w:fill="FFFFFF" w:themeFill="background1"/>
            <w:vAlign w:val="center"/>
          </w:tcPr>
          <w:p w14:paraId="43358B76">
            <w:pPr>
              <w:spacing w:line="400" w:lineRule="exact"/>
              <w:rPr>
                <w:rFonts w:hint="eastAsia" w:ascii="宋体" w:hAnsi="宋体" w:eastAsia="宋体" w:cs="宋体"/>
                <w:color w:val="auto"/>
                <w:kern w:val="28"/>
                <w:szCs w:val="21"/>
                <w:highlight w:val="none"/>
              </w:rPr>
            </w:pPr>
            <w:r>
              <w:rPr>
                <w:rFonts w:hint="eastAsia" w:ascii="宋体" w:hAnsi="宋体" w:cs="宋体"/>
                <w:color w:val="auto"/>
                <w:kern w:val="28"/>
                <w:szCs w:val="21"/>
                <w:highlight w:val="none"/>
              </w:rPr>
              <w:t>联合体投标的，联合体各方分别提供与联合体协议中规定的分工内容相应的业绩证明材料，业绩数量以提供材料较少的一方为准。招标文件第四部分评分标准有其他规定的，从其规定。</w:t>
            </w:r>
            <w:r>
              <w:rPr>
                <w:rFonts w:hint="eastAsia" w:ascii="宋体" w:hAnsi="宋体" w:eastAsia="宋体" w:cs="宋体"/>
                <w:color w:val="auto"/>
                <w:kern w:val="28"/>
                <w:szCs w:val="21"/>
                <w:highlight w:val="none"/>
              </w:rPr>
              <w:t xml:space="preserve">           </w:t>
            </w:r>
          </w:p>
        </w:tc>
      </w:tr>
      <w:tr w14:paraId="6EAA6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vMerge w:val="continue"/>
            <w:tcBorders>
              <w:tl2br w:val="nil"/>
              <w:tr2bl w:val="nil"/>
            </w:tcBorders>
            <w:shd w:val="clear" w:color="auto" w:fill="FFFFFF" w:themeFill="background1"/>
            <w:vAlign w:val="center"/>
          </w:tcPr>
          <w:p w14:paraId="79F0DF92">
            <w:pPr>
              <w:snapToGrid w:val="0"/>
              <w:jc w:val="center"/>
              <w:rPr>
                <w:rFonts w:hint="eastAsia" w:ascii="宋体" w:hAnsi="宋体" w:eastAsia="宋体" w:cs="宋体"/>
                <w:b w:val="0"/>
                <w:bCs w:val="0"/>
                <w:color w:val="auto"/>
                <w:szCs w:val="21"/>
                <w:highlight w:val="none"/>
              </w:rPr>
            </w:pPr>
            <w:bookmarkStart w:id="11" w:name="_Toc164416483"/>
            <w:bookmarkStart w:id="12" w:name="第三部分"/>
          </w:p>
        </w:tc>
        <w:tc>
          <w:tcPr>
            <w:tcW w:w="1907" w:type="dxa"/>
            <w:vMerge w:val="continue"/>
            <w:tcBorders>
              <w:tl2br w:val="nil"/>
              <w:tr2bl w:val="nil"/>
            </w:tcBorders>
            <w:shd w:val="clear" w:color="auto" w:fill="FFFFFF" w:themeFill="background1"/>
            <w:vAlign w:val="center"/>
          </w:tcPr>
          <w:p w14:paraId="77A9BB26">
            <w:pPr>
              <w:snapToGrid w:val="0"/>
              <w:jc w:val="center"/>
              <w:rPr>
                <w:rFonts w:hint="eastAsia" w:ascii="宋体" w:hAnsi="宋体" w:eastAsia="宋体" w:cs="宋体"/>
                <w:b w:val="0"/>
                <w:bCs w:val="0"/>
                <w:color w:val="auto"/>
                <w:szCs w:val="21"/>
                <w:highlight w:val="none"/>
              </w:rPr>
            </w:pPr>
          </w:p>
        </w:tc>
        <w:tc>
          <w:tcPr>
            <w:tcW w:w="6748" w:type="dxa"/>
            <w:tcBorders>
              <w:tl2br w:val="nil"/>
              <w:tr2bl w:val="nil"/>
            </w:tcBorders>
            <w:shd w:val="clear" w:color="auto" w:fill="FFFFFF" w:themeFill="background1"/>
            <w:vAlign w:val="center"/>
          </w:tcPr>
          <w:p w14:paraId="784B0395">
            <w:pPr>
              <w:spacing w:line="400" w:lineRule="exact"/>
              <w:rPr>
                <w:rFonts w:ascii="宋体" w:hAnsi="宋体" w:cs="宋体"/>
                <w:color w:val="auto"/>
                <w:kern w:val="28"/>
                <w:szCs w:val="21"/>
                <w:highlight w:val="none"/>
              </w:rPr>
            </w:pPr>
            <w:r>
              <w:rPr>
                <w:rFonts w:hint="eastAsia" w:ascii="宋体" w:hAnsi="宋体" w:cs="宋体"/>
                <w:color w:val="auto"/>
                <w:kern w:val="0"/>
                <w:szCs w:val="21"/>
                <w:highlight w:val="none"/>
              </w:rPr>
              <w:sym w:font="Wingdings" w:char="00A8"/>
            </w:r>
            <w:r>
              <w:rPr>
                <w:rFonts w:hint="eastAsia" w:ascii="宋体" w:hAnsi="宋体" w:cs="宋体"/>
                <w:color w:val="auto"/>
                <w:kern w:val="28"/>
                <w:szCs w:val="21"/>
                <w:highlight w:val="none"/>
              </w:rPr>
              <w:t>联合体投标的，联合体各方均需按招标文件第四部分评标标准要求提供资信证明文件，否则视为不符合相关要求。招标文件第四部分评分标准有其他规定的，从其规定。</w:t>
            </w:r>
          </w:p>
          <w:p w14:paraId="2BDCF066">
            <w:pPr>
              <w:spacing w:line="400" w:lineRule="exact"/>
              <w:rPr>
                <w:rFonts w:hint="eastAsia" w:ascii="宋体" w:hAnsi="宋体" w:eastAsia="宋体" w:cs="宋体"/>
                <w:color w:val="auto"/>
                <w:kern w:val="28"/>
                <w:szCs w:val="21"/>
                <w:highlight w:val="none"/>
              </w:rPr>
            </w:pPr>
            <w:sdt>
              <w:sdtPr>
                <w:rPr>
                  <w:rFonts w:hint="eastAsia" w:ascii="宋体" w:hAnsi="宋体" w:cs="宋体"/>
                  <w:color w:val="auto"/>
                  <w:kern w:val="0"/>
                  <w:szCs w:val="21"/>
                  <w:highlight w:val="none"/>
                </w:rPr>
                <w:id w:val="14746509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r>
              <w:rPr>
                <w:rFonts w:hint="eastAsia" w:ascii="宋体" w:hAnsi="宋体" w:cs="宋体"/>
                <w:color w:val="auto"/>
                <w:kern w:val="28"/>
                <w:szCs w:val="21"/>
                <w:highlight w:val="none"/>
              </w:rPr>
              <w:t>联合体投标的，联合体中有一方或者联合体成员根据分工按招标文件第四部分评标标准要求提供资信证明文件的，视为符合了相关要求。招标文件第四部分评分标准有其他规定的，从其规定。</w:t>
            </w:r>
            <w:r>
              <w:rPr>
                <w:rFonts w:hint="eastAsia" w:ascii="宋体" w:hAnsi="宋体" w:eastAsia="宋体" w:cs="宋体"/>
                <w:color w:val="auto"/>
                <w:kern w:val="28"/>
                <w:szCs w:val="21"/>
                <w:highlight w:val="none"/>
              </w:rPr>
              <w:t xml:space="preserve"> </w:t>
            </w:r>
          </w:p>
        </w:tc>
      </w:tr>
      <w:tr w14:paraId="20E0E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vMerge w:val="continue"/>
            <w:tcBorders>
              <w:tl2br w:val="nil"/>
              <w:tr2bl w:val="nil"/>
            </w:tcBorders>
            <w:shd w:val="clear" w:color="auto" w:fill="FFFFFF" w:themeFill="background1"/>
            <w:vAlign w:val="center"/>
          </w:tcPr>
          <w:p w14:paraId="132413D3">
            <w:pPr>
              <w:snapToGrid w:val="0"/>
              <w:jc w:val="center"/>
              <w:rPr>
                <w:rFonts w:hint="eastAsia" w:ascii="宋体" w:hAnsi="宋体" w:eastAsia="宋体" w:cs="宋体"/>
                <w:b w:val="0"/>
                <w:bCs w:val="0"/>
                <w:color w:val="auto"/>
                <w:szCs w:val="21"/>
                <w:highlight w:val="none"/>
              </w:rPr>
            </w:pPr>
          </w:p>
        </w:tc>
        <w:tc>
          <w:tcPr>
            <w:tcW w:w="1907" w:type="dxa"/>
            <w:vMerge w:val="continue"/>
            <w:tcBorders>
              <w:tl2br w:val="nil"/>
              <w:tr2bl w:val="nil"/>
            </w:tcBorders>
            <w:shd w:val="clear" w:color="auto" w:fill="FFFFFF" w:themeFill="background1"/>
            <w:vAlign w:val="center"/>
          </w:tcPr>
          <w:p w14:paraId="7EA04553">
            <w:pPr>
              <w:snapToGrid w:val="0"/>
              <w:jc w:val="center"/>
              <w:rPr>
                <w:rFonts w:hint="eastAsia" w:ascii="宋体" w:hAnsi="宋体" w:eastAsia="宋体" w:cs="宋体"/>
                <w:b w:val="0"/>
                <w:bCs w:val="0"/>
                <w:color w:val="auto"/>
                <w:szCs w:val="21"/>
                <w:highlight w:val="none"/>
              </w:rPr>
            </w:pPr>
          </w:p>
        </w:tc>
        <w:tc>
          <w:tcPr>
            <w:tcW w:w="6748" w:type="dxa"/>
            <w:tcBorders>
              <w:tl2br w:val="nil"/>
              <w:tr2bl w:val="nil"/>
            </w:tcBorders>
            <w:shd w:val="clear" w:color="auto" w:fill="FFFFFF" w:themeFill="background1"/>
            <w:vAlign w:val="center"/>
          </w:tcPr>
          <w:p w14:paraId="2267AA36">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需在领取中标通知书时，提供本项目纸质投标文件（“资格文件”、“报价文件”和“商务技术文件”）三份（正本一份，副本二份）并提供电子投标文件与纸质投标文件内容一致承诺书（格式自拟）三份。</w:t>
            </w:r>
          </w:p>
        </w:tc>
      </w:tr>
      <w:tr w14:paraId="7C872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29" w:type="dxa"/>
            <w:vMerge w:val="continue"/>
            <w:tcBorders>
              <w:tl2br w:val="nil"/>
              <w:tr2bl w:val="nil"/>
            </w:tcBorders>
            <w:shd w:val="clear" w:color="auto" w:fill="FFFFFF" w:themeFill="background1"/>
            <w:vAlign w:val="center"/>
          </w:tcPr>
          <w:p w14:paraId="539FDEA0">
            <w:pPr>
              <w:snapToGrid w:val="0"/>
              <w:jc w:val="center"/>
              <w:rPr>
                <w:rFonts w:hint="eastAsia" w:ascii="宋体" w:hAnsi="宋体" w:eastAsia="宋体" w:cs="宋体"/>
                <w:color w:val="auto"/>
                <w:kern w:val="2"/>
                <w:sz w:val="21"/>
                <w:szCs w:val="21"/>
                <w:highlight w:val="none"/>
                <w:lang w:val="en-US" w:eastAsia="zh-CN" w:bidi="ar-SA"/>
              </w:rPr>
            </w:pPr>
          </w:p>
        </w:tc>
        <w:tc>
          <w:tcPr>
            <w:tcW w:w="1907" w:type="dxa"/>
            <w:vMerge w:val="continue"/>
            <w:tcBorders>
              <w:tl2br w:val="nil"/>
              <w:tr2bl w:val="nil"/>
            </w:tcBorders>
            <w:shd w:val="clear" w:color="auto" w:fill="FFFFFF" w:themeFill="background1"/>
            <w:vAlign w:val="center"/>
          </w:tcPr>
          <w:p w14:paraId="52EA70AA">
            <w:pPr>
              <w:snapToGrid w:val="0"/>
              <w:jc w:val="center"/>
              <w:rPr>
                <w:rFonts w:hint="eastAsia" w:ascii="宋体" w:hAnsi="宋体" w:eastAsia="宋体" w:cs="宋体"/>
                <w:color w:val="auto"/>
                <w:kern w:val="2"/>
                <w:sz w:val="21"/>
                <w:szCs w:val="21"/>
                <w:highlight w:val="none"/>
                <w:lang w:val="en-US" w:eastAsia="zh-CN" w:bidi="ar-SA"/>
              </w:rPr>
            </w:pPr>
          </w:p>
        </w:tc>
        <w:tc>
          <w:tcPr>
            <w:tcW w:w="6748" w:type="dxa"/>
            <w:tcBorders>
              <w:tl2br w:val="nil"/>
              <w:tr2bl w:val="nil"/>
            </w:tcBorders>
            <w:shd w:val="clear" w:color="auto" w:fill="FFFFFF" w:themeFill="background1"/>
            <w:vAlign w:val="center"/>
          </w:tcPr>
          <w:p w14:paraId="012AE720">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本项目评审报告推荐的中标候选人数量：</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w:t>
            </w:r>
          </w:p>
          <w:p w14:paraId="6C6F944E">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排名第一的中标候选人放弃中标、因不可抗力不能履行合同、不按照招标文件要求提交履约保证金担保，或者被查实存在影响中标结果的违法行为等情形，不符合中标条件的，招标人将：</w:t>
            </w:r>
          </w:p>
          <w:p w14:paraId="6C1FE96A">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52"/>
            </w:r>
            <w:r>
              <w:rPr>
                <w:rFonts w:hint="eastAsia" w:ascii="宋体" w:hAnsi="宋体" w:eastAsia="宋体" w:cs="宋体"/>
                <w:color w:val="auto"/>
                <w:kern w:val="0"/>
                <w:szCs w:val="21"/>
                <w:highlight w:val="none"/>
              </w:rPr>
              <w:t>重新招标</w:t>
            </w:r>
          </w:p>
          <w:p w14:paraId="73D2CA67">
            <w:pPr>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按中标候选人名单排序依次确定其他中标候选人为中标人</w:t>
            </w:r>
          </w:p>
        </w:tc>
      </w:tr>
      <w:bookmarkEnd w:id="10"/>
    </w:tbl>
    <w:p w14:paraId="4E9083EA">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1"/>
          <w:highlight w:val="none"/>
        </w:rPr>
      </w:pPr>
    </w:p>
    <w:p w14:paraId="21363B4F">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1"/>
          <w:highlight w:val="none"/>
        </w:rPr>
      </w:pPr>
    </w:p>
    <w:p w14:paraId="55BBA419">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1"/>
          <w:highlight w:val="none"/>
        </w:rPr>
      </w:pPr>
    </w:p>
    <w:p w14:paraId="7849E04B">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1"/>
          <w:highlight w:val="none"/>
        </w:rPr>
      </w:pPr>
    </w:p>
    <w:p w14:paraId="368E75EF">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1"/>
          <w:highlight w:val="none"/>
        </w:rPr>
      </w:pPr>
    </w:p>
    <w:p w14:paraId="491D9D60">
      <w:pPr>
        <w:pStyle w:val="2"/>
        <w:rPr>
          <w:rFonts w:hint="eastAsia" w:ascii="宋体" w:hAnsi="宋体" w:eastAsia="宋体" w:cs="宋体"/>
          <w:b/>
          <w:color w:val="auto"/>
          <w:sz w:val="36"/>
          <w:szCs w:val="21"/>
          <w:highlight w:val="none"/>
        </w:rPr>
      </w:pPr>
    </w:p>
    <w:p w14:paraId="61C4CCAD">
      <w:pPr>
        <w:pStyle w:val="2"/>
        <w:rPr>
          <w:rFonts w:hint="eastAsia" w:ascii="宋体" w:hAnsi="宋体" w:eastAsia="宋体" w:cs="宋体"/>
          <w:b/>
          <w:color w:val="auto"/>
          <w:sz w:val="36"/>
          <w:szCs w:val="21"/>
          <w:highlight w:val="none"/>
        </w:rPr>
      </w:pPr>
    </w:p>
    <w:p w14:paraId="552C7CEC">
      <w:pPr>
        <w:pStyle w:val="2"/>
        <w:rPr>
          <w:rFonts w:hint="eastAsia" w:ascii="宋体" w:hAnsi="宋体" w:eastAsia="宋体" w:cs="宋体"/>
          <w:b/>
          <w:color w:val="auto"/>
          <w:sz w:val="36"/>
          <w:szCs w:val="21"/>
          <w:highlight w:val="none"/>
        </w:rPr>
      </w:pPr>
    </w:p>
    <w:p w14:paraId="193C2404">
      <w:pPr>
        <w:pStyle w:val="2"/>
        <w:rPr>
          <w:rFonts w:hint="eastAsia" w:ascii="宋体" w:hAnsi="宋体" w:eastAsia="宋体" w:cs="宋体"/>
          <w:b/>
          <w:color w:val="auto"/>
          <w:sz w:val="36"/>
          <w:szCs w:val="21"/>
          <w:highlight w:val="none"/>
        </w:rPr>
      </w:pPr>
    </w:p>
    <w:p w14:paraId="38C2C922">
      <w:pPr>
        <w:pStyle w:val="2"/>
        <w:rPr>
          <w:rFonts w:hint="eastAsia" w:ascii="宋体" w:hAnsi="宋体" w:eastAsia="宋体" w:cs="宋体"/>
          <w:b/>
          <w:color w:val="auto"/>
          <w:sz w:val="36"/>
          <w:szCs w:val="21"/>
          <w:highlight w:val="none"/>
        </w:rPr>
      </w:pPr>
    </w:p>
    <w:p w14:paraId="340BA41A">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1"/>
          <w:highlight w:val="none"/>
        </w:rPr>
      </w:pPr>
    </w:p>
    <w:p w14:paraId="297BE44F">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一、总则</w:t>
      </w:r>
    </w:p>
    <w:p w14:paraId="54BCF6A2">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适用范围</w:t>
      </w:r>
    </w:p>
    <w:p w14:paraId="77ACA16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本招标文件适用于该项目的招标、投标、开标、资格审查及信用信息查询、评标、定标、合同、验收等行为（法律、法规另有规定的，从其规定）。</w:t>
      </w:r>
    </w:p>
    <w:p w14:paraId="30EED861">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after="313" w:afterLines="100" w:line="240" w:lineRule="auto"/>
        <w:jc w:val="left"/>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定义</w:t>
      </w:r>
    </w:p>
    <w:p w14:paraId="77E32D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2.1“采购人”系指招标公告中载明的本项目的采购人。</w:t>
      </w:r>
    </w:p>
    <w:p w14:paraId="4C60EF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”系指招标公告中载明的本项目的</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w:t>
      </w:r>
    </w:p>
    <w:p w14:paraId="169C45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2.3“投标人”系指是指响应招标、参加投标竞争的法人、其他组织或者自然人。</w:t>
      </w:r>
    </w:p>
    <w:p w14:paraId="393786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2.4“负责人”系指法人企业的法定负责人，或其他组织为法律、行政法规规定代表单位行使职权的主要负责人，或自然人本人。</w:t>
      </w:r>
    </w:p>
    <w:p w14:paraId="0B6484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B5E456">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2.6“电子交易平台”是指本项目政府采购活动所依托的政府采购云平台（https://www.zcygov.cn/）。</w:t>
      </w:r>
    </w:p>
    <w:p w14:paraId="6CFF5A6D">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2.7“▲”系指实质性要求条款，“</w:t>
      </w:r>
      <w:sdt>
        <w:sdtPr>
          <w:rPr>
            <w:rFonts w:hint="eastAsia" w:ascii="宋体" w:hAnsi="宋体" w:eastAsia="宋体" w:cs="宋体"/>
            <w:b w:val="0"/>
            <w:bCs w:val="0"/>
            <w:color w:val="auto"/>
            <w:kern w:val="0"/>
            <w:szCs w:val="21"/>
            <w:highlight w:val="none"/>
          </w:rPr>
          <w:id w:val="512970236"/>
        </w:sdtPr>
        <w:sdtEndPr>
          <w:rPr>
            <w:rFonts w:hint="eastAsia" w:ascii="宋体" w:hAnsi="宋体" w:eastAsia="宋体" w:cs="宋体"/>
            <w:b w:val="0"/>
            <w:bCs w:val="0"/>
            <w:color w:val="auto"/>
            <w:kern w:val="0"/>
            <w:szCs w:val="21"/>
            <w:highlight w:val="none"/>
          </w:rPr>
        </w:sdtEndPr>
        <w:sdtContent>
          <w:r>
            <w:rPr>
              <w:rFonts w:hint="eastAsia" w:ascii="宋体" w:hAnsi="宋体" w:eastAsia="宋体" w:cs="宋体"/>
              <w:b w:val="0"/>
              <w:bCs w:val="0"/>
              <w:color w:val="auto"/>
              <w:kern w:val="0"/>
              <w:szCs w:val="21"/>
              <w:highlight w:val="none"/>
            </w:rPr>
            <w:sym w:font="Wingdings" w:char="00FE"/>
          </w:r>
        </w:sdtContent>
      </w:sdt>
      <w:r>
        <w:rPr>
          <w:rFonts w:hint="eastAsia" w:ascii="宋体" w:hAnsi="宋体" w:eastAsia="宋体" w:cs="宋体"/>
          <w:b w:val="0"/>
          <w:bCs w:val="0"/>
          <w:color w:val="auto"/>
          <w:szCs w:val="21"/>
          <w:highlight w:val="none"/>
        </w:rPr>
        <w:t>”系指适用本项目的要求，“</w:t>
      </w:r>
      <w:sdt>
        <w:sdtPr>
          <w:rPr>
            <w:rFonts w:hint="eastAsia" w:ascii="宋体" w:hAnsi="宋体" w:eastAsia="宋体" w:cs="宋体"/>
            <w:b w:val="0"/>
            <w:bCs w:val="0"/>
            <w:color w:val="auto"/>
            <w:kern w:val="0"/>
            <w:szCs w:val="21"/>
            <w:highlight w:val="none"/>
          </w:rPr>
          <w:id w:val="404888855"/>
        </w:sdtPr>
        <w:sdtEndPr>
          <w:rPr>
            <w:rFonts w:hint="eastAsia" w:ascii="宋体" w:hAnsi="宋体" w:eastAsia="宋体" w:cs="宋体"/>
            <w:b w:val="0"/>
            <w:bCs w:val="0"/>
            <w:color w:val="auto"/>
            <w:kern w:val="0"/>
            <w:szCs w:val="21"/>
            <w:highlight w:val="none"/>
          </w:rPr>
        </w:sdtEndPr>
        <w:sdtContent>
          <w:sdt>
            <w:sdtPr>
              <w:rPr>
                <w:rFonts w:hint="eastAsia" w:ascii="宋体" w:hAnsi="宋体" w:eastAsia="宋体" w:cs="宋体"/>
                <w:b w:val="0"/>
                <w:bCs w:val="0"/>
                <w:color w:val="auto"/>
                <w:kern w:val="0"/>
                <w:szCs w:val="21"/>
                <w:highlight w:val="none"/>
              </w:rPr>
              <w:id w:val="147477635"/>
            </w:sdtPr>
            <w:sdtEndPr>
              <w:rPr>
                <w:rFonts w:hint="eastAsia" w:ascii="宋体" w:hAnsi="宋体" w:eastAsia="宋体" w:cs="宋体"/>
                <w:b w:val="0"/>
                <w:bCs w:val="0"/>
                <w:color w:val="auto"/>
                <w:kern w:val="0"/>
                <w:szCs w:val="21"/>
                <w:highlight w:val="none"/>
              </w:rPr>
            </w:sdtEndPr>
            <w:sdtContent>
              <w:r>
                <w:rPr>
                  <w:rFonts w:hint="eastAsia" w:ascii="宋体" w:hAnsi="宋体" w:eastAsia="宋体" w:cs="宋体"/>
                  <w:b w:val="0"/>
                  <w:bCs w:val="0"/>
                  <w:color w:val="auto"/>
                  <w:kern w:val="0"/>
                  <w:szCs w:val="21"/>
                  <w:highlight w:val="none"/>
                </w:rPr>
                <w:sym w:font="Wingdings" w:char="00A8"/>
              </w:r>
            </w:sdtContent>
          </w:sdt>
        </w:sdtContent>
      </w:sdt>
      <w:r>
        <w:rPr>
          <w:rFonts w:hint="eastAsia" w:ascii="宋体" w:hAnsi="宋体" w:eastAsia="宋体" w:cs="宋体"/>
          <w:b w:val="0"/>
          <w:bCs w:val="0"/>
          <w:color w:val="auto"/>
          <w:szCs w:val="21"/>
          <w:highlight w:val="none"/>
        </w:rPr>
        <w:t>”系指不适用本项目的要求。</w:t>
      </w:r>
    </w:p>
    <w:p w14:paraId="34C1ED30">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采购项目需要落实的政府采购政策</w:t>
      </w:r>
    </w:p>
    <w:p w14:paraId="7205FE2E">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3.1进口产品采购管理</w:t>
      </w:r>
    </w:p>
    <w:p w14:paraId="6CCC8B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机构不会对其加以限制，仍将按照公平竞争原则实施采购）。优先采购向我国企业转让技术、与我国企业签订消化吸收再创新方案的供应商的进口产品。</w:t>
      </w:r>
    </w:p>
    <w:p w14:paraId="0EA58DA9">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3.2支持绿色发展</w:t>
      </w:r>
    </w:p>
    <w:p w14:paraId="1668D01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14:paraId="157AA2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3.2.2修缮、装修类项目采购建材的，采购人应将绿色建筑和绿色建材性能、指标等作为实质性条件纳入招标文件和合同。</w:t>
      </w:r>
    </w:p>
    <w:p w14:paraId="5878F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1420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3.2.4</w:t>
      </w:r>
      <w:r>
        <w:rPr>
          <w:rFonts w:hint="eastAsia" w:ascii="宋体" w:hAnsi="宋体" w:eastAsia="宋体" w:cs="宋体"/>
          <w:color w:val="auto"/>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68A7E9">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3.3支持中小企业发展</w:t>
      </w:r>
    </w:p>
    <w:p w14:paraId="5D746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C4FD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7D3F01AD">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3.3.2</w:t>
      </w:r>
      <w:r>
        <w:rPr>
          <w:rFonts w:hint="eastAsia" w:ascii="宋体" w:hAnsi="宋体" w:eastAsia="宋体" w:cs="宋体"/>
          <w:color w:val="auto"/>
          <w:kern w:val="0"/>
          <w:szCs w:val="21"/>
          <w:highlight w:val="none"/>
        </w:rPr>
        <w:t>在政府采购活动中，投标人提供的货物符合下列情形的，享受中小企业扶持政策：在</w:t>
      </w:r>
      <w:r>
        <w:rPr>
          <w:rFonts w:hint="eastAsia" w:ascii="宋体" w:hAnsi="宋体" w:eastAsia="宋体" w:cs="宋体"/>
          <w:color w:val="auto"/>
          <w:kern w:val="0"/>
          <w:szCs w:val="21"/>
          <w:highlight w:val="none"/>
          <w:lang w:val="en-US" w:eastAsia="zh-CN"/>
        </w:rPr>
        <w:t>货物</w:t>
      </w:r>
      <w:r>
        <w:rPr>
          <w:rFonts w:hint="eastAsia" w:ascii="宋体" w:hAnsi="宋体" w:eastAsia="宋体" w:cs="宋体"/>
          <w:color w:val="auto"/>
          <w:kern w:val="0"/>
          <w:szCs w:val="21"/>
          <w:highlight w:val="none"/>
        </w:rPr>
        <w:t>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79CD55">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0D5848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3.3.3对于未预留份额专门面向中小企业的政府采购货物项目，以及预留份额政府采购</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项目中的非预留部分标项，对小型和微型企业的投标报价给予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20%的扣除，用扣除后的价格参与评审。接受大中型企业与小微企业组成联合体或者允许大中型企业向一家或者多家小微企业分包的政府采购</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项目，对于联合协议或者分包意向协议约定小微企业的合同份额占到合同总金额30%以上的，对联合体或者大中型企业的报价给予</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6%的扣除，用扣除后的价格参加评审。组成联合体或者接受分包的小微企业与联合体内其他企业、分包企业之间存在直接控股、管理关系的，不享受价格扣除优惠政策。</w:t>
      </w:r>
    </w:p>
    <w:p w14:paraId="375519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21CB24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148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3.3.6可享受中小企业扶持政策的投标人应按照招标文件格式要求提供《中小企业声明函》，投标人提供的《中小企业声明函》与实际情况不符的，不享受中小企业扶持政策。</w:t>
      </w:r>
      <w:r>
        <w:rPr>
          <w:rFonts w:hint="eastAsia" w:ascii="宋体" w:hAnsi="宋体" w:eastAsia="宋体" w:cs="宋体"/>
          <w:b/>
          <w:bCs/>
          <w:color w:val="auto"/>
          <w:szCs w:val="21"/>
          <w:highlight w:val="none"/>
          <w:u w:val="single"/>
        </w:rPr>
        <w:t>声明内容不实的，属于提供虚假材料谋取中标、成交的，依法承担法律责任。</w:t>
      </w:r>
    </w:p>
    <w:p w14:paraId="698452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3.3.7中小企业享受扶持政策获得政府采购合同的，小微企业不得将合同分包给大中型企业，中型企业不得将合同分包给大型企业。</w:t>
      </w:r>
    </w:p>
    <w:p w14:paraId="0099FCB7">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3.4支持创新发展</w:t>
      </w:r>
    </w:p>
    <w:p w14:paraId="3F2A44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3.4.1采购人优先采购被认定为首台套产品和“制造精品”的自主创新产品。</w:t>
      </w:r>
    </w:p>
    <w:p w14:paraId="14868F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D5DE14">
      <w:pPr>
        <w:spacing w:line="360" w:lineRule="auto"/>
        <w:ind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3.5平等对待内外资企业和符合条件的破产重整企业</w:t>
      </w:r>
    </w:p>
    <w:p w14:paraId="6FFB2D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平等对待内外资企业和符合条件的破产重整企业平等对待内外资企业和符合条件的破产重整企业，切实保障企业公平竞争，平等维护企业的合法利益。</w:t>
      </w:r>
    </w:p>
    <w:p w14:paraId="4E5EB7C1">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询问、质疑、投诉</w:t>
      </w:r>
    </w:p>
    <w:p w14:paraId="4133753B">
      <w:pPr>
        <w:autoSpaceDE w:val="0"/>
        <w:autoSpaceDN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4.1在线询问、质疑、投诉。</w:t>
      </w:r>
    </w:p>
    <w:p w14:paraId="0BD07073">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21061D">
      <w:pPr>
        <w:keepNext w:val="0"/>
        <w:keepLines w:val="0"/>
        <w:pageBreakBefore w:val="0"/>
        <w:widowControl w:val="0"/>
        <w:kinsoku/>
        <w:wordWrap w:val="0"/>
        <w:overflowPunct/>
        <w:topLinePunct w:val="0"/>
        <w:autoSpaceDE/>
        <w:autoSpaceDN w:val="0"/>
        <w:bidi w:val="0"/>
        <w:adjustRightInd w:val="0"/>
        <w:snapToGrid/>
        <w:spacing w:line="360" w:lineRule="auto"/>
        <w:ind w:firstLine="420" w:firstLineChars="200"/>
        <w:jc w:val="left"/>
        <w:textAlignment w:val="auto"/>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1"/>
          <w:sz w:val="21"/>
          <w:szCs w:val="21"/>
          <w:highlight w:val="none"/>
          <w:lang w:val="zh-CN"/>
        </w:rPr>
        <w:t>4.</w:t>
      </w:r>
      <w:r>
        <w:rPr>
          <w:rFonts w:hint="eastAsia" w:ascii="宋体" w:hAnsi="宋体" w:eastAsia="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lang w:val="zh-CN"/>
        </w:rPr>
        <w:t>供应商询问</w:t>
      </w:r>
    </w:p>
    <w:p w14:paraId="6FFF9031">
      <w:pPr>
        <w:keepNext w:val="0"/>
        <w:keepLines w:val="0"/>
        <w:pageBreakBefore w:val="0"/>
        <w:widowControl w:val="0"/>
        <w:kinsoku/>
        <w:wordWrap w:val="0"/>
        <w:overflowPunct/>
        <w:topLinePunct w:val="0"/>
        <w:autoSpaceDE/>
        <w:autoSpaceDN w:val="0"/>
        <w:bidi w:val="0"/>
        <w:adjustRightInd w:val="0"/>
        <w:snapToGrid/>
        <w:spacing w:line="360" w:lineRule="auto"/>
        <w:ind w:firstLine="420" w:firstLineChars="200"/>
        <w:jc w:val="left"/>
        <w:textAlignment w:val="auto"/>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1"/>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67C71E">
      <w:pPr>
        <w:keepNext w:val="0"/>
        <w:keepLines w:val="0"/>
        <w:pageBreakBefore w:val="0"/>
        <w:widowControl w:val="0"/>
        <w:kinsoku/>
        <w:wordWrap w:val="0"/>
        <w:overflowPunct/>
        <w:topLinePunct w:val="0"/>
        <w:autoSpaceDE/>
        <w:autoSpaceDN w:val="0"/>
        <w:bidi w:val="0"/>
        <w:adjustRightInd w:val="0"/>
        <w:snapToGrid/>
        <w:spacing w:line="360" w:lineRule="auto"/>
        <w:ind w:firstLine="420" w:firstLineChars="200"/>
        <w:jc w:val="left"/>
        <w:textAlignment w:val="auto"/>
        <w:rPr>
          <w:rFonts w:hint="eastAsia" w:ascii="宋体" w:hAnsi="宋体" w:eastAsia="宋体" w:cs="宋体"/>
          <w:color w:val="auto"/>
          <w:kern w:val="21"/>
          <w:sz w:val="21"/>
          <w:szCs w:val="21"/>
          <w:highlight w:val="none"/>
          <w:lang w:val="zh-CN"/>
        </w:rPr>
      </w:pPr>
      <w:r>
        <w:rPr>
          <w:rFonts w:hint="eastAsia" w:ascii="宋体" w:hAnsi="宋体" w:eastAsia="宋体" w:cs="宋体"/>
          <w:color w:val="auto"/>
          <w:kern w:val="21"/>
          <w:sz w:val="21"/>
          <w:szCs w:val="21"/>
          <w:highlight w:val="none"/>
          <w:lang w:val="zh-CN"/>
        </w:rPr>
        <w:t>4.</w:t>
      </w:r>
      <w:r>
        <w:rPr>
          <w:rFonts w:hint="eastAsia" w:ascii="宋体" w:hAnsi="宋体" w:eastAsia="宋体" w:cs="宋体"/>
          <w:color w:val="auto"/>
          <w:kern w:val="21"/>
          <w:sz w:val="21"/>
          <w:szCs w:val="21"/>
          <w:highlight w:val="none"/>
          <w:lang w:val="en-US" w:eastAsia="zh-CN"/>
        </w:rPr>
        <w:t>3</w:t>
      </w:r>
      <w:r>
        <w:rPr>
          <w:rFonts w:hint="eastAsia" w:ascii="宋体" w:hAnsi="宋体" w:eastAsia="宋体" w:cs="宋体"/>
          <w:color w:val="auto"/>
          <w:kern w:val="21"/>
          <w:sz w:val="21"/>
          <w:szCs w:val="21"/>
          <w:highlight w:val="none"/>
          <w:lang w:val="zh-CN"/>
        </w:rPr>
        <w:t>供应商质疑</w:t>
      </w:r>
    </w:p>
    <w:p w14:paraId="4B2D5A05">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highlight w:val="none"/>
        </w:rPr>
        <w:t>.1提出质疑的供应商应当是参与所质疑项目采购活动的供应商。潜在供应商已依法获取其可质疑的招标文件的，可以对该文件提出质疑。</w:t>
      </w:r>
    </w:p>
    <w:p w14:paraId="1014A479">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highlight w:val="none"/>
        </w:rPr>
        <w:t>.2供应商认为招标文件、采购过程和中标结果使自己的权益受到损害的，可以在知道或者应知其权益受到损害之日起七个工作日内，以书面形式向采购人或者采购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机构提出质疑，否则，采购人或者采购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机构不予受理：</w:t>
      </w:r>
    </w:p>
    <w:p w14:paraId="6DE9ECF4">
      <w:pPr>
        <w:pStyle w:val="18"/>
        <w:spacing w:line="360" w:lineRule="auto"/>
        <w:ind w:firstLine="840" w:firstLineChars="400"/>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w:t>
      </w:r>
      <w:r>
        <w:rPr>
          <w:rFonts w:hint="eastAsia" w:ascii="宋体" w:hAnsi="宋体" w:eastAsia="宋体" w:cs="宋体"/>
          <w:snapToGrid/>
          <w:color w:val="auto"/>
          <w:kern w:val="2"/>
          <w:sz w:val="21"/>
          <w:szCs w:val="21"/>
          <w:highlight w:val="none"/>
          <w:lang w:val="en-US" w:eastAsia="zh-CN"/>
        </w:rPr>
        <w:t>3</w:t>
      </w:r>
      <w:r>
        <w:rPr>
          <w:rFonts w:hint="eastAsia" w:ascii="宋体" w:hAnsi="宋体" w:eastAsia="宋体" w:cs="宋体"/>
          <w:snapToGrid/>
          <w:color w:val="auto"/>
          <w:kern w:val="2"/>
          <w:sz w:val="21"/>
          <w:szCs w:val="21"/>
          <w:highlight w:val="none"/>
        </w:rPr>
        <w:t>.2.1对招标文件提出质疑的，质疑期限为供应商获得招标文件之日或者招标文件公告期限届满之日起计算。</w:t>
      </w:r>
    </w:p>
    <w:p w14:paraId="6AB931AF">
      <w:pPr>
        <w:pStyle w:val="7"/>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.2.2对采购过程提出质疑的，质疑期限为各采购程序环节结束之日起计算。</w:t>
      </w:r>
    </w:p>
    <w:p w14:paraId="31CCE4F9">
      <w:pPr>
        <w:pStyle w:val="7"/>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.2.3对采购结果提出质疑的，质疑期限自采购结果公告期限届满之日起计算。</w:t>
      </w:r>
    </w:p>
    <w:p w14:paraId="3E70BC1F">
      <w:pPr>
        <w:pStyle w:val="7"/>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.3</w:t>
      </w:r>
      <w:r>
        <w:rPr>
          <w:rFonts w:hint="eastAsia" w:ascii="宋体" w:hAnsi="宋体" w:eastAsia="宋体" w:cs="宋体"/>
          <w:color w:val="auto"/>
          <w:highlight w:val="none"/>
        </w:rPr>
        <w:t>供应商提出质疑应当提交质疑函和必要的证明材料。质疑函应当包括下列内容：</w:t>
      </w:r>
    </w:p>
    <w:p w14:paraId="721DD59F">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.3.1供应商的姓名或者名称、地址、邮编、联系人及联系电话；</w:t>
      </w:r>
    </w:p>
    <w:p w14:paraId="42E070F7">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.3.2质疑项目的名称、编号；</w:t>
      </w:r>
    </w:p>
    <w:p w14:paraId="0D9A98CF">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.3.3具体、明确的质疑事项和与质疑事项相关的请求；</w:t>
      </w:r>
    </w:p>
    <w:p w14:paraId="3554903B">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.3.4事实依据；</w:t>
      </w:r>
    </w:p>
    <w:p w14:paraId="34624A35">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.3.5必要的法律依据；</w:t>
      </w:r>
    </w:p>
    <w:p w14:paraId="667BE4D6">
      <w:pPr>
        <w:pStyle w:val="7"/>
        <w:spacing w:line="360" w:lineRule="auto"/>
        <w:ind w:firstLine="840" w:firstLineChars="4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4.</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.3.6提出质疑的日期。</w:t>
      </w:r>
    </w:p>
    <w:p w14:paraId="5AA35EAA">
      <w:pPr>
        <w:pStyle w:val="892"/>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49D11D73">
      <w:pPr>
        <w:pStyle w:val="892"/>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3C6157D3">
      <w:pPr>
        <w:pStyle w:val="892"/>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.4对同一采购程序环节的质疑，供应商须在法定质疑期内一次性提出。</w:t>
      </w:r>
    </w:p>
    <w:p w14:paraId="3BD87F51">
      <w:pPr>
        <w:pStyle w:val="892"/>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62C67316">
      <w:pPr>
        <w:pStyle w:val="892"/>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询问或者质疑事项可能影响采购结果的，采购人应当暂停签订合同，已经签订合同的，应当中止履行合同。</w:t>
      </w:r>
    </w:p>
    <w:p w14:paraId="66C0DC08">
      <w:pPr>
        <w:autoSpaceDE w:val="0"/>
        <w:autoSpaceDN w:val="0"/>
        <w:spacing w:line="360" w:lineRule="auto"/>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供应商投诉</w:t>
      </w:r>
    </w:p>
    <w:p w14:paraId="7FC555CE">
      <w:pPr>
        <w:pStyle w:val="892"/>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.1质疑供应商对采购人、采购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机构的答复不满意或者采购人、采购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机构未在规定的时间内作出答复的，可以在答复期满后十五个工作日内向同级政府采购监督管理部门提出投诉。</w:t>
      </w:r>
    </w:p>
    <w:p w14:paraId="6CE58A75">
      <w:pPr>
        <w:pStyle w:val="892"/>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269219D">
      <w:pPr>
        <w:pStyle w:val="892"/>
        <w:widowControl w:val="0"/>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.3供应商投诉应当有明确的请求和必要的证明材料。</w:t>
      </w:r>
    </w:p>
    <w:p w14:paraId="06278951">
      <w:pPr>
        <w:pStyle w:val="892"/>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以联合体形式参加政府采购活动的，其投诉应当由组成联合体的所有供应商共同提出。</w:t>
      </w:r>
    </w:p>
    <w:p w14:paraId="1A31F6AB">
      <w:pPr>
        <w:pStyle w:val="892"/>
        <w:shd w:val="clear" w:color="auto" w:fill="FFFFFF"/>
        <w:snapToGrid w:val="0"/>
        <w:spacing w:before="0" w:beforeAutospacing="0" w:after="0" w:afterAutospacing="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6F84D324">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二、招标文件的构成、澄清、修改</w:t>
      </w:r>
    </w:p>
    <w:p w14:paraId="77FAEAF5">
      <w:pPr>
        <w:pStyle w:val="7"/>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5.</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招标文件的构成</w:t>
      </w:r>
    </w:p>
    <w:p w14:paraId="25D6F4AE">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5.1招标文件包括下列文件及附件：</w:t>
      </w:r>
    </w:p>
    <w:p w14:paraId="6F24631E">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5.1.1招标公告；</w:t>
      </w:r>
    </w:p>
    <w:p w14:paraId="0BA1F6D4">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5.1.2投标人须知；</w:t>
      </w:r>
    </w:p>
    <w:p w14:paraId="093B76A9">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5.1.3采购需求；</w:t>
      </w:r>
    </w:p>
    <w:p w14:paraId="47310078">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5.1.4评标办法；</w:t>
      </w:r>
    </w:p>
    <w:p w14:paraId="175C5659">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5.1.5拟签订的合同文本；</w:t>
      </w:r>
    </w:p>
    <w:p w14:paraId="08CD3564">
      <w:pPr>
        <w:pStyle w:val="7"/>
        <w:tabs>
          <w:tab w:val="left" w:pos="840"/>
        </w:tabs>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5.1.6应提交的有关格式范例。</w:t>
      </w:r>
    </w:p>
    <w:p w14:paraId="57A8E5B6">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5.2与本项目有关的</w:t>
      </w:r>
      <w:r>
        <w:rPr>
          <w:rFonts w:hint="eastAsia" w:ascii="宋体" w:hAnsi="宋体" w:eastAsia="宋体" w:cs="宋体"/>
          <w:bCs/>
          <w:color w:val="auto"/>
          <w:szCs w:val="21"/>
          <w:highlight w:val="none"/>
        </w:rPr>
        <w:t>澄清或者修改的内容为招标文件的组成部分</w:t>
      </w:r>
      <w:r>
        <w:rPr>
          <w:rFonts w:hint="eastAsia" w:ascii="宋体" w:hAnsi="宋体" w:eastAsia="宋体" w:cs="宋体"/>
          <w:color w:val="auto"/>
          <w:szCs w:val="21"/>
          <w:highlight w:val="none"/>
        </w:rPr>
        <w:t>。</w:t>
      </w:r>
    </w:p>
    <w:p w14:paraId="2C3C8552">
      <w:pPr>
        <w:pStyle w:val="7"/>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6.</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招标文件的澄清、修改</w:t>
      </w:r>
    </w:p>
    <w:p w14:paraId="156D1D13">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机构提出。</w:t>
      </w:r>
    </w:p>
    <w:p w14:paraId="1BB926C3">
      <w:pPr>
        <w:pStyle w:val="135"/>
        <w:snapToGrid w:val="0"/>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6.2采购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567C63">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宋体" w:hAnsi="宋体" w:eastAsia="宋体" w:cs="宋体"/>
          <w:b/>
          <w:color w:val="auto"/>
          <w:sz w:val="36"/>
          <w:szCs w:val="22"/>
          <w:highlight w:val="none"/>
        </w:rPr>
      </w:pPr>
      <w:r>
        <w:rPr>
          <w:rFonts w:hint="eastAsia" w:ascii="宋体" w:hAnsi="宋体" w:eastAsia="宋体" w:cs="宋体"/>
          <w:b/>
          <w:color w:val="auto"/>
          <w:sz w:val="36"/>
          <w:szCs w:val="22"/>
          <w:highlight w:val="none"/>
        </w:rPr>
        <w:t>三、投标</w:t>
      </w:r>
    </w:p>
    <w:p w14:paraId="69FB8BDC">
      <w:pPr>
        <w:pStyle w:val="7"/>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7.</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招标文件的获取</w:t>
      </w:r>
    </w:p>
    <w:p w14:paraId="2DBAF030">
      <w:pPr>
        <w:spacing w:line="360" w:lineRule="auto"/>
        <w:ind w:firstLine="420" w:firstLineChars="200"/>
        <w:rPr>
          <w:rFonts w:hint="eastAsia" w:ascii="宋体" w:hAnsi="宋体" w:eastAsia="宋体" w:cs="宋体"/>
          <w:snapToGrid w:val="0"/>
          <w:color w:val="auto"/>
          <w:kern w:val="28"/>
          <w:szCs w:val="21"/>
          <w:highlight w:val="none"/>
        </w:rPr>
      </w:pPr>
      <w:r>
        <w:rPr>
          <w:rFonts w:hint="eastAsia" w:ascii="宋体" w:hAnsi="宋体" w:eastAsia="宋体" w:cs="宋体"/>
          <w:snapToGrid w:val="0"/>
          <w:color w:val="auto"/>
          <w:kern w:val="28"/>
          <w:szCs w:val="21"/>
          <w:highlight w:val="none"/>
        </w:rPr>
        <w:t>详见招标公告中获取招标文件的时间期限、地点、方式及招标文件售价。</w:t>
      </w:r>
    </w:p>
    <w:p w14:paraId="5E15A979">
      <w:pPr>
        <w:spacing w:line="360" w:lineRule="auto"/>
        <w:ind w:firstLine="422" w:firstLineChars="200"/>
        <w:rPr>
          <w:rFonts w:hint="eastAsia" w:ascii="宋体" w:hAnsi="宋体" w:eastAsia="宋体" w:cs="宋体"/>
          <w:snapToGrid w:val="0"/>
          <w:color w:val="auto"/>
          <w:kern w:val="28"/>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14:paraId="37B69097">
      <w:pPr>
        <w:pStyle w:val="7"/>
        <w:keepNext w:val="0"/>
        <w:keepLines w:val="0"/>
        <w:pageBreakBefore w:val="0"/>
        <w:widowControl w:val="0"/>
        <w:numPr>
          <w:ilvl w:val="0"/>
          <w:numId w:val="2"/>
        </w:numPr>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开标前答疑会或现场考察</w:t>
      </w:r>
    </w:p>
    <w:p w14:paraId="2AA8B260">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采购人组织潜在投标人现场考察或者召开开标前答疑会的，潜在投标人按第二部分投标人须知前附表的规定参加现场考察或者开标前答疑会。</w:t>
      </w:r>
    </w:p>
    <w:p w14:paraId="7E0D2DBF">
      <w:pPr>
        <w:pStyle w:val="7"/>
        <w:keepNext w:val="0"/>
        <w:keepLines w:val="0"/>
        <w:pageBreakBefore w:val="0"/>
        <w:widowControl w:val="0"/>
        <w:numPr>
          <w:ilvl w:val="0"/>
          <w:numId w:val="2"/>
        </w:numPr>
        <w:kinsoku/>
        <w:wordWrap/>
        <w:overflowPunct/>
        <w:topLinePunct w:val="0"/>
        <w:autoSpaceDE/>
        <w:autoSpaceDN/>
        <w:bidi w:val="0"/>
        <w:adjustRightInd w:val="0"/>
        <w:snapToGrid/>
        <w:spacing w:before="313" w:beforeLines="100" w:after="313" w:afterLines="100" w:line="240" w:lineRule="auto"/>
        <w:ind w:left="0" w:lef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投标保证金</w:t>
      </w:r>
    </w:p>
    <w:p w14:paraId="24F2BB14">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4B1D6272">
      <w:pPr>
        <w:pStyle w:val="7"/>
        <w:keepNext w:val="0"/>
        <w:keepLines w:val="0"/>
        <w:pageBreakBefore w:val="0"/>
        <w:widowControl w:val="0"/>
        <w:numPr>
          <w:ilvl w:val="0"/>
          <w:numId w:val="2"/>
        </w:numPr>
        <w:kinsoku/>
        <w:wordWrap/>
        <w:overflowPunct/>
        <w:topLinePunct w:val="0"/>
        <w:autoSpaceDE/>
        <w:autoSpaceDN/>
        <w:bidi w:val="0"/>
        <w:adjustRightInd w:val="0"/>
        <w:snapToGrid/>
        <w:spacing w:before="313" w:beforeLines="100" w:after="313" w:afterLines="100" w:line="240" w:lineRule="auto"/>
        <w:ind w:left="0" w:lef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投标文件的语言</w:t>
      </w:r>
    </w:p>
    <w:p w14:paraId="23715E89">
      <w:pPr>
        <w:autoSpaceDE w:val="0"/>
        <w:autoSpaceDN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投标文件及投标人与采购有关的来往通知、函件和文件均应使用中文。</w:t>
      </w:r>
    </w:p>
    <w:p w14:paraId="5FFE6CFF">
      <w:pPr>
        <w:pStyle w:val="7"/>
        <w:keepNext w:val="0"/>
        <w:keepLines w:val="0"/>
        <w:pageBreakBefore w:val="0"/>
        <w:widowControl w:val="0"/>
        <w:numPr>
          <w:ilvl w:val="0"/>
          <w:numId w:val="2"/>
        </w:numPr>
        <w:kinsoku/>
        <w:wordWrap/>
        <w:overflowPunct/>
        <w:topLinePunct w:val="0"/>
        <w:autoSpaceDE/>
        <w:autoSpaceDN/>
        <w:bidi w:val="0"/>
        <w:adjustRightInd w:val="0"/>
        <w:snapToGrid/>
        <w:spacing w:before="313" w:beforeLines="100" w:after="313" w:afterLines="100" w:line="240" w:lineRule="auto"/>
        <w:ind w:left="0" w:leftChars="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投标文件的组成</w:t>
      </w:r>
    </w:p>
    <w:p w14:paraId="06576E7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r>
        <w:rPr>
          <w:rFonts w:hint="eastAsia" w:ascii="宋体" w:hAnsi="宋体" w:eastAsia="宋体" w:cs="宋体"/>
          <w:b/>
          <w:color w:val="auto"/>
          <w:szCs w:val="21"/>
          <w:highlight w:val="none"/>
        </w:rPr>
        <w:t>资格文件</w:t>
      </w:r>
      <w:r>
        <w:rPr>
          <w:rFonts w:hint="eastAsia" w:ascii="宋体" w:hAnsi="宋体" w:eastAsia="宋体" w:cs="宋体"/>
          <w:color w:val="auto"/>
          <w:szCs w:val="21"/>
          <w:highlight w:val="none"/>
        </w:rPr>
        <w:t>：</w:t>
      </w:r>
    </w:p>
    <w:p w14:paraId="629A99C4">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11.1.1符合参加政府采购活动应当具备的一般条件的承诺函；</w:t>
      </w:r>
    </w:p>
    <w:p w14:paraId="699D0619">
      <w:pPr>
        <w:snapToGrid w:val="0"/>
        <w:spacing w:line="360" w:lineRule="auto"/>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11.1.2联合协议（如果有）；</w:t>
      </w:r>
    </w:p>
    <w:p w14:paraId="38490BEE">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落实政府采购政策需满足的资格要求（如果有）；</w:t>
      </w:r>
    </w:p>
    <w:p w14:paraId="27174147">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本项目的特定资格要求（如果有）。</w:t>
      </w:r>
    </w:p>
    <w:p w14:paraId="5362E283">
      <w:pPr>
        <w:snapToGrid w:val="0"/>
        <w:spacing w:line="360" w:lineRule="auto"/>
        <w:ind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11.</w:t>
      </w:r>
      <w:r>
        <w:rPr>
          <w:rFonts w:hint="eastAsia" w:ascii="宋体" w:hAnsi="宋体" w:eastAsia="宋体" w:cs="宋体"/>
          <w:b/>
          <w:bCs/>
          <w:color w:val="auto"/>
          <w:szCs w:val="21"/>
          <w:highlight w:val="none"/>
        </w:rPr>
        <w:t>2商务技术</w:t>
      </w:r>
      <w:r>
        <w:rPr>
          <w:rFonts w:hint="eastAsia" w:ascii="宋体" w:hAnsi="宋体" w:eastAsia="宋体" w:cs="宋体"/>
          <w:b/>
          <w:bCs/>
          <w:color w:val="auto"/>
          <w:szCs w:val="21"/>
          <w:highlight w:val="none"/>
          <w:lang w:val="zh-CN"/>
        </w:rPr>
        <w:t>文件：</w:t>
      </w:r>
    </w:p>
    <w:p w14:paraId="7904625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11.2.1投标函；</w:t>
      </w:r>
    </w:p>
    <w:p w14:paraId="6AF692EF">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11.2.2授权委托书或法定代表人（单位负责人、自然人本人）身份证明；</w:t>
      </w:r>
    </w:p>
    <w:p w14:paraId="6B91AB6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分包意向协议（如果有）；</w:t>
      </w:r>
    </w:p>
    <w:p w14:paraId="31875509">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符合性审查资料；</w:t>
      </w:r>
    </w:p>
    <w:p w14:paraId="3901675B">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评标标准相应的商务技术资料；</w:t>
      </w:r>
    </w:p>
    <w:p w14:paraId="7DDE01D6">
      <w:pPr>
        <w:snapToGrid w:val="0"/>
        <w:spacing w:line="360" w:lineRule="auto"/>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11.2.6投标标的清单；</w:t>
      </w:r>
    </w:p>
    <w:p w14:paraId="46318ECA">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商务技术偏离表；</w:t>
      </w:r>
    </w:p>
    <w:p w14:paraId="0E3E5BFD">
      <w:pPr>
        <w:snapToGrid w:val="0"/>
        <w:spacing w:line="360" w:lineRule="auto"/>
        <w:ind w:firstLine="840" w:firstLineChars="4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政府采购供应商廉洁自律承诺书；</w:t>
      </w:r>
    </w:p>
    <w:p w14:paraId="2A28B680">
      <w:pPr>
        <w:snapToGrid w:val="0"/>
        <w:spacing w:line="360" w:lineRule="auto"/>
        <w:ind w:firstLine="422" w:firstLineChars="200"/>
        <w:rPr>
          <w:rFonts w:hint="eastAsia" w:ascii="宋体" w:hAnsi="宋体" w:eastAsia="宋体" w:cs="宋体"/>
          <w:color w:val="auto"/>
          <w:szCs w:val="21"/>
          <w:highlight w:val="none"/>
          <w:u w:val="single"/>
          <w:lang w:val="zh-CN"/>
        </w:rPr>
      </w:pPr>
      <w:r>
        <w:rPr>
          <w:rFonts w:hint="eastAsia" w:ascii="宋体" w:hAnsi="宋体" w:eastAsia="宋体" w:cs="宋体"/>
          <w:b/>
          <w:bCs/>
          <w:color w:val="auto"/>
          <w:kern w:val="0"/>
          <w:szCs w:val="21"/>
          <w:highlight w:val="none"/>
          <w:lang w:val="zh-CN"/>
        </w:rPr>
        <w:t>11.</w:t>
      </w:r>
      <w:r>
        <w:rPr>
          <w:rFonts w:hint="eastAsia" w:ascii="宋体" w:hAnsi="宋体" w:eastAsia="宋体" w:cs="宋体"/>
          <w:b/>
          <w:bCs/>
          <w:color w:val="auto"/>
          <w:kern w:val="0"/>
          <w:szCs w:val="21"/>
          <w:highlight w:val="none"/>
        </w:rPr>
        <w:t>3</w:t>
      </w:r>
      <w:r>
        <w:rPr>
          <w:rFonts w:hint="eastAsia" w:ascii="宋体" w:hAnsi="宋体" w:eastAsia="宋体" w:cs="宋体"/>
          <w:b/>
          <w:color w:val="auto"/>
          <w:szCs w:val="21"/>
          <w:highlight w:val="none"/>
        </w:rPr>
        <w:t>报价文件：</w:t>
      </w:r>
    </w:p>
    <w:p w14:paraId="104600A8">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11.3.1开标一览表（报价表）；</w:t>
      </w:r>
    </w:p>
    <w:p w14:paraId="6790ABD0">
      <w:pPr>
        <w:snapToGrid w:val="0"/>
        <w:spacing w:line="360" w:lineRule="auto"/>
        <w:ind w:firstLine="840" w:firstLineChars="4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11.3.2报价明细表；</w:t>
      </w:r>
    </w:p>
    <w:p w14:paraId="0AA6EED6">
      <w:pPr>
        <w:snapToGrid w:val="0"/>
        <w:spacing w:line="360" w:lineRule="auto"/>
        <w:ind w:firstLine="840" w:firstLineChars="4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11.3.3报价情况说明（如供应商报价低于项目预算50%的，应当提交本文档，详细阐述不影响产品质量或者诚信履约的具体原因）；</w:t>
      </w:r>
    </w:p>
    <w:p w14:paraId="5186A15B">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中小企业声明函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如本项目专门面向中小企业采购，此处可不提供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4C6BEAAB">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u w:val="single"/>
        </w:rPr>
        <w:t>投标文件含有采购人不能接受的附加条件的，投标无效；</w:t>
      </w:r>
    </w:p>
    <w:p w14:paraId="6E7432F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u w:val="single"/>
        </w:rPr>
        <w:t>投标人提供虚假材料投标的，投标无效。</w:t>
      </w:r>
    </w:p>
    <w:p w14:paraId="6CF93B2F">
      <w:pPr>
        <w:pStyle w:val="135"/>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0" w:firstLineChars="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 xml:space="preserve"> </w:t>
      </w:r>
      <w:r>
        <w:rPr>
          <w:rFonts w:hint="eastAsia" w:ascii="宋体" w:hAnsi="宋体" w:eastAsia="宋体" w:cs="宋体"/>
          <w:b/>
          <w:color w:val="auto"/>
          <w:sz w:val="21"/>
          <w:szCs w:val="21"/>
          <w:highlight w:val="none"/>
        </w:rPr>
        <w:t>投标文件的编制</w:t>
      </w:r>
    </w:p>
    <w:p w14:paraId="5AC7931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B5E49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48CF2F">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24689A89">
      <w:pPr>
        <w:pStyle w:val="135"/>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0" w:firstLineChars="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投标文件的签署、盖章</w:t>
      </w:r>
    </w:p>
    <w:p w14:paraId="625A520C">
      <w:pPr>
        <w:pStyle w:val="135"/>
        <w:snapToGrid w:val="0"/>
        <w:spacing w:before="0"/>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rPr>
        <w:t>投标人的投标文件未按照招标文件要求签署、盖章的，其投标无效</w:t>
      </w:r>
      <w:r>
        <w:rPr>
          <w:rFonts w:hint="eastAsia" w:ascii="宋体" w:hAnsi="宋体" w:eastAsia="宋体" w:cs="宋体"/>
          <w:color w:val="auto"/>
          <w:sz w:val="21"/>
          <w:szCs w:val="21"/>
          <w:highlight w:val="none"/>
          <w:u w:val="single"/>
        </w:rPr>
        <w:t>。</w:t>
      </w:r>
    </w:p>
    <w:p w14:paraId="720C74F5">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9A31E89">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09EE182E">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投标文件的提交、补充、修改、撤回</w:t>
      </w:r>
    </w:p>
    <w:p w14:paraId="18EAC7D9">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6527D4">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25167A7">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机构可以视情况延长投标文件提交的截止时间。在上述情况下，采购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机构与投标人以前在投标截止期方面的全部权利、责任和义务，将适用于延长至新的投标截止期。</w:t>
      </w:r>
    </w:p>
    <w:p w14:paraId="647771DD">
      <w:pPr>
        <w:pStyle w:val="7"/>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15.</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备份投标文件</w:t>
      </w:r>
    </w:p>
    <w:p w14:paraId="06EEB609">
      <w:pPr>
        <w:pStyle w:val="7"/>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highlight w:val="none"/>
          <w:u w:val="single"/>
        </w:rPr>
        <w:t>但采购人、采购</w:t>
      </w:r>
      <w:r>
        <w:rPr>
          <w:rFonts w:hint="eastAsia" w:ascii="宋体" w:hAnsi="宋体" w:eastAsia="宋体" w:cs="宋体"/>
          <w:b/>
          <w:color w:val="auto"/>
          <w:highlight w:val="none"/>
          <w:u w:val="single"/>
          <w:lang w:val="en-US" w:eastAsia="zh-CN"/>
        </w:rPr>
        <w:t>代理</w:t>
      </w:r>
      <w:r>
        <w:rPr>
          <w:rFonts w:hint="eastAsia" w:ascii="宋体" w:hAnsi="宋体" w:eastAsia="宋体" w:cs="宋体"/>
          <w:b/>
          <w:color w:val="auto"/>
          <w:highlight w:val="none"/>
          <w:u w:val="single"/>
        </w:rPr>
        <w:t>机构不强制或变相强制投标人提交备份投标文件。</w:t>
      </w:r>
    </w:p>
    <w:p w14:paraId="50AB5775">
      <w:pPr>
        <w:pStyle w:val="7"/>
        <w:spacing w:line="360" w:lineRule="auto"/>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15.2备份投标文件须在“政采云投标客户端”制作生成，并储存在DVD光盘或U盘</w:t>
      </w:r>
      <w:r>
        <w:rPr>
          <w:rFonts w:hint="eastAsia" w:ascii="宋体" w:hAnsi="宋体" w:eastAsia="宋体" w:cs="宋体"/>
          <w:color w:val="auto"/>
          <w:highlight w:val="none"/>
          <w:lang w:val="en-US" w:eastAsia="zh-CN"/>
        </w:rPr>
        <w:t>等存储介质中</w:t>
      </w:r>
      <w:r>
        <w:rPr>
          <w:rFonts w:hint="eastAsia" w:ascii="宋体" w:hAnsi="宋体" w:eastAsia="宋体" w:cs="宋体"/>
          <w:color w:val="auto"/>
          <w:highlight w:val="none"/>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highlight w:val="none"/>
          <w:u w:val="single"/>
        </w:rPr>
        <w:t>不符合上述制作、存储、密封规定的备份投标文件将被视为无效或者被拒绝接收。</w:t>
      </w:r>
    </w:p>
    <w:p w14:paraId="18B0E174">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15.3直接提交备份投标文件的，投标人应于投标截止时间前</w:t>
      </w:r>
      <w:r>
        <w:rPr>
          <w:rFonts w:hint="eastAsia" w:ascii="宋体" w:hAnsi="宋体" w:eastAsia="宋体" w:cs="宋体"/>
          <w:color w:val="auto"/>
          <w:highlight w:val="none"/>
          <w:lang w:val="en-US" w:eastAsia="zh-CN"/>
        </w:rPr>
        <w:t>在</w:t>
      </w:r>
      <w:r>
        <w:rPr>
          <w:rFonts w:hint="eastAsia" w:ascii="宋体" w:hAnsi="宋体" w:eastAsia="宋体" w:cs="宋体"/>
          <w:color w:val="auto"/>
          <w:highlight w:val="none"/>
        </w:rPr>
        <w:t>投标人须知前附表规定的地点将备份投标文件提交给采购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机构将拒绝接受逾期送达的备份投标文件。</w:t>
      </w:r>
    </w:p>
    <w:p w14:paraId="5DB0FA60">
      <w:pPr>
        <w:pStyle w:val="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highlight w:val="none"/>
        </w:rPr>
        <w:t>招标文件第二部分投标人须知前附表规定的备份投标文件送达地点；</w:t>
      </w:r>
      <w:r>
        <w:rPr>
          <w:rFonts w:hint="eastAsia" w:ascii="宋体" w:hAnsi="宋体" w:eastAsia="宋体" w:cs="宋体"/>
          <w:color w:val="auto"/>
          <w:highlight w:val="none"/>
        </w:rPr>
        <w:t>送达时间以签收人签收时间为准。采购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机构将拒绝接受逾期送达的备份投标文件。邮寄过程中，电子备份投标文件发生泄露、遗失、损坏或延期送达等情况的，由投标人自行负责。</w:t>
      </w:r>
    </w:p>
    <w:p w14:paraId="251BBF03">
      <w:pPr>
        <w:pStyle w:val="7"/>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15.5</w:t>
      </w:r>
      <w:r>
        <w:rPr>
          <w:rFonts w:hint="eastAsia" w:ascii="宋体" w:hAnsi="宋体" w:eastAsia="宋体" w:cs="宋体"/>
          <w:b/>
          <w:color w:val="auto"/>
          <w:highlight w:val="none"/>
          <w:u w:val="single"/>
        </w:rPr>
        <w:t>投标人仅提交备份投标文件，没有在电子交易平台传输递交投标文件的，投标无效。</w:t>
      </w:r>
    </w:p>
    <w:p w14:paraId="73F32E73">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投标文件的无效处理</w:t>
      </w:r>
    </w:p>
    <w:p w14:paraId="4221C465">
      <w:pPr>
        <w:pStyle w:val="3"/>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有招标文件第四部分第4.2项规定的情形之一的，投标无效</w:t>
      </w:r>
      <w:r>
        <w:rPr>
          <w:rFonts w:hint="eastAsia" w:cs="宋体"/>
          <w:color w:val="auto"/>
          <w:sz w:val="21"/>
          <w:szCs w:val="21"/>
          <w:highlight w:val="none"/>
          <w:lang w:eastAsia="zh-CN"/>
        </w:rPr>
        <w:t>。</w:t>
      </w:r>
    </w:p>
    <w:p w14:paraId="64739E7D">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投标有效期</w:t>
      </w:r>
    </w:p>
    <w:p w14:paraId="0A046928">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17.1投标有效期为从提交投标文件的截止之日起90天。▲</w:t>
      </w:r>
      <w:r>
        <w:rPr>
          <w:rFonts w:hint="eastAsia" w:ascii="宋体" w:hAnsi="宋体" w:eastAsia="宋体" w:cs="宋体"/>
          <w:b/>
          <w:color w:val="auto"/>
          <w:szCs w:val="21"/>
          <w:highlight w:val="none"/>
          <w:u w:val="single"/>
        </w:rPr>
        <w:t>投标人的投标文件中承诺的投标有效期少于招标文件中载明的投标有效期的，投标无效。</w:t>
      </w:r>
    </w:p>
    <w:p w14:paraId="4598389C">
      <w:pPr>
        <w:pStyle w:val="135"/>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78518D32">
      <w:pPr>
        <w:pStyle w:val="135"/>
        <w:spacing w:before="0"/>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17.3在原定投标有效期满之前，如果出现特殊情况，采购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机构可以以书面形式通知投标人延长投标有效期。投标人同意延长的，不得要求或被允许修改其投标文件，投标人拒绝延长的，其投标无效。</w:t>
      </w:r>
    </w:p>
    <w:p w14:paraId="1225DC87">
      <w:pPr>
        <w:pStyle w:val="135"/>
        <w:keepNext w:val="0"/>
        <w:keepLines w:val="0"/>
        <w:pageBreakBefore w:val="0"/>
        <w:widowControl w:val="0"/>
        <w:kinsoku/>
        <w:wordWrap/>
        <w:overflowPunct/>
        <w:topLinePunct w:val="0"/>
        <w:autoSpaceDE/>
        <w:autoSpaceDN/>
        <w:bidi w:val="0"/>
        <w:adjustRightInd w:val="0"/>
        <w:snapToGrid/>
        <w:spacing w:before="240" w:beforeLines="100" w:after="240" w:afterLines="100" w:line="240" w:lineRule="auto"/>
        <w:ind w:firstLine="0" w:firstLineChars="0"/>
        <w:jc w:val="center"/>
        <w:textAlignment w:val="auto"/>
        <w:rPr>
          <w:rFonts w:hint="eastAsia" w:ascii="宋体" w:hAnsi="宋体" w:eastAsia="宋体" w:cs="宋体"/>
          <w:b/>
          <w:color w:val="auto"/>
          <w:sz w:val="36"/>
          <w:szCs w:val="21"/>
          <w:highlight w:val="none"/>
        </w:rPr>
      </w:pPr>
      <w:r>
        <w:rPr>
          <w:rFonts w:hint="eastAsia" w:ascii="宋体" w:hAnsi="宋体" w:eastAsia="宋体" w:cs="宋体"/>
          <w:b/>
          <w:color w:val="auto"/>
          <w:sz w:val="36"/>
          <w:szCs w:val="21"/>
          <w:highlight w:val="none"/>
        </w:rPr>
        <w:t>四、开标、资格审查与信用信息查询</w:t>
      </w:r>
    </w:p>
    <w:p w14:paraId="2F98BE8E">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开标</w:t>
      </w:r>
    </w:p>
    <w:p w14:paraId="3E6D106A">
      <w:pPr>
        <w:pStyle w:val="560"/>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机构按照招标文件规定的时间通过电子交易平台组织开标，所有投标人均应当准时在线参加。投标人不足3家的，不得开标。</w:t>
      </w:r>
    </w:p>
    <w:p w14:paraId="2C9AD673">
      <w:pPr>
        <w:pStyle w:val="560"/>
        <w:wordWrap w:val="0"/>
        <w:spacing w:before="0"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18.2开标时，电子交易平台按开标时间自动提取所有投标文件。采购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机构依托电子交易平台发起开始解密指令，投标人按照平台提示和招标文件的规定在半小时内完成在线解密。</w:t>
      </w:r>
    </w:p>
    <w:p w14:paraId="14E4290A">
      <w:pPr>
        <w:pStyle w:val="560"/>
        <w:wordWrap w:val="0"/>
        <w:spacing w:before="0" w:line="360" w:lineRule="auto"/>
        <w:ind w:left="0" w:firstLine="420" w:firstLineChars="200"/>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18.3</w:t>
      </w:r>
      <w:r>
        <w:rPr>
          <w:rFonts w:hint="eastAsia" w:ascii="宋体" w:hAnsi="宋体" w:eastAsia="宋体" w:cs="宋体"/>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14:paraId="5B96E302">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资格审查</w:t>
      </w:r>
    </w:p>
    <w:p w14:paraId="19478C07">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19.1采购人或采购代理机构依据法律法规和招标文件的规定，对投标人的资格进行审查。</w:t>
      </w:r>
    </w:p>
    <w:p w14:paraId="4BE05A99">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视为</w:t>
      </w:r>
      <w:r>
        <w:rPr>
          <w:rFonts w:hint="eastAsia" w:ascii="宋体" w:hAnsi="宋体" w:eastAsia="宋体" w:cs="宋体"/>
          <w:color w:val="auto"/>
          <w:sz w:val="21"/>
          <w:szCs w:val="21"/>
          <w:highlight w:val="none"/>
        </w:rPr>
        <w:t>投标人不具备招标文件中规定的资格要求，其投标无效。</w:t>
      </w:r>
    </w:p>
    <w:p w14:paraId="26B2054C">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4对未通过资格审查的投标人，采购人或采购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机构告知其未通过的原因。</w:t>
      </w:r>
    </w:p>
    <w:p w14:paraId="5D0B58A2">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5合格投标人不足3家的，不再评标。</w:t>
      </w:r>
    </w:p>
    <w:p w14:paraId="17BAF95F">
      <w:pPr>
        <w:pStyle w:val="135"/>
        <w:wordWrap w:val="0"/>
        <w:spacing w:before="0"/>
        <w:ind w:firstLine="42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19.5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57BA9BB">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信用信息查询</w:t>
      </w:r>
    </w:p>
    <w:p w14:paraId="1798998C">
      <w:pPr>
        <w:pStyle w:val="135"/>
        <w:keepNext w:val="0"/>
        <w:keepLines w:val="0"/>
        <w:pageBreakBefore w:val="0"/>
        <w:widowControl w:val="0"/>
        <w:kinsoku/>
        <w:wordWrap w:val="0"/>
        <w:overflowPunct/>
        <w:topLinePunct w:val="0"/>
        <w:autoSpaceDE/>
        <w:autoSpaceDN/>
        <w:bidi w:val="0"/>
        <w:adjustRightInd w:val="0"/>
        <w:snapToGrid/>
        <w:spacing w:before="0"/>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u w:val="single"/>
        </w:rPr>
        <w:t>采购代理机构将在资格审查时通过“信用中国”网站(www.creditchina.gov.cn)、中国政府采购网(www.ccgp.gov.cn)渠道查询投标人接受资格时的信用记录。</w:t>
      </w:r>
    </w:p>
    <w:p w14:paraId="7457674F">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w:t>
      </w:r>
      <w:r>
        <w:rPr>
          <w:rFonts w:hint="eastAsia" w:ascii="宋体" w:hAnsi="宋体" w:eastAsia="宋体" w:cs="宋体"/>
          <w:color w:val="auto"/>
          <w:kern w:val="0"/>
          <w:sz w:val="21"/>
          <w:szCs w:val="21"/>
          <w:highlight w:val="none"/>
          <w:u w:val="single"/>
        </w:rPr>
        <w:t>现场查询的投标人的信用记录、查询结果经确认后将与采购文件一起存档。</w:t>
      </w:r>
    </w:p>
    <w:p w14:paraId="28E1746E">
      <w:pPr>
        <w:pStyle w:val="135"/>
        <w:wordWrap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w:t>
      </w:r>
      <w:r>
        <w:rPr>
          <w:rFonts w:hint="eastAsia" w:ascii="宋体" w:hAnsi="宋体" w:eastAsia="宋体" w:cs="宋体"/>
          <w:color w:val="auto"/>
          <w:kern w:val="0"/>
          <w:sz w:val="21"/>
          <w:szCs w:val="21"/>
          <w:highlight w:val="none"/>
          <w:u w:val="single"/>
        </w:rPr>
        <w:t>经查询列入失信被执行人名单、重大税收违法案件当事人名单、政府采购严重违法失信行为记录名单的投标人将被拒绝参与政府采购活动。</w:t>
      </w:r>
    </w:p>
    <w:p w14:paraId="7B5BF0FA">
      <w:pPr>
        <w:pStyle w:val="135"/>
        <w:wordWrap w:val="0"/>
        <w:spacing w:before="0"/>
        <w:ind w:firstLine="42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rPr>
        <w:t>20.4联合体信用信息查询：</w:t>
      </w:r>
      <w:r>
        <w:rPr>
          <w:rFonts w:hint="eastAsia" w:ascii="宋体" w:hAnsi="宋体" w:eastAsia="宋体" w:cs="宋体"/>
          <w:color w:val="auto"/>
          <w:kern w:val="0"/>
          <w:sz w:val="21"/>
          <w:szCs w:val="21"/>
          <w:highlight w:val="none"/>
          <w:u w:val="singl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u w:val="single"/>
        </w:rPr>
        <w:t>。</w:t>
      </w:r>
    </w:p>
    <w:p w14:paraId="7057B3A3">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327747E">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评标</w:t>
      </w:r>
    </w:p>
    <w:p w14:paraId="4DC6CC33">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本项目评标委员会由政府采购评审专家4人和采购人代表1人，共5人组成。</w:t>
      </w:r>
      <w:r>
        <w:rPr>
          <w:rFonts w:hint="eastAsia" w:ascii="宋体" w:hAnsi="宋体" w:eastAsia="宋体" w:cs="宋体"/>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272CFA5C">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详见招标文件第四部分评标办法。</w:t>
      </w:r>
    </w:p>
    <w:p w14:paraId="7C8D6EB6">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1F7C0E53">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确定中标供应商</w:t>
      </w:r>
    </w:p>
    <w:p w14:paraId="4378B037">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评审报告推荐的中标候选人中按顺序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3425CB5F">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中标通知与中标结果公告</w:t>
      </w:r>
    </w:p>
    <w:p w14:paraId="76848CA8">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23.1自中标人确定之日起2个工作日内，采购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机构通过电子交易平台向中标人发出中标通知书，同时编制发布采购结果公告</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中标供应商为小微企业的，其中小企业声明函将随中标结果一并公告</w:t>
      </w:r>
      <w:r>
        <w:rPr>
          <w:rFonts w:hint="eastAsia" w:ascii="宋体" w:hAnsi="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机构也可以以纸质形式进行中标通知。</w:t>
      </w:r>
    </w:p>
    <w:p w14:paraId="6F94CB21">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188B10E">
      <w:pPr>
        <w:widowControl/>
        <w:shd w:val="clear" w:color="auto" w:fill="FFFFFF"/>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23.3公告期限为1个工作日。</w:t>
      </w:r>
    </w:p>
    <w:p w14:paraId="1DD4F1FF">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rPr>
          <w:rFonts w:hint="eastAsia" w:ascii="宋体" w:hAnsi="宋体" w:eastAsia="宋体" w:cs="宋体"/>
          <w:b/>
          <w:color w:val="auto"/>
          <w:sz w:val="36"/>
          <w:szCs w:val="28"/>
          <w:highlight w:val="none"/>
        </w:rPr>
      </w:pPr>
      <w:r>
        <w:rPr>
          <w:rFonts w:hint="eastAsia" w:ascii="宋体" w:hAnsi="宋体" w:eastAsia="宋体" w:cs="宋体"/>
          <w:b/>
          <w:color w:val="auto"/>
          <w:sz w:val="36"/>
          <w:szCs w:val="28"/>
          <w:highlight w:val="none"/>
        </w:rPr>
        <w:t>七、合同授予</w:t>
      </w:r>
    </w:p>
    <w:p w14:paraId="0E8F197C">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合同主要条款</w:t>
      </w:r>
    </w:p>
    <w:p w14:paraId="2AADC152">
      <w:pPr>
        <w:pStyle w:val="3"/>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合同主要条款详见第五部分拟签订的合同文本。</w:t>
      </w:r>
    </w:p>
    <w:p w14:paraId="520F0019">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合同的签订</w:t>
      </w:r>
    </w:p>
    <w:p w14:paraId="697BCC01">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388323">
      <w:pPr>
        <w:pStyle w:val="135"/>
        <w:snapToGrid w:val="0"/>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5BDAC42">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12AE0224">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33D3C60E">
      <w:pPr>
        <w:pStyle w:val="135"/>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7379B146">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履约保证金</w:t>
      </w:r>
    </w:p>
    <w:p w14:paraId="66281643">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545F773">
      <w:pPr>
        <w:pStyle w:val="135"/>
        <w:snapToGrid w:val="0"/>
        <w:spacing w:before="0"/>
        <w:ind w:left="420" w:leftChars="200" w:firstLine="0" w:firstLine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供应商可登录政采云平台-【金融服务】—【我的项目】—【已备案合同】以保函形式提供：</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供应商在合同列表选择需要投保的合同，点击[保函推荐]；</w:t>
      </w:r>
    </w:p>
    <w:p w14:paraId="1F070C99">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在弹框里查看推荐的保函产品，供应商自行选择保函产品，点击[立即申请]；</w:t>
      </w:r>
    </w:p>
    <w:p w14:paraId="2FA537A5">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在弹框里填写保函申请信息。</w:t>
      </w:r>
    </w:p>
    <w:p w14:paraId="23E6A0A4">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具体步骤：选择产品—填写供应商信息—选择中标项目—确认信息—等待保险/保函受理—确认保单—支付保费—成功出单。政采云金融专线400-903-9583。</w:t>
      </w:r>
    </w:p>
    <w:p w14:paraId="5397DB47">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27. </w:t>
      </w:r>
      <w:r>
        <w:rPr>
          <w:rFonts w:hint="eastAsia" w:ascii="宋体" w:hAnsi="宋体" w:eastAsia="宋体" w:cs="宋体"/>
          <w:b/>
          <w:color w:val="auto"/>
          <w:sz w:val="21"/>
          <w:szCs w:val="21"/>
          <w:highlight w:val="none"/>
          <w:lang w:val="zh-CN"/>
        </w:rPr>
        <w:t>预付款</w:t>
      </w:r>
    </w:p>
    <w:p w14:paraId="521ED933">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采购单位应当在政府采购合同中约定预付款，对中小企业合同预付款比例原则上不低于合同金额的40</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，不高于合同金额的70%；项目分年安排预算的，每年预付款比例不低于项目年度计划支付资金额的40</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0F84560B">
      <w:pPr>
        <w:pStyle w:val="135"/>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33ACD052">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14:paraId="503F746E">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28. 电子交易活动的中止</w:t>
      </w:r>
    </w:p>
    <w:p w14:paraId="2D0ADA95">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采购过程中出现以下情形，导致电子交易平台无法正常运行，或者无法保证电子交易的公平、公正和安全时，采购代理机构可中止电子交易活动：</w:t>
      </w:r>
    </w:p>
    <w:p w14:paraId="22D10FD5">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ascii="宋体" w:hAnsi="宋体" w:eastAsia="宋体" w:cs="宋体"/>
          <w:color w:val="auto"/>
          <w:sz w:val="21"/>
          <w:szCs w:val="16"/>
          <w:highlight w:val="none"/>
          <w:lang w:val="en-US" w:eastAsia="zh-CN"/>
        </w:rPr>
        <w:t>8</w:t>
      </w:r>
      <w:r>
        <w:rPr>
          <w:rFonts w:hint="eastAsia" w:ascii="宋体" w:hAnsi="宋体" w:eastAsia="宋体" w:cs="宋体"/>
          <w:color w:val="auto"/>
          <w:sz w:val="21"/>
          <w:szCs w:val="16"/>
          <w:highlight w:val="none"/>
        </w:rPr>
        <w:t xml:space="preserve">.1电子交易平台发生故障而无法登录访问的； </w:t>
      </w:r>
    </w:p>
    <w:p w14:paraId="0946C74E">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ascii="宋体" w:hAnsi="宋体" w:eastAsia="宋体" w:cs="宋体"/>
          <w:color w:val="auto"/>
          <w:sz w:val="21"/>
          <w:szCs w:val="16"/>
          <w:highlight w:val="none"/>
          <w:lang w:val="en-US" w:eastAsia="zh-CN"/>
        </w:rPr>
        <w:t>8</w:t>
      </w:r>
      <w:r>
        <w:rPr>
          <w:rFonts w:hint="eastAsia" w:ascii="宋体" w:hAnsi="宋体" w:eastAsia="宋体" w:cs="宋体"/>
          <w:color w:val="auto"/>
          <w:sz w:val="21"/>
          <w:szCs w:val="16"/>
          <w:highlight w:val="none"/>
        </w:rPr>
        <w:t>.2电子交易平台应用或数据库出现错误，不能进行正常操作的；</w:t>
      </w:r>
    </w:p>
    <w:p w14:paraId="5AA46031">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ascii="宋体" w:hAnsi="宋体" w:eastAsia="宋体" w:cs="宋体"/>
          <w:color w:val="auto"/>
          <w:sz w:val="21"/>
          <w:szCs w:val="16"/>
          <w:highlight w:val="none"/>
          <w:lang w:val="en-US" w:eastAsia="zh-CN"/>
        </w:rPr>
        <w:t>8</w:t>
      </w:r>
      <w:r>
        <w:rPr>
          <w:rFonts w:hint="eastAsia" w:ascii="宋体" w:hAnsi="宋体" w:eastAsia="宋体" w:cs="宋体"/>
          <w:color w:val="auto"/>
          <w:sz w:val="21"/>
          <w:szCs w:val="16"/>
          <w:highlight w:val="none"/>
        </w:rPr>
        <w:t>.3电子交易平台发现严重安全漏洞，有潜在泄密危险的；</w:t>
      </w:r>
    </w:p>
    <w:p w14:paraId="080EF220">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ascii="宋体" w:hAnsi="宋体" w:eastAsia="宋体" w:cs="宋体"/>
          <w:color w:val="auto"/>
          <w:sz w:val="21"/>
          <w:szCs w:val="16"/>
          <w:highlight w:val="none"/>
          <w:lang w:val="en-US" w:eastAsia="zh-CN"/>
        </w:rPr>
        <w:t>8</w:t>
      </w:r>
      <w:r>
        <w:rPr>
          <w:rFonts w:hint="eastAsia" w:ascii="宋体" w:hAnsi="宋体" w:eastAsia="宋体" w:cs="宋体"/>
          <w:color w:val="auto"/>
          <w:sz w:val="21"/>
          <w:szCs w:val="16"/>
          <w:highlight w:val="none"/>
        </w:rPr>
        <w:t xml:space="preserve">.4病毒发作导致不能进行正常操作的； </w:t>
      </w:r>
    </w:p>
    <w:p w14:paraId="4F0DC734">
      <w:pPr>
        <w:pStyle w:val="135"/>
        <w:snapToGrid w:val="0"/>
        <w:spacing w:before="0"/>
        <w:ind w:firstLine="42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ascii="宋体" w:hAnsi="宋体" w:eastAsia="宋体" w:cs="宋体"/>
          <w:color w:val="auto"/>
          <w:sz w:val="21"/>
          <w:szCs w:val="16"/>
          <w:highlight w:val="none"/>
          <w:lang w:val="en-US" w:eastAsia="zh-CN"/>
        </w:rPr>
        <w:t>8</w:t>
      </w:r>
      <w:r>
        <w:rPr>
          <w:rFonts w:hint="eastAsia" w:ascii="宋体" w:hAnsi="宋体" w:eastAsia="宋体" w:cs="宋体"/>
          <w:color w:val="auto"/>
          <w:sz w:val="21"/>
          <w:szCs w:val="16"/>
          <w:highlight w:val="none"/>
        </w:rPr>
        <w:t>.5其他无法保证电子交易的公平、公正和安全的情况。</w:t>
      </w:r>
    </w:p>
    <w:p w14:paraId="176069B6">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 电子交易活动异常的处理</w:t>
      </w:r>
    </w:p>
    <w:p w14:paraId="7FF615EF">
      <w:pPr>
        <w:pStyle w:val="135"/>
        <w:snapToGrid w:val="0"/>
        <w:spacing w:before="0"/>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sz w:val="21"/>
          <w:szCs w:val="16"/>
          <w:highlight w:val="none"/>
          <w:u w:val="single"/>
        </w:rPr>
        <w:t>出现</w:t>
      </w:r>
      <w:r>
        <w:rPr>
          <w:rFonts w:hint="eastAsia" w:ascii="宋体" w:hAnsi="宋体" w:eastAsia="宋体" w:cs="宋体"/>
          <w:b/>
          <w:bCs/>
          <w:color w:val="auto"/>
          <w:sz w:val="21"/>
          <w:szCs w:val="16"/>
          <w:highlight w:val="none"/>
          <w:u w:val="single"/>
          <w:lang w:val="en-US" w:eastAsia="zh-CN"/>
        </w:rPr>
        <w:t>第28项</w:t>
      </w:r>
      <w:r>
        <w:rPr>
          <w:rFonts w:hint="eastAsia" w:ascii="宋体" w:hAnsi="宋体" w:eastAsia="宋体" w:cs="宋体"/>
          <w:b/>
          <w:bCs/>
          <w:color w:val="auto"/>
          <w:sz w:val="21"/>
          <w:szCs w:val="16"/>
          <w:highlight w:val="none"/>
          <w:u w:val="single"/>
        </w:rPr>
        <w:t>情形</w:t>
      </w:r>
      <w:r>
        <w:rPr>
          <w:rFonts w:hint="eastAsia" w:ascii="宋体" w:hAnsi="宋体" w:eastAsia="宋体" w:cs="宋体"/>
          <w:b/>
          <w:bCs/>
          <w:color w:val="auto"/>
          <w:sz w:val="21"/>
          <w:szCs w:val="16"/>
          <w:highlight w:val="none"/>
          <w:u w:val="single"/>
          <w:lang w:val="en-US" w:eastAsia="zh-CN"/>
        </w:rPr>
        <w:t>的</w:t>
      </w:r>
      <w:r>
        <w:rPr>
          <w:rFonts w:hint="eastAsia" w:ascii="宋体" w:hAnsi="宋体" w:eastAsia="宋体" w:cs="宋体"/>
          <w:b/>
          <w:bCs/>
          <w:color w:val="auto"/>
          <w:sz w:val="21"/>
          <w:szCs w:val="16"/>
          <w:highlight w:val="none"/>
          <w:u w:val="single"/>
        </w:rPr>
        <w:t>，不影响采购公平、公正性的，采购组织机构可以待上述情形消除后继续组织电子交易活动，也可以决定某些环节以纸质形式进行；影响或可能影响采购公平、公正性的，应当重新采购。</w:t>
      </w:r>
    </w:p>
    <w:p w14:paraId="1CF4D70B">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14:paraId="24DC1431">
      <w:pPr>
        <w:pStyle w:val="135"/>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验收</w:t>
      </w:r>
    </w:p>
    <w:p w14:paraId="28B65BE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01BB66">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.2采购人可以邀请参加本项目的其他投标人或者第三方机构参与验收。参与验收的投标人或者第三方机构的意见作为验收书的参考资料一并存档。</w:t>
      </w:r>
    </w:p>
    <w:p w14:paraId="55570BED">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42D5DE">
      <w:pPr>
        <w:tabs>
          <w:tab w:val="left" w:pos="0"/>
        </w:tabs>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1351F41">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1440" w:right="1080" w:bottom="1440" w:left="1080" w:header="851" w:footer="992" w:gutter="283"/>
          <w:pgBorders>
            <w:top w:val="none" w:sz="0" w:space="0"/>
            <w:left w:val="none" w:sz="0" w:space="0"/>
            <w:bottom w:val="none" w:sz="0" w:space="0"/>
            <w:right w:val="none" w:sz="0" w:space="0"/>
          </w:pgBorders>
          <w:cols w:space="0" w:num="1"/>
          <w:titlePg/>
          <w:rtlGutter w:val="0"/>
          <w:docGrid w:linePitch="312" w:charSpace="0"/>
        </w:sectPr>
      </w:pPr>
      <w:bookmarkStart w:id="14" w:name="_Hlt68057669"/>
      <w:bookmarkEnd w:id="14"/>
      <w:bookmarkStart w:id="15" w:name="_Hlt75236290"/>
      <w:bookmarkEnd w:id="15"/>
      <w:bookmarkStart w:id="16" w:name="_Hlt74729768"/>
      <w:bookmarkEnd w:id="16"/>
      <w:bookmarkStart w:id="17" w:name="_Hlt68403820"/>
      <w:bookmarkEnd w:id="17"/>
      <w:bookmarkStart w:id="18" w:name="_Hlt68072998"/>
      <w:bookmarkEnd w:id="18"/>
      <w:bookmarkStart w:id="19" w:name="_Hlt68072990"/>
      <w:bookmarkEnd w:id="19"/>
      <w:bookmarkStart w:id="20" w:name="_Hlt74730295"/>
      <w:bookmarkEnd w:id="20"/>
      <w:bookmarkStart w:id="21" w:name="_Hlt74707468"/>
      <w:bookmarkEnd w:id="21"/>
      <w:bookmarkStart w:id="22" w:name="_Hlt74714665"/>
      <w:bookmarkEnd w:id="22"/>
      <w:bookmarkStart w:id="23" w:name="_Hlt75236101"/>
      <w:bookmarkEnd w:id="23"/>
      <w:bookmarkStart w:id="24" w:name="_Hlt75236011"/>
      <w:bookmarkEnd w:id="24"/>
      <w:bookmarkStart w:id="25" w:name="_Hlt68073093"/>
      <w:bookmarkEnd w:id="25"/>
    </w:p>
    <w:bookmarkEnd w:id="11"/>
    <w:bookmarkEnd w:id="12"/>
    <w:p w14:paraId="77386FFA">
      <w:pPr>
        <w:keepNext w:val="0"/>
        <w:keepLines w:val="0"/>
        <w:pageBreakBefore w:val="0"/>
        <w:widowControl w:val="0"/>
        <w:kinsoku/>
        <w:wordWrap/>
        <w:overflowPunct/>
        <w:topLinePunct w:val="0"/>
        <w:autoSpaceDE/>
        <w:autoSpaceDN/>
        <w:bidi w:val="0"/>
        <w:adjustRightInd w:val="0"/>
        <w:snapToGrid/>
        <w:spacing w:before="240" w:beforeLines="100" w:after="240" w:afterLines="100" w:line="240" w:lineRule="auto"/>
        <w:contextualSpacing/>
        <w:jc w:val="center"/>
        <w:textAlignment w:val="auto"/>
        <w:outlineLvl w:val="0"/>
        <w:rPr>
          <w:rFonts w:hint="eastAsia" w:ascii="宋体" w:hAnsi="宋体" w:eastAsia="宋体" w:cs="宋体"/>
          <w:b/>
          <w:color w:val="auto"/>
          <w:sz w:val="36"/>
          <w:szCs w:val="36"/>
          <w:highlight w:val="none"/>
          <w:lang w:eastAsia="zh-CN"/>
        </w:rPr>
      </w:pPr>
      <w:bookmarkStart w:id="26" w:name="第四部分"/>
      <w:r>
        <w:rPr>
          <w:rFonts w:hint="eastAsia" w:ascii="宋体" w:hAnsi="宋体" w:eastAsia="宋体" w:cs="宋体"/>
          <w:b/>
          <w:color w:val="auto"/>
          <w:sz w:val="36"/>
          <w:szCs w:val="36"/>
          <w:highlight w:val="none"/>
        </w:rPr>
        <w:t>第三部分采购需求</w:t>
      </w:r>
    </w:p>
    <w:p w14:paraId="0C806DA6">
      <w:pPr>
        <w:pStyle w:val="135"/>
        <w:keepNext w:val="0"/>
        <w:keepLines w:val="0"/>
        <w:pageBreakBefore w:val="0"/>
        <w:widowControl w:val="0"/>
        <w:kinsoku/>
        <w:wordWrap w:val="0"/>
        <w:overflowPunct/>
        <w:topLinePunct w:val="0"/>
        <w:autoSpaceDE/>
        <w:autoSpaceDN w:val="0"/>
        <w:bidi w:val="0"/>
        <w:adjustRightInd w:val="0"/>
        <w:snapToGrid w:val="0"/>
        <w:spacing w:before="0" w:after="0" w:line="360" w:lineRule="auto"/>
        <w:ind w:left="0" w:leftChars="0" w:firstLine="0" w:firstLineChars="0"/>
        <w:jc w:val="both"/>
        <w:textAlignment w:val="auto"/>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一、项目背景</w:t>
      </w:r>
    </w:p>
    <w:p w14:paraId="7977BF5D">
      <w:pPr>
        <w:pStyle w:val="135"/>
        <w:keepNext w:val="0"/>
        <w:keepLines w:val="0"/>
        <w:pageBreakBefore w:val="0"/>
        <w:widowControl w:val="0"/>
        <w:kinsoku/>
        <w:wordWrap w:val="0"/>
        <w:overflowPunct/>
        <w:topLinePunct w:val="0"/>
        <w:autoSpaceDE/>
        <w:autoSpaceDN w:val="0"/>
        <w:bidi w:val="0"/>
        <w:adjustRightInd w:val="0"/>
        <w:snapToGrid w:val="0"/>
        <w:spacing w:before="0" w:after="0" w:line="360" w:lineRule="auto"/>
        <w:ind w:firstLine="420" w:firstLineChars="200"/>
        <w:jc w:val="both"/>
        <w:textAlignment w:val="auto"/>
        <w:rPr>
          <w:rFonts w:hint="default" w:ascii="宋体" w:hAnsi="宋体" w:cs="宋体"/>
          <w:color w:val="auto"/>
          <w:sz w:val="21"/>
          <w:szCs w:val="21"/>
          <w:highlight w:val="none"/>
          <w:u w:val="none"/>
          <w:lang w:val="en-US" w:eastAsia="zh-CN"/>
        </w:rPr>
      </w:pPr>
      <w:r>
        <w:rPr>
          <w:rFonts w:hint="default" w:ascii="宋体" w:hAnsi="宋体" w:cs="宋体"/>
          <w:color w:val="auto"/>
          <w:sz w:val="21"/>
          <w:szCs w:val="21"/>
          <w:highlight w:val="none"/>
          <w:u w:val="none"/>
          <w:lang w:val="en-US" w:eastAsia="zh-CN"/>
        </w:rPr>
        <w:t>高新区人才人力大厦设备及其他附属采购项目</w:t>
      </w:r>
      <w:r>
        <w:rPr>
          <w:rFonts w:hint="eastAsia" w:ascii="宋体" w:hAnsi="宋体" w:cs="宋体"/>
          <w:color w:val="auto"/>
          <w:sz w:val="21"/>
          <w:szCs w:val="21"/>
          <w:highlight w:val="none"/>
          <w:u w:val="none"/>
          <w:lang w:val="en-US" w:eastAsia="zh-CN"/>
        </w:rPr>
        <w:t>（具体采购内容详见采购清单），</w:t>
      </w:r>
      <w:r>
        <w:rPr>
          <w:rFonts w:hint="default" w:ascii="宋体" w:hAnsi="宋体" w:cs="宋体"/>
          <w:color w:val="auto"/>
          <w:sz w:val="21"/>
          <w:szCs w:val="21"/>
          <w:highlight w:val="none"/>
          <w:u w:val="none"/>
          <w:lang w:val="en-US" w:eastAsia="zh-CN"/>
        </w:rPr>
        <w:t>包括供货、运输、安装调试、相关软件使用培训、验收、售后服务等内容。</w:t>
      </w:r>
    </w:p>
    <w:p w14:paraId="49C1B4E1">
      <w:pPr>
        <w:pStyle w:val="135"/>
        <w:keepNext w:val="0"/>
        <w:keepLines w:val="0"/>
        <w:pageBreakBefore w:val="0"/>
        <w:widowControl w:val="0"/>
        <w:kinsoku/>
        <w:wordWrap w:val="0"/>
        <w:overflowPunct/>
        <w:topLinePunct w:val="0"/>
        <w:autoSpaceDE/>
        <w:autoSpaceDN w:val="0"/>
        <w:bidi w:val="0"/>
        <w:adjustRightInd w:val="0"/>
        <w:snapToGrid w:val="0"/>
        <w:spacing w:before="0" w:after="0" w:line="360" w:lineRule="auto"/>
        <w:ind w:left="0" w:leftChars="0" w:firstLine="0" w:firstLineChars="0"/>
        <w:jc w:val="both"/>
        <w:textAlignment w:val="auto"/>
        <w:rPr>
          <w:rFonts w:hint="default"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二、</w:t>
      </w:r>
      <w:r>
        <w:rPr>
          <w:rFonts w:hint="default" w:ascii="宋体" w:hAnsi="宋体" w:cs="宋体"/>
          <w:b/>
          <w:bCs/>
          <w:color w:val="auto"/>
          <w:sz w:val="21"/>
          <w:szCs w:val="21"/>
          <w:highlight w:val="none"/>
          <w:u w:val="none"/>
          <w:lang w:val="en-US" w:eastAsia="zh-CN"/>
        </w:rPr>
        <w:t>采购清单及详细参数要求</w:t>
      </w:r>
    </w:p>
    <w:tbl>
      <w:tblPr>
        <w:tblStyle w:val="65"/>
        <w:tblW w:w="487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56"/>
        <w:gridCol w:w="1149"/>
        <w:gridCol w:w="5227"/>
        <w:gridCol w:w="236"/>
        <w:gridCol w:w="645"/>
        <w:gridCol w:w="106"/>
        <w:gridCol w:w="387"/>
        <w:gridCol w:w="238"/>
        <w:gridCol w:w="682"/>
      </w:tblGrid>
      <w:tr w14:paraId="782ADE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5CFF9C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609" w:type="pct"/>
            <w:tcBorders>
              <w:tl2br w:val="nil"/>
              <w:tr2bl w:val="nil"/>
            </w:tcBorders>
            <w:shd w:val="clear" w:color="auto" w:fill="auto"/>
            <w:noWrap/>
            <w:vAlign w:val="center"/>
          </w:tcPr>
          <w:p w14:paraId="138CA82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3240" w:type="pct"/>
            <w:gridSpan w:val="3"/>
            <w:tcBorders>
              <w:tl2br w:val="nil"/>
              <w:tr2bl w:val="nil"/>
            </w:tcBorders>
            <w:shd w:val="clear" w:color="auto" w:fill="auto"/>
            <w:noWrap/>
            <w:vAlign w:val="center"/>
          </w:tcPr>
          <w:p w14:paraId="34F2A1D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规格配置</w:t>
            </w:r>
          </w:p>
        </w:tc>
        <w:tc>
          <w:tcPr>
            <w:tcW w:w="387" w:type="pct"/>
            <w:gridSpan w:val="3"/>
            <w:tcBorders>
              <w:tl2br w:val="nil"/>
              <w:tr2bl w:val="nil"/>
            </w:tcBorders>
            <w:shd w:val="clear" w:color="auto" w:fill="auto"/>
            <w:noWrap/>
            <w:vAlign w:val="center"/>
          </w:tcPr>
          <w:p w14:paraId="332B41A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361" w:type="pct"/>
            <w:tcBorders>
              <w:tl2br w:val="nil"/>
              <w:tr2bl w:val="nil"/>
            </w:tcBorders>
            <w:shd w:val="clear" w:color="auto" w:fill="auto"/>
            <w:noWrap/>
            <w:vAlign w:val="center"/>
          </w:tcPr>
          <w:p w14:paraId="32FE2E9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14:paraId="33347F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4A07291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一、便民服务中心大厅</w:t>
            </w:r>
          </w:p>
        </w:tc>
        <w:tc>
          <w:tcPr>
            <w:tcW w:w="387" w:type="pct"/>
            <w:gridSpan w:val="3"/>
            <w:tcBorders>
              <w:tl2br w:val="nil"/>
              <w:tr2bl w:val="nil"/>
            </w:tcBorders>
            <w:shd w:val="clear" w:color="auto" w:fill="auto"/>
            <w:noWrap/>
            <w:vAlign w:val="center"/>
          </w:tcPr>
          <w:p w14:paraId="1803A404">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2713746B">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135A04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4B1CF7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2D571BC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天花喇叭</w:t>
            </w:r>
          </w:p>
        </w:tc>
        <w:tc>
          <w:tcPr>
            <w:tcW w:w="3240" w:type="pct"/>
            <w:gridSpan w:val="3"/>
            <w:tcBorders>
              <w:tl2br w:val="nil"/>
              <w:tr2bl w:val="nil"/>
            </w:tcBorders>
            <w:shd w:val="clear" w:color="auto" w:fill="auto"/>
            <w:vAlign w:val="center"/>
          </w:tcPr>
          <w:p w14:paraId="4CED064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1、采用≥1只6.5寸中低音喇叭单元和≥1只1.5"球顶高音单元的同轴设计方案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2、采用吸顶安装方式，采用铁质网罩内贴防尘网棉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3、分频器优化功率响应及人声部分的中频表现力</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4、额定功率≥100W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6、灵敏度(1W/1M)≥92dB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7、频率响应(-10dB)等同或优于60Hz-20KH</w:t>
            </w:r>
          </w:p>
        </w:tc>
        <w:tc>
          <w:tcPr>
            <w:tcW w:w="387" w:type="pct"/>
            <w:gridSpan w:val="3"/>
            <w:tcBorders>
              <w:tl2br w:val="nil"/>
              <w:tr2bl w:val="nil"/>
            </w:tcBorders>
            <w:shd w:val="clear" w:color="auto" w:fill="auto"/>
            <w:noWrap/>
            <w:vAlign w:val="center"/>
          </w:tcPr>
          <w:p w14:paraId="4C7BD6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1" w:type="pct"/>
            <w:tcBorders>
              <w:tl2br w:val="nil"/>
              <w:tr2bl w:val="nil"/>
            </w:tcBorders>
            <w:shd w:val="clear" w:color="auto" w:fill="auto"/>
            <w:noWrap/>
            <w:vAlign w:val="center"/>
          </w:tcPr>
          <w:p w14:paraId="5570CF7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63034A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29BDFD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vAlign w:val="center"/>
          </w:tcPr>
          <w:p w14:paraId="7440948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专业功放</w:t>
            </w:r>
          </w:p>
        </w:tc>
        <w:tc>
          <w:tcPr>
            <w:tcW w:w="3240" w:type="pct"/>
            <w:gridSpan w:val="3"/>
            <w:tcBorders>
              <w:tl2br w:val="nil"/>
              <w:tr2bl w:val="nil"/>
            </w:tcBorders>
            <w:shd w:val="clear" w:color="auto" w:fill="auto"/>
            <w:vAlign w:val="center"/>
          </w:tcPr>
          <w:p w14:paraId="311F920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1、1U机箱设计，采用D类数字功放设计方案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2、标准XLR输入接口，和LINK输出口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4、内置智能削峰限幅器，支持开机软启动，防止开机时向电网吸收大电流，干扰其它用电设备。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6、输出功率：立体声@8Ω：≥200W×2；立体声@4Ω：≥400W×2</w:t>
            </w:r>
          </w:p>
        </w:tc>
        <w:tc>
          <w:tcPr>
            <w:tcW w:w="387" w:type="pct"/>
            <w:gridSpan w:val="3"/>
            <w:tcBorders>
              <w:tl2br w:val="nil"/>
              <w:tr2bl w:val="nil"/>
            </w:tcBorders>
            <w:shd w:val="clear" w:color="auto" w:fill="auto"/>
            <w:noWrap/>
            <w:vAlign w:val="center"/>
          </w:tcPr>
          <w:p w14:paraId="17B321E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BF462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B31B8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D1D845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vAlign w:val="center"/>
          </w:tcPr>
          <w:p w14:paraId="2BAAE69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3240" w:type="pct"/>
            <w:gridSpan w:val="3"/>
            <w:tcBorders>
              <w:tl2br w:val="nil"/>
              <w:tr2bl w:val="nil"/>
            </w:tcBorders>
            <w:shd w:val="clear" w:color="auto" w:fill="auto"/>
            <w:vAlign w:val="center"/>
          </w:tcPr>
          <w:p w14:paraId="5D379AA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4、音频处理器具有跨平台软件的功能，可运行的操作系统版本≥8种，包括Windows7/10/11、银河麒麟桌面操作系统（兆芯版）、银河麒麟桌面操作系统（飞腾版）、macOS系统、统信UOS、Ubuntu桌面版操作系统。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7、具有设备定位功能，客户端一键定位局域网内同类设备，被定位的设备会显示定位信息。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8、设备具有统一集中控制功能，支持≥65535台设备通过软件集中控制。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387" w:type="pct"/>
            <w:gridSpan w:val="3"/>
            <w:tcBorders>
              <w:tl2br w:val="nil"/>
              <w:tr2bl w:val="nil"/>
            </w:tcBorders>
            <w:shd w:val="clear" w:color="auto" w:fill="auto"/>
            <w:noWrap/>
            <w:vAlign w:val="center"/>
          </w:tcPr>
          <w:p w14:paraId="701F88D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2C8B7D8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D1A75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15BBD7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vAlign w:val="center"/>
          </w:tcPr>
          <w:p w14:paraId="37F11F8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无线话筒（手持）</w:t>
            </w:r>
          </w:p>
        </w:tc>
        <w:tc>
          <w:tcPr>
            <w:tcW w:w="3240" w:type="pct"/>
            <w:gridSpan w:val="3"/>
            <w:tcBorders>
              <w:tl2br w:val="nil"/>
              <w:tr2bl w:val="nil"/>
            </w:tcBorders>
            <w:shd w:val="clear" w:color="auto" w:fill="auto"/>
            <w:vAlign w:val="center"/>
          </w:tcPr>
          <w:p w14:paraId="1297807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5、具有多档位混响调节功能，混响效果≥15625个，效果占比、回响延时、混响幅度调节，三种音效各具有≥25档调节方式。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7、具有长时间续航，发射机使用时长≥10小时。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9、接收机具有≥2个2.2英寸的显示屏；发射机具有≥0.96英寸OLED显示屏，能够显示频率信息、音频加密状态、功率挡位、静音状态、电量格数信息。</w:t>
            </w:r>
          </w:p>
        </w:tc>
        <w:tc>
          <w:tcPr>
            <w:tcW w:w="387" w:type="pct"/>
            <w:gridSpan w:val="3"/>
            <w:tcBorders>
              <w:tl2br w:val="nil"/>
              <w:tr2bl w:val="nil"/>
            </w:tcBorders>
            <w:shd w:val="clear" w:color="auto" w:fill="auto"/>
            <w:noWrap/>
            <w:vAlign w:val="center"/>
          </w:tcPr>
          <w:p w14:paraId="6113013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629F22E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4305D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70D218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vAlign w:val="center"/>
          </w:tcPr>
          <w:p w14:paraId="27DCE88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话筒天线</w:t>
            </w:r>
          </w:p>
        </w:tc>
        <w:tc>
          <w:tcPr>
            <w:tcW w:w="3240" w:type="pct"/>
            <w:gridSpan w:val="3"/>
            <w:tcBorders>
              <w:tl2br w:val="nil"/>
              <w:tr2bl w:val="nil"/>
            </w:tcBorders>
            <w:shd w:val="clear" w:color="auto" w:fill="auto"/>
            <w:vAlign w:val="center"/>
          </w:tcPr>
          <w:p w14:paraId="7D30DC9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1、射频频率范围等同或优于470～950MHz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2、驻波比：≤2.0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3、输入阻抗：≤50Ω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4、指向性：≥180度指向</w:t>
            </w:r>
          </w:p>
        </w:tc>
        <w:tc>
          <w:tcPr>
            <w:tcW w:w="387" w:type="pct"/>
            <w:gridSpan w:val="3"/>
            <w:tcBorders>
              <w:tl2br w:val="nil"/>
              <w:tr2bl w:val="nil"/>
            </w:tcBorders>
            <w:shd w:val="clear" w:color="auto" w:fill="auto"/>
            <w:noWrap/>
            <w:vAlign w:val="center"/>
          </w:tcPr>
          <w:p w14:paraId="52EDDA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68B607F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4BA1F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90A776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vAlign w:val="center"/>
          </w:tcPr>
          <w:p w14:paraId="4F48E7B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电源管理器</w:t>
            </w:r>
          </w:p>
        </w:tc>
        <w:tc>
          <w:tcPr>
            <w:tcW w:w="3240" w:type="pct"/>
            <w:gridSpan w:val="3"/>
            <w:tcBorders>
              <w:tl2br w:val="nil"/>
              <w:tr2bl w:val="nil"/>
            </w:tcBorders>
            <w:shd w:val="clear" w:color="auto" w:fill="auto"/>
            <w:vAlign w:val="center"/>
          </w:tcPr>
          <w:p w14:paraId="584A843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4、具有一路及以上USB输出接口。</w:t>
            </w:r>
          </w:p>
        </w:tc>
        <w:tc>
          <w:tcPr>
            <w:tcW w:w="387" w:type="pct"/>
            <w:gridSpan w:val="3"/>
            <w:tcBorders>
              <w:tl2br w:val="nil"/>
              <w:tr2bl w:val="nil"/>
            </w:tcBorders>
            <w:shd w:val="clear" w:color="auto" w:fill="auto"/>
            <w:noWrap/>
            <w:vAlign w:val="center"/>
          </w:tcPr>
          <w:p w14:paraId="17B7FC3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530DBDA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10D3C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4E4810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二、拍照间</w:t>
            </w:r>
          </w:p>
        </w:tc>
        <w:tc>
          <w:tcPr>
            <w:tcW w:w="387" w:type="pct"/>
            <w:gridSpan w:val="3"/>
            <w:tcBorders>
              <w:tl2br w:val="nil"/>
              <w:tr2bl w:val="nil"/>
            </w:tcBorders>
            <w:shd w:val="clear" w:color="auto" w:fill="auto"/>
            <w:noWrap/>
            <w:vAlign w:val="center"/>
          </w:tcPr>
          <w:p w14:paraId="69D6F9A7">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vAlign w:val="center"/>
          </w:tcPr>
          <w:p w14:paraId="6CA2700A">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550B30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6AB69D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noWrap/>
            <w:vAlign w:val="center"/>
          </w:tcPr>
          <w:p w14:paraId="28D6C6F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闪光灯</w:t>
            </w:r>
          </w:p>
        </w:tc>
        <w:tc>
          <w:tcPr>
            <w:tcW w:w="3240" w:type="pct"/>
            <w:gridSpan w:val="3"/>
            <w:tcBorders>
              <w:tl2br w:val="nil"/>
              <w:tr2bl w:val="nil"/>
            </w:tcBorders>
            <w:shd w:val="clear" w:color="auto" w:fill="auto"/>
            <w:vAlign w:val="center"/>
          </w:tcPr>
          <w:p w14:paraId="0E902EA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1、功率：≥400Ws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2、指数：≥GN66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3、功率调节：6档4.0~0.9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4、回电时间：0.1~0.9s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5、闪光持续时间：1/800~1/2200s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6、色温：5500k±200k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7、2.4GHz无线系统：选配TR-V6发射器，兼容TR-Q7/TR-Q6/TRS-V引闪器 遥控距离＞100m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8、频道CH/组别GR:32个频道CH:00/16个组别GR:A/B/C/D/E/F/G/H/I/J/L/O/P/Q/S/U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9、造型灯：≥15W 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10、闪光同步速度：Canon：1/250s以下 Nikon：1/320s以下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11、光控/蜂鸣/蒙版功能：支持</w:t>
            </w:r>
          </w:p>
        </w:tc>
        <w:tc>
          <w:tcPr>
            <w:tcW w:w="387" w:type="pct"/>
            <w:gridSpan w:val="3"/>
            <w:tcBorders>
              <w:tl2br w:val="nil"/>
              <w:tr2bl w:val="nil"/>
            </w:tcBorders>
            <w:shd w:val="clear" w:color="auto" w:fill="auto"/>
            <w:noWrap/>
            <w:vAlign w:val="center"/>
          </w:tcPr>
          <w:p w14:paraId="75A74CD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61" w:type="pct"/>
            <w:tcBorders>
              <w:tl2br w:val="nil"/>
              <w:tr2bl w:val="nil"/>
            </w:tcBorders>
            <w:shd w:val="clear" w:color="auto" w:fill="auto"/>
            <w:noWrap/>
            <w:vAlign w:val="center"/>
          </w:tcPr>
          <w:p w14:paraId="357B968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BB31C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730528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noWrap/>
            <w:vAlign w:val="center"/>
          </w:tcPr>
          <w:p w14:paraId="11625D9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八角</w:t>
            </w:r>
          </w:p>
        </w:tc>
        <w:tc>
          <w:tcPr>
            <w:tcW w:w="3240" w:type="pct"/>
            <w:gridSpan w:val="3"/>
            <w:tcBorders>
              <w:tl2br w:val="nil"/>
              <w:tr2bl w:val="nil"/>
            </w:tcBorders>
            <w:shd w:val="clear" w:color="auto" w:fill="auto"/>
            <w:vAlign w:val="center"/>
          </w:tcPr>
          <w:p w14:paraId="42452BF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1、专业反光布：橘皮压花面料，反光均匀保证了光线在内部的交叉反射达到均匀的出光效果。银色面料涂层不掉落。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2、双层柔光布，外层采用进口高级尼龙面料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3、全金属可旋转卡盘，360度可旋转金属底盘和高强度金属撑杆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4、全金属撑杆，坚固耐用</w:t>
            </w:r>
          </w:p>
        </w:tc>
        <w:tc>
          <w:tcPr>
            <w:tcW w:w="387" w:type="pct"/>
            <w:gridSpan w:val="3"/>
            <w:tcBorders>
              <w:tl2br w:val="nil"/>
              <w:tr2bl w:val="nil"/>
            </w:tcBorders>
            <w:shd w:val="clear" w:color="auto" w:fill="auto"/>
            <w:noWrap/>
            <w:vAlign w:val="center"/>
          </w:tcPr>
          <w:p w14:paraId="222E6D1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D4B6EB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07DD9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A17A8E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noWrap/>
            <w:vAlign w:val="center"/>
          </w:tcPr>
          <w:p w14:paraId="1AA0178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柔光箱</w:t>
            </w:r>
          </w:p>
        </w:tc>
        <w:tc>
          <w:tcPr>
            <w:tcW w:w="3240" w:type="pct"/>
            <w:gridSpan w:val="3"/>
            <w:tcBorders>
              <w:tl2br w:val="nil"/>
              <w:tr2bl w:val="nil"/>
            </w:tcBorders>
            <w:shd w:val="clear" w:color="auto" w:fill="auto"/>
            <w:vAlign w:val="center"/>
          </w:tcPr>
          <w:p w14:paraId="3A71B71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1、规格：≥600*900mm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2、双层柔光布，色温标准。内层柔光布形成2二次反射，使柔光箱光照均匀，中心与四角的光比小于0.5级光圈。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3、大尺寸卡盘，不阻挡闪光，光线能更好的发散，光线均匀、色温标准。全金属卡盘，可360度旋转。标配三爪卡口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4、全金属撑杆，坚固耐用</w:t>
            </w:r>
          </w:p>
        </w:tc>
        <w:tc>
          <w:tcPr>
            <w:tcW w:w="387" w:type="pct"/>
            <w:gridSpan w:val="3"/>
            <w:tcBorders>
              <w:tl2br w:val="nil"/>
              <w:tr2bl w:val="nil"/>
            </w:tcBorders>
            <w:shd w:val="clear" w:color="auto" w:fill="auto"/>
            <w:noWrap/>
            <w:vAlign w:val="center"/>
          </w:tcPr>
          <w:p w14:paraId="0C30BDD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6329EE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6EB01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43EDB3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noWrap/>
            <w:vAlign w:val="center"/>
          </w:tcPr>
          <w:p w14:paraId="36FDEFE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标准罩</w:t>
            </w:r>
          </w:p>
        </w:tc>
        <w:tc>
          <w:tcPr>
            <w:tcW w:w="3240" w:type="pct"/>
            <w:gridSpan w:val="3"/>
            <w:tcBorders>
              <w:tl2br w:val="nil"/>
              <w:tr2bl w:val="nil"/>
            </w:tcBorders>
            <w:shd w:val="clear" w:color="auto" w:fill="auto"/>
            <w:noWrap/>
            <w:vAlign w:val="center"/>
          </w:tcPr>
          <w:p w14:paraId="626E07E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规格：≥55°标准罩</w:t>
            </w:r>
          </w:p>
        </w:tc>
        <w:tc>
          <w:tcPr>
            <w:tcW w:w="387" w:type="pct"/>
            <w:gridSpan w:val="3"/>
            <w:tcBorders>
              <w:tl2br w:val="nil"/>
              <w:tr2bl w:val="nil"/>
            </w:tcBorders>
            <w:shd w:val="clear" w:color="auto" w:fill="auto"/>
            <w:noWrap/>
            <w:vAlign w:val="center"/>
          </w:tcPr>
          <w:p w14:paraId="156E795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133CFD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CED4A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50F930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noWrap/>
            <w:vAlign w:val="center"/>
          </w:tcPr>
          <w:p w14:paraId="7C6DAF5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灯架</w:t>
            </w:r>
          </w:p>
        </w:tc>
        <w:tc>
          <w:tcPr>
            <w:tcW w:w="3240" w:type="pct"/>
            <w:gridSpan w:val="3"/>
            <w:tcBorders>
              <w:tl2br w:val="nil"/>
              <w:tr2bl w:val="nil"/>
            </w:tcBorders>
            <w:shd w:val="clear" w:color="auto" w:fill="auto"/>
            <w:vAlign w:val="center"/>
          </w:tcPr>
          <w:p w14:paraId="04587B6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材质：通用型全金属顶粒</w:t>
            </w:r>
          </w:p>
        </w:tc>
        <w:tc>
          <w:tcPr>
            <w:tcW w:w="387" w:type="pct"/>
            <w:gridSpan w:val="3"/>
            <w:tcBorders>
              <w:tl2br w:val="nil"/>
              <w:tr2bl w:val="nil"/>
            </w:tcBorders>
            <w:shd w:val="clear" w:color="auto" w:fill="auto"/>
            <w:noWrap/>
            <w:vAlign w:val="center"/>
          </w:tcPr>
          <w:p w14:paraId="371879F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538A6A6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0307A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CB099C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noWrap/>
            <w:vAlign w:val="center"/>
          </w:tcPr>
          <w:p w14:paraId="083C16F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背景灯架</w:t>
            </w:r>
          </w:p>
        </w:tc>
        <w:tc>
          <w:tcPr>
            <w:tcW w:w="3240" w:type="pct"/>
            <w:gridSpan w:val="3"/>
            <w:tcBorders>
              <w:tl2br w:val="nil"/>
              <w:tr2bl w:val="nil"/>
            </w:tcBorders>
            <w:shd w:val="clear" w:color="auto" w:fill="auto"/>
            <w:vAlign w:val="center"/>
          </w:tcPr>
          <w:p w14:paraId="37468175">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1、功能：用于背景光源及低角度光源使用，万向专业滑轮移动平稳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2、材质：铝合金材质灯架</w:t>
            </w:r>
          </w:p>
        </w:tc>
        <w:tc>
          <w:tcPr>
            <w:tcW w:w="387" w:type="pct"/>
            <w:gridSpan w:val="3"/>
            <w:tcBorders>
              <w:tl2br w:val="nil"/>
              <w:tr2bl w:val="nil"/>
            </w:tcBorders>
            <w:shd w:val="clear" w:color="auto" w:fill="auto"/>
            <w:noWrap/>
            <w:vAlign w:val="center"/>
          </w:tcPr>
          <w:p w14:paraId="623A4CD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602C1CC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5EEDC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922050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noWrap/>
            <w:vAlign w:val="center"/>
          </w:tcPr>
          <w:p w14:paraId="2717DD1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引闪器</w:t>
            </w:r>
          </w:p>
        </w:tc>
        <w:tc>
          <w:tcPr>
            <w:tcW w:w="3240" w:type="pct"/>
            <w:gridSpan w:val="3"/>
            <w:tcBorders>
              <w:tl2br w:val="nil"/>
              <w:tr2bl w:val="nil"/>
            </w:tcBorders>
            <w:shd w:val="clear" w:color="auto" w:fill="auto"/>
            <w:vAlign w:val="center"/>
          </w:tcPr>
          <w:p w14:paraId="0B2D7E8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1、LCD高清显示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2、通用型热靴，兼容采用标准热靴底座的相机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3、采用2.4GHz无线出发，分组分频独立调节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4、功率调节范围广，9档调光0.1级微调</w:t>
            </w:r>
          </w:p>
        </w:tc>
        <w:tc>
          <w:tcPr>
            <w:tcW w:w="387" w:type="pct"/>
            <w:gridSpan w:val="3"/>
            <w:tcBorders>
              <w:tl2br w:val="nil"/>
              <w:tr2bl w:val="nil"/>
            </w:tcBorders>
            <w:shd w:val="clear" w:color="auto" w:fill="auto"/>
            <w:noWrap/>
            <w:vAlign w:val="center"/>
          </w:tcPr>
          <w:p w14:paraId="7757791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4F502D0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BB6F8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 w:hRule="atLeast"/>
          <w:jc w:val="center"/>
        </w:trPr>
        <w:tc>
          <w:tcPr>
            <w:tcW w:w="400" w:type="pct"/>
            <w:tcBorders>
              <w:tl2br w:val="nil"/>
              <w:tr2bl w:val="nil"/>
            </w:tcBorders>
            <w:shd w:val="clear" w:color="auto" w:fill="auto"/>
            <w:noWrap/>
            <w:vAlign w:val="center"/>
          </w:tcPr>
          <w:p w14:paraId="3D204BF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noWrap/>
            <w:vAlign w:val="center"/>
          </w:tcPr>
          <w:p w14:paraId="3950B54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横杆背景架</w:t>
            </w:r>
          </w:p>
        </w:tc>
        <w:tc>
          <w:tcPr>
            <w:tcW w:w="3240" w:type="pct"/>
            <w:gridSpan w:val="3"/>
            <w:tcBorders>
              <w:tl2br w:val="nil"/>
              <w:tr2bl w:val="nil"/>
            </w:tcBorders>
            <w:shd w:val="clear" w:color="auto" w:fill="auto"/>
            <w:vAlign w:val="center"/>
          </w:tcPr>
          <w:p w14:paraId="7A5FEC3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1、3*3m背景支架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2、伸缩背景横杆，长度自由调节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3、灯架高度1~3m自由调节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4、坚固底座，强力支撑</w:t>
            </w:r>
          </w:p>
        </w:tc>
        <w:tc>
          <w:tcPr>
            <w:tcW w:w="387" w:type="pct"/>
            <w:gridSpan w:val="3"/>
            <w:tcBorders>
              <w:tl2br w:val="nil"/>
              <w:tr2bl w:val="nil"/>
            </w:tcBorders>
            <w:shd w:val="clear" w:color="auto" w:fill="auto"/>
            <w:noWrap/>
            <w:vAlign w:val="center"/>
          </w:tcPr>
          <w:p w14:paraId="61AA58A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720848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D75A6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4425B2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9" w:type="pct"/>
            <w:tcBorders>
              <w:tl2br w:val="nil"/>
              <w:tr2bl w:val="nil"/>
            </w:tcBorders>
            <w:shd w:val="clear" w:color="auto" w:fill="auto"/>
            <w:noWrap/>
            <w:vAlign w:val="center"/>
          </w:tcPr>
          <w:p w14:paraId="13D7134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w:t>
            </w:r>
          </w:p>
        </w:tc>
        <w:tc>
          <w:tcPr>
            <w:tcW w:w="3240" w:type="pct"/>
            <w:gridSpan w:val="3"/>
            <w:tcBorders>
              <w:tl2br w:val="nil"/>
              <w:tr2bl w:val="nil"/>
            </w:tcBorders>
            <w:shd w:val="clear" w:color="auto" w:fill="auto"/>
            <w:vAlign w:val="center"/>
          </w:tcPr>
          <w:p w14:paraId="715E5123">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1、规格：≥1000*1000mm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2、使用方式：墙挂</w:t>
            </w:r>
          </w:p>
        </w:tc>
        <w:tc>
          <w:tcPr>
            <w:tcW w:w="387" w:type="pct"/>
            <w:gridSpan w:val="3"/>
            <w:tcBorders>
              <w:tl2br w:val="nil"/>
              <w:tr2bl w:val="nil"/>
            </w:tcBorders>
            <w:shd w:val="clear" w:color="auto" w:fill="auto"/>
            <w:noWrap/>
            <w:vAlign w:val="center"/>
          </w:tcPr>
          <w:p w14:paraId="0B5F630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A4ACD3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151DD1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956989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9" w:type="pct"/>
            <w:tcBorders>
              <w:tl2br w:val="nil"/>
              <w:tr2bl w:val="nil"/>
            </w:tcBorders>
            <w:shd w:val="clear" w:color="auto" w:fill="auto"/>
            <w:noWrap/>
            <w:vAlign w:val="center"/>
          </w:tcPr>
          <w:p w14:paraId="366D93D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背景纸</w:t>
            </w:r>
          </w:p>
        </w:tc>
        <w:tc>
          <w:tcPr>
            <w:tcW w:w="3240" w:type="pct"/>
            <w:gridSpan w:val="3"/>
            <w:tcBorders>
              <w:tl2br w:val="nil"/>
              <w:tr2bl w:val="nil"/>
            </w:tcBorders>
            <w:shd w:val="clear" w:color="auto" w:fill="auto"/>
            <w:vAlign w:val="center"/>
          </w:tcPr>
          <w:p w14:paraId="6D96997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1、规格：2720*1100mm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2、颜色：白色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3、材质：背景专用纸</w:t>
            </w:r>
          </w:p>
        </w:tc>
        <w:tc>
          <w:tcPr>
            <w:tcW w:w="387" w:type="pct"/>
            <w:gridSpan w:val="3"/>
            <w:tcBorders>
              <w:tl2br w:val="nil"/>
              <w:tr2bl w:val="nil"/>
            </w:tcBorders>
            <w:shd w:val="clear" w:color="auto" w:fill="auto"/>
            <w:noWrap/>
            <w:vAlign w:val="center"/>
          </w:tcPr>
          <w:p w14:paraId="27CDFD0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62DDDC7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2473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248B93D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三、人力资源大厅</w:t>
            </w:r>
          </w:p>
        </w:tc>
        <w:tc>
          <w:tcPr>
            <w:tcW w:w="387" w:type="pct"/>
            <w:gridSpan w:val="3"/>
            <w:tcBorders>
              <w:tl2br w:val="nil"/>
              <w:tr2bl w:val="nil"/>
            </w:tcBorders>
            <w:shd w:val="clear" w:color="auto" w:fill="auto"/>
            <w:noWrap/>
            <w:vAlign w:val="center"/>
          </w:tcPr>
          <w:p w14:paraId="1B2A7606">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5C0A6557">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659E29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400" w:type="pct"/>
            <w:tcBorders>
              <w:tl2br w:val="nil"/>
              <w:tr2bl w:val="nil"/>
            </w:tcBorders>
            <w:shd w:val="clear" w:color="auto" w:fill="auto"/>
            <w:noWrap/>
            <w:vAlign w:val="center"/>
          </w:tcPr>
          <w:p w14:paraId="3BE2F42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noWrap/>
            <w:vAlign w:val="center"/>
          </w:tcPr>
          <w:p w14:paraId="026C258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★室内LED P1.86全彩屏</w:t>
            </w:r>
          </w:p>
        </w:tc>
        <w:tc>
          <w:tcPr>
            <w:tcW w:w="3240" w:type="pct"/>
            <w:gridSpan w:val="3"/>
            <w:tcBorders>
              <w:tl2br w:val="nil"/>
              <w:tr2bl w:val="nil"/>
            </w:tcBorders>
            <w:shd w:val="clear" w:color="auto" w:fill="auto"/>
            <w:vAlign w:val="center"/>
          </w:tcPr>
          <w:p w14:paraId="51C7859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1、屏幕显示区域尺寸（高×宽）：≥2.88*5.44=15.67㎡；分辨率：≥1548*2924=4526352像素；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2、LED封装方式：1515铜线铜支架封装，LED灯珠及显示屏为同一品牌。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3、像素构成：表贴三合一1515(1R1GTB)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4．像素点间距：≤1.86mm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5、单元板分辨率：≥172*86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6、像素密度：≤288906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7、单元板尺寸：≥320*160mm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8、底壳材质：采用轻钢材质套件，产品轻巧安装精度高。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9、扫描方式：32扫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10、色温：支持3000K到20000K可自定义色温值，可设冷色、暖色、标准等多档白场调节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11、色温误差：色温为6500K时，100%，75%，50%，25%四档电平白场调节色温误差≤100K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12、色度均匀性：±0.001C，Cy之内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13、水平/垂直视角：≥170°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14、亮度均匀性：≥98.5%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15、亮度：具有蓝光抑制功能，支持通过配套软件0-100%无极可调，0cd/m²-1000cd/m²可调，支持手动/自动/软件任意调节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16、白平衡亮度：≥800cd/m²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17、最高对比度：8000：1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18、人眼视觉舒适度：VICO指数：≤1，符合视觉舒适度1级，基本无疲劳感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19、换帧频率：50&amp;60Hz，支持120Hz～144Hz等3D显示技术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20、刷新频率：≥3840Hz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21、信号处理深度：16bit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22、模组平整度：≤0.1mm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23、像素中心距偏差（发光点中心距偏差）：C级，JX≤0.5%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24、功耗：≤633W/m²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25、平均功耗：≤317W/m²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26、智能节电：产品采用PWM芯片，可智能调节正常工作与睡眠状态下的节能效果（动态节能:智能息屏），开启智能节电功能比没有开启节能35%以上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27、智能控制：支持软件自定义修改分辨率，自定义分辨率，更加适合LED屏幕的使用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支持分屏操作。支持任意比例拼接素材和多图层叠始，支持无线遥控、手机遥控，一键切换视频；支持与智能播控软件一键IP连接。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28、检测校正：支持单点检测，逐点校正，可对单点亮度、色度进行校正，支持出厂校正及现场校正，校正后亮度损失&lt;5%，支持单点维修更换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29、低亮高刷：亮度≥100nit，灰度等级≥14bit</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刷新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≥2500Hz上</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亮≥度200nit，灰度等级≥16bit</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刷新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≥3200Hz上</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亮度≥500nit，灰度等级≥16bit</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刷新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≥3840Hz以上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30、维护方式：电源、模组、接收卡，MUB卡全前维护，单模块可拆卸，支持热插拔，维护时间不超过10s,支持单点维修更换。支持磁吸固定方式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31、拼缝亮线暗线校正：LED显示屏系统具有大屏幕亮暗线修复功能，从软件、硬件两方面彻底改善困扰LED显示屏的低亮高灰问题及安装精度造成的亮、暗线问题。</w:t>
            </w:r>
          </w:p>
        </w:tc>
        <w:tc>
          <w:tcPr>
            <w:tcW w:w="387" w:type="pct"/>
            <w:gridSpan w:val="3"/>
            <w:tcBorders>
              <w:tl2br w:val="nil"/>
              <w:tr2bl w:val="nil"/>
            </w:tcBorders>
            <w:shd w:val="clear" w:color="auto" w:fill="auto"/>
            <w:vAlign w:val="center"/>
          </w:tcPr>
          <w:p w14:paraId="07D185A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15.67</w:t>
            </w:r>
          </w:p>
        </w:tc>
        <w:tc>
          <w:tcPr>
            <w:tcW w:w="361" w:type="pct"/>
            <w:tcBorders>
              <w:tl2br w:val="nil"/>
              <w:tr2bl w:val="nil"/>
            </w:tcBorders>
            <w:shd w:val="clear" w:color="auto" w:fill="auto"/>
            <w:vAlign w:val="center"/>
          </w:tcPr>
          <w:p w14:paraId="1010D26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376AA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C08986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noWrap/>
            <w:vAlign w:val="center"/>
          </w:tcPr>
          <w:p w14:paraId="465B223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开关电源</w:t>
            </w:r>
          </w:p>
        </w:tc>
        <w:tc>
          <w:tcPr>
            <w:tcW w:w="3240" w:type="pct"/>
            <w:gridSpan w:val="3"/>
            <w:tcBorders>
              <w:tl2br w:val="nil"/>
              <w:tr2bl w:val="nil"/>
            </w:tcBorders>
            <w:shd w:val="clear" w:color="auto" w:fill="auto"/>
            <w:vAlign w:val="center"/>
          </w:tcPr>
          <w:p w14:paraId="362D314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1、规格：4.5V、40A电源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2、功能：每台电源供电6张模组，留有冗余</w:t>
            </w:r>
          </w:p>
        </w:tc>
        <w:tc>
          <w:tcPr>
            <w:tcW w:w="387" w:type="pct"/>
            <w:gridSpan w:val="3"/>
            <w:tcBorders>
              <w:tl2br w:val="nil"/>
              <w:tr2bl w:val="nil"/>
            </w:tcBorders>
            <w:shd w:val="clear" w:color="auto" w:fill="auto"/>
            <w:vAlign w:val="center"/>
          </w:tcPr>
          <w:p w14:paraId="198A24D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361" w:type="pct"/>
            <w:tcBorders>
              <w:tl2br w:val="nil"/>
              <w:tr2bl w:val="nil"/>
            </w:tcBorders>
            <w:shd w:val="clear" w:color="auto" w:fill="auto"/>
            <w:vAlign w:val="center"/>
          </w:tcPr>
          <w:p w14:paraId="22DF428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AF852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6EE0E4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noWrap/>
            <w:vAlign w:val="center"/>
          </w:tcPr>
          <w:p w14:paraId="64F9869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接收卡</w:t>
            </w:r>
          </w:p>
        </w:tc>
        <w:tc>
          <w:tcPr>
            <w:tcW w:w="3240" w:type="pct"/>
            <w:gridSpan w:val="3"/>
            <w:tcBorders>
              <w:tl2br w:val="nil"/>
              <w:tr2bl w:val="nil"/>
            </w:tcBorders>
            <w:shd w:val="clear" w:color="auto" w:fill="auto"/>
            <w:vAlign w:val="center"/>
          </w:tcPr>
          <w:p w14:paraId="33A9551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1、单卡最大带载分辨率≥512×512@60Hz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2、支持32扫技术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3、支持亮度校正，对每个灯点的亮度进行校正，有效消除亮度差异，使整屏的亮度达到高度一致。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4、配置参数双备份、双程序备份、支持固件程序版本回读功能</w:t>
            </w:r>
          </w:p>
        </w:tc>
        <w:tc>
          <w:tcPr>
            <w:tcW w:w="387" w:type="pct"/>
            <w:gridSpan w:val="3"/>
            <w:tcBorders>
              <w:tl2br w:val="nil"/>
              <w:tr2bl w:val="nil"/>
            </w:tcBorders>
            <w:shd w:val="clear" w:color="auto" w:fill="auto"/>
            <w:vAlign w:val="center"/>
          </w:tcPr>
          <w:p w14:paraId="65382C8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361" w:type="pct"/>
            <w:tcBorders>
              <w:tl2br w:val="nil"/>
              <w:tr2bl w:val="nil"/>
            </w:tcBorders>
            <w:shd w:val="clear" w:color="auto" w:fill="auto"/>
            <w:vAlign w:val="center"/>
          </w:tcPr>
          <w:p w14:paraId="4D85F2E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7077D9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443D22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noWrap/>
            <w:vAlign w:val="center"/>
          </w:tcPr>
          <w:p w14:paraId="1A85037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视频处理器</w:t>
            </w:r>
          </w:p>
        </w:tc>
        <w:tc>
          <w:tcPr>
            <w:tcW w:w="3240" w:type="pct"/>
            <w:gridSpan w:val="3"/>
            <w:tcBorders>
              <w:tl2br w:val="nil"/>
              <w:tr2bl w:val="nil"/>
            </w:tcBorders>
            <w:shd w:val="clear" w:color="auto" w:fill="auto"/>
            <w:vAlign w:val="center"/>
          </w:tcPr>
          <w:p w14:paraId="51AEE6B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1、支持常见的视频接口，包括≥1路DVI，≥2路HDMI1.4，≥1 路3G-SDI+LOOP（可根据实际需求选配）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2、支持≥3个窗口和1路OSD同时显示。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3、支持快捷配屏和高级配屏功能，脱离电脑也能实现快速配屏。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 HDMI、DVI 输入分辨率自定义调节，支持3840*1080,1920*1200,1920*1080,1080*720等多种分辨率。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5、支持设备间备份和设备内网口备份设置，保障因设备故障或网线故障时，屏体运行正常。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6、视频输出最大带载高达650万像素，最宽不低于10240，最高不低于8192。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7、支持带载屏体亮度调节，通过旋钮可实现100级亮度调节。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8、支持逐点亮度校正，可以对所有灯点的亮度和色度进行采集校正，有效消除LED模组的色差，使整屏的亮度和色度达到高度均匀一致，提高显示屏的画质。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9、支持创建≥10个用户场景作为模板保存，方便使用。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10、支持选择HDMI输入源或DVI输入源作为同步信号，达到输出的场级同步。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11、支持音频独立输入和伴随HDMI输入两种模式，音频独立输出及扩展输出两种输出模式；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12、前面板配备直观的LCD显示界面，可直接观察网口的通讯状态，设备型号，IP地址，屏幕大小及信号源状态等信息，简化系统的控制操作。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13、支持自定义按键功能，可将按键设置为用户常用的功能菜单，一键快捷直达；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14、集成视频处理和发送卡功能，简化系统链路，提高系统的稳定性及兼容性；</w:t>
            </w:r>
          </w:p>
        </w:tc>
        <w:tc>
          <w:tcPr>
            <w:tcW w:w="387" w:type="pct"/>
            <w:gridSpan w:val="3"/>
            <w:tcBorders>
              <w:tl2br w:val="nil"/>
              <w:tr2bl w:val="nil"/>
            </w:tcBorders>
            <w:shd w:val="clear" w:color="auto" w:fill="auto"/>
            <w:vAlign w:val="center"/>
          </w:tcPr>
          <w:p w14:paraId="2F94A7A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51AF82A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D711A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1C6D2A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noWrap/>
            <w:vAlign w:val="center"/>
          </w:tcPr>
          <w:p w14:paraId="55CF0D4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智能终端</w:t>
            </w:r>
          </w:p>
        </w:tc>
        <w:tc>
          <w:tcPr>
            <w:tcW w:w="3240" w:type="pct"/>
            <w:gridSpan w:val="3"/>
            <w:tcBorders>
              <w:tl2br w:val="nil"/>
              <w:tr2bl w:val="nil"/>
            </w:tcBorders>
            <w:shd w:val="clear" w:color="auto" w:fill="auto"/>
            <w:vAlign w:val="center"/>
          </w:tcPr>
          <w:p w14:paraId="0910E78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1、一体化集成设备，优质型材外框结合钢化玻璃面板，防腐、抗震、防磁及防冲击性，铝板底座结合箱体双侧自散热装置，静音工作状态。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2、智能模块主板搭载专用工业处理器，128G固态硬盘+8G内存，运行Windows10，64位操作系统，支持硬盘防护功能及一键还原功能。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3、支持联动控制功能，设置操作简单，管理方便。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4、工作环境温度：-28℃至53℃。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5、工作电压220V/50Hz，内置防浪涌装置，按键式开关，支持7×24小时连续无故障稳定工作。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6、接口配置： VGA输出接口≥1，音频输出≥1， HDMI输出≥1，网络接口≥2路，USB口≥2个， RS232控制接口≥1。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7、配置1路稳压延时反向电源，设备开启时，可同步开启外设（视频处理器，拼接器、功放、显示屏等），反之关闭时也会关闭。并同步推送开、关机执行信息给管理人员。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8、内置网络控制交换机模块，必须能够连接以太网，支持TCP/IP控制协议，可以通过手机、平板、电脑等智能设备进行远程控制管理。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9、设备正常节目播放状态，工作环境停电，当停电恢复，设备自动开启并进入正常播放画面。管理人员同步收到设备开机执行信息。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10、可设置单或多时段执行开、关整套设备任务（每星期/每天），同步发送设备运行指令至最高权限员操作端。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设定巡播节目时，如设备处于关机状态，则在巡播节目前一分钟设备自动开启，并在任务结束后自动关闭设备。如设备处于播放工作状态，巡播任务表自动插入播放，当巡播执行完毕后自动恢复到之前播放节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12、管理者可在智能设备网页或微信客户端实时查看对应授权设备的工作状态，如设备开、关机状态，当前节目播放列表，实时播放内容监控，加强管理者对设备稳定运行安全保障。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13、支持设备调取智能设备内存图片直接上传显示于显示屏，也可通过手机现场拍摄（视频、照片）直接上传进行播放，操作者会同步收到播放节目内容截图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14、播放节目时，可插播跑马灯等信息（天气状况、重要通知等）显示于显示终端底部或顶部。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管理员可对设备网卡进行自定义管理，出于特定环境网络安全考虑，在设备正常运行计划播放状态下，设置成网卡禁用使设备处于网络封闭状态；需更上传或更改播放内容时，设备权限管理员可通过客户端开启网卡进行操作，结束后同步封闭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16、内置软件预置4路监控信号通道,可接入4路品牌网络摄像头信号，智能设备通过微信客户端在任意时段可调取摄像头实现直播功能；也可在指定时间段插播摄像头直播功能实现定时直播功能。</w:t>
            </w:r>
          </w:p>
        </w:tc>
        <w:tc>
          <w:tcPr>
            <w:tcW w:w="387" w:type="pct"/>
            <w:gridSpan w:val="3"/>
            <w:tcBorders>
              <w:tl2br w:val="nil"/>
              <w:tr2bl w:val="nil"/>
            </w:tcBorders>
            <w:shd w:val="clear" w:color="auto" w:fill="auto"/>
            <w:vAlign w:val="center"/>
          </w:tcPr>
          <w:p w14:paraId="779B7B8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077477D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2813F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AA821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noWrap/>
            <w:vAlign w:val="center"/>
          </w:tcPr>
          <w:p w14:paraId="48C7702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钢架结构</w:t>
            </w:r>
          </w:p>
        </w:tc>
        <w:tc>
          <w:tcPr>
            <w:tcW w:w="3240" w:type="pct"/>
            <w:gridSpan w:val="3"/>
            <w:tcBorders>
              <w:tl2br w:val="nil"/>
              <w:tr2bl w:val="nil"/>
            </w:tcBorders>
            <w:shd w:val="clear" w:color="auto" w:fill="auto"/>
            <w:vAlign w:val="center"/>
          </w:tcPr>
          <w:p w14:paraId="633F4233">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1、框架规格：采用3#镀锌方管焊接（实厚不低于2.0mm），1.0mm亚光拉丝不锈钢包边（正面宽度8cm/边）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2、安装方式：挂墙</w:t>
            </w:r>
          </w:p>
        </w:tc>
        <w:tc>
          <w:tcPr>
            <w:tcW w:w="387" w:type="pct"/>
            <w:gridSpan w:val="3"/>
            <w:tcBorders>
              <w:tl2br w:val="nil"/>
              <w:tr2bl w:val="nil"/>
            </w:tcBorders>
            <w:shd w:val="clear" w:color="auto" w:fill="auto"/>
            <w:vAlign w:val="center"/>
          </w:tcPr>
          <w:p w14:paraId="447AB33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15.67</w:t>
            </w:r>
          </w:p>
        </w:tc>
        <w:tc>
          <w:tcPr>
            <w:tcW w:w="361" w:type="pct"/>
            <w:tcBorders>
              <w:tl2br w:val="nil"/>
              <w:tr2bl w:val="nil"/>
            </w:tcBorders>
            <w:shd w:val="clear" w:color="auto" w:fill="auto"/>
            <w:vAlign w:val="center"/>
          </w:tcPr>
          <w:p w14:paraId="151B5D8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4CCD1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CA89D9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noWrap/>
            <w:vAlign w:val="center"/>
          </w:tcPr>
          <w:p w14:paraId="4F2DD0D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控制软件</w:t>
            </w:r>
          </w:p>
        </w:tc>
        <w:tc>
          <w:tcPr>
            <w:tcW w:w="3240" w:type="pct"/>
            <w:gridSpan w:val="3"/>
            <w:tcBorders>
              <w:tl2br w:val="nil"/>
              <w:tr2bl w:val="nil"/>
            </w:tcBorders>
            <w:shd w:val="clear" w:color="auto" w:fill="auto"/>
            <w:vAlign w:val="center"/>
          </w:tcPr>
          <w:p w14:paraId="71EE7F0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1、配套正版LED播放软件</w:t>
            </w:r>
          </w:p>
        </w:tc>
        <w:tc>
          <w:tcPr>
            <w:tcW w:w="387" w:type="pct"/>
            <w:gridSpan w:val="3"/>
            <w:tcBorders>
              <w:tl2br w:val="nil"/>
              <w:tr2bl w:val="nil"/>
            </w:tcBorders>
            <w:shd w:val="clear" w:color="auto" w:fill="auto"/>
            <w:vAlign w:val="center"/>
          </w:tcPr>
          <w:p w14:paraId="6D9E838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12E355D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AF056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DE1C44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noWrap/>
            <w:vAlign w:val="center"/>
          </w:tcPr>
          <w:p w14:paraId="1DB5DFD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3240" w:type="pct"/>
            <w:gridSpan w:val="3"/>
            <w:tcBorders>
              <w:tl2br w:val="nil"/>
              <w:tr2bl w:val="nil"/>
            </w:tcBorders>
            <w:shd w:val="clear" w:color="auto" w:fill="auto"/>
            <w:vAlign w:val="center"/>
          </w:tcPr>
          <w:p w14:paraId="431413E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1、规格：10KW容量，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2、其他：含3路空气开关等</w:t>
            </w:r>
          </w:p>
        </w:tc>
        <w:tc>
          <w:tcPr>
            <w:tcW w:w="387" w:type="pct"/>
            <w:gridSpan w:val="3"/>
            <w:tcBorders>
              <w:tl2br w:val="nil"/>
              <w:tr2bl w:val="nil"/>
            </w:tcBorders>
            <w:shd w:val="clear" w:color="auto" w:fill="auto"/>
            <w:vAlign w:val="center"/>
          </w:tcPr>
          <w:p w14:paraId="36F7119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657E0F1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C734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09A5FA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9" w:type="pct"/>
            <w:tcBorders>
              <w:tl2br w:val="nil"/>
              <w:tr2bl w:val="nil"/>
            </w:tcBorders>
            <w:shd w:val="clear" w:color="auto" w:fill="auto"/>
            <w:noWrap/>
            <w:vAlign w:val="center"/>
          </w:tcPr>
          <w:p w14:paraId="61CEB26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控制终端</w:t>
            </w:r>
          </w:p>
        </w:tc>
        <w:tc>
          <w:tcPr>
            <w:tcW w:w="3240" w:type="pct"/>
            <w:gridSpan w:val="3"/>
            <w:tcBorders>
              <w:tl2br w:val="nil"/>
              <w:tr2bl w:val="nil"/>
            </w:tcBorders>
            <w:shd w:val="clear" w:color="auto" w:fill="auto"/>
            <w:vAlign w:val="center"/>
          </w:tcPr>
          <w:p w14:paraId="3F8F75A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1、机架式工控机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2、CPU：≥i5，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3、内存：配置≥16G DDR3，支持≥2个插槽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4、硬盘：配置≥1块 512GB HDD硬盘；</w:t>
            </w:r>
          </w:p>
        </w:tc>
        <w:tc>
          <w:tcPr>
            <w:tcW w:w="387" w:type="pct"/>
            <w:gridSpan w:val="3"/>
            <w:tcBorders>
              <w:tl2br w:val="nil"/>
              <w:tr2bl w:val="nil"/>
            </w:tcBorders>
            <w:shd w:val="clear" w:color="auto" w:fill="auto"/>
            <w:vAlign w:val="center"/>
          </w:tcPr>
          <w:p w14:paraId="37F802C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58CF48B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3BCC8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231F7B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9" w:type="pct"/>
            <w:tcBorders>
              <w:tl2br w:val="nil"/>
              <w:tr2bl w:val="nil"/>
            </w:tcBorders>
            <w:shd w:val="clear" w:color="auto" w:fill="auto"/>
            <w:noWrap/>
            <w:vAlign w:val="center"/>
          </w:tcPr>
          <w:p w14:paraId="1A3C32B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人数统计终端</w:t>
            </w:r>
          </w:p>
        </w:tc>
        <w:tc>
          <w:tcPr>
            <w:tcW w:w="3240" w:type="pct"/>
            <w:gridSpan w:val="3"/>
            <w:tcBorders>
              <w:tl2br w:val="nil"/>
              <w:tr2bl w:val="nil"/>
            </w:tcBorders>
            <w:shd w:val="clear" w:color="auto" w:fill="auto"/>
            <w:vAlign w:val="center"/>
          </w:tcPr>
          <w:p w14:paraId="1DEA235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1、传感器类型：1/2.7"Progressive Scan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2、最低照度：彩色：0.005Lux@（F1.2，AGC ON），0.0176Lux@（F2.25，AGC 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3、黑白：0.001 Lux @（F1.2，AGC ON），0.0035Lux@（F2.25，AGC ON），0LuxwithIR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4、宽动态：120dB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5、焦距&amp;视场角：2.0mm@F2.25，水平视场角：104.5°，垂直视场角：70.5°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6、补光灯类型：红外灯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7、补光距离：最远可达6m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8、红外波长范围：≥850nm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9、防补光过曝：支持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10、视频压缩标准：H.265/H.264/MJPEG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11、图像尺寸：≥2560×1440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12、Wi-Fi协议：IEEE802.11b，802.11g，802.11n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13、频率范围：2.4 GHz~2.4835 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14、调制方式：802.11b：CCK，DSSS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15、802.11g/n：OFDM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16、信道带宽：20/40 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17、有效传输距离：≥50m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18、RS-485：1路RS-485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19、报警：1 输入(最大支持DC12V)，1 输出(最大支持DC/AC24V 1A)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20、网络：1路RJ45封装10 M/100 M以太网口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21、音频：内置1路麦克风；1路输入（Line in）；1路输出（Line out）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22、采用双目立体视觉技术，结合智能算法支持分类统计人员进入、离开情况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23、采用双目立体视觉技术，基于双镜头的立体摄像，获取目标的立体信息，结合智能算法计算出客流人数及行走方向。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24、支持分类统计人员进入、离开情况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25、支持实时数据上传和周期上传，邮件报表支持日报表、周报表、月报表和年报表</w:t>
            </w:r>
          </w:p>
        </w:tc>
        <w:tc>
          <w:tcPr>
            <w:tcW w:w="387" w:type="pct"/>
            <w:gridSpan w:val="3"/>
            <w:tcBorders>
              <w:tl2br w:val="nil"/>
              <w:tr2bl w:val="nil"/>
            </w:tcBorders>
            <w:shd w:val="clear" w:color="auto" w:fill="auto"/>
            <w:noWrap/>
            <w:vAlign w:val="center"/>
          </w:tcPr>
          <w:p w14:paraId="12F017F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0E377FC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49666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jc w:val="center"/>
        </w:trPr>
        <w:tc>
          <w:tcPr>
            <w:tcW w:w="400" w:type="pct"/>
            <w:tcBorders>
              <w:tl2br w:val="nil"/>
              <w:tr2bl w:val="nil"/>
            </w:tcBorders>
            <w:shd w:val="clear" w:color="auto" w:fill="auto"/>
            <w:noWrap/>
            <w:vAlign w:val="center"/>
          </w:tcPr>
          <w:p w14:paraId="42A41AB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09" w:type="pct"/>
            <w:tcBorders>
              <w:tl2br w:val="nil"/>
              <w:tr2bl w:val="nil"/>
            </w:tcBorders>
            <w:shd w:val="clear" w:color="auto" w:fill="auto"/>
            <w:noWrap/>
            <w:vAlign w:val="center"/>
          </w:tcPr>
          <w:p w14:paraId="4480E5B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★信息发布终端43寸</w:t>
            </w:r>
          </w:p>
        </w:tc>
        <w:tc>
          <w:tcPr>
            <w:tcW w:w="3240" w:type="pct"/>
            <w:gridSpan w:val="3"/>
            <w:tcBorders>
              <w:tl2br w:val="nil"/>
              <w:tr2bl w:val="nil"/>
            </w:tcBorders>
            <w:shd w:val="clear" w:color="auto" w:fill="auto"/>
            <w:vAlign w:val="center"/>
          </w:tcPr>
          <w:p w14:paraId="6EE9AD4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1、显示尺寸：43inch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2、物理分辨率：≥1920×1080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3、屏幕可视区域：940.896mm(H)×529.254mm(V)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4、像素间距：0.163mm(H)×0.490mm(V)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5、背光源类型：D-LED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6、可视角：178°(H)/178°(V)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7、亮度：≥500 cd/m²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8、色深度：16.78MColours 8Bit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9、对比度：5000：1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10、响应时间：≤6.5ms（Typ）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11、色域：≤72% NTSC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12、连续使用时间：7×16H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13、刷新率：≥60Hz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14、雾度：2%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15、操作系统：≥Android 13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16、CPU：≥CPU: Cortex-A55，4核，主频1.92GHz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17、GPU: ≥ARM Mali-G52 MP2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18、内存：≥2GB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19、内置存储：≥16GB EMMC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20、音视频输入接口：≥HDMI×3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21、音视频输出接口：≥LINE OUT×1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22、网络接口：LAN (100/1000M)×1，Wi-Fi (2.4G/5G，802.11 a/b/g/n/ac/ax)×1, RS232 in×1, RS232 out×1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23、数据传输接口：USB 2.0×1，USB 3.0×1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24、喇叭：speaker (8Ω 5W)×2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25、无线协议：蓝牙BT 5.4×1</w:t>
            </w:r>
          </w:p>
        </w:tc>
        <w:tc>
          <w:tcPr>
            <w:tcW w:w="387" w:type="pct"/>
            <w:gridSpan w:val="3"/>
            <w:tcBorders>
              <w:tl2br w:val="nil"/>
              <w:tr2bl w:val="nil"/>
            </w:tcBorders>
            <w:shd w:val="clear" w:color="auto" w:fill="auto"/>
            <w:noWrap/>
            <w:vAlign w:val="center"/>
          </w:tcPr>
          <w:p w14:paraId="51224F4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361" w:type="pct"/>
            <w:tcBorders>
              <w:tl2br w:val="nil"/>
              <w:tr2bl w:val="nil"/>
            </w:tcBorders>
            <w:shd w:val="clear" w:color="auto" w:fill="auto"/>
            <w:noWrap/>
            <w:vAlign w:val="center"/>
          </w:tcPr>
          <w:p w14:paraId="698F043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5AC2D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jc w:val="center"/>
        </w:trPr>
        <w:tc>
          <w:tcPr>
            <w:tcW w:w="400" w:type="pct"/>
            <w:tcBorders>
              <w:tl2br w:val="nil"/>
              <w:tr2bl w:val="nil"/>
            </w:tcBorders>
            <w:shd w:val="clear" w:color="auto" w:fill="auto"/>
            <w:noWrap/>
            <w:vAlign w:val="center"/>
          </w:tcPr>
          <w:p w14:paraId="4CF9D92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09" w:type="pct"/>
            <w:tcBorders>
              <w:tl2br w:val="nil"/>
              <w:tr2bl w:val="nil"/>
            </w:tcBorders>
            <w:shd w:val="clear" w:color="auto" w:fill="auto"/>
            <w:noWrap/>
            <w:vAlign w:val="center"/>
          </w:tcPr>
          <w:p w14:paraId="398D741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信息发布终端50寸</w:t>
            </w:r>
          </w:p>
        </w:tc>
        <w:tc>
          <w:tcPr>
            <w:tcW w:w="3240" w:type="pct"/>
            <w:gridSpan w:val="3"/>
            <w:tcBorders>
              <w:tl2br w:val="nil"/>
              <w:tr2bl w:val="nil"/>
            </w:tcBorders>
            <w:shd w:val="clear" w:color="auto" w:fill="auto"/>
            <w:vAlign w:val="center"/>
          </w:tcPr>
          <w:p w14:paraId="3EB78773">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1、显示尺寸：50 inch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2、物理分辨率：≥3840×2160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3、屏幕可视区域：1095.84mm(H)×616.41mm(V)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4、像素间距：0.0951mm(H)×0.2854mm(V)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5、背光源类型：D-LED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6、可视角：178°(H)/178°(V)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7、亮度：≥500 cd/m²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8、色深度：16.78M Colours  8Bit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9、对比度：5000：1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10、响应时间：≤6.5ms（Typ）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11、色域：≥72% NTSC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12、连续使用时间：7×16H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13、刷新率：≥60Hz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14、雾度：2%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15、操作系统：≥Android13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16、CPU：≥Cortex-A55，4核，主频1.92GHz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17、GPU: ≥ARM Mali-G52 MP2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18、内存：≥2GB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19、内置存储：≥16GB EMMC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20、音视频输入接口：≥HDMI IN×3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21、音视频输出接口：≥LINE OUT×1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22、网络接口：LAN (100/1000M) × 1，RS232 in×1, RS232 out×1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23、数据传输接口：USB 2.0×1，USB 3.0×1，TF卡：不支持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24、喇叭：speaker (8Ω 5W)×2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25、无线协议：蓝牙 BT 5.4×1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Wi-Fi (2.4G/5G，802.11 a/b/g/n/ac/ax)×1</w:t>
            </w:r>
          </w:p>
        </w:tc>
        <w:tc>
          <w:tcPr>
            <w:tcW w:w="387" w:type="pct"/>
            <w:gridSpan w:val="3"/>
            <w:tcBorders>
              <w:tl2br w:val="nil"/>
              <w:tr2bl w:val="nil"/>
            </w:tcBorders>
            <w:shd w:val="clear" w:color="auto" w:fill="auto"/>
            <w:noWrap/>
            <w:vAlign w:val="center"/>
          </w:tcPr>
          <w:p w14:paraId="37144C6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61" w:type="pct"/>
            <w:tcBorders>
              <w:tl2br w:val="nil"/>
              <w:tr2bl w:val="nil"/>
            </w:tcBorders>
            <w:shd w:val="clear" w:color="auto" w:fill="auto"/>
            <w:noWrap/>
            <w:vAlign w:val="center"/>
          </w:tcPr>
          <w:p w14:paraId="2426773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6E529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76699F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09" w:type="pct"/>
            <w:tcBorders>
              <w:tl2br w:val="nil"/>
              <w:tr2bl w:val="nil"/>
            </w:tcBorders>
            <w:shd w:val="clear" w:color="auto" w:fill="auto"/>
            <w:vAlign w:val="center"/>
          </w:tcPr>
          <w:p w14:paraId="69B466B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信息发布系统</w:t>
            </w:r>
          </w:p>
        </w:tc>
        <w:tc>
          <w:tcPr>
            <w:tcW w:w="3240" w:type="pct"/>
            <w:gridSpan w:val="3"/>
            <w:tcBorders>
              <w:tl2br w:val="nil"/>
              <w:tr2bl w:val="nil"/>
            </w:tcBorders>
            <w:shd w:val="clear" w:color="auto" w:fill="auto"/>
            <w:vAlign w:val="center"/>
          </w:tcPr>
          <w:p w14:paraId="3EE3588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一、信息发布系统要求（含50个点位授权）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统一接入信息发布屏进行信息发布的场景应用，提供图片、音频、视频、文本、Word、Excel、PPT、PDF、网页、数据源、视频源、应用程序等素材节目的编排和发布。提供素材库管理、节目编排、内容发布、快速发布、发布记录管理、终端巡检、终端管理等应用。满足用户媒体宣传、广告运营、媒体播放、数据展示发布等信息发布的场景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2、服务器系统采用B/S架构，管理人员只需通过WEB页面即可访问节目制作编辑系统；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3、系统界面默认支持简单中文、繁体、英文、俄语、日语（可扩展支持其它语言包）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4、终端同时支持windows操作系统(x86架构) 和 安卓操作系统(Arm架构)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5、支持局域网（内网）、互联网（公网）、专网等， 包括3G/4G/Wifi/Adsl/光纤等各种网络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6、同时支持IP 和 域名访问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7、终端安装简单，只需要指定服务器IP或者域名，通电联网就可以使用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8、安卓终端支持手机发布模式、单机模式、网络发布模式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9、支持PDF文件，系统自动转成图片播放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10、支持上传超过2G以上超大文件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11、支持图片、视频、音频、字幕、日期、时间、天气、网页、文档、嵌套、流媒体、rss、混播、二维码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12、支持节目发送流程，有权限的用户可一键发送节目到指定终端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13、支持单机功能，支持u盘（优盘）更新节目素材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14、管理后台支持多任务操作，比如正在操作节目编辑，不用关闭当前页，也可以调出终端管理，像windosw操作一样简单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15、管理后台采用Windows一样的布局风格， 左下角有经典的开始菜单，有桌面，可以自定义桌面图标和主题背景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16、系统安装路径可由用户自定义，不像有些系统一定要安装在D盘指定目录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17、支持各种常见分辨率，支持4k等更大分辨率，支持用户自定义以应对各种场景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18、支持至少12种图片切换特效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19、支持终端自动同步服务器时间，无需手动校准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20、支持多层互动节目的制作，支持无限级层次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21、充分利用UI模板，节目制作专业，美观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22、支持按钮透明，数量不限，并可随意更换背景图像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23、支持远程控制、关机、重启、播放、停止、调整音量、重置（清空节目）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24、终端加密，可设置：插入优盘需要密码，退出软件需要密码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25、支持设置多个子账号，子账号权限灵活分配。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二、信息发布后台终端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1、机架式工控机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2、CPU：≥i7，3.1GHz，6MB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3、内存：配置≥16G DDR3，支持≥2个插槽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4、硬盘：配置≥1块HDD硬盘；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5、网络控制器：Realtek 8111E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6、PCIE扩展：支持≥2个PCIe扩展插槽；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7、网口：≥2个千兆网口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8、其他接口：配置≥1个千兆RJ-45管理接口，≥4个USB 3.0接口；</w:t>
            </w:r>
          </w:p>
        </w:tc>
        <w:tc>
          <w:tcPr>
            <w:tcW w:w="387" w:type="pct"/>
            <w:gridSpan w:val="3"/>
            <w:tcBorders>
              <w:tl2br w:val="nil"/>
              <w:tr2bl w:val="nil"/>
            </w:tcBorders>
            <w:shd w:val="clear" w:color="auto" w:fill="auto"/>
            <w:noWrap/>
            <w:vAlign w:val="center"/>
          </w:tcPr>
          <w:p w14:paraId="28F52EA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40AE45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89A97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4661ACA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四、带岗直播间</w:t>
            </w:r>
          </w:p>
        </w:tc>
        <w:tc>
          <w:tcPr>
            <w:tcW w:w="387" w:type="pct"/>
            <w:gridSpan w:val="3"/>
            <w:tcBorders>
              <w:tl2br w:val="nil"/>
              <w:tr2bl w:val="nil"/>
            </w:tcBorders>
            <w:shd w:val="clear" w:color="auto" w:fill="auto"/>
            <w:noWrap/>
            <w:vAlign w:val="center"/>
          </w:tcPr>
          <w:p w14:paraId="4E0B6603">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19BD751C">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58516D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A38DE0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0D111D3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笔记本</w:t>
            </w:r>
          </w:p>
        </w:tc>
        <w:tc>
          <w:tcPr>
            <w:tcW w:w="3240" w:type="pct"/>
            <w:gridSpan w:val="3"/>
            <w:tcBorders>
              <w:tl2br w:val="nil"/>
              <w:tr2bl w:val="nil"/>
            </w:tcBorders>
            <w:shd w:val="clear" w:color="auto" w:fill="auto"/>
            <w:vAlign w:val="center"/>
          </w:tcPr>
          <w:p w14:paraId="65A8807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1、CPU：≥I5 11代及以上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2、内存：≥8G内存及以上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3、硬盘：1T+256 SSD硬盘及以上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4、显卡：≥2G独显及以上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5、操作系统：支持Windows10、Windows11等操作系统</w:t>
            </w:r>
          </w:p>
        </w:tc>
        <w:tc>
          <w:tcPr>
            <w:tcW w:w="387" w:type="pct"/>
            <w:gridSpan w:val="3"/>
            <w:tcBorders>
              <w:tl2br w:val="nil"/>
              <w:tr2bl w:val="nil"/>
            </w:tcBorders>
            <w:shd w:val="clear" w:color="auto" w:fill="auto"/>
            <w:noWrap/>
            <w:vAlign w:val="center"/>
          </w:tcPr>
          <w:p w14:paraId="567CA50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1871E1D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26365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484F84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vAlign w:val="center"/>
          </w:tcPr>
          <w:p w14:paraId="2710A75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移动存储硬盘</w:t>
            </w:r>
          </w:p>
        </w:tc>
        <w:tc>
          <w:tcPr>
            <w:tcW w:w="3240" w:type="pct"/>
            <w:gridSpan w:val="3"/>
            <w:tcBorders>
              <w:tl2br w:val="nil"/>
              <w:tr2bl w:val="nil"/>
            </w:tcBorders>
            <w:shd w:val="clear" w:color="auto" w:fill="auto"/>
            <w:vAlign w:val="center"/>
          </w:tcPr>
          <w:p w14:paraId="690BA575">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1、容量：2TB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2、规格：2.5英寸</w:t>
            </w:r>
          </w:p>
        </w:tc>
        <w:tc>
          <w:tcPr>
            <w:tcW w:w="387" w:type="pct"/>
            <w:gridSpan w:val="3"/>
            <w:tcBorders>
              <w:tl2br w:val="nil"/>
              <w:tr2bl w:val="nil"/>
            </w:tcBorders>
            <w:shd w:val="clear" w:color="auto" w:fill="auto"/>
            <w:noWrap/>
            <w:vAlign w:val="center"/>
          </w:tcPr>
          <w:p w14:paraId="75223A0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7810D0C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4D848E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D9E7B1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vAlign w:val="center"/>
          </w:tcPr>
          <w:p w14:paraId="6BE81C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云台稳定器</w:t>
            </w:r>
          </w:p>
        </w:tc>
        <w:tc>
          <w:tcPr>
            <w:tcW w:w="3240" w:type="pct"/>
            <w:gridSpan w:val="3"/>
            <w:tcBorders>
              <w:tl2br w:val="nil"/>
              <w:tr2bl w:val="nil"/>
            </w:tcBorders>
            <w:shd w:val="clear" w:color="auto" w:fill="auto"/>
            <w:noWrap/>
            <w:vAlign w:val="center"/>
          </w:tcPr>
          <w:p w14:paraId="4663EAD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1、功能：跟拍手机稳定器直播vlog拍摄神器手持云台</w:t>
            </w:r>
          </w:p>
        </w:tc>
        <w:tc>
          <w:tcPr>
            <w:tcW w:w="387" w:type="pct"/>
            <w:gridSpan w:val="3"/>
            <w:tcBorders>
              <w:tl2br w:val="nil"/>
              <w:tr2bl w:val="nil"/>
            </w:tcBorders>
            <w:shd w:val="clear" w:color="auto" w:fill="auto"/>
            <w:noWrap/>
            <w:vAlign w:val="center"/>
          </w:tcPr>
          <w:p w14:paraId="16D444A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6CCA40F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22FD6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D2FA40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noWrap/>
            <w:vAlign w:val="center"/>
          </w:tcPr>
          <w:p w14:paraId="38C9EA8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影视灯</w:t>
            </w:r>
          </w:p>
        </w:tc>
        <w:tc>
          <w:tcPr>
            <w:tcW w:w="3240" w:type="pct"/>
            <w:gridSpan w:val="3"/>
            <w:tcBorders>
              <w:tl2br w:val="nil"/>
              <w:tr2bl w:val="nil"/>
            </w:tcBorders>
            <w:shd w:val="clear" w:color="auto" w:fill="auto"/>
            <w:vAlign w:val="center"/>
          </w:tcPr>
          <w:p w14:paraId="75084EC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1、功率：≥160W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2、显示屏：LCD段码屏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3、光源：LED COB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4、光照度（1m）裸灯：＞7200LX，JL-led强力罩：＞81000LX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5、调光范围/色温：0%~100%/5500K±150K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6、显色指数：SSI＞91 Ra＞97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7、光效模式：电视/坏灯/雷电/火焰/呼吸/狗仔队/远近光 SOS 警示灯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8、无线通讯：手机蓝牙APP控制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9、散热方式：风机主动散热，风机关闭后亮度范围0~20%</w:t>
            </w:r>
          </w:p>
        </w:tc>
        <w:tc>
          <w:tcPr>
            <w:tcW w:w="387" w:type="pct"/>
            <w:gridSpan w:val="3"/>
            <w:tcBorders>
              <w:tl2br w:val="nil"/>
              <w:tr2bl w:val="nil"/>
            </w:tcBorders>
            <w:shd w:val="clear" w:color="auto" w:fill="auto"/>
            <w:noWrap/>
            <w:vAlign w:val="center"/>
          </w:tcPr>
          <w:p w14:paraId="24C503A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3ACE019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2AF18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B8693C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noWrap/>
            <w:vAlign w:val="center"/>
          </w:tcPr>
          <w:p w14:paraId="1155D2A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摄影灯</w:t>
            </w:r>
          </w:p>
        </w:tc>
        <w:tc>
          <w:tcPr>
            <w:tcW w:w="3240" w:type="pct"/>
            <w:gridSpan w:val="3"/>
            <w:tcBorders>
              <w:tl2br w:val="nil"/>
              <w:tr2bl w:val="nil"/>
            </w:tcBorders>
            <w:shd w:val="clear" w:color="auto" w:fill="auto"/>
            <w:vAlign w:val="center"/>
          </w:tcPr>
          <w:p w14:paraId="02246C3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1、输入功率：≥144W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2、输出功率：≥120W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3、调光范围：0~100%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4、色温：5500K士100K或2700K-6500K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5、显色指数：Ra&gt;96/TLCI&gt;97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6、内置蓝牙模块：APP遥控距离 Range&gt;45米 Meter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7、光照度：＞31800Lux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8、高亮度：120W，媲美1200W钨丝灯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9、全光续航＞100分钟，支持室内外两用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10、COB灯头设计，高硼硅玻璃防虫、防滴溅</w:t>
            </w:r>
          </w:p>
        </w:tc>
        <w:tc>
          <w:tcPr>
            <w:tcW w:w="387" w:type="pct"/>
            <w:gridSpan w:val="3"/>
            <w:tcBorders>
              <w:tl2br w:val="nil"/>
              <w:tr2bl w:val="nil"/>
            </w:tcBorders>
            <w:shd w:val="clear" w:color="auto" w:fill="auto"/>
            <w:noWrap/>
            <w:vAlign w:val="center"/>
          </w:tcPr>
          <w:p w14:paraId="15B3164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0215BAA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271EC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284A99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noWrap/>
            <w:vAlign w:val="center"/>
          </w:tcPr>
          <w:p w14:paraId="241B179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灯架</w:t>
            </w:r>
          </w:p>
        </w:tc>
        <w:tc>
          <w:tcPr>
            <w:tcW w:w="3240" w:type="pct"/>
            <w:gridSpan w:val="3"/>
            <w:tcBorders>
              <w:tl2br w:val="nil"/>
              <w:tr2bl w:val="nil"/>
            </w:tcBorders>
            <w:shd w:val="clear" w:color="auto" w:fill="auto"/>
            <w:vAlign w:val="center"/>
          </w:tcPr>
          <w:p w14:paraId="7F609B2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1、通用型全金属顶粒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2、轻巧便携 承重大、稳定性好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3、撑脚加宽 底座更稳定</w:t>
            </w:r>
          </w:p>
        </w:tc>
        <w:tc>
          <w:tcPr>
            <w:tcW w:w="387" w:type="pct"/>
            <w:gridSpan w:val="3"/>
            <w:tcBorders>
              <w:tl2br w:val="nil"/>
              <w:tr2bl w:val="nil"/>
            </w:tcBorders>
            <w:shd w:val="clear" w:color="auto" w:fill="auto"/>
            <w:noWrap/>
            <w:vAlign w:val="center"/>
          </w:tcPr>
          <w:p w14:paraId="1D875E2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1" w:type="pct"/>
            <w:tcBorders>
              <w:tl2br w:val="nil"/>
              <w:tr2bl w:val="nil"/>
            </w:tcBorders>
            <w:shd w:val="clear" w:color="auto" w:fill="auto"/>
            <w:noWrap/>
            <w:vAlign w:val="center"/>
          </w:tcPr>
          <w:p w14:paraId="4F53014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CA830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F8EA7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noWrap/>
            <w:vAlign w:val="center"/>
          </w:tcPr>
          <w:p w14:paraId="7B3B776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深口柔光箱</w:t>
            </w:r>
          </w:p>
        </w:tc>
        <w:tc>
          <w:tcPr>
            <w:tcW w:w="3240" w:type="pct"/>
            <w:gridSpan w:val="3"/>
            <w:tcBorders>
              <w:tl2br w:val="nil"/>
              <w:tr2bl w:val="nil"/>
            </w:tcBorders>
            <w:shd w:val="clear" w:color="auto" w:fill="auto"/>
            <w:vAlign w:val="center"/>
          </w:tcPr>
          <w:p w14:paraId="1A4DB4D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1、一体快速安装，一拉撑开、一压收合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2、内部反光无遮挡设计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3、16根高弹力快撑杆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4、专业的网纹格反光面料，防漏光包边设计</w:t>
            </w:r>
          </w:p>
        </w:tc>
        <w:tc>
          <w:tcPr>
            <w:tcW w:w="387" w:type="pct"/>
            <w:gridSpan w:val="3"/>
            <w:tcBorders>
              <w:tl2br w:val="nil"/>
              <w:tr2bl w:val="nil"/>
            </w:tcBorders>
            <w:shd w:val="clear" w:color="auto" w:fill="auto"/>
            <w:noWrap/>
            <w:vAlign w:val="center"/>
          </w:tcPr>
          <w:p w14:paraId="161CB17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127A90B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0CC9B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600F96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9" w:type="pct"/>
            <w:tcBorders>
              <w:tl2br w:val="nil"/>
              <w:tr2bl w:val="nil"/>
            </w:tcBorders>
            <w:shd w:val="clear" w:color="auto" w:fill="auto"/>
            <w:noWrap/>
            <w:vAlign w:val="center"/>
          </w:tcPr>
          <w:p w14:paraId="03DAE58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柔光箱</w:t>
            </w:r>
          </w:p>
        </w:tc>
        <w:tc>
          <w:tcPr>
            <w:tcW w:w="3240" w:type="pct"/>
            <w:gridSpan w:val="3"/>
            <w:tcBorders>
              <w:tl2br w:val="nil"/>
              <w:tr2bl w:val="nil"/>
            </w:tcBorders>
            <w:shd w:val="clear" w:color="auto" w:fill="auto"/>
            <w:vAlign w:val="center"/>
          </w:tcPr>
          <w:p w14:paraId="4BFDD7D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1、规格：≥600*900mm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2、双层柔光布，色温标准。内层柔光布形成2二次反射，使柔光箱光照均匀，中心与四角的光比小于0.5级光圈。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3、大尺寸卡盘，不阻挡闪光，光线能更好的发散，光线均匀、色温标准。全金属卡盘，可360度旋转。标配三爪卡口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4、全金属撑杆，坚固耐用</w:t>
            </w:r>
          </w:p>
        </w:tc>
        <w:tc>
          <w:tcPr>
            <w:tcW w:w="387" w:type="pct"/>
            <w:gridSpan w:val="3"/>
            <w:tcBorders>
              <w:tl2br w:val="nil"/>
              <w:tr2bl w:val="nil"/>
            </w:tcBorders>
            <w:shd w:val="clear" w:color="auto" w:fill="auto"/>
            <w:noWrap/>
            <w:vAlign w:val="center"/>
          </w:tcPr>
          <w:p w14:paraId="21BC46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274D405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8BDED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16C58C0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9" w:type="pct"/>
            <w:tcBorders>
              <w:tl2br w:val="nil"/>
              <w:tr2bl w:val="nil"/>
            </w:tcBorders>
            <w:shd w:val="clear" w:color="auto" w:fill="auto"/>
            <w:noWrap/>
            <w:vAlign w:val="center"/>
          </w:tcPr>
          <w:p w14:paraId="1B728CF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柔光球</w:t>
            </w:r>
          </w:p>
        </w:tc>
        <w:tc>
          <w:tcPr>
            <w:tcW w:w="3240" w:type="pct"/>
            <w:gridSpan w:val="3"/>
            <w:tcBorders>
              <w:tl2br w:val="nil"/>
              <w:tr2bl w:val="nil"/>
            </w:tcBorders>
            <w:shd w:val="clear" w:color="auto" w:fill="auto"/>
            <w:noWrap/>
            <w:vAlign w:val="center"/>
          </w:tcPr>
          <w:p w14:paraId="6363353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1、规格：≥56球形柔光罩</w:t>
            </w:r>
          </w:p>
        </w:tc>
        <w:tc>
          <w:tcPr>
            <w:tcW w:w="387" w:type="pct"/>
            <w:gridSpan w:val="3"/>
            <w:tcBorders>
              <w:tl2br w:val="nil"/>
              <w:tr2bl w:val="nil"/>
            </w:tcBorders>
            <w:shd w:val="clear" w:color="auto" w:fill="auto"/>
            <w:noWrap/>
            <w:vAlign w:val="center"/>
          </w:tcPr>
          <w:p w14:paraId="503D7A6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44FE2E0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943D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C4CF13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09" w:type="pct"/>
            <w:tcBorders>
              <w:tl2br w:val="nil"/>
              <w:tr2bl w:val="nil"/>
            </w:tcBorders>
            <w:shd w:val="clear" w:color="auto" w:fill="auto"/>
            <w:noWrap/>
            <w:vAlign w:val="center"/>
          </w:tcPr>
          <w:p w14:paraId="58088A6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美颜灯</w:t>
            </w:r>
          </w:p>
        </w:tc>
        <w:tc>
          <w:tcPr>
            <w:tcW w:w="3240" w:type="pct"/>
            <w:gridSpan w:val="3"/>
            <w:tcBorders>
              <w:tl2br w:val="nil"/>
              <w:tr2bl w:val="nil"/>
            </w:tcBorders>
            <w:shd w:val="clear" w:color="auto" w:fill="auto"/>
            <w:vAlign w:val="center"/>
          </w:tcPr>
          <w:p w14:paraId="7FC7AA8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1、光源类型LED光源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2、功能磨砂柔光罩，用于直播、视频</w:t>
            </w:r>
          </w:p>
        </w:tc>
        <w:tc>
          <w:tcPr>
            <w:tcW w:w="387" w:type="pct"/>
            <w:gridSpan w:val="3"/>
            <w:tcBorders>
              <w:tl2br w:val="nil"/>
              <w:tr2bl w:val="nil"/>
            </w:tcBorders>
            <w:shd w:val="clear" w:color="auto" w:fill="auto"/>
            <w:noWrap/>
            <w:vAlign w:val="center"/>
          </w:tcPr>
          <w:p w14:paraId="40F394D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26553A0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5071E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A66C0E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09" w:type="pct"/>
            <w:tcBorders>
              <w:tl2br w:val="nil"/>
              <w:tr2bl w:val="nil"/>
            </w:tcBorders>
            <w:shd w:val="clear" w:color="auto" w:fill="auto"/>
            <w:noWrap/>
            <w:vAlign w:val="center"/>
          </w:tcPr>
          <w:p w14:paraId="04446F0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横杆背景架</w:t>
            </w:r>
          </w:p>
        </w:tc>
        <w:tc>
          <w:tcPr>
            <w:tcW w:w="3240" w:type="pct"/>
            <w:gridSpan w:val="3"/>
            <w:tcBorders>
              <w:tl2br w:val="nil"/>
              <w:tr2bl w:val="nil"/>
            </w:tcBorders>
            <w:shd w:val="clear" w:color="auto" w:fill="auto"/>
            <w:vAlign w:val="center"/>
          </w:tcPr>
          <w:p w14:paraId="4F623A5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1、3x3m背景支架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2、伸缩背景横杆，长度自由调节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3、灯架高度1~3米自由调节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4、坚固底座，强力支撑</w:t>
            </w:r>
          </w:p>
        </w:tc>
        <w:tc>
          <w:tcPr>
            <w:tcW w:w="387" w:type="pct"/>
            <w:gridSpan w:val="3"/>
            <w:tcBorders>
              <w:tl2br w:val="nil"/>
              <w:tr2bl w:val="nil"/>
            </w:tcBorders>
            <w:shd w:val="clear" w:color="auto" w:fill="auto"/>
            <w:noWrap/>
            <w:vAlign w:val="center"/>
          </w:tcPr>
          <w:p w14:paraId="12778B2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F21275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B5E29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8158F5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09" w:type="pct"/>
            <w:tcBorders>
              <w:tl2br w:val="nil"/>
              <w:tr2bl w:val="nil"/>
            </w:tcBorders>
            <w:shd w:val="clear" w:color="auto" w:fill="auto"/>
            <w:noWrap/>
            <w:vAlign w:val="center"/>
          </w:tcPr>
          <w:p w14:paraId="0FC2E13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绿布</w:t>
            </w:r>
          </w:p>
        </w:tc>
        <w:tc>
          <w:tcPr>
            <w:tcW w:w="3240" w:type="pct"/>
            <w:gridSpan w:val="3"/>
            <w:tcBorders>
              <w:tl2br w:val="nil"/>
              <w:tr2bl w:val="nil"/>
            </w:tcBorders>
            <w:shd w:val="clear" w:color="auto" w:fill="auto"/>
            <w:vAlign w:val="center"/>
          </w:tcPr>
          <w:p w14:paraId="7B19D32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1、规格：3*6m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2、材质：涤棉布料</w:t>
            </w:r>
          </w:p>
        </w:tc>
        <w:tc>
          <w:tcPr>
            <w:tcW w:w="387" w:type="pct"/>
            <w:gridSpan w:val="3"/>
            <w:tcBorders>
              <w:tl2br w:val="nil"/>
              <w:tr2bl w:val="nil"/>
            </w:tcBorders>
            <w:shd w:val="clear" w:color="auto" w:fill="auto"/>
            <w:noWrap/>
            <w:vAlign w:val="center"/>
          </w:tcPr>
          <w:p w14:paraId="0C43A4E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37EB74D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D2D3F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3DC407A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五、零工市场室</w:t>
            </w:r>
          </w:p>
        </w:tc>
        <w:tc>
          <w:tcPr>
            <w:tcW w:w="387" w:type="pct"/>
            <w:gridSpan w:val="3"/>
            <w:tcBorders>
              <w:tl2br w:val="nil"/>
              <w:tr2bl w:val="nil"/>
            </w:tcBorders>
            <w:shd w:val="clear" w:color="auto" w:fill="auto"/>
            <w:noWrap/>
            <w:vAlign w:val="center"/>
          </w:tcPr>
          <w:p w14:paraId="18F1A74B">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498AEFE9">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24E77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400" w:type="pct"/>
            <w:tcBorders>
              <w:tl2br w:val="nil"/>
              <w:tr2bl w:val="nil"/>
            </w:tcBorders>
            <w:shd w:val="clear" w:color="auto" w:fill="auto"/>
            <w:noWrap/>
            <w:vAlign w:val="center"/>
          </w:tcPr>
          <w:p w14:paraId="0F4A23B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21CA96E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会议终端85寸（带支架）</w:t>
            </w:r>
          </w:p>
        </w:tc>
        <w:tc>
          <w:tcPr>
            <w:tcW w:w="3240" w:type="pct"/>
            <w:gridSpan w:val="3"/>
            <w:tcBorders>
              <w:tl2br w:val="nil"/>
              <w:tr2bl w:val="nil"/>
            </w:tcBorders>
            <w:shd w:val="clear" w:color="auto" w:fill="auto"/>
            <w:vAlign w:val="center"/>
          </w:tcPr>
          <w:p w14:paraId="5A78AD2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1、4K全面屏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2、支持远场语音，远程开关机，蓝牙功能。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3、低蓝光技术。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4、能效等级；3级(新能效GB24850-2020）。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5、亮度:≥300nits.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6、色温:≥10500K.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7、对比度5000:1.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8、最大可视角度178度。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9、动态响应&gt;8ms。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10、待机功率&lt;0.5W。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11、CPU：≥A35*4.1.8GHZ.4核。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12、GPU：≥Mali-g31MP2.双核。2+32GB.高频头。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13、接口：≥两路HDMI2.0。1路同轴音频输出。RF接口。RS232：1个(2.5mm耳机式).酷开9.1。Android9。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14、支持开机logo设定，上电开机，开机音量控制。</w:t>
            </w:r>
          </w:p>
        </w:tc>
        <w:tc>
          <w:tcPr>
            <w:tcW w:w="387" w:type="pct"/>
            <w:gridSpan w:val="3"/>
            <w:tcBorders>
              <w:tl2br w:val="nil"/>
              <w:tr2bl w:val="nil"/>
            </w:tcBorders>
            <w:shd w:val="clear" w:color="auto" w:fill="auto"/>
            <w:noWrap/>
            <w:vAlign w:val="center"/>
          </w:tcPr>
          <w:p w14:paraId="1BD81E6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398C98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DA7B4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BED4F6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vAlign w:val="center"/>
          </w:tcPr>
          <w:p w14:paraId="70A20B6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摄像机</w:t>
            </w:r>
          </w:p>
        </w:tc>
        <w:tc>
          <w:tcPr>
            <w:tcW w:w="3240" w:type="pct"/>
            <w:gridSpan w:val="3"/>
            <w:tcBorders>
              <w:tl2br w:val="nil"/>
              <w:tr2bl w:val="nil"/>
            </w:tcBorders>
            <w:shd w:val="clear" w:color="auto" w:fill="auto"/>
            <w:vAlign w:val="center"/>
          </w:tcPr>
          <w:p w14:paraId="74FC116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1、最低照度：彩色：0.0005 Lux @（F1.2，AGC ON），0 Lux with Light；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2、黑白：0.0001 Lux @（F1.2，AGC ON），0 Lux with IR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3、传感器类型：1/1.8" Progressive Scan CMOS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4、焦距&amp;视场角：2.8~12 mm：水平视场角：107.1°~45.9°，垂直视场角：56°~25.7°，对角视场角：130°~52.8°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5、支持双向统计客流量及统计重复客流数量，并将统计结果实时叠加在监控画面上。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6、分辨率：≥2688 × 1520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7、视频压缩标准：主码流：H.265/H.264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8、宽动态：≥120 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9、SD卡扩展：内置MicroSD/MicroSDHC/MicroSDXC插槽，最大支持512 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10、RS-485：1路RS-485接口，采用半双工模式，支持自适应HIKVISION，PELCO-P和PELCO-D协议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11、网络：10 M/100 M/1000 M自适应以太网口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12、采用深度学习算法，以海量图片及视频资源为路基，通过机器自身提取目标特征，形成深层可供学习的图像，并进行识别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13、多维客流：统计指定场景内目标人员进入、离开和经过的情况，对三个方向客流进行统计及去重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14、服装模式：1. 支持基于人体的比对和属性的客流计数过滤，过滤自定义服装、属性、设定时间内的客流计数；2. 支持人体属性分类，包含：性别、年龄段、拎东西、帽子(头盔）、口罩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15、人脸模式：1、支持人脸的抓拍，人脸属性分类，支持基于人脸比对的客流计数过滤和设定时间内动态客流计数过滤；2、支持人脸属性分类，包含：性别，年龄段，眼镜，口罩，帽子、表情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多功能切换：支持多功能自动定时切换；支持多维客流、倾斜客流、人数统计（岗位值守检测、区域关注度、热度图、环境照明检测）、拥挤检测、人员密度、smart事件等功能切换，并且支持对应报警功能自定义联动声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17、事件报警功能：支持移动侦测，遮挡报警，硬盘满，硬盘错误，网络断开，IP地址冲突，非法访问，异常重启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18、支持标准的512 GB MicroSD/MicroSDHC/MicroSDXC卡存储，支持10 M/100 M/1000 M自适应网口</w:t>
            </w:r>
          </w:p>
        </w:tc>
        <w:tc>
          <w:tcPr>
            <w:tcW w:w="387" w:type="pct"/>
            <w:gridSpan w:val="3"/>
            <w:tcBorders>
              <w:tl2br w:val="nil"/>
              <w:tr2bl w:val="nil"/>
            </w:tcBorders>
            <w:shd w:val="clear" w:color="auto" w:fill="auto"/>
            <w:noWrap/>
            <w:vAlign w:val="center"/>
          </w:tcPr>
          <w:p w14:paraId="0E4C782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55558E0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3A2C5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BCE0F3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vAlign w:val="center"/>
          </w:tcPr>
          <w:p w14:paraId="5C5FD10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双开玻璃门</w:t>
            </w:r>
          </w:p>
        </w:tc>
        <w:tc>
          <w:tcPr>
            <w:tcW w:w="3240" w:type="pct"/>
            <w:gridSpan w:val="3"/>
            <w:tcBorders>
              <w:tl2br w:val="nil"/>
              <w:tr2bl w:val="nil"/>
            </w:tcBorders>
            <w:shd w:val="clear" w:color="auto" w:fill="auto"/>
            <w:vAlign w:val="center"/>
          </w:tcPr>
          <w:p w14:paraId="1D7DA13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1、规格：每扇尺寸宽900*高2600mm，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2、材质：钢化玻璃材质，门框黑色包边，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3、其他配件：包含配套拉手、门锁以及地弹簧、门套等，</w:t>
            </w:r>
          </w:p>
        </w:tc>
        <w:tc>
          <w:tcPr>
            <w:tcW w:w="387" w:type="pct"/>
            <w:gridSpan w:val="3"/>
            <w:tcBorders>
              <w:tl2br w:val="nil"/>
              <w:tr2bl w:val="nil"/>
            </w:tcBorders>
            <w:shd w:val="clear" w:color="auto" w:fill="auto"/>
            <w:noWrap/>
            <w:vAlign w:val="center"/>
          </w:tcPr>
          <w:p w14:paraId="4CD4B94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vAlign w:val="center"/>
          </w:tcPr>
          <w:p w14:paraId="0DADAB6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w:t>
            </w:r>
          </w:p>
        </w:tc>
      </w:tr>
      <w:tr w14:paraId="34933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73CC0A8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六、远程面试室</w:t>
            </w:r>
          </w:p>
        </w:tc>
        <w:tc>
          <w:tcPr>
            <w:tcW w:w="387" w:type="pct"/>
            <w:gridSpan w:val="3"/>
            <w:tcBorders>
              <w:tl2br w:val="nil"/>
              <w:tr2bl w:val="nil"/>
            </w:tcBorders>
            <w:shd w:val="clear" w:color="auto" w:fill="auto"/>
            <w:noWrap/>
            <w:vAlign w:val="center"/>
          </w:tcPr>
          <w:p w14:paraId="4B133CA4">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vAlign w:val="center"/>
          </w:tcPr>
          <w:p w14:paraId="64F46DF2">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7B5A1B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5A87F1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6D6EA28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会议一体机98寸（带支架）</w:t>
            </w:r>
          </w:p>
        </w:tc>
        <w:tc>
          <w:tcPr>
            <w:tcW w:w="3240" w:type="pct"/>
            <w:gridSpan w:val="3"/>
            <w:tcBorders>
              <w:tl2br w:val="nil"/>
              <w:tr2bl w:val="nil"/>
            </w:tcBorders>
            <w:shd w:val="clear" w:color="auto" w:fill="auto"/>
            <w:vAlign w:val="center"/>
          </w:tcPr>
          <w:p w14:paraId="7B4066B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一、屏体及触控技术要求：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1、屏体采用A规屏，显示尺寸≥98英寸，分辨率：3840*2160；可视角≥178°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2、色彩覆盖率不低于110%，在Windows系统4K分辨率下，屏幕刷新率可达60Hz画面无闪烁；屏幕最高灰阶≥256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3、采用红外全贴合触控技术、光影偏差为0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4、触控分辨率≥32768*32768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5、防蓝光技术，在源头减少有害蓝光波段能量，有害蓝光波长415～455nm＜30%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6、通过DC调光技术、直流信号控制背光亮度，实现稳定光源无频闪，摄像设备拍摄时画面无条纹闪烁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嵌入式系统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提供二维码扫码报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8、整机前置接口：≥1路HDMI IN接口（非转接），≥2路USB3.0接口，≥1路USB Type-C接口（Type-C接口具备音频、视频、数据、触控、充电等功能，外接电脑可调用交互设备、麦克风、音响、摄像头等使用权限）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9、整机后置接口RJ45≥1路，音频输入≥1路，RS232≥1路，VGA输入接口≥1路，≥2路HDMI IN，≥1路HDMI OUT；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10、智能交互平板采用不低于12核国产化驱动芯片，Android 系统版本不低于14.0，内存≥8GB，存储≥64GB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11、采用针孔阵列发声设计，智能交互平板下边框具有6个发声单元，总功率≥60W, 扬声器在100%音量下，1米处声压级≥90dB，10米处声压级≥80dB；谐振频率不高于260Hz;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12、内置一体化超高清5K摄像头，单颗摄像头有效像素≥1900W，可输出最大分辨5104*3864的图片与视频，支持搭配AI软件实现自动点名点数功能。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二、内置电脑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13、采用80pin Intel通用标准接口,即插即用，易于维护。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14、尺寸长度≥220mm，厚度≤30mm。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15、CPU：≥Intel酷睿I5处理器。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16、内存：≥8G 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17、硬盘：≥256G SSD固态硬盘。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18、接口：整机非外扩展具备5个USB接口；具有独立非外扩展的视频输出接口：≥1路HDMI等。</w:t>
            </w:r>
          </w:p>
        </w:tc>
        <w:tc>
          <w:tcPr>
            <w:tcW w:w="387" w:type="pct"/>
            <w:gridSpan w:val="3"/>
            <w:tcBorders>
              <w:tl2br w:val="nil"/>
              <w:tr2bl w:val="nil"/>
            </w:tcBorders>
            <w:shd w:val="clear" w:color="auto" w:fill="auto"/>
            <w:noWrap/>
            <w:vAlign w:val="center"/>
          </w:tcPr>
          <w:p w14:paraId="26ACCA2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26EECAF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8E34C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gridAfter w:val="2"/>
          <w:wAfter w:w="487" w:type="pct"/>
          <w:trHeight w:val="500" w:hRule="atLeast"/>
          <w:jc w:val="center"/>
        </w:trPr>
        <w:tc>
          <w:tcPr>
            <w:tcW w:w="3783" w:type="pct"/>
            <w:gridSpan w:val="3"/>
            <w:tcBorders>
              <w:tl2br w:val="nil"/>
              <w:tr2bl w:val="nil"/>
            </w:tcBorders>
            <w:shd w:val="clear" w:color="auto" w:fill="auto"/>
            <w:noWrap/>
            <w:vAlign w:val="center"/>
          </w:tcPr>
          <w:p w14:paraId="6223BE7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七、业务培训室</w:t>
            </w:r>
          </w:p>
        </w:tc>
        <w:tc>
          <w:tcPr>
            <w:tcW w:w="125" w:type="pct"/>
            <w:tcBorders>
              <w:tl2br w:val="nil"/>
              <w:tr2bl w:val="nil"/>
            </w:tcBorders>
            <w:shd w:val="clear" w:color="auto" w:fill="auto"/>
            <w:noWrap/>
            <w:vAlign w:val="center"/>
          </w:tcPr>
          <w:p w14:paraId="52CA045D">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98" w:type="pct"/>
            <w:gridSpan w:val="2"/>
            <w:tcBorders>
              <w:tl2br w:val="nil"/>
              <w:tr2bl w:val="nil"/>
            </w:tcBorders>
            <w:shd w:val="clear" w:color="auto" w:fill="auto"/>
            <w:noWrap/>
            <w:vAlign w:val="center"/>
          </w:tcPr>
          <w:p w14:paraId="328CD952">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205" w:type="pct"/>
            <w:tcBorders>
              <w:tl2br w:val="nil"/>
              <w:tr2bl w:val="nil"/>
            </w:tcBorders>
            <w:shd w:val="clear" w:color="auto" w:fill="auto"/>
            <w:vAlign w:val="center"/>
          </w:tcPr>
          <w:p w14:paraId="586D475D">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3615DA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05FE2A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noWrap/>
            <w:vAlign w:val="center"/>
          </w:tcPr>
          <w:p w14:paraId="6D4907A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★室内LED P1.86全彩屏</w:t>
            </w:r>
          </w:p>
        </w:tc>
        <w:tc>
          <w:tcPr>
            <w:tcW w:w="3240" w:type="pct"/>
            <w:gridSpan w:val="3"/>
            <w:tcBorders>
              <w:tl2br w:val="nil"/>
              <w:tr2bl w:val="nil"/>
            </w:tcBorders>
            <w:shd w:val="clear" w:color="auto" w:fill="auto"/>
            <w:vAlign w:val="center"/>
          </w:tcPr>
          <w:p w14:paraId="490FCCC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1、屏幕显示区域尺寸（高×宽）：≥1.76*3.2=5.63㎡；分辨率：≥946*1720=1627120像素；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2、★LED封装方式：1515铜线铜支架封装，LED灯珠及显示屏为同一品牌。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3、像素构成：表贴三合一1515(1R1GTB)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4．像素点间距：≤1.86mm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5、单元板分辨率：≥172*86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6、像素密度：≤288906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7、单元板尺寸：≥320*160mm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8、★底壳材质：采用轻钢材质套件，产品轻巧安装精度高。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9、扫描方式：32扫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10、色温：支持3000K到20000K可自定义色温值，可设冷色、暖色、标准等多档白场调节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11、色温误差：色温为6500K时，100%，75%，50%，25%四档电平白场调节色温误差≤100K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12、色度均匀性：±0.001C，Cy之内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13、水平/垂直视角：≥170°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14、亮度均匀性：≥98.5%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15、亮度：具有蓝光抑制功能，支持通过配套软件0-100%无极可调，0cd/m²-1000cd/m²可调，支持手动/自动/软件任意调节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16、白平衡亮度：≥800cd/m²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17、最高对比度：8000：1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18、人眼视觉舒适度：VICO指数：≤1，符合视觉舒适度1级，基本无疲劳感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19、换帧频率：50&amp;60Hz，支持120Hz～144Hz等3D显示技术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20、刷新频率：≥3840Hz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21、信号处理深度：16bit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22、模组平整度：≤0.1mm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23、像素中心距偏差（发光点中心距偏差）：C级，JX≤0.5%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24、功耗：≤633W/m²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25、平均功耗：≤317W/m²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26、智能节电：产品采用PWM芯片，可智能调节正常工作与睡眠状态下的节能效果（动态节能:智能息屏），开启智能节电功能比没有开启节能35%以上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智能控制：支持软件自定义修改分辨率，自定义分辨率，更加适合LED屏幕的使用:支持分屏操作。支持任意比例拼接素材和多图层叠始，支持无线遥控、手机遥控，一键切换视频；支持与智能播控软件一键IP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28、检测校正：支持单点检测，逐点校正，可对单点亮度、色度进行校正，支持出厂校正及现场校正，校正后亮度损失&lt;5%，支持单点维修更换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29、低亮高刷：亮度≥100nit，灰度等级≥14bit,刷新:≥2500Hz上;亮≥度200nit，灰度等级≥16bit,刷新:≥3200Hz上;亮度≥500nit，灰度等级≥16bit,刷新:≥3840Hz以上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30、维护方式：电源、模组、接收卡，MUB卡全前维护，单模块可拆卸，支持热插拔，维护时间不超过10s,支持单点维修更换。支持磁吸固定方式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31、拼缝亮线暗线校正：LED显示屏系统具有大屏幕亮暗线修复功能，从软件、硬件两方面彻底改善困扰LED显示屏的低亮高灰问题及安装精度造成的亮、暗线问题。</w:t>
            </w:r>
          </w:p>
        </w:tc>
        <w:tc>
          <w:tcPr>
            <w:tcW w:w="387" w:type="pct"/>
            <w:gridSpan w:val="3"/>
            <w:tcBorders>
              <w:tl2br w:val="nil"/>
              <w:tr2bl w:val="nil"/>
            </w:tcBorders>
            <w:shd w:val="clear" w:color="auto" w:fill="auto"/>
            <w:vAlign w:val="center"/>
          </w:tcPr>
          <w:p w14:paraId="58870A5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5.63</w:t>
            </w:r>
          </w:p>
        </w:tc>
        <w:tc>
          <w:tcPr>
            <w:tcW w:w="361" w:type="pct"/>
            <w:tcBorders>
              <w:tl2br w:val="nil"/>
              <w:tr2bl w:val="nil"/>
            </w:tcBorders>
            <w:shd w:val="clear" w:color="auto" w:fill="auto"/>
            <w:vAlign w:val="center"/>
          </w:tcPr>
          <w:p w14:paraId="5A03EE4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D051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2C0D44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noWrap/>
            <w:vAlign w:val="center"/>
          </w:tcPr>
          <w:p w14:paraId="00F6077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智能控制软件</w:t>
            </w:r>
          </w:p>
        </w:tc>
        <w:tc>
          <w:tcPr>
            <w:tcW w:w="3240" w:type="pct"/>
            <w:gridSpan w:val="3"/>
            <w:tcBorders>
              <w:tl2br w:val="nil"/>
              <w:tr2bl w:val="nil"/>
            </w:tcBorders>
            <w:shd w:val="clear" w:color="auto" w:fill="auto"/>
            <w:vAlign w:val="center"/>
          </w:tcPr>
          <w:p w14:paraId="4169AF8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1、处置措施要提供至少两项措施，在首选措施失败的情况下，可以提供第二项措施进行处置；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2、具备爆发阻止功能，管理端可配置爆发阻止策略，达到设定条件后可自动隔离受感染终端；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3、支持对压缩文件扫描，并可设定最大的压缩层数为16；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4、提供压缩文件扫描功能，可以对超过固定大小文件不予扫描，以减少扫描时间；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5、支持一个管理控制台同时管理Windows,Linux,国产操作系统；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6、支持管理员选择客户端将组件版本立即更新或回退至上一版本；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7、支持客户端的防卸载功能，避免用户自行卸载，管理员可设置卸载密码；支持客户端的防退出功能，避免用户恶意退出，管理员可设置退出密码；</w:t>
            </w:r>
          </w:p>
        </w:tc>
        <w:tc>
          <w:tcPr>
            <w:tcW w:w="387" w:type="pct"/>
            <w:gridSpan w:val="3"/>
            <w:tcBorders>
              <w:tl2br w:val="nil"/>
              <w:tr2bl w:val="nil"/>
            </w:tcBorders>
            <w:shd w:val="clear" w:color="auto" w:fill="auto"/>
            <w:vAlign w:val="center"/>
          </w:tcPr>
          <w:p w14:paraId="000DF44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6E3D6C8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A13E3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69F4A3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noWrap/>
            <w:vAlign w:val="center"/>
          </w:tcPr>
          <w:p w14:paraId="69A3A94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开关电源</w:t>
            </w:r>
          </w:p>
        </w:tc>
        <w:tc>
          <w:tcPr>
            <w:tcW w:w="3240" w:type="pct"/>
            <w:gridSpan w:val="3"/>
            <w:tcBorders>
              <w:tl2br w:val="nil"/>
              <w:tr2bl w:val="nil"/>
            </w:tcBorders>
            <w:shd w:val="clear" w:color="auto" w:fill="auto"/>
            <w:vAlign w:val="center"/>
          </w:tcPr>
          <w:p w14:paraId="2FFC78B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1、规格：4.5V、40A电源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2、功能：每台电源供电6张模组，留有冗余</w:t>
            </w:r>
          </w:p>
        </w:tc>
        <w:tc>
          <w:tcPr>
            <w:tcW w:w="387" w:type="pct"/>
            <w:gridSpan w:val="3"/>
            <w:tcBorders>
              <w:tl2br w:val="nil"/>
              <w:tr2bl w:val="nil"/>
            </w:tcBorders>
            <w:shd w:val="clear" w:color="auto" w:fill="auto"/>
            <w:vAlign w:val="center"/>
          </w:tcPr>
          <w:p w14:paraId="71BBBDE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361" w:type="pct"/>
            <w:tcBorders>
              <w:tl2br w:val="nil"/>
              <w:tr2bl w:val="nil"/>
            </w:tcBorders>
            <w:shd w:val="clear" w:color="auto" w:fill="auto"/>
            <w:vAlign w:val="center"/>
          </w:tcPr>
          <w:p w14:paraId="2F040BF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FA64C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1B8628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noWrap/>
            <w:vAlign w:val="center"/>
          </w:tcPr>
          <w:p w14:paraId="2ABDEEA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接收卡</w:t>
            </w:r>
          </w:p>
        </w:tc>
        <w:tc>
          <w:tcPr>
            <w:tcW w:w="3240" w:type="pct"/>
            <w:gridSpan w:val="3"/>
            <w:tcBorders>
              <w:tl2br w:val="nil"/>
              <w:tr2bl w:val="nil"/>
            </w:tcBorders>
            <w:shd w:val="clear" w:color="auto" w:fill="auto"/>
            <w:vAlign w:val="center"/>
          </w:tcPr>
          <w:p w14:paraId="7243E4C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1、单卡最大带载分辨率≥512×512@60Hz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2、支持32扫技术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3、支持亮度校正，对每个灯点的亮度进行校正，有效消除亮度差异，使整屏的亮度达到高度一致。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4、配置参数双备份、双程序备份、支持固件程序版本回读功能</w:t>
            </w:r>
          </w:p>
        </w:tc>
        <w:tc>
          <w:tcPr>
            <w:tcW w:w="387" w:type="pct"/>
            <w:gridSpan w:val="3"/>
            <w:tcBorders>
              <w:tl2br w:val="nil"/>
              <w:tr2bl w:val="nil"/>
            </w:tcBorders>
            <w:shd w:val="clear" w:color="auto" w:fill="auto"/>
            <w:vAlign w:val="center"/>
          </w:tcPr>
          <w:p w14:paraId="68109D8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61" w:type="pct"/>
            <w:tcBorders>
              <w:tl2br w:val="nil"/>
              <w:tr2bl w:val="nil"/>
            </w:tcBorders>
            <w:shd w:val="clear" w:color="auto" w:fill="auto"/>
            <w:vAlign w:val="center"/>
          </w:tcPr>
          <w:p w14:paraId="7DCA071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37F499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66D7ED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noWrap/>
            <w:vAlign w:val="center"/>
          </w:tcPr>
          <w:p w14:paraId="7C26DA0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视频处理器</w:t>
            </w:r>
          </w:p>
        </w:tc>
        <w:tc>
          <w:tcPr>
            <w:tcW w:w="3240" w:type="pct"/>
            <w:gridSpan w:val="3"/>
            <w:tcBorders>
              <w:tl2br w:val="nil"/>
              <w:tr2bl w:val="nil"/>
            </w:tcBorders>
            <w:shd w:val="clear" w:color="auto" w:fill="auto"/>
            <w:vAlign w:val="center"/>
          </w:tcPr>
          <w:p w14:paraId="3DD8564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1、支持多路输入接口：≥1 路 DVI，≥1 路 HDMI，≥1 路 VGA，≥1 路 USB，≥1 路 CVBS，以适用各种前端输入信号；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2、发送卡和视频处理器二合一，减少系统连线，有效提升系统的稳定性及兼容性；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3、支持插入U盘播放，最大支持1920x1080@60Hz视频输入；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4、设备前面板配备直观的 LCD 显示界面，可实时显示型号、ip地址、窗口及信号源的分辨率、网口的状态、屏幕大小及帧频、USB 连接或网线连接状态和屏体亮度等信息；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5、支持配合多功能卡，实现对屏体电源的手动控制，自动控制，以及软件控制，灵活简单。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 DVI、HDMI 的输入分辨率自定义调节。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7、支持逐点亮度校正，可以对每个灯点的亮度和色度进行采集校正，有效消除色差，使整屏的亮度和色度达到高度均匀一致，提高显示屏的画质。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8、支持通过设备旋转按钮实现快捷配屏和高级配屏功能点亮屏体；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9、支持不少于 4个千兆网口输出，最大带载可达260万像素。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10、支持创建不少于6个用户场景作为模板保存，方便快速调用。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11、支持通过中控设备进行统一控制。</w:t>
            </w:r>
          </w:p>
        </w:tc>
        <w:tc>
          <w:tcPr>
            <w:tcW w:w="387" w:type="pct"/>
            <w:gridSpan w:val="3"/>
            <w:tcBorders>
              <w:tl2br w:val="nil"/>
              <w:tr2bl w:val="nil"/>
            </w:tcBorders>
            <w:shd w:val="clear" w:color="auto" w:fill="auto"/>
            <w:vAlign w:val="center"/>
          </w:tcPr>
          <w:p w14:paraId="287253E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62CDD1E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8E47F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83EF56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noWrap/>
            <w:vAlign w:val="center"/>
          </w:tcPr>
          <w:p w14:paraId="1921241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钢架结构</w:t>
            </w:r>
          </w:p>
        </w:tc>
        <w:tc>
          <w:tcPr>
            <w:tcW w:w="3240" w:type="pct"/>
            <w:gridSpan w:val="3"/>
            <w:tcBorders>
              <w:tl2br w:val="nil"/>
              <w:tr2bl w:val="nil"/>
            </w:tcBorders>
            <w:shd w:val="clear" w:color="auto" w:fill="auto"/>
            <w:vAlign w:val="center"/>
          </w:tcPr>
          <w:p w14:paraId="144958E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1、框架规格：采用3#镀锌方管焊接（实厚不低于2.0mm），1.0mm亚光拉丝不锈钢包边（正面宽度8cm/边）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2、安装方式：挂墙</w:t>
            </w:r>
          </w:p>
        </w:tc>
        <w:tc>
          <w:tcPr>
            <w:tcW w:w="387" w:type="pct"/>
            <w:gridSpan w:val="3"/>
            <w:tcBorders>
              <w:tl2br w:val="nil"/>
              <w:tr2bl w:val="nil"/>
            </w:tcBorders>
            <w:shd w:val="clear" w:color="auto" w:fill="auto"/>
            <w:vAlign w:val="center"/>
          </w:tcPr>
          <w:p w14:paraId="79BB315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5.63</w:t>
            </w:r>
          </w:p>
        </w:tc>
        <w:tc>
          <w:tcPr>
            <w:tcW w:w="361" w:type="pct"/>
            <w:tcBorders>
              <w:tl2br w:val="nil"/>
              <w:tr2bl w:val="nil"/>
            </w:tcBorders>
            <w:shd w:val="clear" w:color="auto" w:fill="auto"/>
            <w:vAlign w:val="center"/>
          </w:tcPr>
          <w:p w14:paraId="3CE8842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0D452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4792F2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noWrap/>
            <w:vAlign w:val="center"/>
          </w:tcPr>
          <w:p w14:paraId="369B3B6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控制软件</w:t>
            </w:r>
          </w:p>
        </w:tc>
        <w:tc>
          <w:tcPr>
            <w:tcW w:w="3240" w:type="pct"/>
            <w:gridSpan w:val="3"/>
            <w:tcBorders>
              <w:tl2br w:val="nil"/>
              <w:tr2bl w:val="nil"/>
            </w:tcBorders>
            <w:shd w:val="clear" w:color="auto" w:fill="auto"/>
            <w:vAlign w:val="center"/>
          </w:tcPr>
          <w:p w14:paraId="3DFD895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1、配套正版LED播放软件</w:t>
            </w:r>
          </w:p>
        </w:tc>
        <w:tc>
          <w:tcPr>
            <w:tcW w:w="387" w:type="pct"/>
            <w:gridSpan w:val="3"/>
            <w:tcBorders>
              <w:tl2br w:val="nil"/>
              <w:tr2bl w:val="nil"/>
            </w:tcBorders>
            <w:shd w:val="clear" w:color="auto" w:fill="auto"/>
            <w:vAlign w:val="center"/>
          </w:tcPr>
          <w:p w14:paraId="47F8A34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5EC6D23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76989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361AE3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noWrap/>
            <w:vAlign w:val="center"/>
          </w:tcPr>
          <w:p w14:paraId="69AFAB0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3240" w:type="pct"/>
            <w:gridSpan w:val="3"/>
            <w:tcBorders>
              <w:tl2br w:val="nil"/>
              <w:tr2bl w:val="nil"/>
            </w:tcBorders>
            <w:shd w:val="clear" w:color="auto" w:fill="auto"/>
            <w:vAlign w:val="center"/>
          </w:tcPr>
          <w:p w14:paraId="4AA53AC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1、规格：10KW容量，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2、其他：含3路空气开关等</w:t>
            </w:r>
          </w:p>
        </w:tc>
        <w:tc>
          <w:tcPr>
            <w:tcW w:w="387" w:type="pct"/>
            <w:gridSpan w:val="3"/>
            <w:tcBorders>
              <w:tl2br w:val="nil"/>
              <w:tr2bl w:val="nil"/>
            </w:tcBorders>
            <w:shd w:val="clear" w:color="auto" w:fill="auto"/>
            <w:vAlign w:val="center"/>
          </w:tcPr>
          <w:p w14:paraId="7141FE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5FF6986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519F7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4874B5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9" w:type="pct"/>
            <w:tcBorders>
              <w:tl2br w:val="nil"/>
              <w:tr2bl w:val="nil"/>
            </w:tcBorders>
            <w:shd w:val="clear" w:color="auto" w:fill="auto"/>
            <w:vAlign w:val="center"/>
          </w:tcPr>
          <w:p w14:paraId="528AB9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专业功放</w:t>
            </w:r>
          </w:p>
        </w:tc>
        <w:tc>
          <w:tcPr>
            <w:tcW w:w="3240" w:type="pct"/>
            <w:gridSpan w:val="3"/>
            <w:tcBorders>
              <w:tl2br w:val="nil"/>
              <w:tr2bl w:val="nil"/>
            </w:tcBorders>
            <w:shd w:val="clear" w:color="auto" w:fill="auto"/>
            <w:vAlign w:val="center"/>
          </w:tcPr>
          <w:p w14:paraId="09D5CFF3">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1、1U机箱设计，采用D类数字功放设计方案。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2、标准XLR输入接口，和LINK输出口。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6、输出功率：立体声@8Ω：≥350W×2；立体声@4Ω：≥600W×2。</w:t>
            </w:r>
          </w:p>
        </w:tc>
        <w:tc>
          <w:tcPr>
            <w:tcW w:w="387" w:type="pct"/>
            <w:gridSpan w:val="3"/>
            <w:tcBorders>
              <w:tl2br w:val="nil"/>
              <w:tr2bl w:val="nil"/>
            </w:tcBorders>
            <w:shd w:val="clear" w:color="auto" w:fill="auto"/>
            <w:noWrap/>
            <w:vAlign w:val="center"/>
          </w:tcPr>
          <w:p w14:paraId="41EA614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2A04D3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89F09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CE4647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9" w:type="pct"/>
            <w:tcBorders>
              <w:tl2br w:val="nil"/>
              <w:tr2bl w:val="nil"/>
            </w:tcBorders>
            <w:shd w:val="clear" w:color="auto" w:fill="auto"/>
            <w:vAlign w:val="center"/>
          </w:tcPr>
          <w:p w14:paraId="72DF7D7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专业音箱</w:t>
            </w:r>
          </w:p>
        </w:tc>
        <w:tc>
          <w:tcPr>
            <w:tcW w:w="3240" w:type="pct"/>
            <w:gridSpan w:val="3"/>
            <w:tcBorders>
              <w:tl2br w:val="nil"/>
              <w:tr2bl w:val="nil"/>
            </w:tcBorders>
            <w:shd w:val="clear" w:color="auto" w:fill="auto"/>
            <w:vAlign w:val="center"/>
          </w:tcPr>
          <w:p w14:paraId="6498A3B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2、频响等同或优于60Hz~20KHz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3、额定功率≥200W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4、灵敏度≥96dB/W/M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5、水平覆盖角≥80°，垂直覆盖角≥60°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6、高音≥1.4"压缩高音单元×1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7、低音≥8"低音×1</w:t>
            </w:r>
          </w:p>
        </w:tc>
        <w:tc>
          <w:tcPr>
            <w:tcW w:w="387" w:type="pct"/>
            <w:gridSpan w:val="3"/>
            <w:tcBorders>
              <w:tl2br w:val="nil"/>
              <w:tr2bl w:val="nil"/>
            </w:tcBorders>
            <w:shd w:val="clear" w:color="auto" w:fill="auto"/>
            <w:noWrap/>
            <w:vAlign w:val="center"/>
          </w:tcPr>
          <w:p w14:paraId="28A2A4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1" w:type="pct"/>
            <w:tcBorders>
              <w:tl2br w:val="nil"/>
              <w:tr2bl w:val="nil"/>
            </w:tcBorders>
            <w:shd w:val="clear" w:color="auto" w:fill="auto"/>
            <w:noWrap/>
            <w:vAlign w:val="center"/>
          </w:tcPr>
          <w:p w14:paraId="05346F2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68481D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AB2984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09" w:type="pct"/>
            <w:tcBorders>
              <w:tl2br w:val="nil"/>
              <w:tr2bl w:val="nil"/>
            </w:tcBorders>
            <w:shd w:val="clear" w:color="auto" w:fill="auto"/>
            <w:vAlign w:val="center"/>
          </w:tcPr>
          <w:p w14:paraId="05E3C03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音响支架</w:t>
            </w:r>
          </w:p>
        </w:tc>
        <w:tc>
          <w:tcPr>
            <w:tcW w:w="3240" w:type="pct"/>
            <w:gridSpan w:val="3"/>
            <w:tcBorders>
              <w:tl2br w:val="nil"/>
              <w:tr2bl w:val="nil"/>
            </w:tcBorders>
            <w:shd w:val="clear" w:color="auto" w:fill="auto"/>
            <w:vAlign w:val="center"/>
          </w:tcPr>
          <w:p w14:paraId="71A54FC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1、F系列支架固定面板孔位尺寸（长*宽）： ≥140*65mm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2、箱体固定面板孔位尺寸（长*宽）： ≥128*70mm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3、设备面板尺寸：≥160*90mm</w:t>
            </w:r>
          </w:p>
        </w:tc>
        <w:tc>
          <w:tcPr>
            <w:tcW w:w="387" w:type="pct"/>
            <w:gridSpan w:val="3"/>
            <w:tcBorders>
              <w:tl2br w:val="nil"/>
              <w:tr2bl w:val="nil"/>
            </w:tcBorders>
            <w:shd w:val="clear" w:color="auto" w:fill="auto"/>
            <w:noWrap/>
            <w:vAlign w:val="center"/>
          </w:tcPr>
          <w:p w14:paraId="594CBB3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1" w:type="pct"/>
            <w:tcBorders>
              <w:tl2br w:val="nil"/>
              <w:tr2bl w:val="nil"/>
            </w:tcBorders>
            <w:shd w:val="clear" w:color="auto" w:fill="auto"/>
            <w:noWrap/>
            <w:vAlign w:val="center"/>
          </w:tcPr>
          <w:p w14:paraId="17FBA1F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1DE258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44029F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09" w:type="pct"/>
            <w:tcBorders>
              <w:tl2br w:val="nil"/>
              <w:tr2bl w:val="nil"/>
            </w:tcBorders>
            <w:shd w:val="clear" w:color="auto" w:fill="auto"/>
            <w:vAlign w:val="center"/>
          </w:tcPr>
          <w:p w14:paraId="3958EE7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调音台</w:t>
            </w:r>
          </w:p>
        </w:tc>
        <w:tc>
          <w:tcPr>
            <w:tcW w:w="3240" w:type="pct"/>
            <w:gridSpan w:val="3"/>
            <w:tcBorders>
              <w:tl2br w:val="nil"/>
              <w:tr2bl w:val="nil"/>
            </w:tcBorders>
            <w:shd w:val="clear" w:color="auto" w:fill="auto"/>
            <w:vAlign w:val="center"/>
          </w:tcPr>
          <w:p w14:paraId="1B349AB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2、具有≥2组立体声输出、≥4路编组输出、≥4路辅助输出、≥1个耳机监听输出、≥1个接口双路效果输出 、≥1组控制室输出、≥1组主混音断点插入、≥6个断点插入。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3、内置≥24位DSP效果器，提供≥100种预设效果。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4、具备≥13个60mm行程的高精密碳膜推子。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5、内置USB声卡模块，支持连接电脑进行音乐播放和声音录音；内置MP3播放器，支持≥1个USB接口接U盘播放音乐。</w:t>
            </w:r>
          </w:p>
        </w:tc>
        <w:tc>
          <w:tcPr>
            <w:tcW w:w="387" w:type="pct"/>
            <w:gridSpan w:val="3"/>
            <w:tcBorders>
              <w:tl2br w:val="nil"/>
              <w:tr2bl w:val="nil"/>
            </w:tcBorders>
            <w:shd w:val="clear" w:color="auto" w:fill="auto"/>
            <w:noWrap/>
            <w:vAlign w:val="center"/>
          </w:tcPr>
          <w:p w14:paraId="0389630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27E61D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47304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DAD164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09" w:type="pct"/>
            <w:tcBorders>
              <w:tl2br w:val="nil"/>
              <w:tr2bl w:val="nil"/>
            </w:tcBorders>
            <w:shd w:val="clear" w:color="auto" w:fill="auto"/>
            <w:vAlign w:val="center"/>
          </w:tcPr>
          <w:p w14:paraId="380A1BC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3240" w:type="pct"/>
            <w:gridSpan w:val="3"/>
            <w:tcBorders>
              <w:tl2br w:val="nil"/>
              <w:tr2bl w:val="nil"/>
            </w:tcBorders>
            <w:shd w:val="clear" w:color="auto" w:fill="auto"/>
            <w:vAlign w:val="center"/>
          </w:tcPr>
          <w:p w14:paraId="1332459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4、音频处理器具有跨平台软件功能，可运行的操作系统版本≥8种，包括Windows7/10/11、银河麒麟桌面操作系统（兆芯版）、银河麒麟桌面操作系统（飞腾版）、macOS系统、统信UOS、Ubuntu桌面版操作系统。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7、具有设备定位功能，客户端一键定位局域网内同类设备，被定位的设备会显示定位信息。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8、设备具有统一集中控制功能，支持≥65535台设备通过软件集中控制。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387" w:type="pct"/>
            <w:gridSpan w:val="3"/>
            <w:tcBorders>
              <w:tl2br w:val="nil"/>
              <w:tr2bl w:val="nil"/>
            </w:tcBorders>
            <w:shd w:val="clear" w:color="auto" w:fill="auto"/>
            <w:noWrap/>
            <w:vAlign w:val="center"/>
          </w:tcPr>
          <w:p w14:paraId="288BE84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9E7BA9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5BF3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C1EAAF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09" w:type="pct"/>
            <w:tcBorders>
              <w:tl2br w:val="nil"/>
              <w:tr2bl w:val="nil"/>
            </w:tcBorders>
            <w:shd w:val="clear" w:color="auto" w:fill="auto"/>
            <w:vAlign w:val="center"/>
          </w:tcPr>
          <w:p w14:paraId="01B3E63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无线话筒（手持）</w:t>
            </w:r>
          </w:p>
        </w:tc>
        <w:tc>
          <w:tcPr>
            <w:tcW w:w="3240" w:type="pct"/>
            <w:gridSpan w:val="3"/>
            <w:tcBorders>
              <w:tl2br w:val="nil"/>
              <w:tr2bl w:val="nil"/>
            </w:tcBorders>
            <w:shd w:val="clear" w:color="auto" w:fill="auto"/>
            <w:vAlign w:val="center"/>
          </w:tcPr>
          <w:p w14:paraId="32C00173">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5、具有多档位混响调节功能，混响效果≥15625个，效果占比、回响延时、混响幅度调节，三种音效各具有≥25档调节方式。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7、具有长时间续航，发射机使用时长≥10小时。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9、接收机具有≥2个2.2英寸的显示屏；发射机具有≥0.96英寸OLED显示屏，能够显示频率信息、音频加密状态、功率挡位、静音状态、电量格数信息。</w:t>
            </w:r>
          </w:p>
        </w:tc>
        <w:tc>
          <w:tcPr>
            <w:tcW w:w="387" w:type="pct"/>
            <w:gridSpan w:val="3"/>
            <w:tcBorders>
              <w:tl2br w:val="nil"/>
              <w:tr2bl w:val="nil"/>
            </w:tcBorders>
            <w:shd w:val="clear" w:color="auto" w:fill="auto"/>
            <w:vAlign w:val="center"/>
          </w:tcPr>
          <w:p w14:paraId="062774D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0D923E5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1E4AC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999AB5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09" w:type="pct"/>
            <w:tcBorders>
              <w:tl2br w:val="nil"/>
              <w:tr2bl w:val="nil"/>
            </w:tcBorders>
            <w:shd w:val="clear" w:color="auto" w:fill="auto"/>
            <w:vAlign w:val="center"/>
          </w:tcPr>
          <w:p w14:paraId="01E5BF5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电源管理器</w:t>
            </w:r>
          </w:p>
        </w:tc>
        <w:tc>
          <w:tcPr>
            <w:tcW w:w="3240" w:type="pct"/>
            <w:gridSpan w:val="3"/>
            <w:tcBorders>
              <w:tl2br w:val="nil"/>
              <w:tr2bl w:val="nil"/>
            </w:tcBorders>
            <w:shd w:val="clear" w:color="auto" w:fill="auto"/>
            <w:vAlign w:val="center"/>
          </w:tcPr>
          <w:p w14:paraId="3DCC743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4、具有一路及以上USB输出接口。</w:t>
            </w:r>
          </w:p>
        </w:tc>
        <w:tc>
          <w:tcPr>
            <w:tcW w:w="387" w:type="pct"/>
            <w:gridSpan w:val="3"/>
            <w:tcBorders>
              <w:tl2br w:val="nil"/>
              <w:tr2bl w:val="nil"/>
            </w:tcBorders>
            <w:shd w:val="clear" w:color="auto" w:fill="auto"/>
            <w:noWrap/>
            <w:vAlign w:val="center"/>
          </w:tcPr>
          <w:p w14:paraId="6AA31BD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58B54F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00069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71586AD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八、人才会客厅</w:t>
            </w:r>
          </w:p>
        </w:tc>
        <w:tc>
          <w:tcPr>
            <w:tcW w:w="387" w:type="pct"/>
            <w:gridSpan w:val="3"/>
            <w:tcBorders>
              <w:tl2br w:val="nil"/>
              <w:tr2bl w:val="nil"/>
            </w:tcBorders>
            <w:shd w:val="clear" w:color="auto" w:fill="auto"/>
            <w:noWrap/>
            <w:vAlign w:val="center"/>
          </w:tcPr>
          <w:p w14:paraId="0A106DA7">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78908DB8">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50C66C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4A39F6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37E1D99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★室内LED P1.86全彩屏</w:t>
            </w:r>
          </w:p>
        </w:tc>
        <w:tc>
          <w:tcPr>
            <w:tcW w:w="3240" w:type="pct"/>
            <w:gridSpan w:val="3"/>
            <w:tcBorders>
              <w:tl2br w:val="nil"/>
              <w:tr2bl w:val="nil"/>
            </w:tcBorders>
            <w:shd w:val="clear" w:color="auto" w:fill="auto"/>
            <w:vAlign w:val="center"/>
          </w:tcPr>
          <w:p w14:paraId="40B5820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1、屏幕显示区域尺寸（高×宽）：≥1.92*3.52=6.76㎡；分辨率：≥1032*1892=1952544像素；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2、★LED封装方式：1515铜线铜支架封装，LED灯珠及显示屏为同一品牌。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3、像素构成：表贴三合一1515(1R1GTB)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4．像素点间距：≤1.86mm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5、单元板分辨率：≥172*86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6、像素密度：≤288906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7、单元板尺寸：≥320*160mm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8、★底壳材质：采用轻钢材质套件，产品轻巧安装精度高。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9、扫描方式：32扫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10、色温：支持3000K到20000K可自定义色温值，可设冷色、暖色、标准等多档白场调节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11、色温误差：色温为6500K时，100%，75%，50%，25%四档电平白场调节色温误差≤100K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12、色度均匀性：±0.001C，Cy之内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13、水平/垂直视角：≥170°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14、亮度均匀性：≥98.5%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15、亮度：具有蓝光抑制功能，支持通过配套软件0-100%无极可调，0cd/m²-1000cd/m²可调，支持手动/自动/软件任意调节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16、白平衡亮度：≥800cd/m²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17、最高对比度：8000：1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18、人眼视觉舒适度：VICO指数：≤1，符合视觉舒适度1级，基本无疲劳感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19、换帧频率：50&amp;60Hz，支持120Hz～144Hz等3D显示技术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20、刷新频率：≥3840Hz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21、信号处理深度：16bit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22、模组平整度：≤0.1mm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23、像素中心距偏差（发光点中心距偏差）：C级，JX≤0.5%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24、功耗：≤633W/m²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25、平均功耗：≤317W/m²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26、智能节电：产品采用PWM芯片，可智能调节正常工作与睡眠状态下的节能效果（动态节能:智能息屏），开启智能节电功能比没有开启节能35%以上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智能控制：支持软件自定义修改分辨率，自定义分辨率，更加适合LED屏幕的使用:支持分屏操作。支持任意比例拼接素材和多图层叠始，支持无线遥控、手机遥控，一键切换视频；支持与智能播控软件一键IP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28、检测校正：支持单点检测，逐点校正，可对单点亮度、色度进行校正，支持出厂校正及现场校正，校正后亮度损失&lt;5%，支持单点维修更换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29、低亮高刷：亮度≥100nit，灰度等级≥14bit,刷新:≥2500Hz上;亮≥度200nit，灰度等级≥16bit,刷新:≥3200Hz上;亮度≥500nit，灰度等级≥16bit,刷新:≥3840Hz以上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30、维护方式：电源、模组、接收卡，MUB卡全前维护，单模块可拆卸，支持热插拔，维护时间不超过10s,支持单点维修更换。支持磁吸固定方式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31、拼缝亮线暗线校正：LED显示屏系统具有大屏幕亮暗线修复功能，从软件、硬件两方面彻底改善困扰LED显示屏的低亮高灰问题及安装精度造成的亮、暗线问题。</w:t>
            </w:r>
          </w:p>
        </w:tc>
        <w:tc>
          <w:tcPr>
            <w:tcW w:w="387" w:type="pct"/>
            <w:gridSpan w:val="3"/>
            <w:tcBorders>
              <w:tl2br w:val="nil"/>
              <w:tr2bl w:val="nil"/>
            </w:tcBorders>
            <w:shd w:val="clear" w:color="auto" w:fill="auto"/>
            <w:vAlign w:val="center"/>
          </w:tcPr>
          <w:p w14:paraId="5E5C8B0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6.76</w:t>
            </w:r>
          </w:p>
        </w:tc>
        <w:tc>
          <w:tcPr>
            <w:tcW w:w="361" w:type="pct"/>
            <w:tcBorders>
              <w:tl2br w:val="nil"/>
              <w:tr2bl w:val="nil"/>
            </w:tcBorders>
            <w:shd w:val="clear" w:color="auto" w:fill="auto"/>
            <w:vAlign w:val="center"/>
          </w:tcPr>
          <w:p w14:paraId="302A553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51C8F3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BA60E6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vAlign w:val="center"/>
          </w:tcPr>
          <w:p w14:paraId="1C3B2AB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开关电源</w:t>
            </w:r>
          </w:p>
        </w:tc>
        <w:tc>
          <w:tcPr>
            <w:tcW w:w="3240" w:type="pct"/>
            <w:gridSpan w:val="3"/>
            <w:tcBorders>
              <w:tl2br w:val="nil"/>
              <w:tr2bl w:val="nil"/>
            </w:tcBorders>
            <w:shd w:val="clear" w:color="auto" w:fill="auto"/>
            <w:vAlign w:val="center"/>
          </w:tcPr>
          <w:p w14:paraId="6F48BA5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1、规格：4.5V、40A电源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2、功能：每台电源供电6张模组，留有冗余</w:t>
            </w:r>
          </w:p>
        </w:tc>
        <w:tc>
          <w:tcPr>
            <w:tcW w:w="387" w:type="pct"/>
            <w:gridSpan w:val="3"/>
            <w:tcBorders>
              <w:tl2br w:val="nil"/>
              <w:tr2bl w:val="nil"/>
            </w:tcBorders>
            <w:shd w:val="clear" w:color="auto" w:fill="auto"/>
            <w:vAlign w:val="center"/>
          </w:tcPr>
          <w:p w14:paraId="779D355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61" w:type="pct"/>
            <w:tcBorders>
              <w:tl2br w:val="nil"/>
              <w:tr2bl w:val="nil"/>
            </w:tcBorders>
            <w:shd w:val="clear" w:color="auto" w:fill="auto"/>
            <w:vAlign w:val="center"/>
          </w:tcPr>
          <w:p w14:paraId="72FBA74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0B86C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04CF4F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vAlign w:val="center"/>
          </w:tcPr>
          <w:p w14:paraId="7352F9F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接收卡</w:t>
            </w:r>
          </w:p>
        </w:tc>
        <w:tc>
          <w:tcPr>
            <w:tcW w:w="3240" w:type="pct"/>
            <w:gridSpan w:val="3"/>
            <w:tcBorders>
              <w:tl2br w:val="nil"/>
              <w:tr2bl w:val="nil"/>
            </w:tcBorders>
            <w:shd w:val="clear" w:color="auto" w:fill="auto"/>
            <w:vAlign w:val="center"/>
          </w:tcPr>
          <w:p w14:paraId="2FFF930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1、单卡最大带载分辨率 ≥256×512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2、无需转接板，单卡输出自带HUB75接口，更加稳定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3、支持亮度校正，对每个灯点的亮度进行校正，有效消除亮度差异，使整屏的亮度达到高度一致。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4、支持32扫、支持固件程序版本回读</w:t>
            </w:r>
          </w:p>
        </w:tc>
        <w:tc>
          <w:tcPr>
            <w:tcW w:w="387" w:type="pct"/>
            <w:gridSpan w:val="3"/>
            <w:tcBorders>
              <w:tl2br w:val="nil"/>
              <w:tr2bl w:val="nil"/>
            </w:tcBorders>
            <w:shd w:val="clear" w:color="auto" w:fill="auto"/>
            <w:vAlign w:val="center"/>
          </w:tcPr>
          <w:p w14:paraId="1332F2C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61" w:type="pct"/>
            <w:tcBorders>
              <w:tl2br w:val="nil"/>
              <w:tr2bl w:val="nil"/>
            </w:tcBorders>
            <w:shd w:val="clear" w:color="auto" w:fill="auto"/>
            <w:vAlign w:val="center"/>
          </w:tcPr>
          <w:p w14:paraId="7E24DB2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35FC0B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29914D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vAlign w:val="center"/>
          </w:tcPr>
          <w:p w14:paraId="4977D23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视频处理器</w:t>
            </w:r>
          </w:p>
        </w:tc>
        <w:tc>
          <w:tcPr>
            <w:tcW w:w="3240" w:type="pct"/>
            <w:gridSpan w:val="3"/>
            <w:tcBorders>
              <w:tl2br w:val="nil"/>
              <w:tr2bl w:val="nil"/>
            </w:tcBorders>
            <w:shd w:val="clear" w:color="auto" w:fill="auto"/>
            <w:vAlign w:val="center"/>
          </w:tcPr>
          <w:p w14:paraId="4538913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1、支持多路输入接口：≥1 路 DVI，≥1 路 HDMI，≥1 路 VGA，≥1 路 USB，≥1 路 CVBS，以适用各种前端输入信号；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2、发送卡和视频处理器二合一，减少系统连线，有效提升系统的稳定性及兼容性；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3、支持插入U盘播放，最大支持1920x1080@60Hz视频输入；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4、设备前面板配备直观的 LCD 显示界面，可实时显示型号、ip地址、窗口及信号源的分辨率、网口的状态、屏幕大小及帧频、USB 连接或网线连接状态和屏体亮度等信息；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5、支持配合多功能卡，实现对屏体电源的手动控制，自动控制，以及软件控制，灵活简单。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 DVI、HDMI 的输入分辨率自定义调节。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7、支持逐点亮度校正，可以对每个灯点的亮度和色度进行采集校正，有效消除色差，使整屏的亮度和色度达到高度均匀一致，提高显示屏的画质。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8、支持通过设备旋转按钮实现快捷配屏和高级配屏功能点亮屏体；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9、支持不少于 4个千兆网口输出，最大带载可达260万像素。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10、支持创建不少于6个用户场景作为模板保存，方便快速调用。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11、支持通过中控设备进行统一控制。</w:t>
            </w:r>
          </w:p>
        </w:tc>
        <w:tc>
          <w:tcPr>
            <w:tcW w:w="387" w:type="pct"/>
            <w:gridSpan w:val="3"/>
            <w:tcBorders>
              <w:tl2br w:val="nil"/>
              <w:tr2bl w:val="nil"/>
            </w:tcBorders>
            <w:shd w:val="clear" w:color="auto" w:fill="auto"/>
            <w:vAlign w:val="center"/>
          </w:tcPr>
          <w:p w14:paraId="217E920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14297BD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B22BD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D056C6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vAlign w:val="center"/>
          </w:tcPr>
          <w:p w14:paraId="574E51F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钢架结构</w:t>
            </w:r>
          </w:p>
        </w:tc>
        <w:tc>
          <w:tcPr>
            <w:tcW w:w="3240" w:type="pct"/>
            <w:gridSpan w:val="3"/>
            <w:tcBorders>
              <w:tl2br w:val="nil"/>
              <w:tr2bl w:val="nil"/>
            </w:tcBorders>
            <w:shd w:val="clear" w:color="auto" w:fill="auto"/>
            <w:vAlign w:val="center"/>
          </w:tcPr>
          <w:p w14:paraId="013908E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1、框架规格：采用3#镀锌方管焊接（实厚不低于2.0mm），1.0mm亚光拉丝不锈钢包边（正面宽度8cm/边）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2、安装方式：挂墙</w:t>
            </w:r>
          </w:p>
        </w:tc>
        <w:tc>
          <w:tcPr>
            <w:tcW w:w="387" w:type="pct"/>
            <w:gridSpan w:val="3"/>
            <w:tcBorders>
              <w:tl2br w:val="nil"/>
              <w:tr2bl w:val="nil"/>
            </w:tcBorders>
            <w:shd w:val="clear" w:color="auto" w:fill="auto"/>
            <w:vAlign w:val="center"/>
          </w:tcPr>
          <w:p w14:paraId="59B70A7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6.76</w:t>
            </w:r>
          </w:p>
        </w:tc>
        <w:tc>
          <w:tcPr>
            <w:tcW w:w="361" w:type="pct"/>
            <w:tcBorders>
              <w:tl2br w:val="nil"/>
              <w:tr2bl w:val="nil"/>
            </w:tcBorders>
            <w:shd w:val="clear" w:color="auto" w:fill="auto"/>
            <w:vAlign w:val="center"/>
          </w:tcPr>
          <w:p w14:paraId="16CBE1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D9BE9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776F13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vAlign w:val="center"/>
          </w:tcPr>
          <w:p w14:paraId="69BCDED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控制软件</w:t>
            </w:r>
          </w:p>
        </w:tc>
        <w:tc>
          <w:tcPr>
            <w:tcW w:w="3240" w:type="pct"/>
            <w:gridSpan w:val="3"/>
            <w:tcBorders>
              <w:tl2br w:val="nil"/>
              <w:tr2bl w:val="nil"/>
            </w:tcBorders>
            <w:shd w:val="clear" w:color="auto" w:fill="auto"/>
            <w:vAlign w:val="center"/>
          </w:tcPr>
          <w:p w14:paraId="0048FAD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1、配套正版LED播放软件</w:t>
            </w:r>
          </w:p>
        </w:tc>
        <w:tc>
          <w:tcPr>
            <w:tcW w:w="387" w:type="pct"/>
            <w:gridSpan w:val="3"/>
            <w:tcBorders>
              <w:tl2br w:val="nil"/>
              <w:tr2bl w:val="nil"/>
            </w:tcBorders>
            <w:shd w:val="clear" w:color="auto" w:fill="auto"/>
            <w:vAlign w:val="center"/>
          </w:tcPr>
          <w:p w14:paraId="1ECFA7D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5ECEF26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5558C6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79B5B8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vAlign w:val="center"/>
          </w:tcPr>
          <w:p w14:paraId="181C23D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3240" w:type="pct"/>
            <w:gridSpan w:val="3"/>
            <w:tcBorders>
              <w:tl2br w:val="nil"/>
              <w:tr2bl w:val="nil"/>
            </w:tcBorders>
            <w:shd w:val="clear" w:color="auto" w:fill="auto"/>
            <w:vAlign w:val="center"/>
          </w:tcPr>
          <w:p w14:paraId="4BA096F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1、规格：10KW容量，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2、其他：含3路空气开关等</w:t>
            </w:r>
          </w:p>
        </w:tc>
        <w:tc>
          <w:tcPr>
            <w:tcW w:w="387" w:type="pct"/>
            <w:gridSpan w:val="3"/>
            <w:tcBorders>
              <w:tl2br w:val="nil"/>
              <w:tr2bl w:val="nil"/>
            </w:tcBorders>
            <w:shd w:val="clear" w:color="auto" w:fill="auto"/>
            <w:vAlign w:val="center"/>
          </w:tcPr>
          <w:p w14:paraId="3ACCC81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1259921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644C3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786C41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noWrap/>
            <w:vAlign w:val="center"/>
          </w:tcPr>
          <w:p w14:paraId="0B753A5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控制终端</w:t>
            </w:r>
          </w:p>
        </w:tc>
        <w:tc>
          <w:tcPr>
            <w:tcW w:w="3240" w:type="pct"/>
            <w:gridSpan w:val="3"/>
            <w:tcBorders>
              <w:tl2br w:val="nil"/>
              <w:tr2bl w:val="nil"/>
            </w:tcBorders>
            <w:shd w:val="clear" w:color="auto" w:fill="auto"/>
            <w:vAlign w:val="center"/>
          </w:tcPr>
          <w:p w14:paraId="74EAA18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1、机架式工控机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2、CPU：≥i5，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3、内存：配置≥16G DDR3，支持≥2个插槽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4、硬盘：配置≥1块 512GB HDD硬盘；</w:t>
            </w:r>
          </w:p>
        </w:tc>
        <w:tc>
          <w:tcPr>
            <w:tcW w:w="387" w:type="pct"/>
            <w:gridSpan w:val="3"/>
            <w:tcBorders>
              <w:tl2br w:val="nil"/>
              <w:tr2bl w:val="nil"/>
            </w:tcBorders>
            <w:shd w:val="clear" w:color="auto" w:fill="auto"/>
            <w:noWrap/>
            <w:vAlign w:val="center"/>
          </w:tcPr>
          <w:p w14:paraId="673E5AF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12A1C0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60FFC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3CE57DF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九、员工加油站</w:t>
            </w:r>
          </w:p>
        </w:tc>
        <w:tc>
          <w:tcPr>
            <w:tcW w:w="387" w:type="pct"/>
            <w:gridSpan w:val="3"/>
            <w:tcBorders>
              <w:tl2br w:val="nil"/>
              <w:tr2bl w:val="nil"/>
            </w:tcBorders>
            <w:shd w:val="clear" w:color="auto" w:fill="auto"/>
            <w:noWrap/>
            <w:vAlign w:val="center"/>
          </w:tcPr>
          <w:p w14:paraId="14C16A06">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7A59CCFB">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59014D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17584D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399A53C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★室内LED P1.86全彩屏</w:t>
            </w:r>
          </w:p>
        </w:tc>
        <w:tc>
          <w:tcPr>
            <w:tcW w:w="3240" w:type="pct"/>
            <w:gridSpan w:val="3"/>
            <w:tcBorders>
              <w:tl2br w:val="nil"/>
              <w:tr2bl w:val="nil"/>
            </w:tcBorders>
            <w:shd w:val="clear" w:color="auto" w:fill="auto"/>
            <w:vAlign w:val="center"/>
          </w:tcPr>
          <w:p w14:paraId="7A0F3C4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1、屏幕显示区域尺寸（高×宽）：≥2.24*4.8=10.75㎡；分辨率：≥2580*1204=3106320像素；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2、★LED封装方式：1515铜线铜支架封装，LED灯珠及显示屏为同一品牌。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3、像素构成：表贴三合一1515(1R1GTB)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4．像素点间距：≤1.86mm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5、单元板分辨率：≥172*86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6、像素密度：≤288906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7、单元板尺寸：≥320*160mm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8、★底壳材质：采用轻钢材质套件，产品轻巧安装精度高。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9、扫描方式：32扫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10、色温：支持3000K到20000K可自定义色温值，可设冷色、暖色、标准等多档白场调节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11、色温误差：色温为6500K时，100%，75%，50%，25%四档电平白场调节色温误差≤100K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12、色度均匀性：±0.001C，Cy之内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13、水平/垂直视角：≥170°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14、亮度均匀性：≥98.5%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15、亮度：具有蓝光抑制功能，支持通过配套软件0-100%无极可调，0cd/m²-1000cd/m²可调，支持手动/自动/软件任意调节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16、白平衡亮度：≥800cd/m²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17、最高对比度：8000：1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18、人眼视觉舒适度：VICO指数：≤1，符合视觉舒适度1级，基本无疲劳感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19、换帧频率：50&amp;60Hz，支持120Hz～144Hz等3D显示技术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20、刷新频率：≥3840Hz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21、信号处理深度：16bit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22、模组平整度：≤0.1mm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23、像素中心距偏差（发光点中心距偏差）：C级，JX≤0.5%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24、功耗：≤633W/m²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25、平均功耗：≤317W/m²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26、智能节电：产品采用PWM芯片，可智能调节正常工作与睡眠状态下的节能效果（动态节能:智能息屏），开启智能节电功能比没有开启节能35%以上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智能控制：支持软件自定义修改分辨率，自定义分辨率，更加适合LED屏幕的使用:支持分屏操作。支持任意比例拼接素材和多图层叠始，支持无线遥控、手机遥控，一键切换视频；支持与智能播控软件一键IP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28、检测校正：支持单点检测，逐点校正，可对单点亮度、色度进行校正，支持出厂校正及现场校正，校正后亮度损失&lt;5%，支持单点维修更换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29、低亮高刷：亮度≥100nit，灰度等级≥14bit</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刷新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≥2500Hz上</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亮≥度200nit，灰度等级≥16bit</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刷新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≥3200Hz上</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亮度≥500nit，灰度等级≥16bit</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刷新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≥3840Hz以上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30、维护方式：电源、模组、接收卡，MUB卡全前维护，单模块可拆卸，支持热插拔，维护时间不超过10s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支持单点维修更换。支持磁吸固定方式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31、拼缝亮线暗线校正：LED显示屏系统具有大屏幕亮暗线修复功能，从软件、硬件两方面彻底改善困扰LED显示屏的低亮高灰问题及安装精度造成的亮、暗线问题。</w:t>
            </w:r>
          </w:p>
        </w:tc>
        <w:tc>
          <w:tcPr>
            <w:tcW w:w="387" w:type="pct"/>
            <w:gridSpan w:val="3"/>
            <w:tcBorders>
              <w:tl2br w:val="nil"/>
              <w:tr2bl w:val="nil"/>
            </w:tcBorders>
            <w:shd w:val="clear" w:color="auto" w:fill="auto"/>
            <w:vAlign w:val="center"/>
          </w:tcPr>
          <w:p w14:paraId="3A217BB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10.75</w:t>
            </w:r>
          </w:p>
        </w:tc>
        <w:tc>
          <w:tcPr>
            <w:tcW w:w="361" w:type="pct"/>
            <w:tcBorders>
              <w:tl2br w:val="nil"/>
              <w:tr2bl w:val="nil"/>
            </w:tcBorders>
            <w:shd w:val="clear" w:color="auto" w:fill="auto"/>
            <w:vAlign w:val="center"/>
          </w:tcPr>
          <w:p w14:paraId="7FF49E3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4A990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4B53D6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vAlign w:val="center"/>
          </w:tcPr>
          <w:p w14:paraId="51A293A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开关电源</w:t>
            </w:r>
          </w:p>
        </w:tc>
        <w:tc>
          <w:tcPr>
            <w:tcW w:w="3240" w:type="pct"/>
            <w:gridSpan w:val="3"/>
            <w:tcBorders>
              <w:tl2br w:val="nil"/>
              <w:tr2bl w:val="nil"/>
            </w:tcBorders>
            <w:shd w:val="clear" w:color="auto" w:fill="auto"/>
            <w:vAlign w:val="center"/>
          </w:tcPr>
          <w:p w14:paraId="7D84550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1、规格：4.5V、40A电源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2、功能：每台电源供电6张模组，留有冗余</w:t>
            </w:r>
          </w:p>
        </w:tc>
        <w:tc>
          <w:tcPr>
            <w:tcW w:w="387" w:type="pct"/>
            <w:gridSpan w:val="3"/>
            <w:tcBorders>
              <w:tl2br w:val="nil"/>
              <w:tr2bl w:val="nil"/>
            </w:tcBorders>
            <w:shd w:val="clear" w:color="auto" w:fill="auto"/>
            <w:vAlign w:val="center"/>
          </w:tcPr>
          <w:p w14:paraId="717C367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361" w:type="pct"/>
            <w:tcBorders>
              <w:tl2br w:val="nil"/>
              <w:tr2bl w:val="nil"/>
            </w:tcBorders>
            <w:shd w:val="clear" w:color="auto" w:fill="auto"/>
            <w:vAlign w:val="center"/>
          </w:tcPr>
          <w:p w14:paraId="58A7FD2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10540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00" w:type="pct"/>
            <w:tcBorders>
              <w:tl2br w:val="nil"/>
              <w:tr2bl w:val="nil"/>
            </w:tcBorders>
            <w:shd w:val="clear" w:color="auto" w:fill="auto"/>
            <w:noWrap/>
            <w:vAlign w:val="center"/>
          </w:tcPr>
          <w:p w14:paraId="43BEA77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vAlign w:val="center"/>
          </w:tcPr>
          <w:p w14:paraId="7A98D5D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接收卡</w:t>
            </w:r>
          </w:p>
        </w:tc>
        <w:tc>
          <w:tcPr>
            <w:tcW w:w="3240" w:type="pct"/>
            <w:gridSpan w:val="3"/>
            <w:tcBorders>
              <w:tl2br w:val="nil"/>
              <w:tr2bl w:val="nil"/>
            </w:tcBorders>
            <w:shd w:val="clear" w:color="auto" w:fill="auto"/>
            <w:vAlign w:val="center"/>
          </w:tcPr>
          <w:p w14:paraId="73480975">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1、单卡最大带载分辨率 ≥256×512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2、无需转接板，单卡输出自带HUB75接口，更加稳定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3、支持亮度校正，对每个灯点的亮度进行校正，有效消除亮度差异，使整屏的亮度达到高度一致。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4、支持32扫、支持固件程序版本回读</w:t>
            </w:r>
          </w:p>
        </w:tc>
        <w:tc>
          <w:tcPr>
            <w:tcW w:w="387" w:type="pct"/>
            <w:gridSpan w:val="3"/>
            <w:tcBorders>
              <w:tl2br w:val="nil"/>
              <w:tr2bl w:val="nil"/>
            </w:tcBorders>
            <w:shd w:val="clear" w:color="auto" w:fill="auto"/>
            <w:vAlign w:val="center"/>
          </w:tcPr>
          <w:p w14:paraId="2593138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61" w:type="pct"/>
            <w:tcBorders>
              <w:tl2br w:val="nil"/>
              <w:tr2bl w:val="nil"/>
            </w:tcBorders>
            <w:shd w:val="clear" w:color="auto" w:fill="auto"/>
            <w:vAlign w:val="center"/>
          </w:tcPr>
          <w:p w14:paraId="49C0C4F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7F850B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C597CC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vAlign w:val="center"/>
          </w:tcPr>
          <w:p w14:paraId="4FE25F4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视频处理器</w:t>
            </w:r>
          </w:p>
        </w:tc>
        <w:tc>
          <w:tcPr>
            <w:tcW w:w="3240" w:type="pct"/>
            <w:gridSpan w:val="3"/>
            <w:tcBorders>
              <w:tl2br w:val="nil"/>
              <w:tr2bl w:val="nil"/>
            </w:tcBorders>
            <w:shd w:val="clear" w:color="auto" w:fill="auto"/>
            <w:vAlign w:val="center"/>
          </w:tcPr>
          <w:p w14:paraId="4C109C8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1、支持常见的视频接口，包括≥1 路DVI，2 路 HDMI1.3，1 路3G-SDI+LOOP（可根据实际需求选配）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2、支持≥3 个窗口和 1 路 OSD同时显示。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3、支持快捷配屏和高级配屏功能，脱离电脑也能实现快速配屏。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 HDMI、DVI 输入分辨率自定义调节，支持1920*1200,1920*1080,1080*720等多种分辨率。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5、支持设备间备份和设备内网口备份设置，保障因设备故障或网线故障时，屏体运行正常。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6、视频输出最大带载高达390万像素，最宽不低于10240，最高不低于8192。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7、支持带载屏体亮度调节，通过旋钮可实现100级亮度调节。。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8、支持逐点亮度校正，可以对所有灯点的亮度和色度进行采集校正，有效消除LED模组的色差，使整屏的亮度和色度达到高度均匀一致，提高显示屏的画质。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9、支持创建≥10 个用户场景作为模板保存，方便使用。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10、支持选择 HDMI 输入源或 DVI 输入源作为同步信号，达到输出的场级同步。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11、支持音频独立输入和伴随HDMI输入两种模式，音频独立输出及扩展输出两种输出模式；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12、前面板配备直观的 LCD 显示界面，可直接观察网口的通讯状态，设备型号，IP地址，屏幕大小及信号源状态等信息，简化系统的控制操作。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13、支持自定义按键功能，可将按键设置为用户常用的功能菜单，一键快捷直达；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14、集成视频处理和发送卡功能，简化系统链路，提高系统的稳定性及兼容性；</w:t>
            </w:r>
          </w:p>
        </w:tc>
        <w:tc>
          <w:tcPr>
            <w:tcW w:w="387" w:type="pct"/>
            <w:gridSpan w:val="3"/>
            <w:tcBorders>
              <w:tl2br w:val="nil"/>
              <w:tr2bl w:val="nil"/>
            </w:tcBorders>
            <w:shd w:val="clear" w:color="auto" w:fill="auto"/>
            <w:vAlign w:val="center"/>
          </w:tcPr>
          <w:p w14:paraId="30952FC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1C6EEE0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8AD19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7CEA32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vAlign w:val="center"/>
          </w:tcPr>
          <w:p w14:paraId="40645D5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钢架结构</w:t>
            </w:r>
          </w:p>
        </w:tc>
        <w:tc>
          <w:tcPr>
            <w:tcW w:w="3240" w:type="pct"/>
            <w:gridSpan w:val="3"/>
            <w:tcBorders>
              <w:tl2br w:val="nil"/>
              <w:tr2bl w:val="nil"/>
            </w:tcBorders>
            <w:shd w:val="clear" w:color="auto" w:fill="auto"/>
            <w:vAlign w:val="center"/>
          </w:tcPr>
          <w:p w14:paraId="6121FF7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1、框架规格：采用3#镀锌方管焊接（实厚不低于2.0mm），1.0mm亚光拉丝不锈钢包边（正面宽度8cm/边）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2、安装方式：挂墙</w:t>
            </w:r>
          </w:p>
        </w:tc>
        <w:tc>
          <w:tcPr>
            <w:tcW w:w="387" w:type="pct"/>
            <w:gridSpan w:val="3"/>
            <w:tcBorders>
              <w:tl2br w:val="nil"/>
              <w:tr2bl w:val="nil"/>
            </w:tcBorders>
            <w:shd w:val="clear" w:color="auto" w:fill="auto"/>
            <w:vAlign w:val="center"/>
          </w:tcPr>
          <w:p w14:paraId="58BB43A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10.75</w:t>
            </w:r>
          </w:p>
        </w:tc>
        <w:tc>
          <w:tcPr>
            <w:tcW w:w="361" w:type="pct"/>
            <w:tcBorders>
              <w:tl2br w:val="nil"/>
              <w:tr2bl w:val="nil"/>
            </w:tcBorders>
            <w:shd w:val="clear" w:color="auto" w:fill="auto"/>
            <w:vAlign w:val="center"/>
          </w:tcPr>
          <w:p w14:paraId="196BCB8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8428B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1A968A6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vAlign w:val="center"/>
          </w:tcPr>
          <w:p w14:paraId="3C133A7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控制软件</w:t>
            </w:r>
          </w:p>
        </w:tc>
        <w:tc>
          <w:tcPr>
            <w:tcW w:w="3240" w:type="pct"/>
            <w:gridSpan w:val="3"/>
            <w:tcBorders>
              <w:tl2br w:val="nil"/>
              <w:tr2bl w:val="nil"/>
            </w:tcBorders>
            <w:shd w:val="clear" w:color="auto" w:fill="auto"/>
            <w:vAlign w:val="center"/>
          </w:tcPr>
          <w:p w14:paraId="58B3BA85">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1、配套正版LED播放软件</w:t>
            </w:r>
          </w:p>
        </w:tc>
        <w:tc>
          <w:tcPr>
            <w:tcW w:w="387" w:type="pct"/>
            <w:gridSpan w:val="3"/>
            <w:tcBorders>
              <w:tl2br w:val="nil"/>
              <w:tr2bl w:val="nil"/>
            </w:tcBorders>
            <w:shd w:val="clear" w:color="auto" w:fill="auto"/>
            <w:vAlign w:val="center"/>
          </w:tcPr>
          <w:p w14:paraId="75C5860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35AD375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851A0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1DC5411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vAlign w:val="center"/>
          </w:tcPr>
          <w:p w14:paraId="3C17A4E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3240" w:type="pct"/>
            <w:gridSpan w:val="3"/>
            <w:tcBorders>
              <w:tl2br w:val="nil"/>
              <w:tr2bl w:val="nil"/>
            </w:tcBorders>
            <w:shd w:val="clear" w:color="auto" w:fill="auto"/>
            <w:vAlign w:val="center"/>
          </w:tcPr>
          <w:p w14:paraId="4310E9B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1、规格：10KW容量，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2、其他：含3路空气开关等</w:t>
            </w:r>
          </w:p>
        </w:tc>
        <w:tc>
          <w:tcPr>
            <w:tcW w:w="387" w:type="pct"/>
            <w:gridSpan w:val="3"/>
            <w:tcBorders>
              <w:tl2br w:val="nil"/>
              <w:tr2bl w:val="nil"/>
            </w:tcBorders>
            <w:shd w:val="clear" w:color="auto" w:fill="auto"/>
            <w:vAlign w:val="center"/>
          </w:tcPr>
          <w:p w14:paraId="171983B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58ECB4B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3BCBB7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9FAA1A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noWrap/>
            <w:vAlign w:val="center"/>
          </w:tcPr>
          <w:p w14:paraId="06149E4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控制终端</w:t>
            </w:r>
          </w:p>
        </w:tc>
        <w:tc>
          <w:tcPr>
            <w:tcW w:w="3240" w:type="pct"/>
            <w:gridSpan w:val="3"/>
            <w:tcBorders>
              <w:tl2br w:val="nil"/>
              <w:tr2bl w:val="nil"/>
            </w:tcBorders>
            <w:shd w:val="clear" w:color="auto" w:fill="auto"/>
            <w:vAlign w:val="center"/>
          </w:tcPr>
          <w:p w14:paraId="5F8CF34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1、机架式工控机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2、CPU：≥i5，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3、内存：配置≥16G DDR3，支持≥2个插槽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4、硬盘：配置≥1块 512GB HDD硬盘；</w:t>
            </w:r>
          </w:p>
        </w:tc>
        <w:tc>
          <w:tcPr>
            <w:tcW w:w="387" w:type="pct"/>
            <w:gridSpan w:val="3"/>
            <w:tcBorders>
              <w:tl2br w:val="nil"/>
              <w:tr2bl w:val="nil"/>
            </w:tcBorders>
            <w:shd w:val="clear" w:color="auto" w:fill="auto"/>
            <w:noWrap/>
            <w:vAlign w:val="center"/>
          </w:tcPr>
          <w:p w14:paraId="38B4037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219EFD4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D525C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AD38A0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9" w:type="pct"/>
            <w:tcBorders>
              <w:tl2br w:val="nil"/>
              <w:tr2bl w:val="nil"/>
            </w:tcBorders>
            <w:shd w:val="clear" w:color="auto" w:fill="auto"/>
            <w:vAlign w:val="center"/>
          </w:tcPr>
          <w:p w14:paraId="69E7850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会议一体机98寸（带支架）</w:t>
            </w:r>
          </w:p>
        </w:tc>
        <w:tc>
          <w:tcPr>
            <w:tcW w:w="3240" w:type="pct"/>
            <w:gridSpan w:val="3"/>
            <w:tcBorders>
              <w:tl2br w:val="nil"/>
              <w:tr2bl w:val="nil"/>
            </w:tcBorders>
            <w:shd w:val="clear" w:color="auto" w:fill="auto"/>
            <w:vAlign w:val="center"/>
          </w:tcPr>
          <w:p w14:paraId="1049DAE5">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一、屏体及触控技术要求：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1、屏体采用A规屏，显示尺寸≥98英寸，分辨率：3840*2160；可视角≥178°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2、色彩覆盖率不低于110%，在Windows系统4K分辨率下，屏幕刷新率可达60Hz画面无闪烁；屏幕最高灰阶≥256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3、采用红外全贴合触控技术、光影偏差为0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4、触控分辨率≥32768*32768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5、防蓝光技术，在源头减少有害蓝光波段能量，有害蓝光波长415～455nm＜30%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6、通过DC调光技术、直流信号控制背光亮度，实现稳定光源无频闪，摄像设备拍摄时画面无条纹闪烁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嵌入式系统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提供二维码扫码报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8、整机前置接口：≥1路HDMI IN接口（非转接），≥2路USB3.0接口，≥1路USB Type-C接口（Type-C接口具备音频、视频、数据、触控、充电等功能，外接电脑可调用交互设备、麦克风、音响、摄像头等使用权限）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9、整机后置接口RJ45≥1路，音频输入≥1路，RS232≥1路，VGA输入接口≥1路，≥2路HDMI IN，≥1路HDMI OUT；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10、智能交互平板采用不低于12核国产化驱动芯片，Android 系统版本不低于14.0，内存≥8GB，存储≥64GB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11、采用针孔阵列发声设计，智能交互平板下边框具有6个发声单元，总功率≥60W, 扬声器在100%音量下，1米处声压级≥90dB，10米处声压级≥80dB；谐振频率不高于260Hz;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12、内置一体化超高清5K摄像头，单颗摄像头有效像素≥1900W，可输出最大分辨5104*3864的图片与视频，支持搭配AI软件实现自动点名点数功能。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二、内置电脑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13、采用80pin Intel通用标准接口,即插即用，易于维护。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14、尺寸长度≥220mm，厚度≤30mm。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15、CPU：≥Intel酷睿I5处理器。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16、内存：≥8G 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17、硬盘：≥256G SSD固态硬盘。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18、接口：整机非外扩展具备5个USB接口；具有独立非外扩展的视频输出接口：≥1路HDMI等。</w:t>
            </w:r>
          </w:p>
        </w:tc>
        <w:tc>
          <w:tcPr>
            <w:tcW w:w="387" w:type="pct"/>
            <w:gridSpan w:val="3"/>
            <w:tcBorders>
              <w:tl2br w:val="nil"/>
              <w:tr2bl w:val="nil"/>
            </w:tcBorders>
            <w:shd w:val="clear" w:color="auto" w:fill="auto"/>
            <w:noWrap/>
            <w:vAlign w:val="center"/>
          </w:tcPr>
          <w:p w14:paraId="37783A9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131E04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4A82F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8A8D99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9" w:type="pct"/>
            <w:tcBorders>
              <w:tl2br w:val="nil"/>
              <w:tr2bl w:val="nil"/>
            </w:tcBorders>
            <w:shd w:val="clear" w:color="auto" w:fill="auto"/>
            <w:noWrap/>
            <w:vAlign w:val="center"/>
          </w:tcPr>
          <w:p w14:paraId="2E13665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电动幕布</w:t>
            </w:r>
          </w:p>
        </w:tc>
        <w:tc>
          <w:tcPr>
            <w:tcW w:w="3240" w:type="pct"/>
            <w:gridSpan w:val="3"/>
            <w:tcBorders>
              <w:tl2br w:val="nil"/>
              <w:tr2bl w:val="nil"/>
            </w:tcBorders>
            <w:shd w:val="clear" w:color="auto" w:fill="auto"/>
            <w:vAlign w:val="center"/>
          </w:tcPr>
          <w:p w14:paraId="46F8F51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1、规格：≥133寸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2、安装方式：嵌入式幕布</w:t>
            </w:r>
          </w:p>
        </w:tc>
        <w:tc>
          <w:tcPr>
            <w:tcW w:w="387" w:type="pct"/>
            <w:gridSpan w:val="3"/>
            <w:tcBorders>
              <w:tl2br w:val="nil"/>
              <w:tr2bl w:val="nil"/>
            </w:tcBorders>
            <w:shd w:val="clear" w:color="auto" w:fill="auto"/>
            <w:noWrap/>
            <w:vAlign w:val="center"/>
          </w:tcPr>
          <w:p w14:paraId="289FFE7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42D1AFF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8F1A3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A44DB0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09" w:type="pct"/>
            <w:tcBorders>
              <w:tl2br w:val="nil"/>
              <w:tr2bl w:val="nil"/>
            </w:tcBorders>
            <w:shd w:val="clear" w:color="auto" w:fill="auto"/>
            <w:noWrap/>
            <w:vAlign w:val="center"/>
          </w:tcPr>
          <w:p w14:paraId="5F47A95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工程投影机</w:t>
            </w:r>
          </w:p>
        </w:tc>
        <w:tc>
          <w:tcPr>
            <w:tcW w:w="3240" w:type="pct"/>
            <w:gridSpan w:val="3"/>
            <w:tcBorders>
              <w:tl2br w:val="nil"/>
              <w:tr2bl w:val="nil"/>
            </w:tcBorders>
            <w:shd w:val="clear" w:color="auto" w:fill="auto"/>
            <w:vAlign w:val="center"/>
          </w:tcPr>
          <w:p w14:paraId="1DF8E9B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1、3LCD投影技术，采用ALPD单色激光荧光粉色轮成像技术，纯激光光源，光源不含Hg（不接受混合光源）；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2、标准分辨率≥1920×1200；长宽比16:10;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3、亮度≥6300流明，液晶面板≥0.64寸；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4、电动聚焦镜头，避免调整聚焦时碰触机身，使机身位移，变焦比例≥1.6倍;；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5、支持垂直水平方向电动镜头位移，垂直方向≥50%，水平方向≥10%；投射比：1.14-1.86；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6、对比度≥5000000:1；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7、光源寿命≥25000小时（正常模式），节能模式≥30000小时；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8、光源部分通过IP6X防尘标准，整机通过IP5X防尘标准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9、支持HDMI多台投影机边缘融合（平面和曲面），支持垂直水平梯形校正及八点校正；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10、具备USB-A接口：支持接无线模组无线传输视频功能，支持U盘直读，支持投影机软件升级功能；</w:t>
            </w:r>
          </w:p>
        </w:tc>
        <w:tc>
          <w:tcPr>
            <w:tcW w:w="387" w:type="pct"/>
            <w:gridSpan w:val="3"/>
            <w:tcBorders>
              <w:tl2br w:val="nil"/>
              <w:tr2bl w:val="nil"/>
            </w:tcBorders>
            <w:shd w:val="clear" w:color="auto" w:fill="auto"/>
            <w:noWrap/>
            <w:vAlign w:val="center"/>
          </w:tcPr>
          <w:p w14:paraId="48C6A42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684071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50E1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EEFAA6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09" w:type="pct"/>
            <w:tcBorders>
              <w:tl2br w:val="nil"/>
              <w:tr2bl w:val="nil"/>
            </w:tcBorders>
            <w:shd w:val="clear" w:color="auto" w:fill="auto"/>
            <w:noWrap/>
            <w:vAlign w:val="center"/>
          </w:tcPr>
          <w:p w14:paraId="5047AEC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专业功放</w:t>
            </w:r>
          </w:p>
        </w:tc>
        <w:tc>
          <w:tcPr>
            <w:tcW w:w="3240" w:type="pct"/>
            <w:gridSpan w:val="3"/>
            <w:tcBorders>
              <w:tl2br w:val="nil"/>
              <w:tr2bl w:val="nil"/>
            </w:tcBorders>
            <w:shd w:val="clear" w:color="auto" w:fill="auto"/>
            <w:vAlign w:val="center"/>
          </w:tcPr>
          <w:p w14:paraId="2E17486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1、1U机箱设计，采用D类数字功放设计方案。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2、标准XLR输入接口，和LINK输出口。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3、电源采用开关电源技术，效率高，有效的抑制电源谐波。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6、输出功率：立体声@8Ω：≥350W×2；立体声@4Ω：≥600W×2。</w:t>
            </w:r>
          </w:p>
        </w:tc>
        <w:tc>
          <w:tcPr>
            <w:tcW w:w="387" w:type="pct"/>
            <w:gridSpan w:val="3"/>
            <w:tcBorders>
              <w:tl2br w:val="nil"/>
              <w:tr2bl w:val="nil"/>
            </w:tcBorders>
            <w:shd w:val="clear" w:color="auto" w:fill="auto"/>
            <w:noWrap/>
            <w:vAlign w:val="center"/>
          </w:tcPr>
          <w:p w14:paraId="71C247F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46A1F14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31CE13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B57E56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09" w:type="pct"/>
            <w:tcBorders>
              <w:tl2br w:val="nil"/>
              <w:tr2bl w:val="nil"/>
            </w:tcBorders>
            <w:shd w:val="clear" w:color="auto" w:fill="auto"/>
            <w:noWrap/>
            <w:vAlign w:val="center"/>
          </w:tcPr>
          <w:p w14:paraId="2322BE7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专业音箱</w:t>
            </w:r>
          </w:p>
        </w:tc>
        <w:tc>
          <w:tcPr>
            <w:tcW w:w="3240" w:type="pct"/>
            <w:gridSpan w:val="3"/>
            <w:tcBorders>
              <w:tl2br w:val="nil"/>
              <w:tr2bl w:val="nil"/>
            </w:tcBorders>
            <w:shd w:val="clear" w:color="auto" w:fill="auto"/>
            <w:vAlign w:val="center"/>
          </w:tcPr>
          <w:p w14:paraId="568F168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2、频响等同或优于60Hz~20KHz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3、额定功率≥200W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4、灵敏度≥96dB/W/M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5、水平覆盖角≥80°，垂直覆盖角≥60°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6、高音≥1.4"压缩高音单元×1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7.、低音≥8"低音×1</w:t>
            </w:r>
          </w:p>
        </w:tc>
        <w:tc>
          <w:tcPr>
            <w:tcW w:w="387" w:type="pct"/>
            <w:gridSpan w:val="3"/>
            <w:tcBorders>
              <w:tl2br w:val="nil"/>
              <w:tr2bl w:val="nil"/>
            </w:tcBorders>
            <w:shd w:val="clear" w:color="auto" w:fill="auto"/>
            <w:noWrap/>
            <w:vAlign w:val="center"/>
          </w:tcPr>
          <w:p w14:paraId="604E264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730B0CC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743957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65C7B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09" w:type="pct"/>
            <w:tcBorders>
              <w:tl2br w:val="nil"/>
              <w:tr2bl w:val="nil"/>
            </w:tcBorders>
            <w:shd w:val="clear" w:color="auto" w:fill="auto"/>
            <w:noWrap/>
            <w:vAlign w:val="center"/>
          </w:tcPr>
          <w:p w14:paraId="5914E57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音箱支架</w:t>
            </w:r>
          </w:p>
        </w:tc>
        <w:tc>
          <w:tcPr>
            <w:tcW w:w="3240" w:type="pct"/>
            <w:gridSpan w:val="3"/>
            <w:tcBorders>
              <w:tl2br w:val="nil"/>
              <w:tr2bl w:val="nil"/>
            </w:tcBorders>
            <w:shd w:val="clear" w:color="auto" w:fill="auto"/>
            <w:vAlign w:val="center"/>
          </w:tcPr>
          <w:p w14:paraId="697DA4E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1、F系列支架固定面板孔位尺寸（长*宽）：≥140*65mm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2、箱体固定面板孔位尺寸（长*宽）：≥128*70mm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3、设备面板尺寸：≥160*90mm</w:t>
            </w:r>
          </w:p>
        </w:tc>
        <w:tc>
          <w:tcPr>
            <w:tcW w:w="387" w:type="pct"/>
            <w:gridSpan w:val="3"/>
            <w:tcBorders>
              <w:tl2br w:val="nil"/>
              <w:tr2bl w:val="nil"/>
            </w:tcBorders>
            <w:shd w:val="clear" w:color="auto" w:fill="auto"/>
            <w:noWrap/>
            <w:vAlign w:val="center"/>
          </w:tcPr>
          <w:p w14:paraId="63FFA13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395D3BC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4558F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D14F9C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09" w:type="pct"/>
            <w:tcBorders>
              <w:tl2br w:val="nil"/>
              <w:tr2bl w:val="nil"/>
            </w:tcBorders>
            <w:shd w:val="clear" w:color="auto" w:fill="auto"/>
            <w:noWrap/>
            <w:vAlign w:val="center"/>
          </w:tcPr>
          <w:p w14:paraId="4BF697F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3240" w:type="pct"/>
            <w:gridSpan w:val="3"/>
            <w:tcBorders>
              <w:tl2br w:val="nil"/>
              <w:tr2bl w:val="nil"/>
            </w:tcBorders>
            <w:shd w:val="clear" w:color="auto" w:fill="auto"/>
            <w:vAlign w:val="center"/>
          </w:tcPr>
          <w:p w14:paraId="7B68F3B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7、具有设备定位功能，客户端一键定位局域网内同类设备，被定位的设备会显示定位信息。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8、设备具有统一集中控制功能，支持≥65535台设备通过软件集中控制。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F系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387" w:type="pct"/>
            <w:gridSpan w:val="3"/>
            <w:tcBorders>
              <w:tl2br w:val="nil"/>
              <w:tr2bl w:val="nil"/>
            </w:tcBorders>
            <w:shd w:val="clear" w:color="auto" w:fill="auto"/>
            <w:noWrap/>
            <w:vAlign w:val="center"/>
          </w:tcPr>
          <w:p w14:paraId="5ABB38C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59172E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850E6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927524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09" w:type="pct"/>
            <w:tcBorders>
              <w:tl2br w:val="nil"/>
              <w:tr2bl w:val="nil"/>
            </w:tcBorders>
            <w:shd w:val="clear" w:color="auto" w:fill="auto"/>
            <w:vAlign w:val="center"/>
          </w:tcPr>
          <w:p w14:paraId="08EDA7E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无线话筒（手持）</w:t>
            </w:r>
          </w:p>
        </w:tc>
        <w:tc>
          <w:tcPr>
            <w:tcW w:w="3240" w:type="pct"/>
            <w:gridSpan w:val="3"/>
            <w:tcBorders>
              <w:tl2br w:val="nil"/>
              <w:tr2bl w:val="nil"/>
            </w:tcBorders>
            <w:shd w:val="clear" w:color="auto" w:fill="auto"/>
            <w:vAlign w:val="center"/>
          </w:tcPr>
          <w:p w14:paraId="32BE7CF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提供设备图佐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5、具有多档位混响调节功能，混响效果≥15625个，效果占比、回响延时、混响幅度调节，三种音效各具有≥25档调节方式。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7、具有长时间续航，发射机使用时长≥10小时。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9、接收机具有≥2个2.2英寸的显示屏；发射机具有≥0.96英寸OLED显示屏，能够显示频率信息、音频加密状态、功率挡位、静音状态、电量格数信息。</w:t>
            </w:r>
          </w:p>
        </w:tc>
        <w:tc>
          <w:tcPr>
            <w:tcW w:w="387" w:type="pct"/>
            <w:gridSpan w:val="3"/>
            <w:tcBorders>
              <w:tl2br w:val="nil"/>
              <w:tr2bl w:val="nil"/>
            </w:tcBorders>
            <w:shd w:val="clear" w:color="auto" w:fill="auto"/>
            <w:noWrap/>
            <w:vAlign w:val="center"/>
          </w:tcPr>
          <w:p w14:paraId="4FE337E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7A145F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6C7862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931150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09" w:type="pct"/>
            <w:tcBorders>
              <w:tl2br w:val="nil"/>
              <w:tr2bl w:val="nil"/>
            </w:tcBorders>
            <w:shd w:val="clear" w:color="auto" w:fill="auto"/>
            <w:noWrap/>
            <w:vAlign w:val="center"/>
          </w:tcPr>
          <w:p w14:paraId="5DFB5CD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电源管理器</w:t>
            </w:r>
          </w:p>
        </w:tc>
        <w:tc>
          <w:tcPr>
            <w:tcW w:w="3240" w:type="pct"/>
            <w:gridSpan w:val="3"/>
            <w:tcBorders>
              <w:tl2br w:val="nil"/>
              <w:tr2bl w:val="nil"/>
            </w:tcBorders>
            <w:shd w:val="clear" w:color="auto" w:fill="auto"/>
            <w:vAlign w:val="center"/>
          </w:tcPr>
          <w:p w14:paraId="01137E2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4、具有一路及以上USB输出接口。</w:t>
            </w:r>
          </w:p>
        </w:tc>
        <w:tc>
          <w:tcPr>
            <w:tcW w:w="387" w:type="pct"/>
            <w:gridSpan w:val="3"/>
            <w:tcBorders>
              <w:tl2br w:val="nil"/>
              <w:tr2bl w:val="nil"/>
            </w:tcBorders>
            <w:shd w:val="clear" w:color="auto" w:fill="auto"/>
            <w:noWrap/>
            <w:vAlign w:val="center"/>
          </w:tcPr>
          <w:p w14:paraId="3D29020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3A2201E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5359F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3C7770A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十、大会议室</w:t>
            </w:r>
          </w:p>
        </w:tc>
        <w:tc>
          <w:tcPr>
            <w:tcW w:w="387" w:type="pct"/>
            <w:gridSpan w:val="3"/>
            <w:tcBorders>
              <w:tl2br w:val="nil"/>
              <w:tr2bl w:val="nil"/>
            </w:tcBorders>
            <w:shd w:val="clear" w:color="auto" w:fill="auto"/>
            <w:noWrap/>
            <w:vAlign w:val="center"/>
          </w:tcPr>
          <w:p w14:paraId="71613B1F">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696FDE0A">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0F8EED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F178A6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333CFD9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★室内LED P1.86全彩屏</w:t>
            </w:r>
          </w:p>
        </w:tc>
        <w:tc>
          <w:tcPr>
            <w:tcW w:w="3240" w:type="pct"/>
            <w:gridSpan w:val="3"/>
            <w:tcBorders>
              <w:tl2br w:val="nil"/>
              <w:tr2bl w:val="nil"/>
            </w:tcBorders>
            <w:shd w:val="clear" w:color="auto" w:fill="auto"/>
            <w:vAlign w:val="center"/>
          </w:tcPr>
          <w:p w14:paraId="2712957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1、屏幕显示区域尺寸（高×宽）：≥2.08*4.48=9.32㎡；分辨率：≥1118*2408=2692144像素；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2、★LED封装方式：1515铜线铜支架封装，LED灯珠及显示屏为同一品牌。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3、像素构成：表贴三合一1515(1R1GTB)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4．像素点间距：≤1.86mm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5、单元板分辨率：≥172*86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6、像素密度：≤288906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7、单元板尺寸：≥320*160mm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8、★底壳材质：采用轻钢材质套件，产品轻巧安装精度高。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9、扫描方式：32扫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10、色温：支持3000K到20000K可自定义色温值，可设冷色、暖色、标准等多档白场调节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11、色温误差：色温为6500K时，100%，75%，50%，25%四档电平白场调节色温误差≤100K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12、色度均匀性：±0.001C，Cy之内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13、水平/垂直视角：≥170°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14、亮度均匀性：≥98.5%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15、亮度：具有蓝光抑制功能，支持通过配套软件0-100%无极可调，0cd/m²-1000cd/m²可调，支持手动/自动/软件任意调节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16、白平衡亮度：≥800cd/m²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17、最高对比度：8000：1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18、人眼视觉舒适度：VICO指数：≤1，符合视觉舒适度1级，基本无疲劳感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19、换帧频率：50&amp;60Hz，支持120Hz～144Hz等3D显示技术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20、刷新频率：≥3840Hz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21、信号处理深度：16bit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22、模组平整度：≤0.1mm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23、像素中心距偏差（发光点中心距偏差）：C级，JX≤0.5%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24、功耗：≤633W/m²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25、平均功耗：≤317W/m²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26、智能节电：产品采用PWM芯片，可智能调节正常工作与睡眠状态下的节能效果（动态节能:智能息屏），开启智能节电功能比没有开启节能35%以上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智能控制：支持软件自定义修改分辨率，自定义分辨率，更加适合LED屏幕的使用:支持分屏操作。支持任意比例拼接素材和多图层叠始，支持无线遥控、手机遥控，一键切换视频；支持与智能播控软件一键IP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28、检测校正：支持单点检测，逐点校正，可对单点亮度、色度进行校正，支持出厂校正及现场校正，校正后亮度损失&lt;5%，支持单点维修更换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29、低亮高刷：亮度≥100nit，灰度等级≥14bit,刷新:≥2500Hz上;亮≥度200nit，灰度等级≥16bit,刷新:≥3200Hz上;亮度≥500nit，灰度等级≥16bit,刷新:≥3840Hz以上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30、维护方式：电源、模组、接收卡，MUB卡全前维护，单模块可拆卸，支持热插拔，维护时间不超过10s,支持单点维修更换。支持磁吸固定方式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31、拼缝亮线暗线校正：LED显示屏系统具有大屏幕亮暗线修复功能，从软件、硬件两方面彻底改善困扰LED显示屏的低亮高灰问题及安装精度造成的亮、暗线问题。</w:t>
            </w:r>
          </w:p>
        </w:tc>
        <w:tc>
          <w:tcPr>
            <w:tcW w:w="387" w:type="pct"/>
            <w:gridSpan w:val="3"/>
            <w:tcBorders>
              <w:tl2br w:val="nil"/>
              <w:tr2bl w:val="nil"/>
            </w:tcBorders>
            <w:shd w:val="clear" w:color="auto" w:fill="auto"/>
            <w:vAlign w:val="center"/>
          </w:tcPr>
          <w:p w14:paraId="3C49F85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w:t>
            </w:r>
          </w:p>
        </w:tc>
        <w:tc>
          <w:tcPr>
            <w:tcW w:w="361" w:type="pct"/>
            <w:tcBorders>
              <w:tl2br w:val="nil"/>
              <w:tr2bl w:val="nil"/>
            </w:tcBorders>
            <w:shd w:val="clear" w:color="auto" w:fill="auto"/>
            <w:vAlign w:val="center"/>
          </w:tcPr>
          <w:p w14:paraId="50F47AF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15F1C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8F2CD7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vAlign w:val="center"/>
          </w:tcPr>
          <w:p w14:paraId="4E7E375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开关电源</w:t>
            </w:r>
          </w:p>
        </w:tc>
        <w:tc>
          <w:tcPr>
            <w:tcW w:w="3240" w:type="pct"/>
            <w:gridSpan w:val="3"/>
            <w:tcBorders>
              <w:tl2br w:val="nil"/>
              <w:tr2bl w:val="nil"/>
            </w:tcBorders>
            <w:shd w:val="clear" w:color="auto" w:fill="auto"/>
            <w:vAlign w:val="center"/>
          </w:tcPr>
          <w:p w14:paraId="2D742C7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1、规格：4.5V、40A电源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2、功能：每台电源供电6张模组，留有冗余</w:t>
            </w:r>
          </w:p>
        </w:tc>
        <w:tc>
          <w:tcPr>
            <w:tcW w:w="387" w:type="pct"/>
            <w:gridSpan w:val="3"/>
            <w:tcBorders>
              <w:tl2br w:val="nil"/>
              <w:tr2bl w:val="nil"/>
            </w:tcBorders>
            <w:shd w:val="clear" w:color="auto" w:fill="auto"/>
            <w:vAlign w:val="center"/>
          </w:tcPr>
          <w:p w14:paraId="3711FD3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361" w:type="pct"/>
            <w:tcBorders>
              <w:tl2br w:val="nil"/>
              <w:tr2bl w:val="nil"/>
            </w:tcBorders>
            <w:shd w:val="clear" w:color="auto" w:fill="auto"/>
            <w:vAlign w:val="center"/>
          </w:tcPr>
          <w:p w14:paraId="703F607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E3AFD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1B6119E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vAlign w:val="center"/>
          </w:tcPr>
          <w:p w14:paraId="5E23389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接收卡</w:t>
            </w:r>
          </w:p>
        </w:tc>
        <w:tc>
          <w:tcPr>
            <w:tcW w:w="3240" w:type="pct"/>
            <w:gridSpan w:val="3"/>
            <w:tcBorders>
              <w:tl2br w:val="nil"/>
              <w:tr2bl w:val="nil"/>
            </w:tcBorders>
            <w:shd w:val="clear" w:color="auto" w:fill="auto"/>
            <w:vAlign w:val="center"/>
          </w:tcPr>
          <w:p w14:paraId="3D61B8C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1、单卡最大带载分辨率 512×384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2、无需转接板，单卡自带HUB75接口，更加稳定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3、支持亮度校正，对每个灯点的亮度进行校正，有效消除亮度差异，使整屏的亮度达到高度一致。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4、支持32扫、支持固件程序版本回读</w:t>
            </w:r>
          </w:p>
        </w:tc>
        <w:tc>
          <w:tcPr>
            <w:tcW w:w="387" w:type="pct"/>
            <w:gridSpan w:val="3"/>
            <w:tcBorders>
              <w:tl2br w:val="nil"/>
              <w:tr2bl w:val="nil"/>
            </w:tcBorders>
            <w:shd w:val="clear" w:color="auto" w:fill="auto"/>
            <w:vAlign w:val="center"/>
          </w:tcPr>
          <w:p w14:paraId="2A835AC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61" w:type="pct"/>
            <w:tcBorders>
              <w:tl2br w:val="nil"/>
              <w:tr2bl w:val="nil"/>
            </w:tcBorders>
            <w:shd w:val="clear" w:color="auto" w:fill="auto"/>
            <w:vAlign w:val="center"/>
          </w:tcPr>
          <w:p w14:paraId="4E38DD0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14:paraId="7C1A2A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BB5194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vAlign w:val="center"/>
          </w:tcPr>
          <w:p w14:paraId="617BEE5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视频处理器</w:t>
            </w:r>
          </w:p>
        </w:tc>
        <w:tc>
          <w:tcPr>
            <w:tcW w:w="3240" w:type="pct"/>
            <w:gridSpan w:val="3"/>
            <w:tcBorders>
              <w:tl2br w:val="nil"/>
              <w:tr2bl w:val="nil"/>
            </w:tcBorders>
            <w:shd w:val="clear" w:color="auto" w:fill="auto"/>
            <w:vAlign w:val="center"/>
          </w:tcPr>
          <w:p w14:paraId="357A95A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1、支持常见的视频接口，包括≥ 1 路DVI，≥2 路 HDMI1.3，≥1 路3G-SDI+LOOP（可根据实际需求选配）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2、支持≥3 个窗口和1路 OSD同时显示。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3、支持快捷配屏和高级配屏功能，脱离电脑也能实现快速配屏。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 HDMI、DVI 输入分辨率自定义调节，支持1920*1200,1920*1080,1080*720等多种分辨率。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5、支持设备间备份和设备内网口备份设置，保障因设备故障或网线故障时，屏体运行正常。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6、视频输出最大带载高达 390 万像素，最宽不低于10240，最高不低于8192。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7、支持带载屏体亮度调节，通过旋钮可实现100级亮度调节。。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8、支持逐点亮度校正，可以对所有灯点的亮度和色度进行采集校正，有效消除LED模组的色差，使整屏的亮度和色度达到高度均匀一致，提高显示屏的画质。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9、支持创建≥10 个用户场景作为模板保存，方便使用。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10、支持选择 HDMI 输入源或 DVI 输入源作为同步信号，达到输出的场级同步。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11、支持音频独立输入和伴随HDMI输入两种模式，音频独立输出及扩展输出两种输出模式；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12、前面板配备直观的 LCD 显示界面，可直接观察网口的通讯状态，设备型号，IP地址，屏幕大小及信号源状态等信息，简化系统的控制操作。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13、支持自定义按键功能，可将按键设置为用户常用的功能菜单，一键快捷直达；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14、集成视频处理和发送卡功能，简化系统链路，提高系统的稳定性及兼容性；</w:t>
            </w:r>
          </w:p>
        </w:tc>
        <w:tc>
          <w:tcPr>
            <w:tcW w:w="387" w:type="pct"/>
            <w:gridSpan w:val="3"/>
            <w:tcBorders>
              <w:tl2br w:val="nil"/>
              <w:tr2bl w:val="nil"/>
            </w:tcBorders>
            <w:shd w:val="clear" w:color="auto" w:fill="auto"/>
            <w:vAlign w:val="center"/>
          </w:tcPr>
          <w:p w14:paraId="7D7BD14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700ADB7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A9906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137923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vAlign w:val="center"/>
          </w:tcPr>
          <w:p w14:paraId="35E045E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钢架结构</w:t>
            </w:r>
          </w:p>
        </w:tc>
        <w:tc>
          <w:tcPr>
            <w:tcW w:w="3240" w:type="pct"/>
            <w:gridSpan w:val="3"/>
            <w:tcBorders>
              <w:tl2br w:val="nil"/>
              <w:tr2bl w:val="nil"/>
            </w:tcBorders>
            <w:shd w:val="clear" w:color="auto" w:fill="auto"/>
            <w:vAlign w:val="center"/>
          </w:tcPr>
          <w:p w14:paraId="2854D07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1、框架规格：采用3#镀锌方管焊接（实厚不低于2.0mm），1.0mm亚光拉丝不锈钢包边（正面宽度8cm/边）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2、安装方式：挂墙</w:t>
            </w:r>
          </w:p>
        </w:tc>
        <w:tc>
          <w:tcPr>
            <w:tcW w:w="387" w:type="pct"/>
            <w:gridSpan w:val="3"/>
            <w:tcBorders>
              <w:tl2br w:val="nil"/>
              <w:tr2bl w:val="nil"/>
            </w:tcBorders>
            <w:shd w:val="clear" w:color="auto" w:fill="auto"/>
            <w:vAlign w:val="center"/>
          </w:tcPr>
          <w:p w14:paraId="1F6002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w:t>
            </w:r>
          </w:p>
        </w:tc>
        <w:tc>
          <w:tcPr>
            <w:tcW w:w="361" w:type="pct"/>
            <w:tcBorders>
              <w:tl2br w:val="nil"/>
              <w:tr2bl w:val="nil"/>
            </w:tcBorders>
            <w:shd w:val="clear" w:color="auto" w:fill="auto"/>
            <w:vAlign w:val="center"/>
          </w:tcPr>
          <w:p w14:paraId="4FDB751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0E701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17707F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vAlign w:val="center"/>
          </w:tcPr>
          <w:p w14:paraId="5ECD42D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控制软件</w:t>
            </w:r>
          </w:p>
        </w:tc>
        <w:tc>
          <w:tcPr>
            <w:tcW w:w="3240" w:type="pct"/>
            <w:gridSpan w:val="3"/>
            <w:tcBorders>
              <w:tl2br w:val="nil"/>
              <w:tr2bl w:val="nil"/>
            </w:tcBorders>
            <w:shd w:val="clear" w:color="auto" w:fill="auto"/>
            <w:vAlign w:val="center"/>
          </w:tcPr>
          <w:p w14:paraId="5D87E5F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1、正版LED播放软</w:t>
            </w:r>
          </w:p>
        </w:tc>
        <w:tc>
          <w:tcPr>
            <w:tcW w:w="387" w:type="pct"/>
            <w:gridSpan w:val="3"/>
            <w:tcBorders>
              <w:tl2br w:val="nil"/>
              <w:tr2bl w:val="nil"/>
            </w:tcBorders>
            <w:shd w:val="clear" w:color="auto" w:fill="auto"/>
            <w:vAlign w:val="center"/>
          </w:tcPr>
          <w:p w14:paraId="4AD4342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3EE62B6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42F5C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A8F575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vAlign w:val="center"/>
          </w:tcPr>
          <w:p w14:paraId="221CC16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3240" w:type="pct"/>
            <w:gridSpan w:val="3"/>
            <w:tcBorders>
              <w:tl2br w:val="nil"/>
              <w:tr2bl w:val="nil"/>
            </w:tcBorders>
            <w:shd w:val="clear" w:color="auto" w:fill="auto"/>
            <w:vAlign w:val="center"/>
          </w:tcPr>
          <w:p w14:paraId="28F14F3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1、规格：10KW容量，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2、其他：含3路空气开关等</w:t>
            </w:r>
          </w:p>
        </w:tc>
        <w:tc>
          <w:tcPr>
            <w:tcW w:w="387" w:type="pct"/>
            <w:gridSpan w:val="3"/>
            <w:tcBorders>
              <w:tl2br w:val="nil"/>
              <w:tr2bl w:val="nil"/>
            </w:tcBorders>
            <w:shd w:val="clear" w:color="auto" w:fill="auto"/>
            <w:vAlign w:val="center"/>
          </w:tcPr>
          <w:p w14:paraId="1795C59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7055300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4C8A41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DC78BA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vAlign w:val="center"/>
          </w:tcPr>
          <w:p w14:paraId="4EA6D86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专业功放</w:t>
            </w:r>
          </w:p>
        </w:tc>
        <w:tc>
          <w:tcPr>
            <w:tcW w:w="3240" w:type="pct"/>
            <w:gridSpan w:val="3"/>
            <w:tcBorders>
              <w:tl2br w:val="nil"/>
              <w:tr2bl w:val="nil"/>
            </w:tcBorders>
            <w:shd w:val="clear" w:color="auto" w:fill="auto"/>
            <w:vAlign w:val="center"/>
          </w:tcPr>
          <w:p w14:paraId="013364A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1、输出功率：立体声@8Ω：200W×2；立体声@4Ω：400W×2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2、输入灵敏度：2.2dBu(1V)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3、输入阻抗：10KΩ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4、频率响应(@1W功率下)：20Hz-20KHz/±1dB @8Ω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5、THD+N(@1/8功率下) ：≤0.01%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6、分离度(@1KHz) ：≥80dB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7、阻尼系数(@1KHz) ：≥200@ 8 ohms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8、信噪比（A计权）：≥93dB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9、输入电压：~220V/50Hz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10、整机功耗：150W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11、输出功率：是按CEA-2006-B/CEA-490-A标准使用20ms脉冲1kHz正弦波在1%总谐波失真下测量得出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12、整机功耗：依据GB4943.1-2022测试手法：在1kHz正弦波额定负载1/8功率条件下测得</w:t>
            </w:r>
          </w:p>
        </w:tc>
        <w:tc>
          <w:tcPr>
            <w:tcW w:w="387" w:type="pct"/>
            <w:gridSpan w:val="3"/>
            <w:tcBorders>
              <w:tl2br w:val="nil"/>
              <w:tr2bl w:val="nil"/>
            </w:tcBorders>
            <w:shd w:val="clear" w:color="auto" w:fill="auto"/>
            <w:noWrap/>
            <w:vAlign w:val="center"/>
          </w:tcPr>
          <w:p w14:paraId="6344044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11C1B77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DF755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1BDB005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9" w:type="pct"/>
            <w:tcBorders>
              <w:tl2br w:val="nil"/>
              <w:tr2bl w:val="nil"/>
            </w:tcBorders>
            <w:shd w:val="clear" w:color="auto" w:fill="auto"/>
            <w:vAlign w:val="center"/>
          </w:tcPr>
          <w:p w14:paraId="1749183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专业音箱</w:t>
            </w:r>
          </w:p>
        </w:tc>
        <w:tc>
          <w:tcPr>
            <w:tcW w:w="3240" w:type="pct"/>
            <w:gridSpan w:val="3"/>
            <w:tcBorders>
              <w:tl2br w:val="nil"/>
              <w:tr2bl w:val="nil"/>
            </w:tcBorders>
            <w:shd w:val="clear" w:color="auto" w:fill="auto"/>
            <w:vAlign w:val="center"/>
          </w:tcPr>
          <w:p w14:paraId="26DCE30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1、额定功率：150W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2、峰值功率：600W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4、频率范围：80Hz-20KHz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5、灵敏度：95dB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6、最大声压级（额定/峰值）：117dB/123dB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7、扬声器单元：3″全频×6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8、工作温度：-25℃~65℃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9、相对湿度：＋40°C时可达到95%，非凝结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10、颜色：黑色</w:t>
            </w:r>
          </w:p>
        </w:tc>
        <w:tc>
          <w:tcPr>
            <w:tcW w:w="387" w:type="pct"/>
            <w:gridSpan w:val="3"/>
            <w:tcBorders>
              <w:tl2br w:val="nil"/>
              <w:tr2bl w:val="nil"/>
            </w:tcBorders>
            <w:shd w:val="clear" w:color="auto" w:fill="auto"/>
            <w:noWrap/>
            <w:vAlign w:val="center"/>
          </w:tcPr>
          <w:p w14:paraId="69C1968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1" w:type="pct"/>
            <w:tcBorders>
              <w:tl2br w:val="nil"/>
              <w:tr2bl w:val="nil"/>
            </w:tcBorders>
            <w:shd w:val="clear" w:color="auto" w:fill="auto"/>
            <w:noWrap/>
            <w:vAlign w:val="center"/>
          </w:tcPr>
          <w:p w14:paraId="3EB03AF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6D1D2D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D5DB75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09" w:type="pct"/>
            <w:tcBorders>
              <w:tl2br w:val="nil"/>
              <w:tr2bl w:val="nil"/>
            </w:tcBorders>
            <w:shd w:val="clear" w:color="auto" w:fill="auto"/>
            <w:vAlign w:val="center"/>
          </w:tcPr>
          <w:p w14:paraId="6B1129A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音箱支架</w:t>
            </w:r>
          </w:p>
        </w:tc>
        <w:tc>
          <w:tcPr>
            <w:tcW w:w="3240" w:type="pct"/>
            <w:gridSpan w:val="3"/>
            <w:tcBorders>
              <w:tl2br w:val="nil"/>
              <w:tr2bl w:val="nil"/>
            </w:tcBorders>
            <w:shd w:val="clear" w:color="auto" w:fill="auto"/>
            <w:vAlign w:val="center"/>
          </w:tcPr>
          <w:p w14:paraId="0CEF3BA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1、F系列支架固定面板孔位尺寸（长*宽）： ≥140*65mm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2、箱体固定面板孔位尺寸（长*宽）： ≥128*70mm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3、设备面板尺寸：≥160*90mm</w:t>
            </w:r>
          </w:p>
        </w:tc>
        <w:tc>
          <w:tcPr>
            <w:tcW w:w="387" w:type="pct"/>
            <w:gridSpan w:val="3"/>
            <w:tcBorders>
              <w:tl2br w:val="nil"/>
              <w:tr2bl w:val="nil"/>
            </w:tcBorders>
            <w:shd w:val="clear" w:color="auto" w:fill="auto"/>
            <w:noWrap/>
            <w:vAlign w:val="center"/>
          </w:tcPr>
          <w:p w14:paraId="18B1335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1" w:type="pct"/>
            <w:tcBorders>
              <w:tl2br w:val="nil"/>
              <w:tr2bl w:val="nil"/>
            </w:tcBorders>
            <w:shd w:val="clear" w:color="auto" w:fill="auto"/>
            <w:noWrap/>
            <w:vAlign w:val="center"/>
          </w:tcPr>
          <w:p w14:paraId="312F2AC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14:paraId="5C3BEF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8B2ADA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09" w:type="pct"/>
            <w:tcBorders>
              <w:tl2br w:val="nil"/>
              <w:tr2bl w:val="nil"/>
            </w:tcBorders>
            <w:shd w:val="clear" w:color="auto" w:fill="auto"/>
            <w:vAlign w:val="center"/>
          </w:tcPr>
          <w:p w14:paraId="24C4209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3240" w:type="pct"/>
            <w:gridSpan w:val="3"/>
            <w:tcBorders>
              <w:tl2br w:val="nil"/>
              <w:tr2bl w:val="nil"/>
            </w:tcBorders>
            <w:shd w:val="clear" w:color="auto" w:fill="auto"/>
            <w:vAlign w:val="center"/>
          </w:tcPr>
          <w:p w14:paraId="5F1D0CD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7、具有设备定位功能，客户端一键定位局域网内同类设备，被定位的设备会显示定位信息。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8、设备具有统一集中控制功能，支持≥65535台设备通过软件集中控制。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387" w:type="pct"/>
            <w:gridSpan w:val="3"/>
            <w:tcBorders>
              <w:tl2br w:val="nil"/>
              <w:tr2bl w:val="nil"/>
            </w:tcBorders>
            <w:shd w:val="clear" w:color="auto" w:fill="auto"/>
            <w:noWrap/>
            <w:vAlign w:val="center"/>
          </w:tcPr>
          <w:p w14:paraId="6B3A603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B1DA97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20DF8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085AB8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09" w:type="pct"/>
            <w:tcBorders>
              <w:tl2br w:val="nil"/>
              <w:tr2bl w:val="nil"/>
            </w:tcBorders>
            <w:shd w:val="clear" w:color="auto" w:fill="auto"/>
            <w:vAlign w:val="center"/>
          </w:tcPr>
          <w:p w14:paraId="25DCFFB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调音台</w:t>
            </w:r>
          </w:p>
        </w:tc>
        <w:tc>
          <w:tcPr>
            <w:tcW w:w="3240" w:type="pct"/>
            <w:gridSpan w:val="3"/>
            <w:tcBorders>
              <w:tl2br w:val="nil"/>
              <w:tr2bl w:val="nil"/>
            </w:tcBorders>
            <w:shd w:val="clear" w:color="auto" w:fill="auto"/>
            <w:vAlign w:val="center"/>
          </w:tcPr>
          <w:p w14:paraId="1F5660E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1、支持≥4路Mic输入兼容≥4路线路输入接口，话筒接口幻象电源：≥+48V，≥4组立体线性输入。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2、具有≥1组立体声主输出、≥1组辅助输出、≥1路耳机监听输出、≥1组CD/Tape输出。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3、每路单声道输入通道设有≥3段EQ，设有峰值LED指示灯。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4、内置≥24位DSP效果器，提供≥100种预设效果。</w:t>
            </w:r>
          </w:p>
        </w:tc>
        <w:tc>
          <w:tcPr>
            <w:tcW w:w="387" w:type="pct"/>
            <w:gridSpan w:val="3"/>
            <w:tcBorders>
              <w:tl2br w:val="nil"/>
              <w:tr2bl w:val="nil"/>
            </w:tcBorders>
            <w:shd w:val="clear" w:color="auto" w:fill="auto"/>
            <w:noWrap/>
            <w:vAlign w:val="center"/>
          </w:tcPr>
          <w:p w14:paraId="21E8A01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10DE494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51B634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ACFE0F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09" w:type="pct"/>
            <w:tcBorders>
              <w:tl2br w:val="nil"/>
              <w:tr2bl w:val="nil"/>
            </w:tcBorders>
            <w:shd w:val="clear" w:color="auto" w:fill="auto"/>
            <w:vAlign w:val="center"/>
          </w:tcPr>
          <w:p w14:paraId="22372F3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无线话筒</w:t>
            </w:r>
          </w:p>
        </w:tc>
        <w:tc>
          <w:tcPr>
            <w:tcW w:w="3240" w:type="pct"/>
            <w:gridSpan w:val="3"/>
            <w:tcBorders>
              <w:tl2br w:val="nil"/>
              <w:tr2bl w:val="nil"/>
            </w:tcBorders>
            <w:shd w:val="clear" w:color="auto" w:fill="auto"/>
            <w:vAlign w:val="center"/>
          </w:tcPr>
          <w:p w14:paraId="04A532F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机前面板具有≥2个显示屏、≥2个编码旋钮、≥2个频率扫描实体按键、≥2个红外对频实体按键、≥1个电源开关按键、≥1个指示灯；后面板具有≥1个LINE-OUT接口、≥2个XLR-OUT接口、≥2个BNC接口、≥1个DC口。发射机具有≥1个显示屏、≥1个按键、≥2个工作状态指示灯。（提供设备图佐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5、具有多档位混响调节功能，混响效果≥15625个，效果占比、回响延时、混响幅度调节，三种音效各具有≥25档调节方式。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7、具有长时间续航，发射机使用时长≥10小时。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9、接收机具有≥2个2.2英寸的显示屏；发射机具有≥0.96英寸OLED显示屏，能够显示频率信息、音频加密状态、功率挡位、静音状态、电量格数信息。</w:t>
            </w:r>
          </w:p>
        </w:tc>
        <w:tc>
          <w:tcPr>
            <w:tcW w:w="387" w:type="pct"/>
            <w:gridSpan w:val="3"/>
            <w:tcBorders>
              <w:tl2br w:val="nil"/>
              <w:tr2bl w:val="nil"/>
            </w:tcBorders>
            <w:shd w:val="clear" w:color="auto" w:fill="auto"/>
            <w:noWrap/>
            <w:vAlign w:val="center"/>
          </w:tcPr>
          <w:p w14:paraId="4C8C447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vAlign w:val="center"/>
          </w:tcPr>
          <w:p w14:paraId="02C1673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1967B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A4C4C1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09" w:type="pct"/>
            <w:tcBorders>
              <w:tl2br w:val="nil"/>
              <w:tr2bl w:val="nil"/>
            </w:tcBorders>
            <w:shd w:val="clear" w:color="auto" w:fill="auto"/>
            <w:vAlign w:val="center"/>
          </w:tcPr>
          <w:p w14:paraId="6E92980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电源管理器</w:t>
            </w:r>
          </w:p>
        </w:tc>
        <w:tc>
          <w:tcPr>
            <w:tcW w:w="3240" w:type="pct"/>
            <w:gridSpan w:val="3"/>
            <w:tcBorders>
              <w:tl2br w:val="nil"/>
              <w:tr2bl w:val="nil"/>
            </w:tcBorders>
            <w:shd w:val="clear" w:color="auto" w:fill="auto"/>
            <w:vAlign w:val="center"/>
          </w:tcPr>
          <w:p w14:paraId="3E55FA7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4、具有一路及以上USB输出接口。</w:t>
            </w:r>
          </w:p>
        </w:tc>
        <w:tc>
          <w:tcPr>
            <w:tcW w:w="387" w:type="pct"/>
            <w:gridSpan w:val="3"/>
            <w:tcBorders>
              <w:tl2br w:val="nil"/>
              <w:tr2bl w:val="nil"/>
            </w:tcBorders>
            <w:shd w:val="clear" w:color="auto" w:fill="auto"/>
            <w:noWrap/>
            <w:vAlign w:val="center"/>
          </w:tcPr>
          <w:p w14:paraId="3991C29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3D7F54F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5EE0C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447B65E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十一、小会议室</w:t>
            </w:r>
          </w:p>
        </w:tc>
        <w:tc>
          <w:tcPr>
            <w:tcW w:w="387" w:type="pct"/>
            <w:gridSpan w:val="3"/>
            <w:tcBorders>
              <w:tl2br w:val="nil"/>
              <w:tr2bl w:val="nil"/>
            </w:tcBorders>
            <w:shd w:val="clear" w:color="auto" w:fill="auto"/>
            <w:noWrap/>
            <w:vAlign w:val="center"/>
          </w:tcPr>
          <w:p w14:paraId="6A75506E">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005E7B26">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7CDA35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C7F7E3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3EFC065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会议一体机98寸（带支架）</w:t>
            </w:r>
          </w:p>
        </w:tc>
        <w:tc>
          <w:tcPr>
            <w:tcW w:w="3240" w:type="pct"/>
            <w:gridSpan w:val="3"/>
            <w:tcBorders>
              <w:tl2br w:val="nil"/>
              <w:tr2bl w:val="nil"/>
            </w:tcBorders>
            <w:shd w:val="clear" w:color="auto" w:fill="auto"/>
            <w:vAlign w:val="center"/>
          </w:tcPr>
          <w:p w14:paraId="5456C28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一、屏体及触控技术要求：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1、屏体采用A规屏，显示尺寸≥98英寸，分辨率：3840*2160；可视角≥178°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2、色彩覆盖率不低于110%，在Windows系统4K分辨率下，屏幕刷新率可达60Hz画面无闪烁；屏幕最高灰阶≥256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3、采用红外全贴合触控技术、光影偏差为0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4、触控分辨率≥32768*32768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5、防蓝光技术，在源头减少有害蓝光波段能量，有害蓝光波长415～455nm＜30%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6、通过DC调光技术、直流信号控制背光亮度，实现稳定光源无频闪，摄像设备拍摄时画面无条纹闪烁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嵌入式系统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提供二维码扫码报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8、整机前置接口：≥1路HDMI IN接口（非转接），≥2路USB3.0接口，≥1路USB Type-C接口（Type-C接口具备音频、视频、数据、触控、充电等功能，外接电脑可调用交互设备、麦克风、音响、摄像头等使用权限）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9、整机后置接口RJ45≥1路，音频输入≥1路，RS232≥1路，VGA输入接口≥1路，≥2路HDMI IN，≥1路HDMI OUT；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10、智能交互平板采用不低于12核国产化驱动芯片，Android 系统版本不低于14.0，内存≥8GB，存储≥64GB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11、采用针孔阵列发声设计，智能交互平板下边框具有6个发声单元，总功率≥60W, 扬声器在100%音量下，1米处声压级≥90dB，10米处声压级≥80dB；谐振频率不高于260Hz;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12、内置一体化超高清5K摄像头，单颗摄像头有效像素≥1900W，可输出最大分辨5104*3864的图片与视频，支持搭配AI软件实现自动点名点数功能。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二、内置电脑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13、采用80pin Intel通用标准接口,即插即用，易于维护。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14、尺寸长度≥220mm，厚度≤30mm。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15、CPU：≥Intel酷睿I5处理器。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16、内存：≥8G 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17、硬盘：≥256G SSD固态硬盘。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18、接口：整机非外扩展具备5个USB接口；具有独立非外扩展的视频输出接口：≥1路HDMI等。</w:t>
            </w:r>
          </w:p>
        </w:tc>
        <w:tc>
          <w:tcPr>
            <w:tcW w:w="387" w:type="pct"/>
            <w:gridSpan w:val="3"/>
            <w:tcBorders>
              <w:tl2br w:val="nil"/>
              <w:tr2bl w:val="nil"/>
            </w:tcBorders>
            <w:shd w:val="clear" w:color="auto" w:fill="auto"/>
            <w:noWrap/>
            <w:vAlign w:val="center"/>
          </w:tcPr>
          <w:p w14:paraId="7FCCC1B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1CE554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342E7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7B17943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十二、其他设备</w:t>
            </w:r>
          </w:p>
        </w:tc>
        <w:tc>
          <w:tcPr>
            <w:tcW w:w="387" w:type="pct"/>
            <w:gridSpan w:val="3"/>
            <w:tcBorders>
              <w:tl2br w:val="nil"/>
              <w:tr2bl w:val="nil"/>
            </w:tcBorders>
            <w:shd w:val="clear" w:color="auto" w:fill="auto"/>
            <w:noWrap/>
            <w:vAlign w:val="center"/>
          </w:tcPr>
          <w:p w14:paraId="57D85FE3">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5125856A">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7436A4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6E782C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noWrap/>
            <w:vAlign w:val="center"/>
          </w:tcPr>
          <w:p w14:paraId="2F238D1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200L饮水机</w:t>
            </w:r>
          </w:p>
        </w:tc>
        <w:tc>
          <w:tcPr>
            <w:tcW w:w="3240" w:type="pct"/>
            <w:gridSpan w:val="3"/>
            <w:tcBorders>
              <w:tl2br w:val="nil"/>
              <w:tr2bl w:val="nil"/>
            </w:tcBorders>
            <w:shd w:val="clear" w:color="auto" w:fill="auto"/>
            <w:vAlign w:val="center"/>
          </w:tcPr>
          <w:p w14:paraId="766E071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1、规格：开水≥200L/h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2、功能：二开一直饮，五级RO反渗透，12KW/380V,智能定时，触控</w:t>
            </w:r>
          </w:p>
        </w:tc>
        <w:tc>
          <w:tcPr>
            <w:tcW w:w="387" w:type="pct"/>
            <w:gridSpan w:val="3"/>
            <w:tcBorders>
              <w:tl2br w:val="nil"/>
              <w:tr2bl w:val="nil"/>
            </w:tcBorders>
            <w:shd w:val="clear" w:color="auto" w:fill="auto"/>
            <w:noWrap/>
            <w:vAlign w:val="center"/>
          </w:tcPr>
          <w:p w14:paraId="1FC5FA7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04E2853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F601F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68346DA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noWrap/>
            <w:vAlign w:val="center"/>
          </w:tcPr>
          <w:p w14:paraId="0D18BC5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160L饮水机</w:t>
            </w:r>
          </w:p>
        </w:tc>
        <w:tc>
          <w:tcPr>
            <w:tcW w:w="3240" w:type="pct"/>
            <w:gridSpan w:val="3"/>
            <w:tcBorders>
              <w:tl2br w:val="nil"/>
              <w:tr2bl w:val="nil"/>
            </w:tcBorders>
            <w:shd w:val="clear" w:color="auto" w:fill="auto"/>
            <w:vAlign w:val="center"/>
          </w:tcPr>
          <w:p w14:paraId="3AF413F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1、规格：开水≥160L/h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2、功能：二开一直饮，五级RO反渗透，12KW/380V,智能定时，触控</w:t>
            </w:r>
          </w:p>
        </w:tc>
        <w:tc>
          <w:tcPr>
            <w:tcW w:w="387" w:type="pct"/>
            <w:gridSpan w:val="3"/>
            <w:tcBorders>
              <w:tl2br w:val="nil"/>
              <w:tr2bl w:val="nil"/>
            </w:tcBorders>
            <w:shd w:val="clear" w:color="auto" w:fill="auto"/>
            <w:noWrap/>
            <w:vAlign w:val="center"/>
          </w:tcPr>
          <w:p w14:paraId="558449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186B58A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09F486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A31872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noWrap/>
            <w:vAlign w:val="center"/>
          </w:tcPr>
          <w:p w14:paraId="6C14D0F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A3彩色智能一体机</w:t>
            </w:r>
          </w:p>
        </w:tc>
        <w:tc>
          <w:tcPr>
            <w:tcW w:w="3240" w:type="pct"/>
            <w:gridSpan w:val="3"/>
            <w:tcBorders>
              <w:tl2br w:val="nil"/>
              <w:tr2bl w:val="nil"/>
            </w:tcBorders>
            <w:shd w:val="clear" w:color="auto" w:fill="auto"/>
            <w:vAlign w:val="center"/>
          </w:tcPr>
          <w:p w14:paraId="4328579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1、标配A3彩色打印，复印，扫描功能，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2、复印/打印速度：≥22PPM;扫描速度：≥30PPM，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3、预热时间：约20秒；首页输出时间：黑白≤6.8秒，彩色≤8.4秒；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4、内存:≥1G，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5、分辨率：复印≥600*600dpi，打印≥1800(等效）*600dpi，扫描≥600dpi，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6、≥7英寸液晶触摸屏，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7、可实现U盘直接打印/扫描，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8、标配双面器+自动输稿器+双纸盒（500页*2）+工作台;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9、操作系统：可支持Windows、Mac OSX、Linux等，兼容国产操作系统，</w:t>
            </w:r>
          </w:p>
        </w:tc>
        <w:tc>
          <w:tcPr>
            <w:tcW w:w="387" w:type="pct"/>
            <w:gridSpan w:val="3"/>
            <w:tcBorders>
              <w:tl2br w:val="nil"/>
              <w:tr2bl w:val="nil"/>
            </w:tcBorders>
            <w:shd w:val="clear" w:color="auto" w:fill="auto"/>
            <w:noWrap/>
            <w:vAlign w:val="center"/>
          </w:tcPr>
          <w:p w14:paraId="2BB9515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32FE2C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E60BB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62B3C8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noWrap/>
            <w:vAlign w:val="center"/>
          </w:tcPr>
          <w:p w14:paraId="1128DE0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A4黑白多功能一体机</w:t>
            </w:r>
          </w:p>
        </w:tc>
        <w:tc>
          <w:tcPr>
            <w:tcW w:w="3240" w:type="pct"/>
            <w:gridSpan w:val="3"/>
            <w:tcBorders>
              <w:tl2br w:val="nil"/>
              <w:tr2bl w:val="nil"/>
            </w:tcBorders>
            <w:shd w:val="clear" w:color="auto" w:fill="auto"/>
            <w:vAlign w:val="center"/>
          </w:tcPr>
          <w:p w14:paraId="06FB854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1、标配双面打印，复印，扫描功能，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2、复印/打印速度：≥33PPM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扫描速度：≥24PPM，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3、首页打印/复印时间：8.5s/10s，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4、内存:≥256MB，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5、分辨率：复印≥600*600dpi，打印≥600*600dpi，扫描≥1200*1200dpi</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6、2行LCD控制面板</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7、支持扫描输出功能：扫描到PC、邮件、FTP、U盘等，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8、纸张输入/输出容量：≥250页纸盒/120页，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9、操作系统：可支持Windows、Mac OSX、Linux等，兼容国产操作系统，</w:t>
            </w:r>
          </w:p>
        </w:tc>
        <w:tc>
          <w:tcPr>
            <w:tcW w:w="387" w:type="pct"/>
            <w:gridSpan w:val="3"/>
            <w:tcBorders>
              <w:tl2br w:val="nil"/>
              <w:tr2bl w:val="nil"/>
            </w:tcBorders>
            <w:shd w:val="clear" w:color="auto" w:fill="auto"/>
            <w:noWrap/>
            <w:vAlign w:val="center"/>
          </w:tcPr>
          <w:p w14:paraId="1E7F20D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1" w:type="pct"/>
            <w:tcBorders>
              <w:tl2br w:val="nil"/>
              <w:tr2bl w:val="nil"/>
            </w:tcBorders>
            <w:shd w:val="clear" w:color="auto" w:fill="auto"/>
            <w:noWrap/>
            <w:vAlign w:val="center"/>
          </w:tcPr>
          <w:p w14:paraId="1410766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1DAE8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jc w:val="center"/>
        </w:trPr>
        <w:tc>
          <w:tcPr>
            <w:tcW w:w="400" w:type="pct"/>
            <w:tcBorders>
              <w:tl2br w:val="nil"/>
              <w:tr2bl w:val="nil"/>
            </w:tcBorders>
            <w:shd w:val="clear" w:color="auto" w:fill="auto"/>
            <w:noWrap/>
            <w:vAlign w:val="center"/>
          </w:tcPr>
          <w:p w14:paraId="5691528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noWrap/>
            <w:vAlign w:val="center"/>
          </w:tcPr>
          <w:p w14:paraId="49DD150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台式电脑</w:t>
            </w:r>
          </w:p>
        </w:tc>
        <w:tc>
          <w:tcPr>
            <w:tcW w:w="3240" w:type="pct"/>
            <w:gridSpan w:val="3"/>
            <w:tcBorders>
              <w:tl2br w:val="nil"/>
              <w:tr2bl w:val="nil"/>
            </w:tcBorders>
            <w:shd w:val="clear" w:color="auto" w:fill="auto"/>
            <w:vAlign w:val="center"/>
          </w:tcPr>
          <w:p w14:paraId="4A75476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1、CPU芯片：≥3350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2、CPU核数：≥8；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3、CPU主频（GHz）：≥3.0；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4、显示屏尺寸（英寸）</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≥23.8；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5、显示屏分辨率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≥1920*1080；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6、显示屏刷新率：≥75Hz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7、显示屏色域：≥99% sRGB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8、显示屏可视角度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9、显示器材质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VA/IPS；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10、显示屏屏幕比例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16:9；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11、内存配置容量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≥16GB；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12、内存条配置数量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13、硬盘类型:固态硬盘；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14、固态存储接口协议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UFS/SATA/PCIe/NVMe等类型接口协议；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15、固态存储容量：≥512GB，最高可支持≥2块M.2 SSD，支持机械硬盘扩展；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16、显卡类型：独立显卡（独立显卡显存容量：≥2GB，独立显卡显存类型：≥DDR3，独立显卡显存位宽（bit）：≥16）；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17、预装操作系统：≥3年版正式版麒麟/统信UOS/中科方德/其他符合安全可靠测评要求的操作系统；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18、显示器和机身颜色：黑色/灰色/银色；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19、是否有刻录光驱：是；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20、有线网卡数量：≥1；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21、鼠标：有线（USB)；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22、键盘：有线（USB)；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23、键盘连接方式：有线或无线；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24、有线键盘连接线：≥1.5米；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25、USB2.0接口：USB接口数量≥9（包含至少一个TYPE C接口），含4个USB3.0及以上接口；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26、HDMI接口：≥1；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27、VGA接口：≥1；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28、网络接口：≥1；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基本功能：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tc>
        <w:tc>
          <w:tcPr>
            <w:tcW w:w="387" w:type="pct"/>
            <w:gridSpan w:val="3"/>
            <w:tcBorders>
              <w:tl2br w:val="nil"/>
              <w:tr2bl w:val="nil"/>
            </w:tcBorders>
            <w:shd w:val="clear" w:color="auto" w:fill="auto"/>
            <w:noWrap/>
            <w:vAlign w:val="center"/>
          </w:tcPr>
          <w:p w14:paraId="0E2C3B3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61" w:type="pct"/>
            <w:tcBorders>
              <w:tl2br w:val="nil"/>
              <w:tr2bl w:val="nil"/>
            </w:tcBorders>
            <w:shd w:val="clear" w:color="auto" w:fill="auto"/>
            <w:noWrap/>
            <w:vAlign w:val="center"/>
          </w:tcPr>
          <w:p w14:paraId="303A138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4E717B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ED751A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noWrap/>
            <w:vAlign w:val="center"/>
          </w:tcPr>
          <w:p w14:paraId="4014398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一体机</w:t>
            </w:r>
          </w:p>
        </w:tc>
        <w:tc>
          <w:tcPr>
            <w:tcW w:w="3240" w:type="pct"/>
            <w:gridSpan w:val="3"/>
            <w:tcBorders>
              <w:tl2br w:val="nil"/>
              <w:tr2bl w:val="nil"/>
            </w:tcBorders>
            <w:shd w:val="clear" w:color="auto" w:fill="auto"/>
            <w:vAlign w:val="center"/>
          </w:tcPr>
          <w:p w14:paraId="74BEBA8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1、处理器：采用≥KX-U6780A八核，≥2.7GHz主频，8M二级缓存，≥2666MHZ内存频率；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2、显示屏：≥23.8英寸全高清超窄边框IPS显示屏，分辨率≥1920*1080，刷新频率≥100Hz；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3、内存：≥16 GB DDR4 SODIMM内存，配置≥2个内存插槽；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4、显卡：集成显卡；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5、硬盘：≥512GB M.2接口NVME协议SSD；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6、摄像头&amp;麦克风&amp;音箱：内置5M RGB 摄像头（带物理防窥按键）&amp;数字阵列麦克风，2×3W 立体声音箱；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7、电源：外置135W高效电源,能效高达89%；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8、网络：≥1个RJ45 10/100/1000自适应以太网口，支持 WIFI6&amp;BT5.2；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9、接口：≥4个USB接口（其中USB Type-C 3.0≥1个），≥2个HDMI接口；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10、数据安全：支持基于BIOS级的一键备份和恢复的功能（非操作系统自带功能）。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11、MTBF≥1000000小时，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12、键鼠：标配USB键盘鼠标，支持键盘开机；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13、系统：≥3年版正式版统信操作系统；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基本功能：具备主界面、文件管理、页面设置、视图管理、编辑管理、插入管理、格式管理、工具、表格管理、对象管理、审阅管理、引用管理、插件管理、打印管理等基本功能，提供文字处理、电子表格、文档演示三大应用，支持PDF阅读和流版转换，支持国内外文档标准规范，兼容国内外主流流式软件；</w:t>
            </w:r>
          </w:p>
        </w:tc>
        <w:tc>
          <w:tcPr>
            <w:tcW w:w="387" w:type="pct"/>
            <w:gridSpan w:val="3"/>
            <w:tcBorders>
              <w:tl2br w:val="nil"/>
              <w:tr2bl w:val="nil"/>
            </w:tcBorders>
            <w:shd w:val="clear" w:color="auto" w:fill="auto"/>
            <w:noWrap/>
            <w:vAlign w:val="center"/>
          </w:tcPr>
          <w:p w14:paraId="7FB67F2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1" w:type="pct"/>
            <w:tcBorders>
              <w:tl2br w:val="nil"/>
              <w:tr2bl w:val="nil"/>
            </w:tcBorders>
            <w:shd w:val="clear" w:color="auto" w:fill="auto"/>
            <w:noWrap/>
            <w:vAlign w:val="center"/>
          </w:tcPr>
          <w:p w14:paraId="5EB51E1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3E0174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1699BA4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noWrap/>
            <w:vAlign w:val="center"/>
          </w:tcPr>
          <w:p w14:paraId="206E25F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招聘求职一体机</w:t>
            </w:r>
          </w:p>
        </w:tc>
        <w:tc>
          <w:tcPr>
            <w:tcW w:w="3240" w:type="pct"/>
            <w:gridSpan w:val="3"/>
            <w:tcBorders>
              <w:tl2br w:val="nil"/>
              <w:tr2bl w:val="nil"/>
            </w:tcBorders>
            <w:shd w:val="clear" w:color="auto" w:fill="auto"/>
            <w:vAlign w:val="center"/>
          </w:tcPr>
          <w:p w14:paraId="4924CFF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1、≥Android 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2、尺寸:≥21.5竖屏，分辨率:≥1080*1920，电容式触控屏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3、≥MTK8788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4、≥8核 2.0GHz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5、≥4GB+64GB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6、支持wifi，4g，以太网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7、双目/3D结构光摄像头，具备人脸识别功能并能通过人脸识别确认用户身份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8、4.2频率范围:2400-2483.5MHz;发射功率:≤20dBm(EIRP)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9、符合国际、国内通用二维码标准识读精度:一维码&gt;5mil;二维码≥7.5mil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10、支持在线身份证和离线身份证适配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实现设备端的ampe能力支持，包含业务逻辑设计、核身组件等能力对接，含刷身份证，扫码，无证对接，开机即用，是运行小程序基础能力,设备含二维码阅读器、在线身份证模块、pmsa加密卡（社保卡读取三代数据用）、4G模块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12、含硬件质保三年</w:t>
            </w:r>
          </w:p>
        </w:tc>
        <w:tc>
          <w:tcPr>
            <w:tcW w:w="387" w:type="pct"/>
            <w:gridSpan w:val="3"/>
            <w:tcBorders>
              <w:tl2br w:val="nil"/>
              <w:tr2bl w:val="nil"/>
            </w:tcBorders>
            <w:shd w:val="clear" w:color="auto" w:fill="auto"/>
            <w:noWrap/>
            <w:vAlign w:val="center"/>
          </w:tcPr>
          <w:p w14:paraId="2878350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0078081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080998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2C39CF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noWrap/>
            <w:vAlign w:val="center"/>
          </w:tcPr>
          <w:p w14:paraId="0360EA4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招聘求职一体机</w:t>
            </w:r>
          </w:p>
        </w:tc>
        <w:tc>
          <w:tcPr>
            <w:tcW w:w="3240" w:type="pct"/>
            <w:gridSpan w:val="3"/>
            <w:tcBorders>
              <w:tl2br w:val="nil"/>
              <w:tr2bl w:val="nil"/>
            </w:tcBorders>
            <w:shd w:val="clear" w:color="auto" w:fill="auto"/>
            <w:vAlign w:val="center"/>
          </w:tcPr>
          <w:p w14:paraId="4F06D74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1、≥Android 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2、尺寸:≥32竖屏，分辨率:≥1080*1920，电容式触控屏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3、≥MTK8788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4、≥4.8核 2.0GHz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5、≥5.4GB+64GB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6、支持wifi，4g，以太网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7、双目/3D结构光摄像头，具备人脸识别功能并能通过人脸识别确认用户身份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8、4.2频率范围:2400-2483.5MHz;发射功率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≤20dBm(EIRP)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9、符合国际、国内通用二维码标准识读精度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一维码&gt;5mil</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二维码≥7.5mil2*5w12V5A立式                             10、实现核身SaaS服务、核身组件等能力对接，设备含二维码阅读器、在线身份证模块、语音矩阵、红外距离检测＋灯控模块、pmsa加密卡（社保卡读取三代数据用）、4G模块功能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11、含硬件质保三年</w:t>
            </w:r>
          </w:p>
        </w:tc>
        <w:tc>
          <w:tcPr>
            <w:tcW w:w="387" w:type="pct"/>
            <w:gridSpan w:val="3"/>
            <w:tcBorders>
              <w:tl2br w:val="nil"/>
              <w:tr2bl w:val="nil"/>
            </w:tcBorders>
            <w:shd w:val="clear" w:color="auto" w:fill="auto"/>
            <w:noWrap/>
            <w:vAlign w:val="center"/>
          </w:tcPr>
          <w:p w14:paraId="3EDF80D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1AB7191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6B02A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400" w:type="pct"/>
            <w:tcBorders>
              <w:tl2br w:val="nil"/>
              <w:tr2bl w:val="nil"/>
            </w:tcBorders>
            <w:shd w:val="clear" w:color="auto" w:fill="auto"/>
            <w:noWrap/>
            <w:vAlign w:val="center"/>
          </w:tcPr>
          <w:p w14:paraId="5331A4A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9" w:type="pct"/>
            <w:tcBorders>
              <w:tl2br w:val="nil"/>
              <w:tr2bl w:val="nil"/>
            </w:tcBorders>
            <w:shd w:val="clear" w:color="auto" w:fill="auto"/>
            <w:noWrap/>
            <w:vAlign w:val="center"/>
          </w:tcPr>
          <w:p w14:paraId="479F775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数字人系统</w:t>
            </w:r>
          </w:p>
        </w:tc>
        <w:tc>
          <w:tcPr>
            <w:tcW w:w="3240" w:type="pct"/>
            <w:gridSpan w:val="3"/>
            <w:tcBorders>
              <w:tl2br w:val="nil"/>
              <w:tr2bl w:val="nil"/>
            </w:tcBorders>
            <w:shd w:val="clear" w:color="auto" w:fill="auto"/>
            <w:vAlign w:val="center"/>
          </w:tcPr>
          <w:p w14:paraId="20F6655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1、AI数字人、物联网（IoT）和智能终端技术的就业服务解决方案。通过集成就业小程序、多设备端等服务适配能力。为政府、就业服务商及求职者提供一站式就业服务。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2、自定义数字人形象，实现就业岗位精准匹配、服务快速落地，助力就业服务数字化、智能化转型。</w:t>
            </w:r>
          </w:p>
        </w:tc>
        <w:tc>
          <w:tcPr>
            <w:tcW w:w="387" w:type="pct"/>
            <w:gridSpan w:val="3"/>
            <w:tcBorders>
              <w:tl2br w:val="nil"/>
              <w:tr2bl w:val="nil"/>
            </w:tcBorders>
            <w:shd w:val="clear" w:color="auto" w:fill="auto"/>
            <w:noWrap/>
            <w:vAlign w:val="center"/>
          </w:tcPr>
          <w:p w14:paraId="60E85C6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6B2543E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29D0A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5A39AFE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十三、工程材料(含施工费)</w:t>
            </w:r>
          </w:p>
        </w:tc>
        <w:tc>
          <w:tcPr>
            <w:tcW w:w="387" w:type="pct"/>
            <w:gridSpan w:val="3"/>
            <w:tcBorders>
              <w:tl2br w:val="nil"/>
              <w:tr2bl w:val="nil"/>
            </w:tcBorders>
            <w:shd w:val="clear" w:color="auto" w:fill="auto"/>
            <w:noWrap/>
            <w:vAlign w:val="center"/>
          </w:tcPr>
          <w:p w14:paraId="5F721F17">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33790979">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50DA1C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FEE01A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noWrap/>
            <w:vAlign w:val="center"/>
          </w:tcPr>
          <w:p w14:paraId="2074A42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音响线</w:t>
            </w:r>
          </w:p>
        </w:tc>
        <w:tc>
          <w:tcPr>
            <w:tcW w:w="3240" w:type="pct"/>
            <w:gridSpan w:val="3"/>
            <w:tcBorders>
              <w:tl2br w:val="nil"/>
              <w:tr2bl w:val="nil"/>
            </w:tcBorders>
            <w:shd w:val="clear" w:color="auto" w:fill="auto"/>
            <w:vAlign w:val="center"/>
          </w:tcPr>
          <w:p w14:paraId="636B84D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1、规格：200芯全铜音箱线</w:t>
            </w:r>
          </w:p>
        </w:tc>
        <w:tc>
          <w:tcPr>
            <w:tcW w:w="387" w:type="pct"/>
            <w:gridSpan w:val="3"/>
            <w:tcBorders>
              <w:tl2br w:val="nil"/>
              <w:tr2bl w:val="nil"/>
            </w:tcBorders>
            <w:shd w:val="clear" w:color="auto" w:fill="auto"/>
            <w:noWrap/>
            <w:vAlign w:val="center"/>
          </w:tcPr>
          <w:p w14:paraId="7AB11CA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w:t>
            </w:r>
          </w:p>
        </w:tc>
        <w:tc>
          <w:tcPr>
            <w:tcW w:w="361" w:type="pct"/>
            <w:tcBorders>
              <w:tl2br w:val="nil"/>
              <w:tr2bl w:val="nil"/>
            </w:tcBorders>
            <w:shd w:val="clear" w:color="auto" w:fill="auto"/>
            <w:noWrap/>
            <w:vAlign w:val="center"/>
          </w:tcPr>
          <w:p w14:paraId="6F704D7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14:paraId="5E780D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36A1A0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noWrap/>
            <w:vAlign w:val="center"/>
          </w:tcPr>
          <w:p w14:paraId="4840459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3240" w:type="pct"/>
            <w:gridSpan w:val="3"/>
            <w:tcBorders>
              <w:tl2br w:val="nil"/>
              <w:tr2bl w:val="nil"/>
            </w:tcBorders>
            <w:shd w:val="clear" w:color="auto" w:fill="auto"/>
            <w:vAlign w:val="center"/>
          </w:tcPr>
          <w:p w14:paraId="7B94F7F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1、规格：3*2.5 rvv线</w:t>
            </w:r>
          </w:p>
        </w:tc>
        <w:tc>
          <w:tcPr>
            <w:tcW w:w="387" w:type="pct"/>
            <w:gridSpan w:val="3"/>
            <w:tcBorders>
              <w:tl2br w:val="nil"/>
              <w:tr2bl w:val="nil"/>
            </w:tcBorders>
            <w:shd w:val="clear" w:color="auto" w:fill="auto"/>
            <w:noWrap/>
            <w:vAlign w:val="center"/>
          </w:tcPr>
          <w:p w14:paraId="11C5D50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361" w:type="pct"/>
            <w:tcBorders>
              <w:tl2br w:val="nil"/>
              <w:tr2bl w:val="nil"/>
            </w:tcBorders>
            <w:shd w:val="clear" w:color="auto" w:fill="auto"/>
            <w:noWrap/>
            <w:vAlign w:val="center"/>
          </w:tcPr>
          <w:p w14:paraId="3D55652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14:paraId="1A9CED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13B08E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noWrap/>
            <w:vAlign w:val="center"/>
          </w:tcPr>
          <w:p w14:paraId="530F7E9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3240" w:type="pct"/>
            <w:gridSpan w:val="3"/>
            <w:tcBorders>
              <w:tl2br w:val="nil"/>
              <w:tr2bl w:val="nil"/>
            </w:tcBorders>
            <w:shd w:val="clear" w:color="auto" w:fill="auto"/>
            <w:vAlign w:val="center"/>
          </w:tcPr>
          <w:p w14:paraId="75BDA4C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1、规格：5*4 rvv线</w:t>
            </w:r>
          </w:p>
        </w:tc>
        <w:tc>
          <w:tcPr>
            <w:tcW w:w="387" w:type="pct"/>
            <w:gridSpan w:val="3"/>
            <w:tcBorders>
              <w:tl2br w:val="nil"/>
              <w:tr2bl w:val="nil"/>
            </w:tcBorders>
            <w:shd w:val="clear" w:color="auto" w:fill="auto"/>
            <w:noWrap/>
            <w:vAlign w:val="center"/>
          </w:tcPr>
          <w:p w14:paraId="65DBB6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361" w:type="pct"/>
            <w:tcBorders>
              <w:tl2br w:val="nil"/>
              <w:tr2bl w:val="nil"/>
            </w:tcBorders>
            <w:shd w:val="clear" w:color="auto" w:fill="auto"/>
            <w:noWrap/>
            <w:vAlign w:val="center"/>
          </w:tcPr>
          <w:p w14:paraId="62ACA07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14:paraId="7297D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32C990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noWrap/>
            <w:vAlign w:val="center"/>
          </w:tcPr>
          <w:p w14:paraId="4A1E9FF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3240" w:type="pct"/>
            <w:gridSpan w:val="3"/>
            <w:tcBorders>
              <w:tl2br w:val="nil"/>
              <w:tr2bl w:val="nil"/>
            </w:tcBorders>
            <w:shd w:val="clear" w:color="auto" w:fill="auto"/>
            <w:vAlign w:val="center"/>
          </w:tcPr>
          <w:p w14:paraId="3650729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1、规格：5*2.5 rvv线</w:t>
            </w:r>
          </w:p>
        </w:tc>
        <w:tc>
          <w:tcPr>
            <w:tcW w:w="387" w:type="pct"/>
            <w:gridSpan w:val="3"/>
            <w:tcBorders>
              <w:tl2br w:val="nil"/>
              <w:tr2bl w:val="nil"/>
            </w:tcBorders>
            <w:shd w:val="clear" w:color="auto" w:fill="auto"/>
            <w:noWrap/>
            <w:vAlign w:val="center"/>
          </w:tcPr>
          <w:p w14:paraId="408A7BB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361" w:type="pct"/>
            <w:tcBorders>
              <w:tl2br w:val="nil"/>
              <w:tr2bl w:val="nil"/>
            </w:tcBorders>
            <w:shd w:val="clear" w:color="auto" w:fill="auto"/>
            <w:noWrap/>
            <w:vAlign w:val="center"/>
          </w:tcPr>
          <w:p w14:paraId="142B440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14:paraId="0212F7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1551C0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noWrap/>
            <w:vAlign w:val="center"/>
          </w:tcPr>
          <w:p w14:paraId="2D92610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PVC管</w:t>
            </w:r>
          </w:p>
        </w:tc>
        <w:tc>
          <w:tcPr>
            <w:tcW w:w="3240" w:type="pct"/>
            <w:gridSpan w:val="3"/>
            <w:tcBorders>
              <w:tl2br w:val="nil"/>
              <w:tr2bl w:val="nil"/>
            </w:tcBorders>
            <w:shd w:val="clear" w:color="auto" w:fill="auto"/>
            <w:vAlign w:val="center"/>
          </w:tcPr>
          <w:p w14:paraId="50DE8DA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1、直径：25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2、材料：聚乙烯</w:t>
            </w:r>
          </w:p>
        </w:tc>
        <w:tc>
          <w:tcPr>
            <w:tcW w:w="387" w:type="pct"/>
            <w:gridSpan w:val="3"/>
            <w:tcBorders>
              <w:tl2br w:val="nil"/>
              <w:tr2bl w:val="nil"/>
            </w:tcBorders>
            <w:shd w:val="clear" w:color="auto" w:fill="auto"/>
            <w:noWrap/>
            <w:vAlign w:val="center"/>
          </w:tcPr>
          <w:p w14:paraId="7B87CB9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361" w:type="pct"/>
            <w:tcBorders>
              <w:tl2br w:val="nil"/>
              <w:tr2bl w:val="nil"/>
            </w:tcBorders>
            <w:shd w:val="clear" w:color="auto" w:fill="auto"/>
            <w:noWrap/>
            <w:vAlign w:val="center"/>
          </w:tcPr>
          <w:p w14:paraId="7596D58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14:paraId="75B9CE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5C189B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noWrap/>
            <w:vAlign w:val="center"/>
          </w:tcPr>
          <w:p w14:paraId="6329F01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3240" w:type="pct"/>
            <w:gridSpan w:val="3"/>
            <w:tcBorders>
              <w:tl2br w:val="nil"/>
              <w:tr2bl w:val="nil"/>
            </w:tcBorders>
            <w:shd w:val="clear" w:color="auto" w:fill="auto"/>
            <w:vAlign w:val="center"/>
          </w:tcPr>
          <w:p w14:paraId="201B36A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1、规格：22U，600*600*1166mm</w:t>
            </w:r>
          </w:p>
        </w:tc>
        <w:tc>
          <w:tcPr>
            <w:tcW w:w="387" w:type="pct"/>
            <w:gridSpan w:val="3"/>
            <w:tcBorders>
              <w:tl2br w:val="nil"/>
              <w:tr2bl w:val="nil"/>
            </w:tcBorders>
            <w:shd w:val="clear" w:color="auto" w:fill="auto"/>
            <w:noWrap/>
            <w:vAlign w:val="center"/>
          </w:tcPr>
          <w:p w14:paraId="4B352FF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61" w:type="pct"/>
            <w:tcBorders>
              <w:tl2br w:val="nil"/>
              <w:tr2bl w:val="nil"/>
            </w:tcBorders>
            <w:shd w:val="clear" w:color="auto" w:fill="auto"/>
            <w:noWrap/>
            <w:vAlign w:val="center"/>
          </w:tcPr>
          <w:p w14:paraId="3FA3C3B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3B8682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DE5B4E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noWrap/>
            <w:vAlign w:val="center"/>
          </w:tcPr>
          <w:p w14:paraId="5D2C8F7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3240" w:type="pct"/>
            <w:gridSpan w:val="3"/>
            <w:tcBorders>
              <w:tl2br w:val="nil"/>
              <w:tr2bl w:val="nil"/>
            </w:tcBorders>
            <w:shd w:val="clear" w:color="auto" w:fill="auto"/>
            <w:vAlign w:val="center"/>
          </w:tcPr>
          <w:p w14:paraId="6ABED21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1、规格：U/UTP 六类4对非屏蔽双绞线、高纯度无氧铜，低电阻，导电性能卓越</w:t>
            </w:r>
          </w:p>
        </w:tc>
        <w:tc>
          <w:tcPr>
            <w:tcW w:w="387" w:type="pct"/>
            <w:gridSpan w:val="3"/>
            <w:tcBorders>
              <w:tl2br w:val="nil"/>
              <w:tr2bl w:val="nil"/>
            </w:tcBorders>
            <w:shd w:val="clear" w:color="auto" w:fill="auto"/>
            <w:noWrap/>
            <w:vAlign w:val="center"/>
          </w:tcPr>
          <w:p w14:paraId="50AF0CB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61" w:type="pct"/>
            <w:tcBorders>
              <w:tl2br w:val="nil"/>
              <w:tr2bl w:val="nil"/>
            </w:tcBorders>
            <w:shd w:val="clear" w:color="auto" w:fill="auto"/>
            <w:noWrap/>
            <w:vAlign w:val="center"/>
          </w:tcPr>
          <w:p w14:paraId="093F3EB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r>
      <w:tr w14:paraId="65B63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FF9C25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09" w:type="pct"/>
            <w:tcBorders>
              <w:tl2br w:val="nil"/>
              <w:tr2bl w:val="nil"/>
            </w:tcBorders>
            <w:shd w:val="clear" w:color="auto" w:fill="auto"/>
            <w:noWrap/>
            <w:vAlign w:val="center"/>
          </w:tcPr>
          <w:p w14:paraId="14E4A22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3240" w:type="pct"/>
            <w:gridSpan w:val="3"/>
            <w:tcBorders>
              <w:tl2br w:val="nil"/>
              <w:tr2bl w:val="nil"/>
            </w:tcBorders>
            <w:shd w:val="clear" w:color="auto" w:fill="auto"/>
            <w:vAlign w:val="center"/>
          </w:tcPr>
          <w:p w14:paraId="0B9F991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1、交换容量≥336Gbps。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2、包转发率≥51Mpps。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3、固化10/100/1000M以太网电口≥24，1000M/2.5G SFP千兆光接口≥4个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4、★采用绿色环保设计，整机最大功耗≤16W，符合国家低碳环保等政策要求。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5、设备采用静音无风扇节能设计。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6、支持专门针对CPU的保护机制，能够针对发往CPU处理的各种报文进行流区分和优先级队列分级处理，保护交换机在各种环境下稳定工作。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7、支持生成树协议STP(IEEE 802.1d)，RSTP(IEEE 802.1w)和MSTP(IEEE 802.1s)，完全保证快速收敛，提高容错能力，保证网络的稳定运行和链路的负载均衡，合理使用网络通道，提供冗余链路利用率。</w:t>
            </w:r>
          </w:p>
        </w:tc>
        <w:tc>
          <w:tcPr>
            <w:tcW w:w="387" w:type="pct"/>
            <w:gridSpan w:val="3"/>
            <w:tcBorders>
              <w:tl2br w:val="nil"/>
              <w:tr2bl w:val="nil"/>
            </w:tcBorders>
            <w:shd w:val="clear" w:color="auto" w:fill="auto"/>
            <w:noWrap/>
            <w:vAlign w:val="center"/>
          </w:tcPr>
          <w:p w14:paraId="0254A52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61" w:type="pct"/>
            <w:tcBorders>
              <w:tl2br w:val="nil"/>
              <w:tr2bl w:val="nil"/>
            </w:tcBorders>
            <w:shd w:val="clear" w:color="auto" w:fill="auto"/>
            <w:noWrap/>
            <w:vAlign w:val="center"/>
          </w:tcPr>
          <w:p w14:paraId="5B7AACF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14:paraId="20AF9A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3B0B87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09" w:type="pct"/>
            <w:tcBorders>
              <w:tl2br w:val="nil"/>
              <w:tr2bl w:val="nil"/>
            </w:tcBorders>
            <w:shd w:val="clear" w:color="auto" w:fill="auto"/>
            <w:noWrap/>
            <w:vAlign w:val="center"/>
          </w:tcPr>
          <w:p w14:paraId="551CB60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3240" w:type="pct"/>
            <w:gridSpan w:val="3"/>
            <w:tcBorders>
              <w:tl2br w:val="nil"/>
              <w:tr2bl w:val="nil"/>
            </w:tcBorders>
            <w:shd w:val="clear" w:color="auto" w:fill="auto"/>
            <w:vAlign w:val="center"/>
          </w:tcPr>
          <w:p w14:paraId="0086B43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本项目涉及到的配套高清线、线管、扎带、转接头、插座、等辅材</w:t>
            </w:r>
          </w:p>
        </w:tc>
        <w:tc>
          <w:tcPr>
            <w:tcW w:w="387" w:type="pct"/>
            <w:gridSpan w:val="3"/>
            <w:tcBorders>
              <w:tl2br w:val="nil"/>
              <w:tr2bl w:val="nil"/>
            </w:tcBorders>
            <w:shd w:val="clear" w:color="auto" w:fill="auto"/>
            <w:noWrap/>
            <w:vAlign w:val="center"/>
          </w:tcPr>
          <w:p w14:paraId="7092D6A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59AC5FD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r>
      <w:tr w14:paraId="2BB7A4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751D527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十四、文化墙、制度牌、科室牌</w:t>
            </w:r>
          </w:p>
        </w:tc>
        <w:tc>
          <w:tcPr>
            <w:tcW w:w="387" w:type="pct"/>
            <w:gridSpan w:val="3"/>
            <w:tcBorders>
              <w:tl2br w:val="nil"/>
              <w:tr2bl w:val="nil"/>
            </w:tcBorders>
            <w:shd w:val="clear" w:color="auto" w:fill="auto"/>
            <w:noWrap/>
            <w:vAlign w:val="center"/>
          </w:tcPr>
          <w:p w14:paraId="112D6570">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25F6AF5D">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06FACD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79F706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noWrap/>
            <w:vAlign w:val="center"/>
          </w:tcPr>
          <w:p w14:paraId="59004A3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走廊文化墙</w:t>
            </w:r>
          </w:p>
        </w:tc>
        <w:tc>
          <w:tcPr>
            <w:tcW w:w="3240" w:type="pct"/>
            <w:gridSpan w:val="3"/>
            <w:tcBorders>
              <w:tl2br w:val="nil"/>
              <w:tr2bl w:val="nil"/>
            </w:tcBorders>
            <w:shd w:val="clear" w:color="auto" w:fill="auto"/>
            <w:vAlign w:val="center"/>
          </w:tcPr>
          <w:p w14:paraId="03B1D09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1、根据甲方要求，结合甲方文化理念，通过图文、色彩、造型传递核心内容进行设计，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2、采用10mm厚PVC板雕刻和UV打印画面，高度1200mm、总长48000mm，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3、含文化墙的深化设计、材料采购、加工制作、打胶安装施工及成品保护。</w:t>
            </w:r>
          </w:p>
        </w:tc>
        <w:tc>
          <w:tcPr>
            <w:tcW w:w="387" w:type="pct"/>
            <w:gridSpan w:val="3"/>
            <w:tcBorders>
              <w:tl2br w:val="nil"/>
              <w:tr2bl w:val="nil"/>
            </w:tcBorders>
            <w:shd w:val="clear" w:color="auto" w:fill="auto"/>
            <w:noWrap/>
            <w:vAlign w:val="center"/>
          </w:tcPr>
          <w:p w14:paraId="29293C0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57.6</w:t>
            </w:r>
          </w:p>
        </w:tc>
        <w:tc>
          <w:tcPr>
            <w:tcW w:w="361" w:type="pct"/>
            <w:tcBorders>
              <w:tl2br w:val="nil"/>
              <w:tr2bl w:val="nil"/>
            </w:tcBorders>
            <w:shd w:val="clear" w:color="auto" w:fill="auto"/>
            <w:noWrap/>
            <w:vAlign w:val="center"/>
          </w:tcPr>
          <w:p w14:paraId="1252AFE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1D69A9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3338774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noWrap/>
            <w:vAlign w:val="center"/>
          </w:tcPr>
          <w:p w14:paraId="2EE6255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科室牌</w:t>
            </w:r>
          </w:p>
        </w:tc>
        <w:tc>
          <w:tcPr>
            <w:tcW w:w="3240" w:type="pct"/>
            <w:gridSpan w:val="3"/>
            <w:tcBorders>
              <w:tl2br w:val="nil"/>
              <w:tr2bl w:val="nil"/>
            </w:tcBorders>
            <w:shd w:val="clear" w:color="auto" w:fill="auto"/>
            <w:vAlign w:val="center"/>
          </w:tcPr>
          <w:p w14:paraId="39E22C6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1、定制可更换式门牌，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2、铝合金材质，亚克力面板，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3、尺寸：280*120mm，</w:t>
            </w:r>
          </w:p>
        </w:tc>
        <w:tc>
          <w:tcPr>
            <w:tcW w:w="387" w:type="pct"/>
            <w:gridSpan w:val="3"/>
            <w:tcBorders>
              <w:tl2br w:val="nil"/>
              <w:tr2bl w:val="nil"/>
            </w:tcBorders>
            <w:shd w:val="clear" w:color="auto" w:fill="auto"/>
            <w:noWrap/>
            <w:vAlign w:val="center"/>
          </w:tcPr>
          <w:p w14:paraId="0772CC2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61" w:type="pct"/>
            <w:tcBorders>
              <w:tl2br w:val="nil"/>
              <w:tr2bl w:val="nil"/>
            </w:tcBorders>
            <w:shd w:val="clear" w:color="auto" w:fill="auto"/>
            <w:noWrap/>
            <w:vAlign w:val="center"/>
          </w:tcPr>
          <w:p w14:paraId="739AD63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3014D8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49B6E93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noWrap/>
            <w:vAlign w:val="center"/>
          </w:tcPr>
          <w:p w14:paraId="1CC2FEB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温馨提示牌</w:t>
            </w:r>
          </w:p>
        </w:tc>
        <w:tc>
          <w:tcPr>
            <w:tcW w:w="3240" w:type="pct"/>
            <w:gridSpan w:val="3"/>
            <w:tcBorders>
              <w:tl2br w:val="nil"/>
              <w:tr2bl w:val="nil"/>
            </w:tcBorders>
            <w:shd w:val="clear" w:color="auto" w:fill="auto"/>
            <w:vAlign w:val="center"/>
          </w:tcPr>
          <w:p w14:paraId="1E7385C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1、5mm亚克力 UV 彩白彩工艺，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2、尺寸：280*120mm，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3、玻璃胶固定。</w:t>
            </w:r>
          </w:p>
        </w:tc>
        <w:tc>
          <w:tcPr>
            <w:tcW w:w="387" w:type="pct"/>
            <w:gridSpan w:val="3"/>
            <w:tcBorders>
              <w:tl2br w:val="nil"/>
              <w:tr2bl w:val="nil"/>
            </w:tcBorders>
            <w:shd w:val="clear" w:color="auto" w:fill="auto"/>
            <w:noWrap/>
            <w:vAlign w:val="center"/>
          </w:tcPr>
          <w:p w14:paraId="0A3E8D0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61" w:type="pct"/>
            <w:tcBorders>
              <w:tl2br w:val="nil"/>
              <w:tr2bl w:val="nil"/>
            </w:tcBorders>
            <w:shd w:val="clear" w:color="auto" w:fill="auto"/>
            <w:noWrap/>
            <w:vAlign w:val="center"/>
          </w:tcPr>
          <w:p w14:paraId="4DD8A22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39268C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096EA58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noWrap/>
            <w:vAlign w:val="center"/>
          </w:tcPr>
          <w:p w14:paraId="0FFDB48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办公室制度牌</w:t>
            </w:r>
          </w:p>
        </w:tc>
        <w:tc>
          <w:tcPr>
            <w:tcW w:w="3240" w:type="pct"/>
            <w:gridSpan w:val="3"/>
            <w:tcBorders>
              <w:tl2br w:val="nil"/>
              <w:tr2bl w:val="nil"/>
            </w:tcBorders>
            <w:shd w:val="clear" w:color="auto" w:fill="auto"/>
            <w:vAlign w:val="center"/>
          </w:tcPr>
          <w:p w14:paraId="1943FB7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1、0.5亚克力UV反面打印，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2尺寸：800*600mm，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3、广告钉安装固定。</w:t>
            </w:r>
          </w:p>
        </w:tc>
        <w:tc>
          <w:tcPr>
            <w:tcW w:w="387" w:type="pct"/>
            <w:gridSpan w:val="3"/>
            <w:tcBorders>
              <w:tl2br w:val="nil"/>
              <w:tr2bl w:val="nil"/>
            </w:tcBorders>
            <w:shd w:val="clear" w:color="auto" w:fill="auto"/>
            <w:noWrap/>
            <w:vAlign w:val="center"/>
          </w:tcPr>
          <w:p w14:paraId="2F67743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61" w:type="pct"/>
            <w:tcBorders>
              <w:tl2br w:val="nil"/>
              <w:tr2bl w:val="nil"/>
            </w:tcBorders>
            <w:shd w:val="clear" w:color="auto" w:fill="auto"/>
            <w:noWrap/>
            <w:vAlign w:val="center"/>
          </w:tcPr>
          <w:p w14:paraId="2A458EF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14:paraId="5E956E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1535A3D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noWrap/>
            <w:vAlign w:val="center"/>
          </w:tcPr>
          <w:p w14:paraId="156916A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零工市场文化墙</w:t>
            </w:r>
          </w:p>
        </w:tc>
        <w:tc>
          <w:tcPr>
            <w:tcW w:w="3240" w:type="pct"/>
            <w:gridSpan w:val="3"/>
            <w:tcBorders>
              <w:tl2br w:val="nil"/>
              <w:tr2bl w:val="nil"/>
            </w:tcBorders>
            <w:shd w:val="clear" w:color="auto" w:fill="auto"/>
            <w:vAlign w:val="center"/>
          </w:tcPr>
          <w:p w14:paraId="4411CAC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1、10mm厚PVC板UV打印雕刻，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2、尺寸：6000*1200mm*2，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3、玻璃胶固定</w:t>
            </w:r>
          </w:p>
        </w:tc>
        <w:tc>
          <w:tcPr>
            <w:tcW w:w="387" w:type="pct"/>
            <w:gridSpan w:val="3"/>
            <w:tcBorders>
              <w:tl2br w:val="nil"/>
              <w:tr2bl w:val="nil"/>
            </w:tcBorders>
            <w:shd w:val="clear" w:color="auto" w:fill="auto"/>
            <w:noWrap/>
            <w:vAlign w:val="center"/>
          </w:tcPr>
          <w:p w14:paraId="174AA3C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361" w:type="pct"/>
            <w:tcBorders>
              <w:tl2br w:val="nil"/>
              <w:tr2bl w:val="nil"/>
            </w:tcBorders>
            <w:shd w:val="clear" w:color="auto" w:fill="auto"/>
            <w:noWrap/>
            <w:vAlign w:val="center"/>
          </w:tcPr>
          <w:p w14:paraId="06B03E2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5C5AA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577572A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noWrap/>
            <w:vAlign w:val="center"/>
          </w:tcPr>
          <w:p w14:paraId="4506BA8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业务培训室文化墙</w:t>
            </w:r>
          </w:p>
        </w:tc>
        <w:tc>
          <w:tcPr>
            <w:tcW w:w="3240" w:type="pct"/>
            <w:gridSpan w:val="3"/>
            <w:tcBorders>
              <w:tl2br w:val="nil"/>
              <w:tr2bl w:val="nil"/>
            </w:tcBorders>
            <w:shd w:val="clear" w:color="auto" w:fill="auto"/>
            <w:vAlign w:val="center"/>
          </w:tcPr>
          <w:p w14:paraId="278B485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1、10mm厚PVC板UV打印雕刻，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2、尺寸：8000*1200mm*2，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3、玻璃胶固定</w:t>
            </w:r>
          </w:p>
        </w:tc>
        <w:tc>
          <w:tcPr>
            <w:tcW w:w="387" w:type="pct"/>
            <w:gridSpan w:val="3"/>
            <w:tcBorders>
              <w:tl2br w:val="nil"/>
              <w:tr2bl w:val="nil"/>
            </w:tcBorders>
            <w:shd w:val="clear" w:color="auto" w:fill="auto"/>
            <w:noWrap/>
            <w:vAlign w:val="center"/>
          </w:tcPr>
          <w:p w14:paraId="7497142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361" w:type="pct"/>
            <w:tcBorders>
              <w:tl2br w:val="nil"/>
              <w:tr2bl w:val="nil"/>
            </w:tcBorders>
            <w:shd w:val="clear" w:color="auto" w:fill="auto"/>
            <w:noWrap/>
            <w:vAlign w:val="center"/>
          </w:tcPr>
          <w:p w14:paraId="08C1C71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4102B1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250" w:type="pct"/>
            <w:gridSpan w:val="5"/>
            <w:tcBorders>
              <w:tl2br w:val="nil"/>
              <w:tr2bl w:val="nil"/>
            </w:tcBorders>
            <w:shd w:val="clear" w:color="auto" w:fill="auto"/>
            <w:noWrap/>
            <w:vAlign w:val="center"/>
          </w:tcPr>
          <w:p w14:paraId="686534C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十五、室外工程</w:t>
            </w:r>
          </w:p>
        </w:tc>
        <w:tc>
          <w:tcPr>
            <w:tcW w:w="387" w:type="pct"/>
            <w:gridSpan w:val="3"/>
            <w:tcBorders>
              <w:tl2br w:val="nil"/>
              <w:tr2bl w:val="nil"/>
            </w:tcBorders>
            <w:shd w:val="clear" w:color="auto" w:fill="auto"/>
            <w:noWrap/>
            <w:vAlign w:val="center"/>
          </w:tcPr>
          <w:p w14:paraId="38E44CA2">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c>
          <w:tcPr>
            <w:tcW w:w="361" w:type="pct"/>
            <w:tcBorders>
              <w:tl2br w:val="nil"/>
              <w:tr2bl w:val="nil"/>
            </w:tcBorders>
            <w:shd w:val="clear" w:color="auto" w:fill="auto"/>
            <w:noWrap/>
            <w:vAlign w:val="center"/>
          </w:tcPr>
          <w:p w14:paraId="6E5D3AEE">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p>
        </w:tc>
      </w:tr>
      <w:tr w14:paraId="100005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2" w:hRule="atLeast"/>
          <w:jc w:val="center"/>
        </w:trPr>
        <w:tc>
          <w:tcPr>
            <w:tcW w:w="400" w:type="pct"/>
            <w:tcBorders>
              <w:tl2br w:val="nil"/>
              <w:tr2bl w:val="nil"/>
            </w:tcBorders>
            <w:shd w:val="clear" w:color="auto" w:fill="auto"/>
            <w:noWrap/>
            <w:vAlign w:val="center"/>
          </w:tcPr>
          <w:p w14:paraId="08FBAB4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09" w:type="pct"/>
            <w:tcBorders>
              <w:tl2br w:val="nil"/>
              <w:tr2bl w:val="nil"/>
            </w:tcBorders>
            <w:shd w:val="clear" w:color="auto" w:fill="auto"/>
            <w:vAlign w:val="center"/>
          </w:tcPr>
          <w:p w14:paraId="5F26BB8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苗木移植、路灯移位、原始管道保护</w:t>
            </w:r>
          </w:p>
        </w:tc>
        <w:tc>
          <w:tcPr>
            <w:tcW w:w="3240" w:type="pct"/>
            <w:gridSpan w:val="3"/>
            <w:tcBorders>
              <w:tl2br w:val="nil"/>
              <w:tr2bl w:val="nil"/>
            </w:tcBorders>
            <w:shd w:val="clear" w:color="auto" w:fill="auto"/>
            <w:vAlign w:val="center"/>
          </w:tcPr>
          <w:p w14:paraId="3203F15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Style w:val="126"/>
                <w:rFonts w:hint="eastAsia" w:ascii="宋体" w:hAnsi="宋体" w:eastAsia="宋体" w:cs="宋体"/>
                <w:color w:val="auto"/>
                <w:sz w:val="21"/>
                <w:szCs w:val="21"/>
                <w:highlight w:val="none"/>
                <w:lang w:val="en-US" w:eastAsia="zh-CN" w:bidi="ar"/>
              </w:rPr>
            </w:pPr>
            <w:r>
              <w:rPr>
                <w:rStyle w:val="126"/>
                <w:rFonts w:hint="eastAsia" w:ascii="宋体" w:hAnsi="宋体" w:eastAsia="宋体" w:cs="宋体"/>
                <w:color w:val="auto"/>
                <w:sz w:val="21"/>
                <w:szCs w:val="21"/>
                <w:highlight w:val="none"/>
                <w:lang w:val="en-US" w:eastAsia="zh-CN" w:bidi="ar"/>
              </w:rPr>
              <w:t>1、苗木就近移植：乔木6棵，灌木2棵，含挖掘、保护、运输、移植过程中发生的人工、机械、材料等一切费用；</w:t>
            </w:r>
          </w:p>
          <w:p w14:paraId="314AA78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Style w:val="126"/>
                <w:rFonts w:hint="eastAsia" w:ascii="宋体" w:hAnsi="宋体" w:eastAsia="宋体" w:cs="宋体"/>
                <w:color w:val="auto"/>
                <w:sz w:val="21"/>
                <w:szCs w:val="21"/>
                <w:highlight w:val="none"/>
                <w:lang w:val="en-US" w:eastAsia="zh-CN" w:bidi="ar"/>
              </w:rPr>
            </w:pPr>
            <w:r>
              <w:rPr>
                <w:rStyle w:val="126"/>
                <w:rFonts w:hint="eastAsia" w:ascii="宋体" w:hAnsi="宋体" w:eastAsia="宋体" w:cs="宋体"/>
                <w:color w:val="auto"/>
                <w:sz w:val="21"/>
                <w:szCs w:val="21"/>
                <w:highlight w:val="none"/>
                <w:lang w:val="en-US" w:eastAsia="zh-CN" w:bidi="ar"/>
              </w:rPr>
              <w:t>2、路灯移位：路灯1套，基础尺寸500*500*500mm，底部铺设钢筋网（Φ10~Φ12螺纹钢，间距15~20cm），箍筋（Φ6~Φ8钢筋），C25混凝土，灯杆移位、管线迁改、接线调试；</w:t>
            </w:r>
          </w:p>
          <w:p w14:paraId="6787654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Style w:val="126"/>
                <w:rFonts w:hint="eastAsia" w:ascii="宋体" w:hAnsi="宋体" w:eastAsia="宋体" w:cs="宋体"/>
                <w:color w:val="auto"/>
                <w:sz w:val="21"/>
                <w:szCs w:val="21"/>
                <w:highlight w:val="none"/>
                <w:lang w:val="en-US" w:eastAsia="zh-CN" w:bidi="ar"/>
              </w:rPr>
              <w:t>3、管道保护：管道13m，含水管、线管等，采用C30混凝土浇捣管道每侧厚度加宽5cm。</w:t>
            </w:r>
          </w:p>
        </w:tc>
        <w:tc>
          <w:tcPr>
            <w:tcW w:w="387" w:type="pct"/>
            <w:gridSpan w:val="3"/>
            <w:tcBorders>
              <w:tl2br w:val="nil"/>
              <w:tr2bl w:val="nil"/>
            </w:tcBorders>
            <w:shd w:val="clear" w:color="auto" w:fill="auto"/>
            <w:noWrap/>
            <w:vAlign w:val="center"/>
          </w:tcPr>
          <w:p w14:paraId="70C1B38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1383549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066650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27" w:hRule="atLeast"/>
          <w:jc w:val="center"/>
        </w:trPr>
        <w:tc>
          <w:tcPr>
            <w:tcW w:w="400" w:type="pct"/>
            <w:tcBorders>
              <w:tl2br w:val="nil"/>
              <w:tr2bl w:val="nil"/>
            </w:tcBorders>
            <w:shd w:val="clear" w:color="auto" w:fill="auto"/>
            <w:noWrap/>
            <w:vAlign w:val="center"/>
          </w:tcPr>
          <w:p w14:paraId="16D38E2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09" w:type="pct"/>
            <w:tcBorders>
              <w:tl2br w:val="nil"/>
              <w:tr2bl w:val="nil"/>
            </w:tcBorders>
            <w:shd w:val="clear" w:color="auto" w:fill="auto"/>
            <w:noWrap/>
            <w:vAlign w:val="center"/>
          </w:tcPr>
          <w:p w14:paraId="27C662A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通道地面</w:t>
            </w:r>
          </w:p>
        </w:tc>
        <w:tc>
          <w:tcPr>
            <w:tcW w:w="3240" w:type="pct"/>
            <w:gridSpan w:val="3"/>
            <w:tcBorders>
              <w:tl2br w:val="nil"/>
              <w:tr2bl w:val="nil"/>
            </w:tcBorders>
            <w:shd w:val="clear" w:color="auto" w:fill="auto"/>
            <w:vAlign w:val="center"/>
          </w:tcPr>
          <w:p w14:paraId="52F51CB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1、素土夯实，土工布200g/m2（反滤隔离层），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2、300mm厚天然级配砂石垫层，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3、200mm厚5~12mm粒径C25大孔透水混凝土基层，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4、60mm厚中粒式改性透水沥青混凝土（PAC-16)，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5、40mm厚细粒式改性透水沥青混凝土（PAC-13)，</w:t>
            </w:r>
          </w:p>
        </w:tc>
        <w:tc>
          <w:tcPr>
            <w:tcW w:w="387" w:type="pct"/>
            <w:gridSpan w:val="3"/>
            <w:tcBorders>
              <w:tl2br w:val="nil"/>
              <w:tr2bl w:val="nil"/>
            </w:tcBorders>
            <w:shd w:val="clear" w:color="auto" w:fill="auto"/>
            <w:noWrap/>
            <w:vAlign w:val="center"/>
          </w:tcPr>
          <w:p w14:paraId="6D0ABD4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361" w:type="pct"/>
            <w:tcBorders>
              <w:tl2br w:val="nil"/>
              <w:tr2bl w:val="nil"/>
            </w:tcBorders>
            <w:shd w:val="clear" w:color="auto" w:fill="auto"/>
            <w:noWrap/>
            <w:vAlign w:val="center"/>
          </w:tcPr>
          <w:p w14:paraId="2363756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3061AE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B4D4EC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09" w:type="pct"/>
            <w:tcBorders>
              <w:tl2br w:val="nil"/>
              <w:tr2bl w:val="nil"/>
            </w:tcBorders>
            <w:shd w:val="clear" w:color="auto" w:fill="auto"/>
            <w:noWrap/>
            <w:vAlign w:val="center"/>
          </w:tcPr>
          <w:p w14:paraId="2725AB4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侧石、平石</w:t>
            </w:r>
          </w:p>
        </w:tc>
        <w:tc>
          <w:tcPr>
            <w:tcW w:w="3240" w:type="pct"/>
            <w:gridSpan w:val="3"/>
            <w:tcBorders>
              <w:tl2br w:val="nil"/>
              <w:tr2bl w:val="nil"/>
            </w:tcBorders>
            <w:shd w:val="clear" w:color="auto" w:fill="auto"/>
            <w:vAlign w:val="center"/>
          </w:tcPr>
          <w:p w14:paraId="08BE7C0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1、芝麻灰花岗岩侧石200*150*1000mm侧立石，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2、芝麻灰平石200*500*30mm，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3、路缘石切角处理，45°斜切角。</w:t>
            </w:r>
          </w:p>
        </w:tc>
        <w:tc>
          <w:tcPr>
            <w:tcW w:w="387" w:type="pct"/>
            <w:gridSpan w:val="3"/>
            <w:tcBorders>
              <w:tl2br w:val="nil"/>
              <w:tr2bl w:val="nil"/>
            </w:tcBorders>
            <w:shd w:val="clear" w:color="auto" w:fill="auto"/>
            <w:noWrap/>
            <w:vAlign w:val="center"/>
          </w:tcPr>
          <w:p w14:paraId="712BE13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61" w:type="pct"/>
            <w:tcBorders>
              <w:tl2br w:val="nil"/>
              <w:tr2bl w:val="nil"/>
            </w:tcBorders>
            <w:shd w:val="clear" w:color="auto" w:fill="auto"/>
            <w:noWrap/>
            <w:vAlign w:val="center"/>
          </w:tcPr>
          <w:p w14:paraId="1B334B9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097265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71601FF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09" w:type="pct"/>
            <w:tcBorders>
              <w:tl2br w:val="nil"/>
              <w:tr2bl w:val="nil"/>
            </w:tcBorders>
            <w:shd w:val="clear" w:color="auto" w:fill="auto"/>
            <w:noWrap/>
            <w:vAlign w:val="center"/>
          </w:tcPr>
          <w:p w14:paraId="562E1F8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非机动车车位标线</w:t>
            </w:r>
          </w:p>
        </w:tc>
        <w:tc>
          <w:tcPr>
            <w:tcW w:w="3240" w:type="pct"/>
            <w:gridSpan w:val="3"/>
            <w:tcBorders>
              <w:tl2br w:val="nil"/>
              <w:tr2bl w:val="nil"/>
            </w:tcBorders>
            <w:shd w:val="clear" w:color="auto" w:fill="auto"/>
            <w:vAlign w:val="center"/>
          </w:tcPr>
          <w:p w14:paraId="4EC2E37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1、热熔标线涂料，颜色为白色；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2、规格：线宽100mm。</w:t>
            </w:r>
          </w:p>
        </w:tc>
        <w:tc>
          <w:tcPr>
            <w:tcW w:w="387" w:type="pct"/>
            <w:gridSpan w:val="3"/>
            <w:tcBorders>
              <w:tl2br w:val="nil"/>
              <w:tr2bl w:val="nil"/>
            </w:tcBorders>
            <w:shd w:val="clear" w:color="auto" w:fill="auto"/>
            <w:noWrap/>
            <w:vAlign w:val="center"/>
          </w:tcPr>
          <w:p w14:paraId="2482CEC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361" w:type="pct"/>
            <w:tcBorders>
              <w:tl2br w:val="nil"/>
              <w:tr2bl w:val="nil"/>
            </w:tcBorders>
            <w:shd w:val="clear" w:color="auto" w:fill="auto"/>
            <w:noWrap/>
            <w:vAlign w:val="center"/>
          </w:tcPr>
          <w:p w14:paraId="2F7DEF9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r>
      <w:tr w14:paraId="6BBC33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1D078B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09" w:type="pct"/>
            <w:tcBorders>
              <w:tl2br w:val="nil"/>
              <w:tr2bl w:val="nil"/>
            </w:tcBorders>
            <w:shd w:val="clear" w:color="auto" w:fill="auto"/>
            <w:noWrap/>
            <w:vAlign w:val="center"/>
          </w:tcPr>
          <w:p w14:paraId="1043B07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非机动车图案标线</w:t>
            </w:r>
          </w:p>
        </w:tc>
        <w:tc>
          <w:tcPr>
            <w:tcW w:w="3240" w:type="pct"/>
            <w:gridSpan w:val="3"/>
            <w:tcBorders>
              <w:tl2br w:val="nil"/>
              <w:tr2bl w:val="nil"/>
            </w:tcBorders>
            <w:shd w:val="clear" w:color="auto" w:fill="auto"/>
            <w:vAlign w:val="center"/>
          </w:tcPr>
          <w:p w14:paraId="4E307C2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1、自行车标识图，热熔标线涂料，颜色为白色；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2、规格：1500*800mm。</w:t>
            </w:r>
          </w:p>
        </w:tc>
        <w:tc>
          <w:tcPr>
            <w:tcW w:w="387" w:type="pct"/>
            <w:gridSpan w:val="3"/>
            <w:tcBorders>
              <w:tl2br w:val="nil"/>
              <w:tr2bl w:val="nil"/>
            </w:tcBorders>
            <w:shd w:val="clear" w:color="auto" w:fill="auto"/>
            <w:noWrap/>
            <w:vAlign w:val="center"/>
          </w:tcPr>
          <w:p w14:paraId="1F9FAF8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61" w:type="pct"/>
            <w:tcBorders>
              <w:tl2br w:val="nil"/>
              <w:tr2bl w:val="nil"/>
            </w:tcBorders>
            <w:shd w:val="clear" w:color="auto" w:fill="auto"/>
            <w:noWrap/>
            <w:vAlign w:val="center"/>
          </w:tcPr>
          <w:p w14:paraId="1123319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14:paraId="581935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5A28AB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09" w:type="pct"/>
            <w:tcBorders>
              <w:tl2br w:val="nil"/>
              <w:tr2bl w:val="nil"/>
            </w:tcBorders>
            <w:shd w:val="clear" w:color="auto" w:fill="auto"/>
            <w:noWrap/>
            <w:vAlign w:val="center"/>
          </w:tcPr>
          <w:p w14:paraId="17EDFD8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单面指引牌</w:t>
            </w:r>
          </w:p>
        </w:tc>
        <w:tc>
          <w:tcPr>
            <w:tcW w:w="3240" w:type="pct"/>
            <w:gridSpan w:val="3"/>
            <w:tcBorders>
              <w:tl2br w:val="nil"/>
              <w:tr2bl w:val="nil"/>
            </w:tcBorders>
            <w:shd w:val="clear" w:color="auto" w:fill="auto"/>
            <w:vAlign w:val="center"/>
          </w:tcPr>
          <w:p w14:paraId="2923C86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Style w:val="126"/>
                <w:rFonts w:hint="eastAsia" w:ascii="宋体" w:hAnsi="宋体" w:eastAsia="宋体" w:cs="宋体"/>
                <w:color w:val="auto"/>
                <w:sz w:val="21"/>
                <w:szCs w:val="21"/>
                <w:highlight w:val="none"/>
                <w:lang w:val="en-US" w:eastAsia="zh-CN" w:bidi="ar"/>
              </w:rPr>
              <w:t>1、不锈钢烤漆立体牌3000*1000*150mm，</w:t>
            </w:r>
            <w:r>
              <w:rPr>
                <w:rStyle w:val="126"/>
                <w:rFonts w:hint="eastAsia" w:ascii="宋体" w:hAnsi="宋体" w:eastAsia="宋体" w:cs="宋体"/>
                <w:color w:val="auto"/>
                <w:sz w:val="21"/>
                <w:szCs w:val="21"/>
                <w:highlight w:val="none"/>
                <w:lang w:val="en-US" w:eastAsia="zh-CN" w:bidi="ar"/>
              </w:rPr>
              <w:br w:type="textWrapping"/>
            </w:r>
            <w:r>
              <w:rPr>
                <w:rStyle w:val="126"/>
                <w:rFonts w:hint="eastAsia" w:ascii="宋体" w:hAnsi="宋体" w:eastAsia="宋体" w:cs="宋体"/>
                <w:color w:val="auto"/>
                <w:sz w:val="21"/>
                <w:szCs w:val="21"/>
                <w:highlight w:val="none"/>
                <w:lang w:val="en-US" w:eastAsia="zh-CN" w:bidi="ar"/>
              </w:rPr>
              <w:t>2、基础尺寸500*500*500mm，底部铺设钢筋网（</w:t>
            </w:r>
            <w:r>
              <w:rPr>
                <w:rStyle w:val="976"/>
                <w:rFonts w:hint="eastAsia" w:ascii="宋体" w:hAnsi="宋体" w:eastAsia="宋体" w:cs="宋体"/>
                <w:color w:val="auto"/>
                <w:sz w:val="21"/>
                <w:szCs w:val="21"/>
                <w:highlight w:val="none"/>
                <w:lang w:val="en-US" w:eastAsia="zh-CN" w:bidi="ar"/>
              </w:rPr>
              <w:t>Φ</w:t>
            </w:r>
            <w:r>
              <w:rPr>
                <w:rStyle w:val="126"/>
                <w:rFonts w:hint="eastAsia" w:ascii="宋体" w:hAnsi="宋体" w:eastAsia="宋体" w:cs="宋体"/>
                <w:color w:val="auto"/>
                <w:sz w:val="21"/>
                <w:szCs w:val="21"/>
                <w:highlight w:val="none"/>
                <w:lang w:val="en-US" w:eastAsia="zh-CN" w:bidi="ar"/>
              </w:rPr>
              <w:t>10~</w:t>
            </w:r>
            <w:r>
              <w:rPr>
                <w:rStyle w:val="976"/>
                <w:rFonts w:hint="eastAsia" w:ascii="宋体" w:hAnsi="宋体" w:eastAsia="宋体" w:cs="宋体"/>
                <w:color w:val="auto"/>
                <w:sz w:val="21"/>
                <w:szCs w:val="21"/>
                <w:highlight w:val="none"/>
                <w:lang w:val="en-US" w:eastAsia="zh-CN" w:bidi="ar"/>
              </w:rPr>
              <w:t>Φ</w:t>
            </w:r>
            <w:r>
              <w:rPr>
                <w:rStyle w:val="126"/>
                <w:rFonts w:hint="eastAsia" w:ascii="宋体" w:hAnsi="宋体" w:eastAsia="宋体" w:cs="宋体"/>
                <w:color w:val="auto"/>
                <w:sz w:val="21"/>
                <w:szCs w:val="21"/>
                <w:highlight w:val="none"/>
                <w:lang w:val="en-US" w:eastAsia="zh-CN" w:bidi="ar"/>
              </w:rPr>
              <w:t>12 螺纹钢，间距150~200mm），箍筋（</w:t>
            </w:r>
            <w:r>
              <w:rPr>
                <w:rStyle w:val="976"/>
                <w:rFonts w:hint="eastAsia" w:ascii="宋体" w:hAnsi="宋体" w:eastAsia="宋体" w:cs="宋体"/>
                <w:color w:val="auto"/>
                <w:sz w:val="21"/>
                <w:szCs w:val="21"/>
                <w:highlight w:val="none"/>
                <w:lang w:val="en-US" w:eastAsia="zh-CN" w:bidi="ar"/>
              </w:rPr>
              <w:t>Φ</w:t>
            </w:r>
            <w:r>
              <w:rPr>
                <w:rStyle w:val="126"/>
                <w:rFonts w:hint="eastAsia" w:ascii="宋体" w:hAnsi="宋体" w:eastAsia="宋体" w:cs="宋体"/>
                <w:color w:val="auto"/>
                <w:sz w:val="21"/>
                <w:szCs w:val="21"/>
                <w:highlight w:val="none"/>
                <w:lang w:val="en-US" w:eastAsia="zh-CN" w:bidi="ar"/>
              </w:rPr>
              <w:t>6~</w:t>
            </w:r>
            <w:r>
              <w:rPr>
                <w:rStyle w:val="976"/>
                <w:rFonts w:hint="eastAsia" w:ascii="宋体" w:hAnsi="宋体" w:eastAsia="宋体" w:cs="宋体"/>
                <w:color w:val="auto"/>
                <w:sz w:val="21"/>
                <w:szCs w:val="21"/>
                <w:highlight w:val="none"/>
                <w:lang w:val="en-US" w:eastAsia="zh-CN" w:bidi="ar"/>
              </w:rPr>
              <w:t>Φ</w:t>
            </w:r>
            <w:r>
              <w:rPr>
                <w:rStyle w:val="126"/>
                <w:rFonts w:hint="eastAsia" w:ascii="宋体" w:hAnsi="宋体" w:eastAsia="宋体" w:cs="宋体"/>
                <w:color w:val="auto"/>
                <w:sz w:val="21"/>
                <w:szCs w:val="21"/>
                <w:highlight w:val="none"/>
                <w:lang w:val="en-US" w:eastAsia="zh-CN" w:bidi="ar"/>
              </w:rPr>
              <w:t>8 钢筋），C25混凝土</w:t>
            </w:r>
          </w:p>
        </w:tc>
        <w:tc>
          <w:tcPr>
            <w:tcW w:w="387" w:type="pct"/>
            <w:gridSpan w:val="3"/>
            <w:tcBorders>
              <w:tl2br w:val="nil"/>
              <w:tr2bl w:val="nil"/>
            </w:tcBorders>
            <w:shd w:val="clear" w:color="auto" w:fill="auto"/>
            <w:noWrap/>
            <w:vAlign w:val="center"/>
          </w:tcPr>
          <w:p w14:paraId="14E4F3A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1" w:type="pct"/>
            <w:tcBorders>
              <w:tl2br w:val="nil"/>
              <w:tr2bl w:val="nil"/>
            </w:tcBorders>
            <w:shd w:val="clear" w:color="auto" w:fill="auto"/>
            <w:noWrap/>
            <w:vAlign w:val="center"/>
          </w:tcPr>
          <w:p w14:paraId="74030A9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14:paraId="24C9A3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400" w:type="pct"/>
            <w:tcBorders>
              <w:tl2br w:val="nil"/>
              <w:tr2bl w:val="nil"/>
            </w:tcBorders>
            <w:shd w:val="clear" w:color="auto" w:fill="auto"/>
            <w:noWrap/>
            <w:vAlign w:val="center"/>
          </w:tcPr>
          <w:p w14:paraId="2F26D8F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09" w:type="pct"/>
            <w:tcBorders>
              <w:tl2br w:val="nil"/>
              <w:tr2bl w:val="nil"/>
            </w:tcBorders>
            <w:shd w:val="clear" w:color="auto" w:fill="auto"/>
            <w:noWrap/>
            <w:vAlign w:val="center"/>
          </w:tcPr>
          <w:p w14:paraId="120EC59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无框玻璃电动门</w:t>
            </w:r>
          </w:p>
        </w:tc>
        <w:tc>
          <w:tcPr>
            <w:tcW w:w="3240" w:type="pct"/>
            <w:gridSpan w:val="3"/>
            <w:tcBorders>
              <w:tl2br w:val="nil"/>
              <w:tr2bl w:val="nil"/>
            </w:tcBorders>
            <w:shd w:val="clear" w:color="auto" w:fill="auto"/>
            <w:vAlign w:val="center"/>
          </w:tcPr>
          <w:p w14:paraId="698498A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1、门洞尺寸</w:t>
            </w:r>
            <w:r>
              <w:rPr>
                <w:rFonts w:hint="eastAsia" w:ascii="宋体" w:hAnsi="宋体" w:cs="宋体"/>
                <w:i w:val="0"/>
                <w:iCs w:val="0"/>
                <w:color w:val="auto"/>
                <w:kern w:val="0"/>
                <w:sz w:val="21"/>
                <w:szCs w:val="21"/>
                <w:highlight w:val="none"/>
                <w:u w:val="none"/>
                <w:lang w:val="en-US" w:eastAsia="zh-CN" w:bidi="ar"/>
              </w:rPr>
              <w:t>：3840</w:t>
            </w:r>
            <w:r>
              <w:rPr>
                <w:rFonts w:hint="eastAsia" w:ascii="宋体" w:hAnsi="宋体" w:eastAsia="宋体" w:cs="宋体"/>
                <w:i w:val="0"/>
                <w:iCs w:val="0"/>
                <w:color w:val="auto"/>
                <w:kern w:val="0"/>
                <w:sz w:val="21"/>
                <w:szCs w:val="21"/>
                <w:highlight w:val="none"/>
                <w:u w:val="none"/>
                <w:lang w:val="en-US" w:eastAsia="zh-CN" w:bidi="ar"/>
              </w:rPr>
              <w:t>*28</w:t>
            </w:r>
            <w:r>
              <w:rPr>
                <w:rFonts w:hint="eastAsia" w:ascii="宋体" w:hAnsi="宋体" w:cs="宋体"/>
                <w:i w:val="0"/>
                <w:iCs w:val="0"/>
                <w:color w:val="auto"/>
                <w:kern w:val="0"/>
                <w:sz w:val="21"/>
                <w:szCs w:val="21"/>
                <w:highlight w:val="none"/>
                <w:u w:val="none"/>
                <w:lang w:val="en-US" w:eastAsia="zh-CN" w:bidi="ar"/>
              </w:rPr>
              <w:t>40</w:t>
            </w:r>
            <w:r>
              <w:rPr>
                <w:rFonts w:hint="eastAsia" w:ascii="宋体" w:hAnsi="宋体" w:eastAsia="宋体" w:cs="宋体"/>
                <w:i w:val="0"/>
                <w:iCs w:val="0"/>
                <w:color w:val="auto"/>
                <w:kern w:val="0"/>
                <w:sz w:val="21"/>
                <w:szCs w:val="21"/>
                <w:highlight w:val="none"/>
                <w:u w:val="none"/>
                <w:lang w:val="en-US" w:eastAsia="zh-CN" w:bidi="ar"/>
              </w:rPr>
              <w:t>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2、双开式电动平移门，可通过红外感应、刷卡、手动按钮等方式控制，支持双向通行，紧急情况下可手动推开。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3、玻璃采用12mm厚钢化安全玻璃，钢化玻璃。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4、电源电压：AC220V,50HZ,电机采用直流无刷电机，功率65W，遇阻反弹功能（防夹人设计）。</w:t>
            </w:r>
          </w:p>
        </w:tc>
        <w:tc>
          <w:tcPr>
            <w:tcW w:w="387" w:type="pct"/>
            <w:gridSpan w:val="3"/>
            <w:tcBorders>
              <w:tl2br w:val="nil"/>
              <w:tr2bl w:val="nil"/>
            </w:tcBorders>
            <w:shd w:val="clear" w:color="auto" w:fill="auto"/>
            <w:noWrap/>
            <w:vAlign w:val="center"/>
          </w:tcPr>
          <w:p w14:paraId="3A51026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10.9</w:t>
            </w:r>
          </w:p>
        </w:tc>
        <w:tc>
          <w:tcPr>
            <w:tcW w:w="361" w:type="pct"/>
            <w:tcBorders>
              <w:tl2br w:val="nil"/>
              <w:tr2bl w:val="nil"/>
            </w:tcBorders>
            <w:shd w:val="clear" w:color="auto" w:fill="auto"/>
            <w:noWrap/>
            <w:vAlign w:val="center"/>
          </w:tcPr>
          <w:p w14:paraId="4C918B8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bl>
    <w:p w14:paraId="4B487E66">
      <w:pPr>
        <w:pStyle w:val="135"/>
        <w:keepNext w:val="0"/>
        <w:keepLines w:val="0"/>
        <w:pageBreakBefore w:val="0"/>
        <w:widowControl w:val="0"/>
        <w:kinsoku/>
        <w:wordWrap w:val="0"/>
        <w:overflowPunct/>
        <w:topLinePunct w:val="0"/>
        <w:autoSpaceDE/>
        <w:autoSpaceDN w:val="0"/>
        <w:bidi w:val="0"/>
        <w:adjustRightInd w:val="0"/>
        <w:snapToGrid w:val="0"/>
        <w:spacing w:before="313" w:beforeLines="100" w:after="0" w:line="360" w:lineRule="auto"/>
        <w:ind w:left="0" w:leftChars="0" w:firstLine="0" w:firstLineChars="0"/>
        <w:jc w:val="both"/>
        <w:textAlignment w:val="auto"/>
        <w:rPr>
          <w:rFonts w:hint="default"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三、项目实施要求</w:t>
      </w:r>
    </w:p>
    <w:p w14:paraId="0B009F33">
      <w:pPr>
        <w:pStyle w:val="85"/>
        <w:keepNext w:val="0"/>
        <w:keepLines w:val="0"/>
        <w:pageBreakBefore w:val="0"/>
        <w:widowControl w:val="0"/>
        <w:kinsoku/>
        <w:wordWrap w:val="0"/>
        <w:overflowPunct/>
        <w:topLinePunct w:val="0"/>
        <w:autoSpaceDE/>
        <w:autoSpaceDN/>
        <w:bidi w:val="0"/>
        <w:adjustRightInd/>
        <w:snapToGrid/>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投标供应商应根据本项目的实施内容编制项目总体方案、设计方案、组织实施方案以及</w:t>
      </w:r>
      <w:r>
        <w:rPr>
          <w:rFonts w:hint="eastAsia" w:ascii="宋体" w:hAnsi="宋体" w:eastAsia="宋体" w:cs="宋体"/>
          <w:color w:val="auto"/>
          <w:sz w:val="21"/>
          <w:szCs w:val="21"/>
          <w:highlight w:val="none"/>
          <w:lang w:val="en-US" w:eastAsia="zh-CN"/>
        </w:rPr>
        <w:t>重大活动保障方案</w:t>
      </w:r>
      <w:r>
        <w:rPr>
          <w:rFonts w:hint="eastAsia" w:ascii="宋体" w:hAnsi="宋体" w:cs="宋体"/>
          <w:color w:val="auto"/>
          <w:sz w:val="21"/>
          <w:szCs w:val="21"/>
          <w:highlight w:val="none"/>
          <w:lang w:val="en-US" w:eastAsia="zh-CN"/>
        </w:rPr>
        <w:t>等，并确保</w:t>
      </w:r>
      <w:r>
        <w:rPr>
          <w:rFonts w:hint="eastAsia" w:ascii="宋体" w:hAnsi="宋体" w:eastAsia="宋体" w:cs="宋体"/>
          <w:color w:val="auto"/>
          <w:sz w:val="21"/>
          <w:szCs w:val="21"/>
          <w:highlight w:val="none"/>
        </w:rPr>
        <w:t>提供足够的项目实施人员到进行产品的安装、调试等运维服务</w:t>
      </w:r>
      <w:r>
        <w:rPr>
          <w:rFonts w:hint="eastAsia" w:ascii="宋体" w:hAnsi="宋体" w:cs="宋体"/>
          <w:color w:val="auto"/>
          <w:sz w:val="21"/>
          <w:szCs w:val="21"/>
          <w:highlight w:val="none"/>
          <w:lang w:val="en-US" w:eastAsia="zh-CN"/>
        </w:rPr>
        <w:t>以及相关工程的实施</w:t>
      </w:r>
      <w:r>
        <w:rPr>
          <w:rFonts w:hint="eastAsia" w:ascii="宋体" w:hAnsi="宋体" w:eastAsia="宋体" w:cs="宋体"/>
          <w:color w:val="auto"/>
          <w:sz w:val="21"/>
          <w:szCs w:val="21"/>
          <w:highlight w:val="none"/>
        </w:rPr>
        <w:t>。</w:t>
      </w:r>
    </w:p>
    <w:p w14:paraId="60C46369">
      <w:pPr>
        <w:pStyle w:val="135"/>
        <w:keepNext w:val="0"/>
        <w:keepLines w:val="0"/>
        <w:pageBreakBefore w:val="0"/>
        <w:widowControl w:val="0"/>
        <w:kinsoku/>
        <w:wordWrap w:val="0"/>
        <w:overflowPunct/>
        <w:topLinePunct w:val="0"/>
        <w:autoSpaceDE/>
        <w:autoSpaceDN w:val="0"/>
        <w:bidi w:val="0"/>
        <w:adjustRightInd w:val="0"/>
        <w:snapToGrid w:val="0"/>
        <w:spacing w:before="0" w:after="0" w:line="360" w:lineRule="auto"/>
        <w:ind w:left="0" w:leftChars="0" w:firstLine="0" w:firstLineChars="0"/>
        <w:jc w:val="both"/>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四</w:t>
      </w:r>
      <w:r>
        <w:rPr>
          <w:rFonts w:hint="eastAsia" w:ascii="宋体" w:hAnsi="宋体" w:eastAsia="宋体" w:cs="宋体"/>
          <w:b/>
          <w:bCs/>
          <w:color w:val="auto"/>
          <w:sz w:val="21"/>
          <w:szCs w:val="21"/>
          <w:highlight w:val="none"/>
          <w:u w:val="none"/>
          <w:lang w:val="en-US" w:eastAsia="zh-CN"/>
        </w:rPr>
        <w:t>、商务条款</w:t>
      </w:r>
    </w:p>
    <w:tbl>
      <w:tblPr>
        <w:tblStyle w:val="6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7697"/>
      </w:tblGrid>
      <w:tr w14:paraId="7805B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31" w:type="dxa"/>
            <w:tcBorders>
              <w:tl2br w:val="nil"/>
              <w:tr2bl w:val="nil"/>
            </w:tcBorders>
            <w:noWrap w:val="0"/>
            <w:vAlign w:val="center"/>
          </w:tcPr>
          <w:p w14:paraId="7FE40E47">
            <w:pPr>
              <w:snapToGrid w:val="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质保期</w:t>
            </w:r>
          </w:p>
        </w:tc>
        <w:tc>
          <w:tcPr>
            <w:tcW w:w="7697" w:type="dxa"/>
            <w:tcBorders>
              <w:tl2br w:val="nil"/>
              <w:tr2bl w:val="nil"/>
            </w:tcBorders>
            <w:noWrap w:val="0"/>
            <w:vAlign w:val="center"/>
          </w:tcPr>
          <w:p w14:paraId="1E5513A2">
            <w:pPr>
              <w:pStyle w:val="33"/>
              <w:keepNext w:val="0"/>
              <w:keepLines w:val="0"/>
              <w:pageBreakBefore w:val="0"/>
              <w:widowControl w:val="0"/>
              <w:kinsoku/>
              <w:wordWrap w:val="0"/>
              <w:overflowPunct/>
              <w:topLinePunct w:val="0"/>
              <w:autoSpaceDE/>
              <w:autoSpaceDN w:val="0"/>
              <w:bidi w:val="0"/>
              <w:adjustRightInd w:val="0"/>
              <w:snapToGrid/>
              <w:spacing w:line="360" w:lineRule="exact"/>
              <w:ind w:left="0" w:leftChars="0" w:firstLine="0" w:firstLine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1.所有设备</w:t>
            </w:r>
            <w:r>
              <w:rPr>
                <w:rFonts w:hint="eastAsia" w:ascii="宋体" w:hAnsi="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rPr>
              <w:t>年质保，</w:t>
            </w:r>
            <w:r>
              <w:rPr>
                <w:rFonts w:hint="eastAsia" w:ascii="宋体" w:hAnsi="宋体" w:cs="宋体"/>
                <w:color w:val="auto"/>
                <w:kern w:val="2"/>
                <w:sz w:val="21"/>
                <w:szCs w:val="21"/>
                <w:highlight w:val="none"/>
                <w:lang w:val="en-US" w:eastAsia="zh-CN"/>
              </w:rPr>
              <w:t>室外工程一年质保。质保期</w:t>
            </w:r>
            <w:r>
              <w:rPr>
                <w:rFonts w:hint="eastAsia" w:ascii="宋体" w:hAnsi="宋体" w:eastAsia="宋体" w:cs="宋体"/>
                <w:color w:val="auto"/>
                <w:kern w:val="2"/>
                <w:sz w:val="21"/>
                <w:szCs w:val="21"/>
                <w:highlight w:val="none"/>
              </w:rPr>
              <w:t>内免费上门服务，质保期内免费维修</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不能维修的予以调换（质保期自验收合格之日起算，质保期内软件免费升级）。</w:t>
            </w:r>
          </w:p>
          <w:p w14:paraId="76767469">
            <w:pPr>
              <w:pStyle w:val="33"/>
              <w:keepNext w:val="0"/>
              <w:keepLines w:val="0"/>
              <w:pageBreakBefore w:val="0"/>
              <w:widowControl w:val="0"/>
              <w:kinsoku/>
              <w:wordWrap w:val="0"/>
              <w:overflowPunct/>
              <w:topLinePunct w:val="0"/>
              <w:autoSpaceDE/>
              <w:autoSpaceDN w:val="0"/>
              <w:bidi w:val="0"/>
              <w:adjustRightInd w:val="0"/>
              <w:snapToGrid/>
              <w:spacing w:line="360" w:lineRule="exact"/>
              <w:ind w:left="0" w:leftChars="0" w:firstLine="0" w:firstLineChars="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核心产品</w:t>
            </w:r>
            <w:r>
              <w:rPr>
                <w:rFonts w:hint="eastAsia" w:ascii="宋体" w:hAnsi="宋体" w:eastAsia="宋体" w:cs="宋体"/>
                <w:color w:val="auto"/>
                <w:kern w:val="2"/>
                <w:sz w:val="21"/>
                <w:szCs w:val="21"/>
                <w:highlight w:val="none"/>
              </w:rPr>
              <w:t>验收时提供原厂商</w:t>
            </w:r>
            <w:r>
              <w:rPr>
                <w:rFonts w:hint="eastAsia" w:ascii="宋体" w:hAnsi="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rPr>
              <w:t>年质保函原件。</w:t>
            </w:r>
          </w:p>
        </w:tc>
      </w:tr>
      <w:tr w14:paraId="7F5FF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31" w:type="dxa"/>
            <w:tcBorders>
              <w:tl2br w:val="nil"/>
              <w:tr2bl w:val="nil"/>
            </w:tcBorders>
            <w:noWrap w:val="0"/>
            <w:vAlign w:val="center"/>
          </w:tcPr>
          <w:p w14:paraId="1270877E">
            <w:pPr>
              <w:snapToGrid w:val="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实施要求</w:t>
            </w:r>
          </w:p>
        </w:tc>
        <w:tc>
          <w:tcPr>
            <w:tcW w:w="7697" w:type="dxa"/>
            <w:tcBorders>
              <w:tl2br w:val="nil"/>
              <w:tr2bl w:val="nil"/>
            </w:tcBorders>
            <w:noWrap w:val="0"/>
            <w:vAlign w:val="center"/>
          </w:tcPr>
          <w:p w14:paraId="591A0A3B">
            <w:pPr>
              <w:pStyle w:val="33"/>
              <w:keepNext w:val="0"/>
              <w:keepLines w:val="0"/>
              <w:pageBreakBefore w:val="0"/>
              <w:widowControl w:val="0"/>
              <w:kinsoku/>
              <w:wordWrap w:val="0"/>
              <w:overflowPunct/>
              <w:topLinePunct w:val="0"/>
              <w:autoSpaceDE/>
              <w:autoSpaceDN w:val="0"/>
              <w:bidi w:val="0"/>
              <w:adjustRightInd w:val="0"/>
              <w:snapToGrid/>
              <w:spacing w:line="360" w:lineRule="exact"/>
              <w:ind w:left="0" w:leftChars="0"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1.合同履行期中标供应商须派驻项目团队承担</w:t>
            </w:r>
            <w:r>
              <w:rPr>
                <w:rFonts w:hint="eastAsia" w:ascii="宋体" w:hAnsi="宋体" w:cs="宋体"/>
                <w:color w:val="auto"/>
                <w:kern w:val="2"/>
                <w:sz w:val="21"/>
                <w:szCs w:val="21"/>
                <w:highlight w:val="none"/>
                <w:lang w:val="en-US" w:eastAsia="zh-CN"/>
              </w:rPr>
              <w:t>施工、</w:t>
            </w:r>
            <w:r>
              <w:rPr>
                <w:rFonts w:hint="eastAsia" w:ascii="宋体" w:hAnsi="宋体" w:eastAsia="宋体" w:cs="宋体"/>
                <w:color w:val="auto"/>
                <w:kern w:val="2"/>
                <w:sz w:val="21"/>
                <w:szCs w:val="21"/>
                <w:highlight w:val="none"/>
              </w:rPr>
              <w:t>交货、安装、调试、验收、维保</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质保</w:t>
            </w:r>
            <w:r>
              <w:rPr>
                <w:rFonts w:hint="eastAsia" w:ascii="宋体" w:hAnsi="宋体" w:eastAsia="宋体" w:cs="宋体"/>
                <w:color w:val="auto"/>
                <w:kern w:val="2"/>
                <w:sz w:val="21"/>
                <w:szCs w:val="21"/>
                <w:highlight w:val="none"/>
              </w:rPr>
              <w:t>等统筹协调任务。</w:t>
            </w:r>
          </w:p>
          <w:p w14:paraId="223B8C53">
            <w:pPr>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2.交付验收同时，中标供应商须向采购人提供完整的文档资料、图集、部署手册、操作手册等（包括电子版）、质保函等各类验收所需要材料。</w:t>
            </w:r>
          </w:p>
        </w:tc>
      </w:tr>
      <w:tr w14:paraId="2C436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31" w:type="dxa"/>
            <w:tcBorders>
              <w:tl2br w:val="nil"/>
              <w:tr2bl w:val="nil"/>
            </w:tcBorders>
            <w:noWrap w:val="0"/>
            <w:vAlign w:val="center"/>
          </w:tcPr>
          <w:p w14:paraId="2B424D2E">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交货地点、交货时间、安装调试期及验收</w:t>
            </w:r>
          </w:p>
        </w:tc>
        <w:tc>
          <w:tcPr>
            <w:tcW w:w="7697" w:type="dxa"/>
            <w:tcBorders>
              <w:tl2br w:val="nil"/>
              <w:tr2bl w:val="nil"/>
            </w:tcBorders>
            <w:noWrap w:val="0"/>
            <w:vAlign w:val="center"/>
          </w:tcPr>
          <w:p w14:paraId="7391CCDE">
            <w:pPr>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1.签订合同后40个日历天内完成。</w:t>
            </w:r>
          </w:p>
          <w:p w14:paraId="1EABE62C">
            <w:pPr>
              <w:pStyle w:val="239"/>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2.交货地点：</w:t>
            </w:r>
            <w:r>
              <w:rPr>
                <w:rFonts w:hint="eastAsia" w:ascii="宋体" w:hAnsi="宋体" w:eastAsia="宋体" w:cs="宋体"/>
                <w:color w:val="auto"/>
                <w:kern w:val="2"/>
                <w:sz w:val="21"/>
                <w:szCs w:val="21"/>
                <w:highlight w:val="none"/>
                <w:u w:val="single"/>
                <w:lang w:val="en-US" w:eastAsia="zh-CN"/>
              </w:rPr>
              <w:t>采购人指定地点。</w:t>
            </w:r>
          </w:p>
          <w:p w14:paraId="13DDB5B0">
            <w:pPr>
              <w:pStyle w:val="239"/>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3.中标供应商在设备安装完毕后</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工程施工结束后</w:t>
            </w:r>
            <w:r>
              <w:rPr>
                <w:rFonts w:hint="eastAsia" w:ascii="宋体" w:hAnsi="宋体" w:eastAsia="宋体" w:cs="宋体"/>
                <w:color w:val="auto"/>
                <w:kern w:val="2"/>
                <w:sz w:val="21"/>
                <w:szCs w:val="21"/>
                <w:highlight w:val="none"/>
              </w:rPr>
              <w:t>必须对现场进行卫生清理、破损修补，因处理不当导致现场其他设备损坏的须进行相应赔偿。</w:t>
            </w:r>
          </w:p>
        </w:tc>
      </w:tr>
      <w:tr w14:paraId="2D240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31" w:type="dxa"/>
            <w:tcBorders>
              <w:tl2br w:val="nil"/>
              <w:tr2bl w:val="nil"/>
            </w:tcBorders>
            <w:noWrap w:val="0"/>
            <w:vAlign w:val="center"/>
          </w:tcPr>
          <w:p w14:paraId="37DD310A">
            <w:pPr>
              <w:keepNext w:val="0"/>
              <w:keepLines w:val="0"/>
              <w:pageBreakBefore w:val="0"/>
              <w:widowControl w:val="0"/>
              <w:kinsoku/>
              <w:overflowPunct/>
              <w:topLinePunct w:val="0"/>
              <w:autoSpaceDE/>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7697" w:type="dxa"/>
            <w:tcBorders>
              <w:tl2br w:val="nil"/>
              <w:tr2bl w:val="nil"/>
            </w:tcBorders>
            <w:noWrap w:val="0"/>
            <w:vAlign w:val="center"/>
          </w:tcPr>
          <w:p w14:paraId="1873E4EF">
            <w:pPr>
              <w:keepNext w:val="0"/>
              <w:keepLines w:val="0"/>
              <w:pageBreakBefore w:val="0"/>
              <w:widowControl w:val="0"/>
              <w:kinsoku/>
              <w:wordWrap w:val="0"/>
              <w:overflowPunct/>
              <w:topLinePunct w:val="0"/>
              <w:autoSpaceDE/>
              <w:autoSpaceDN w:val="0"/>
              <w:bidi w:val="0"/>
              <w:adjustRightInd w:val="0"/>
              <w:snapToGrid/>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采购人接到验收申请5个工作日内按规定组织验收。</w:t>
            </w:r>
          </w:p>
        </w:tc>
      </w:tr>
      <w:tr w14:paraId="75C3F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31" w:type="dxa"/>
            <w:tcBorders>
              <w:tl2br w:val="nil"/>
              <w:tr2bl w:val="nil"/>
            </w:tcBorders>
            <w:noWrap w:val="0"/>
            <w:vAlign w:val="center"/>
          </w:tcPr>
          <w:p w14:paraId="705E9B01">
            <w:pPr>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售后要求</w:t>
            </w:r>
          </w:p>
        </w:tc>
        <w:tc>
          <w:tcPr>
            <w:tcW w:w="7697" w:type="dxa"/>
            <w:tcBorders>
              <w:tl2br w:val="nil"/>
              <w:tr2bl w:val="nil"/>
            </w:tcBorders>
            <w:noWrap w:val="0"/>
            <w:vAlign w:val="center"/>
          </w:tcPr>
          <w:p w14:paraId="4E3ECCAA">
            <w:pPr>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1.具有较强的服务能力，设有响应货物的售后技术服务机构，配有较强的技术队伍，能提供快速的售后服务响应。</w:t>
            </w:r>
          </w:p>
          <w:p w14:paraId="535953D3">
            <w:pPr>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承诺的质保期内，如产品发现质量问题或因产品质量不良造成的损坏，中标人应负责免费上门服务，货物免费维修，不能维修的予以更换。质保期外，实行终身维修，只收取维修成本费，并保证零配件的供应。</w:t>
            </w:r>
          </w:p>
          <w:p w14:paraId="0014F17B">
            <w:pPr>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3.中标人必须有可靠的售后服务保障，当发生故障时，中标人必须在2小时内响应，4小时内到达采购人指定地点，一般维修应在8小时内完毕，48小时未能修复的提供备品备件。</w:t>
            </w:r>
          </w:p>
        </w:tc>
      </w:tr>
      <w:tr w14:paraId="78693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31" w:type="dxa"/>
            <w:tcBorders>
              <w:tl2br w:val="nil"/>
              <w:tr2bl w:val="nil"/>
            </w:tcBorders>
            <w:noWrap w:val="0"/>
            <w:vAlign w:val="center"/>
          </w:tcPr>
          <w:p w14:paraId="4364DB19">
            <w:pPr>
              <w:spacing w:before="120" w:beforeLines="5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报价要求</w:t>
            </w:r>
          </w:p>
        </w:tc>
        <w:tc>
          <w:tcPr>
            <w:tcW w:w="7697" w:type="dxa"/>
            <w:tcBorders>
              <w:tl2br w:val="nil"/>
              <w:tr2bl w:val="nil"/>
            </w:tcBorders>
            <w:noWrap w:val="0"/>
            <w:vAlign w:val="center"/>
          </w:tcPr>
          <w:p w14:paraId="1C8B9D91">
            <w:pPr>
              <w:pStyle w:val="239"/>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包含项目实施所需的一切设备、材料费、安装调试、人工、保险、税金、测试、运输包装等一切相关费用，采购人不承担由于本项目实施而产生的任何费用。</w:t>
            </w:r>
          </w:p>
        </w:tc>
      </w:tr>
      <w:tr w14:paraId="77551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31" w:type="dxa"/>
            <w:tcBorders>
              <w:tl2br w:val="nil"/>
              <w:tr2bl w:val="nil"/>
            </w:tcBorders>
            <w:noWrap w:val="0"/>
            <w:vAlign w:val="center"/>
          </w:tcPr>
          <w:p w14:paraId="1BBC16AE">
            <w:pPr>
              <w:keepNext w:val="0"/>
              <w:keepLines w:val="0"/>
              <w:pageBreakBefore w:val="0"/>
              <w:widowControl w:val="0"/>
              <w:kinsoku/>
              <w:overflowPunct/>
              <w:topLinePunct w:val="0"/>
              <w:autoSpaceDE/>
              <w:bidi w:val="0"/>
              <w:adjustRightInd w:val="0"/>
              <w:snapToGrid/>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结算方式</w:t>
            </w:r>
          </w:p>
        </w:tc>
        <w:tc>
          <w:tcPr>
            <w:tcW w:w="7697" w:type="dxa"/>
            <w:tcBorders>
              <w:tl2br w:val="nil"/>
              <w:tr2bl w:val="nil"/>
            </w:tcBorders>
            <w:noWrap w:val="0"/>
            <w:vAlign w:val="center"/>
          </w:tcPr>
          <w:p w14:paraId="3BB8E484">
            <w:pPr>
              <w:pStyle w:val="239"/>
              <w:keepNext w:val="0"/>
              <w:keepLines w:val="0"/>
              <w:pageBreakBefore w:val="0"/>
              <w:widowControl w:val="0"/>
              <w:kinsoku/>
              <w:wordWrap w:val="0"/>
              <w:overflowPunct/>
              <w:topLinePunct w:val="0"/>
              <w:autoSpaceDE/>
              <w:autoSpaceDN w:val="0"/>
              <w:bidi w:val="0"/>
              <w:adjustRightInd w:val="0"/>
              <w:snapToGrid/>
              <w:spacing w:line="240" w:lineRule="auto"/>
              <w:ind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结算时按实际完成工程量按实结算，单价不作调整。</w:t>
            </w:r>
          </w:p>
        </w:tc>
      </w:tr>
      <w:tr w14:paraId="58561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31" w:type="dxa"/>
            <w:tcBorders>
              <w:tl2br w:val="nil"/>
              <w:tr2bl w:val="nil"/>
            </w:tcBorders>
            <w:noWrap w:val="0"/>
            <w:vAlign w:val="center"/>
          </w:tcPr>
          <w:p w14:paraId="0D21F68E">
            <w:pPr>
              <w:spacing w:before="120" w:beforeLines="5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付款条件及合同支付</w:t>
            </w:r>
          </w:p>
        </w:tc>
        <w:tc>
          <w:tcPr>
            <w:tcW w:w="7697" w:type="dxa"/>
            <w:tcBorders>
              <w:tl2br w:val="nil"/>
              <w:tr2bl w:val="nil"/>
            </w:tcBorders>
            <w:noWrap w:val="0"/>
            <w:vAlign w:val="center"/>
          </w:tcPr>
          <w:p w14:paraId="741DD11C">
            <w:pPr>
              <w:pStyle w:val="239"/>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.合同签订后七个工作日内，向中标供应商支付合同金额40%预付款；</w:t>
            </w:r>
          </w:p>
          <w:p w14:paraId="27234502">
            <w:pPr>
              <w:pStyle w:val="239"/>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项目完成</w:t>
            </w:r>
            <w:r>
              <w:rPr>
                <w:rFonts w:hint="eastAsia" w:ascii="宋体" w:hAnsi="宋体" w:eastAsia="宋体" w:cs="宋体"/>
                <w:color w:val="auto"/>
                <w:sz w:val="21"/>
                <w:szCs w:val="21"/>
                <w:highlight w:val="none"/>
              </w:rPr>
              <w:t>验收合格且收到发票后</w:t>
            </w:r>
            <w:r>
              <w:rPr>
                <w:rFonts w:hint="eastAsia" w:ascii="宋体" w:hAnsi="宋体" w:eastAsia="宋体" w:cs="宋体"/>
                <w:color w:val="auto"/>
                <w:kern w:val="2"/>
                <w:sz w:val="21"/>
                <w:szCs w:val="21"/>
                <w:highlight w:val="none"/>
              </w:rPr>
              <w:t>七个工作日</w:t>
            </w:r>
            <w:r>
              <w:rPr>
                <w:rFonts w:hint="eastAsia" w:ascii="宋体" w:hAnsi="宋体" w:eastAsia="宋体" w:cs="宋体"/>
                <w:color w:val="auto"/>
                <w:sz w:val="21"/>
                <w:szCs w:val="21"/>
                <w:highlight w:val="none"/>
              </w:rPr>
              <w:t>，支付至合同价的</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p>
          <w:p w14:paraId="6E75176E">
            <w:pPr>
              <w:pStyle w:val="239"/>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3.项目结算审计完成后付至结算审定价的100%。</w:t>
            </w:r>
          </w:p>
        </w:tc>
      </w:tr>
      <w:tr w14:paraId="74437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31" w:type="dxa"/>
            <w:tcBorders>
              <w:tl2br w:val="nil"/>
              <w:tr2bl w:val="nil"/>
            </w:tcBorders>
            <w:noWrap w:val="0"/>
            <w:vAlign w:val="center"/>
          </w:tcPr>
          <w:p w14:paraId="235CD263">
            <w:pPr>
              <w:pageBreakBefore w:val="0"/>
              <w:widowControl w:val="0"/>
              <w:kinsoku/>
              <w:overflowPunct/>
              <w:topLinePunct w:val="0"/>
              <w:autoSpaceDE/>
              <w:bidi w:val="0"/>
              <w:adjustRightInd w:val="0"/>
              <w:snapToGrid/>
              <w:spacing w:before="0" w:after="0" w:line="240" w:lineRule="auto"/>
              <w:ind w:left="0" w:firstLine="0" w:firstLineChars="0"/>
              <w:jc w:val="center"/>
              <w:textAlignment w:val="auto"/>
              <w:outlineLvl w:val="9"/>
              <w:rPr>
                <w:rFonts w:hint="eastAsia" w:ascii="宋体" w:hAnsi="宋体" w:eastAsia="宋体" w:cs="宋体"/>
                <w:b w:val="0"/>
                <w:color w:val="auto"/>
                <w:kern w:val="2"/>
                <w:sz w:val="21"/>
                <w:szCs w:val="21"/>
                <w:highlight w:val="none"/>
              </w:rPr>
            </w:pPr>
            <w:bookmarkStart w:id="27" w:name="_Toc1565"/>
            <w:r>
              <w:rPr>
                <w:rFonts w:hint="eastAsia" w:ascii="宋体" w:hAnsi="宋体" w:eastAsia="宋体" w:cs="宋体"/>
                <w:b w:val="0"/>
                <w:color w:val="auto"/>
                <w:kern w:val="2"/>
                <w:sz w:val="21"/>
                <w:szCs w:val="21"/>
                <w:highlight w:val="none"/>
              </w:rPr>
              <w:t>责任认定</w:t>
            </w:r>
            <w:bookmarkEnd w:id="27"/>
          </w:p>
        </w:tc>
        <w:tc>
          <w:tcPr>
            <w:tcW w:w="7697" w:type="dxa"/>
            <w:tcBorders>
              <w:tl2br w:val="nil"/>
              <w:tr2bl w:val="nil"/>
            </w:tcBorders>
            <w:noWrap w:val="0"/>
            <w:vAlign w:val="center"/>
          </w:tcPr>
          <w:p w14:paraId="24EE7B53">
            <w:pPr>
              <w:pStyle w:val="239"/>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在质保期内，因中标人的原因，未能完全履行服务承诺，采购人有权追究中标人的责任。</w:t>
            </w:r>
          </w:p>
        </w:tc>
      </w:tr>
      <w:tr w14:paraId="053C0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1" w:type="dxa"/>
            <w:tcBorders>
              <w:tl2br w:val="nil"/>
              <w:tr2bl w:val="nil"/>
            </w:tcBorders>
            <w:noWrap w:val="0"/>
            <w:vAlign w:val="center"/>
          </w:tcPr>
          <w:p w14:paraId="63B4F7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特殊条款</w:t>
            </w:r>
          </w:p>
        </w:tc>
        <w:tc>
          <w:tcPr>
            <w:tcW w:w="7697" w:type="dxa"/>
            <w:tcBorders>
              <w:tl2br w:val="nil"/>
              <w:tr2bl w:val="nil"/>
            </w:tcBorders>
            <w:noWrap w:val="0"/>
            <w:vAlign w:val="center"/>
          </w:tcPr>
          <w:p w14:paraId="2FDC7B58">
            <w:pPr>
              <w:keepNext w:val="0"/>
              <w:keepLines w:val="0"/>
              <w:pageBreakBefore w:val="0"/>
              <w:widowControl w:val="0"/>
              <w:kinsoku/>
              <w:wordWrap w:val="0"/>
              <w:overflowPunct/>
              <w:topLinePunct w:val="0"/>
              <w:autoSpaceDE/>
              <w:autoSpaceDN w:val="0"/>
              <w:bidi w:val="0"/>
              <w:adjustRightInd w:val="0"/>
              <w:snapToGrid/>
              <w:spacing w:line="36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中的技术要求（规格）均为原则性要求，并不是详尽的要求，供应商有责任对投标文件中提出的技术规范、行业国家标准负责。中标人对投标内容所涉及的专利承担责任，并负责保护采购人的利益不受任何损害。一切由于文字、商标、技术等专利引起的法律裁决、诉讼和费用均与采购人无关。</w:t>
            </w:r>
          </w:p>
        </w:tc>
      </w:tr>
    </w:tbl>
    <w:p w14:paraId="3B5A98F2">
      <w:pPr>
        <w:pStyle w:val="85"/>
        <w:wordWrap w:val="0"/>
        <w:ind w:left="0" w:leftChars="0" w:firstLine="0" w:firstLineChars="0"/>
        <w:jc w:val="center"/>
        <w:rPr>
          <w:rFonts w:hint="eastAsia" w:ascii="宋体" w:hAnsi="宋体" w:eastAsia="宋体" w:cs="宋体"/>
          <w:b/>
          <w:color w:val="auto"/>
          <w:highlight w:val="none"/>
        </w:rPr>
        <w:sectPr>
          <w:headerReference r:id="rId9" w:type="first"/>
          <w:footerReference r:id="rId11" w:type="first"/>
          <w:headerReference r:id="rId8" w:type="default"/>
          <w:footerReference r:id="rId10" w:type="default"/>
          <w:pgSz w:w="11905" w:h="16838"/>
          <w:pgMar w:top="1440" w:right="1080" w:bottom="1440" w:left="1080" w:header="851" w:footer="992" w:gutter="283"/>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b/>
          <w:color w:val="auto"/>
          <w:highlight w:val="none"/>
        </w:rPr>
        <w:br w:type="page"/>
      </w:r>
    </w:p>
    <w:p w14:paraId="0E2B173C">
      <w:pPr>
        <w:pStyle w:val="85"/>
        <w:keepNext w:val="0"/>
        <w:keepLines w:val="0"/>
        <w:pageBreakBefore w:val="0"/>
        <w:widowControl w:val="0"/>
        <w:kinsoku/>
        <w:wordWrap w:val="0"/>
        <w:overflowPunct/>
        <w:topLinePunct w:val="0"/>
        <w:autoSpaceDE/>
        <w:autoSpaceDN/>
        <w:bidi w:val="0"/>
        <w:spacing w:before="0" w:beforeLines="100" w:after="0" w:afterLines="100" w:line="240" w:lineRule="auto"/>
        <w:ind w:left="0" w:leftChars="0" w:firstLine="0" w:firstLine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w:t>
      </w:r>
      <w:bookmarkStart w:id="28" w:name="_Toc184308044"/>
      <w:bookmarkEnd w:id="28"/>
      <w:bookmarkStart w:id="29" w:name="_Toc184308072"/>
      <w:bookmarkEnd w:id="29"/>
      <w:bookmarkStart w:id="30" w:name="_Toc184308059"/>
      <w:bookmarkEnd w:id="30"/>
      <w:bookmarkStart w:id="31" w:name="_Toc184308043"/>
      <w:bookmarkEnd w:id="31"/>
      <w:bookmarkStart w:id="32" w:name="_Toc184312076"/>
      <w:bookmarkEnd w:id="32"/>
      <w:bookmarkStart w:id="33" w:name="_Toc184310289"/>
      <w:bookmarkEnd w:id="33"/>
      <w:bookmarkStart w:id="34" w:name="_Toc184310317"/>
      <w:bookmarkEnd w:id="34"/>
      <w:bookmarkStart w:id="35" w:name="_Toc184312092"/>
      <w:bookmarkEnd w:id="35"/>
      <w:bookmarkStart w:id="36" w:name="_Toc184313296"/>
      <w:bookmarkEnd w:id="36"/>
      <w:bookmarkStart w:id="37" w:name="_Toc184308093"/>
      <w:bookmarkEnd w:id="37"/>
      <w:bookmarkStart w:id="38" w:name="_Toc184310318"/>
      <w:bookmarkEnd w:id="38"/>
      <w:bookmarkStart w:id="39" w:name="_Toc184310327"/>
      <w:bookmarkEnd w:id="39"/>
      <w:bookmarkStart w:id="40" w:name="_Toc184313280"/>
      <w:bookmarkEnd w:id="40"/>
      <w:bookmarkStart w:id="41" w:name="_Toc184313247"/>
      <w:bookmarkEnd w:id="41"/>
      <w:bookmarkStart w:id="42" w:name="_Toc184313309"/>
      <w:bookmarkEnd w:id="42"/>
      <w:bookmarkStart w:id="43" w:name="_Toc184308103"/>
      <w:bookmarkEnd w:id="43"/>
      <w:bookmarkStart w:id="44" w:name="_Toc184308070"/>
      <w:bookmarkEnd w:id="44"/>
      <w:bookmarkStart w:id="45" w:name="_Toc184312087"/>
      <w:bookmarkEnd w:id="45"/>
      <w:bookmarkStart w:id="46" w:name="_Toc184314458"/>
      <w:bookmarkEnd w:id="46"/>
      <w:bookmarkStart w:id="47" w:name="_Toc184308099"/>
      <w:bookmarkEnd w:id="47"/>
      <w:bookmarkStart w:id="48" w:name="_Toc184313276"/>
      <w:bookmarkEnd w:id="48"/>
      <w:bookmarkStart w:id="49" w:name="_Toc184312123"/>
      <w:bookmarkEnd w:id="49"/>
      <w:bookmarkStart w:id="50" w:name="_Toc184310325"/>
      <w:bookmarkEnd w:id="50"/>
      <w:bookmarkStart w:id="51" w:name="_Toc184314410"/>
      <w:bookmarkEnd w:id="51"/>
      <w:bookmarkStart w:id="52" w:name="_Toc184312070"/>
      <w:bookmarkEnd w:id="52"/>
      <w:bookmarkStart w:id="53" w:name="_Toc184310332"/>
      <w:bookmarkEnd w:id="53"/>
      <w:bookmarkStart w:id="54" w:name="_Toc184308091"/>
      <w:bookmarkEnd w:id="54"/>
      <w:bookmarkStart w:id="55" w:name="_Toc184312110"/>
      <w:bookmarkEnd w:id="55"/>
      <w:bookmarkStart w:id="56" w:name="_Toc184312104"/>
      <w:bookmarkEnd w:id="56"/>
      <w:bookmarkStart w:id="57" w:name="_Toc184308041"/>
      <w:bookmarkEnd w:id="57"/>
      <w:bookmarkStart w:id="58" w:name="_Toc184313284"/>
      <w:bookmarkEnd w:id="58"/>
      <w:bookmarkStart w:id="59" w:name="_Toc184310301"/>
      <w:bookmarkEnd w:id="59"/>
      <w:bookmarkStart w:id="60" w:name="_Toc184314452"/>
      <w:bookmarkEnd w:id="60"/>
      <w:bookmarkStart w:id="61" w:name="_Toc184310336"/>
      <w:bookmarkEnd w:id="61"/>
      <w:bookmarkStart w:id="62" w:name="_Toc184310286"/>
      <w:bookmarkEnd w:id="62"/>
      <w:bookmarkStart w:id="63" w:name="_Toc184313238"/>
      <w:bookmarkEnd w:id="63"/>
      <w:bookmarkStart w:id="64" w:name="_Toc184314432"/>
      <w:bookmarkEnd w:id="64"/>
      <w:bookmarkStart w:id="65" w:name="_Toc184312124"/>
      <w:bookmarkEnd w:id="65"/>
      <w:bookmarkStart w:id="66" w:name="_Toc184310273"/>
      <w:bookmarkEnd w:id="66"/>
      <w:bookmarkStart w:id="67" w:name="_Toc184310322"/>
      <w:bookmarkEnd w:id="67"/>
      <w:bookmarkStart w:id="68" w:name="_Toc184313288"/>
      <w:bookmarkEnd w:id="68"/>
      <w:bookmarkStart w:id="69" w:name="_Toc184310311"/>
      <w:bookmarkEnd w:id="69"/>
      <w:bookmarkStart w:id="70" w:name="_Toc184313279"/>
      <w:bookmarkEnd w:id="70"/>
      <w:bookmarkStart w:id="71" w:name="_Toc184312067"/>
      <w:bookmarkEnd w:id="71"/>
      <w:bookmarkStart w:id="72" w:name="_Toc184314434"/>
      <w:bookmarkEnd w:id="72"/>
      <w:bookmarkStart w:id="73" w:name="_Toc184314479"/>
      <w:bookmarkEnd w:id="73"/>
      <w:bookmarkStart w:id="74" w:name="_Toc184310285"/>
      <w:bookmarkEnd w:id="74"/>
      <w:bookmarkStart w:id="75" w:name="_Toc184314442"/>
      <w:bookmarkEnd w:id="75"/>
      <w:bookmarkStart w:id="76" w:name="_Toc184312071"/>
      <w:bookmarkEnd w:id="76"/>
      <w:bookmarkStart w:id="77" w:name="_Toc184313266"/>
      <w:bookmarkEnd w:id="77"/>
      <w:bookmarkStart w:id="78" w:name="_Toc184313264"/>
      <w:bookmarkEnd w:id="78"/>
      <w:bookmarkStart w:id="79" w:name="_Toc184312128"/>
      <w:bookmarkEnd w:id="79"/>
      <w:bookmarkStart w:id="80" w:name="_Toc184310335"/>
      <w:bookmarkEnd w:id="80"/>
      <w:bookmarkStart w:id="81" w:name="_Toc184308061"/>
      <w:bookmarkEnd w:id="81"/>
      <w:bookmarkStart w:id="82" w:name="_Toc184314461"/>
      <w:bookmarkEnd w:id="82"/>
      <w:bookmarkStart w:id="83" w:name="_Toc184308106"/>
      <w:bookmarkEnd w:id="83"/>
      <w:bookmarkStart w:id="84" w:name="_Toc184310328"/>
      <w:bookmarkEnd w:id="84"/>
      <w:bookmarkStart w:id="85" w:name="_Toc184312113"/>
      <w:bookmarkEnd w:id="85"/>
      <w:bookmarkStart w:id="86" w:name="_Toc184313290"/>
      <w:bookmarkEnd w:id="86"/>
      <w:bookmarkStart w:id="87" w:name="_Toc184313258"/>
      <w:bookmarkEnd w:id="87"/>
      <w:bookmarkStart w:id="88" w:name="_Toc184314447"/>
      <w:bookmarkEnd w:id="88"/>
      <w:bookmarkStart w:id="89" w:name="_Toc184313304"/>
      <w:bookmarkEnd w:id="89"/>
      <w:bookmarkStart w:id="90" w:name="_Toc184313300"/>
      <w:bookmarkEnd w:id="90"/>
      <w:bookmarkStart w:id="91" w:name="_Toc184308051"/>
      <w:bookmarkEnd w:id="91"/>
      <w:bookmarkStart w:id="92" w:name="_Toc184313271"/>
      <w:bookmarkEnd w:id="92"/>
      <w:bookmarkStart w:id="93" w:name="_Toc184312125"/>
      <w:bookmarkEnd w:id="93"/>
      <w:bookmarkStart w:id="94" w:name="_Toc184308087"/>
      <w:bookmarkEnd w:id="94"/>
      <w:bookmarkStart w:id="95" w:name="_Toc184310313"/>
      <w:bookmarkEnd w:id="95"/>
      <w:bookmarkStart w:id="96" w:name="_Toc184314453"/>
      <w:bookmarkEnd w:id="96"/>
      <w:bookmarkStart w:id="97" w:name="_Toc184313259"/>
      <w:bookmarkEnd w:id="97"/>
      <w:bookmarkStart w:id="98" w:name="_Toc184313251"/>
      <w:bookmarkEnd w:id="98"/>
      <w:bookmarkStart w:id="99" w:name="_Toc184313249"/>
      <w:bookmarkEnd w:id="99"/>
      <w:bookmarkStart w:id="100" w:name="_Toc184310307"/>
      <w:bookmarkEnd w:id="100"/>
      <w:bookmarkStart w:id="101" w:name="_Toc184313250"/>
      <w:bookmarkEnd w:id="101"/>
      <w:bookmarkStart w:id="102" w:name="_Toc184312097"/>
      <w:bookmarkEnd w:id="102"/>
      <w:bookmarkStart w:id="103" w:name="_Toc184308100"/>
      <w:bookmarkEnd w:id="103"/>
      <w:bookmarkStart w:id="104" w:name="_Toc184313268"/>
      <w:bookmarkEnd w:id="104"/>
      <w:bookmarkStart w:id="105" w:name="_Toc184312133"/>
      <w:bookmarkEnd w:id="105"/>
      <w:bookmarkStart w:id="106" w:name="_Toc184313244"/>
      <w:bookmarkEnd w:id="106"/>
      <w:bookmarkStart w:id="107" w:name="_Toc184313241"/>
      <w:bookmarkEnd w:id="107"/>
      <w:bookmarkStart w:id="108" w:name="_Toc184308097"/>
      <w:bookmarkEnd w:id="108"/>
      <w:bookmarkStart w:id="109" w:name="_Toc184312078"/>
      <w:bookmarkEnd w:id="109"/>
      <w:bookmarkStart w:id="110" w:name="_Toc184313297"/>
      <w:bookmarkEnd w:id="110"/>
      <w:bookmarkStart w:id="111" w:name="_Toc184310295"/>
      <w:bookmarkEnd w:id="111"/>
      <w:bookmarkStart w:id="112" w:name="_Toc184310281"/>
      <w:bookmarkEnd w:id="112"/>
      <w:bookmarkStart w:id="113" w:name="_Toc184314463"/>
      <w:bookmarkEnd w:id="113"/>
      <w:bookmarkStart w:id="114" w:name="_Toc184314412"/>
      <w:bookmarkEnd w:id="114"/>
      <w:bookmarkStart w:id="115" w:name="_Toc184308085"/>
      <w:bookmarkEnd w:id="115"/>
      <w:bookmarkStart w:id="116" w:name="_Toc184314459"/>
      <w:bookmarkEnd w:id="116"/>
      <w:bookmarkStart w:id="117" w:name="_Toc184310331"/>
      <w:bookmarkEnd w:id="117"/>
      <w:bookmarkStart w:id="118" w:name="_Toc184312131"/>
      <w:bookmarkEnd w:id="118"/>
      <w:bookmarkStart w:id="119" w:name="_Toc184312079"/>
      <w:bookmarkEnd w:id="119"/>
      <w:bookmarkStart w:id="120" w:name="_Toc184310280"/>
      <w:bookmarkEnd w:id="120"/>
      <w:bookmarkStart w:id="121" w:name="_Toc184310282"/>
      <w:bookmarkEnd w:id="121"/>
      <w:bookmarkStart w:id="122" w:name="_Toc184314480"/>
      <w:bookmarkEnd w:id="122"/>
      <w:bookmarkStart w:id="123" w:name="_Toc184312114"/>
      <w:bookmarkEnd w:id="123"/>
      <w:bookmarkStart w:id="124" w:name="_Toc184310324"/>
      <w:bookmarkEnd w:id="124"/>
      <w:bookmarkStart w:id="125" w:name="_Toc184310299"/>
      <w:bookmarkEnd w:id="125"/>
      <w:bookmarkStart w:id="126" w:name="_Toc184312088"/>
      <w:bookmarkEnd w:id="126"/>
      <w:bookmarkStart w:id="127" w:name="_Toc184312084"/>
      <w:bookmarkEnd w:id="127"/>
      <w:bookmarkStart w:id="128" w:name="_Toc184312096"/>
      <w:bookmarkEnd w:id="128"/>
      <w:bookmarkStart w:id="129" w:name="_Toc184310287"/>
      <w:bookmarkEnd w:id="129"/>
      <w:bookmarkStart w:id="130" w:name="_Toc184313287"/>
      <w:bookmarkEnd w:id="130"/>
      <w:bookmarkStart w:id="131" w:name="_Toc184313286"/>
      <w:bookmarkEnd w:id="131"/>
      <w:bookmarkStart w:id="132" w:name="_Toc184313310"/>
      <w:bookmarkEnd w:id="132"/>
      <w:bookmarkStart w:id="133" w:name="_Toc184310309"/>
      <w:bookmarkEnd w:id="133"/>
      <w:bookmarkStart w:id="134" w:name="_Toc184314431"/>
      <w:bookmarkEnd w:id="134"/>
      <w:bookmarkStart w:id="135" w:name="_Toc184308066"/>
      <w:bookmarkEnd w:id="135"/>
      <w:bookmarkStart w:id="136" w:name="_Toc184312081"/>
      <w:bookmarkEnd w:id="136"/>
      <w:bookmarkStart w:id="137" w:name="_Toc184314420"/>
      <w:bookmarkEnd w:id="137"/>
      <w:bookmarkStart w:id="138" w:name="_Toc184314451"/>
      <w:bookmarkEnd w:id="138"/>
      <w:bookmarkStart w:id="139" w:name="_Toc184308078"/>
      <w:bookmarkEnd w:id="139"/>
      <w:bookmarkStart w:id="140" w:name="_Toc184312134"/>
      <w:bookmarkEnd w:id="140"/>
      <w:bookmarkStart w:id="141" w:name="_Toc184314466"/>
      <w:bookmarkEnd w:id="141"/>
      <w:bookmarkStart w:id="142" w:name="_Toc184310275"/>
      <w:bookmarkEnd w:id="142"/>
      <w:bookmarkStart w:id="143" w:name="_Toc184314443"/>
      <w:bookmarkEnd w:id="143"/>
      <w:bookmarkStart w:id="144" w:name="_Toc184308042"/>
      <w:bookmarkEnd w:id="144"/>
      <w:bookmarkStart w:id="145" w:name="_Toc184310337"/>
      <w:bookmarkEnd w:id="145"/>
      <w:bookmarkStart w:id="146" w:name="_Toc184313263"/>
      <w:bookmarkEnd w:id="146"/>
      <w:bookmarkStart w:id="147" w:name="_Toc184310298"/>
      <w:bookmarkEnd w:id="147"/>
      <w:bookmarkStart w:id="148" w:name="_Toc184310296"/>
      <w:bookmarkEnd w:id="148"/>
      <w:bookmarkStart w:id="149" w:name="_Toc184314427"/>
      <w:bookmarkEnd w:id="149"/>
      <w:bookmarkStart w:id="150" w:name="_Toc184314473"/>
      <w:bookmarkEnd w:id="150"/>
      <w:bookmarkStart w:id="151" w:name="_Toc184308055"/>
      <w:bookmarkEnd w:id="151"/>
      <w:bookmarkStart w:id="152" w:name="_Toc184314470"/>
      <w:bookmarkEnd w:id="152"/>
      <w:bookmarkStart w:id="153" w:name="_Toc184308089"/>
      <w:bookmarkEnd w:id="153"/>
      <w:bookmarkStart w:id="154" w:name="_Toc184308083"/>
      <w:bookmarkEnd w:id="154"/>
      <w:bookmarkStart w:id="155" w:name="_Toc184308069"/>
      <w:bookmarkEnd w:id="155"/>
      <w:bookmarkStart w:id="156" w:name="_Toc184310343"/>
      <w:bookmarkEnd w:id="156"/>
      <w:bookmarkStart w:id="157" w:name="_Toc184308064"/>
      <w:bookmarkEnd w:id="157"/>
      <w:bookmarkStart w:id="158" w:name="_Toc184313239"/>
      <w:bookmarkEnd w:id="158"/>
      <w:bookmarkStart w:id="159" w:name="_Toc184314419"/>
      <w:bookmarkEnd w:id="159"/>
      <w:bookmarkStart w:id="160" w:name="_Toc184310279"/>
      <w:bookmarkEnd w:id="160"/>
      <w:bookmarkStart w:id="161" w:name="_Toc184313248"/>
      <w:bookmarkEnd w:id="161"/>
      <w:bookmarkStart w:id="162" w:name="_Toc184308046"/>
      <w:bookmarkEnd w:id="162"/>
      <w:bookmarkStart w:id="163" w:name="_Toc184308105"/>
      <w:bookmarkEnd w:id="163"/>
      <w:bookmarkStart w:id="164" w:name="_Toc184314471"/>
      <w:bookmarkEnd w:id="164"/>
      <w:bookmarkStart w:id="165" w:name="_Toc184313283"/>
      <w:bookmarkEnd w:id="165"/>
      <w:bookmarkStart w:id="166" w:name="_Toc184313243"/>
      <w:bookmarkEnd w:id="166"/>
      <w:bookmarkStart w:id="167" w:name="_Toc184314425"/>
      <w:bookmarkEnd w:id="167"/>
      <w:bookmarkStart w:id="168" w:name="_Toc184312069"/>
      <w:bookmarkEnd w:id="168"/>
      <w:bookmarkStart w:id="169" w:name="_Toc184314462"/>
      <w:bookmarkEnd w:id="169"/>
      <w:bookmarkStart w:id="170" w:name="_Toc184312107"/>
      <w:bookmarkEnd w:id="170"/>
      <w:bookmarkStart w:id="171" w:name="_Toc184308062"/>
      <w:bookmarkEnd w:id="171"/>
      <w:bookmarkStart w:id="172" w:name="_Toc184313255"/>
      <w:bookmarkEnd w:id="172"/>
      <w:bookmarkStart w:id="173" w:name="_Toc184314482"/>
      <w:bookmarkEnd w:id="173"/>
      <w:bookmarkStart w:id="174" w:name="_Toc184313307"/>
      <w:bookmarkEnd w:id="174"/>
      <w:bookmarkStart w:id="175" w:name="_Toc184313303"/>
      <w:bookmarkEnd w:id="175"/>
      <w:bookmarkStart w:id="176" w:name="_Toc184314439"/>
      <w:bookmarkEnd w:id="176"/>
      <w:bookmarkStart w:id="177" w:name="_Toc184308045"/>
      <w:bookmarkEnd w:id="177"/>
      <w:bookmarkStart w:id="178" w:name="_Toc184312108"/>
      <w:bookmarkEnd w:id="178"/>
      <w:bookmarkStart w:id="179" w:name="_Toc184312119"/>
      <w:bookmarkEnd w:id="179"/>
      <w:bookmarkStart w:id="180" w:name="_Toc184312101"/>
      <w:bookmarkEnd w:id="180"/>
      <w:bookmarkStart w:id="181" w:name="_Toc184314472"/>
      <w:bookmarkEnd w:id="181"/>
      <w:bookmarkStart w:id="182" w:name="_Toc184313245"/>
      <w:bookmarkEnd w:id="182"/>
      <w:bookmarkStart w:id="183" w:name="_Toc184308073"/>
      <w:bookmarkEnd w:id="183"/>
      <w:bookmarkStart w:id="184" w:name="_Toc184310323"/>
      <w:bookmarkEnd w:id="184"/>
      <w:bookmarkStart w:id="185" w:name="_Toc184310342"/>
      <w:bookmarkEnd w:id="185"/>
      <w:bookmarkStart w:id="186" w:name="_Toc184314450"/>
      <w:bookmarkEnd w:id="186"/>
      <w:bookmarkStart w:id="187" w:name="_Toc184308094"/>
      <w:bookmarkEnd w:id="187"/>
      <w:bookmarkStart w:id="188" w:name="_Toc184314414"/>
      <w:bookmarkEnd w:id="188"/>
      <w:bookmarkStart w:id="189" w:name="_Toc184312118"/>
      <w:bookmarkEnd w:id="189"/>
      <w:bookmarkStart w:id="190" w:name="_Toc184314475"/>
      <w:bookmarkEnd w:id="190"/>
      <w:bookmarkStart w:id="191" w:name="_Toc184313285"/>
      <w:bookmarkEnd w:id="191"/>
      <w:bookmarkStart w:id="192" w:name="_Toc184308053"/>
      <w:bookmarkEnd w:id="192"/>
      <w:bookmarkStart w:id="193" w:name="_Toc184312116"/>
      <w:bookmarkEnd w:id="193"/>
      <w:bookmarkStart w:id="194" w:name="_Toc184308084"/>
      <w:bookmarkEnd w:id="194"/>
      <w:bookmarkStart w:id="195" w:name="_Toc184314413"/>
      <w:bookmarkEnd w:id="195"/>
      <w:bookmarkStart w:id="196" w:name="_Toc184310283"/>
      <w:bookmarkEnd w:id="196"/>
      <w:bookmarkStart w:id="197" w:name="_Toc184313301"/>
      <w:bookmarkEnd w:id="197"/>
      <w:bookmarkStart w:id="198" w:name="_Toc184313252"/>
      <w:bookmarkEnd w:id="198"/>
      <w:bookmarkStart w:id="199" w:name="_Toc184310303"/>
      <w:bookmarkEnd w:id="199"/>
      <w:bookmarkStart w:id="200" w:name="_Toc184313274"/>
      <w:bookmarkEnd w:id="200"/>
      <w:bookmarkStart w:id="201" w:name="_Toc184312112"/>
      <w:bookmarkEnd w:id="201"/>
      <w:bookmarkStart w:id="202" w:name="_Toc184312117"/>
      <w:bookmarkEnd w:id="202"/>
      <w:bookmarkStart w:id="203" w:name="_Toc184312100"/>
      <w:bookmarkEnd w:id="203"/>
      <w:bookmarkStart w:id="204" w:name="_Toc184313272"/>
      <w:bookmarkEnd w:id="204"/>
      <w:bookmarkStart w:id="205" w:name="_Toc184312086"/>
      <w:bookmarkEnd w:id="205"/>
      <w:bookmarkStart w:id="206" w:name="_Toc184308038"/>
      <w:bookmarkEnd w:id="206"/>
      <w:bookmarkStart w:id="207" w:name="_Toc184314422"/>
      <w:bookmarkEnd w:id="207"/>
      <w:bookmarkStart w:id="208" w:name="_Toc184312083"/>
      <w:bookmarkEnd w:id="208"/>
      <w:bookmarkStart w:id="209" w:name="_Toc184308098"/>
      <w:bookmarkEnd w:id="209"/>
      <w:bookmarkStart w:id="210" w:name="_Toc184312122"/>
      <w:bookmarkEnd w:id="210"/>
      <w:bookmarkStart w:id="211" w:name="_Toc184310276"/>
      <w:bookmarkEnd w:id="211"/>
      <w:bookmarkStart w:id="212" w:name="_Toc184312138"/>
      <w:bookmarkEnd w:id="212"/>
      <w:bookmarkStart w:id="213" w:name="_Toc184314474"/>
      <w:bookmarkEnd w:id="213"/>
      <w:bookmarkStart w:id="214" w:name="_Toc184308107"/>
      <w:bookmarkEnd w:id="214"/>
      <w:bookmarkStart w:id="215" w:name="_Toc184314465"/>
      <w:bookmarkEnd w:id="215"/>
      <w:bookmarkStart w:id="216" w:name="_Toc184310272"/>
      <w:bookmarkEnd w:id="216"/>
      <w:bookmarkStart w:id="217" w:name="_Toc184314428"/>
      <w:bookmarkEnd w:id="217"/>
      <w:bookmarkStart w:id="218" w:name="_Toc184310308"/>
      <w:bookmarkEnd w:id="218"/>
      <w:bookmarkStart w:id="219" w:name="_Toc184313254"/>
      <w:bookmarkEnd w:id="219"/>
      <w:bookmarkStart w:id="220" w:name="_Toc184310330"/>
      <w:bookmarkEnd w:id="220"/>
      <w:bookmarkStart w:id="221" w:name="_Toc184312093"/>
      <w:bookmarkEnd w:id="221"/>
      <w:bookmarkStart w:id="222" w:name="_Toc184308079"/>
      <w:bookmarkEnd w:id="222"/>
      <w:bookmarkStart w:id="223" w:name="_Toc184314415"/>
      <w:bookmarkEnd w:id="223"/>
      <w:bookmarkStart w:id="224" w:name="_Toc184310274"/>
      <w:bookmarkEnd w:id="224"/>
      <w:bookmarkStart w:id="225" w:name="_Toc184314440"/>
      <w:bookmarkEnd w:id="225"/>
      <w:bookmarkStart w:id="226" w:name="_Toc184312080"/>
      <w:bookmarkEnd w:id="226"/>
      <w:bookmarkStart w:id="227" w:name="_Toc184313269"/>
      <w:bookmarkEnd w:id="227"/>
      <w:bookmarkStart w:id="228" w:name="_Toc184310293"/>
      <w:bookmarkEnd w:id="228"/>
      <w:bookmarkStart w:id="229" w:name="_Toc184308082"/>
      <w:bookmarkEnd w:id="229"/>
      <w:bookmarkStart w:id="230" w:name="_Toc184313277"/>
      <w:bookmarkEnd w:id="230"/>
      <w:bookmarkStart w:id="231" w:name="_Toc184313298"/>
      <w:bookmarkEnd w:id="231"/>
      <w:bookmarkStart w:id="232" w:name="_Toc184313267"/>
      <w:bookmarkEnd w:id="232"/>
      <w:bookmarkStart w:id="233" w:name="_Toc184312136"/>
      <w:bookmarkEnd w:id="233"/>
      <w:bookmarkStart w:id="234" w:name="_Toc184314478"/>
      <w:bookmarkEnd w:id="234"/>
      <w:bookmarkStart w:id="235" w:name="_Toc184308076"/>
      <w:bookmarkEnd w:id="235"/>
      <w:bookmarkStart w:id="236" w:name="_Toc184308102"/>
      <w:bookmarkEnd w:id="236"/>
      <w:bookmarkStart w:id="237" w:name="_Toc184310297"/>
      <w:bookmarkEnd w:id="237"/>
      <w:bookmarkStart w:id="238" w:name="_Toc184313281"/>
      <w:bookmarkEnd w:id="238"/>
      <w:bookmarkStart w:id="239" w:name="_Toc184310277"/>
      <w:bookmarkEnd w:id="239"/>
      <w:bookmarkStart w:id="240" w:name="_Toc184314445"/>
      <w:bookmarkEnd w:id="240"/>
      <w:bookmarkStart w:id="241" w:name="_Toc184310310"/>
      <w:bookmarkEnd w:id="241"/>
      <w:bookmarkStart w:id="242" w:name="_Toc184314444"/>
      <w:bookmarkEnd w:id="242"/>
      <w:bookmarkStart w:id="243" w:name="_Toc184312109"/>
      <w:bookmarkEnd w:id="243"/>
      <w:bookmarkStart w:id="244" w:name="_Toc184308108"/>
      <w:bookmarkEnd w:id="244"/>
      <w:bookmarkStart w:id="245" w:name="_Toc184314481"/>
      <w:bookmarkEnd w:id="245"/>
      <w:bookmarkStart w:id="246" w:name="_Toc184308056"/>
      <w:bookmarkEnd w:id="246"/>
      <w:bookmarkStart w:id="247" w:name="_Toc184313291"/>
      <w:bookmarkEnd w:id="247"/>
      <w:bookmarkStart w:id="248" w:name="_Toc184310292"/>
      <w:bookmarkEnd w:id="248"/>
      <w:bookmarkStart w:id="249" w:name="_Toc184310340"/>
      <w:bookmarkEnd w:id="249"/>
      <w:bookmarkStart w:id="250" w:name="_Toc184313240"/>
      <w:bookmarkEnd w:id="250"/>
      <w:bookmarkStart w:id="251" w:name="_Toc184310302"/>
      <w:bookmarkEnd w:id="251"/>
      <w:bookmarkStart w:id="252" w:name="_Toc184313273"/>
      <w:bookmarkEnd w:id="252"/>
      <w:bookmarkStart w:id="253" w:name="_Toc184312090"/>
      <w:bookmarkEnd w:id="253"/>
      <w:bookmarkStart w:id="254" w:name="_Toc184308096"/>
      <w:bookmarkEnd w:id="254"/>
      <w:bookmarkStart w:id="255" w:name="_Toc184310305"/>
      <w:bookmarkEnd w:id="255"/>
      <w:bookmarkStart w:id="256" w:name="_Toc184314456"/>
      <w:bookmarkEnd w:id="256"/>
      <w:bookmarkStart w:id="257" w:name="_Toc184313256"/>
      <w:bookmarkEnd w:id="257"/>
      <w:bookmarkStart w:id="258" w:name="_Toc184313306"/>
      <w:bookmarkEnd w:id="258"/>
      <w:bookmarkStart w:id="259" w:name="_Toc184314467"/>
      <w:bookmarkEnd w:id="259"/>
      <w:bookmarkStart w:id="260" w:name="_Toc184312082"/>
      <w:bookmarkEnd w:id="260"/>
      <w:bookmarkStart w:id="261" w:name="_Toc184310314"/>
      <w:bookmarkEnd w:id="261"/>
      <w:bookmarkStart w:id="262" w:name="_Toc184308040"/>
      <w:bookmarkEnd w:id="262"/>
      <w:bookmarkStart w:id="263" w:name="_Toc184308050"/>
      <w:bookmarkEnd w:id="263"/>
      <w:bookmarkStart w:id="264" w:name="_Toc184314430"/>
      <w:bookmarkEnd w:id="264"/>
      <w:bookmarkStart w:id="265" w:name="_Toc184310288"/>
      <w:bookmarkEnd w:id="265"/>
      <w:bookmarkStart w:id="266" w:name="_Toc184308049"/>
      <w:bookmarkEnd w:id="266"/>
      <w:bookmarkStart w:id="267" w:name="_Toc184312135"/>
      <w:bookmarkEnd w:id="267"/>
      <w:bookmarkStart w:id="268" w:name="_Toc184312126"/>
      <w:bookmarkEnd w:id="268"/>
      <w:bookmarkStart w:id="269" w:name="_Toc184313292"/>
      <w:bookmarkEnd w:id="269"/>
      <w:bookmarkStart w:id="270" w:name="_Toc184308080"/>
      <w:bookmarkEnd w:id="270"/>
      <w:bookmarkStart w:id="271" w:name="_Toc184314455"/>
      <w:bookmarkEnd w:id="271"/>
      <w:bookmarkStart w:id="272" w:name="_Toc184308074"/>
      <w:bookmarkEnd w:id="272"/>
      <w:bookmarkStart w:id="273" w:name="_Toc184312089"/>
      <w:bookmarkEnd w:id="273"/>
      <w:bookmarkStart w:id="274" w:name="_Toc184308039"/>
      <w:bookmarkEnd w:id="274"/>
      <w:bookmarkStart w:id="275" w:name="_Toc184314464"/>
      <w:bookmarkEnd w:id="275"/>
      <w:bookmarkStart w:id="276" w:name="_Toc184308075"/>
      <w:bookmarkEnd w:id="276"/>
      <w:bookmarkStart w:id="277" w:name="_Toc184314426"/>
      <w:bookmarkEnd w:id="277"/>
      <w:bookmarkStart w:id="278" w:name="_Toc184313282"/>
      <w:bookmarkEnd w:id="278"/>
      <w:bookmarkStart w:id="279" w:name="_Toc184314460"/>
      <w:bookmarkEnd w:id="279"/>
      <w:bookmarkStart w:id="280" w:name="_Toc184312105"/>
      <w:bookmarkEnd w:id="280"/>
      <w:bookmarkStart w:id="281" w:name="_Toc184310294"/>
      <w:bookmarkEnd w:id="281"/>
      <w:bookmarkStart w:id="282" w:name="_Toc184308058"/>
      <w:bookmarkEnd w:id="282"/>
      <w:bookmarkStart w:id="283" w:name="_Toc184314438"/>
      <w:bookmarkEnd w:id="283"/>
      <w:bookmarkStart w:id="284" w:name="_Toc184312121"/>
      <w:bookmarkEnd w:id="284"/>
      <w:bookmarkStart w:id="285" w:name="_Toc184312103"/>
      <w:bookmarkEnd w:id="285"/>
      <w:bookmarkStart w:id="286" w:name="_Toc184310320"/>
      <w:bookmarkEnd w:id="286"/>
      <w:bookmarkStart w:id="287" w:name="_Toc184310300"/>
      <w:bookmarkEnd w:id="287"/>
      <w:bookmarkStart w:id="288" w:name="_Toc184312068"/>
      <w:bookmarkEnd w:id="288"/>
      <w:bookmarkStart w:id="289" w:name="_Toc184312091"/>
      <w:bookmarkEnd w:id="289"/>
      <w:bookmarkStart w:id="290" w:name="_Toc184312072"/>
      <w:bookmarkEnd w:id="290"/>
      <w:bookmarkStart w:id="291" w:name="_Toc184312132"/>
      <w:bookmarkEnd w:id="291"/>
      <w:bookmarkStart w:id="292" w:name="_Toc184313253"/>
      <w:bookmarkEnd w:id="292"/>
      <w:bookmarkStart w:id="293" w:name="_Toc184310278"/>
      <w:bookmarkEnd w:id="293"/>
      <w:bookmarkStart w:id="294" w:name="_Toc184308047"/>
      <w:bookmarkEnd w:id="294"/>
      <w:bookmarkStart w:id="295" w:name="_Toc184310304"/>
      <w:bookmarkEnd w:id="295"/>
      <w:bookmarkStart w:id="296" w:name="_Toc184308086"/>
      <w:bookmarkEnd w:id="296"/>
      <w:bookmarkStart w:id="297" w:name="_Toc184314411"/>
      <w:bookmarkEnd w:id="297"/>
      <w:bookmarkStart w:id="298" w:name="_Toc184314433"/>
      <w:bookmarkEnd w:id="298"/>
      <w:bookmarkStart w:id="299" w:name="_Toc184313265"/>
      <w:bookmarkEnd w:id="299"/>
      <w:bookmarkStart w:id="300" w:name="_Toc184313293"/>
      <w:bookmarkEnd w:id="300"/>
      <w:bookmarkStart w:id="301" w:name="_Toc184308081"/>
      <w:bookmarkEnd w:id="301"/>
      <w:bookmarkStart w:id="302" w:name="_Toc184314429"/>
      <w:bookmarkEnd w:id="302"/>
      <w:bookmarkStart w:id="303" w:name="_Toc184314441"/>
      <w:bookmarkEnd w:id="303"/>
      <w:bookmarkStart w:id="304" w:name="_Toc184310326"/>
      <w:bookmarkEnd w:id="304"/>
      <w:bookmarkStart w:id="305" w:name="_Toc184314424"/>
      <w:bookmarkEnd w:id="305"/>
      <w:bookmarkStart w:id="306" w:name="_Toc184308036"/>
      <w:bookmarkEnd w:id="306"/>
      <w:bookmarkStart w:id="307" w:name="_Toc184314449"/>
      <w:bookmarkEnd w:id="307"/>
      <w:bookmarkStart w:id="308" w:name="_Toc184308060"/>
      <w:bookmarkEnd w:id="308"/>
      <w:bookmarkStart w:id="309" w:name="_Toc184312139"/>
      <w:bookmarkEnd w:id="309"/>
      <w:bookmarkStart w:id="310" w:name="_Toc184308054"/>
      <w:bookmarkEnd w:id="310"/>
      <w:bookmarkStart w:id="311" w:name="_Toc184308057"/>
      <w:bookmarkEnd w:id="311"/>
      <w:bookmarkStart w:id="312" w:name="_Toc184308101"/>
      <w:bookmarkEnd w:id="312"/>
      <w:bookmarkStart w:id="313" w:name="_Toc184312074"/>
      <w:bookmarkEnd w:id="313"/>
      <w:bookmarkStart w:id="314" w:name="_Toc184308077"/>
      <w:bookmarkEnd w:id="314"/>
      <w:bookmarkStart w:id="315" w:name="_Toc184314448"/>
      <w:bookmarkEnd w:id="315"/>
      <w:bookmarkStart w:id="316" w:name="_Toc184310329"/>
      <w:bookmarkEnd w:id="316"/>
      <w:bookmarkStart w:id="317" w:name="_Toc184312111"/>
      <w:bookmarkEnd w:id="317"/>
      <w:bookmarkStart w:id="318" w:name="_Toc184313261"/>
      <w:bookmarkEnd w:id="318"/>
      <w:bookmarkStart w:id="319" w:name="_Toc184312099"/>
      <w:bookmarkEnd w:id="319"/>
      <w:bookmarkStart w:id="320" w:name="_Toc184310319"/>
      <w:bookmarkEnd w:id="320"/>
      <w:bookmarkStart w:id="321" w:name="_Toc184308090"/>
      <w:bookmarkEnd w:id="321"/>
      <w:bookmarkStart w:id="322" w:name="_Toc184308052"/>
      <w:bookmarkEnd w:id="322"/>
      <w:bookmarkStart w:id="323" w:name="_Toc184310306"/>
      <w:bookmarkEnd w:id="323"/>
      <w:bookmarkStart w:id="324" w:name="_Toc184312085"/>
      <w:bookmarkEnd w:id="324"/>
      <w:bookmarkStart w:id="325" w:name="_Toc184313262"/>
      <w:bookmarkEnd w:id="325"/>
      <w:bookmarkStart w:id="326" w:name="_Toc184313246"/>
      <w:bookmarkEnd w:id="326"/>
      <w:bookmarkStart w:id="327" w:name="_Toc184308037"/>
      <w:bookmarkEnd w:id="327"/>
      <w:bookmarkStart w:id="328" w:name="_Toc184308048"/>
      <w:bookmarkEnd w:id="328"/>
      <w:bookmarkStart w:id="329" w:name="_Toc184308065"/>
      <w:bookmarkEnd w:id="329"/>
      <w:bookmarkStart w:id="330" w:name="_Toc184308104"/>
      <w:bookmarkEnd w:id="330"/>
      <w:bookmarkStart w:id="331" w:name="_Toc184310321"/>
      <w:bookmarkEnd w:id="331"/>
      <w:bookmarkStart w:id="332" w:name="_Toc184313299"/>
      <w:bookmarkEnd w:id="332"/>
      <w:bookmarkStart w:id="333" w:name="_Toc184308092"/>
      <w:bookmarkEnd w:id="333"/>
      <w:bookmarkStart w:id="334" w:name="_Toc184313294"/>
      <w:bookmarkEnd w:id="334"/>
      <w:bookmarkStart w:id="335" w:name="_Toc184310338"/>
      <w:bookmarkEnd w:id="335"/>
      <w:bookmarkStart w:id="336" w:name="_Toc184308067"/>
      <w:bookmarkEnd w:id="336"/>
      <w:bookmarkStart w:id="337" w:name="_Toc184312098"/>
      <w:bookmarkEnd w:id="337"/>
      <w:bookmarkStart w:id="338" w:name="_Toc184313260"/>
      <w:bookmarkEnd w:id="338"/>
      <w:bookmarkStart w:id="339" w:name="_Toc184313289"/>
      <w:bookmarkEnd w:id="339"/>
      <w:bookmarkStart w:id="340" w:name="_Toc184314469"/>
      <w:bookmarkEnd w:id="340"/>
      <w:bookmarkStart w:id="341" w:name="_Toc184314435"/>
      <w:bookmarkEnd w:id="341"/>
      <w:bookmarkStart w:id="342" w:name="_Toc184314477"/>
      <w:bookmarkEnd w:id="342"/>
      <w:bookmarkStart w:id="343" w:name="_Toc184312073"/>
      <w:bookmarkEnd w:id="343"/>
      <w:bookmarkStart w:id="344" w:name="_Toc184314454"/>
      <w:bookmarkEnd w:id="344"/>
      <w:bookmarkStart w:id="345" w:name="_Toc184310284"/>
      <w:bookmarkEnd w:id="345"/>
      <w:bookmarkStart w:id="346" w:name="_Toc184313242"/>
      <w:bookmarkEnd w:id="346"/>
      <w:bookmarkStart w:id="347" w:name="_Toc184312115"/>
      <w:bookmarkEnd w:id="347"/>
      <w:bookmarkStart w:id="348" w:name="_Toc184308071"/>
      <w:bookmarkEnd w:id="348"/>
      <w:bookmarkStart w:id="349" w:name="_Toc184313305"/>
      <w:bookmarkEnd w:id="349"/>
      <w:bookmarkStart w:id="350" w:name="_Toc184312120"/>
      <w:bookmarkEnd w:id="350"/>
      <w:bookmarkStart w:id="351" w:name="_Toc184314423"/>
      <w:bookmarkEnd w:id="351"/>
      <w:bookmarkStart w:id="352" w:name="_Toc184312106"/>
      <w:bookmarkEnd w:id="352"/>
      <w:bookmarkStart w:id="353" w:name="_Toc184314421"/>
      <w:bookmarkEnd w:id="353"/>
      <w:bookmarkStart w:id="354" w:name="_Toc184312137"/>
      <w:bookmarkEnd w:id="354"/>
      <w:bookmarkStart w:id="355" w:name="_Toc184314416"/>
      <w:bookmarkEnd w:id="355"/>
      <w:bookmarkStart w:id="356" w:name="_Toc184312094"/>
      <w:bookmarkEnd w:id="356"/>
      <w:bookmarkStart w:id="357" w:name="_Toc184314436"/>
      <w:bookmarkEnd w:id="357"/>
      <w:bookmarkStart w:id="358" w:name="_Toc184313295"/>
      <w:bookmarkEnd w:id="358"/>
      <w:bookmarkStart w:id="359" w:name="_Toc184310334"/>
      <w:bookmarkEnd w:id="359"/>
      <w:bookmarkStart w:id="360" w:name="_Toc184312075"/>
      <w:bookmarkEnd w:id="360"/>
      <w:bookmarkStart w:id="361" w:name="_Toc184313308"/>
      <w:bookmarkEnd w:id="361"/>
      <w:bookmarkStart w:id="362" w:name="_Toc184310291"/>
      <w:bookmarkEnd w:id="362"/>
      <w:bookmarkStart w:id="363" w:name="_Toc184310341"/>
      <w:bookmarkEnd w:id="363"/>
      <w:bookmarkStart w:id="364" w:name="_Toc184308063"/>
      <w:bookmarkEnd w:id="364"/>
      <w:bookmarkStart w:id="365" w:name="_Toc184313257"/>
      <w:bookmarkEnd w:id="365"/>
      <w:bookmarkStart w:id="366" w:name="_Toc184308088"/>
      <w:bookmarkEnd w:id="366"/>
      <w:bookmarkStart w:id="367" w:name="_Toc184314446"/>
      <w:bookmarkEnd w:id="367"/>
      <w:bookmarkStart w:id="368" w:name="_Toc184310315"/>
      <w:bookmarkEnd w:id="368"/>
      <w:bookmarkStart w:id="369" w:name="_Toc184313275"/>
      <w:bookmarkEnd w:id="369"/>
      <w:bookmarkStart w:id="370" w:name="_Toc184310333"/>
      <w:bookmarkEnd w:id="370"/>
      <w:bookmarkStart w:id="371" w:name="_Toc184313302"/>
      <w:bookmarkEnd w:id="371"/>
      <w:bookmarkStart w:id="372" w:name="_Toc184310344"/>
      <w:bookmarkEnd w:id="372"/>
      <w:bookmarkStart w:id="373" w:name="_Toc184308068"/>
      <w:bookmarkEnd w:id="373"/>
      <w:bookmarkStart w:id="374" w:name="_Toc184312095"/>
      <w:bookmarkEnd w:id="374"/>
      <w:bookmarkStart w:id="375" w:name="_Toc184314418"/>
      <w:bookmarkEnd w:id="375"/>
      <w:bookmarkStart w:id="376" w:name="_Toc184314417"/>
      <w:bookmarkEnd w:id="376"/>
      <w:bookmarkStart w:id="377" w:name="_Toc184313270"/>
      <w:bookmarkEnd w:id="377"/>
      <w:bookmarkStart w:id="378" w:name="_Toc184310316"/>
      <w:bookmarkEnd w:id="378"/>
      <w:bookmarkStart w:id="379" w:name="_Toc184308095"/>
      <w:bookmarkEnd w:id="379"/>
      <w:bookmarkStart w:id="380" w:name="_Toc184312129"/>
      <w:bookmarkEnd w:id="380"/>
      <w:bookmarkStart w:id="381" w:name="_Toc184310312"/>
      <w:bookmarkEnd w:id="381"/>
      <w:bookmarkStart w:id="382" w:name="_Toc184312127"/>
      <w:bookmarkEnd w:id="382"/>
      <w:bookmarkStart w:id="383" w:name="_Toc184314457"/>
      <w:bookmarkEnd w:id="383"/>
      <w:bookmarkStart w:id="384" w:name="_Toc184312130"/>
      <w:bookmarkEnd w:id="384"/>
      <w:bookmarkStart w:id="385" w:name="_Toc184310339"/>
      <w:bookmarkEnd w:id="385"/>
      <w:bookmarkStart w:id="386" w:name="_Toc184313278"/>
      <w:bookmarkEnd w:id="386"/>
      <w:bookmarkStart w:id="387" w:name="_Toc184314476"/>
      <w:bookmarkEnd w:id="387"/>
      <w:bookmarkStart w:id="388" w:name="_Toc184312102"/>
      <w:bookmarkEnd w:id="388"/>
      <w:bookmarkStart w:id="389" w:name="_Toc184314437"/>
      <w:bookmarkEnd w:id="389"/>
      <w:bookmarkStart w:id="390" w:name="_Toc184314468"/>
      <w:bookmarkEnd w:id="390"/>
      <w:bookmarkStart w:id="391" w:name="_Toc184312077"/>
      <w:bookmarkEnd w:id="391"/>
      <w:bookmarkStart w:id="392" w:name="_Toc184310290"/>
      <w:bookmarkEnd w:id="392"/>
      <w:r>
        <w:rPr>
          <w:rFonts w:hint="eastAsia" w:ascii="宋体" w:hAnsi="宋体" w:eastAsia="宋体" w:cs="宋体"/>
          <w:b/>
          <w:color w:val="auto"/>
          <w:sz w:val="36"/>
          <w:szCs w:val="36"/>
          <w:highlight w:val="none"/>
        </w:rPr>
        <w:t>评标办法</w:t>
      </w:r>
    </w:p>
    <w:p w14:paraId="398648C8">
      <w:pPr>
        <w:keepNext w:val="0"/>
        <w:keepLines w:val="0"/>
        <w:pageBreakBefore w:val="0"/>
        <w:widowControl w:val="0"/>
        <w:kinsoku/>
        <w:wordWrap/>
        <w:overflowPunct/>
        <w:topLinePunct w:val="0"/>
        <w:autoSpaceDE/>
        <w:autoSpaceDN/>
        <w:bidi w:val="0"/>
        <w:adjustRightInd w:val="0"/>
        <w:snapToGrid w:val="0"/>
        <w:spacing w:before="0" w:beforeLines="100" w:after="0" w:line="240" w:lineRule="auto"/>
        <w:jc w:val="center"/>
        <w:textAlignment w:val="auto"/>
        <w:rPr>
          <w:rFonts w:hint="eastAsia" w:ascii="宋体" w:hAnsi="宋体" w:eastAsia="宋体" w:cs="宋体"/>
          <w:b/>
          <w:color w:val="auto"/>
          <w:sz w:val="32"/>
          <w:szCs w:val="20"/>
          <w:highlight w:val="none"/>
          <w:lang w:eastAsia="zh-CN"/>
        </w:rPr>
      </w:pPr>
      <w:r>
        <w:rPr>
          <w:rFonts w:hint="eastAsia" w:ascii="宋体" w:hAnsi="宋体" w:eastAsia="宋体" w:cs="宋体"/>
          <w:b/>
          <w:color w:val="auto"/>
          <w:sz w:val="32"/>
          <w:szCs w:val="20"/>
          <w:highlight w:val="none"/>
        </w:rPr>
        <w:t>评标办法前附表</w:t>
      </w:r>
    </w:p>
    <w:tbl>
      <w:tblPr>
        <w:tblStyle w:val="65"/>
        <w:tblW w:w="486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84"/>
        <w:gridCol w:w="4238"/>
        <w:gridCol w:w="905"/>
        <w:gridCol w:w="905"/>
        <w:gridCol w:w="1011"/>
      </w:tblGrid>
      <w:tr w14:paraId="7E6A4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3CF258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序号</w:t>
            </w:r>
          </w:p>
        </w:tc>
        <w:tc>
          <w:tcPr>
            <w:tcW w:w="840" w:type="pct"/>
            <w:tcBorders>
              <w:tl2br w:val="nil"/>
              <w:tr2bl w:val="nil"/>
            </w:tcBorders>
            <w:vAlign w:val="center"/>
          </w:tcPr>
          <w:p w14:paraId="06C82A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评</w:t>
            </w:r>
            <w:r>
              <w:rPr>
                <w:rFonts w:hint="eastAsia" w:ascii="宋体" w:hAnsi="宋体" w:eastAsia="宋体" w:cs="宋体"/>
                <w:b/>
                <w:i w:val="0"/>
                <w:iCs w:val="0"/>
                <w:color w:val="auto"/>
                <w:sz w:val="21"/>
                <w:szCs w:val="21"/>
                <w:highlight w:val="none"/>
                <w:lang w:val="en-US" w:eastAsia="zh-CN"/>
              </w:rPr>
              <w:t>分</w:t>
            </w:r>
            <w:r>
              <w:rPr>
                <w:rFonts w:hint="eastAsia" w:ascii="宋体" w:hAnsi="宋体" w:eastAsia="宋体" w:cs="宋体"/>
                <w:b/>
                <w:i w:val="0"/>
                <w:iCs w:val="0"/>
                <w:color w:val="auto"/>
                <w:sz w:val="21"/>
                <w:szCs w:val="21"/>
                <w:highlight w:val="none"/>
              </w:rPr>
              <w:t>内容</w:t>
            </w:r>
          </w:p>
        </w:tc>
        <w:tc>
          <w:tcPr>
            <w:tcW w:w="2248" w:type="pct"/>
            <w:tcBorders>
              <w:tl2br w:val="nil"/>
              <w:tr2bl w:val="nil"/>
            </w:tcBorders>
            <w:vAlign w:val="center"/>
          </w:tcPr>
          <w:p w14:paraId="0C2433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i w:val="0"/>
                <w:iCs w:val="0"/>
                <w:color w:val="auto"/>
                <w:sz w:val="21"/>
                <w:szCs w:val="21"/>
                <w:highlight w:val="none"/>
              </w:rPr>
              <w:t>评分标准</w:t>
            </w:r>
          </w:p>
        </w:tc>
        <w:tc>
          <w:tcPr>
            <w:tcW w:w="480" w:type="pct"/>
            <w:tcBorders>
              <w:tl2br w:val="nil"/>
              <w:tr2bl w:val="nil"/>
            </w:tcBorders>
            <w:vAlign w:val="center"/>
          </w:tcPr>
          <w:p w14:paraId="2768EC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iCs w:val="0"/>
                <w:color w:val="auto"/>
                <w:kern w:val="0"/>
                <w:sz w:val="21"/>
                <w:szCs w:val="21"/>
                <w:highlight w:val="none"/>
                <w:lang w:eastAsia="zh-CN"/>
              </w:rPr>
            </w:pPr>
            <w:r>
              <w:rPr>
                <w:rFonts w:hint="eastAsia" w:ascii="宋体" w:hAnsi="宋体" w:eastAsia="宋体" w:cs="宋体"/>
                <w:b/>
                <w:i w:val="0"/>
                <w:iCs w:val="0"/>
                <w:color w:val="auto"/>
                <w:sz w:val="21"/>
                <w:szCs w:val="21"/>
                <w:highlight w:val="none"/>
                <w:lang w:val="en-US" w:eastAsia="zh-CN"/>
              </w:rPr>
              <w:t>权值</w:t>
            </w:r>
          </w:p>
        </w:tc>
        <w:tc>
          <w:tcPr>
            <w:tcW w:w="480" w:type="pct"/>
            <w:tcBorders>
              <w:tl2br w:val="nil"/>
              <w:tr2bl w:val="nil"/>
            </w:tcBorders>
            <w:vAlign w:val="center"/>
          </w:tcPr>
          <w:p w14:paraId="3C4781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color w:val="auto"/>
                <w:sz w:val="21"/>
                <w:szCs w:val="21"/>
                <w:highlight w:val="none"/>
                <w:lang w:val="en-US" w:eastAsia="zh-CN"/>
              </w:rPr>
            </w:pPr>
            <w:r>
              <w:rPr>
                <w:rFonts w:hint="eastAsia" w:ascii="宋体" w:hAnsi="宋体" w:eastAsia="宋体" w:cs="宋体"/>
                <w:b w:val="0"/>
                <w:bCs/>
                <w:color w:val="auto"/>
                <w:szCs w:val="21"/>
                <w:highlight w:val="none"/>
                <w:lang w:val="en-US" w:eastAsia="zh-CN"/>
              </w:rPr>
              <w:t>主观分/客观分属性</w:t>
            </w:r>
          </w:p>
        </w:tc>
        <w:tc>
          <w:tcPr>
            <w:tcW w:w="536" w:type="pct"/>
            <w:tcBorders>
              <w:tl2br w:val="nil"/>
              <w:tr2bl w:val="nil"/>
            </w:tcBorders>
            <w:vAlign w:val="center"/>
          </w:tcPr>
          <w:p w14:paraId="14A828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投标文件中评标标准相应的商务技术资料目录</w:t>
            </w:r>
          </w:p>
        </w:tc>
      </w:tr>
      <w:tr w14:paraId="5107D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674298C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1</w:t>
            </w:r>
          </w:p>
        </w:tc>
        <w:tc>
          <w:tcPr>
            <w:tcW w:w="840" w:type="pct"/>
            <w:tcBorders>
              <w:tl2br w:val="nil"/>
              <w:tr2bl w:val="nil"/>
            </w:tcBorders>
            <w:shd w:val="clear" w:color="auto" w:fill="auto"/>
            <w:vAlign w:val="center"/>
          </w:tcPr>
          <w:p w14:paraId="110336E4">
            <w:pPr>
              <w:autoSpaceDE w:val="0"/>
              <w:autoSpaceDN w:val="0"/>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满足（核心产品★室内LED P1.86全彩屏）的性能及技术指标要求</w:t>
            </w:r>
          </w:p>
        </w:tc>
        <w:tc>
          <w:tcPr>
            <w:tcW w:w="2248" w:type="pct"/>
            <w:tcBorders>
              <w:tl2br w:val="nil"/>
              <w:tr2bl w:val="nil"/>
            </w:tcBorders>
            <w:shd w:val="clear" w:color="auto" w:fill="auto"/>
            <w:vAlign w:val="center"/>
          </w:tcPr>
          <w:p w14:paraId="1E7F5A86">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供应商承诺满足室内LED P1.86全彩屏核心产品的参数技术指标，得</w:t>
            </w:r>
            <w:r>
              <w:rPr>
                <w:rFonts w:hint="eastAsia" w:ascii="宋体" w:hAnsi="宋体" w:cs="宋体"/>
                <w:b w:val="0"/>
                <w:bCs/>
                <w:color w:val="auto"/>
                <w:sz w:val="21"/>
                <w:szCs w:val="21"/>
                <w:highlight w:val="none"/>
                <w:lang w:val="en-US" w:eastAsia="zh-CN"/>
              </w:rPr>
              <w:t>10</w:t>
            </w:r>
            <w:r>
              <w:rPr>
                <w:rFonts w:hint="default" w:ascii="宋体" w:hAnsi="宋体" w:eastAsia="宋体" w:cs="宋体"/>
                <w:b w:val="0"/>
                <w:bCs/>
                <w:color w:val="auto"/>
                <w:sz w:val="21"/>
                <w:szCs w:val="21"/>
                <w:highlight w:val="none"/>
                <w:lang w:val="en-US" w:eastAsia="zh-CN"/>
              </w:rPr>
              <w:t>分：不承诺则不得分。</w:t>
            </w:r>
          </w:p>
        </w:tc>
        <w:tc>
          <w:tcPr>
            <w:tcW w:w="480" w:type="pct"/>
            <w:tcBorders>
              <w:tl2br w:val="nil"/>
              <w:tr2bl w:val="nil"/>
            </w:tcBorders>
            <w:shd w:val="clear" w:color="auto" w:fill="auto"/>
            <w:vAlign w:val="center"/>
          </w:tcPr>
          <w:p w14:paraId="25D7667F">
            <w:pPr>
              <w:autoSpaceDE w:val="0"/>
              <w:autoSpaceDN w:val="0"/>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p>
        </w:tc>
        <w:tc>
          <w:tcPr>
            <w:tcW w:w="480" w:type="pct"/>
            <w:tcBorders>
              <w:tl2br w:val="nil"/>
              <w:tr2bl w:val="nil"/>
            </w:tcBorders>
            <w:shd w:val="clear" w:color="auto" w:fill="auto"/>
            <w:vAlign w:val="center"/>
          </w:tcPr>
          <w:p w14:paraId="6138A03E">
            <w:pPr>
              <w:autoSpaceDE w:val="0"/>
              <w:autoSpaceDN w:val="0"/>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客观分</w:t>
            </w:r>
          </w:p>
        </w:tc>
        <w:tc>
          <w:tcPr>
            <w:tcW w:w="536" w:type="pct"/>
            <w:tcBorders>
              <w:tl2br w:val="nil"/>
              <w:tr2bl w:val="nil"/>
            </w:tcBorders>
            <w:shd w:val="clear" w:color="auto" w:fill="auto"/>
            <w:vAlign w:val="center"/>
          </w:tcPr>
          <w:p w14:paraId="2D34B28D">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07DEE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54362A7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2</w:t>
            </w:r>
          </w:p>
        </w:tc>
        <w:tc>
          <w:tcPr>
            <w:tcW w:w="840" w:type="pct"/>
            <w:tcBorders>
              <w:tl2br w:val="nil"/>
              <w:tr2bl w:val="nil"/>
            </w:tcBorders>
            <w:shd w:val="clear" w:color="auto" w:fill="auto"/>
            <w:vAlign w:val="center"/>
          </w:tcPr>
          <w:p w14:paraId="71364E12">
            <w:pPr>
              <w:autoSpaceDE w:val="0"/>
              <w:autoSpaceDN w:val="0"/>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满足其他设备性能及技术指标要求</w:t>
            </w:r>
          </w:p>
        </w:tc>
        <w:tc>
          <w:tcPr>
            <w:tcW w:w="2248" w:type="pct"/>
            <w:tcBorders>
              <w:tl2br w:val="nil"/>
              <w:tr2bl w:val="nil"/>
            </w:tcBorders>
            <w:shd w:val="clear" w:color="auto" w:fill="auto"/>
            <w:vAlign w:val="center"/>
          </w:tcPr>
          <w:p w14:paraId="763849BC">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供应商承诺满足招标其他货物所有功能、性能及技术指标要求的得</w:t>
            </w:r>
            <w:r>
              <w:rPr>
                <w:rFonts w:hint="eastAsia" w:ascii="宋体" w:hAnsi="宋体" w:cs="宋体"/>
                <w:b w:val="0"/>
                <w:bCs/>
                <w:color w:val="auto"/>
                <w:sz w:val="21"/>
                <w:szCs w:val="21"/>
                <w:highlight w:val="none"/>
                <w:lang w:val="en-US" w:eastAsia="zh-CN"/>
              </w:rPr>
              <w:t>10</w:t>
            </w:r>
            <w:r>
              <w:rPr>
                <w:rFonts w:hint="default" w:ascii="宋体" w:hAnsi="宋体" w:eastAsia="宋体" w:cs="宋体"/>
                <w:b w:val="0"/>
                <w:bCs/>
                <w:color w:val="auto"/>
                <w:sz w:val="21"/>
                <w:szCs w:val="21"/>
                <w:highlight w:val="none"/>
                <w:lang w:val="en-US" w:eastAsia="zh-CN"/>
              </w:rPr>
              <w:t>分，每有一项负偏离的扣1分，</w:t>
            </w:r>
            <w:r>
              <w:rPr>
                <w:rFonts w:hint="eastAsia" w:ascii="宋体" w:hAnsi="宋体" w:cs="宋体"/>
                <w:b w:val="0"/>
                <w:bCs/>
                <w:color w:val="auto"/>
                <w:sz w:val="21"/>
                <w:szCs w:val="21"/>
                <w:highlight w:val="none"/>
                <w:lang w:val="en-US" w:eastAsia="zh-CN"/>
              </w:rPr>
              <w:t>扣完为止</w:t>
            </w:r>
            <w:r>
              <w:rPr>
                <w:rFonts w:hint="default" w:ascii="宋体" w:hAnsi="宋体" w:eastAsia="宋体" w:cs="宋体"/>
                <w:b w:val="0"/>
                <w:bCs/>
                <w:color w:val="auto"/>
                <w:sz w:val="21"/>
                <w:szCs w:val="21"/>
                <w:highlight w:val="none"/>
                <w:lang w:val="en-US" w:eastAsia="zh-CN"/>
              </w:rPr>
              <w:t>。</w:t>
            </w:r>
          </w:p>
        </w:tc>
        <w:tc>
          <w:tcPr>
            <w:tcW w:w="480" w:type="pct"/>
            <w:tcBorders>
              <w:tl2br w:val="nil"/>
              <w:tr2bl w:val="nil"/>
            </w:tcBorders>
            <w:shd w:val="clear" w:color="auto" w:fill="auto"/>
            <w:vAlign w:val="center"/>
          </w:tcPr>
          <w:p w14:paraId="10130AFF">
            <w:pPr>
              <w:autoSpaceDE w:val="0"/>
              <w:autoSpaceDN w:val="0"/>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p>
        </w:tc>
        <w:tc>
          <w:tcPr>
            <w:tcW w:w="480" w:type="pct"/>
            <w:tcBorders>
              <w:tl2br w:val="nil"/>
              <w:tr2bl w:val="nil"/>
            </w:tcBorders>
            <w:shd w:val="clear" w:color="auto" w:fill="auto"/>
            <w:vAlign w:val="center"/>
          </w:tcPr>
          <w:p w14:paraId="029D35F1">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客观分</w:t>
            </w:r>
          </w:p>
        </w:tc>
        <w:tc>
          <w:tcPr>
            <w:tcW w:w="536" w:type="pct"/>
            <w:tcBorders>
              <w:tl2br w:val="nil"/>
              <w:tr2bl w:val="nil"/>
            </w:tcBorders>
            <w:shd w:val="clear" w:color="auto" w:fill="auto"/>
            <w:vAlign w:val="center"/>
          </w:tcPr>
          <w:p w14:paraId="2528F331">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23C8C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Merge w:val="restart"/>
            <w:tcBorders>
              <w:tl2br w:val="nil"/>
              <w:tr2bl w:val="nil"/>
            </w:tcBorders>
            <w:vAlign w:val="center"/>
          </w:tcPr>
          <w:p w14:paraId="17247E9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3</w:t>
            </w:r>
          </w:p>
        </w:tc>
        <w:tc>
          <w:tcPr>
            <w:tcW w:w="840" w:type="pct"/>
            <w:vMerge w:val="restart"/>
            <w:tcBorders>
              <w:tl2br w:val="nil"/>
              <w:tr2bl w:val="nil"/>
            </w:tcBorders>
            <w:shd w:val="clear" w:color="auto" w:fill="auto"/>
            <w:vAlign w:val="center"/>
          </w:tcPr>
          <w:p w14:paraId="3A98CAED">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default" w:ascii="宋体" w:hAnsi="宋体" w:cs="宋体"/>
                <w:b w:val="0"/>
                <w:bCs/>
                <w:color w:val="auto"/>
                <w:sz w:val="21"/>
                <w:szCs w:val="21"/>
                <w:highlight w:val="none"/>
                <w:lang w:val="en-US" w:eastAsia="zh-CN"/>
              </w:rPr>
              <w:t>样品</w:t>
            </w:r>
          </w:p>
        </w:tc>
        <w:tc>
          <w:tcPr>
            <w:tcW w:w="2248" w:type="pct"/>
            <w:tcBorders>
              <w:tl2br w:val="nil"/>
              <w:tr2bl w:val="nil"/>
            </w:tcBorders>
            <w:shd w:val="clear" w:color="auto" w:fill="auto"/>
            <w:vAlign w:val="center"/>
          </w:tcPr>
          <w:p w14:paraId="0225DB08">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提供样品一块规格为320*160mm的LED屏模组</w:t>
            </w:r>
            <w:r>
              <w:rPr>
                <w:rFonts w:hint="eastAsia" w:ascii="宋体" w:hAnsi="宋体" w:cs="宋体"/>
                <w:b w:val="0"/>
                <w:bCs/>
                <w:color w:val="auto"/>
                <w:sz w:val="21"/>
                <w:szCs w:val="21"/>
                <w:highlight w:val="none"/>
                <w:lang w:val="en-US" w:eastAsia="zh-CN"/>
              </w:rPr>
              <w:t>：</w:t>
            </w:r>
          </w:p>
          <w:p w14:paraId="223E6189">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default" w:ascii="宋体" w:hAnsi="宋体" w:eastAsia="宋体" w:cs="宋体"/>
                <w:b w:val="0"/>
                <w:bCs/>
                <w:color w:val="auto"/>
                <w:sz w:val="21"/>
                <w:szCs w:val="21"/>
                <w:highlight w:val="none"/>
                <w:lang w:val="en-US" w:eastAsia="zh-CN"/>
              </w:rPr>
              <w:t>外观、材质</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w:t>
            </w:r>
          </w:p>
          <w:p w14:paraId="50AEF2F5">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default" w:ascii="宋体" w:hAnsi="宋体" w:eastAsia="宋体" w:cs="宋体"/>
                <w:b w:val="0"/>
                <w:bCs/>
                <w:color w:val="auto"/>
                <w:sz w:val="21"/>
                <w:szCs w:val="21"/>
                <w:highlight w:val="none"/>
                <w:lang w:val="en-US" w:eastAsia="zh-CN"/>
              </w:rPr>
              <w:t>工艺</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default" w:ascii="宋体" w:hAnsi="宋体" w:eastAsia="宋体" w:cs="宋体"/>
                <w:b w:val="0"/>
                <w:bCs/>
                <w:color w:val="auto"/>
                <w:sz w:val="21"/>
                <w:szCs w:val="21"/>
                <w:highlight w:val="none"/>
                <w:lang w:val="en-US" w:eastAsia="zh-CN"/>
              </w:rPr>
              <w:t>。</w:t>
            </w:r>
          </w:p>
        </w:tc>
        <w:tc>
          <w:tcPr>
            <w:tcW w:w="480" w:type="pct"/>
            <w:tcBorders>
              <w:tl2br w:val="nil"/>
              <w:tr2bl w:val="nil"/>
            </w:tcBorders>
            <w:shd w:val="clear" w:color="auto" w:fill="auto"/>
            <w:vAlign w:val="center"/>
          </w:tcPr>
          <w:p w14:paraId="47CC2D5F">
            <w:pPr>
              <w:autoSpaceDE w:val="0"/>
              <w:autoSpaceDN w:val="0"/>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480" w:type="pct"/>
            <w:tcBorders>
              <w:tl2br w:val="nil"/>
              <w:tr2bl w:val="nil"/>
            </w:tcBorders>
            <w:shd w:val="clear" w:color="auto" w:fill="auto"/>
            <w:vAlign w:val="center"/>
          </w:tcPr>
          <w:p w14:paraId="756A5103">
            <w:pPr>
              <w:autoSpaceDE w:val="0"/>
              <w:autoSpaceDN w:val="0"/>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46560A47">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170C2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Merge w:val="continue"/>
            <w:tcBorders>
              <w:tl2br w:val="nil"/>
              <w:tr2bl w:val="nil"/>
            </w:tcBorders>
            <w:vAlign w:val="center"/>
          </w:tcPr>
          <w:p w14:paraId="4ECCE3D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p>
        </w:tc>
        <w:tc>
          <w:tcPr>
            <w:tcW w:w="840" w:type="pct"/>
            <w:vMerge w:val="continue"/>
            <w:tcBorders>
              <w:tl2br w:val="nil"/>
              <w:tr2bl w:val="nil"/>
            </w:tcBorders>
            <w:shd w:val="clear" w:color="auto" w:fill="auto"/>
            <w:vAlign w:val="center"/>
          </w:tcPr>
          <w:p w14:paraId="679AB2C3">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p>
        </w:tc>
        <w:tc>
          <w:tcPr>
            <w:tcW w:w="2248" w:type="pct"/>
            <w:tcBorders>
              <w:tl2br w:val="nil"/>
              <w:tr2bl w:val="nil"/>
            </w:tcBorders>
            <w:shd w:val="clear" w:color="auto" w:fill="auto"/>
            <w:vAlign w:val="center"/>
          </w:tcPr>
          <w:p w14:paraId="218D834B">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提供样品一套规格1280*640mm的LED屏现场点亮：</w:t>
            </w:r>
          </w:p>
          <w:p w14:paraId="04BA707C">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cs="宋体"/>
                <w:color w:val="auto"/>
                <w:sz w:val="21"/>
                <w:szCs w:val="21"/>
                <w:highlight w:val="none"/>
                <w:lang w:val="en-US" w:eastAsia="zh-CN"/>
              </w:rPr>
              <w:t>材质、平整度</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w:t>
            </w:r>
          </w:p>
          <w:p w14:paraId="63CE06CE">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cs="宋体"/>
                <w:color w:val="auto"/>
                <w:sz w:val="21"/>
                <w:szCs w:val="21"/>
                <w:highlight w:val="none"/>
                <w:lang w:val="en-US" w:eastAsia="zh-CN"/>
              </w:rPr>
              <w:t>亮度、色彩度</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w:t>
            </w:r>
          </w:p>
          <w:p w14:paraId="1E754DCC">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cs="宋体"/>
                <w:color w:val="auto"/>
                <w:sz w:val="21"/>
                <w:szCs w:val="21"/>
                <w:highlight w:val="none"/>
                <w:lang w:val="en-US" w:eastAsia="zh-CN"/>
              </w:rPr>
              <w:t>拼缝</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480" w:type="pct"/>
            <w:tcBorders>
              <w:tl2br w:val="nil"/>
              <w:tr2bl w:val="nil"/>
            </w:tcBorders>
            <w:shd w:val="clear" w:color="auto" w:fill="auto"/>
            <w:vAlign w:val="center"/>
          </w:tcPr>
          <w:p w14:paraId="698CB29D">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p>
        </w:tc>
        <w:tc>
          <w:tcPr>
            <w:tcW w:w="480" w:type="pct"/>
            <w:tcBorders>
              <w:tl2br w:val="nil"/>
              <w:tr2bl w:val="nil"/>
            </w:tcBorders>
            <w:shd w:val="clear" w:color="auto" w:fill="auto"/>
            <w:vAlign w:val="center"/>
          </w:tcPr>
          <w:p w14:paraId="70E2B05E">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15323A12">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52419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vMerge w:val="continue"/>
            <w:tcBorders>
              <w:tl2br w:val="nil"/>
              <w:tr2bl w:val="nil"/>
            </w:tcBorders>
            <w:vAlign w:val="center"/>
          </w:tcPr>
          <w:p w14:paraId="02944DC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p>
        </w:tc>
        <w:tc>
          <w:tcPr>
            <w:tcW w:w="840" w:type="pct"/>
            <w:vMerge w:val="continue"/>
            <w:tcBorders>
              <w:tl2br w:val="nil"/>
              <w:tr2bl w:val="nil"/>
            </w:tcBorders>
            <w:shd w:val="clear" w:color="auto" w:fill="auto"/>
            <w:vAlign w:val="center"/>
          </w:tcPr>
          <w:p w14:paraId="2628DE6C">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p>
        </w:tc>
        <w:tc>
          <w:tcPr>
            <w:tcW w:w="2248" w:type="pct"/>
            <w:tcBorders>
              <w:tl2br w:val="nil"/>
              <w:tr2bl w:val="nil"/>
            </w:tcBorders>
            <w:shd w:val="clear" w:color="auto" w:fill="auto"/>
            <w:vAlign w:val="center"/>
          </w:tcPr>
          <w:p w14:paraId="06719D6A">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提供样品一台43寸信息发布终端：</w:t>
            </w:r>
          </w:p>
          <w:p w14:paraId="5D1AE10B">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cs="宋体"/>
                <w:color w:val="auto"/>
                <w:sz w:val="21"/>
                <w:szCs w:val="21"/>
                <w:highlight w:val="none"/>
                <w:lang w:val="en-US" w:eastAsia="zh-CN"/>
              </w:rPr>
              <w:t>外观</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w:t>
            </w:r>
          </w:p>
          <w:p w14:paraId="1420F9E4">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cs="宋体"/>
                <w:color w:val="auto"/>
                <w:sz w:val="21"/>
                <w:szCs w:val="21"/>
                <w:highlight w:val="none"/>
                <w:lang w:val="en-US" w:eastAsia="zh-CN"/>
              </w:rPr>
              <w:t>亮度、色彩度</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480" w:type="pct"/>
            <w:tcBorders>
              <w:tl2br w:val="nil"/>
              <w:tr2bl w:val="nil"/>
            </w:tcBorders>
            <w:shd w:val="clear" w:color="auto" w:fill="auto"/>
            <w:vAlign w:val="center"/>
          </w:tcPr>
          <w:p w14:paraId="12E79361">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480" w:type="pct"/>
            <w:tcBorders>
              <w:tl2br w:val="nil"/>
              <w:tr2bl w:val="nil"/>
            </w:tcBorders>
            <w:shd w:val="clear" w:color="auto" w:fill="auto"/>
            <w:vAlign w:val="center"/>
          </w:tcPr>
          <w:p w14:paraId="6FAFAC8E">
            <w:pPr>
              <w:autoSpaceDE w:val="0"/>
              <w:autoSpaceDN w:val="0"/>
              <w:adjustRightInd w:val="0"/>
              <w:spacing w:line="24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67424BDF">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27CD4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2C48BF4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4</w:t>
            </w:r>
          </w:p>
        </w:tc>
        <w:tc>
          <w:tcPr>
            <w:tcW w:w="840" w:type="pct"/>
            <w:tcBorders>
              <w:tl2br w:val="nil"/>
              <w:tr2bl w:val="nil"/>
            </w:tcBorders>
            <w:shd w:val="clear" w:color="auto" w:fill="auto"/>
            <w:vAlign w:val="center"/>
          </w:tcPr>
          <w:p w14:paraId="0D874287">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演示</w:t>
            </w:r>
          </w:p>
        </w:tc>
        <w:tc>
          <w:tcPr>
            <w:tcW w:w="2248" w:type="pct"/>
            <w:tcBorders>
              <w:tl2br w:val="nil"/>
              <w:tr2bl w:val="nil"/>
            </w:tcBorders>
            <w:shd w:val="clear" w:color="auto" w:fill="auto"/>
            <w:vAlign w:val="center"/>
          </w:tcPr>
          <w:p w14:paraId="686DA95C">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43寸信息发布终端现场演示：</w:t>
            </w:r>
          </w:p>
          <w:p w14:paraId="09237DF3">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cs="宋体"/>
                <w:color w:val="auto"/>
                <w:sz w:val="21"/>
                <w:szCs w:val="21"/>
                <w:highlight w:val="none"/>
                <w:lang w:val="en-US" w:eastAsia="zh-CN"/>
              </w:rPr>
              <w:t>系统的功能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69D59A3B">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cs="宋体"/>
                <w:color w:val="auto"/>
                <w:sz w:val="21"/>
                <w:szCs w:val="21"/>
                <w:highlight w:val="none"/>
                <w:lang w:val="en-US" w:eastAsia="zh-CN"/>
              </w:rPr>
              <w:t>操作性能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2B7FA176">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(3)系统</w:t>
            </w:r>
            <w:r>
              <w:rPr>
                <w:rFonts w:hint="eastAsia" w:ascii="宋体" w:hAnsi="宋体" w:cs="宋体"/>
                <w:color w:val="auto"/>
                <w:sz w:val="21"/>
                <w:szCs w:val="21"/>
                <w:highlight w:val="none"/>
                <w:lang w:val="en-US" w:eastAsia="zh-CN"/>
              </w:rPr>
              <w:t>流畅性</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480" w:type="pct"/>
            <w:tcBorders>
              <w:tl2br w:val="nil"/>
              <w:tr2bl w:val="nil"/>
            </w:tcBorders>
            <w:shd w:val="clear" w:color="auto" w:fill="auto"/>
            <w:vAlign w:val="center"/>
          </w:tcPr>
          <w:p w14:paraId="4761E10B">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p>
        </w:tc>
        <w:tc>
          <w:tcPr>
            <w:tcW w:w="480" w:type="pct"/>
            <w:tcBorders>
              <w:tl2br w:val="nil"/>
              <w:tr2bl w:val="nil"/>
            </w:tcBorders>
            <w:shd w:val="clear" w:color="auto" w:fill="auto"/>
            <w:vAlign w:val="center"/>
          </w:tcPr>
          <w:p w14:paraId="0B2759D6">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6D933FC3">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1B103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65A621E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5</w:t>
            </w:r>
          </w:p>
        </w:tc>
        <w:tc>
          <w:tcPr>
            <w:tcW w:w="840" w:type="pct"/>
            <w:tcBorders>
              <w:tl2br w:val="nil"/>
              <w:tr2bl w:val="nil"/>
            </w:tcBorders>
            <w:shd w:val="clear" w:color="auto" w:fill="auto"/>
            <w:vAlign w:val="center"/>
          </w:tcPr>
          <w:p w14:paraId="094C5921">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项目总体</w:t>
            </w:r>
          </w:p>
          <w:p w14:paraId="0C419DD7">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p>
        </w:tc>
        <w:tc>
          <w:tcPr>
            <w:tcW w:w="2248" w:type="pct"/>
            <w:tcBorders>
              <w:tl2br w:val="nil"/>
              <w:tr2bl w:val="nil"/>
            </w:tcBorders>
            <w:shd w:val="clear" w:color="auto" w:fill="auto"/>
            <w:vAlign w:val="center"/>
          </w:tcPr>
          <w:p w14:paraId="3137A36D">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default" w:ascii="宋体" w:hAnsi="宋体" w:cs="宋体"/>
                <w:b w:val="0"/>
                <w:bCs/>
                <w:color w:val="auto"/>
                <w:sz w:val="21"/>
                <w:szCs w:val="21"/>
                <w:highlight w:val="none"/>
                <w:lang w:val="en-US" w:eastAsia="zh-CN"/>
              </w:rPr>
              <w:t>根据投标人对本项目的整体需求、建设背景、现状分析、建设目标、功能需求、特点及重点难点问题的理解等，制定相应的方案打分（0-3分）。</w:t>
            </w:r>
          </w:p>
        </w:tc>
        <w:tc>
          <w:tcPr>
            <w:tcW w:w="480" w:type="pct"/>
            <w:tcBorders>
              <w:tl2br w:val="nil"/>
              <w:tr2bl w:val="nil"/>
            </w:tcBorders>
            <w:shd w:val="clear" w:color="auto" w:fill="auto"/>
            <w:vAlign w:val="center"/>
          </w:tcPr>
          <w:p w14:paraId="275269D5">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480" w:type="pct"/>
            <w:tcBorders>
              <w:tl2br w:val="nil"/>
              <w:tr2bl w:val="nil"/>
            </w:tcBorders>
            <w:shd w:val="clear" w:color="auto" w:fill="auto"/>
            <w:vAlign w:val="center"/>
          </w:tcPr>
          <w:p w14:paraId="37EA340A">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10B8339E">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222B1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4" w:type="pct"/>
            <w:tcBorders>
              <w:tl2br w:val="nil"/>
              <w:tr2bl w:val="nil"/>
            </w:tcBorders>
            <w:vAlign w:val="center"/>
          </w:tcPr>
          <w:p w14:paraId="45EFCBF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6</w:t>
            </w:r>
          </w:p>
        </w:tc>
        <w:tc>
          <w:tcPr>
            <w:tcW w:w="840" w:type="pct"/>
            <w:tcBorders>
              <w:tl2br w:val="nil"/>
              <w:tr2bl w:val="nil"/>
            </w:tcBorders>
            <w:shd w:val="clear" w:color="auto" w:fill="auto"/>
            <w:vAlign w:val="center"/>
          </w:tcPr>
          <w:p w14:paraId="5B70804E">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设计方案</w:t>
            </w:r>
          </w:p>
        </w:tc>
        <w:tc>
          <w:tcPr>
            <w:tcW w:w="2248" w:type="pct"/>
            <w:tcBorders>
              <w:tl2br w:val="nil"/>
              <w:tr2bl w:val="nil"/>
            </w:tcBorders>
            <w:shd w:val="clear" w:color="auto" w:fill="auto"/>
            <w:vAlign w:val="center"/>
          </w:tcPr>
          <w:p w14:paraId="2FA3C86A">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根据投标人对实际场地的设备布局、线路布置等设计方案的合理性、规范性、安全性、场地利用率等方面进行打分（0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80" w:type="pct"/>
            <w:tcBorders>
              <w:tl2br w:val="nil"/>
              <w:tr2bl w:val="nil"/>
            </w:tcBorders>
            <w:shd w:val="clear" w:color="auto" w:fill="auto"/>
            <w:vAlign w:val="center"/>
          </w:tcPr>
          <w:p w14:paraId="0BEBBACE">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480" w:type="pct"/>
            <w:tcBorders>
              <w:tl2br w:val="nil"/>
              <w:tr2bl w:val="nil"/>
            </w:tcBorders>
            <w:shd w:val="clear" w:color="auto" w:fill="auto"/>
            <w:vAlign w:val="center"/>
          </w:tcPr>
          <w:p w14:paraId="167607FE">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0DCFBE75">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77DA5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71DAD93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7</w:t>
            </w:r>
          </w:p>
        </w:tc>
        <w:tc>
          <w:tcPr>
            <w:tcW w:w="840" w:type="pct"/>
            <w:tcBorders>
              <w:tl2br w:val="nil"/>
              <w:tr2bl w:val="nil"/>
            </w:tcBorders>
            <w:shd w:val="clear" w:color="auto" w:fill="auto"/>
            <w:vAlign w:val="center"/>
          </w:tcPr>
          <w:p w14:paraId="1133E9FE">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组织实施</w:t>
            </w:r>
          </w:p>
          <w:p w14:paraId="2D8C0226">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p>
        </w:tc>
        <w:tc>
          <w:tcPr>
            <w:tcW w:w="2248" w:type="pct"/>
            <w:tcBorders>
              <w:tl2br w:val="nil"/>
              <w:tr2bl w:val="nil"/>
            </w:tcBorders>
            <w:shd w:val="clear" w:color="auto" w:fill="auto"/>
            <w:vAlign w:val="center"/>
          </w:tcPr>
          <w:p w14:paraId="6F0524BE">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根据投标人针本项目制定的设备整体集成方案、送货方案、项目进度安排方案、安装调试方案、验收方案的科学性、合理性、规范性和可操作性等打分（0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480" w:type="pct"/>
            <w:tcBorders>
              <w:tl2br w:val="nil"/>
              <w:tr2bl w:val="nil"/>
            </w:tcBorders>
            <w:shd w:val="clear" w:color="auto" w:fill="auto"/>
            <w:vAlign w:val="center"/>
          </w:tcPr>
          <w:p w14:paraId="0D558E86">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480" w:type="pct"/>
            <w:tcBorders>
              <w:tl2br w:val="nil"/>
              <w:tr2bl w:val="nil"/>
            </w:tcBorders>
            <w:shd w:val="clear" w:color="auto" w:fill="auto"/>
            <w:vAlign w:val="center"/>
          </w:tcPr>
          <w:p w14:paraId="74F95A97">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7EE13617">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0145B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16E0361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8</w:t>
            </w:r>
          </w:p>
        </w:tc>
        <w:tc>
          <w:tcPr>
            <w:tcW w:w="840" w:type="pct"/>
            <w:tcBorders>
              <w:tl2br w:val="nil"/>
              <w:tr2bl w:val="nil"/>
            </w:tcBorders>
            <w:shd w:val="clear" w:color="auto" w:fill="auto"/>
            <w:vAlign w:val="center"/>
          </w:tcPr>
          <w:p w14:paraId="590319E1">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重大活动保障方案</w:t>
            </w:r>
          </w:p>
        </w:tc>
        <w:tc>
          <w:tcPr>
            <w:tcW w:w="2248" w:type="pct"/>
            <w:tcBorders>
              <w:tl2br w:val="nil"/>
              <w:tr2bl w:val="nil"/>
            </w:tcBorders>
            <w:shd w:val="clear" w:color="auto" w:fill="auto"/>
            <w:vAlign w:val="center"/>
          </w:tcPr>
          <w:p w14:paraId="3DDED809">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default" w:ascii="宋体" w:hAnsi="宋体" w:cs="宋体"/>
                <w:b w:val="0"/>
                <w:bCs/>
                <w:color w:val="auto"/>
                <w:sz w:val="21"/>
                <w:szCs w:val="21"/>
                <w:highlight w:val="none"/>
                <w:lang w:val="en-US" w:eastAsia="zh-CN"/>
              </w:rPr>
              <w:t>根据投标人针对重大活动保障期间指定的方案（包括但不限于人员安排、工作安排等）进行打分（0-2分）。</w:t>
            </w:r>
          </w:p>
        </w:tc>
        <w:tc>
          <w:tcPr>
            <w:tcW w:w="480" w:type="pct"/>
            <w:tcBorders>
              <w:tl2br w:val="nil"/>
              <w:tr2bl w:val="nil"/>
            </w:tcBorders>
            <w:shd w:val="clear" w:color="auto" w:fill="auto"/>
            <w:vAlign w:val="center"/>
          </w:tcPr>
          <w:p w14:paraId="4C14C514">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480" w:type="pct"/>
            <w:tcBorders>
              <w:tl2br w:val="nil"/>
              <w:tr2bl w:val="nil"/>
            </w:tcBorders>
            <w:shd w:val="clear" w:color="auto" w:fill="auto"/>
            <w:vAlign w:val="center"/>
          </w:tcPr>
          <w:p w14:paraId="2C4A0890">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4EF49BF6">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1CDF6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55EBD7E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9</w:t>
            </w:r>
          </w:p>
        </w:tc>
        <w:tc>
          <w:tcPr>
            <w:tcW w:w="840" w:type="pct"/>
            <w:tcBorders>
              <w:tl2br w:val="nil"/>
              <w:tr2bl w:val="nil"/>
            </w:tcBorders>
            <w:shd w:val="clear" w:color="auto" w:fill="auto"/>
            <w:vAlign w:val="center"/>
          </w:tcPr>
          <w:p w14:paraId="5DD9B7F2">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服务团队</w:t>
            </w:r>
          </w:p>
        </w:tc>
        <w:tc>
          <w:tcPr>
            <w:tcW w:w="2248" w:type="pct"/>
            <w:tcBorders>
              <w:tl2br w:val="nil"/>
              <w:tr2bl w:val="nil"/>
            </w:tcBorders>
            <w:shd w:val="clear" w:color="auto" w:fill="auto"/>
            <w:vAlign w:val="center"/>
          </w:tcPr>
          <w:p w14:paraId="29D8034F">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default" w:ascii="宋体" w:hAnsi="宋体" w:cs="宋体"/>
                <w:b w:val="0"/>
                <w:bCs/>
                <w:color w:val="auto"/>
                <w:sz w:val="21"/>
                <w:szCs w:val="21"/>
                <w:highlight w:val="none"/>
                <w:lang w:val="en-US" w:eastAsia="zh-CN"/>
              </w:rPr>
              <w:t>根据拟投入本项目的项目负责人（包括但不限于人员的素质、能力、资格、经验等，是否具有相关资质等）打分（0-2分）。</w:t>
            </w:r>
          </w:p>
          <w:p w14:paraId="7ED56D73">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default" w:ascii="宋体" w:hAnsi="宋体" w:cs="宋体"/>
                <w:b w:val="0"/>
                <w:bCs/>
                <w:color w:val="auto"/>
                <w:sz w:val="21"/>
                <w:szCs w:val="21"/>
                <w:highlight w:val="none"/>
                <w:lang w:val="en-US" w:eastAsia="zh-CN"/>
              </w:rPr>
              <w:t>根据拟投入本项目的技术人员等其他人员情况（包括但不限于人员的素质、能力、资格、经验和人数，是否具有相关资质等）打分（0-</w:t>
            </w:r>
            <w:r>
              <w:rPr>
                <w:rFonts w:hint="eastAsia" w:ascii="宋体" w:hAnsi="宋体" w:cs="宋体"/>
                <w:b w:val="0"/>
                <w:bCs/>
                <w:color w:val="auto"/>
                <w:sz w:val="21"/>
                <w:szCs w:val="21"/>
                <w:highlight w:val="none"/>
                <w:lang w:val="en-US" w:eastAsia="zh-CN"/>
              </w:rPr>
              <w:t>2</w:t>
            </w:r>
            <w:r>
              <w:rPr>
                <w:rFonts w:hint="default" w:ascii="宋体" w:hAnsi="宋体" w:cs="宋体"/>
                <w:b w:val="0"/>
                <w:bCs/>
                <w:color w:val="auto"/>
                <w:sz w:val="21"/>
                <w:szCs w:val="21"/>
                <w:highlight w:val="none"/>
                <w:lang w:val="en-US" w:eastAsia="zh-CN"/>
              </w:rPr>
              <w:t>分）。</w:t>
            </w:r>
          </w:p>
          <w:p w14:paraId="517F0BBA">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default" w:ascii="宋体" w:hAnsi="宋体" w:cs="宋体"/>
                <w:b w:val="0"/>
                <w:bCs/>
                <w:color w:val="auto"/>
                <w:sz w:val="21"/>
                <w:szCs w:val="21"/>
                <w:highlight w:val="none"/>
                <w:lang w:val="en-US" w:eastAsia="zh-CN"/>
              </w:rPr>
              <w:t>注：须提供开标前三个月内的社保证明</w:t>
            </w:r>
            <w:r>
              <w:rPr>
                <w:rFonts w:hint="eastAsia" w:ascii="宋体" w:hAnsi="宋体" w:cs="宋体"/>
                <w:b w:val="0"/>
                <w:bCs/>
                <w:color w:val="auto"/>
                <w:sz w:val="21"/>
                <w:szCs w:val="21"/>
                <w:highlight w:val="none"/>
                <w:lang w:val="en-US" w:eastAsia="zh-CN"/>
              </w:rPr>
              <w:t>或</w:t>
            </w:r>
            <w:r>
              <w:rPr>
                <w:rFonts w:hint="default" w:ascii="宋体" w:hAnsi="宋体" w:cs="宋体"/>
                <w:b w:val="0"/>
                <w:bCs/>
                <w:color w:val="auto"/>
                <w:sz w:val="21"/>
                <w:szCs w:val="21"/>
                <w:highlight w:val="none"/>
                <w:lang w:val="en-US" w:eastAsia="zh-CN"/>
              </w:rPr>
              <w:t>退休人员提供劳务合同，否则不得分。</w:t>
            </w:r>
          </w:p>
        </w:tc>
        <w:tc>
          <w:tcPr>
            <w:tcW w:w="480" w:type="pct"/>
            <w:tcBorders>
              <w:tl2br w:val="nil"/>
              <w:tr2bl w:val="nil"/>
            </w:tcBorders>
            <w:shd w:val="clear" w:color="auto" w:fill="auto"/>
            <w:vAlign w:val="center"/>
          </w:tcPr>
          <w:p w14:paraId="44319A22">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480" w:type="pct"/>
            <w:tcBorders>
              <w:tl2br w:val="nil"/>
              <w:tr2bl w:val="nil"/>
            </w:tcBorders>
            <w:shd w:val="clear" w:color="auto" w:fill="auto"/>
            <w:vAlign w:val="center"/>
          </w:tcPr>
          <w:p w14:paraId="7E964413">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4279D2F2">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3C8DD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355A443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10</w:t>
            </w:r>
          </w:p>
        </w:tc>
        <w:tc>
          <w:tcPr>
            <w:tcW w:w="840" w:type="pct"/>
            <w:tcBorders>
              <w:tl2br w:val="nil"/>
              <w:tr2bl w:val="nil"/>
            </w:tcBorders>
            <w:shd w:val="clear" w:color="auto" w:fill="auto"/>
            <w:vAlign w:val="center"/>
          </w:tcPr>
          <w:p w14:paraId="74D8A6C7">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售后方案</w:t>
            </w:r>
          </w:p>
        </w:tc>
        <w:tc>
          <w:tcPr>
            <w:tcW w:w="2248" w:type="pct"/>
            <w:tcBorders>
              <w:tl2br w:val="nil"/>
              <w:tr2bl w:val="nil"/>
            </w:tcBorders>
            <w:shd w:val="clear" w:color="auto" w:fill="auto"/>
            <w:vAlign w:val="center"/>
          </w:tcPr>
          <w:p w14:paraId="0E6C6106">
            <w:pPr>
              <w:keepNext w:val="0"/>
              <w:keepLines w:val="0"/>
              <w:pageBreakBefore w:val="0"/>
              <w:widowControl w:val="0"/>
              <w:shd w:val="clear" w:color="auto" w:fill="auto"/>
              <w:kinsoku/>
              <w:wordWrap w:val="0"/>
              <w:overflowPunct/>
              <w:topLinePunct w:val="0"/>
              <w:autoSpaceDE/>
              <w:autoSpaceDN w:val="0"/>
              <w:bidi w:val="0"/>
              <w:spacing w:line="360" w:lineRule="exact"/>
              <w:rPr>
                <w:rFonts w:hint="default"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投标人针对本项目的售后服务方案（包括服务人员的配备和技术力量、售后机构完善程度、整体运维能力、售后响应时间和程度打分（0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480" w:type="pct"/>
            <w:tcBorders>
              <w:tl2br w:val="nil"/>
              <w:tr2bl w:val="nil"/>
            </w:tcBorders>
            <w:shd w:val="clear" w:color="auto" w:fill="auto"/>
            <w:vAlign w:val="center"/>
          </w:tcPr>
          <w:p w14:paraId="7D1A1F20">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480" w:type="pct"/>
            <w:tcBorders>
              <w:tl2br w:val="nil"/>
              <w:tr2bl w:val="nil"/>
            </w:tcBorders>
            <w:shd w:val="clear" w:color="auto" w:fill="auto"/>
            <w:vAlign w:val="center"/>
          </w:tcPr>
          <w:p w14:paraId="398087E5">
            <w:pPr>
              <w:autoSpaceDE w:val="0"/>
              <w:autoSpaceDN w:val="0"/>
              <w:adjustRightInd w:val="0"/>
              <w:spacing w:line="24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55EB1E64">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0D5C8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553A264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11</w:t>
            </w:r>
          </w:p>
        </w:tc>
        <w:tc>
          <w:tcPr>
            <w:tcW w:w="840" w:type="pct"/>
            <w:tcBorders>
              <w:tl2br w:val="nil"/>
              <w:tr2bl w:val="nil"/>
            </w:tcBorders>
            <w:shd w:val="clear" w:color="auto" w:fill="auto"/>
            <w:vAlign w:val="center"/>
          </w:tcPr>
          <w:p w14:paraId="4232A31B">
            <w:pPr>
              <w:autoSpaceDE w:val="0"/>
              <w:autoSpaceDN w:val="0"/>
              <w:adjustRightInd w:val="0"/>
              <w:spacing w:line="240" w:lineRule="auto"/>
              <w:jc w:val="center"/>
              <w:rPr>
                <w:rFonts w:hint="eastAsia" w:ascii="宋体" w:hAnsi="宋体" w:cs="宋体"/>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bidi="ar"/>
              </w:rPr>
              <w:t>合理化建议</w:t>
            </w:r>
          </w:p>
        </w:tc>
        <w:tc>
          <w:tcPr>
            <w:tcW w:w="2248" w:type="pct"/>
            <w:tcBorders>
              <w:tl2br w:val="nil"/>
              <w:tr2bl w:val="nil"/>
            </w:tcBorders>
            <w:shd w:val="clear" w:color="auto" w:fill="auto"/>
            <w:vAlign w:val="center"/>
          </w:tcPr>
          <w:p w14:paraId="593516FF">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根据对本项目建设需求深入了解，能针对本项目提供合理化建议和措施，经专家组认可后每项得1分，最高得2分。</w:t>
            </w:r>
          </w:p>
        </w:tc>
        <w:tc>
          <w:tcPr>
            <w:tcW w:w="480" w:type="pct"/>
            <w:tcBorders>
              <w:tl2br w:val="nil"/>
              <w:tr2bl w:val="nil"/>
            </w:tcBorders>
            <w:shd w:val="clear" w:color="auto" w:fill="auto"/>
            <w:vAlign w:val="center"/>
          </w:tcPr>
          <w:p w14:paraId="460F5714">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480" w:type="pct"/>
            <w:tcBorders>
              <w:tl2br w:val="nil"/>
              <w:tr2bl w:val="nil"/>
            </w:tcBorders>
            <w:shd w:val="clear" w:color="auto" w:fill="auto"/>
            <w:vAlign w:val="center"/>
          </w:tcPr>
          <w:p w14:paraId="6D6C3DD2">
            <w:pPr>
              <w:autoSpaceDE w:val="0"/>
              <w:autoSpaceDN w:val="0"/>
              <w:adjustRightInd w:val="0"/>
              <w:spacing w:line="24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主观分</w:t>
            </w:r>
          </w:p>
        </w:tc>
        <w:tc>
          <w:tcPr>
            <w:tcW w:w="536" w:type="pct"/>
            <w:tcBorders>
              <w:tl2br w:val="nil"/>
              <w:tr2bl w:val="nil"/>
            </w:tcBorders>
            <w:shd w:val="clear" w:color="auto" w:fill="auto"/>
            <w:vAlign w:val="center"/>
          </w:tcPr>
          <w:p w14:paraId="1BA801CA">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728CC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209499F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12</w:t>
            </w:r>
          </w:p>
        </w:tc>
        <w:tc>
          <w:tcPr>
            <w:tcW w:w="840" w:type="pct"/>
            <w:tcBorders>
              <w:tl2br w:val="nil"/>
              <w:tr2bl w:val="nil"/>
            </w:tcBorders>
            <w:shd w:val="clear" w:color="auto" w:fill="auto"/>
            <w:vAlign w:val="center"/>
          </w:tcPr>
          <w:p w14:paraId="4EEC6460">
            <w:pPr>
              <w:autoSpaceDE w:val="0"/>
              <w:autoSpaceDN w:val="0"/>
              <w:adjustRightInd w:val="0"/>
              <w:spacing w:line="240" w:lineRule="auto"/>
              <w:jc w:val="center"/>
              <w:rPr>
                <w:rFonts w:hint="eastAsia" w:ascii="宋体" w:hAnsi="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lang w:eastAsia="en-US"/>
              </w:rPr>
              <w:t>企业</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lang w:eastAsia="en-US"/>
              </w:rPr>
              <w:t>实力</w:t>
            </w:r>
          </w:p>
        </w:tc>
        <w:tc>
          <w:tcPr>
            <w:tcW w:w="2248" w:type="pct"/>
            <w:tcBorders>
              <w:tl2br w:val="nil"/>
              <w:tr2bl w:val="nil"/>
            </w:tcBorders>
            <w:shd w:val="clear" w:color="auto" w:fill="auto"/>
            <w:vAlign w:val="center"/>
          </w:tcPr>
          <w:p w14:paraId="6C13A603">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投标人或核心产品制造商具有有效期内的相关行业认证证书：</w:t>
            </w:r>
          </w:p>
          <w:p w14:paraId="08AB51CE">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质量管理体系认证证书，得1分。</w:t>
            </w:r>
          </w:p>
          <w:p w14:paraId="0E7CB938">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环境管理体系认证证书，得1分。</w:t>
            </w:r>
          </w:p>
          <w:p w14:paraId="20108613">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职业健康安全管理体系认证证书，得1分。</w:t>
            </w:r>
          </w:p>
          <w:p w14:paraId="153B1660">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注：须同时提供证书扫描件及国家认监委网站（www.cnca.gov.cn）查询截图，并加盖公章，否则不得分。</w:t>
            </w:r>
          </w:p>
        </w:tc>
        <w:tc>
          <w:tcPr>
            <w:tcW w:w="480" w:type="pct"/>
            <w:tcBorders>
              <w:tl2br w:val="nil"/>
              <w:tr2bl w:val="nil"/>
            </w:tcBorders>
            <w:shd w:val="clear" w:color="auto" w:fill="auto"/>
            <w:vAlign w:val="center"/>
          </w:tcPr>
          <w:p w14:paraId="00BFB2F6">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480" w:type="pct"/>
            <w:tcBorders>
              <w:tl2br w:val="nil"/>
              <w:tr2bl w:val="nil"/>
            </w:tcBorders>
            <w:shd w:val="clear" w:color="auto" w:fill="auto"/>
            <w:vAlign w:val="center"/>
          </w:tcPr>
          <w:p w14:paraId="37D6E158">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客观分</w:t>
            </w:r>
          </w:p>
        </w:tc>
        <w:tc>
          <w:tcPr>
            <w:tcW w:w="536" w:type="pct"/>
            <w:tcBorders>
              <w:tl2br w:val="nil"/>
              <w:tr2bl w:val="nil"/>
            </w:tcBorders>
            <w:shd w:val="clear" w:color="auto" w:fill="auto"/>
            <w:vAlign w:val="center"/>
          </w:tcPr>
          <w:p w14:paraId="3A378984">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08750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137F552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b w:val="0"/>
                <w:bCs/>
                <w:i w:val="0"/>
                <w:iCs w:val="0"/>
                <w:color w:val="auto"/>
                <w:sz w:val="21"/>
                <w:szCs w:val="21"/>
                <w:highlight w:val="none"/>
                <w:lang w:val="en-US" w:eastAsia="zh-CN"/>
              </w:rPr>
            </w:pPr>
            <w:r>
              <w:rPr>
                <w:rFonts w:hint="eastAsia" w:ascii="宋体" w:hAnsi="宋体" w:cs="宋体"/>
                <w:b w:val="0"/>
                <w:bCs/>
                <w:i w:val="0"/>
                <w:iCs w:val="0"/>
                <w:color w:val="auto"/>
                <w:sz w:val="21"/>
                <w:szCs w:val="21"/>
                <w:highlight w:val="none"/>
                <w:lang w:val="en-US" w:eastAsia="zh-CN"/>
              </w:rPr>
              <w:t>13</w:t>
            </w:r>
          </w:p>
        </w:tc>
        <w:tc>
          <w:tcPr>
            <w:tcW w:w="840" w:type="pct"/>
            <w:tcBorders>
              <w:tl2br w:val="nil"/>
              <w:tr2bl w:val="nil"/>
            </w:tcBorders>
            <w:shd w:val="clear" w:color="auto" w:fill="auto"/>
            <w:vAlign w:val="center"/>
          </w:tcPr>
          <w:p w14:paraId="50222815">
            <w:pPr>
              <w:autoSpaceDE w:val="0"/>
              <w:autoSpaceDN w:val="0"/>
              <w:adjustRightInd w:val="0"/>
              <w:spacing w:line="240" w:lineRule="auto"/>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z w:val="21"/>
                <w:szCs w:val="21"/>
                <w:highlight w:val="none"/>
                <w:lang w:eastAsia="en-US"/>
              </w:rPr>
              <w:t>企业业绩</w:t>
            </w:r>
          </w:p>
        </w:tc>
        <w:tc>
          <w:tcPr>
            <w:tcW w:w="2248" w:type="pct"/>
            <w:tcBorders>
              <w:tl2br w:val="nil"/>
              <w:tr2bl w:val="nil"/>
            </w:tcBorders>
            <w:shd w:val="clear" w:color="auto" w:fill="auto"/>
            <w:vAlign w:val="center"/>
          </w:tcPr>
          <w:p w14:paraId="1EFD91DD">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投标人自2021年1月1日以来（以合同签订时间为准） 承担过核心产品LED全彩屏类似项目业绩的，每个合同得1分，最高得3分。</w:t>
            </w:r>
          </w:p>
          <w:p w14:paraId="680FE4C1">
            <w:pPr>
              <w:keepNext w:val="0"/>
              <w:keepLines w:val="0"/>
              <w:pageBreakBefore w:val="0"/>
              <w:widowControl w:val="0"/>
              <w:shd w:val="clear" w:color="auto" w:fill="auto"/>
              <w:kinsoku/>
              <w:wordWrap w:val="0"/>
              <w:overflowPunct/>
              <w:topLinePunct w:val="0"/>
              <w:autoSpaceDE/>
              <w:autoSpaceDN w:val="0"/>
              <w:bidi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注：需同时提供合同、验收证明资料复印件并加盖公章，不满足或未提供不得分。</w:t>
            </w:r>
          </w:p>
        </w:tc>
        <w:tc>
          <w:tcPr>
            <w:tcW w:w="480" w:type="pct"/>
            <w:tcBorders>
              <w:tl2br w:val="nil"/>
              <w:tr2bl w:val="nil"/>
            </w:tcBorders>
            <w:shd w:val="clear" w:color="auto" w:fill="auto"/>
            <w:vAlign w:val="center"/>
          </w:tcPr>
          <w:p w14:paraId="283E6446">
            <w:pPr>
              <w:autoSpaceDE w:val="0"/>
              <w:autoSpaceDN w:val="0"/>
              <w:adjustRightInd w:val="0"/>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480" w:type="pct"/>
            <w:tcBorders>
              <w:tl2br w:val="nil"/>
              <w:tr2bl w:val="nil"/>
            </w:tcBorders>
            <w:shd w:val="clear" w:color="auto" w:fill="auto"/>
            <w:vAlign w:val="center"/>
          </w:tcPr>
          <w:p w14:paraId="26B77882">
            <w:pPr>
              <w:autoSpaceDE w:val="0"/>
              <w:autoSpaceDN w:val="0"/>
              <w:adjustRightInd w:val="0"/>
              <w:spacing w:line="240" w:lineRule="auto"/>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客观分</w:t>
            </w:r>
          </w:p>
        </w:tc>
        <w:tc>
          <w:tcPr>
            <w:tcW w:w="536" w:type="pct"/>
            <w:tcBorders>
              <w:tl2br w:val="nil"/>
              <w:tr2bl w:val="nil"/>
            </w:tcBorders>
            <w:shd w:val="clear" w:color="auto" w:fill="auto"/>
            <w:vAlign w:val="center"/>
          </w:tcPr>
          <w:p w14:paraId="5B5446C8">
            <w:pPr>
              <w:autoSpaceDE w:val="0"/>
              <w:autoSpaceDN w:val="0"/>
              <w:adjustRightInd w:val="0"/>
              <w:spacing w:line="240" w:lineRule="auto"/>
              <w:jc w:val="center"/>
              <w:rPr>
                <w:rFonts w:hint="eastAsia" w:ascii="宋体" w:hAnsi="宋体" w:eastAsia="宋体" w:cs="宋体"/>
                <w:b w:val="0"/>
                <w:bCs/>
                <w:color w:val="auto"/>
                <w:sz w:val="21"/>
                <w:szCs w:val="21"/>
                <w:highlight w:val="none"/>
                <w:lang w:val="en-US" w:eastAsia="zh-CN"/>
              </w:rPr>
            </w:pPr>
          </w:p>
        </w:tc>
      </w:tr>
      <w:tr w14:paraId="43180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 w:type="pct"/>
            <w:tcBorders>
              <w:tl2br w:val="nil"/>
              <w:tr2bl w:val="nil"/>
            </w:tcBorders>
            <w:vAlign w:val="center"/>
          </w:tcPr>
          <w:p w14:paraId="6EE4112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14</w:t>
            </w:r>
          </w:p>
        </w:tc>
        <w:tc>
          <w:tcPr>
            <w:tcW w:w="840" w:type="pct"/>
            <w:tcBorders>
              <w:tl2br w:val="nil"/>
              <w:tr2bl w:val="nil"/>
            </w:tcBorders>
            <w:shd w:val="clear" w:color="auto" w:fill="auto"/>
            <w:vAlign w:val="center"/>
          </w:tcPr>
          <w:p w14:paraId="42C94BA0">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部分</w:t>
            </w:r>
          </w:p>
          <w:p w14:paraId="24B763E8">
            <w:pPr>
              <w:snapToGrid w:val="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w:t>
            </w:r>
          </w:p>
        </w:tc>
        <w:tc>
          <w:tcPr>
            <w:tcW w:w="2248" w:type="pct"/>
            <w:tcBorders>
              <w:tl2br w:val="nil"/>
              <w:tr2bl w:val="nil"/>
            </w:tcBorders>
            <w:shd w:val="clear" w:color="auto" w:fill="auto"/>
            <w:vAlign w:val="center"/>
          </w:tcPr>
          <w:p w14:paraId="619D3066">
            <w:pPr>
              <w:keepNext w:val="0"/>
              <w:keepLines w:val="0"/>
              <w:pageBreakBefore w:val="0"/>
              <w:widowControl w:val="0"/>
              <w:kinsoku/>
              <w:wordWrap w:val="0"/>
              <w:overflowPunct/>
              <w:topLinePunct w:val="0"/>
              <w:autoSpaceDE/>
              <w:autoSpaceDN w:val="0"/>
              <w:bidi w:val="0"/>
              <w:snapToGrid w:val="0"/>
              <w:spacing w:line="360" w:lineRule="exact"/>
              <w:textAlignment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有效投标报价的最低价作为评标基准价，其最低报价为满分；按［投标报价得分=（评标基准价/投标报价）*权重］的计算公式计算。</w:t>
            </w:r>
          </w:p>
          <w:p w14:paraId="6995A1D8">
            <w:pPr>
              <w:keepNext w:val="0"/>
              <w:keepLines w:val="0"/>
              <w:pageBreakBefore w:val="0"/>
              <w:widowControl w:val="0"/>
              <w:kinsoku/>
              <w:wordWrap w:val="0"/>
              <w:overflowPunct/>
              <w:topLinePunct w:val="0"/>
              <w:autoSpaceDE/>
              <w:autoSpaceDN w:val="0"/>
              <w:bidi w:val="0"/>
              <w:snapToGrid w:val="0"/>
              <w:spacing w:line="36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评标过程中，不得去掉报价中的最高报价和最低报价。</w:t>
            </w:r>
          </w:p>
        </w:tc>
        <w:tc>
          <w:tcPr>
            <w:tcW w:w="480" w:type="pct"/>
            <w:tcBorders>
              <w:tl2br w:val="nil"/>
              <w:tr2bl w:val="nil"/>
            </w:tcBorders>
            <w:shd w:val="clear" w:color="auto" w:fill="auto"/>
            <w:vAlign w:val="center"/>
          </w:tcPr>
          <w:p w14:paraId="1B897E0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30</w:t>
            </w:r>
          </w:p>
        </w:tc>
        <w:tc>
          <w:tcPr>
            <w:tcW w:w="480" w:type="pct"/>
            <w:tcBorders>
              <w:tl2br w:val="nil"/>
              <w:tr2bl w:val="nil"/>
            </w:tcBorders>
            <w:shd w:val="clear" w:color="auto" w:fill="auto"/>
            <w:vAlign w:val="center"/>
          </w:tcPr>
          <w:p w14:paraId="0539D3F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w:t>
            </w:r>
          </w:p>
        </w:tc>
        <w:tc>
          <w:tcPr>
            <w:tcW w:w="536" w:type="pct"/>
            <w:tcBorders>
              <w:tl2br w:val="nil"/>
              <w:tr2bl w:val="nil"/>
            </w:tcBorders>
            <w:shd w:val="clear" w:color="auto" w:fill="auto"/>
            <w:vAlign w:val="center"/>
          </w:tcPr>
          <w:p w14:paraId="3044D806">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bl>
    <w:p w14:paraId="24720C5B">
      <w:pPr>
        <w:snapToGrid w:val="0"/>
        <w:spacing w:line="360" w:lineRule="auto"/>
        <w:rPr>
          <w:rFonts w:hint="eastAsia" w:ascii="宋体" w:hAnsi="宋体" w:eastAsia="宋体" w:cs="宋体"/>
          <w:b/>
          <w:color w:val="auto"/>
          <w:szCs w:val="21"/>
          <w:highlight w:val="none"/>
          <w:u w:val="none"/>
        </w:rPr>
      </w:pPr>
      <w:r>
        <w:rPr>
          <w:rFonts w:hint="eastAsia" w:ascii="宋体" w:hAnsi="宋体" w:eastAsia="宋体" w:cs="宋体"/>
          <w:color w:val="auto"/>
          <w:szCs w:val="21"/>
          <w:highlight w:val="none"/>
          <w:u w:val="none"/>
          <w:shd w:val="clear" w:color="auto" w:fill="FFFFFF"/>
        </w:rPr>
        <w:t>*</w:t>
      </w:r>
      <w:r>
        <w:rPr>
          <w:rFonts w:hint="eastAsia" w:ascii="宋体" w:hAnsi="宋体" w:eastAsia="宋体" w:cs="宋体"/>
          <w:b/>
          <w:color w:val="auto"/>
          <w:szCs w:val="21"/>
          <w:highlight w:val="none"/>
          <w:u w:val="none"/>
        </w:rPr>
        <w:t>备注：</w:t>
      </w:r>
      <w:r>
        <w:rPr>
          <w:rFonts w:hint="eastAsia" w:ascii="宋体" w:hAnsi="宋体" w:eastAsia="宋体" w:cs="宋体"/>
          <w:b/>
          <w:bCs w:val="0"/>
          <w:color w:val="auto"/>
          <w:szCs w:val="21"/>
          <w:highlight w:val="none"/>
          <w:u w:val="none"/>
        </w:rPr>
        <w:t>上述内容缺项不得分，投标人编制投标文件（商务技术文件部分）时，建议按此目录（序号和内容）提供评标标准相应的商务技术资料。 </w:t>
      </w:r>
    </w:p>
    <w:p w14:paraId="4D680BA1">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一、评标方法</w:t>
      </w:r>
    </w:p>
    <w:p w14:paraId="566C64FE">
      <w:pPr>
        <w:adjustRightInd/>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1.本项目采用综合评分法。</w:t>
      </w:r>
      <w:r>
        <w:rPr>
          <w:rFonts w:hint="eastAsia" w:ascii="宋体" w:hAnsi="宋体" w:eastAsia="宋体" w:cs="宋体"/>
          <w:color w:val="auto"/>
          <w:kern w:val="0"/>
          <w:szCs w:val="21"/>
          <w:highlight w:val="none"/>
        </w:rPr>
        <w:t>综合评分法，是指投标文件满足招标文件全部实质性要求，且按照评审因素的量化指标评审得分最高的投标人为中标候选人的评标方法。</w:t>
      </w:r>
    </w:p>
    <w:p w14:paraId="3E37A765">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二、评标标准</w:t>
      </w:r>
    </w:p>
    <w:p w14:paraId="013AB892">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2.评标标准：</w:t>
      </w:r>
      <w:r>
        <w:rPr>
          <w:rFonts w:hint="eastAsia" w:ascii="宋体" w:hAnsi="宋体" w:eastAsia="宋体" w:cs="宋体"/>
          <w:color w:val="auto"/>
          <w:kern w:val="0"/>
          <w:szCs w:val="21"/>
          <w:highlight w:val="none"/>
        </w:rPr>
        <w:t>见评标办法前附表。</w:t>
      </w:r>
    </w:p>
    <w:p w14:paraId="13D9D2BF">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三、评标程序</w:t>
      </w:r>
    </w:p>
    <w:p w14:paraId="627D078F">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3.1符合性审查。</w:t>
      </w:r>
      <w:r>
        <w:rPr>
          <w:rFonts w:hint="eastAsia" w:ascii="宋体" w:hAnsi="宋体" w:eastAsia="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3053C1A5">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3.2 比较与评价。</w:t>
      </w:r>
      <w:r>
        <w:rPr>
          <w:rFonts w:hint="eastAsia" w:ascii="宋体" w:hAnsi="宋体" w:eastAsia="宋体" w:cs="宋体"/>
          <w:color w:val="auto"/>
          <w:kern w:val="0"/>
          <w:szCs w:val="21"/>
          <w:highlight w:val="none"/>
        </w:rPr>
        <w:t>评标委员会应当按照招标文件中规定的评标方法和标准，对符合性审查合格的投标文件进行商务和技术评估，综合比较与评价。</w:t>
      </w:r>
    </w:p>
    <w:p w14:paraId="19FCA51C">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3.3汇总商务技术得分。</w:t>
      </w:r>
      <w:r>
        <w:rPr>
          <w:rFonts w:hint="eastAsia" w:ascii="宋体" w:hAnsi="宋体" w:eastAsia="宋体" w:cs="宋体"/>
          <w:color w:val="auto"/>
          <w:kern w:val="0"/>
          <w:szCs w:val="21"/>
          <w:highlight w:val="none"/>
        </w:rPr>
        <w:t>评标委员会各成员应当独立对每个投标人的商务和技术文件进行评价，并汇总商务技术得分情况。</w:t>
      </w:r>
    </w:p>
    <w:p w14:paraId="33B9D3EE">
      <w:pPr>
        <w:spacing w:line="360" w:lineRule="auto"/>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3.4报价评审。</w:t>
      </w:r>
    </w:p>
    <w:p w14:paraId="380D3906">
      <w:pPr>
        <w:pStyle w:val="135"/>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5A195A38">
      <w:pPr>
        <w:pStyle w:val="135"/>
        <w:spacing w:before="0"/>
        <w:ind w:firstLine="4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cs="宋体"/>
          <w:color w:val="auto"/>
          <w:kern w:val="0"/>
          <w:sz w:val="21"/>
          <w:szCs w:val="21"/>
          <w:highlight w:val="none"/>
          <w:lang w:eastAsia="zh-CN"/>
        </w:rPr>
        <w:t>；</w:t>
      </w:r>
    </w:p>
    <w:p w14:paraId="0D8E291A">
      <w:pPr>
        <w:pStyle w:val="135"/>
        <w:spacing w:before="0"/>
        <w:ind w:firstLine="4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6DFD4370">
      <w:pPr>
        <w:pStyle w:val="135"/>
        <w:spacing w:before="0"/>
        <w:ind w:firstLine="4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4E018A59">
      <w:pPr>
        <w:pStyle w:val="135"/>
        <w:spacing w:before="0"/>
        <w:ind w:firstLine="42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3.4.1.4总价金额与按单价汇总金额不一致的，以单价金额计算结果为准</w:t>
      </w:r>
      <w:r>
        <w:rPr>
          <w:rFonts w:hint="eastAsia" w:ascii="宋体" w:hAnsi="宋体" w:cs="宋体"/>
          <w:color w:val="auto"/>
          <w:kern w:val="0"/>
          <w:sz w:val="21"/>
          <w:szCs w:val="21"/>
          <w:highlight w:val="none"/>
          <w:lang w:eastAsia="zh-CN"/>
        </w:rPr>
        <w:t>；</w:t>
      </w:r>
    </w:p>
    <w:p w14:paraId="453DF681">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4C5F7821">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3.4.2投标文件出现不是唯一的、有选择性投标报价的，投标无效。</w:t>
      </w:r>
    </w:p>
    <w:p w14:paraId="02D90E6D">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3.4.3投标报价超过招标文件中规定的预算金额或者最高限价的，投标无效。</w:t>
      </w:r>
    </w:p>
    <w:p w14:paraId="77577A72">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投标人不能证明其报价合理性的，评标委员会应当将其作为无效投标处理。</w:t>
      </w:r>
    </w:p>
    <w:p w14:paraId="4C587ABA">
      <w:pPr>
        <w:pStyle w:val="135"/>
        <w:spacing w:before="0"/>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项目，以及预留份额政府采购</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项目中的非预留部分标项，对小型和微型企业的投标报价给予</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%的扣除，用扣除后的价格参与评审。接受大中型企业与小微企业组成联合体或者允许大中型企业向一家或者多家小微企业分包的政府采购</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884ED57">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3.5排序与推荐。</w:t>
      </w:r>
      <w:r>
        <w:rPr>
          <w:rFonts w:hint="eastAsia" w:ascii="宋体" w:hAnsi="宋体" w:eastAsia="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031A3C">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60971F4">
      <w:pPr>
        <w:spacing w:line="360" w:lineRule="auto"/>
        <w:ind w:firstLine="413" w:firstLineChars="196"/>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3.6编写评标报告。</w:t>
      </w:r>
      <w:r>
        <w:rPr>
          <w:rFonts w:hint="eastAsia" w:ascii="宋体" w:hAnsi="宋体" w:eastAsia="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C5E715">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四、评标中的其他事项</w:t>
      </w:r>
    </w:p>
    <w:p w14:paraId="0AC1F94E">
      <w:pPr>
        <w:pStyle w:val="135"/>
        <w:spacing w:before="0"/>
        <w:ind w:firstLine="422"/>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4EFBF4">
      <w:pPr>
        <w:pStyle w:val="3"/>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有下列情况之一的，投标无效：</w:t>
      </w:r>
    </w:p>
    <w:p w14:paraId="35179FD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4.2.1投标人不具备招标文件中规定的资格要求的（投标人未提供有效的资格文件的，视为投标人不具备招标文件中规定的资格要求）；</w:t>
      </w:r>
    </w:p>
    <w:p w14:paraId="7423521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4.2.2投标文件未按照招标文件要求签署、盖章的；</w:t>
      </w:r>
    </w:p>
    <w:p w14:paraId="3769DC3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2EDBB67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4.2.4投标文件含有采购人不能接受的附加条件的；</w:t>
      </w:r>
    </w:p>
    <w:p w14:paraId="54B674B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4.2.5投标文件中承诺的投标有效期少于招标文件中载明的投标有效期的；</w:t>
      </w:r>
    </w:p>
    <w:p w14:paraId="57950653">
      <w:pPr>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4.2.6投标文件出现不是唯一的、有选择性投标报价的</w:t>
      </w:r>
      <w:r>
        <w:rPr>
          <w:rFonts w:hint="eastAsia" w:ascii="宋体" w:hAnsi="宋体" w:cs="宋体"/>
          <w:color w:val="auto"/>
          <w:kern w:val="0"/>
          <w:szCs w:val="21"/>
          <w:highlight w:val="none"/>
          <w:lang w:eastAsia="zh-CN"/>
        </w:rPr>
        <w:t>；</w:t>
      </w:r>
    </w:p>
    <w:p w14:paraId="20A299C7">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4.2.7投标报价超过招标文件中规定的预算金额或者最高限价的</w:t>
      </w:r>
      <w:r>
        <w:rPr>
          <w:rFonts w:hint="eastAsia" w:ascii="宋体" w:hAnsi="宋体" w:cs="宋体"/>
          <w:color w:val="auto"/>
          <w:kern w:val="0"/>
          <w:szCs w:val="21"/>
          <w:highlight w:val="none"/>
          <w:lang w:eastAsia="zh-CN"/>
        </w:rPr>
        <w:t>；</w:t>
      </w:r>
    </w:p>
    <w:p w14:paraId="5EE1A8D1">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Cs w:val="21"/>
          <w:highlight w:val="none"/>
          <w:lang w:eastAsia="zh-CN"/>
        </w:rPr>
        <w:t>；</w:t>
      </w:r>
    </w:p>
    <w:p w14:paraId="03FEABD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4.2.9投标人对根据修正原则修正后的报价不确认的；</w:t>
      </w:r>
    </w:p>
    <w:p w14:paraId="2A98237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4.2.10投标人提供虚假材料投标的；</w:t>
      </w:r>
    </w:p>
    <w:p w14:paraId="523831E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4.2.11投标人有恶意串通、妨碍其他投标人的竞争行为、损害采购人或者其他投标人的合法权益情形的；</w:t>
      </w:r>
    </w:p>
    <w:p w14:paraId="5474E23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4.2.12 参与同一个采购包（标段）的供应商存在下列情形之一且无法合理解释的：</w:t>
      </w:r>
    </w:p>
    <w:p w14:paraId="6624140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(1)不同供应商的电子投标（响应）文件上传计算机的网卡MAC地址或硬盘序列号等硬件信息相同的；</w:t>
      </w:r>
    </w:p>
    <w:p w14:paraId="4577590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(2)上传的电子投标（响应）文件若出现使用本项目其他投标（响应）供应商的数字证书加密的，或者加盖本项目其他投标（响应）供应商的电子印章的；</w:t>
      </w:r>
    </w:p>
    <w:p w14:paraId="209BEEF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(3)不同供应商的投标（响应）文件的内容存在3处（含）以上错误一致的；</w:t>
      </w:r>
    </w:p>
    <w:p w14:paraId="455F524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(4)不同供应商联系人为同一人或不同联系人的联系电话一致的。</w:t>
      </w:r>
    </w:p>
    <w:p w14:paraId="14FC763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投标人仅提交备份投标文件，未在电子交易平台传输递交投标文件的，投标无效；</w:t>
      </w:r>
    </w:p>
    <w:p w14:paraId="316A113F">
      <w:pPr>
        <w:pStyle w:val="5"/>
        <w:ind w:left="0" w:firstLine="420" w:firstLineChars="200"/>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rPr>
        <w:t>投标文件不满足招标文件的其它实质性要求的；</w:t>
      </w:r>
    </w:p>
    <w:p w14:paraId="0912F3C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法律、法规、规章（适用本市的）及省级以上规范性文件（适用本市的）规定的其他无效情形。</w:t>
      </w:r>
    </w:p>
    <w:p w14:paraId="6BCF3BFC">
      <w:pPr>
        <w:pStyle w:val="3"/>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1201EC24">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1BE490C8">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367CE4C5">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501DD251">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33433A61">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机构应当将废标理由通知所有投标人。</w:t>
      </w:r>
    </w:p>
    <w:p w14:paraId="21E07304">
      <w:pPr>
        <w:pStyle w:val="3"/>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机构沟通并作书面记录。采购人、采购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机构确认后，将修改招标文件，重新组织采购活动。</w:t>
      </w:r>
    </w:p>
    <w:p w14:paraId="2ADF6354">
      <w:pPr>
        <w:pStyle w:val="3"/>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有政府采购法第七十一条、第七十二条规定的违法行为之一，影响或者可能影响中标、成交结果的，依照下列规定处理：</w:t>
      </w:r>
    </w:p>
    <w:p w14:paraId="2843999E">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2213C2FC">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30C6B241">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5508E239">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6245B184">
      <w:pPr>
        <w:pStyle w:val="3"/>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44411042">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bookmarkStart w:id="393" w:name="第五部分"/>
      <w:bookmarkStart w:id="394" w:name="_Toc86217003"/>
    </w:p>
    <w:p w14:paraId="59F4D7AE">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6DAFFBC9">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214B913E">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7AA3125D">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4C4A3EB9">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02416EFC">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4BEFB0F7">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2A6B5543">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376097D5">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554D518D">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57429EFE">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4E32E39A">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2AA5732D">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3C35A1F3">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565C9D24">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5CD7B77F">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7C5E0221">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rPr>
      </w:pPr>
    </w:p>
    <w:p w14:paraId="0BA9706A">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拟签订的合同文本</w:t>
      </w:r>
    </w:p>
    <w:p w14:paraId="01BD94AC">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合同编号：</w:t>
      </w:r>
      <w:r>
        <w:rPr>
          <w:rFonts w:hint="eastAsia" w:ascii="宋体" w:hAnsi="宋体" w:eastAsia="宋体" w:cs="宋体"/>
          <w:b/>
          <w:i/>
          <w:color w:val="auto"/>
          <w:sz w:val="32"/>
          <w:szCs w:val="32"/>
          <w:highlight w:val="none"/>
          <w:u w:val="single"/>
          <w:lang w:val="en-US" w:eastAsia="zh-CN"/>
        </w:rPr>
        <w:t xml:space="preserve">               </w:t>
      </w:r>
    </w:p>
    <w:p w14:paraId="4609852D">
      <w:pPr>
        <w:spacing w:line="360" w:lineRule="auto"/>
        <w:rPr>
          <w:rFonts w:hint="eastAsia" w:ascii="宋体" w:hAnsi="宋体" w:eastAsia="宋体" w:cs="宋体"/>
          <w:color w:val="auto"/>
          <w:sz w:val="28"/>
          <w:highlight w:val="none"/>
        </w:rPr>
      </w:pPr>
    </w:p>
    <w:p w14:paraId="69544D84">
      <w:pPr>
        <w:spacing w:line="360" w:lineRule="auto"/>
        <w:rPr>
          <w:rFonts w:hint="eastAsia" w:ascii="宋体" w:hAnsi="宋体" w:eastAsia="宋体" w:cs="宋体"/>
          <w:color w:val="auto"/>
          <w:sz w:val="28"/>
          <w:highlight w:val="none"/>
        </w:rPr>
      </w:pPr>
    </w:p>
    <w:p w14:paraId="04225592">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政府采购合同参考范本</w:t>
      </w:r>
    </w:p>
    <w:p w14:paraId="29A64839">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货物类</w:t>
      </w:r>
      <w:r>
        <w:rPr>
          <w:rFonts w:hint="eastAsia" w:ascii="宋体" w:hAnsi="宋体" w:eastAsia="宋体" w:cs="宋体"/>
          <w:b/>
          <w:color w:val="auto"/>
          <w:sz w:val="32"/>
          <w:szCs w:val="32"/>
          <w:highlight w:val="none"/>
        </w:rPr>
        <w:t>）</w:t>
      </w:r>
    </w:p>
    <w:p w14:paraId="6405D96D">
      <w:pPr>
        <w:spacing w:line="360" w:lineRule="auto"/>
        <w:rPr>
          <w:rFonts w:hint="eastAsia" w:ascii="宋体" w:hAnsi="宋体" w:eastAsia="宋体" w:cs="宋体"/>
          <w:color w:val="auto"/>
          <w:sz w:val="28"/>
          <w:highlight w:val="none"/>
        </w:rPr>
      </w:pPr>
    </w:p>
    <w:p w14:paraId="0E34018D">
      <w:pPr>
        <w:pStyle w:val="49"/>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ascii="宋体" w:hAnsi="宋体" w:eastAsia="宋体" w:cs="宋体"/>
          <w:color w:val="auto"/>
          <w:sz w:val="32"/>
          <w:szCs w:val="32"/>
          <w:highlight w:val="none"/>
        </w:rPr>
      </w:pPr>
      <w:bookmarkStart w:id="395" w:name="_Toc97118735"/>
      <w:bookmarkStart w:id="396" w:name="_Toc117259210"/>
      <w:bookmarkStart w:id="397" w:name="_Toc97118341"/>
      <w:bookmarkStart w:id="398" w:name="_Toc104208269"/>
      <w:bookmarkStart w:id="399" w:name="_Toc132308033"/>
      <w:r>
        <w:rPr>
          <w:rFonts w:hint="eastAsia" w:ascii="宋体" w:hAnsi="宋体" w:eastAsia="宋体" w:cs="宋体"/>
          <w:color w:val="auto"/>
          <w:sz w:val="32"/>
          <w:szCs w:val="32"/>
          <w:highlight w:val="none"/>
        </w:rPr>
        <w:t>第一部分 合同书</w:t>
      </w:r>
      <w:bookmarkEnd w:id="395"/>
      <w:bookmarkEnd w:id="396"/>
      <w:bookmarkEnd w:id="397"/>
      <w:bookmarkEnd w:id="398"/>
      <w:bookmarkEnd w:id="399"/>
    </w:p>
    <w:p w14:paraId="06C76426">
      <w:pPr>
        <w:spacing w:line="360" w:lineRule="auto"/>
        <w:rPr>
          <w:rFonts w:hint="eastAsia" w:ascii="宋体" w:hAnsi="宋体" w:eastAsia="宋体" w:cs="宋体"/>
          <w:color w:val="auto"/>
          <w:sz w:val="28"/>
          <w:highlight w:val="none"/>
        </w:rPr>
      </w:pPr>
    </w:p>
    <w:p w14:paraId="179686CE">
      <w:pPr>
        <w:spacing w:line="360" w:lineRule="auto"/>
        <w:rPr>
          <w:rFonts w:hint="eastAsia" w:ascii="宋体" w:hAnsi="宋体" w:eastAsia="宋体" w:cs="宋体"/>
          <w:color w:val="auto"/>
          <w:sz w:val="28"/>
          <w:highlight w:val="none"/>
        </w:rPr>
      </w:pPr>
    </w:p>
    <w:tbl>
      <w:tblPr>
        <w:tblStyle w:val="65"/>
        <w:tblW w:w="8505" w:type="dxa"/>
        <w:jc w:val="center"/>
        <w:tblLayout w:type="fixed"/>
        <w:tblCellMar>
          <w:top w:w="0" w:type="dxa"/>
          <w:left w:w="108" w:type="dxa"/>
          <w:bottom w:w="0" w:type="dxa"/>
          <w:right w:w="108" w:type="dxa"/>
        </w:tblCellMar>
      </w:tblPr>
      <w:tblGrid>
        <w:gridCol w:w="8505"/>
      </w:tblGrid>
      <w:tr w14:paraId="72F3EDCE">
        <w:tblPrEx>
          <w:tblCellMar>
            <w:top w:w="0" w:type="dxa"/>
            <w:left w:w="108" w:type="dxa"/>
            <w:bottom w:w="0" w:type="dxa"/>
            <w:right w:w="108" w:type="dxa"/>
          </w:tblCellMar>
        </w:tblPrEx>
        <w:trPr>
          <w:trHeight w:val="680" w:hRule="atLeast"/>
          <w:jc w:val="center"/>
        </w:trPr>
        <w:tc>
          <w:tcPr>
            <w:tcW w:w="8505" w:type="dxa"/>
            <w:vAlign w:val="center"/>
          </w:tcPr>
          <w:p w14:paraId="25194AD6">
            <w:pP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项目名称：</w:t>
            </w:r>
          </w:p>
        </w:tc>
      </w:tr>
      <w:tr w14:paraId="1A20E365">
        <w:tblPrEx>
          <w:tblCellMar>
            <w:top w:w="0" w:type="dxa"/>
            <w:left w:w="108" w:type="dxa"/>
            <w:bottom w:w="0" w:type="dxa"/>
            <w:right w:w="108" w:type="dxa"/>
          </w:tblCellMar>
        </w:tblPrEx>
        <w:trPr>
          <w:trHeight w:val="680" w:hRule="atLeast"/>
          <w:jc w:val="center"/>
        </w:trPr>
        <w:tc>
          <w:tcPr>
            <w:tcW w:w="8505" w:type="dxa"/>
            <w:vAlign w:val="center"/>
          </w:tcPr>
          <w:p w14:paraId="53265CCE">
            <w:pPr>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甲    方：                    </w:t>
            </w:r>
          </w:p>
        </w:tc>
      </w:tr>
      <w:tr w14:paraId="37A24435">
        <w:tblPrEx>
          <w:tblCellMar>
            <w:top w:w="0" w:type="dxa"/>
            <w:left w:w="108" w:type="dxa"/>
            <w:bottom w:w="0" w:type="dxa"/>
            <w:right w:w="108" w:type="dxa"/>
          </w:tblCellMar>
        </w:tblPrEx>
        <w:trPr>
          <w:trHeight w:val="680" w:hRule="atLeast"/>
          <w:jc w:val="center"/>
        </w:trPr>
        <w:tc>
          <w:tcPr>
            <w:tcW w:w="8505" w:type="dxa"/>
            <w:vAlign w:val="center"/>
          </w:tcPr>
          <w:p w14:paraId="747D4AB9">
            <w:pP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乙    方：</w:t>
            </w:r>
            <w:r>
              <w:rPr>
                <w:rFonts w:hint="eastAsia" w:ascii="宋体" w:hAnsi="宋体" w:eastAsia="宋体" w:cs="宋体"/>
                <w:i w:val="0"/>
                <w:iCs/>
                <w:color w:val="auto"/>
                <w:sz w:val="28"/>
                <w:highlight w:val="none"/>
                <w:u w:val="single"/>
              </w:rPr>
              <w:t>（中标人名称）</w:t>
            </w:r>
            <w:r>
              <w:rPr>
                <w:rFonts w:hint="eastAsia" w:ascii="宋体" w:hAnsi="宋体" w:eastAsia="宋体" w:cs="宋体"/>
                <w:i w:val="0"/>
                <w:iCs/>
                <w:color w:val="auto"/>
                <w:sz w:val="28"/>
                <w:highlight w:val="none"/>
                <w:u w:val="single"/>
                <w:lang w:val="en-US" w:eastAsia="zh-CN"/>
              </w:rPr>
              <w:t xml:space="preserve">                 </w:t>
            </w:r>
          </w:p>
        </w:tc>
      </w:tr>
      <w:tr w14:paraId="4A54E22E">
        <w:tblPrEx>
          <w:tblCellMar>
            <w:top w:w="0" w:type="dxa"/>
            <w:left w:w="108" w:type="dxa"/>
            <w:bottom w:w="0" w:type="dxa"/>
            <w:right w:w="108" w:type="dxa"/>
          </w:tblCellMar>
        </w:tblPrEx>
        <w:trPr>
          <w:trHeight w:val="680" w:hRule="atLeast"/>
          <w:jc w:val="center"/>
        </w:trPr>
        <w:tc>
          <w:tcPr>
            <w:tcW w:w="8505" w:type="dxa"/>
            <w:vAlign w:val="center"/>
          </w:tcPr>
          <w:p w14:paraId="73D6AB37">
            <w:pPr>
              <w:rPr>
                <w:rFonts w:hint="eastAsia" w:ascii="宋体" w:hAnsi="宋体" w:eastAsia="宋体" w:cs="宋体"/>
                <w:color w:val="auto"/>
                <w:sz w:val="28"/>
                <w:highlight w:val="none"/>
                <w:u w:val="single"/>
                <w:lang w:val="en-US" w:eastAsia="zh-CN"/>
              </w:rPr>
            </w:pPr>
            <w:r>
              <w:rPr>
                <w:rFonts w:hint="eastAsia" w:ascii="宋体" w:hAnsi="宋体" w:eastAsia="宋体" w:cs="宋体"/>
                <w:color w:val="auto"/>
                <w:sz w:val="28"/>
                <w:highlight w:val="none"/>
              </w:rPr>
              <w:t>签 订 地：</w:t>
            </w:r>
            <w:r>
              <w:rPr>
                <w:rFonts w:hint="eastAsia" w:ascii="宋体" w:hAnsi="宋体" w:eastAsia="宋体" w:cs="宋体"/>
                <w:color w:val="auto"/>
                <w:sz w:val="28"/>
                <w:highlight w:val="none"/>
                <w:u w:val="single"/>
                <w:lang w:val="en-US" w:eastAsia="zh-CN"/>
              </w:rPr>
              <w:t xml:space="preserve">                               </w:t>
            </w:r>
          </w:p>
        </w:tc>
      </w:tr>
      <w:tr w14:paraId="2B56BA16">
        <w:tblPrEx>
          <w:tblCellMar>
            <w:top w:w="0" w:type="dxa"/>
            <w:left w:w="108" w:type="dxa"/>
            <w:bottom w:w="0" w:type="dxa"/>
            <w:right w:w="108" w:type="dxa"/>
          </w:tblCellMar>
        </w:tblPrEx>
        <w:trPr>
          <w:trHeight w:val="680" w:hRule="atLeast"/>
          <w:jc w:val="center"/>
        </w:trPr>
        <w:tc>
          <w:tcPr>
            <w:tcW w:w="8505" w:type="dxa"/>
            <w:vAlign w:val="center"/>
          </w:tcPr>
          <w:p w14:paraId="6DC39A35">
            <w:pPr>
              <w:rPr>
                <w:rFonts w:hint="eastAsia" w:ascii="宋体" w:hAnsi="宋体" w:eastAsia="宋体" w:cs="宋体"/>
                <w:color w:val="auto"/>
                <w:sz w:val="28"/>
                <w:highlight w:val="none"/>
              </w:rPr>
            </w:pPr>
            <w:r>
              <w:rPr>
                <w:rFonts w:hint="eastAsia" w:ascii="宋体" w:hAnsi="宋体" w:eastAsia="宋体" w:cs="宋体"/>
                <w:color w:val="auto"/>
                <w:sz w:val="28"/>
                <w:highlight w:val="none"/>
              </w:rPr>
              <w:t>签订日期：</w:t>
            </w:r>
            <w:r>
              <w:rPr>
                <w:rFonts w:hint="eastAsia" w:ascii="宋体" w:hAnsi="宋体" w:eastAsia="宋体" w:cs="宋体"/>
                <w:color w:val="auto"/>
                <w:sz w:val="28"/>
                <w:highlight w:val="none"/>
                <w:u w:val="single"/>
                <w:lang w:val="en-US" w:eastAsia="zh-CN"/>
              </w:rPr>
              <w:t xml:space="preserve">      </w:t>
            </w:r>
            <w:r>
              <w:rPr>
                <w:rFonts w:hint="eastAsia" w:ascii="宋体" w:hAnsi="宋体" w:eastAsia="宋体" w:cs="宋体"/>
                <w:color w:val="auto"/>
                <w:sz w:val="28"/>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 w:val="28"/>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 w:val="28"/>
                <w:highlight w:val="none"/>
              </w:rPr>
              <w:t>日</w:t>
            </w:r>
          </w:p>
        </w:tc>
      </w:tr>
    </w:tbl>
    <w:p w14:paraId="389F2C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400" w:name="_Toc22618"/>
      <w:bookmarkStart w:id="401" w:name="_Toc10340"/>
      <w:bookmarkStart w:id="402" w:name="_Toc1814"/>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（采购人）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（政府采购方式）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项目进行了采购。经</w:t>
      </w:r>
      <w:r>
        <w:rPr>
          <w:rFonts w:hint="eastAsia" w:ascii="宋体" w:hAnsi="宋体" w:eastAsia="宋体" w:cs="宋体"/>
          <w:color w:val="auto"/>
          <w:sz w:val="21"/>
          <w:szCs w:val="21"/>
          <w:highlight w:val="none"/>
          <w:u w:val="single"/>
        </w:rPr>
        <w:t xml:space="preserve">   （相关评定主体名称）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（中标或者成交供应商名称） </w:t>
      </w:r>
      <w:r>
        <w:rPr>
          <w:rFonts w:hint="eastAsia" w:ascii="宋体" w:hAnsi="宋体" w:eastAsia="宋体" w:cs="宋体"/>
          <w:color w:val="auto"/>
          <w:sz w:val="21"/>
          <w:szCs w:val="21"/>
          <w:highlight w:val="none"/>
        </w:rPr>
        <w:t>为该项目中标或者成交供应商。现于中标或者成交通知书发出之日起10个工作日内，按照采购文件确定的事项签订本合同。</w:t>
      </w:r>
    </w:p>
    <w:p w14:paraId="5A5605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（采购人）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（中或者成交标供应商名称）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6CDF2237">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03" w:name="_Toc19273"/>
      <w:bookmarkStart w:id="404" w:name="_Toc20421"/>
      <w:bookmarkStart w:id="405" w:name="_Toc15367"/>
      <w:bookmarkStart w:id="406" w:name="_Toc22967"/>
      <w:bookmarkStart w:id="407" w:name="_Toc28855"/>
      <w:r>
        <w:rPr>
          <w:rFonts w:hint="eastAsia" w:ascii="宋体" w:hAnsi="宋体" w:eastAsia="宋体" w:cs="宋体"/>
          <w:color w:val="auto"/>
          <w:sz w:val="21"/>
          <w:szCs w:val="21"/>
          <w:highlight w:val="none"/>
        </w:rPr>
        <w:t>1.1 合同组成部分</w:t>
      </w:r>
      <w:bookmarkEnd w:id="403"/>
      <w:bookmarkEnd w:id="404"/>
      <w:bookmarkEnd w:id="405"/>
      <w:bookmarkEnd w:id="406"/>
      <w:bookmarkEnd w:id="407"/>
    </w:p>
    <w:p w14:paraId="25D762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3C7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本合同及其补充合同、变更协议；</w:t>
      </w:r>
    </w:p>
    <w:p w14:paraId="62C452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中标或者成交通知书；</w:t>
      </w:r>
    </w:p>
    <w:p w14:paraId="5A631D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投标或者响应文件（含澄清或者说明文件）；</w:t>
      </w:r>
    </w:p>
    <w:p w14:paraId="7B181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采购文件（含澄清或者修改文件）；</w:t>
      </w:r>
    </w:p>
    <w:p w14:paraId="292287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1.1.5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其他相关采购文件。</w:t>
      </w:r>
    </w:p>
    <w:p w14:paraId="0FFFCE1B">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lang w:eastAsia="zh-CN"/>
        </w:rPr>
      </w:pPr>
      <w:bookmarkStart w:id="408" w:name="_Toc6773"/>
      <w:bookmarkStart w:id="409" w:name="_Toc22185"/>
      <w:bookmarkStart w:id="410" w:name="_Toc18585"/>
      <w:bookmarkStart w:id="411" w:name="_Toc2918"/>
      <w:bookmarkStart w:id="412" w:name="_Toc6311"/>
      <w:r>
        <w:rPr>
          <w:rFonts w:hint="eastAsia" w:ascii="宋体" w:hAnsi="宋体" w:eastAsia="宋体" w:cs="宋体"/>
          <w:color w:val="auto"/>
          <w:sz w:val="21"/>
          <w:szCs w:val="21"/>
          <w:highlight w:val="none"/>
        </w:rPr>
        <w:t xml:space="preserve">1.2 </w:t>
      </w:r>
      <w:bookmarkEnd w:id="408"/>
      <w:bookmarkEnd w:id="409"/>
      <w:bookmarkEnd w:id="410"/>
      <w:bookmarkEnd w:id="411"/>
      <w:bookmarkEnd w:id="412"/>
      <w:r>
        <w:rPr>
          <w:rFonts w:hint="eastAsia" w:ascii="宋体" w:hAnsi="宋体" w:eastAsia="宋体" w:cs="宋体"/>
          <w:color w:val="auto"/>
          <w:sz w:val="21"/>
          <w:szCs w:val="21"/>
          <w:highlight w:val="none"/>
          <w:lang w:val="en-US" w:eastAsia="zh-CN"/>
        </w:rPr>
        <w:t>货物</w:t>
      </w:r>
    </w:p>
    <w:p w14:paraId="739B12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货物名称、品牌、规格型号、花色：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D0B6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货物数量：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81A28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货物质量：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A190B64">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13" w:name="_Toc5635"/>
      <w:bookmarkStart w:id="414" w:name="_Toc4929"/>
      <w:bookmarkStart w:id="415" w:name="_Toc21124"/>
      <w:bookmarkStart w:id="416" w:name="_Toc1386"/>
      <w:bookmarkStart w:id="417" w:name="_Toc13918"/>
      <w:r>
        <w:rPr>
          <w:rFonts w:hint="eastAsia" w:ascii="宋体" w:hAnsi="宋体" w:eastAsia="宋体" w:cs="宋体"/>
          <w:color w:val="auto"/>
          <w:sz w:val="21"/>
          <w:szCs w:val="21"/>
          <w:highlight w:val="none"/>
        </w:rPr>
        <w:t>1.3 价款</w:t>
      </w:r>
      <w:bookmarkEnd w:id="413"/>
      <w:bookmarkEnd w:id="414"/>
      <w:bookmarkEnd w:id="415"/>
      <w:bookmarkEnd w:id="416"/>
      <w:bookmarkEnd w:id="417"/>
    </w:p>
    <w:p w14:paraId="25F7E2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本合同总价（含税）为：￥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47279E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874"/>
        <w:gridCol w:w="4161"/>
      </w:tblGrid>
      <w:tr w14:paraId="11AF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90" w:type="dxa"/>
            <w:vAlign w:val="center"/>
          </w:tcPr>
          <w:p w14:paraId="73AD266F">
            <w:pPr>
              <w:pStyle w:val="3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2874" w:type="dxa"/>
            <w:vAlign w:val="center"/>
          </w:tcPr>
          <w:p w14:paraId="0958CC4D">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分项名称</w:t>
            </w:r>
          </w:p>
        </w:tc>
        <w:tc>
          <w:tcPr>
            <w:tcW w:w="4161" w:type="dxa"/>
            <w:vAlign w:val="center"/>
          </w:tcPr>
          <w:p w14:paraId="44031E0F">
            <w:pPr>
              <w:pStyle w:val="3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分项价格</w:t>
            </w:r>
          </w:p>
        </w:tc>
      </w:tr>
      <w:tr w14:paraId="171D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0" w:type="dxa"/>
            <w:vAlign w:val="center"/>
          </w:tcPr>
          <w:p w14:paraId="46C61806">
            <w:pPr>
              <w:pStyle w:val="324"/>
              <w:spacing w:line="560" w:lineRule="exact"/>
              <w:ind w:firstLine="200"/>
              <w:jc w:val="center"/>
              <w:rPr>
                <w:rFonts w:hint="eastAsia" w:ascii="宋体" w:hAnsi="宋体" w:eastAsia="宋体" w:cs="宋体"/>
                <w:b w:val="0"/>
                <w:bCs w:val="0"/>
                <w:color w:val="auto"/>
                <w:sz w:val="21"/>
                <w:szCs w:val="21"/>
                <w:highlight w:val="none"/>
              </w:rPr>
            </w:pPr>
          </w:p>
        </w:tc>
        <w:tc>
          <w:tcPr>
            <w:tcW w:w="2874" w:type="dxa"/>
            <w:vAlign w:val="center"/>
          </w:tcPr>
          <w:p w14:paraId="2DAEF44F">
            <w:pPr>
              <w:pStyle w:val="324"/>
              <w:spacing w:line="560" w:lineRule="exact"/>
              <w:ind w:firstLine="200"/>
              <w:jc w:val="center"/>
              <w:rPr>
                <w:rFonts w:hint="eastAsia" w:ascii="宋体" w:hAnsi="宋体" w:eastAsia="宋体" w:cs="宋体"/>
                <w:b w:val="0"/>
                <w:bCs w:val="0"/>
                <w:color w:val="auto"/>
                <w:sz w:val="21"/>
                <w:szCs w:val="21"/>
                <w:highlight w:val="none"/>
              </w:rPr>
            </w:pPr>
          </w:p>
        </w:tc>
        <w:tc>
          <w:tcPr>
            <w:tcW w:w="4161" w:type="dxa"/>
            <w:vAlign w:val="center"/>
          </w:tcPr>
          <w:p w14:paraId="6A43B8FE">
            <w:pPr>
              <w:pStyle w:val="324"/>
              <w:spacing w:line="560" w:lineRule="exact"/>
              <w:ind w:firstLine="200"/>
              <w:jc w:val="center"/>
              <w:rPr>
                <w:rFonts w:hint="eastAsia" w:ascii="宋体" w:hAnsi="宋体" w:eastAsia="宋体" w:cs="宋体"/>
                <w:b w:val="0"/>
                <w:bCs w:val="0"/>
                <w:color w:val="auto"/>
                <w:sz w:val="21"/>
                <w:szCs w:val="21"/>
                <w:highlight w:val="none"/>
              </w:rPr>
            </w:pPr>
          </w:p>
        </w:tc>
      </w:tr>
      <w:tr w14:paraId="1B23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0" w:type="dxa"/>
            <w:vAlign w:val="center"/>
          </w:tcPr>
          <w:p w14:paraId="0E585D77">
            <w:pPr>
              <w:pStyle w:val="324"/>
              <w:spacing w:line="560" w:lineRule="exact"/>
              <w:ind w:firstLine="200"/>
              <w:jc w:val="center"/>
              <w:rPr>
                <w:rFonts w:hint="eastAsia" w:ascii="宋体" w:hAnsi="宋体" w:eastAsia="宋体" w:cs="宋体"/>
                <w:b w:val="0"/>
                <w:bCs w:val="0"/>
                <w:color w:val="auto"/>
                <w:sz w:val="21"/>
                <w:szCs w:val="21"/>
                <w:highlight w:val="none"/>
              </w:rPr>
            </w:pPr>
          </w:p>
        </w:tc>
        <w:tc>
          <w:tcPr>
            <w:tcW w:w="2874" w:type="dxa"/>
            <w:vAlign w:val="center"/>
          </w:tcPr>
          <w:p w14:paraId="291C7C38">
            <w:pPr>
              <w:pStyle w:val="324"/>
              <w:spacing w:line="560" w:lineRule="exact"/>
              <w:ind w:firstLine="200"/>
              <w:jc w:val="center"/>
              <w:rPr>
                <w:rFonts w:hint="eastAsia" w:ascii="宋体" w:hAnsi="宋体" w:eastAsia="宋体" w:cs="宋体"/>
                <w:b w:val="0"/>
                <w:bCs w:val="0"/>
                <w:color w:val="auto"/>
                <w:sz w:val="21"/>
                <w:szCs w:val="21"/>
                <w:highlight w:val="none"/>
              </w:rPr>
            </w:pPr>
          </w:p>
        </w:tc>
        <w:tc>
          <w:tcPr>
            <w:tcW w:w="4161" w:type="dxa"/>
            <w:vAlign w:val="center"/>
          </w:tcPr>
          <w:p w14:paraId="1157950F">
            <w:pPr>
              <w:pStyle w:val="324"/>
              <w:spacing w:line="560" w:lineRule="exact"/>
              <w:ind w:firstLine="200"/>
              <w:jc w:val="center"/>
              <w:rPr>
                <w:rFonts w:hint="eastAsia" w:ascii="宋体" w:hAnsi="宋体" w:eastAsia="宋体" w:cs="宋体"/>
                <w:b w:val="0"/>
                <w:bCs w:val="0"/>
                <w:color w:val="auto"/>
                <w:sz w:val="21"/>
                <w:szCs w:val="21"/>
                <w:highlight w:val="none"/>
              </w:rPr>
            </w:pPr>
          </w:p>
        </w:tc>
      </w:tr>
      <w:tr w14:paraId="744E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0" w:type="dxa"/>
            <w:vAlign w:val="center"/>
          </w:tcPr>
          <w:p w14:paraId="6669A06C">
            <w:pPr>
              <w:pStyle w:val="324"/>
              <w:spacing w:line="560" w:lineRule="exact"/>
              <w:ind w:firstLine="200"/>
              <w:jc w:val="center"/>
              <w:rPr>
                <w:rFonts w:hint="eastAsia" w:ascii="宋体" w:hAnsi="宋体" w:eastAsia="宋体" w:cs="宋体"/>
                <w:b w:val="0"/>
                <w:bCs w:val="0"/>
                <w:color w:val="auto"/>
                <w:sz w:val="21"/>
                <w:szCs w:val="21"/>
                <w:highlight w:val="none"/>
              </w:rPr>
            </w:pPr>
          </w:p>
        </w:tc>
        <w:tc>
          <w:tcPr>
            <w:tcW w:w="2874" w:type="dxa"/>
            <w:vAlign w:val="center"/>
          </w:tcPr>
          <w:p w14:paraId="479FB165">
            <w:pPr>
              <w:pStyle w:val="324"/>
              <w:spacing w:line="560" w:lineRule="exact"/>
              <w:ind w:firstLine="200"/>
              <w:jc w:val="center"/>
              <w:rPr>
                <w:rFonts w:hint="eastAsia" w:ascii="宋体" w:hAnsi="宋体" w:eastAsia="宋体" w:cs="宋体"/>
                <w:b w:val="0"/>
                <w:bCs w:val="0"/>
                <w:color w:val="auto"/>
                <w:sz w:val="21"/>
                <w:szCs w:val="21"/>
                <w:highlight w:val="none"/>
              </w:rPr>
            </w:pPr>
          </w:p>
        </w:tc>
        <w:tc>
          <w:tcPr>
            <w:tcW w:w="4161" w:type="dxa"/>
            <w:vAlign w:val="center"/>
          </w:tcPr>
          <w:p w14:paraId="1C079D28">
            <w:pPr>
              <w:pStyle w:val="324"/>
              <w:spacing w:line="560" w:lineRule="exact"/>
              <w:ind w:firstLine="200"/>
              <w:jc w:val="center"/>
              <w:rPr>
                <w:rFonts w:hint="eastAsia" w:ascii="宋体" w:hAnsi="宋体" w:eastAsia="宋体" w:cs="宋体"/>
                <w:b w:val="0"/>
                <w:bCs w:val="0"/>
                <w:color w:val="auto"/>
                <w:sz w:val="21"/>
                <w:szCs w:val="21"/>
                <w:highlight w:val="none"/>
              </w:rPr>
            </w:pPr>
          </w:p>
        </w:tc>
      </w:tr>
      <w:tr w14:paraId="5057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64" w:type="dxa"/>
            <w:gridSpan w:val="2"/>
            <w:vAlign w:val="center"/>
          </w:tcPr>
          <w:p w14:paraId="023D44DD">
            <w:pPr>
              <w:pStyle w:val="32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总价</w:t>
            </w:r>
          </w:p>
        </w:tc>
        <w:tc>
          <w:tcPr>
            <w:tcW w:w="4161" w:type="dxa"/>
            <w:vAlign w:val="center"/>
          </w:tcPr>
          <w:p w14:paraId="0253AEFC">
            <w:pPr>
              <w:pStyle w:val="324"/>
              <w:spacing w:line="560" w:lineRule="exact"/>
              <w:ind w:firstLine="200"/>
              <w:jc w:val="center"/>
              <w:rPr>
                <w:rFonts w:hint="eastAsia" w:ascii="宋体" w:hAnsi="宋体" w:eastAsia="宋体" w:cs="宋体"/>
                <w:b w:val="0"/>
                <w:bCs w:val="0"/>
                <w:color w:val="auto"/>
                <w:sz w:val="21"/>
                <w:szCs w:val="21"/>
                <w:highlight w:val="none"/>
              </w:rPr>
            </w:pPr>
          </w:p>
        </w:tc>
      </w:tr>
    </w:tbl>
    <w:p w14:paraId="02A0AE8D">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18" w:name="_Toc4760"/>
      <w:bookmarkStart w:id="419" w:name="_Toc8772"/>
      <w:bookmarkStart w:id="420" w:name="_Toc31421"/>
      <w:bookmarkStart w:id="421" w:name="_Toc3625"/>
      <w:bookmarkStart w:id="422" w:name="_Toc11108"/>
      <w:r>
        <w:rPr>
          <w:rFonts w:hint="eastAsia" w:ascii="宋体" w:hAnsi="宋体" w:eastAsia="宋体" w:cs="宋体"/>
          <w:color w:val="auto"/>
          <w:sz w:val="21"/>
          <w:szCs w:val="21"/>
          <w:highlight w:val="none"/>
        </w:rPr>
        <w:t>1.4履约保证金</w:t>
      </w:r>
    </w:p>
    <w:p w14:paraId="212AC419">
      <w:pPr>
        <w:pStyle w:val="962"/>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（是/否）需要支付履约保证金。若需要支付履约保证金的，则：</w:t>
      </w:r>
    </w:p>
    <w:p w14:paraId="2A720218">
      <w:pPr>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履约保证金的比例为合同金额的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CF2D1A">
      <w:pPr>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履约保证金支付方式详见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FAFE8A">
      <w:pPr>
        <w:pStyle w:val="5"/>
        <w:keepNext/>
        <w:keepLines/>
        <w:pageBreakBefore w:val="0"/>
        <w:widowControl w:val="0"/>
        <w:tabs>
          <w:tab w:val="left" w:pos="0"/>
        </w:tabs>
        <w:kinsoku/>
        <w:wordWrap/>
        <w:overflowPunct/>
        <w:topLinePunct w:val="0"/>
        <w:autoSpaceDE/>
        <w:autoSpaceDN/>
        <w:bidi w:val="0"/>
        <w:adjustRightInd/>
        <w:snapToGrid/>
        <w:spacing w:before="0" w:line="360" w:lineRule="auto"/>
        <w:ind w:left="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B56B71">
      <w:pPr>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1"/>
          <w:highlight w:val="none"/>
        </w:rPr>
        <w:t>1.4.4</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甲方在项目验收结束后及时退还履约保证金。甲方在项目通过验收之日起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1"/>
          <w:szCs w:val="21"/>
          <w:highlight w:val="none"/>
          <w:u w:val="single"/>
        </w:rPr>
        <w:t xml:space="preserve">  0.05  </w:t>
      </w:r>
      <w:r>
        <w:rPr>
          <w:rFonts w:hint="eastAsia" w:ascii="宋体" w:hAnsi="宋体" w:eastAsia="宋体" w:cs="宋体"/>
          <w:color w:val="auto"/>
          <w:kern w:val="0"/>
          <w:sz w:val="21"/>
          <w:szCs w:val="21"/>
          <w:highlight w:val="none"/>
        </w:rPr>
        <w:t>%计算，最高限额为本合同履约保证金的</w:t>
      </w:r>
      <w:r>
        <w:rPr>
          <w:rFonts w:hint="eastAsia" w:ascii="宋体" w:hAnsi="宋体" w:eastAsia="宋体" w:cs="宋体"/>
          <w:color w:val="auto"/>
          <w:kern w:val="0"/>
          <w:sz w:val="21"/>
          <w:szCs w:val="21"/>
          <w:highlight w:val="none"/>
          <w:u w:val="single"/>
        </w:rPr>
        <w:t xml:space="preserve">  20  </w:t>
      </w:r>
      <w:r>
        <w:rPr>
          <w:rFonts w:hint="eastAsia" w:ascii="宋体" w:hAnsi="宋体" w:eastAsia="宋体" w:cs="宋体"/>
          <w:color w:val="auto"/>
          <w:kern w:val="0"/>
          <w:sz w:val="21"/>
          <w:szCs w:val="21"/>
          <w:highlight w:val="none"/>
        </w:rPr>
        <w:t>%。</w:t>
      </w:r>
    </w:p>
    <w:p w14:paraId="0EED5CFA">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1.5预付款</w:t>
      </w:r>
    </w:p>
    <w:p w14:paraId="616F4EA9">
      <w:pPr>
        <w:pStyle w:val="96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（是/否）需要支付预付款。若需要支付预付款的，则：</w:t>
      </w:r>
    </w:p>
    <w:p w14:paraId="3308F36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预付款比例、支付方式、时间详见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6EF7FA8">
      <w:pPr>
        <w:pStyle w:val="96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预付款的扣回方式详见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6C60222">
      <w:pPr>
        <w:pStyle w:val="96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sz w:val="21"/>
          <w:szCs w:val="21"/>
          <w:highlight w:val="none"/>
        </w:rPr>
        <w:t>1.5.3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预付款的担保措施详见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A72DFD6">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1.6资金支付</w:t>
      </w:r>
    </w:p>
    <w:p w14:paraId="39A13872">
      <w:pPr>
        <w:pStyle w:val="96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6E73D5A">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资金支付的方式、时间和条件详见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38FE36A">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w:t>
      </w:r>
      <w:bookmarkEnd w:id="418"/>
      <w:bookmarkEnd w:id="419"/>
      <w:bookmarkEnd w:id="420"/>
      <w:bookmarkEnd w:id="421"/>
      <w:bookmarkEnd w:id="422"/>
      <w:r>
        <w:rPr>
          <w:rFonts w:hint="eastAsia" w:ascii="宋体" w:hAnsi="宋体" w:eastAsia="宋体" w:cs="宋体"/>
          <w:color w:val="auto"/>
          <w:sz w:val="21"/>
          <w:szCs w:val="21"/>
          <w:highlight w:val="none"/>
        </w:rPr>
        <w:t>货物交付期限、地点和方式</w:t>
      </w:r>
    </w:p>
    <w:p w14:paraId="26F640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bookmarkStart w:id="423" w:name="_Toc2375"/>
      <w:bookmarkStart w:id="424" w:name="_Toc3079"/>
      <w:bookmarkStart w:id="425" w:name="_Toc5698"/>
      <w:bookmarkStart w:id="426" w:name="_Toc24662"/>
      <w:bookmarkStart w:id="427" w:name="_Toc8586"/>
      <w:r>
        <w:rPr>
          <w:rFonts w:hint="eastAsia" w:ascii="宋体" w:hAnsi="宋体" w:eastAsia="宋体" w:cs="宋体"/>
          <w:color w:val="auto"/>
          <w:sz w:val="21"/>
          <w:szCs w:val="21"/>
          <w:highlight w:val="none"/>
        </w:rPr>
        <w:t>1.7.1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交付期限：详见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7E10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交付地点：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DE287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交付方式：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70153A7">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违约责任</w:t>
      </w:r>
      <w:bookmarkEnd w:id="423"/>
      <w:bookmarkEnd w:id="424"/>
      <w:bookmarkEnd w:id="425"/>
      <w:bookmarkEnd w:id="426"/>
      <w:bookmarkEnd w:id="427"/>
    </w:p>
    <w:p w14:paraId="04ED7BF8">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%；迟延交付货物的违约金计算数额达到前述最高限额之日起，甲方有权在要求乙方支付违约金的同时，书面通知乙方解除本合同；</w:t>
      </w:r>
    </w:p>
    <w:p w14:paraId="4D736F86">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6ED59A4B">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bookmarkStart w:id="428" w:name="_Toc18683"/>
      <w:bookmarkStart w:id="429" w:name="_Toc26807"/>
      <w:bookmarkStart w:id="430" w:name="_Toc32454"/>
      <w:bookmarkStart w:id="431" w:name="_Toc30329"/>
      <w:bookmarkStart w:id="432" w:name="_Toc9497"/>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1A99F2">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FC217DB">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5F933628">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违约责任</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另有约定的，从其约定。</w:t>
      </w:r>
    </w:p>
    <w:bookmarkEnd w:id="428"/>
    <w:bookmarkEnd w:id="429"/>
    <w:bookmarkEnd w:id="430"/>
    <w:bookmarkEnd w:id="431"/>
    <w:bookmarkEnd w:id="432"/>
    <w:p w14:paraId="1E64EC7B">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33" w:name="_Toc28375"/>
      <w:bookmarkStart w:id="434" w:name="_Toc15583"/>
      <w:bookmarkStart w:id="435" w:name="_Toc16021"/>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合同争议的解决</w:t>
      </w:r>
      <w:bookmarkEnd w:id="433"/>
      <w:bookmarkEnd w:id="434"/>
      <w:bookmarkEnd w:id="435"/>
    </w:p>
    <w:p w14:paraId="22EA73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1.9.2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条款规定的方式解决：</w:t>
      </w:r>
    </w:p>
    <w:p w14:paraId="642CD5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将争议提交</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仲裁委员会依申请仲裁时其现行有效的仲裁规则裁决；</w:t>
      </w:r>
    </w:p>
    <w:p w14:paraId="67E42B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1.9.2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人民法院起诉。</w:t>
      </w:r>
    </w:p>
    <w:p w14:paraId="46976C66">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36" w:name="_Toc7245"/>
      <w:bookmarkStart w:id="437" w:name="_Toc15322"/>
      <w:bookmarkStart w:id="438" w:name="_Toc11173"/>
      <w:r>
        <w:rPr>
          <w:rFonts w:hint="eastAsia" w:ascii="宋体" w:hAnsi="宋体" w:eastAsia="宋体" w:cs="宋体"/>
          <w:color w:val="auto"/>
          <w:sz w:val="21"/>
          <w:szCs w:val="21"/>
          <w:highlight w:val="none"/>
        </w:rPr>
        <w:t>2.0 合同生效</w:t>
      </w:r>
      <w:bookmarkEnd w:id="436"/>
      <w:bookmarkEnd w:id="437"/>
      <w:bookmarkEnd w:id="438"/>
    </w:p>
    <w:p w14:paraId="7AE9EB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本合同自双方当事人盖章签字时生效。</w:t>
      </w:r>
    </w:p>
    <w:p w14:paraId="73075DA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761AB1E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7121FE3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0AE0232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33E4C84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授权代表（签字）: </w:t>
      </w:r>
    </w:p>
    <w:p w14:paraId="5194DA6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608EEE2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17419D8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2C8BEF7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25E5627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75C894E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780A7B9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5AC97BE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5FEC9A14">
      <w:pPr>
        <w:keepNext w:val="0"/>
        <w:keepLines w:val="0"/>
        <w:pageBreakBefore w:val="0"/>
        <w:widowControl w:val="0"/>
        <w:kinsoku/>
        <w:wordWrap/>
        <w:overflowPunct/>
        <w:topLinePunct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bookmarkEnd w:id="400"/>
    <w:bookmarkEnd w:id="401"/>
    <w:bookmarkEnd w:id="402"/>
    <w:p w14:paraId="60913517">
      <w:pPr>
        <w:pStyle w:val="49"/>
        <w:rPr>
          <w:rFonts w:hint="eastAsia" w:ascii="宋体" w:hAnsi="宋体" w:eastAsia="宋体" w:cs="宋体"/>
          <w:color w:val="auto"/>
          <w:highlight w:val="none"/>
        </w:rPr>
      </w:pPr>
      <w:bookmarkStart w:id="439" w:name="_Toc331685783"/>
      <w:r>
        <w:rPr>
          <w:rFonts w:hint="eastAsia" w:ascii="宋体" w:hAnsi="宋体" w:eastAsia="宋体" w:cs="宋体"/>
          <w:color w:val="auto"/>
          <w:highlight w:val="none"/>
        </w:rPr>
        <w:br w:type="page"/>
      </w:r>
      <w:bookmarkStart w:id="440" w:name="_Toc97118342"/>
      <w:bookmarkStart w:id="441" w:name="_Toc97118736"/>
      <w:bookmarkStart w:id="442" w:name="_Toc132308034"/>
      <w:bookmarkStart w:id="443" w:name="_Toc126654845"/>
      <w:r>
        <w:rPr>
          <w:rFonts w:hint="eastAsia" w:ascii="宋体" w:hAnsi="宋体" w:eastAsia="宋体" w:cs="宋体"/>
          <w:color w:val="auto"/>
          <w:sz w:val="32"/>
          <w:szCs w:val="32"/>
          <w:highlight w:val="none"/>
        </w:rPr>
        <w:t>第二部分 合同一般条款</w:t>
      </w:r>
      <w:bookmarkEnd w:id="439"/>
      <w:bookmarkEnd w:id="440"/>
      <w:bookmarkEnd w:id="441"/>
      <w:bookmarkEnd w:id="442"/>
      <w:bookmarkEnd w:id="443"/>
    </w:p>
    <w:p w14:paraId="7FFCB556">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44" w:name="_Toc19680"/>
      <w:bookmarkStart w:id="445" w:name="_Toc31297"/>
      <w:bookmarkStart w:id="446" w:name="_Toc14021"/>
      <w:bookmarkStart w:id="447" w:name="_Toc25079"/>
      <w:bookmarkStart w:id="448" w:name="_Toc5228"/>
      <w:r>
        <w:rPr>
          <w:rFonts w:hint="eastAsia" w:ascii="宋体" w:hAnsi="宋体" w:eastAsia="宋体" w:cs="宋体"/>
          <w:color w:val="auto"/>
          <w:sz w:val="21"/>
          <w:szCs w:val="21"/>
          <w:highlight w:val="none"/>
        </w:rPr>
        <w:t>2.1 定义</w:t>
      </w:r>
      <w:bookmarkEnd w:id="444"/>
      <w:bookmarkEnd w:id="445"/>
      <w:bookmarkEnd w:id="446"/>
      <w:bookmarkEnd w:id="447"/>
      <w:bookmarkEnd w:id="448"/>
    </w:p>
    <w:p w14:paraId="0F7683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41F97D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“合同”系指采购人和中标或成交供应商签订的载明双方当事人所达成的协议，并包括所有的附件、附录和构成合同的其他文件。</w:t>
      </w:r>
    </w:p>
    <w:p w14:paraId="5FF063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“合同价”系指根据合同约定，中标或成交供应商在完全履行合同义务后，采购人应支付给中标或成交供应商的价格。</w:t>
      </w:r>
    </w:p>
    <w:p w14:paraId="0809C4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“货物”系指中标或成交供应商根据合同约定应向采购人交付的一切各种形态和种类的物品，包括原材料、燃料、设备、机械、仪表、备件、计算机软件、产品等，并包括工具、手册等其他相关资料。</w:t>
      </w:r>
    </w:p>
    <w:p w14:paraId="79FEDB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“甲方”系指与中标或成交供应商签署合同的采购人；采购人委托采购代理机构代表其与乙方签订合同的，采购人的授权委托书作为合同附件。</w:t>
      </w:r>
    </w:p>
    <w:p w14:paraId="444B6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5A293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2.1.6 “现场”系指合同约定货物将要运至或者安装的地点。</w:t>
      </w:r>
    </w:p>
    <w:p w14:paraId="356A8146">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49" w:name="_Toc16752"/>
      <w:bookmarkStart w:id="450" w:name="_Toc3769"/>
      <w:bookmarkStart w:id="451" w:name="_Toc23289"/>
      <w:bookmarkStart w:id="452" w:name="_Toc19539"/>
      <w:bookmarkStart w:id="453" w:name="_Toc31402"/>
      <w:r>
        <w:rPr>
          <w:rFonts w:hint="eastAsia" w:ascii="宋体" w:hAnsi="宋体" w:eastAsia="宋体" w:cs="宋体"/>
          <w:color w:val="auto"/>
          <w:sz w:val="21"/>
          <w:szCs w:val="21"/>
          <w:highlight w:val="none"/>
        </w:rPr>
        <w:t>2.2 技术规范</w:t>
      </w:r>
      <w:bookmarkEnd w:id="449"/>
      <w:bookmarkEnd w:id="450"/>
      <w:bookmarkEnd w:id="451"/>
      <w:bookmarkEnd w:id="452"/>
      <w:bookmarkEnd w:id="453"/>
    </w:p>
    <w:p w14:paraId="2C6F325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DA6EEB">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54" w:name="_Toc4133"/>
      <w:bookmarkStart w:id="455" w:name="_Toc12412"/>
      <w:bookmarkStart w:id="456" w:name="_Toc9161"/>
      <w:bookmarkStart w:id="457" w:name="_Toc27945"/>
      <w:bookmarkStart w:id="458" w:name="_Toc13673"/>
      <w:r>
        <w:rPr>
          <w:rFonts w:hint="eastAsia" w:ascii="宋体" w:hAnsi="宋体" w:eastAsia="宋体" w:cs="宋体"/>
          <w:color w:val="auto"/>
          <w:sz w:val="21"/>
          <w:szCs w:val="21"/>
          <w:highlight w:val="none"/>
        </w:rPr>
        <w:t>2.3 知识产权</w:t>
      </w:r>
      <w:bookmarkEnd w:id="454"/>
      <w:bookmarkEnd w:id="455"/>
      <w:bookmarkEnd w:id="456"/>
      <w:bookmarkEnd w:id="457"/>
      <w:bookmarkEnd w:id="458"/>
    </w:p>
    <w:p w14:paraId="0690C81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08EF65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具有知识产权的计算机软件等货物的知识产权归属，详见</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w:t>
      </w:r>
    </w:p>
    <w:p w14:paraId="7E0AC961">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包装和装运</w:t>
      </w:r>
    </w:p>
    <w:p w14:paraId="5A9B7DD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43F13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14:paraId="340E20B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装运货物的要求和通知，详见</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w:t>
      </w:r>
    </w:p>
    <w:p w14:paraId="392766C1">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59" w:name="_Toc31233"/>
      <w:bookmarkStart w:id="460" w:name="_Toc32670"/>
      <w:bookmarkStart w:id="461" w:name="_Toc15447"/>
      <w:bookmarkStart w:id="462" w:name="_Toc26555"/>
      <w:bookmarkStart w:id="463" w:name="_Toc22011"/>
      <w:r>
        <w:rPr>
          <w:rFonts w:hint="eastAsia" w:ascii="宋体" w:hAnsi="宋体" w:eastAsia="宋体" w:cs="宋体"/>
          <w:color w:val="auto"/>
          <w:sz w:val="21"/>
          <w:szCs w:val="21"/>
          <w:highlight w:val="none"/>
        </w:rPr>
        <w:t xml:space="preserve">2.5 </w:t>
      </w:r>
      <w:bookmarkEnd w:id="459"/>
      <w:bookmarkEnd w:id="460"/>
      <w:bookmarkEnd w:id="461"/>
      <w:bookmarkEnd w:id="462"/>
      <w:bookmarkEnd w:id="463"/>
      <w:r>
        <w:rPr>
          <w:rFonts w:hint="eastAsia" w:ascii="宋体" w:hAnsi="宋体" w:eastAsia="宋体" w:cs="宋体"/>
          <w:color w:val="auto"/>
          <w:sz w:val="21"/>
          <w:szCs w:val="21"/>
          <w:highlight w:val="none"/>
        </w:rPr>
        <w:t>履约检查和问题反馈</w:t>
      </w:r>
    </w:p>
    <w:p w14:paraId="6DA7F3C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EC567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 合同履行期间，甲方有权将履行过程中出现的问题反馈给乙方，双方当事人应以书面形式约定需要完善和改进的内容。</w:t>
      </w:r>
    </w:p>
    <w:p w14:paraId="2C91F00B">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64" w:name="_Toc13467"/>
      <w:bookmarkStart w:id="465" w:name="_Toc30507"/>
      <w:bookmarkStart w:id="466" w:name="_Toc16163"/>
      <w:bookmarkStart w:id="467" w:name="_Toc13154"/>
      <w:bookmarkStart w:id="468" w:name="_Toc18990"/>
      <w:r>
        <w:rPr>
          <w:rFonts w:hint="eastAsia" w:ascii="宋体" w:hAnsi="宋体" w:eastAsia="宋体" w:cs="宋体"/>
          <w:color w:val="auto"/>
          <w:sz w:val="21"/>
          <w:szCs w:val="21"/>
          <w:highlight w:val="none"/>
        </w:rPr>
        <w:t>2.6 技术资料和保密义务</w:t>
      </w:r>
      <w:bookmarkEnd w:id="464"/>
      <w:bookmarkEnd w:id="465"/>
      <w:bookmarkEnd w:id="466"/>
      <w:bookmarkEnd w:id="467"/>
      <w:bookmarkEnd w:id="468"/>
    </w:p>
    <w:p w14:paraId="41DF040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14:paraId="6B360B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p>
    <w:p w14:paraId="2454780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940319A">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69" w:name="_Toc19069"/>
      <w:r>
        <w:rPr>
          <w:rFonts w:hint="eastAsia" w:ascii="宋体" w:hAnsi="宋体" w:eastAsia="宋体" w:cs="宋体"/>
          <w:color w:val="auto"/>
          <w:sz w:val="21"/>
          <w:szCs w:val="21"/>
          <w:highlight w:val="none"/>
        </w:rPr>
        <w:t>2.7 质量保证</w:t>
      </w:r>
      <w:bookmarkEnd w:id="469"/>
    </w:p>
    <w:p w14:paraId="747AA79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14:paraId="64A12B3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14:paraId="4E5AA633">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70" w:name="_Toc22267"/>
      <w:r>
        <w:rPr>
          <w:rFonts w:hint="eastAsia" w:ascii="宋体" w:hAnsi="宋体" w:eastAsia="宋体" w:cs="宋体"/>
          <w:color w:val="auto"/>
          <w:sz w:val="21"/>
          <w:szCs w:val="21"/>
          <w:highlight w:val="none"/>
        </w:rPr>
        <w:t xml:space="preserve">2.8 </w:t>
      </w:r>
      <w:bookmarkEnd w:id="470"/>
      <w:r>
        <w:rPr>
          <w:rFonts w:hint="eastAsia" w:ascii="宋体" w:hAnsi="宋体" w:eastAsia="宋体" w:cs="宋体"/>
          <w:color w:val="auto"/>
          <w:sz w:val="21"/>
          <w:szCs w:val="21"/>
          <w:highlight w:val="none"/>
        </w:rPr>
        <w:t>货物的风险负担</w:t>
      </w:r>
    </w:p>
    <w:p w14:paraId="3A05A5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货物或者在途货物或者交付给第一承运人后的货物毁损、灭失的风险负担详见</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w:t>
      </w:r>
    </w:p>
    <w:p w14:paraId="482D1E7A">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lang w:val="en-US" w:eastAsia="zh-CN"/>
        </w:rPr>
      </w:pPr>
      <w:bookmarkStart w:id="471" w:name="_Toc10611"/>
      <w:r>
        <w:rPr>
          <w:rFonts w:hint="eastAsia" w:ascii="宋体" w:hAnsi="宋体" w:eastAsia="宋体" w:cs="宋体"/>
          <w:color w:val="auto"/>
          <w:sz w:val="21"/>
          <w:szCs w:val="21"/>
          <w:highlight w:val="none"/>
          <w:lang w:val="en-US" w:eastAsia="zh-CN"/>
        </w:rPr>
        <w:t>2.9 延迟交货</w:t>
      </w:r>
    </w:p>
    <w:p w14:paraId="2D7DE4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9C2C1F3">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合同变更</w:t>
      </w:r>
      <w:bookmarkEnd w:id="471"/>
    </w:p>
    <w:p w14:paraId="1C6602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423A9CDA">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72" w:name="_Toc21830"/>
      <w:bookmarkStart w:id="473" w:name="_Toc10663"/>
      <w:bookmarkStart w:id="474" w:name="_Toc42"/>
      <w:bookmarkStart w:id="475" w:name="_Toc23368"/>
      <w:bookmarkStart w:id="476" w:name="_Toc26689"/>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合同转让和分包</w:t>
      </w:r>
      <w:bookmarkEnd w:id="472"/>
      <w:bookmarkEnd w:id="473"/>
      <w:bookmarkEnd w:id="474"/>
      <w:bookmarkEnd w:id="475"/>
      <w:bookmarkEnd w:id="476"/>
    </w:p>
    <w:p w14:paraId="19E01CA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51281D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乙方采取分包方式履行合同的，甲方可直接向分包供应商支付款项。</w:t>
      </w:r>
    </w:p>
    <w:p w14:paraId="528BA624">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77" w:name="_Toc25571"/>
      <w:bookmarkStart w:id="478" w:name="_Toc32494"/>
      <w:bookmarkStart w:id="479" w:name="_Toc4720"/>
      <w:bookmarkStart w:id="480" w:name="_Toc26633"/>
      <w:bookmarkStart w:id="481" w:name="_Toc14371"/>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不可抗力</w:t>
      </w:r>
      <w:bookmarkEnd w:id="477"/>
      <w:bookmarkEnd w:id="478"/>
      <w:bookmarkEnd w:id="479"/>
      <w:bookmarkEnd w:id="480"/>
      <w:bookmarkEnd w:id="481"/>
    </w:p>
    <w:p w14:paraId="3091AE6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如果任何一方遭遇法律规定的不可抗力，致使合同履行受阻时，履行合同的期限应予延长，延长的期限应相当于不可抗力所影响的时间；</w:t>
      </w:r>
    </w:p>
    <w:p w14:paraId="64C645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2.12.2 因不可抗力致使不能实现合同目的的，当事人可以解除合同；</w:t>
      </w:r>
    </w:p>
    <w:p w14:paraId="62A598F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 因不可抗力致使合同有变更必要的，双方当事人应在</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390F26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受不可抗力影响的一方在不可抗力发生后，应在</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37BE72FF">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82" w:name="_Toc14115"/>
      <w:bookmarkStart w:id="483" w:name="_Toc25783"/>
      <w:bookmarkStart w:id="484" w:name="_Toc24465"/>
      <w:bookmarkStart w:id="485" w:name="_Toc3638"/>
      <w:bookmarkStart w:id="486" w:name="_Toc23854"/>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税费</w:t>
      </w:r>
      <w:bookmarkEnd w:id="482"/>
      <w:bookmarkEnd w:id="483"/>
      <w:bookmarkEnd w:id="484"/>
      <w:bookmarkEnd w:id="485"/>
      <w:bookmarkEnd w:id="486"/>
    </w:p>
    <w:p w14:paraId="1343CCD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2726D67E">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87" w:name="_Toc14814"/>
      <w:bookmarkStart w:id="488" w:name="_Toc26883"/>
      <w:bookmarkStart w:id="489" w:name="_Toc7315"/>
      <w:bookmarkStart w:id="490" w:name="_Toc30105"/>
      <w:bookmarkStart w:id="491" w:name="_Toc25525"/>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乙方破产</w:t>
      </w:r>
      <w:bookmarkEnd w:id="487"/>
      <w:bookmarkEnd w:id="488"/>
      <w:bookmarkEnd w:id="489"/>
      <w:bookmarkEnd w:id="490"/>
      <w:bookmarkEnd w:id="491"/>
    </w:p>
    <w:p w14:paraId="0E0FAD6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6BEF52">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92" w:name="_Toc23323"/>
      <w:bookmarkStart w:id="493" w:name="_Toc2016"/>
      <w:bookmarkStart w:id="494" w:name="_Toc1123"/>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合同中止、终止</w:t>
      </w:r>
      <w:bookmarkEnd w:id="492"/>
      <w:bookmarkEnd w:id="493"/>
      <w:bookmarkEnd w:id="494"/>
    </w:p>
    <w:p w14:paraId="074383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双方当事人不得擅自中止或者终止合同；</w:t>
      </w:r>
    </w:p>
    <w:p w14:paraId="45D6937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合同继续履行将损害国家利益和社会公共利益的，双方当事人应当中止或者终止合同。有过错的一方应当承担赔偿责任，双方当事人都有过错的，各自承担相应的责任。</w:t>
      </w:r>
    </w:p>
    <w:p w14:paraId="5291F44E">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95" w:name="_Toc1969"/>
      <w:bookmarkStart w:id="496" w:name="_Toc14525"/>
      <w:bookmarkStart w:id="497" w:name="_Toc17363"/>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检验和验收</w:t>
      </w:r>
      <w:bookmarkEnd w:id="495"/>
      <w:bookmarkEnd w:id="496"/>
      <w:bookmarkEnd w:id="497"/>
    </w:p>
    <w:p w14:paraId="15DFA5FB">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货物交付前，乙方应对货物的质量、数量等方面进行详细、全面的检验，并向甲方出具证明货物符合合同约定的文件；货物交付时，甲方在</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约定时间内组织验收，并可依法邀请相关方参加，验收应出具验收书。</w:t>
      </w:r>
    </w:p>
    <w:p w14:paraId="2E791E7F">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096AD64">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2.16.3 检验和验收标准、程序等具体内容以及前述验收书的效力详见</w:t>
      </w:r>
      <w:r>
        <w:rPr>
          <w:rFonts w:hint="eastAsia" w:ascii="宋体" w:hAnsi="宋体" w:eastAsia="宋体" w:cs="宋体"/>
          <w:b/>
          <w:bCs/>
          <w:i/>
          <w:iCs/>
          <w:color w:val="auto"/>
          <w:sz w:val="21"/>
          <w:szCs w:val="21"/>
          <w:highlight w:val="none"/>
          <w:u w:val="single"/>
        </w:rPr>
        <w:t>合同专用条款</w:t>
      </w:r>
      <w:r>
        <w:rPr>
          <w:rFonts w:hint="eastAsia" w:ascii="宋体" w:hAnsi="宋体" w:eastAsia="宋体" w:cs="宋体"/>
          <w:color w:val="auto"/>
          <w:sz w:val="21"/>
          <w:szCs w:val="21"/>
          <w:highlight w:val="none"/>
        </w:rPr>
        <w:t>。</w:t>
      </w:r>
    </w:p>
    <w:p w14:paraId="47817738">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bookmarkStart w:id="498" w:name="_Toc2308"/>
      <w:bookmarkStart w:id="499" w:name="_Toc25198"/>
      <w:bookmarkStart w:id="500" w:name="_Toc12666"/>
      <w:bookmarkStart w:id="501" w:name="_Toc9808"/>
      <w:bookmarkStart w:id="502" w:name="_Toc31892"/>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通知和送达</w:t>
      </w:r>
      <w:bookmarkEnd w:id="498"/>
      <w:bookmarkEnd w:id="499"/>
      <w:bookmarkEnd w:id="500"/>
      <w:bookmarkEnd w:id="501"/>
      <w:bookmarkEnd w:id="502"/>
    </w:p>
    <w:p w14:paraId="2A7BB4E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6594A1D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p>
    <w:p w14:paraId="7538345C">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lang w:val="en-US" w:eastAsia="zh-CN"/>
        </w:rPr>
      </w:pPr>
      <w:bookmarkStart w:id="503" w:name="_Toc28906"/>
      <w:bookmarkStart w:id="504" w:name="_Toc27644"/>
      <w:bookmarkStart w:id="505" w:name="_Toc12254"/>
      <w:bookmarkStart w:id="506" w:name="_Toc20808"/>
      <w:bookmarkStart w:id="507" w:name="_Toc5063"/>
      <w:r>
        <w:rPr>
          <w:rFonts w:hint="eastAsia" w:ascii="宋体" w:hAnsi="宋体" w:eastAsia="宋体" w:cs="宋体"/>
          <w:color w:val="auto"/>
          <w:sz w:val="21"/>
          <w:szCs w:val="21"/>
          <w:highlight w:val="none"/>
          <w:lang w:val="en-US" w:eastAsia="zh-CN"/>
        </w:rPr>
        <w:t>2.18 计量单位</w:t>
      </w:r>
    </w:p>
    <w:p w14:paraId="496B0031">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除技术规范中另有规定外,合同的计量单位均使用国家法定计量单位。</w:t>
      </w:r>
    </w:p>
    <w:p w14:paraId="2B1DAA09">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合同使用的文字和适用的法律</w:t>
      </w:r>
      <w:bookmarkEnd w:id="503"/>
      <w:bookmarkEnd w:id="504"/>
      <w:bookmarkEnd w:id="505"/>
      <w:bookmarkEnd w:id="506"/>
      <w:bookmarkEnd w:id="507"/>
    </w:p>
    <w:p w14:paraId="7B70BDD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 合同使用汉语书就、变更和解释；</w:t>
      </w:r>
    </w:p>
    <w:p w14:paraId="403CE5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 合同适用中华人民共和国法律。</w:t>
      </w:r>
    </w:p>
    <w:p w14:paraId="172FB0DE">
      <w:pPr>
        <w:pStyle w:val="6"/>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20 </w:t>
      </w:r>
      <w:r>
        <w:rPr>
          <w:rFonts w:hint="eastAsia" w:ascii="宋体" w:hAnsi="宋体" w:eastAsia="宋体" w:cs="宋体"/>
          <w:color w:val="auto"/>
          <w:sz w:val="21"/>
          <w:szCs w:val="21"/>
          <w:highlight w:val="none"/>
        </w:rPr>
        <w:t>合同份数</w:t>
      </w:r>
    </w:p>
    <w:p w14:paraId="6B9D119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规定，每份均具有同等法律效力。</w:t>
      </w:r>
    </w:p>
    <w:p w14:paraId="6272A726">
      <w:pPr>
        <w:widowControl/>
        <w:jc w:val="left"/>
        <w:rPr>
          <w:rFonts w:hint="eastAsia" w:ascii="宋体" w:hAnsi="宋体" w:eastAsia="宋体" w:cs="宋体"/>
          <w:color w:val="auto"/>
          <w:sz w:val="24"/>
          <w:szCs w:val="20"/>
          <w:highlight w:val="none"/>
        </w:rPr>
      </w:pPr>
      <w:r>
        <w:rPr>
          <w:rFonts w:hint="eastAsia" w:ascii="宋体" w:hAnsi="宋体" w:eastAsia="宋体" w:cs="宋体"/>
          <w:color w:val="auto"/>
          <w:highlight w:val="none"/>
        </w:rPr>
        <w:br w:type="page"/>
      </w:r>
    </w:p>
    <w:p w14:paraId="7431E3A6">
      <w:pPr>
        <w:pStyle w:val="49"/>
        <w:keepNext w:val="0"/>
        <w:keepLines w:val="0"/>
        <w:pageBreakBefore w:val="0"/>
        <w:widowControl w:val="0"/>
        <w:kinsoku/>
        <w:wordWrap/>
        <w:overflowPunct/>
        <w:topLinePunct w:val="0"/>
        <w:autoSpaceDE/>
        <w:autoSpaceDN/>
        <w:bidi w:val="0"/>
        <w:adjustRightInd w:val="0"/>
        <w:snapToGrid w:val="0"/>
        <w:spacing w:before="313" w:beforeLines="100" w:after="313" w:afterLines="100"/>
        <w:textAlignment w:val="auto"/>
        <w:rPr>
          <w:rFonts w:hint="eastAsia" w:ascii="宋体" w:hAnsi="宋体" w:eastAsia="宋体" w:cs="宋体"/>
          <w:color w:val="auto"/>
          <w:sz w:val="32"/>
          <w:szCs w:val="32"/>
          <w:highlight w:val="none"/>
        </w:rPr>
      </w:pPr>
      <w:bookmarkStart w:id="508" w:name="_Toc132308035"/>
      <w:bookmarkStart w:id="509" w:name="_Toc126654846"/>
      <w:r>
        <w:rPr>
          <w:rFonts w:hint="eastAsia" w:ascii="宋体" w:hAnsi="宋体" w:eastAsia="宋体" w:cs="宋体"/>
          <w:color w:val="auto"/>
          <w:sz w:val="32"/>
          <w:szCs w:val="32"/>
          <w:highlight w:val="none"/>
        </w:rPr>
        <w:t>第三部分 合同专用条款</w:t>
      </w:r>
      <w:bookmarkEnd w:id="508"/>
      <w:bookmarkEnd w:id="509"/>
    </w:p>
    <w:p w14:paraId="2E054792">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i/>
          <w:color w:val="auto"/>
          <w:sz w:val="24"/>
          <w:szCs w:val="24"/>
          <w:highlight w:val="none"/>
          <w:u w:val="singl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05"/>
        <w:gridCol w:w="8313"/>
      </w:tblGrid>
      <w:tr w14:paraId="63E98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633" w:type="pct"/>
            <w:tcBorders>
              <w:tl2br w:val="nil"/>
              <w:tr2bl w:val="nil"/>
            </w:tcBorders>
            <w:vAlign w:val="center"/>
          </w:tcPr>
          <w:p w14:paraId="76BFDD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条款号</w:t>
            </w:r>
          </w:p>
        </w:tc>
        <w:tc>
          <w:tcPr>
            <w:tcW w:w="4366" w:type="pct"/>
            <w:tcBorders>
              <w:tl2br w:val="nil"/>
              <w:tr2bl w:val="nil"/>
            </w:tcBorders>
            <w:vAlign w:val="center"/>
          </w:tcPr>
          <w:p w14:paraId="20C97E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约定内容</w:t>
            </w:r>
          </w:p>
        </w:tc>
      </w:tr>
      <w:tr w14:paraId="0AB9E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14:paraId="2DDE5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4366" w:type="pct"/>
            <w:tcBorders>
              <w:tl2br w:val="nil"/>
              <w:tr2bl w:val="nil"/>
            </w:tcBorders>
            <w:vAlign w:val="center"/>
          </w:tcPr>
          <w:p w14:paraId="6A55029F">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履约保证金支付方式：</w:t>
            </w:r>
            <w:r>
              <w:rPr>
                <w:rFonts w:hint="eastAsia" w:ascii="宋体" w:hAnsi="宋体" w:eastAsia="宋体" w:cs="宋体"/>
                <w:b w:val="0"/>
                <w:bCs w:val="0"/>
                <w:i w:val="0"/>
                <w:iCs w:val="0"/>
                <w:color w:val="auto"/>
                <w:sz w:val="21"/>
                <w:szCs w:val="21"/>
                <w:highlight w:val="none"/>
                <w:u w:val="single"/>
                <w:lang w:val="en-US" w:eastAsia="zh-CN"/>
              </w:rPr>
              <w:t>本项目不适用</w:t>
            </w:r>
          </w:p>
        </w:tc>
      </w:tr>
      <w:tr w14:paraId="369D1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62" w:hRule="exact"/>
        </w:trPr>
        <w:tc>
          <w:tcPr>
            <w:tcW w:w="633" w:type="pct"/>
            <w:tcBorders>
              <w:tl2br w:val="nil"/>
              <w:tr2bl w:val="nil"/>
            </w:tcBorders>
            <w:vAlign w:val="center"/>
          </w:tcPr>
          <w:p w14:paraId="6C591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4366" w:type="pct"/>
            <w:tcBorders>
              <w:tl2br w:val="nil"/>
              <w:tr2bl w:val="nil"/>
            </w:tcBorders>
            <w:vAlign w:val="center"/>
          </w:tcPr>
          <w:p w14:paraId="36F740F0">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预付款比例：</w:t>
            </w:r>
          </w:p>
          <w:p w14:paraId="65E21D74">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预付款支付方式：</w:t>
            </w:r>
            <w:r>
              <w:rPr>
                <w:rFonts w:hint="eastAsia" w:ascii="宋体" w:hAnsi="宋体" w:eastAsia="宋体" w:cs="宋体"/>
                <w:color w:val="auto"/>
                <w:sz w:val="21"/>
                <w:szCs w:val="21"/>
                <w:highlight w:val="none"/>
                <w:u w:val="single"/>
              </w:rPr>
              <w:t>转账方式，支付至乙方账户</w:t>
            </w:r>
          </w:p>
          <w:p w14:paraId="397BE52C">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预付款支付时间：</w:t>
            </w:r>
            <w:r>
              <w:rPr>
                <w:rFonts w:hint="eastAsia" w:ascii="宋体" w:hAnsi="宋体" w:eastAsia="宋体" w:cs="宋体"/>
                <w:color w:val="auto"/>
                <w:sz w:val="21"/>
                <w:szCs w:val="21"/>
                <w:highlight w:val="none"/>
                <w:u w:val="single"/>
              </w:rPr>
              <w:t>合同签订后七日并具备实施条件</w:t>
            </w:r>
          </w:p>
        </w:tc>
      </w:tr>
      <w:tr w14:paraId="1AAE4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8" w:hRule="exact"/>
        </w:trPr>
        <w:tc>
          <w:tcPr>
            <w:tcW w:w="633" w:type="pct"/>
            <w:tcBorders>
              <w:tl2br w:val="nil"/>
              <w:tr2bl w:val="nil"/>
            </w:tcBorders>
            <w:vAlign w:val="center"/>
          </w:tcPr>
          <w:p w14:paraId="1D3E4B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4366" w:type="pct"/>
            <w:tcBorders>
              <w:tl2br w:val="nil"/>
              <w:tr2bl w:val="nil"/>
            </w:tcBorders>
            <w:vAlign w:val="center"/>
          </w:tcPr>
          <w:p w14:paraId="507DD317">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预付款的扣回方式：</w:t>
            </w:r>
            <w:r>
              <w:rPr>
                <w:rFonts w:hint="eastAsia" w:ascii="宋体" w:hAnsi="宋体" w:eastAsia="宋体" w:cs="宋体"/>
                <w:color w:val="auto"/>
                <w:sz w:val="21"/>
                <w:szCs w:val="21"/>
                <w:highlight w:val="none"/>
                <w:u w:val="single"/>
              </w:rPr>
              <w:t>不扣回，资金支付时转为合同款</w:t>
            </w:r>
          </w:p>
        </w:tc>
      </w:tr>
      <w:tr w14:paraId="2FFE1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6" w:hRule="exact"/>
        </w:trPr>
        <w:tc>
          <w:tcPr>
            <w:tcW w:w="633" w:type="pct"/>
            <w:tcBorders>
              <w:tl2br w:val="nil"/>
              <w:tr2bl w:val="nil"/>
            </w:tcBorders>
            <w:vAlign w:val="center"/>
          </w:tcPr>
          <w:p w14:paraId="0E62AC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4366" w:type="pct"/>
            <w:tcBorders>
              <w:tl2br w:val="nil"/>
              <w:tr2bl w:val="nil"/>
            </w:tcBorders>
            <w:vAlign w:val="center"/>
          </w:tcPr>
          <w:p w14:paraId="7F04FF9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预付款的担保措施：</w:t>
            </w:r>
            <w:r>
              <w:rPr>
                <w:rFonts w:hint="eastAsia" w:ascii="宋体" w:hAnsi="宋体" w:eastAsia="宋体" w:cs="宋体"/>
                <w:color w:val="auto"/>
                <w:sz w:val="21"/>
                <w:szCs w:val="21"/>
                <w:highlight w:val="none"/>
                <w:u w:val="single"/>
                <w:lang w:val="en-US" w:eastAsia="zh-CN"/>
              </w:rPr>
              <w:t>无</w:t>
            </w:r>
          </w:p>
        </w:tc>
      </w:tr>
      <w:tr w14:paraId="7D458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 w:hRule="exact"/>
        </w:trPr>
        <w:tc>
          <w:tcPr>
            <w:tcW w:w="633" w:type="pct"/>
            <w:tcBorders>
              <w:tl2br w:val="nil"/>
              <w:tr2bl w:val="nil"/>
            </w:tcBorders>
            <w:vAlign w:val="center"/>
          </w:tcPr>
          <w:p w14:paraId="2C083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366" w:type="pct"/>
            <w:tcBorders>
              <w:tl2br w:val="nil"/>
              <w:tr2bl w:val="nil"/>
            </w:tcBorders>
            <w:vAlign w:val="center"/>
          </w:tcPr>
          <w:p w14:paraId="63581828">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资金支付的方式、时间和条件：</w:t>
            </w:r>
          </w:p>
        </w:tc>
      </w:tr>
      <w:tr w14:paraId="01F8A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14:paraId="26E9B3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4366" w:type="pct"/>
            <w:tcBorders>
              <w:tl2br w:val="nil"/>
              <w:tr2bl w:val="nil"/>
            </w:tcBorders>
            <w:vAlign w:val="center"/>
          </w:tcPr>
          <w:p w14:paraId="72C8167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交付期限</w:t>
            </w:r>
            <w:r>
              <w:rPr>
                <w:rFonts w:hint="eastAsia" w:ascii="宋体" w:hAnsi="宋体" w:eastAsia="宋体" w:cs="宋体"/>
                <w:color w:val="auto"/>
                <w:sz w:val="21"/>
                <w:szCs w:val="21"/>
                <w:highlight w:val="none"/>
                <w:lang w:eastAsia="zh-CN"/>
              </w:rPr>
              <w:t>：</w:t>
            </w:r>
          </w:p>
        </w:tc>
      </w:tr>
      <w:tr w14:paraId="50FB7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14:paraId="6940EC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4366" w:type="pct"/>
            <w:tcBorders>
              <w:tl2br w:val="nil"/>
              <w:tr2bl w:val="nil"/>
            </w:tcBorders>
            <w:vAlign w:val="center"/>
          </w:tcPr>
          <w:p w14:paraId="23DB372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交付地点</w:t>
            </w:r>
            <w:r>
              <w:rPr>
                <w:rFonts w:hint="eastAsia" w:ascii="宋体" w:hAnsi="宋体" w:eastAsia="宋体" w:cs="宋体"/>
                <w:color w:val="auto"/>
                <w:sz w:val="21"/>
                <w:szCs w:val="21"/>
                <w:highlight w:val="none"/>
                <w:lang w:eastAsia="zh-CN"/>
              </w:rPr>
              <w:t>：</w:t>
            </w:r>
          </w:p>
        </w:tc>
      </w:tr>
      <w:tr w14:paraId="7F53A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0" w:hRule="exact"/>
        </w:trPr>
        <w:tc>
          <w:tcPr>
            <w:tcW w:w="633" w:type="pct"/>
            <w:tcBorders>
              <w:tl2br w:val="nil"/>
              <w:tr2bl w:val="nil"/>
            </w:tcBorders>
            <w:vAlign w:val="center"/>
          </w:tcPr>
          <w:p w14:paraId="49D4FC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4366" w:type="pct"/>
            <w:tcBorders>
              <w:tl2br w:val="nil"/>
              <w:tr2bl w:val="nil"/>
            </w:tcBorders>
            <w:vAlign w:val="center"/>
          </w:tcPr>
          <w:p w14:paraId="79E45C12">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交付方式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由乙方负责运输至甲方指定地点现场交货，并安装调试完毕</w:t>
            </w:r>
            <w:r>
              <w:rPr>
                <w:rFonts w:hint="eastAsia" w:ascii="宋体" w:hAnsi="宋体" w:cs="宋体"/>
                <w:color w:val="auto"/>
                <w:sz w:val="21"/>
                <w:szCs w:val="21"/>
                <w:highlight w:val="none"/>
                <w:u w:val="single"/>
                <w:lang w:val="en-US" w:eastAsia="zh-CN"/>
              </w:rPr>
              <w:t>，测试通过</w:t>
            </w:r>
            <w:r>
              <w:rPr>
                <w:rFonts w:hint="eastAsia" w:ascii="宋体" w:hAnsi="宋体" w:eastAsia="宋体" w:cs="宋体"/>
                <w:color w:val="auto"/>
                <w:sz w:val="21"/>
                <w:szCs w:val="21"/>
                <w:highlight w:val="none"/>
                <w:u w:val="single"/>
                <w:lang w:val="en-US" w:eastAsia="zh-CN"/>
              </w:rPr>
              <w:t>。</w:t>
            </w:r>
            <w:r>
              <w:rPr>
                <w:rFonts w:hint="eastAsia" w:ascii="宋体" w:hAnsi="宋体" w:cs="宋体"/>
                <w:color w:val="auto"/>
                <w:sz w:val="21"/>
                <w:szCs w:val="21"/>
                <w:highlight w:val="none"/>
                <w:u w:val="single"/>
                <w:lang w:val="en-US" w:eastAsia="zh-CN"/>
              </w:rPr>
              <w:t>测试通过</w:t>
            </w:r>
            <w:r>
              <w:rPr>
                <w:rFonts w:hint="eastAsia" w:ascii="宋体" w:hAnsi="宋体" w:eastAsia="宋体" w:cs="宋体"/>
                <w:color w:val="auto"/>
                <w:sz w:val="21"/>
                <w:szCs w:val="21"/>
                <w:highlight w:val="none"/>
                <w:u w:val="single"/>
                <w:lang w:val="en-US" w:eastAsia="zh-CN"/>
              </w:rPr>
              <w:t>交付甲方前发生的风险均由乙方负责</w:t>
            </w:r>
          </w:p>
        </w:tc>
      </w:tr>
      <w:tr w14:paraId="5E6B5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14:paraId="09511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6</w:t>
            </w:r>
          </w:p>
        </w:tc>
        <w:tc>
          <w:tcPr>
            <w:tcW w:w="4366" w:type="pct"/>
            <w:tcBorders>
              <w:tl2br w:val="nil"/>
              <w:tr2bl w:val="nil"/>
            </w:tcBorders>
            <w:vAlign w:val="center"/>
          </w:tcPr>
          <w:p w14:paraId="430CE6D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违约责任特殊约定：</w:t>
            </w:r>
            <w:r>
              <w:rPr>
                <w:rFonts w:hint="eastAsia" w:ascii="宋体" w:hAnsi="宋体" w:eastAsia="宋体" w:cs="宋体"/>
                <w:color w:val="auto"/>
                <w:sz w:val="21"/>
                <w:szCs w:val="21"/>
                <w:highlight w:val="none"/>
                <w:u w:val="single"/>
                <w:lang w:val="en-US" w:eastAsia="zh-CN"/>
              </w:rPr>
              <w:t xml:space="preserve"> / </w:t>
            </w:r>
          </w:p>
        </w:tc>
      </w:tr>
      <w:tr w14:paraId="2E6B5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14:paraId="7B9C6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w:t>
            </w:r>
          </w:p>
        </w:tc>
        <w:tc>
          <w:tcPr>
            <w:tcW w:w="4366" w:type="pct"/>
            <w:tcBorders>
              <w:tl2br w:val="nil"/>
              <w:tr2bl w:val="nil"/>
            </w:tcBorders>
            <w:vAlign w:val="center"/>
          </w:tcPr>
          <w:p w14:paraId="0FCE690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仲裁委员会名称：</w:t>
            </w:r>
            <w:r>
              <w:rPr>
                <w:rFonts w:hint="eastAsia" w:ascii="宋体" w:hAnsi="宋体" w:eastAsia="宋体" w:cs="宋体"/>
                <w:color w:val="auto"/>
                <w:sz w:val="21"/>
                <w:szCs w:val="21"/>
                <w:highlight w:val="none"/>
                <w:u w:val="single"/>
                <w:lang w:val="en-US" w:eastAsia="zh-CN"/>
              </w:rPr>
              <w:t xml:space="preserve"> / </w:t>
            </w:r>
          </w:p>
        </w:tc>
      </w:tr>
      <w:tr w14:paraId="459C2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14:paraId="17AC0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1.9.2</w:t>
            </w:r>
          </w:p>
        </w:tc>
        <w:tc>
          <w:tcPr>
            <w:tcW w:w="4366" w:type="pct"/>
            <w:tcBorders>
              <w:tl2br w:val="nil"/>
              <w:tr2bl w:val="nil"/>
            </w:tcBorders>
            <w:vAlign w:val="center"/>
          </w:tcPr>
          <w:p w14:paraId="0C1A7FA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起诉机构：</w:t>
            </w:r>
            <w:r>
              <w:rPr>
                <w:rFonts w:hint="eastAsia" w:ascii="宋体" w:hAnsi="宋体" w:eastAsia="宋体" w:cs="宋体"/>
                <w:color w:val="auto"/>
                <w:sz w:val="21"/>
                <w:szCs w:val="21"/>
                <w:highlight w:val="none"/>
                <w:u w:val="single"/>
                <w:lang w:val="en-US" w:eastAsia="zh-CN"/>
              </w:rPr>
              <w:t>甲方所在地人民法院</w:t>
            </w:r>
          </w:p>
        </w:tc>
      </w:tr>
      <w:tr w14:paraId="09717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0" w:hRule="exact"/>
        </w:trPr>
        <w:tc>
          <w:tcPr>
            <w:tcW w:w="633" w:type="pct"/>
            <w:tcBorders>
              <w:tl2br w:val="nil"/>
              <w:tr2bl w:val="nil"/>
            </w:tcBorders>
            <w:vAlign w:val="center"/>
          </w:tcPr>
          <w:p w14:paraId="3E834E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366" w:type="pct"/>
            <w:tcBorders>
              <w:tl2br w:val="nil"/>
              <w:tr2bl w:val="nil"/>
            </w:tcBorders>
            <w:vAlign w:val="center"/>
          </w:tcPr>
          <w:p w14:paraId="45A313D7">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技术成果的归属和收益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双方共有，未经对方同意，任何一方不得将资料、文件提供给与本项目无关的第三方使用</w:t>
            </w:r>
          </w:p>
        </w:tc>
      </w:tr>
      <w:tr w14:paraId="61BC7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14:paraId="0F257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2.4.1</w:t>
            </w:r>
          </w:p>
        </w:tc>
        <w:tc>
          <w:tcPr>
            <w:tcW w:w="4366" w:type="pct"/>
            <w:tcBorders>
              <w:tl2br w:val="nil"/>
              <w:tr2bl w:val="nil"/>
            </w:tcBorders>
            <w:vAlign w:val="center"/>
          </w:tcPr>
          <w:p w14:paraId="6726E55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包装要求：</w:t>
            </w:r>
            <w:r>
              <w:rPr>
                <w:rFonts w:hint="eastAsia" w:ascii="宋体" w:hAnsi="宋体" w:eastAsia="宋体" w:cs="宋体"/>
                <w:color w:val="auto"/>
                <w:sz w:val="21"/>
                <w:szCs w:val="21"/>
                <w:highlight w:val="none"/>
                <w:u w:val="single"/>
                <w:lang w:val="en-US" w:eastAsia="zh-CN"/>
              </w:rPr>
              <w:t xml:space="preserve"> / </w:t>
            </w:r>
          </w:p>
        </w:tc>
      </w:tr>
      <w:tr w14:paraId="07443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14:paraId="7B183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2.4.3</w:t>
            </w:r>
          </w:p>
        </w:tc>
        <w:tc>
          <w:tcPr>
            <w:tcW w:w="4366" w:type="pct"/>
            <w:tcBorders>
              <w:tl2br w:val="nil"/>
              <w:tr2bl w:val="nil"/>
            </w:tcBorders>
            <w:vAlign w:val="center"/>
          </w:tcPr>
          <w:p w14:paraId="0F48052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装运要求：</w:t>
            </w:r>
            <w:r>
              <w:rPr>
                <w:rFonts w:hint="eastAsia" w:ascii="宋体" w:hAnsi="宋体" w:eastAsia="宋体" w:cs="宋体"/>
                <w:color w:val="auto"/>
                <w:sz w:val="21"/>
                <w:szCs w:val="21"/>
                <w:highlight w:val="none"/>
                <w:u w:val="single"/>
                <w:lang w:val="en-US" w:eastAsia="zh-CN"/>
              </w:rPr>
              <w:t>以甲方约定为准</w:t>
            </w:r>
          </w:p>
        </w:tc>
      </w:tr>
      <w:tr w14:paraId="79B23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0" w:hRule="exact"/>
        </w:trPr>
        <w:tc>
          <w:tcPr>
            <w:tcW w:w="633" w:type="pct"/>
            <w:tcBorders>
              <w:tl2br w:val="nil"/>
              <w:tr2bl w:val="nil"/>
            </w:tcBorders>
            <w:vAlign w:val="center"/>
          </w:tcPr>
          <w:p w14:paraId="471D2C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4366" w:type="pct"/>
            <w:tcBorders>
              <w:tl2br w:val="nil"/>
              <w:tr2bl w:val="nil"/>
            </w:tcBorders>
            <w:vAlign w:val="center"/>
          </w:tcPr>
          <w:p w14:paraId="7C1FEA74">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货物的风险负担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货物或者在途货物或者交付给第一承运人后的货物毁损、灭失的风险由乙方承担一切责任并赔偿甲方损失</w:t>
            </w:r>
          </w:p>
        </w:tc>
      </w:tr>
      <w:tr w14:paraId="4C747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9" w:hRule="exact"/>
        </w:trPr>
        <w:tc>
          <w:tcPr>
            <w:tcW w:w="633" w:type="pct"/>
            <w:tcBorders>
              <w:tl2br w:val="nil"/>
              <w:tr2bl w:val="nil"/>
            </w:tcBorders>
            <w:vAlign w:val="center"/>
          </w:tcPr>
          <w:p w14:paraId="42453C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2.12.3</w:t>
            </w:r>
          </w:p>
        </w:tc>
        <w:tc>
          <w:tcPr>
            <w:tcW w:w="4366" w:type="pct"/>
            <w:tcBorders>
              <w:tl2br w:val="nil"/>
              <w:tr2bl w:val="nil"/>
            </w:tcBorders>
            <w:vAlign w:val="center"/>
          </w:tcPr>
          <w:p w14:paraId="460985F4">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因不可抗力致使合同有变更必要的，双方当事人应在3个工作日内以书面形式变更合同</w:t>
            </w:r>
          </w:p>
        </w:tc>
      </w:tr>
      <w:tr w14:paraId="1169B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6" w:hRule="exact"/>
        </w:trPr>
        <w:tc>
          <w:tcPr>
            <w:tcW w:w="633" w:type="pct"/>
            <w:tcBorders>
              <w:tl2br w:val="nil"/>
              <w:tr2bl w:val="nil"/>
            </w:tcBorders>
            <w:vAlign w:val="center"/>
          </w:tcPr>
          <w:p w14:paraId="5A8AD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2.12.4</w:t>
            </w:r>
          </w:p>
        </w:tc>
        <w:tc>
          <w:tcPr>
            <w:tcW w:w="4366" w:type="pct"/>
            <w:tcBorders>
              <w:tl2br w:val="nil"/>
              <w:tr2bl w:val="nil"/>
            </w:tcBorders>
            <w:vAlign w:val="center"/>
          </w:tcPr>
          <w:p w14:paraId="10A467A1">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受不可抗力影响的一方在不可抗力发生后，应在1个工作日内以书面形式通知对方当事人，并在3个工作日约定时间内，将有关部门出具的证明文件送达对方当事人</w:t>
            </w:r>
          </w:p>
        </w:tc>
      </w:tr>
      <w:tr w14:paraId="404FE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14:paraId="31FFC1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2.16.1</w:t>
            </w:r>
          </w:p>
        </w:tc>
        <w:tc>
          <w:tcPr>
            <w:tcW w:w="4366" w:type="pct"/>
            <w:tcBorders>
              <w:tl2br w:val="nil"/>
              <w:tr2bl w:val="nil"/>
            </w:tcBorders>
            <w:vAlign w:val="center"/>
          </w:tcPr>
          <w:p w14:paraId="152161F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Cs w:val="21"/>
                <w:highlight w:val="none"/>
                <w:lang w:val="en-US" w:eastAsia="zh-CN"/>
              </w:rPr>
              <w:t>安装调试完成且试运行1个月且无质量问题，</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组织验收</w:t>
            </w:r>
          </w:p>
        </w:tc>
      </w:tr>
      <w:tr w14:paraId="355B5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14:paraId="6FBC0C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2.16.3</w:t>
            </w:r>
          </w:p>
        </w:tc>
        <w:tc>
          <w:tcPr>
            <w:tcW w:w="4366" w:type="pct"/>
            <w:tcBorders>
              <w:tl2br w:val="nil"/>
              <w:tr2bl w:val="nil"/>
            </w:tcBorders>
            <w:vAlign w:val="center"/>
          </w:tcPr>
          <w:p w14:paraId="4CA4ED3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检验和验收标准、程序等具体内容以及前述验收书的效力：</w:t>
            </w:r>
            <w:r>
              <w:rPr>
                <w:rFonts w:hint="eastAsia" w:ascii="宋体" w:hAnsi="宋体" w:eastAsia="宋体" w:cs="宋体"/>
                <w:color w:val="auto"/>
                <w:sz w:val="21"/>
                <w:szCs w:val="21"/>
                <w:highlight w:val="none"/>
                <w:u w:val="single"/>
                <w:lang w:val="en-US" w:eastAsia="zh-CN"/>
              </w:rPr>
              <w:t>采用本行业通用标准</w:t>
            </w:r>
          </w:p>
        </w:tc>
      </w:tr>
      <w:tr w14:paraId="76FF9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14:paraId="215914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2.20</w:t>
            </w:r>
          </w:p>
        </w:tc>
        <w:tc>
          <w:tcPr>
            <w:tcW w:w="4366" w:type="pct"/>
            <w:tcBorders>
              <w:tl2br w:val="nil"/>
              <w:tr2bl w:val="nil"/>
            </w:tcBorders>
            <w:vAlign w:val="center"/>
          </w:tcPr>
          <w:p w14:paraId="44DD3D1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w:t>
            </w:r>
            <w:r>
              <w:rPr>
                <w:rFonts w:hint="eastAsia" w:ascii="宋体" w:hAnsi="宋体" w:eastAsia="宋体" w:cs="宋体"/>
                <w:color w:val="auto"/>
                <w:sz w:val="21"/>
                <w:szCs w:val="21"/>
                <w:highlight w:val="none"/>
                <w:u w:val="single"/>
              </w:rPr>
              <w:t>一式肆份，双方各执贰份</w:t>
            </w:r>
          </w:p>
        </w:tc>
      </w:tr>
    </w:tbl>
    <w:p w14:paraId="354C3C0A">
      <w:pPr>
        <w:pStyle w:val="7"/>
        <w:snapToGrid w:val="0"/>
        <w:spacing w:before="120" w:after="120" w:line="360" w:lineRule="auto"/>
        <w:rPr>
          <w:rFonts w:hint="eastAsia" w:ascii="宋体" w:hAnsi="宋体" w:eastAsia="宋体" w:cs="宋体"/>
          <w:color w:val="auto"/>
          <w:highlight w:val="none"/>
        </w:rPr>
      </w:pPr>
    </w:p>
    <w:p w14:paraId="5C6EE2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1535F96">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bookmarkEnd w:id="394"/>
      <w:r>
        <w:rPr>
          <w:rFonts w:hint="eastAsia" w:ascii="宋体" w:hAnsi="宋体" w:eastAsia="宋体" w:cs="宋体"/>
          <w:b/>
          <w:color w:val="auto"/>
          <w:sz w:val="36"/>
          <w:szCs w:val="20"/>
          <w:highlight w:val="none"/>
        </w:rPr>
        <w:t xml:space="preserve"> 应提交的有关格式范例</w:t>
      </w:r>
    </w:p>
    <w:p w14:paraId="1318AC9D">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资格文件部分</w:t>
      </w:r>
    </w:p>
    <w:p w14:paraId="00486E2D">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ACF15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符合参加政府采购活动应当具备的一般条件的承诺函………………（页码）</w:t>
      </w:r>
    </w:p>
    <w:p w14:paraId="168E65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联合协议…………………………………………………………………（页码）</w:t>
      </w:r>
    </w:p>
    <w:p w14:paraId="1F6D2F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落实政府采购政策需满足的资格要求…………………………………（页码）</w:t>
      </w:r>
    </w:p>
    <w:p w14:paraId="25C0515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本项目的特定资格要求…………………………………………………（页码）</w:t>
      </w:r>
    </w:p>
    <w:p w14:paraId="639AD4CC">
      <w:pPr>
        <w:snapToGrid w:val="0"/>
        <w:spacing w:line="360" w:lineRule="auto"/>
        <w:ind w:firstLine="480" w:firstLineChars="200"/>
        <w:rPr>
          <w:rFonts w:hint="eastAsia" w:ascii="宋体" w:hAnsi="宋体" w:eastAsia="宋体" w:cs="宋体"/>
          <w:color w:val="auto"/>
          <w:sz w:val="24"/>
          <w:highlight w:val="none"/>
        </w:rPr>
      </w:pPr>
    </w:p>
    <w:p w14:paraId="6367777D">
      <w:pPr>
        <w:spacing w:line="360" w:lineRule="auto"/>
        <w:ind w:firstLine="480" w:firstLineChars="200"/>
        <w:rPr>
          <w:rFonts w:hint="eastAsia" w:ascii="宋体" w:hAnsi="宋体" w:eastAsia="宋体" w:cs="宋体"/>
          <w:color w:val="auto"/>
          <w:sz w:val="24"/>
          <w:highlight w:val="none"/>
        </w:rPr>
      </w:pPr>
    </w:p>
    <w:p w14:paraId="50D02013">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br w:type="page"/>
      </w:r>
    </w:p>
    <w:p w14:paraId="720F1A37">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 符合参加政府采购活动应当具备的一般条件的承诺函</w:t>
      </w:r>
    </w:p>
    <w:p w14:paraId="3193F158">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采购代理机构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39215807">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我方参与</w:t>
      </w:r>
      <w:r>
        <w:rPr>
          <w:rFonts w:hint="eastAsia" w:ascii="宋体" w:hAnsi="宋体" w:eastAsia="宋体" w:cs="宋体"/>
          <w:color w:val="auto"/>
          <w:szCs w:val="21"/>
          <w:highlight w:val="none"/>
          <w:u w:val="none"/>
        </w:rPr>
        <w:t>（项目名称）</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none"/>
        </w:rPr>
        <w:t>（采购编号）</w:t>
      </w:r>
      <w:r>
        <w:rPr>
          <w:rFonts w:hint="eastAsia" w:ascii="宋体" w:hAnsi="宋体" w:eastAsia="宋体" w:cs="宋体"/>
          <w:color w:val="auto"/>
          <w:szCs w:val="21"/>
          <w:highlight w:val="none"/>
        </w:rPr>
        <w:t>】政府采购活动，郑重承诺：</w:t>
      </w:r>
    </w:p>
    <w:p w14:paraId="65149465">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（一）具备《中华人民共和国政府采购法》第二十二条第一款规定的条件：</w:t>
      </w:r>
    </w:p>
    <w:p w14:paraId="0BBEC8E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18084A94">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2、具有良好的商业信誉和健全的财务会计制度； </w:t>
      </w:r>
    </w:p>
    <w:p w14:paraId="6B92B210">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1249DCD0">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61C82FFB">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330F2E35">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6、具有法律、行政法规规定的其他条件。</w:t>
      </w:r>
    </w:p>
    <w:p w14:paraId="3F4BBE60">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（二）未被信用中国（www.creditchina.gov.cn)、中国政府采购网（www.ccgp.gov.cn）列入失信被执行人、重大税收违法案件当事人名单、政府采购严重违法失信行为记录名单。</w:t>
      </w:r>
    </w:p>
    <w:p w14:paraId="5C762AC7">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（三）不存在以下情况：</w:t>
      </w:r>
    </w:p>
    <w:p w14:paraId="0EA598D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1、单位负责人为同一人或者存在直接控股、管理关系的不同供应商参加同一合同项下的政府采购活动的；</w:t>
      </w:r>
    </w:p>
    <w:p w14:paraId="0C42B4A7">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2、为采购项目提供整体设计、规范编制或者项目管理、监理、检测等服务后再参加该采购项目的其他采购活动的。</w:t>
      </w:r>
    </w:p>
    <w:p w14:paraId="2468200D">
      <w:pPr>
        <w:keepNext w:val="0"/>
        <w:keepLines w:val="0"/>
        <w:pageBreakBefore w:val="0"/>
        <w:widowControl w:val="0"/>
        <w:kinsoku/>
        <w:overflowPunct/>
        <w:topLinePunct w:val="0"/>
        <w:autoSpaceDE/>
        <w:autoSpaceDN/>
        <w:bidi w:val="0"/>
        <w:adjustRightInd w:val="0"/>
        <w:snapToGrid w:val="0"/>
        <w:spacing w:line="360" w:lineRule="auto"/>
        <w:ind w:firstLine="4830" w:firstLineChars="2300"/>
        <w:textAlignment w:val="auto"/>
        <w:rPr>
          <w:rFonts w:hint="eastAsia" w:ascii="宋体" w:hAnsi="宋体" w:eastAsia="宋体" w:cs="宋体"/>
          <w:color w:val="auto"/>
          <w:kern w:val="0"/>
          <w:szCs w:val="21"/>
          <w:highlight w:val="none"/>
          <w:lang w:val="zh-CN"/>
        </w:rPr>
      </w:pPr>
    </w:p>
    <w:p w14:paraId="1CE91D7A">
      <w:pPr>
        <w:keepNext w:val="0"/>
        <w:keepLines w:val="0"/>
        <w:pageBreakBefore w:val="0"/>
        <w:widowControl w:val="0"/>
        <w:kinsoku/>
        <w:overflowPunct/>
        <w:topLinePunct w:val="0"/>
        <w:autoSpaceDE/>
        <w:autoSpaceDN/>
        <w:bidi w:val="0"/>
        <w:adjustRightInd w:val="0"/>
        <w:snapToGrid w:val="0"/>
        <w:spacing w:line="360" w:lineRule="auto"/>
        <w:ind w:firstLine="4830" w:firstLineChars="23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投标人名称(电子签名)：</w:t>
      </w:r>
    </w:p>
    <w:p w14:paraId="78095420">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 xml:space="preserve">：  年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日</w:t>
      </w:r>
    </w:p>
    <w:p w14:paraId="1133C9E1">
      <w:pPr>
        <w:snapToGrid w:val="0"/>
        <w:spacing w:line="360" w:lineRule="auto"/>
        <w:ind w:right="480"/>
        <w:jc w:val="center"/>
        <w:rPr>
          <w:rFonts w:hint="eastAsia" w:ascii="宋体" w:hAnsi="宋体" w:eastAsia="宋体" w:cs="宋体"/>
          <w:b/>
          <w:color w:val="auto"/>
          <w:kern w:val="0"/>
          <w:sz w:val="32"/>
          <w:szCs w:val="32"/>
          <w:highlight w:val="none"/>
        </w:rPr>
      </w:pPr>
    </w:p>
    <w:p w14:paraId="0FB22BAB">
      <w:pPr>
        <w:pStyle w:val="5"/>
        <w:rPr>
          <w:rFonts w:hint="eastAsia" w:ascii="宋体" w:hAnsi="宋体" w:eastAsia="宋体" w:cs="宋体"/>
          <w:color w:val="auto"/>
          <w:kern w:val="0"/>
          <w:highlight w:val="none"/>
        </w:rPr>
      </w:pPr>
    </w:p>
    <w:p w14:paraId="476756F2">
      <w:pPr>
        <w:rPr>
          <w:rFonts w:hint="eastAsia" w:ascii="宋体" w:hAnsi="宋体" w:eastAsia="宋体" w:cs="宋体"/>
          <w:b/>
          <w:color w:val="auto"/>
          <w:kern w:val="0"/>
          <w:sz w:val="32"/>
          <w:szCs w:val="32"/>
          <w:highlight w:val="none"/>
        </w:rPr>
      </w:pPr>
    </w:p>
    <w:p w14:paraId="6C41EBB5">
      <w:pPr>
        <w:pStyle w:val="5"/>
        <w:rPr>
          <w:rFonts w:hint="eastAsia" w:ascii="宋体" w:hAnsi="宋体" w:eastAsia="宋体" w:cs="宋体"/>
          <w:color w:val="auto"/>
          <w:kern w:val="0"/>
          <w:highlight w:val="none"/>
        </w:rPr>
      </w:pPr>
    </w:p>
    <w:p w14:paraId="454020F7">
      <w:pPr>
        <w:rPr>
          <w:rFonts w:hint="eastAsia" w:ascii="宋体" w:hAnsi="宋体" w:eastAsia="宋体" w:cs="宋体"/>
          <w:b/>
          <w:color w:val="auto"/>
          <w:kern w:val="0"/>
          <w:sz w:val="32"/>
          <w:szCs w:val="32"/>
          <w:highlight w:val="none"/>
        </w:rPr>
      </w:pPr>
    </w:p>
    <w:p w14:paraId="07DF0F00">
      <w:pPr>
        <w:pStyle w:val="5"/>
        <w:rPr>
          <w:rFonts w:hint="eastAsia" w:ascii="宋体" w:hAnsi="宋体" w:eastAsia="宋体" w:cs="宋体"/>
          <w:color w:val="auto"/>
          <w:kern w:val="0"/>
          <w:highlight w:val="none"/>
        </w:rPr>
      </w:pPr>
    </w:p>
    <w:p w14:paraId="68143F19">
      <w:pPr>
        <w:rPr>
          <w:rFonts w:hint="eastAsia" w:ascii="宋体" w:hAnsi="宋体" w:eastAsia="宋体" w:cs="宋体"/>
          <w:b/>
          <w:color w:val="auto"/>
          <w:kern w:val="0"/>
          <w:sz w:val="32"/>
          <w:szCs w:val="32"/>
          <w:highlight w:val="none"/>
        </w:rPr>
      </w:pPr>
    </w:p>
    <w:p w14:paraId="3DDBEDA9">
      <w:pPr>
        <w:snapToGrid w:val="0"/>
        <w:spacing w:line="360" w:lineRule="auto"/>
        <w:ind w:right="480"/>
        <w:jc w:val="center"/>
        <w:rPr>
          <w:rFonts w:hint="eastAsia" w:ascii="宋体" w:hAnsi="宋体" w:eastAsia="宋体" w:cs="宋体"/>
          <w:b/>
          <w:color w:val="auto"/>
          <w:kern w:val="0"/>
          <w:sz w:val="32"/>
          <w:szCs w:val="32"/>
          <w:highlight w:val="none"/>
        </w:rPr>
      </w:pPr>
    </w:p>
    <w:p w14:paraId="06BCB10F">
      <w:pPr>
        <w:snapToGrid w:val="0"/>
        <w:spacing w:line="360" w:lineRule="auto"/>
        <w:ind w:right="480"/>
        <w:jc w:val="center"/>
        <w:rPr>
          <w:rFonts w:hint="eastAsia" w:ascii="宋体" w:hAnsi="宋体" w:eastAsia="宋体" w:cs="宋体"/>
          <w:b/>
          <w:color w:val="auto"/>
          <w:kern w:val="0"/>
          <w:sz w:val="32"/>
          <w:szCs w:val="32"/>
          <w:highlight w:val="none"/>
        </w:rPr>
      </w:pPr>
    </w:p>
    <w:p w14:paraId="09AD5DBC">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二、联合协议（如果有）</w:t>
      </w:r>
    </w:p>
    <w:p w14:paraId="4F10B9E8">
      <w:pPr>
        <w:widowControl/>
        <w:spacing w:line="360" w:lineRule="auto"/>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[以联合体形式投标的，提供联合协议（附件5）；本项目不接受联合体投标或者投标人不以联合体形式投标的，则不需要提供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w:t>
      </w:r>
    </w:p>
    <w:p w14:paraId="5A9DD0BC">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宋体" w:hAnsi="宋体" w:eastAsia="宋体" w:cs="宋体"/>
          <w:b/>
          <w:color w:val="auto"/>
          <w:kern w:val="0"/>
          <w:sz w:val="28"/>
          <w:szCs w:val="28"/>
          <w:highlight w:val="none"/>
        </w:rPr>
      </w:pPr>
    </w:p>
    <w:p w14:paraId="143D4167">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宋体" w:hAnsi="宋体" w:eastAsia="宋体" w:cs="宋体"/>
          <w:b/>
          <w:color w:val="auto"/>
          <w:kern w:val="0"/>
          <w:sz w:val="28"/>
          <w:szCs w:val="28"/>
          <w:highlight w:val="none"/>
        </w:rPr>
      </w:pPr>
    </w:p>
    <w:p w14:paraId="39DF973B">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宋体" w:hAnsi="宋体" w:eastAsia="宋体" w:cs="宋体"/>
          <w:b/>
          <w:color w:val="auto"/>
          <w:kern w:val="0"/>
          <w:sz w:val="28"/>
          <w:szCs w:val="28"/>
          <w:highlight w:val="none"/>
        </w:rPr>
      </w:pPr>
    </w:p>
    <w:p w14:paraId="38169E3C">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宋体" w:hAnsi="宋体" w:eastAsia="宋体" w:cs="宋体"/>
          <w:b/>
          <w:color w:val="auto"/>
          <w:kern w:val="0"/>
          <w:sz w:val="28"/>
          <w:szCs w:val="28"/>
          <w:highlight w:val="none"/>
        </w:rPr>
      </w:pPr>
    </w:p>
    <w:p w14:paraId="32852779">
      <w:pPr>
        <w:pStyle w:val="5"/>
        <w:rPr>
          <w:rFonts w:hint="eastAsia" w:ascii="宋体" w:hAnsi="宋体" w:eastAsia="宋体" w:cs="宋体"/>
          <w:b/>
          <w:color w:val="auto"/>
          <w:kern w:val="0"/>
          <w:sz w:val="28"/>
          <w:szCs w:val="28"/>
          <w:highlight w:val="none"/>
        </w:rPr>
      </w:pPr>
    </w:p>
    <w:p w14:paraId="06D326E6">
      <w:pPr>
        <w:rPr>
          <w:rFonts w:hint="eastAsia" w:ascii="宋体" w:hAnsi="宋体" w:eastAsia="宋体" w:cs="宋体"/>
          <w:b/>
          <w:color w:val="auto"/>
          <w:kern w:val="0"/>
          <w:sz w:val="28"/>
          <w:szCs w:val="28"/>
          <w:highlight w:val="none"/>
        </w:rPr>
      </w:pPr>
    </w:p>
    <w:p w14:paraId="76BBA66B">
      <w:pPr>
        <w:pStyle w:val="5"/>
        <w:rPr>
          <w:rFonts w:hint="eastAsia" w:ascii="宋体" w:hAnsi="宋体" w:eastAsia="宋体" w:cs="宋体"/>
          <w:b/>
          <w:color w:val="auto"/>
          <w:kern w:val="0"/>
          <w:sz w:val="28"/>
          <w:szCs w:val="28"/>
          <w:highlight w:val="none"/>
        </w:rPr>
      </w:pPr>
    </w:p>
    <w:p w14:paraId="0D470F15">
      <w:pPr>
        <w:rPr>
          <w:rFonts w:hint="eastAsia" w:ascii="宋体" w:hAnsi="宋体" w:eastAsia="宋体" w:cs="宋体"/>
          <w:b/>
          <w:color w:val="auto"/>
          <w:kern w:val="0"/>
          <w:sz w:val="28"/>
          <w:szCs w:val="28"/>
          <w:highlight w:val="none"/>
        </w:rPr>
      </w:pPr>
    </w:p>
    <w:p w14:paraId="7FEEA5E8">
      <w:pPr>
        <w:pStyle w:val="5"/>
        <w:rPr>
          <w:rFonts w:hint="eastAsia" w:ascii="宋体" w:hAnsi="宋体" w:eastAsia="宋体" w:cs="宋体"/>
          <w:b/>
          <w:color w:val="auto"/>
          <w:kern w:val="0"/>
          <w:sz w:val="28"/>
          <w:szCs w:val="28"/>
          <w:highlight w:val="none"/>
        </w:rPr>
      </w:pPr>
    </w:p>
    <w:p w14:paraId="0C1EC1AE">
      <w:pPr>
        <w:rPr>
          <w:rFonts w:hint="eastAsia" w:ascii="宋体" w:hAnsi="宋体" w:eastAsia="宋体" w:cs="宋体"/>
          <w:b/>
          <w:color w:val="auto"/>
          <w:kern w:val="0"/>
          <w:sz w:val="28"/>
          <w:szCs w:val="28"/>
          <w:highlight w:val="none"/>
        </w:rPr>
      </w:pPr>
    </w:p>
    <w:p w14:paraId="01500AA4">
      <w:pPr>
        <w:pStyle w:val="5"/>
        <w:rPr>
          <w:rFonts w:hint="eastAsia" w:ascii="宋体" w:hAnsi="宋体" w:eastAsia="宋体" w:cs="宋体"/>
          <w:b/>
          <w:color w:val="auto"/>
          <w:kern w:val="0"/>
          <w:sz w:val="28"/>
          <w:szCs w:val="28"/>
          <w:highlight w:val="none"/>
        </w:rPr>
      </w:pPr>
    </w:p>
    <w:p w14:paraId="6EB8D937">
      <w:pPr>
        <w:rPr>
          <w:rFonts w:hint="eastAsia" w:ascii="宋体" w:hAnsi="宋体" w:eastAsia="宋体" w:cs="宋体"/>
          <w:b/>
          <w:color w:val="auto"/>
          <w:kern w:val="0"/>
          <w:sz w:val="28"/>
          <w:szCs w:val="28"/>
          <w:highlight w:val="none"/>
        </w:rPr>
      </w:pPr>
    </w:p>
    <w:p w14:paraId="6454A864">
      <w:pPr>
        <w:pStyle w:val="5"/>
        <w:rPr>
          <w:rFonts w:hint="eastAsia" w:ascii="宋体" w:hAnsi="宋体" w:eastAsia="宋体" w:cs="宋体"/>
          <w:b/>
          <w:color w:val="auto"/>
          <w:kern w:val="0"/>
          <w:sz w:val="28"/>
          <w:szCs w:val="28"/>
          <w:highlight w:val="none"/>
        </w:rPr>
      </w:pPr>
    </w:p>
    <w:p w14:paraId="0E0BB2A1">
      <w:pPr>
        <w:rPr>
          <w:rFonts w:hint="eastAsia" w:ascii="宋体" w:hAnsi="宋体" w:eastAsia="宋体" w:cs="宋体"/>
          <w:b/>
          <w:color w:val="auto"/>
          <w:kern w:val="0"/>
          <w:sz w:val="28"/>
          <w:szCs w:val="28"/>
          <w:highlight w:val="none"/>
        </w:rPr>
      </w:pPr>
    </w:p>
    <w:p w14:paraId="72CBD59D">
      <w:pPr>
        <w:pStyle w:val="5"/>
        <w:rPr>
          <w:rFonts w:hint="eastAsia" w:ascii="宋体" w:hAnsi="宋体" w:eastAsia="宋体" w:cs="宋体"/>
          <w:b/>
          <w:color w:val="auto"/>
          <w:kern w:val="0"/>
          <w:sz w:val="28"/>
          <w:szCs w:val="28"/>
          <w:highlight w:val="none"/>
        </w:rPr>
      </w:pPr>
    </w:p>
    <w:p w14:paraId="05CF8218">
      <w:pPr>
        <w:rPr>
          <w:rFonts w:hint="eastAsia" w:ascii="宋体" w:hAnsi="宋体" w:eastAsia="宋体" w:cs="宋体"/>
          <w:b/>
          <w:color w:val="auto"/>
          <w:kern w:val="0"/>
          <w:sz w:val="28"/>
          <w:szCs w:val="28"/>
          <w:highlight w:val="none"/>
        </w:rPr>
      </w:pPr>
    </w:p>
    <w:p w14:paraId="0710D46D">
      <w:pPr>
        <w:pStyle w:val="5"/>
        <w:rPr>
          <w:rFonts w:hint="eastAsia" w:ascii="宋体" w:hAnsi="宋体" w:eastAsia="宋体" w:cs="宋体"/>
          <w:b/>
          <w:color w:val="auto"/>
          <w:kern w:val="0"/>
          <w:sz w:val="28"/>
          <w:szCs w:val="28"/>
          <w:highlight w:val="none"/>
        </w:rPr>
      </w:pPr>
    </w:p>
    <w:p w14:paraId="11052F19">
      <w:pPr>
        <w:rPr>
          <w:rFonts w:hint="eastAsia" w:ascii="宋体" w:hAnsi="宋体" w:eastAsia="宋体" w:cs="宋体"/>
          <w:b/>
          <w:color w:val="auto"/>
          <w:kern w:val="0"/>
          <w:sz w:val="28"/>
          <w:szCs w:val="28"/>
          <w:highlight w:val="none"/>
        </w:rPr>
      </w:pPr>
    </w:p>
    <w:p w14:paraId="3982AC3D">
      <w:pPr>
        <w:pStyle w:val="5"/>
        <w:rPr>
          <w:rFonts w:hint="eastAsia" w:ascii="宋体" w:hAnsi="宋体" w:eastAsia="宋体" w:cs="宋体"/>
          <w:b/>
          <w:color w:val="auto"/>
          <w:kern w:val="0"/>
          <w:sz w:val="28"/>
          <w:szCs w:val="28"/>
          <w:highlight w:val="none"/>
        </w:rPr>
      </w:pPr>
    </w:p>
    <w:p w14:paraId="2637D082">
      <w:pPr>
        <w:rPr>
          <w:rFonts w:hint="eastAsia" w:ascii="宋体" w:hAnsi="宋体" w:eastAsia="宋体" w:cs="宋体"/>
          <w:b/>
          <w:color w:val="auto"/>
          <w:kern w:val="0"/>
          <w:sz w:val="28"/>
          <w:szCs w:val="28"/>
          <w:highlight w:val="none"/>
        </w:rPr>
      </w:pPr>
    </w:p>
    <w:p w14:paraId="38B0BA2D">
      <w:pPr>
        <w:pStyle w:val="5"/>
        <w:rPr>
          <w:rFonts w:hint="eastAsia" w:ascii="宋体" w:hAnsi="宋体" w:eastAsia="宋体" w:cs="宋体"/>
          <w:b/>
          <w:color w:val="auto"/>
          <w:kern w:val="0"/>
          <w:sz w:val="28"/>
          <w:szCs w:val="28"/>
          <w:highlight w:val="none"/>
        </w:rPr>
      </w:pPr>
    </w:p>
    <w:p w14:paraId="08E81990">
      <w:pPr>
        <w:rPr>
          <w:rFonts w:hint="eastAsia" w:ascii="宋体" w:hAnsi="宋体" w:eastAsia="宋体" w:cs="宋体"/>
          <w:b/>
          <w:color w:val="auto"/>
          <w:kern w:val="0"/>
          <w:sz w:val="28"/>
          <w:szCs w:val="28"/>
          <w:highlight w:val="none"/>
        </w:rPr>
      </w:pPr>
    </w:p>
    <w:p w14:paraId="46609DE7">
      <w:pPr>
        <w:pStyle w:val="3"/>
        <w:rPr>
          <w:rFonts w:hint="eastAsia" w:ascii="宋体" w:hAnsi="宋体" w:eastAsia="宋体" w:cs="宋体"/>
          <w:b/>
          <w:color w:val="auto"/>
          <w:kern w:val="0"/>
          <w:sz w:val="28"/>
          <w:szCs w:val="28"/>
          <w:highlight w:val="none"/>
        </w:rPr>
      </w:pPr>
    </w:p>
    <w:p w14:paraId="5949F6ED">
      <w:pPr>
        <w:rPr>
          <w:rFonts w:hint="eastAsia" w:ascii="宋体" w:hAnsi="宋体" w:eastAsia="宋体" w:cs="宋体"/>
          <w:b/>
          <w:color w:val="auto"/>
          <w:kern w:val="0"/>
          <w:sz w:val="28"/>
          <w:szCs w:val="28"/>
          <w:highlight w:val="none"/>
        </w:rPr>
      </w:pPr>
    </w:p>
    <w:p w14:paraId="6B8C1ABB">
      <w:pPr>
        <w:pStyle w:val="3"/>
        <w:rPr>
          <w:rFonts w:hint="eastAsia" w:ascii="宋体" w:hAnsi="宋体" w:eastAsia="宋体" w:cs="宋体"/>
          <w:color w:val="auto"/>
          <w:highlight w:val="none"/>
        </w:rPr>
      </w:pPr>
    </w:p>
    <w:p w14:paraId="4B32B4AA">
      <w:pPr>
        <w:rPr>
          <w:rFonts w:hint="eastAsia" w:ascii="宋体" w:hAnsi="宋体" w:eastAsia="宋体" w:cs="宋体"/>
          <w:color w:val="auto"/>
          <w:highlight w:val="none"/>
        </w:rPr>
      </w:pPr>
    </w:p>
    <w:p w14:paraId="03D772C6">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、落实政府采购政策需满足的资格要求</w:t>
      </w:r>
    </w:p>
    <w:p w14:paraId="25D8CB9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根据招标公告落实政府采购政策需满足的资格要求选择提供相应的材料；未要求的，无需提供</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w:t>
      </w:r>
    </w:p>
    <w:p w14:paraId="1C2D4205">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A</w:t>
      </w:r>
      <w:r>
        <w:rPr>
          <w:rFonts w:hint="eastAsia" w:ascii="宋体" w:hAnsi="宋体" w:eastAsia="宋体" w:cs="宋体"/>
          <w:color w:val="auto"/>
          <w:szCs w:val="21"/>
          <w:highlight w:val="none"/>
        </w:rPr>
        <w:t>.专门面向中小企业，服务全部由符合政策要求的中小企业（或小微企业）承接的，提供相应的中小企业声明函（附件</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p>
    <w:p w14:paraId="5EDF7610">
      <w:pPr>
        <w:keepNext w:val="0"/>
        <w:keepLines w:val="0"/>
        <w:pageBreakBefore w:val="0"/>
        <w:widowControl/>
        <w:kinsoku/>
        <w:wordWrap/>
        <w:overflowPunct/>
        <w:topLinePunct w:val="0"/>
        <w:autoSpaceDE/>
        <w:autoSpaceDN/>
        <w:bidi w:val="0"/>
        <w:adjustRightInd w:val="0"/>
        <w:spacing w:line="360" w:lineRule="auto"/>
        <w:ind w:firstLine="420" w:firstLineChars="200"/>
        <w:jc w:val="left"/>
        <w:textAlignment w:val="auto"/>
        <w:rPr>
          <w:rFonts w:hint="eastAsia" w:ascii="宋体" w:hAnsi="宋体" w:eastAsia="宋体" w:cs="宋体"/>
          <w:color w:val="auto"/>
          <w:szCs w:val="21"/>
          <w:highlight w:val="none"/>
        </w:rPr>
      </w:pPr>
    </w:p>
    <w:p w14:paraId="4E160AA2">
      <w:pPr>
        <w:keepNext w:val="0"/>
        <w:keepLines w:val="0"/>
        <w:pageBreakBefore w:val="0"/>
        <w:widowControl/>
        <w:kinsoku/>
        <w:wordWrap/>
        <w:overflowPunct/>
        <w:topLinePunct w:val="0"/>
        <w:autoSpaceDE/>
        <w:autoSpaceDN/>
        <w:bidi w:val="0"/>
        <w:adjustRightInd w:val="0"/>
        <w:spacing w:line="360" w:lineRule="auto"/>
        <w:ind w:firstLine="42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B.</w:t>
      </w:r>
      <w:r>
        <w:rPr>
          <w:rFonts w:hint="eastAsia" w:ascii="宋体" w:hAnsi="宋体" w:eastAsia="宋体" w:cs="宋体"/>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70A19D9F">
      <w:pPr>
        <w:spacing w:line="360" w:lineRule="auto"/>
        <w:ind w:firstLine="422" w:firstLineChars="200"/>
        <w:rPr>
          <w:rFonts w:hint="eastAsia" w:ascii="宋体" w:hAnsi="宋体" w:eastAsia="宋体" w:cs="宋体"/>
          <w:b/>
          <w:color w:val="auto"/>
          <w:szCs w:val="21"/>
          <w:highlight w:val="none"/>
        </w:rPr>
      </w:pPr>
    </w:p>
    <w:p w14:paraId="2A4E799E">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C</w:t>
      </w:r>
      <w:r>
        <w:rPr>
          <w:rFonts w:hint="eastAsia" w:ascii="宋体" w:hAnsi="宋体" w:eastAsia="宋体" w:cs="宋体"/>
          <w:b/>
          <w:color w:val="auto"/>
          <w:szCs w:val="21"/>
          <w:highlight w:val="none"/>
          <w:lang w:eastAsia="zh-CN"/>
        </w:rPr>
        <w:t>.</w:t>
      </w:r>
      <w:r>
        <w:rPr>
          <w:rFonts w:hint="eastAsia" w:ascii="宋体" w:hAnsi="宋体" w:eastAsia="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5432CC5">
      <w:pPr>
        <w:spacing w:line="360" w:lineRule="auto"/>
        <w:jc w:val="center"/>
        <w:rPr>
          <w:rFonts w:hint="eastAsia" w:ascii="宋体" w:hAnsi="宋体" w:eastAsia="宋体" w:cs="宋体"/>
          <w:color w:val="auto"/>
          <w:kern w:val="0"/>
          <w:sz w:val="24"/>
          <w:highlight w:val="none"/>
          <w:lang w:val="zh-CN"/>
        </w:rPr>
      </w:pPr>
    </w:p>
    <w:p w14:paraId="3FECFEE4">
      <w:pPr>
        <w:widowControl/>
        <w:spacing w:line="360" w:lineRule="auto"/>
        <w:ind w:left="150"/>
        <w:jc w:val="center"/>
        <w:rPr>
          <w:rFonts w:hint="eastAsia" w:ascii="宋体" w:hAnsi="宋体" w:eastAsia="宋体" w:cs="宋体"/>
          <w:b/>
          <w:color w:val="auto"/>
          <w:kern w:val="0"/>
          <w:sz w:val="32"/>
          <w:szCs w:val="32"/>
          <w:highlight w:val="none"/>
        </w:rPr>
      </w:pPr>
    </w:p>
    <w:p w14:paraId="474A5839">
      <w:pPr>
        <w:widowControl/>
        <w:spacing w:line="360" w:lineRule="auto"/>
        <w:ind w:left="150"/>
        <w:jc w:val="center"/>
        <w:rPr>
          <w:rFonts w:hint="eastAsia" w:ascii="宋体" w:hAnsi="宋体" w:eastAsia="宋体" w:cs="宋体"/>
          <w:b/>
          <w:color w:val="auto"/>
          <w:kern w:val="0"/>
          <w:sz w:val="32"/>
          <w:szCs w:val="32"/>
          <w:highlight w:val="none"/>
        </w:rPr>
      </w:pPr>
    </w:p>
    <w:p w14:paraId="318FB90A">
      <w:pPr>
        <w:widowControl/>
        <w:spacing w:line="360" w:lineRule="auto"/>
        <w:ind w:left="150"/>
        <w:jc w:val="center"/>
        <w:rPr>
          <w:rFonts w:hint="eastAsia" w:ascii="宋体" w:hAnsi="宋体" w:eastAsia="宋体" w:cs="宋体"/>
          <w:b/>
          <w:color w:val="auto"/>
          <w:kern w:val="0"/>
          <w:sz w:val="32"/>
          <w:szCs w:val="32"/>
          <w:highlight w:val="none"/>
        </w:rPr>
      </w:pPr>
    </w:p>
    <w:p w14:paraId="48726AD1">
      <w:pPr>
        <w:widowControl/>
        <w:spacing w:line="360" w:lineRule="auto"/>
        <w:ind w:left="150"/>
        <w:jc w:val="center"/>
        <w:rPr>
          <w:rFonts w:hint="eastAsia" w:ascii="宋体" w:hAnsi="宋体" w:eastAsia="宋体" w:cs="宋体"/>
          <w:b/>
          <w:color w:val="auto"/>
          <w:kern w:val="0"/>
          <w:sz w:val="32"/>
          <w:szCs w:val="32"/>
          <w:highlight w:val="none"/>
        </w:rPr>
      </w:pPr>
    </w:p>
    <w:p w14:paraId="7834E5EE">
      <w:pPr>
        <w:widowControl/>
        <w:spacing w:line="360" w:lineRule="auto"/>
        <w:ind w:left="150"/>
        <w:jc w:val="center"/>
        <w:rPr>
          <w:rFonts w:hint="eastAsia" w:ascii="宋体" w:hAnsi="宋体" w:eastAsia="宋体" w:cs="宋体"/>
          <w:b/>
          <w:color w:val="auto"/>
          <w:kern w:val="0"/>
          <w:sz w:val="32"/>
          <w:szCs w:val="32"/>
          <w:highlight w:val="none"/>
        </w:rPr>
      </w:pPr>
    </w:p>
    <w:p w14:paraId="6C5EE144">
      <w:pPr>
        <w:widowControl/>
        <w:spacing w:line="360" w:lineRule="auto"/>
        <w:ind w:left="150"/>
        <w:jc w:val="center"/>
        <w:rPr>
          <w:rFonts w:hint="eastAsia" w:ascii="宋体" w:hAnsi="宋体" w:eastAsia="宋体" w:cs="宋体"/>
          <w:b/>
          <w:color w:val="auto"/>
          <w:kern w:val="0"/>
          <w:sz w:val="32"/>
          <w:szCs w:val="32"/>
          <w:highlight w:val="none"/>
        </w:rPr>
      </w:pPr>
    </w:p>
    <w:p w14:paraId="6A2D889B">
      <w:pPr>
        <w:widowControl/>
        <w:spacing w:line="360" w:lineRule="auto"/>
        <w:ind w:left="150"/>
        <w:jc w:val="center"/>
        <w:rPr>
          <w:rFonts w:hint="eastAsia" w:ascii="宋体" w:hAnsi="宋体" w:eastAsia="宋体" w:cs="宋体"/>
          <w:b/>
          <w:color w:val="auto"/>
          <w:kern w:val="0"/>
          <w:sz w:val="32"/>
          <w:szCs w:val="32"/>
          <w:highlight w:val="none"/>
        </w:rPr>
      </w:pPr>
    </w:p>
    <w:p w14:paraId="4B33B6B4">
      <w:pPr>
        <w:widowControl/>
        <w:spacing w:line="360" w:lineRule="auto"/>
        <w:ind w:left="150"/>
        <w:jc w:val="center"/>
        <w:rPr>
          <w:rFonts w:hint="eastAsia" w:ascii="宋体" w:hAnsi="宋体" w:eastAsia="宋体" w:cs="宋体"/>
          <w:b/>
          <w:color w:val="auto"/>
          <w:kern w:val="0"/>
          <w:sz w:val="32"/>
          <w:szCs w:val="32"/>
          <w:highlight w:val="none"/>
        </w:rPr>
      </w:pPr>
    </w:p>
    <w:p w14:paraId="4C2CA45A">
      <w:pPr>
        <w:widowControl/>
        <w:spacing w:line="360" w:lineRule="auto"/>
        <w:ind w:left="150"/>
        <w:jc w:val="center"/>
        <w:rPr>
          <w:rFonts w:hint="eastAsia" w:ascii="宋体" w:hAnsi="宋体" w:eastAsia="宋体" w:cs="宋体"/>
          <w:b/>
          <w:color w:val="auto"/>
          <w:kern w:val="0"/>
          <w:sz w:val="32"/>
          <w:szCs w:val="32"/>
          <w:highlight w:val="none"/>
        </w:rPr>
      </w:pPr>
    </w:p>
    <w:p w14:paraId="6227A8F3">
      <w:pPr>
        <w:widowControl/>
        <w:spacing w:line="360" w:lineRule="auto"/>
        <w:ind w:left="150"/>
        <w:jc w:val="center"/>
        <w:rPr>
          <w:rFonts w:hint="eastAsia" w:ascii="宋体" w:hAnsi="宋体" w:eastAsia="宋体" w:cs="宋体"/>
          <w:b/>
          <w:color w:val="auto"/>
          <w:kern w:val="0"/>
          <w:sz w:val="32"/>
          <w:szCs w:val="32"/>
          <w:highlight w:val="none"/>
        </w:rPr>
      </w:pPr>
    </w:p>
    <w:p w14:paraId="566FEE7F">
      <w:pPr>
        <w:widowControl/>
        <w:spacing w:line="360" w:lineRule="auto"/>
        <w:ind w:left="150"/>
        <w:jc w:val="center"/>
        <w:rPr>
          <w:rFonts w:hint="eastAsia" w:ascii="宋体" w:hAnsi="宋体" w:eastAsia="宋体" w:cs="宋体"/>
          <w:b/>
          <w:color w:val="auto"/>
          <w:kern w:val="0"/>
          <w:sz w:val="32"/>
          <w:szCs w:val="32"/>
          <w:highlight w:val="none"/>
        </w:rPr>
      </w:pPr>
    </w:p>
    <w:p w14:paraId="161FDC6F">
      <w:pPr>
        <w:pStyle w:val="3"/>
        <w:rPr>
          <w:rFonts w:hint="eastAsia" w:ascii="宋体" w:hAnsi="宋体" w:eastAsia="宋体" w:cs="宋体"/>
          <w:color w:val="auto"/>
          <w:highlight w:val="none"/>
        </w:rPr>
      </w:pPr>
    </w:p>
    <w:p w14:paraId="181705E1">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四、本项目的特定资格要求</w:t>
      </w:r>
    </w:p>
    <w:p w14:paraId="098F56C3">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根据招标公告本项目的特定资格要求提供相应的材料；未要求的，无需提供</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w:t>
      </w:r>
    </w:p>
    <w:p w14:paraId="38E71BDD">
      <w:pPr>
        <w:rPr>
          <w:rFonts w:hint="eastAsia" w:ascii="宋体" w:hAnsi="宋体" w:eastAsia="宋体" w:cs="宋体"/>
          <w:color w:val="auto"/>
          <w:highlight w:val="none"/>
        </w:rPr>
      </w:pPr>
    </w:p>
    <w:p w14:paraId="3B38C459">
      <w:pPr>
        <w:snapToGrid w:val="0"/>
        <w:spacing w:line="360" w:lineRule="auto"/>
        <w:ind w:right="480"/>
        <w:jc w:val="center"/>
        <w:rPr>
          <w:rFonts w:hint="eastAsia" w:ascii="宋体" w:hAnsi="宋体" w:eastAsia="宋体" w:cs="宋体"/>
          <w:b/>
          <w:color w:val="auto"/>
          <w:kern w:val="0"/>
          <w:sz w:val="32"/>
          <w:szCs w:val="32"/>
          <w:highlight w:val="none"/>
        </w:rPr>
      </w:pPr>
    </w:p>
    <w:p w14:paraId="202ACFB9">
      <w:pPr>
        <w:snapToGrid w:val="0"/>
        <w:spacing w:line="360" w:lineRule="auto"/>
        <w:ind w:right="480"/>
        <w:jc w:val="center"/>
        <w:rPr>
          <w:rFonts w:hint="eastAsia" w:ascii="宋体" w:hAnsi="宋体" w:eastAsia="宋体" w:cs="宋体"/>
          <w:b/>
          <w:color w:val="auto"/>
          <w:kern w:val="0"/>
          <w:sz w:val="32"/>
          <w:szCs w:val="32"/>
          <w:highlight w:val="none"/>
        </w:rPr>
      </w:pPr>
    </w:p>
    <w:p w14:paraId="5428B3ED">
      <w:pPr>
        <w:snapToGrid w:val="0"/>
        <w:spacing w:line="360" w:lineRule="auto"/>
        <w:ind w:right="480"/>
        <w:jc w:val="center"/>
        <w:rPr>
          <w:rFonts w:hint="eastAsia" w:ascii="宋体" w:hAnsi="宋体" w:eastAsia="宋体" w:cs="宋体"/>
          <w:b/>
          <w:color w:val="auto"/>
          <w:kern w:val="0"/>
          <w:sz w:val="32"/>
          <w:szCs w:val="32"/>
          <w:highlight w:val="none"/>
        </w:rPr>
      </w:pPr>
    </w:p>
    <w:p w14:paraId="2C05CDD2">
      <w:pPr>
        <w:snapToGrid w:val="0"/>
        <w:spacing w:line="360" w:lineRule="auto"/>
        <w:ind w:right="480"/>
        <w:jc w:val="center"/>
        <w:rPr>
          <w:rFonts w:hint="eastAsia" w:ascii="宋体" w:hAnsi="宋体" w:eastAsia="宋体" w:cs="宋体"/>
          <w:b/>
          <w:color w:val="auto"/>
          <w:kern w:val="0"/>
          <w:sz w:val="32"/>
          <w:szCs w:val="32"/>
          <w:highlight w:val="none"/>
        </w:rPr>
      </w:pPr>
    </w:p>
    <w:p w14:paraId="3D0A14D8">
      <w:pPr>
        <w:snapToGrid w:val="0"/>
        <w:spacing w:line="360" w:lineRule="auto"/>
        <w:ind w:right="480"/>
        <w:jc w:val="center"/>
        <w:rPr>
          <w:rFonts w:hint="eastAsia" w:ascii="宋体" w:hAnsi="宋体" w:eastAsia="宋体" w:cs="宋体"/>
          <w:b/>
          <w:color w:val="auto"/>
          <w:kern w:val="0"/>
          <w:sz w:val="32"/>
          <w:szCs w:val="32"/>
          <w:highlight w:val="none"/>
        </w:rPr>
      </w:pPr>
    </w:p>
    <w:p w14:paraId="7E36CC44">
      <w:pPr>
        <w:snapToGrid w:val="0"/>
        <w:spacing w:line="360" w:lineRule="auto"/>
        <w:ind w:right="480"/>
        <w:jc w:val="center"/>
        <w:rPr>
          <w:rFonts w:hint="eastAsia" w:ascii="宋体" w:hAnsi="宋体" w:eastAsia="宋体" w:cs="宋体"/>
          <w:b/>
          <w:color w:val="auto"/>
          <w:kern w:val="0"/>
          <w:sz w:val="32"/>
          <w:szCs w:val="32"/>
          <w:highlight w:val="none"/>
        </w:rPr>
      </w:pPr>
    </w:p>
    <w:p w14:paraId="141CB1C5">
      <w:pPr>
        <w:spacing w:line="360" w:lineRule="auto"/>
        <w:jc w:val="center"/>
        <w:outlineLvl w:val="0"/>
        <w:rPr>
          <w:rFonts w:hint="eastAsia" w:ascii="宋体" w:hAnsi="宋体" w:eastAsia="宋体" w:cs="宋体"/>
          <w:b/>
          <w:color w:val="auto"/>
          <w:kern w:val="0"/>
          <w:sz w:val="36"/>
          <w:szCs w:val="36"/>
          <w:highlight w:val="none"/>
        </w:rPr>
      </w:pPr>
    </w:p>
    <w:p w14:paraId="1BEBE233">
      <w:pPr>
        <w:snapToGrid w:val="0"/>
        <w:spacing w:line="360" w:lineRule="auto"/>
        <w:ind w:right="480"/>
        <w:jc w:val="center"/>
        <w:rPr>
          <w:rFonts w:hint="eastAsia" w:ascii="宋体" w:hAnsi="宋体" w:eastAsia="宋体" w:cs="宋体"/>
          <w:b/>
          <w:color w:val="auto"/>
          <w:kern w:val="0"/>
          <w:sz w:val="32"/>
          <w:szCs w:val="32"/>
          <w:highlight w:val="none"/>
        </w:rPr>
      </w:pPr>
    </w:p>
    <w:p w14:paraId="0601DFA9">
      <w:pPr>
        <w:spacing w:line="360" w:lineRule="auto"/>
        <w:jc w:val="center"/>
        <w:outlineLvl w:val="0"/>
        <w:rPr>
          <w:rFonts w:hint="eastAsia" w:ascii="宋体" w:hAnsi="宋体" w:eastAsia="宋体" w:cs="宋体"/>
          <w:b/>
          <w:color w:val="auto"/>
          <w:kern w:val="0"/>
          <w:sz w:val="36"/>
          <w:szCs w:val="36"/>
          <w:highlight w:val="none"/>
        </w:rPr>
      </w:pPr>
    </w:p>
    <w:p w14:paraId="6F38F1F8">
      <w:pPr>
        <w:snapToGrid w:val="0"/>
        <w:spacing w:line="360" w:lineRule="auto"/>
        <w:ind w:right="480"/>
        <w:jc w:val="center"/>
        <w:rPr>
          <w:rFonts w:hint="eastAsia" w:ascii="宋体" w:hAnsi="宋体" w:eastAsia="宋体" w:cs="宋体"/>
          <w:b/>
          <w:color w:val="auto"/>
          <w:kern w:val="0"/>
          <w:sz w:val="32"/>
          <w:szCs w:val="32"/>
          <w:highlight w:val="none"/>
        </w:rPr>
      </w:pPr>
    </w:p>
    <w:p w14:paraId="7EA4E984">
      <w:pPr>
        <w:spacing w:line="360" w:lineRule="auto"/>
        <w:jc w:val="center"/>
        <w:outlineLvl w:val="0"/>
        <w:rPr>
          <w:rFonts w:hint="eastAsia" w:ascii="宋体" w:hAnsi="宋体" w:eastAsia="宋体" w:cs="宋体"/>
          <w:b/>
          <w:color w:val="auto"/>
          <w:kern w:val="0"/>
          <w:sz w:val="36"/>
          <w:szCs w:val="36"/>
          <w:highlight w:val="none"/>
        </w:rPr>
      </w:pPr>
    </w:p>
    <w:p w14:paraId="14167AD5">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28"/>
          <w:szCs w:val="28"/>
          <w:highlight w:val="none"/>
          <w:lang w:val="en-US" w:eastAsia="zh-CN"/>
        </w:rPr>
        <w:t>商务技术文件部分</w:t>
      </w:r>
    </w:p>
    <w:p w14:paraId="264818CB">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目录</w:t>
      </w:r>
    </w:p>
    <w:p w14:paraId="3D890E5E">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投标函…………………………………………………………………………（页码）</w:t>
      </w:r>
    </w:p>
    <w:p w14:paraId="538CB4F3">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授权委托书或法定代表人（单位负责人、自然人本人）身份证明………（页码）</w:t>
      </w:r>
    </w:p>
    <w:p w14:paraId="4C19A2CC">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分包意向协议…………………………………………………………………（页码）</w:t>
      </w:r>
    </w:p>
    <w:p w14:paraId="73635CB5">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符合性审查资料………………………………………………………………（页码）</w:t>
      </w:r>
    </w:p>
    <w:p w14:paraId="79006D30">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评标标准相应的商务技术资料………………………………………………（页码）</w:t>
      </w:r>
    </w:p>
    <w:p w14:paraId="464A1CBD">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投标标的清单</w:t>
      </w:r>
      <w:r>
        <w:rPr>
          <w:rFonts w:hint="eastAsia" w:ascii="宋体" w:hAnsi="宋体" w:eastAsia="宋体" w:cs="宋体"/>
          <w:color w:val="auto"/>
          <w:sz w:val="21"/>
          <w:szCs w:val="21"/>
          <w:highlight w:val="none"/>
        </w:rPr>
        <w:t>…………………………………………………………………（页码）</w:t>
      </w:r>
    </w:p>
    <w:p w14:paraId="2A5C8E5D">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商务技术偏离表………………………………………………………………（页码）</w:t>
      </w:r>
    </w:p>
    <w:p w14:paraId="52599DE8">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48D7D497">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86910DB">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一、投标函</w:t>
      </w:r>
    </w:p>
    <w:p w14:paraId="0C621FC0">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14:paraId="451CDC95">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我方参加你方组织的</w:t>
      </w:r>
      <w:r>
        <w:rPr>
          <w:rFonts w:hint="eastAsia" w:ascii="宋体" w:hAnsi="宋体" w:eastAsia="宋体" w:cs="宋体"/>
          <w:color w:val="auto"/>
          <w:szCs w:val="21"/>
          <w:highlight w:val="none"/>
          <w:u w:val="none"/>
        </w:rPr>
        <w:t>（项目名称）</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none"/>
        </w:rPr>
        <w:t>（采购编号）</w:t>
      </w:r>
      <w:r>
        <w:rPr>
          <w:rFonts w:hint="eastAsia" w:ascii="宋体" w:hAnsi="宋体" w:eastAsia="宋体" w:cs="宋体"/>
          <w:color w:val="auto"/>
          <w:szCs w:val="21"/>
          <w:highlight w:val="none"/>
        </w:rPr>
        <w:t>】招标的有关活动，并对此项目进行投标。为此：</w:t>
      </w:r>
    </w:p>
    <w:p w14:paraId="7317EBD0">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1、我方承诺投标有效期从提交投标文件的截止之日起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天（不少于90天），本投标文件在投标有效期满之前均具有约束力。</w:t>
      </w:r>
    </w:p>
    <w:p w14:paraId="425694AB">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2、我方的投标文件包括以下内容：</w:t>
      </w:r>
    </w:p>
    <w:p w14:paraId="24714C95">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2.1资格文件：</w:t>
      </w:r>
    </w:p>
    <w:p w14:paraId="7F8B53F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承诺函；</w:t>
      </w:r>
    </w:p>
    <w:p w14:paraId="3F1495A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2.1.2联合协议（如果有）；</w:t>
      </w:r>
    </w:p>
    <w:p w14:paraId="0F169627">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2.1.3落实政府采购政策需满足的资格要求（如果有）；</w:t>
      </w:r>
    </w:p>
    <w:p w14:paraId="7650F9CF">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2.1.4本项目的特定资格要求（如果有）。</w:t>
      </w:r>
    </w:p>
    <w:p w14:paraId="73FA1A6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2商务技术</w:t>
      </w:r>
      <w:r>
        <w:rPr>
          <w:rFonts w:hint="eastAsia" w:ascii="宋体" w:hAnsi="宋体" w:eastAsia="宋体" w:cs="宋体"/>
          <w:color w:val="auto"/>
          <w:szCs w:val="21"/>
          <w:highlight w:val="none"/>
          <w:lang w:val="zh-CN"/>
        </w:rPr>
        <w:t>文件：</w:t>
      </w:r>
    </w:p>
    <w:p w14:paraId="051DDCD5">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2.2.1投标函；</w:t>
      </w:r>
    </w:p>
    <w:p w14:paraId="4DD5A5DB">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2.2.2授权委托书或法定代表人（单位负责人）身份证明；</w:t>
      </w:r>
    </w:p>
    <w:p w14:paraId="621873A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2.2.3分包意向协议（如果有）；</w:t>
      </w:r>
    </w:p>
    <w:p w14:paraId="0A63F721">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符合性审查资料；</w:t>
      </w:r>
    </w:p>
    <w:p w14:paraId="55175898">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评标标准相应的商务技术资料；</w:t>
      </w:r>
    </w:p>
    <w:p w14:paraId="1EBBD664">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2.2.6投标标的清单；</w:t>
      </w:r>
    </w:p>
    <w:p w14:paraId="1E6F3CA4">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2.2.7商务技术偏离表；</w:t>
      </w:r>
    </w:p>
    <w:p w14:paraId="55BA8FEB">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政府采购供应商廉洁自律承诺书；</w:t>
      </w:r>
    </w:p>
    <w:p w14:paraId="470F7995">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3报价文件</w:t>
      </w:r>
    </w:p>
    <w:p w14:paraId="3B290F45">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2.3.1开标一览表（报价表）；</w:t>
      </w:r>
    </w:p>
    <w:p w14:paraId="3C29590E">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2.3.2报价明细表；</w:t>
      </w:r>
    </w:p>
    <w:p w14:paraId="38BEC61C">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2.3.3报价情况说明（如有）</w:t>
      </w:r>
    </w:p>
    <w:p w14:paraId="1D333C81">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中小企业声明函（如果有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招标公告中明确本项目专门面向中小企业采购的，此处可不提供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6FA73D6F">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3、我方承诺除商务技术偏离表列出的偏离外，我方响应招标文件的全部要求。</w:t>
      </w:r>
    </w:p>
    <w:p w14:paraId="42BFCAF9">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4、如我方中标，我方承诺：</w:t>
      </w:r>
    </w:p>
    <w:p w14:paraId="5F384BB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4.1在收到中标通知书后，在中标通知书规定的期限内与你方签订合同； </w:t>
      </w:r>
    </w:p>
    <w:p w14:paraId="1C00FDA6">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4.2在签订合同时不向你方提出附加条件； </w:t>
      </w:r>
    </w:p>
    <w:p w14:paraId="22C2B8E8">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4.3按照招标文件要求提交履约保证金； </w:t>
      </w:r>
    </w:p>
    <w:p w14:paraId="44AE6DB7">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4.4在合同约定的期限内完成合同规定的全部义务。 </w:t>
      </w:r>
    </w:p>
    <w:p w14:paraId="37AC1BFD">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5、其他补充说明: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E68607B">
      <w:pPr>
        <w:keepNext w:val="0"/>
        <w:keepLines w:val="0"/>
        <w:pageBreakBefore w:val="0"/>
        <w:widowControl w:val="0"/>
        <w:kinsoku/>
        <w:wordWrap/>
        <w:overflowPunct/>
        <w:topLinePunct w:val="0"/>
        <w:autoSpaceDE/>
        <w:autoSpaceDN/>
        <w:bidi w:val="0"/>
        <w:adjustRightInd w:val="0"/>
        <w:spacing w:line="336" w:lineRule="auto"/>
        <w:ind w:left="0" w:leftChars="0" w:firstLine="5250" w:firstLineChars="25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投标人名称（电子签名）：</w:t>
      </w:r>
    </w:p>
    <w:p w14:paraId="26CD3251">
      <w:pPr>
        <w:keepNext w:val="0"/>
        <w:keepLines w:val="0"/>
        <w:pageBreakBefore w:val="0"/>
        <w:widowControl w:val="0"/>
        <w:kinsoku/>
        <w:wordWrap/>
        <w:overflowPunct/>
        <w:topLinePunct w:val="0"/>
        <w:autoSpaceDE/>
        <w:autoSpaceDN/>
        <w:bidi w:val="0"/>
        <w:adjustRightInd w:val="0"/>
        <w:spacing w:line="336" w:lineRule="auto"/>
        <w:ind w:left="0" w:leftChars="0" w:firstLine="42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日期：  年   月   日</w:t>
      </w:r>
    </w:p>
    <w:p w14:paraId="408120CA">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2" w:firstLineChars="200"/>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注：按本格式和要求提供。</w:t>
      </w:r>
    </w:p>
    <w:p w14:paraId="538A13F0">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二、授权委托书或法定代表人（单位负责人、自然人本人）身份证明</w:t>
      </w:r>
    </w:p>
    <w:p w14:paraId="363FD697">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zh-CN" w:eastAsia="zh-CN"/>
        </w:rPr>
        <w:t>授权委托书（适用于非联合体投标）</w:t>
      </w:r>
    </w:p>
    <w:p w14:paraId="6512826C">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218263E2">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政府采购投标的一切事项，其法律后果由我方承担。</w:t>
      </w:r>
    </w:p>
    <w:p w14:paraId="100ACE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日止。</w:t>
      </w:r>
    </w:p>
    <w:p w14:paraId="57D039F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4753FBD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 xml:space="preserve">                                                 投标人名称(电子签名)：</w:t>
      </w:r>
    </w:p>
    <w:p w14:paraId="2003867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 xml:space="preserve">                                                 签发日期：  年  月   日</w:t>
      </w:r>
    </w:p>
    <w:p w14:paraId="2D07F8C8">
      <w:pPr>
        <w:snapToGrid w:val="0"/>
        <w:spacing w:line="360" w:lineRule="auto"/>
        <w:rPr>
          <w:rFonts w:hint="eastAsia" w:ascii="宋体" w:hAnsi="宋体" w:eastAsia="宋体" w:cs="宋体"/>
          <w:color w:val="auto"/>
          <w:sz w:val="24"/>
          <w:highlight w:val="none"/>
        </w:rPr>
      </w:pPr>
    </w:p>
    <w:p w14:paraId="4A554CE0">
      <w:pPr>
        <w:jc w:val="center"/>
        <w:rPr>
          <w:rFonts w:hint="eastAsia" w:ascii="宋体" w:hAnsi="宋体" w:eastAsia="宋体" w:cs="宋体"/>
          <w:b/>
          <w:color w:val="auto"/>
          <w:kern w:val="0"/>
          <w:sz w:val="32"/>
          <w:szCs w:val="32"/>
          <w:highlight w:val="none"/>
          <w:lang w:val="zh-CN"/>
        </w:rPr>
      </w:pPr>
    </w:p>
    <w:p w14:paraId="0374B36F">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授权委托书（适用于联合体投标）</w:t>
      </w:r>
    </w:p>
    <w:p w14:paraId="20AC08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（采购人）、（采购代理机构）</w:t>
      </w:r>
      <w:r>
        <w:rPr>
          <w:rFonts w:hint="eastAsia" w:ascii="宋体" w:hAnsi="宋体" w:eastAsia="宋体" w:cs="宋体"/>
          <w:color w:val="auto"/>
          <w:kern w:val="0"/>
          <w:szCs w:val="21"/>
          <w:highlight w:val="none"/>
          <w:lang w:val="zh-CN"/>
        </w:rPr>
        <w:t>：</w:t>
      </w:r>
    </w:p>
    <w:p w14:paraId="0D662443">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w:t>
      </w:r>
      <w:r>
        <w:rPr>
          <w:rFonts w:hint="eastAsia" w:ascii="宋体" w:hAnsi="宋体" w:eastAsia="宋体" w:cs="宋体"/>
          <w:color w:val="auto"/>
          <w:kern w:val="0"/>
          <w:szCs w:val="21"/>
          <w:highlight w:val="none"/>
          <w:lang w:val="zh-CN"/>
        </w:rPr>
        <w:t>委托</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（姓名）为我方代理人（身份证号码：</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，手机：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），以我方名义处理</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政府采购投标的一切事项，其法律后果由我方承担。</w:t>
      </w:r>
    </w:p>
    <w:p w14:paraId="2F6D21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委托期限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自</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日起至</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月</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日止。</w:t>
      </w:r>
    </w:p>
    <w:p w14:paraId="257F41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特此告知。</w:t>
      </w:r>
    </w:p>
    <w:p w14:paraId="61EB06C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kern w:val="0"/>
          <w:szCs w:val="21"/>
          <w:highlight w:val="none"/>
        </w:rPr>
      </w:pPr>
    </w:p>
    <w:p w14:paraId="64B5979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kern w:val="0"/>
          <w:szCs w:val="21"/>
          <w:highlight w:val="none"/>
        </w:rPr>
      </w:pPr>
    </w:p>
    <w:p w14:paraId="48279FF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kern w:val="0"/>
          <w:szCs w:val="21"/>
          <w:highlight w:val="none"/>
        </w:rPr>
      </w:pPr>
    </w:p>
    <w:p w14:paraId="34A098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Cs w:val="21"/>
          <w:highlight w:val="none"/>
        </w:rPr>
      </w:pPr>
    </w:p>
    <w:p w14:paraId="45605DB4">
      <w:pPr>
        <w:keepNext w:val="0"/>
        <w:keepLines w:val="0"/>
        <w:pageBreakBefore w:val="0"/>
        <w:widowControl w:val="0"/>
        <w:kinsoku/>
        <w:wordWrap/>
        <w:overflowPunct/>
        <w:topLinePunct w:val="0"/>
        <w:autoSpaceDE/>
        <w:autoSpaceDN/>
        <w:bidi w:val="0"/>
        <w:adjustRightInd w:val="0"/>
        <w:snapToGrid w:val="0"/>
        <w:spacing w:line="360" w:lineRule="auto"/>
        <w:ind w:firstLine="4410" w:firstLineChars="21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14DF3989">
      <w:pPr>
        <w:keepNext w:val="0"/>
        <w:keepLines w:val="0"/>
        <w:pageBreakBefore w:val="0"/>
        <w:widowControl w:val="0"/>
        <w:kinsoku/>
        <w:wordWrap/>
        <w:overflowPunct/>
        <w:topLinePunct w:val="0"/>
        <w:autoSpaceDE/>
        <w:autoSpaceDN/>
        <w:bidi w:val="0"/>
        <w:adjustRightInd w:val="0"/>
        <w:snapToGrid w:val="0"/>
        <w:spacing w:line="360" w:lineRule="auto"/>
        <w:ind w:firstLine="4410" w:firstLineChars="21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0DD8D6E0">
      <w:pPr>
        <w:keepNext w:val="0"/>
        <w:keepLines w:val="0"/>
        <w:pageBreakBefore w:val="0"/>
        <w:widowControl w:val="0"/>
        <w:kinsoku/>
        <w:wordWrap/>
        <w:overflowPunct/>
        <w:topLinePunct w:val="0"/>
        <w:autoSpaceDE/>
        <w:autoSpaceDN/>
        <w:bidi w:val="0"/>
        <w:adjustRightInd w:val="0"/>
        <w:snapToGrid w:val="0"/>
        <w:spacing w:line="360" w:lineRule="auto"/>
        <w:ind w:firstLine="5040" w:firstLineChars="24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w:t>
      </w:r>
    </w:p>
    <w:p w14:paraId="683794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 xml:space="preserve">                                               日期：  年  月   日</w:t>
      </w:r>
    </w:p>
    <w:p w14:paraId="490C4D95">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F0B8AB2">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33D2DA4">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1D37D9B">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法定代表人、单位负责人或自然人本人的身份证明（适用于法定代表人、单位负责人或者自然人本人代表投标人参加投标）</w:t>
      </w:r>
    </w:p>
    <w:p w14:paraId="41097269">
      <w:pPr>
        <w:pStyle w:val="15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身份证件扫描件：</w:t>
      </w:r>
    </w:p>
    <w:tbl>
      <w:tblPr>
        <w:tblStyle w:val="6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694"/>
      </w:tblGrid>
      <w:tr w14:paraId="7283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4694" w:type="dxa"/>
          </w:tcPr>
          <w:p w14:paraId="1CBC71B3">
            <w:pPr>
              <w:pStyle w:val="153"/>
              <w:adjustRightIn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w:t>
            </w:r>
            <w:r>
              <w:rPr>
                <w:rFonts w:hint="eastAsia" w:ascii="宋体" w:hAnsi="宋体" w:eastAsia="宋体" w:cs="宋体"/>
                <w:bCs/>
                <w:color w:val="auto"/>
                <w:sz w:val="21"/>
                <w:szCs w:val="21"/>
                <w:highlight w:val="none"/>
                <w:lang w:val="en-US" w:eastAsia="zh-CN"/>
              </w:rPr>
              <w:t xml:space="preserve">                                </w:t>
            </w:r>
          </w:p>
          <w:p w14:paraId="7D4C2E8B">
            <w:pPr>
              <w:pStyle w:val="153"/>
              <w:adjustRightInd w:val="0"/>
              <w:spacing w:line="360" w:lineRule="auto"/>
              <w:rPr>
                <w:rFonts w:hint="eastAsia" w:ascii="宋体" w:hAnsi="宋体" w:eastAsia="宋体" w:cs="宋体"/>
                <w:bCs/>
                <w:color w:val="auto"/>
                <w:sz w:val="21"/>
                <w:szCs w:val="21"/>
                <w:highlight w:val="none"/>
              </w:rPr>
            </w:pPr>
          </w:p>
        </w:tc>
        <w:tc>
          <w:tcPr>
            <w:tcW w:w="4694" w:type="dxa"/>
          </w:tcPr>
          <w:p w14:paraId="2C94D626">
            <w:pPr>
              <w:pStyle w:val="153"/>
              <w:adjustRightIn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反面：</w:t>
            </w:r>
          </w:p>
        </w:tc>
      </w:tr>
    </w:tbl>
    <w:p w14:paraId="1A982488">
      <w:pPr>
        <w:snapToGrid w:val="0"/>
        <w:spacing w:line="360" w:lineRule="auto"/>
        <w:ind w:firstLine="576"/>
        <w:jc w:val="center"/>
        <w:rPr>
          <w:rFonts w:hint="eastAsia" w:ascii="宋体" w:hAnsi="宋体" w:eastAsia="宋体" w:cs="宋体"/>
          <w:color w:val="auto"/>
          <w:kern w:val="0"/>
          <w:szCs w:val="21"/>
          <w:highlight w:val="none"/>
          <w:lang w:val="zh-CN"/>
        </w:rPr>
      </w:pPr>
    </w:p>
    <w:p w14:paraId="3D1AF5F6">
      <w:pPr>
        <w:snapToGrid w:val="0"/>
        <w:spacing w:line="360" w:lineRule="auto"/>
        <w:ind w:firstLine="576"/>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投标人名称(电子签名)：                              </w:t>
      </w:r>
    </w:p>
    <w:p w14:paraId="7E04EBE0">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Cs w:val="21"/>
          <w:highlight w:val="none"/>
          <w:lang w:val="zh-CN"/>
        </w:rPr>
        <w:t xml:space="preserve">                   日期：  年  月  日</w:t>
      </w:r>
    </w:p>
    <w:p w14:paraId="136726BC">
      <w:pPr>
        <w:jc w:val="center"/>
        <w:rPr>
          <w:rFonts w:hint="eastAsia" w:ascii="宋体" w:hAnsi="宋体" w:eastAsia="宋体" w:cs="宋体"/>
          <w:b/>
          <w:color w:val="auto"/>
          <w:kern w:val="0"/>
          <w:sz w:val="32"/>
          <w:szCs w:val="32"/>
          <w:highlight w:val="none"/>
        </w:rPr>
      </w:pPr>
    </w:p>
    <w:p w14:paraId="3E95927D">
      <w:pPr>
        <w:jc w:val="center"/>
        <w:rPr>
          <w:rFonts w:hint="eastAsia" w:ascii="宋体" w:hAnsi="宋体" w:eastAsia="宋体" w:cs="宋体"/>
          <w:b/>
          <w:color w:val="auto"/>
          <w:kern w:val="0"/>
          <w:sz w:val="32"/>
          <w:szCs w:val="32"/>
          <w:highlight w:val="none"/>
        </w:rPr>
      </w:pPr>
    </w:p>
    <w:p w14:paraId="1E25A3D2">
      <w:pPr>
        <w:jc w:val="center"/>
        <w:rPr>
          <w:rFonts w:hint="eastAsia" w:ascii="宋体" w:hAnsi="宋体" w:eastAsia="宋体" w:cs="宋体"/>
          <w:b/>
          <w:color w:val="auto"/>
          <w:kern w:val="0"/>
          <w:sz w:val="32"/>
          <w:szCs w:val="32"/>
          <w:highlight w:val="none"/>
        </w:rPr>
      </w:pPr>
    </w:p>
    <w:p w14:paraId="70005D05">
      <w:pPr>
        <w:jc w:val="center"/>
        <w:rPr>
          <w:rFonts w:hint="eastAsia" w:ascii="宋体" w:hAnsi="宋体" w:eastAsia="宋体" w:cs="宋体"/>
          <w:b/>
          <w:color w:val="auto"/>
          <w:kern w:val="0"/>
          <w:sz w:val="32"/>
          <w:szCs w:val="32"/>
          <w:highlight w:val="none"/>
        </w:rPr>
      </w:pPr>
    </w:p>
    <w:p w14:paraId="63AB76C2">
      <w:pPr>
        <w:jc w:val="center"/>
        <w:rPr>
          <w:rFonts w:hint="eastAsia" w:ascii="宋体" w:hAnsi="宋体" w:eastAsia="宋体" w:cs="宋体"/>
          <w:b/>
          <w:color w:val="auto"/>
          <w:kern w:val="0"/>
          <w:sz w:val="32"/>
          <w:szCs w:val="32"/>
          <w:highlight w:val="none"/>
        </w:rPr>
      </w:pPr>
    </w:p>
    <w:p w14:paraId="31D49F4C">
      <w:pPr>
        <w:jc w:val="center"/>
        <w:rPr>
          <w:rFonts w:hint="eastAsia" w:ascii="宋体" w:hAnsi="宋体" w:eastAsia="宋体" w:cs="宋体"/>
          <w:b/>
          <w:color w:val="auto"/>
          <w:kern w:val="0"/>
          <w:sz w:val="32"/>
          <w:szCs w:val="32"/>
          <w:highlight w:val="none"/>
        </w:rPr>
      </w:pPr>
    </w:p>
    <w:p w14:paraId="0F77B08B">
      <w:pPr>
        <w:jc w:val="center"/>
        <w:rPr>
          <w:rFonts w:hint="eastAsia" w:ascii="宋体" w:hAnsi="宋体" w:eastAsia="宋体" w:cs="宋体"/>
          <w:b/>
          <w:color w:val="auto"/>
          <w:kern w:val="0"/>
          <w:sz w:val="32"/>
          <w:szCs w:val="32"/>
          <w:highlight w:val="none"/>
        </w:rPr>
      </w:pPr>
    </w:p>
    <w:p w14:paraId="2427CC91">
      <w:pPr>
        <w:jc w:val="center"/>
        <w:rPr>
          <w:rFonts w:hint="eastAsia" w:ascii="宋体" w:hAnsi="宋体" w:eastAsia="宋体" w:cs="宋体"/>
          <w:b/>
          <w:color w:val="auto"/>
          <w:kern w:val="0"/>
          <w:sz w:val="32"/>
          <w:szCs w:val="32"/>
          <w:highlight w:val="none"/>
        </w:rPr>
      </w:pPr>
    </w:p>
    <w:p w14:paraId="757542AD">
      <w:pPr>
        <w:jc w:val="center"/>
        <w:rPr>
          <w:rFonts w:hint="eastAsia" w:ascii="宋体" w:hAnsi="宋体" w:eastAsia="宋体" w:cs="宋体"/>
          <w:b/>
          <w:color w:val="auto"/>
          <w:kern w:val="0"/>
          <w:sz w:val="32"/>
          <w:szCs w:val="32"/>
          <w:highlight w:val="none"/>
        </w:rPr>
      </w:pPr>
    </w:p>
    <w:p w14:paraId="42315C24">
      <w:pPr>
        <w:jc w:val="center"/>
        <w:rPr>
          <w:rFonts w:hint="eastAsia" w:ascii="宋体" w:hAnsi="宋体" w:eastAsia="宋体" w:cs="宋体"/>
          <w:b/>
          <w:color w:val="auto"/>
          <w:kern w:val="0"/>
          <w:sz w:val="32"/>
          <w:szCs w:val="32"/>
          <w:highlight w:val="none"/>
        </w:rPr>
      </w:pPr>
    </w:p>
    <w:p w14:paraId="5C9C5434">
      <w:pPr>
        <w:jc w:val="center"/>
        <w:rPr>
          <w:rFonts w:hint="eastAsia" w:ascii="宋体" w:hAnsi="宋体" w:eastAsia="宋体" w:cs="宋体"/>
          <w:b/>
          <w:color w:val="auto"/>
          <w:kern w:val="0"/>
          <w:sz w:val="32"/>
          <w:szCs w:val="32"/>
          <w:highlight w:val="none"/>
        </w:rPr>
      </w:pPr>
    </w:p>
    <w:p w14:paraId="6246459F">
      <w:pPr>
        <w:jc w:val="center"/>
        <w:rPr>
          <w:rFonts w:hint="eastAsia" w:ascii="宋体" w:hAnsi="宋体" w:eastAsia="宋体" w:cs="宋体"/>
          <w:b/>
          <w:color w:val="auto"/>
          <w:kern w:val="0"/>
          <w:sz w:val="32"/>
          <w:szCs w:val="32"/>
          <w:highlight w:val="none"/>
        </w:rPr>
      </w:pPr>
    </w:p>
    <w:p w14:paraId="38E35CB3">
      <w:pPr>
        <w:pStyle w:val="64"/>
        <w:rPr>
          <w:rFonts w:hint="eastAsia" w:ascii="宋体" w:hAnsi="宋体" w:eastAsia="宋体" w:cs="宋体"/>
          <w:color w:val="auto"/>
          <w:highlight w:val="none"/>
        </w:rPr>
      </w:pPr>
    </w:p>
    <w:p w14:paraId="386824CE">
      <w:pPr>
        <w:pStyle w:val="53"/>
        <w:rPr>
          <w:rFonts w:hint="eastAsia" w:ascii="宋体" w:hAnsi="宋体" w:eastAsia="宋体" w:cs="宋体"/>
          <w:color w:val="auto"/>
          <w:highlight w:val="none"/>
        </w:rPr>
      </w:pPr>
    </w:p>
    <w:p w14:paraId="5A91A153">
      <w:pPr>
        <w:jc w:val="center"/>
        <w:rPr>
          <w:rFonts w:hint="eastAsia" w:ascii="宋体" w:hAnsi="宋体" w:eastAsia="宋体" w:cs="宋体"/>
          <w:b/>
          <w:color w:val="auto"/>
          <w:kern w:val="0"/>
          <w:sz w:val="32"/>
          <w:szCs w:val="32"/>
          <w:highlight w:val="none"/>
        </w:rPr>
      </w:pPr>
    </w:p>
    <w:p w14:paraId="30A3109B">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lang w:val="zh-CN" w:eastAsia="zh-CN"/>
        </w:rPr>
        <w:t>、分包意向协议（</w:t>
      </w:r>
      <w:r>
        <w:rPr>
          <w:rFonts w:hint="eastAsia" w:ascii="宋体" w:hAnsi="宋体" w:eastAsia="宋体" w:cs="宋体"/>
          <w:b/>
          <w:color w:val="auto"/>
          <w:kern w:val="0"/>
          <w:sz w:val="28"/>
          <w:szCs w:val="28"/>
          <w:highlight w:val="none"/>
          <w:lang w:val="en-US" w:eastAsia="zh-CN"/>
        </w:rPr>
        <w:t>如果有</w:t>
      </w:r>
      <w:r>
        <w:rPr>
          <w:rFonts w:hint="eastAsia" w:ascii="宋体" w:hAnsi="宋体" w:eastAsia="宋体" w:cs="宋体"/>
          <w:b/>
          <w:color w:val="auto"/>
          <w:kern w:val="0"/>
          <w:sz w:val="28"/>
          <w:szCs w:val="28"/>
          <w:highlight w:val="none"/>
          <w:lang w:val="zh-CN" w:eastAsia="zh-CN"/>
        </w:rPr>
        <w:t>）</w:t>
      </w:r>
    </w:p>
    <w:p w14:paraId="58F7F078">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中标后以分包方式履行合同的，提供分包意向协议</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附件6</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；采购人不同意分包或者投标人中标后不以分包方式履行合同的，则不需要提供。</w:t>
      </w:r>
      <w:r>
        <w:rPr>
          <w:rFonts w:hint="eastAsia" w:ascii="宋体" w:hAnsi="宋体" w:eastAsia="宋体" w:cs="宋体"/>
          <w:b w:val="0"/>
          <w:bCs w:val="0"/>
          <w:color w:val="auto"/>
          <w:szCs w:val="21"/>
          <w:highlight w:val="none"/>
          <w:lang w:val="en-US" w:eastAsia="zh-CN"/>
        </w:rPr>
        <w:t>]</w:t>
      </w:r>
    </w:p>
    <w:p w14:paraId="51FAC53E">
      <w:pPr>
        <w:pageBreakBefore w:val="0"/>
        <w:kinsoku/>
        <w:wordWrap/>
        <w:overflowPunct/>
        <w:topLinePunct w:val="0"/>
        <w:autoSpaceDE/>
        <w:autoSpaceDN/>
        <w:bidi w:val="0"/>
        <w:snapToGrid w:val="0"/>
        <w:spacing w:line="360" w:lineRule="auto"/>
        <w:ind w:left="0" w:leftChars="0"/>
        <w:textAlignment w:val="auto"/>
        <w:rPr>
          <w:rFonts w:hint="eastAsia" w:ascii="宋体" w:hAnsi="宋体" w:eastAsia="宋体" w:cs="宋体"/>
          <w:color w:val="auto"/>
          <w:kern w:val="0"/>
          <w:sz w:val="24"/>
          <w:highlight w:val="none"/>
          <w:lang w:val="zh-CN"/>
        </w:rPr>
      </w:pPr>
    </w:p>
    <w:p w14:paraId="2C1F0D93">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DC0D14">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四、符合性审查资料</w:t>
      </w:r>
    </w:p>
    <w:tbl>
      <w:tblPr>
        <w:tblStyle w:val="6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289"/>
        <w:gridCol w:w="2781"/>
        <w:gridCol w:w="2505"/>
      </w:tblGrid>
      <w:tr w14:paraId="47F2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05" w:type="dxa"/>
            <w:vAlign w:val="center"/>
          </w:tcPr>
          <w:p w14:paraId="643180BE">
            <w:pPr>
              <w:snapToGrid w:val="0"/>
              <w:spacing w:line="240"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3289" w:type="dxa"/>
            <w:vAlign w:val="center"/>
          </w:tcPr>
          <w:p w14:paraId="381BA90D">
            <w:pPr>
              <w:snapToGrid w:val="0"/>
              <w:spacing w:line="240"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实质性要求</w:t>
            </w:r>
          </w:p>
        </w:tc>
        <w:tc>
          <w:tcPr>
            <w:tcW w:w="2781" w:type="dxa"/>
            <w:vAlign w:val="center"/>
          </w:tcPr>
          <w:p w14:paraId="077024E2">
            <w:pPr>
              <w:snapToGrid w:val="0"/>
              <w:spacing w:line="240"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需要提供的符合性审查资料</w:t>
            </w:r>
          </w:p>
        </w:tc>
        <w:tc>
          <w:tcPr>
            <w:tcW w:w="2505" w:type="dxa"/>
            <w:vAlign w:val="center"/>
          </w:tcPr>
          <w:p w14:paraId="78B29BDB">
            <w:pPr>
              <w:snapToGrid w:val="0"/>
              <w:spacing w:line="240"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投标文件中的</w:t>
            </w:r>
          </w:p>
          <w:p w14:paraId="7E51EE28">
            <w:pPr>
              <w:snapToGrid w:val="0"/>
              <w:spacing w:line="240" w:lineRule="atLeas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页码位置</w:t>
            </w:r>
          </w:p>
        </w:tc>
      </w:tr>
      <w:tr w14:paraId="23AC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05" w:type="dxa"/>
            <w:vAlign w:val="center"/>
          </w:tcPr>
          <w:p w14:paraId="2DDA3B0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89" w:type="dxa"/>
            <w:vAlign w:val="center"/>
          </w:tcPr>
          <w:p w14:paraId="29038A6D">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投标文件按照招标文件要求签署、盖章。</w:t>
            </w:r>
          </w:p>
        </w:tc>
        <w:tc>
          <w:tcPr>
            <w:tcW w:w="2781" w:type="dxa"/>
            <w:vAlign w:val="center"/>
          </w:tcPr>
          <w:p w14:paraId="0BFF474D">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需要使用电子签名或者签字盖章的投标文件的组成部分</w:t>
            </w:r>
          </w:p>
        </w:tc>
        <w:tc>
          <w:tcPr>
            <w:tcW w:w="2505" w:type="dxa"/>
            <w:vAlign w:val="center"/>
          </w:tcPr>
          <w:p w14:paraId="467FA427">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页</w:t>
            </w:r>
          </w:p>
        </w:tc>
      </w:tr>
      <w:tr w14:paraId="7952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5" w:type="dxa"/>
            <w:vAlign w:val="center"/>
          </w:tcPr>
          <w:p w14:paraId="1553C85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3289" w:type="dxa"/>
            <w:vAlign w:val="center"/>
          </w:tcPr>
          <w:p w14:paraId="49F854C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投标文件中承诺的投标有效期不少于招标文件中载明的投标有效期。</w:t>
            </w:r>
          </w:p>
        </w:tc>
        <w:tc>
          <w:tcPr>
            <w:tcW w:w="2781" w:type="dxa"/>
            <w:vAlign w:val="center"/>
          </w:tcPr>
          <w:p w14:paraId="7A6EAB85">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w:t>
            </w:r>
          </w:p>
        </w:tc>
        <w:tc>
          <w:tcPr>
            <w:tcW w:w="2505" w:type="dxa"/>
            <w:vAlign w:val="center"/>
          </w:tcPr>
          <w:p w14:paraId="7A57E850">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页</w:t>
            </w:r>
          </w:p>
        </w:tc>
      </w:tr>
      <w:tr w14:paraId="0636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5" w:type="dxa"/>
            <w:vAlign w:val="center"/>
          </w:tcPr>
          <w:p w14:paraId="2832911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3289" w:type="dxa"/>
            <w:vAlign w:val="center"/>
          </w:tcPr>
          <w:p w14:paraId="3133BE97">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投标文件满足招标文件的其它实质性要求。</w:t>
            </w:r>
          </w:p>
        </w:tc>
        <w:tc>
          <w:tcPr>
            <w:tcW w:w="2781" w:type="dxa"/>
            <w:vAlign w:val="center"/>
          </w:tcPr>
          <w:p w14:paraId="7025DA9E">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招标文件其它实质性要求相应的材料（“▲”系指实质性要求条款，招标文件无其它实质性要求的，无需提供）</w:t>
            </w:r>
          </w:p>
        </w:tc>
        <w:tc>
          <w:tcPr>
            <w:tcW w:w="2505" w:type="dxa"/>
            <w:vAlign w:val="center"/>
          </w:tcPr>
          <w:p w14:paraId="19F2183E">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见投标文件第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页</w:t>
            </w:r>
          </w:p>
        </w:tc>
      </w:tr>
    </w:tbl>
    <w:p w14:paraId="632AEB52">
      <w:pPr>
        <w:jc w:val="both"/>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注：按本格式和要求提供。</w:t>
      </w:r>
    </w:p>
    <w:p w14:paraId="0C690012">
      <w:pPr>
        <w:jc w:val="both"/>
        <w:rPr>
          <w:rFonts w:hint="eastAsia" w:ascii="宋体" w:hAnsi="宋体" w:eastAsia="宋体" w:cs="宋体"/>
          <w:b/>
          <w:color w:val="auto"/>
          <w:kern w:val="0"/>
          <w:sz w:val="32"/>
          <w:szCs w:val="32"/>
          <w:highlight w:val="none"/>
          <w:lang w:val="en-US" w:eastAsia="zh-CN"/>
        </w:rPr>
      </w:pPr>
    </w:p>
    <w:p w14:paraId="5E33736E">
      <w:pPr>
        <w:jc w:val="center"/>
        <w:rPr>
          <w:rFonts w:hint="eastAsia" w:ascii="宋体" w:hAnsi="宋体" w:eastAsia="宋体" w:cs="宋体"/>
          <w:b/>
          <w:color w:val="auto"/>
          <w:kern w:val="0"/>
          <w:sz w:val="32"/>
          <w:szCs w:val="32"/>
          <w:highlight w:val="none"/>
        </w:rPr>
      </w:pPr>
    </w:p>
    <w:p w14:paraId="15403DA7">
      <w:pPr>
        <w:jc w:val="center"/>
        <w:rPr>
          <w:rFonts w:hint="eastAsia" w:ascii="宋体" w:hAnsi="宋体" w:eastAsia="宋体" w:cs="宋体"/>
          <w:b/>
          <w:color w:val="auto"/>
          <w:kern w:val="0"/>
          <w:sz w:val="32"/>
          <w:szCs w:val="32"/>
          <w:highlight w:val="none"/>
        </w:rPr>
      </w:pPr>
    </w:p>
    <w:p w14:paraId="7528BBB8">
      <w:pPr>
        <w:jc w:val="center"/>
        <w:rPr>
          <w:rFonts w:hint="eastAsia" w:ascii="宋体" w:hAnsi="宋体" w:eastAsia="宋体" w:cs="宋体"/>
          <w:b/>
          <w:color w:val="auto"/>
          <w:kern w:val="0"/>
          <w:sz w:val="32"/>
          <w:szCs w:val="32"/>
          <w:highlight w:val="none"/>
        </w:rPr>
      </w:pPr>
    </w:p>
    <w:p w14:paraId="745D9384">
      <w:pPr>
        <w:jc w:val="center"/>
        <w:rPr>
          <w:rFonts w:hint="eastAsia" w:ascii="宋体" w:hAnsi="宋体" w:eastAsia="宋体" w:cs="宋体"/>
          <w:b/>
          <w:color w:val="auto"/>
          <w:kern w:val="0"/>
          <w:sz w:val="32"/>
          <w:szCs w:val="32"/>
          <w:highlight w:val="none"/>
        </w:rPr>
      </w:pPr>
    </w:p>
    <w:p w14:paraId="446920F9">
      <w:pPr>
        <w:jc w:val="center"/>
        <w:rPr>
          <w:rFonts w:hint="eastAsia" w:ascii="宋体" w:hAnsi="宋体" w:eastAsia="宋体" w:cs="宋体"/>
          <w:b/>
          <w:color w:val="auto"/>
          <w:kern w:val="0"/>
          <w:sz w:val="32"/>
          <w:szCs w:val="32"/>
          <w:highlight w:val="none"/>
        </w:rPr>
      </w:pPr>
    </w:p>
    <w:p w14:paraId="12AE5D52">
      <w:pPr>
        <w:jc w:val="center"/>
        <w:rPr>
          <w:rFonts w:hint="eastAsia" w:ascii="宋体" w:hAnsi="宋体" w:eastAsia="宋体" w:cs="宋体"/>
          <w:b/>
          <w:color w:val="auto"/>
          <w:kern w:val="0"/>
          <w:sz w:val="32"/>
          <w:szCs w:val="32"/>
          <w:highlight w:val="none"/>
        </w:rPr>
      </w:pPr>
    </w:p>
    <w:p w14:paraId="77D1CCDC">
      <w:pPr>
        <w:jc w:val="center"/>
        <w:rPr>
          <w:rFonts w:hint="eastAsia" w:ascii="宋体" w:hAnsi="宋体" w:eastAsia="宋体" w:cs="宋体"/>
          <w:b/>
          <w:color w:val="auto"/>
          <w:kern w:val="0"/>
          <w:sz w:val="32"/>
          <w:szCs w:val="32"/>
          <w:highlight w:val="none"/>
        </w:rPr>
      </w:pPr>
    </w:p>
    <w:p w14:paraId="173E7F98">
      <w:pPr>
        <w:jc w:val="center"/>
        <w:rPr>
          <w:rFonts w:hint="eastAsia" w:ascii="宋体" w:hAnsi="宋体" w:eastAsia="宋体" w:cs="宋体"/>
          <w:b/>
          <w:color w:val="auto"/>
          <w:kern w:val="0"/>
          <w:sz w:val="32"/>
          <w:szCs w:val="32"/>
          <w:highlight w:val="none"/>
        </w:rPr>
      </w:pPr>
    </w:p>
    <w:p w14:paraId="43B13501">
      <w:pPr>
        <w:jc w:val="center"/>
        <w:rPr>
          <w:rFonts w:hint="eastAsia" w:ascii="宋体" w:hAnsi="宋体" w:eastAsia="宋体" w:cs="宋体"/>
          <w:b/>
          <w:color w:val="auto"/>
          <w:kern w:val="0"/>
          <w:sz w:val="32"/>
          <w:szCs w:val="32"/>
          <w:highlight w:val="none"/>
        </w:rPr>
      </w:pPr>
    </w:p>
    <w:p w14:paraId="43B590A3">
      <w:pPr>
        <w:jc w:val="center"/>
        <w:rPr>
          <w:rFonts w:hint="eastAsia" w:ascii="宋体" w:hAnsi="宋体" w:eastAsia="宋体" w:cs="宋体"/>
          <w:b/>
          <w:color w:val="auto"/>
          <w:kern w:val="0"/>
          <w:sz w:val="32"/>
          <w:szCs w:val="32"/>
          <w:highlight w:val="none"/>
        </w:rPr>
      </w:pPr>
    </w:p>
    <w:p w14:paraId="7F548831">
      <w:pPr>
        <w:jc w:val="center"/>
        <w:rPr>
          <w:rFonts w:hint="eastAsia" w:ascii="宋体" w:hAnsi="宋体" w:eastAsia="宋体" w:cs="宋体"/>
          <w:b/>
          <w:color w:val="auto"/>
          <w:kern w:val="0"/>
          <w:sz w:val="32"/>
          <w:szCs w:val="32"/>
          <w:highlight w:val="none"/>
        </w:rPr>
      </w:pPr>
    </w:p>
    <w:p w14:paraId="0319C163">
      <w:pPr>
        <w:jc w:val="center"/>
        <w:rPr>
          <w:rFonts w:hint="eastAsia" w:ascii="宋体" w:hAnsi="宋体" w:eastAsia="宋体" w:cs="宋体"/>
          <w:b/>
          <w:color w:val="auto"/>
          <w:kern w:val="0"/>
          <w:sz w:val="32"/>
          <w:szCs w:val="32"/>
          <w:highlight w:val="none"/>
        </w:rPr>
      </w:pPr>
    </w:p>
    <w:p w14:paraId="6A14E39F">
      <w:pPr>
        <w:jc w:val="center"/>
        <w:rPr>
          <w:rFonts w:hint="eastAsia" w:ascii="宋体" w:hAnsi="宋体" w:eastAsia="宋体" w:cs="宋体"/>
          <w:b/>
          <w:color w:val="auto"/>
          <w:kern w:val="0"/>
          <w:sz w:val="32"/>
          <w:szCs w:val="32"/>
          <w:highlight w:val="none"/>
        </w:rPr>
      </w:pPr>
    </w:p>
    <w:p w14:paraId="118A7F80">
      <w:pPr>
        <w:jc w:val="center"/>
        <w:rPr>
          <w:rFonts w:hint="eastAsia" w:ascii="宋体" w:hAnsi="宋体" w:eastAsia="宋体" w:cs="宋体"/>
          <w:b/>
          <w:color w:val="auto"/>
          <w:kern w:val="0"/>
          <w:sz w:val="32"/>
          <w:szCs w:val="32"/>
          <w:highlight w:val="none"/>
        </w:rPr>
      </w:pPr>
    </w:p>
    <w:p w14:paraId="2FE2BBB2">
      <w:pPr>
        <w:jc w:val="center"/>
        <w:rPr>
          <w:rFonts w:hint="eastAsia" w:ascii="宋体" w:hAnsi="宋体" w:eastAsia="宋体" w:cs="宋体"/>
          <w:b/>
          <w:color w:val="auto"/>
          <w:kern w:val="0"/>
          <w:sz w:val="32"/>
          <w:szCs w:val="32"/>
          <w:highlight w:val="none"/>
        </w:rPr>
      </w:pPr>
    </w:p>
    <w:p w14:paraId="3F6B3503">
      <w:pPr>
        <w:jc w:val="center"/>
        <w:rPr>
          <w:rFonts w:hint="eastAsia" w:ascii="宋体" w:hAnsi="宋体" w:eastAsia="宋体" w:cs="宋体"/>
          <w:b/>
          <w:color w:val="auto"/>
          <w:kern w:val="0"/>
          <w:sz w:val="32"/>
          <w:szCs w:val="32"/>
          <w:highlight w:val="none"/>
        </w:rPr>
      </w:pPr>
    </w:p>
    <w:p w14:paraId="467C2983">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728D9937">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7B835255">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33B6A167">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五、评标标准相应的商务技术资料</w:t>
      </w:r>
    </w:p>
    <w:p w14:paraId="7706F3A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按招标文件第四部分评标办法前附表中“投标文件中评标标准相应的商务技术资料目录”提供资料</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w:t>
      </w:r>
    </w:p>
    <w:p w14:paraId="65B5D80E">
      <w:pPr>
        <w:jc w:val="center"/>
        <w:rPr>
          <w:rFonts w:hint="eastAsia" w:ascii="宋体" w:hAnsi="宋体" w:eastAsia="宋体" w:cs="宋体"/>
          <w:b/>
          <w:color w:val="auto"/>
          <w:kern w:val="0"/>
          <w:sz w:val="32"/>
          <w:szCs w:val="32"/>
          <w:highlight w:val="none"/>
        </w:rPr>
      </w:pPr>
    </w:p>
    <w:p w14:paraId="2BBB0778">
      <w:pPr>
        <w:jc w:val="center"/>
        <w:rPr>
          <w:rFonts w:hint="eastAsia" w:ascii="宋体" w:hAnsi="宋体" w:eastAsia="宋体" w:cs="宋体"/>
          <w:b/>
          <w:color w:val="auto"/>
          <w:kern w:val="0"/>
          <w:sz w:val="32"/>
          <w:szCs w:val="32"/>
          <w:highlight w:val="none"/>
        </w:rPr>
      </w:pPr>
    </w:p>
    <w:p w14:paraId="5465CFE5">
      <w:pPr>
        <w:pStyle w:val="7"/>
        <w:spacing w:line="360" w:lineRule="auto"/>
        <w:jc w:val="left"/>
        <w:rPr>
          <w:rFonts w:hint="eastAsia" w:ascii="宋体" w:hAnsi="宋体" w:eastAsia="宋体" w:cs="宋体"/>
          <w:color w:val="auto"/>
          <w:sz w:val="24"/>
          <w:highlight w:val="none"/>
        </w:rPr>
      </w:pPr>
    </w:p>
    <w:p w14:paraId="0528D367">
      <w:pPr>
        <w:jc w:val="center"/>
        <w:rPr>
          <w:rFonts w:hint="eastAsia" w:ascii="宋体" w:hAnsi="宋体" w:eastAsia="宋体" w:cs="宋体"/>
          <w:b/>
          <w:color w:val="auto"/>
          <w:kern w:val="0"/>
          <w:sz w:val="32"/>
          <w:szCs w:val="32"/>
          <w:highlight w:val="none"/>
        </w:rPr>
      </w:pPr>
    </w:p>
    <w:p w14:paraId="0274D199">
      <w:pPr>
        <w:jc w:val="center"/>
        <w:rPr>
          <w:rFonts w:hint="eastAsia" w:ascii="宋体" w:hAnsi="宋体" w:eastAsia="宋体" w:cs="宋体"/>
          <w:b/>
          <w:color w:val="auto"/>
          <w:kern w:val="0"/>
          <w:sz w:val="32"/>
          <w:szCs w:val="32"/>
          <w:highlight w:val="none"/>
        </w:rPr>
      </w:pPr>
    </w:p>
    <w:p w14:paraId="7E22B8C8">
      <w:pPr>
        <w:jc w:val="center"/>
        <w:rPr>
          <w:rFonts w:hint="eastAsia" w:ascii="宋体" w:hAnsi="宋体" w:eastAsia="宋体" w:cs="宋体"/>
          <w:b/>
          <w:color w:val="auto"/>
          <w:kern w:val="0"/>
          <w:sz w:val="32"/>
          <w:szCs w:val="32"/>
          <w:highlight w:val="none"/>
        </w:rPr>
      </w:pPr>
    </w:p>
    <w:p w14:paraId="374F6302">
      <w:pPr>
        <w:jc w:val="center"/>
        <w:rPr>
          <w:rFonts w:hint="eastAsia" w:ascii="宋体" w:hAnsi="宋体" w:eastAsia="宋体" w:cs="宋体"/>
          <w:b/>
          <w:color w:val="auto"/>
          <w:kern w:val="0"/>
          <w:sz w:val="32"/>
          <w:szCs w:val="32"/>
          <w:highlight w:val="none"/>
        </w:rPr>
      </w:pPr>
    </w:p>
    <w:p w14:paraId="01432E31">
      <w:pPr>
        <w:jc w:val="center"/>
        <w:rPr>
          <w:rFonts w:hint="eastAsia" w:ascii="宋体" w:hAnsi="宋体" w:eastAsia="宋体" w:cs="宋体"/>
          <w:b/>
          <w:color w:val="auto"/>
          <w:kern w:val="0"/>
          <w:sz w:val="32"/>
          <w:szCs w:val="32"/>
          <w:highlight w:val="none"/>
        </w:rPr>
      </w:pPr>
    </w:p>
    <w:p w14:paraId="39D68F87">
      <w:pPr>
        <w:jc w:val="center"/>
        <w:rPr>
          <w:rFonts w:hint="eastAsia" w:ascii="宋体" w:hAnsi="宋体" w:eastAsia="宋体" w:cs="宋体"/>
          <w:b/>
          <w:color w:val="auto"/>
          <w:kern w:val="0"/>
          <w:sz w:val="32"/>
          <w:szCs w:val="32"/>
          <w:highlight w:val="none"/>
        </w:rPr>
      </w:pPr>
    </w:p>
    <w:p w14:paraId="326C30E9">
      <w:pPr>
        <w:jc w:val="center"/>
        <w:rPr>
          <w:rFonts w:hint="eastAsia" w:ascii="宋体" w:hAnsi="宋体" w:eastAsia="宋体" w:cs="宋体"/>
          <w:b/>
          <w:color w:val="auto"/>
          <w:kern w:val="0"/>
          <w:sz w:val="32"/>
          <w:szCs w:val="32"/>
          <w:highlight w:val="none"/>
        </w:rPr>
      </w:pPr>
    </w:p>
    <w:p w14:paraId="07B62BBE">
      <w:pPr>
        <w:jc w:val="center"/>
        <w:rPr>
          <w:rFonts w:hint="eastAsia" w:ascii="宋体" w:hAnsi="宋体" w:eastAsia="宋体" w:cs="宋体"/>
          <w:b/>
          <w:color w:val="auto"/>
          <w:kern w:val="0"/>
          <w:sz w:val="32"/>
          <w:szCs w:val="32"/>
          <w:highlight w:val="none"/>
        </w:rPr>
      </w:pPr>
    </w:p>
    <w:p w14:paraId="2F4C26D1">
      <w:pPr>
        <w:jc w:val="center"/>
        <w:rPr>
          <w:rFonts w:hint="eastAsia" w:ascii="宋体" w:hAnsi="宋体" w:eastAsia="宋体" w:cs="宋体"/>
          <w:b/>
          <w:color w:val="auto"/>
          <w:kern w:val="0"/>
          <w:sz w:val="32"/>
          <w:szCs w:val="32"/>
          <w:highlight w:val="none"/>
        </w:rPr>
      </w:pPr>
    </w:p>
    <w:p w14:paraId="6DC6CF95">
      <w:pPr>
        <w:jc w:val="center"/>
        <w:rPr>
          <w:rFonts w:hint="eastAsia" w:ascii="宋体" w:hAnsi="宋体" w:eastAsia="宋体" w:cs="宋体"/>
          <w:b/>
          <w:color w:val="auto"/>
          <w:kern w:val="0"/>
          <w:sz w:val="32"/>
          <w:szCs w:val="32"/>
          <w:highlight w:val="none"/>
        </w:rPr>
      </w:pPr>
    </w:p>
    <w:p w14:paraId="64DA0D75">
      <w:pPr>
        <w:rPr>
          <w:rFonts w:hint="eastAsia" w:ascii="宋体" w:hAnsi="宋体" w:eastAsia="宋体" w:cs="宋体"/>
          <w:b/>
          <w:color w:val="auto"/>
          <w:kern w:val="0"/>
          <w:sz w:val="32"/>
          <w:szCs w:val="32"/>
          <w:highlight w:val="none"/>
        </w:rPr>
      </w:pPr>
    </w:p>
    <w:p w14:paraId="2BB19320">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BB46F94">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六、投标标的清单</w:t>
      </w:r>
    </w:p>
    <w:tbl>
      <w:tblPr>
        <w:tblStyle w:val="66"/>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427"/>
        <w:gridCol w:w="1427"/>
        <w:gridCol w:w="1427"/>
        <w:gridCol w:w="1427"/>
        <w:gridCol w:w="1427"/>
        <w:gridCol w:w="1429"/>
      </w:tblGrid>
      <w:tr w14:paraId="1C61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867" w:type="dxa"/>
            <w:vAlign w:val="center"/>
          </w:tcPr>
          <w:p w14:paraId="315225B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序号</w:t>
            </w:r>
          </w:p>
        </w:tc>
        <w:tc>
          <w:tcPr>
            <w:tcW w:w="1427" w:type="dxa"/>
            <w:vAlign w:val="center"/>
          </w:tcPr>
          <w:p w14:paraId="3F9925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名称</w:t>
            </w:r>
          </w:p>
        </w:tc>
        <w:tc>
          <w:tcPr>
            <w:tcW w:w="1427" w:type="dxa"/>
            <w:vAlign w:val="center"/>
          </w:tcPr>
          <w:p w14:paraId="53D10D6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服务范围</w:t>
            </w:r>
          </w:p>
        </w:tc>
        <w:tc>
          <w:tcPr>
            <w:tcW w:w="1427" w:type="dxa"/>
            <w:vAlign w:val="center"/>
          </w:tcPr>
          <w:p w14:paraId="7F7AC46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服务要求</w:t>
            </w:r>
          </w:p>
        </w:tc>
        <w:tc>
          <w:tcPr>
            <w:tcW w:w="1427" w:type="dxa"/>
            <w:vAlign w:val="center"/>
          </w:tcPr>
          <w:p w14:paraId="33F01A0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服务时间</w:t>
            </w:r>
          </w:p>
        </w:tc>
        <w:tc>
          <w:tcPr>
            <w:tcW w:w="1427" w:type="dxa"/>
            <w:vAlign w:val="center"/>
          </w:tcPr>
          <w:p w14:paraId="5A22923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服务标准</w:t>
            </w:r>
          </w:p>
        </w:tc>
        <w:tc>
          <w:tcPr>
            <w:tcW w:w="1429" w:type="dxa"/>
            <w:vAlign w:val="center"/>
          </w:tcPr>
          <w:p w14:paraId="7B9AAA4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备注</w:t>
            </w:r>
          </w:p>
          <w:p w14:paraId="27D35F3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（如果有）</w:t>
            </w:r>
          </w:p>
        </w:tc>
      </w:tr>
      <w:tr w14:paraId="4FB3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7" w:type="dxa"/>
            <w:vAlign w:val="center"/>
          </w:tcPr>
          <w:p w14:paraId="6F040B32">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1</w:t>
            </w:r>
          </w:p>
        </w:tc>
        <w:tc>
          <w:tcPr>
            <w:tcW w:w="1427" w:type="dxa"/>
            <w:vAlign w:val="center"/>
          </w:tcPr>
          <w:p w14:paraId="757F95FB">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7" w:type="dxa"/>
            <w:vAlign w:val="center"/>
          </w:tcPr>
          <w:p w14:paraId="2B46A5EF">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7" w:type="dxa"/>
            <w:vAlign w:val="center"/>
          </w:tcPr>
          <w:p w14:paraId="200A6911">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7" w:type="dxa"/>
            <w:vAlign w:val="center"/>
          </w:tcPr>
          <w:p w14:paraId="49E7F9F6">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7" w:type="dxa"/>
            <w:vAlign w:val="center"/>
          </w:tcPr>
          <w:p w14:paraId="14590FAF">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9" w:type="dxa"/>
            <w:vAlign w:val="center"/>
          </w:tcPr>
          <w:p w14:paraId="72652EF8">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r>
      <w:tr w14:paraId="3B03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7" w:type="dxa"/>
            <w:vAlign w:val="center"/>
          </w:tcPr>
          <w:p w14:paraId="762285A7">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2</w:t>
            </w:r>
          </w:p>
        </w:tc>
        <w:tc>
          <w:tcPr>
            <w:tcW w:w="1427" w:type="dxa"/>
            <w:vAlign w:val="center"/>
          </w:tcPr>
          <w:p w14:paraId="58C93D96">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7" w:type="dxa"/>
            <w:vAlign w:val="center"/>
          </w:tcPr>
          <w:p w14:paraId="0A4833A1">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7" w:type="dxa"/>
            <w:vAlign w:val="center"/>
          </w:tcPr>
          <w:p w14:paraId="01E34148">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7" w:type="dxa"/>
            <w:vAlign w:val="center"/>
          </w:tcPr>
          <w:p w14:paraId="407306D5">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7" w:type="dxa"/>
            <w:vAlign w:val="center"/>
          </w:tcPr>
          <w:p w14:paraId="2BD5B142">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1429" w:type="dxa"/>
            <w:vAlign w:val="center"/>
          </w:tcPr>
          <w:p w14:paraId="751AE37D">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val="0"/>
                <w:bCs/>
                <w:color w:val="auto"/>
                <w:kern w:val="0"/>
                <w:sz w:val="21"/>
                <w:szCs w:val="21"/>
                <w:highlight w:val="none"/>
                <w:vertAlign w:val="baseline"/>
                <w:lang w:val="en-US" w:eastAsia="zh-CN"/>
              </w:rPr>
            </w:pPr>
          </w:p>
        </w:tc>
      </w:tr>
      <w:tr w14:paraId="27D3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7" w:type="dxa"/>
            <w:vAlign w:val="center"/>
          </w:tcPr>
          <w:p w14:paraId="3FC7F34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eastAsia="宋体" w:cs="宋体"/>
                <w:b w:val="0"/>
                <w:bCs w:val="0"/>
                <w:color w:val="auto"/>
                <w:sz w:val="24"/>
                <w:highlight w:val="none"/>
              </w:rPr>
              <w:t>……</w:t>
            </w:r>
          </w:p>
        </w:tc>
        <w:tc>
          <w:tcPr>
            <w:tcW w:w="1427" w:type="dxa"/>
            <w:vAlign w:val="center"/>
          </w:tcPr>
          <w:p w14:paraId="426D5F6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rPr>
            </w:pPr>
          </w:p>
        </w:tc>
        <w:tc>
          <w:tcPr>
            <w:tcW w:w="1427" w:type="dxa"/>
            <w:vAlign w:val="center"/>
          </w:tcPr>
          <w:p w14:paraId="378F398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rPr>
            </w:pPr>
          </w:p>
        </w:tc>
        <w:tc>
          <w:tcPr>
            <w:tcW w:w="1427" w:type="dxa"/>
            <w:vAlign w:val="center"/>
          </w:tcPr>
          <w:p w14:paraId="26827FE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rPr>
            </w:pPr>
          </w:p>
        </w:tc>
        <w:tc>
          <w:tcPr>
            <w:tcW w:w="1427" w:type="dxa"/>
            <w:vAlign w:val="center"/>
          </w:tcPr>
          <w:p w14:paraId="2FED446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rPr>
            </w:pPr>
          </w:p>
        </w:tc>
        <w:tc>
          <w:tcPr>
            <w:tcW w:w="1427" w:type="dxa"/>
            <w:vAlign w:val="center"/>
          </w:tcPr>
          <w:p w14:paraId="5475343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rPr>
            </w:pPr>
          </w:p>
        </w:tc>
        <w:tc>
          <w:tcPr>
            <w:tcW w:w="1429" w:type="dxa"/>
            <w:vAlign w:val="center"/>
          </w:tcPr>
          <w:p w14:paraId="4F696BB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21"/>
                <w:szCs w:val="21"/>
                <w:highlight w:val="none"/>
                <w:vertAlign w:val="baseline"/>
                <w:lang w:val="en-US" w:eastAsia="zh-CN"/>
              </w:rPr>
            </w:pPr>
          </w:p>
        </w:tc>
      </w:tr>
    </w:tbl>
    <w:p w14:paraId="64BD330F">
      <w:pPr>
        <w:jc w:val="both"/>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注：按本格式和要求提供。</w:t>
      </w:r>
    </w:p>
    <w:p w14:paraId="06C62BC5">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22232E13">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30CAEB7F">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0E838194">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7082ED2B">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568CD508">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5B5B342E">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75D11756">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113D6651">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21443B55">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799B74DD">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39C52152">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245E7004">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235E6CD0">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620F7772">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5B3BD25F">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p>
    <w:p w14:paraId="43535CF1">
      <w:pPr>
        <w:pStyle w:val="3"/>
        <w:rPr>
          <w:rFonts w:hint="eastAsia" w:ascii="宋体" w:hAnsi="宋体" w:eastAsia="宋体" w:cs="宋体"/>
          <w:color w:val="auto"/>
          <w:highlight w:val="none"/>
          <w:lang w:val="en-US" w:eastAsia="zh-CN"/>
        </w:rPr>
      </w:pPr>
    </w:p>
    <w:p w14:paraId="78CAE54F">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七、商务技术偏离表</w:t>
      </w:r>
    </w:p>
    <w:tbl>
      <w:tblPr>
        <w:tblStyle w:val="6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541"/>
        <w:gridCol w:w="2995"/>
        <w:gridCol w:w="1938"/>
      </w:tblGrid>
      <w:tr w14:paraId="7836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Align w:val="center"/>
          </w:tcPr>
          <w:p w14:paraId="2943220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3541" w:type="dxa"/>
            <w:vAlign w:val="center"/>
          </w:tcPr>
          <w:p w14:paraId="733F999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招标文件章节及具体内容</w:t>
            </w:r>
          </w:p>
        </w:tc>
        <w:tc>
          <w:tcPr>
            <w:tcW w:w="2995" w:type="dxa"/>
            <w:vAlign w:val="center"/>
          </w:tcPr>
          <w:p w14:paraId="4BB7393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投标文件章节及具体内容</w:t>
            </w:r>
          </w:p>
        </w:tc>
        <w:tc>
          <w:tcPr>
            <w:tcW w:w="1938" w:type="dxa"/>
            <w:vAlign w:val="center"/>
          </w:tcPr>
          <w:p w14:paraId="1D0C262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偏离说明</w:t>
            </w:r>
          </w:p>
        </w:tc>
      </w:tr>
      <w:tr w14:paraId="147B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Align w:val="center"/>
          </w:tcPr>
          <w:p w14:paraId="714C25C6">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541" w:type="dxa"/>
            <w:vAlign w:val="center"/>
          </w:tcPr>
          <w:p w14:paraId="62F5BE2E">
            <w:pPr>
              <w:jc w:val="center"/>
              <w:rPr>
                <w:rFonts w:hint="eastAsia" w:ascii="宋体" w:hAnsi="宋体" w:eastAsia="宋体" w:cs="宋体"/>
                <w:b/>
                <w:color w:val="auto"/>
                <w:kern w:val="0"/>
                <w:szCs w:val="21"/>
                <w:highlight w:val="none"/>
              </w:rPr>
            </w:pPr>
          </w:p>
        </w:tc>
        <w:tc>
          <w:tcPr>
            <w:tcW w:w="2995" w:type="dxa"/>
            <w:vAlign w:val="center"/>
          </w:tcPr>
          <w:p w14:paraId="615D5B03">
            <w:pPr>
              <w:jc w:val="center"/>
              <w:rPr>
                <w:rFonts w:hint="eastAsia" w:ascii="宋体" w:hAnsi="宋体" w:eastAsia="宋体" w:cs="宋体"/>
                <w:b/>
                <w:color w:val="auto"/>
                <w:kern w:val="0"/>
                <w:szCs w:val="21"/>
                <w:highlight w:val="none"/>
              </w:rPr>
            </w:pPr>
          </w:p>
        </w:tc>
        <w:tc>
          <w:tcPr>
            <w:tcW w:w="1938" w:type="dxa"/>
            <w:vAlign w:val="center"/>
          </w:tcPr>
          <w:p w14:paraId="3660A39D">
            <w:pPr>
              <w:jc w:val="center"/>
              <w:rPr>
                <w:rFonts w:hint="eastAsia" w:ascii="宋体" w:hAnsi="宋体" w:eastAsia="宋体" w:cs="宋体"/>
                <w:b/>
                <w:color w:val="auto"/>
                <w:kern w:val="0"/>
                <w:szCs w:val="21"/>
                <w:highlight w:val="none"/>
              </w:rPr>
            </w:pPr>
          </w:p>
        </w:tc>
      </w:tr>
      <w:tr w14:paraId="55C2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Align w:val="center"/>
          </w:tcPr>
          <w:p w14:paraId="3C24AD43">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541" w:type="dxa"/>
            <w:vAlign w:val="center"/>
          </w:tcPr>
          <w:p w14:paraId="7A9A54FE">
            <w:pPr>
              <w:jc w:val="center"/>
              <w:rPr>
                <w:rFonts w:hint="eastAsia" w:ascii="宋体" w:hAnsi="宋体" w:eastAsia="宋体" w:cs="宋体"/>
                <w:b/>
                <w:color w:val="auto"/>
                <w:kern w:val="0"/>
                <w:szCs w:val="21"/>
                <w:highlight w:val="none"/>
              </w:rPr>
            </w:pPr>
          </w:p>
        </w:tc>
        <w:tc>
          <w:tcPr>
            <w:tcW w:w="2995" w:type="dxa"/>
            <w:vAlign w:val="center"/>
          </w:tcPr>
          <w:p w14:paraId="0AFD719F">
            <w:pPr>
              <w:jc w:val="center"/>
              <w:rPr>
                <w:rFonts w:hint="eastAsia" w:ascii="宋体" w:hAnsi="宋体" w:eastAsia="宋体" w:cs="宋体"/>
                <w:b/>
                <w:color w:val="auto"/>
                <w:kern w:val="0"/>
                <w:szCs w:val="21"/>
                <w:highlight w:val="none"/>
              </w:rPr>
            </w:pPr>
          </w:p>
        </w:tc>
        <w:tc>
          <w:tcPr>
            <w:tcW w:w="1938" w:type="dxa"/>
            <w:vAlign w:val="center"/>
          </w:tcPr>
          <w:p w14:paraId="03A8087F">
            <w:pPr>
              <w:jc w:val="center"/>
              <w:rPr>
                <w:rFonts w:hint="eastAsia" w:ascii="宋体" w:hAnsi="宋体" w:eastAsia="宋体" w:cs="宋体"/>
                <w:b/>
                <w:color w:val="auto"/>
                <w:kern w:val="0"/>
                <w:szCs w:val="21"/>
                <w:highlight w:val="none"/>
              </w:rPr>
            </w:pPr>
          </w:p>
        </w:tc>
      </w:tr>
      <w:tr w14:paraId="01F3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Align w:val="center"/>
          </w:tcPr>
          <w:p w14:paraId="529E3B3D">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3541" w:type="dxa"/>
            <w:vAlign w:val="center"/>
          </w:tcPr>
          <w:p w14:paraId="07738EC0">
            <w:pPr>
              <w:jc w:val="center"/>
              <w:rPr>
                <w:rFonts w:hint="eastAsia" w:ascii="宋体" w:hAnsi="宋体" w:eastAsia="宋体" w:cs="宋体"/>
                <w:b/>
                <w:color w:val="auto"/>
                <w:kern w:val="0"/>
                <w:szCs w:val="21"/>
                <w:highlight w:val="none"/>
              </w:rPr>
            </w:pPr>
          </w:p>
        </w:tc>
        <w:tc>
          <w:tcPr>
            <w:tcW w:w="2995" w:type="dxa"/>
            <w:vAlign w:val="center"/>
          </w:tcPr>
          <w:p w14:paraId="109E0358">
            <w:pPr>
              <w:jc w:val="center"/>
              <w:rPr>
                <w:rFonts w:hint="eastAsia" w:ascii="宋体" w:hAnsi="宋体" w:eastAsia="宋体" w:cs="宋体"/>
                <w:b/>
                <w:color w:val="auto"/>
                <w:kern w:val="0"/>
                <w:szCs w:val="21"/>
                <w:highlight w:val="none"/>
              </w:rPr>
            </w:pPr>
          </w:p>
        </w:tc>
        <w:tc>
          <w:tcPr>
            <w:tcW w:w="1938" w:type="dxa"/>
            <w:vAlign w:val="center"/>
          </w:tcPr>
          <w:p w14:paraId="1394DB44">
            <w:pPr>
              <w:jc w:val="center"/>
              <w:rPr>
                <w:rFonts w:hint="eastAsia" w:ascii="宋体" w:hAnsi="宋体" w:eastAsia="宋体" w:cs="宋体"/>
                <w:b/>
                <w:color w:val="auto"/>
                <w:kern w:val="0"/>
                <w:szCs w:val="21"/>
                <w:highlight w:val="none"/>
              </w:rPr>
            </w:pPr>
          </w:p>
        </w:tc>
      </w:tr>
    </w:tbl>
    <w:p w14:paraId="6CBA1A09">
      <w:pPr>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投标人保证：除商务技术偏离表列出的偏离外，投标人响应招标文件的全部要求</w:t>
      </w:r>
      <w:r>
        <w:rPr>
          <w:rFonts w:hint="eastAsia" w:ascii="宋体" w:hAnsi="宋体" w:eastAsia="宋体" w:cs="宋体"/>
          <w:b/>
          <w:bCs/>
          <w:color w:val="auto"/>
          <w:kern w:val="0"/>
          <w:sz w:val="21"/>
          <w:szCs w:val="21"/>
          <w:highlight w:val="none"/>
          <w:lang w:eastAsia="zh-CN"/>
        </w:rPr>
        <w:t>。</w:t>
      </w:r>
    </w:p>
    <w:p w14:paraId="31FC4817">
      <w:pPr>
        <w:pStyle w:val="5"/>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注：按本格式和要求提供。</w:t>
      </w:r>
    </w:p>
    <w:p w14:paraId="37B38505">
      <w:pPr>
        <w:pStyle w:val="5"/>
        <w:rPr>
          <w:rFonts w:hint="eastAsia" w:ascii="宋体" w:hAnsi="宋体" w:eastAsia="宋体" w:cs="宋体"/>
          <w:color w:val="auto"/>
          <w:highlight w:val="none"/>
          <w:lang w:eastAsia="zh-CN"/>
        </w:rPr>
      </w:pPr>
    </w:p>
    <w:p w14:paraId="28D8992D">
      <w:pPr>
        <w:jc w:val="center"/>
        <w:rPr>
          <w:rFonts w:hint="eastAsia" w:ascii="宋体" w:hAnsi="宋体" w:eastAsia="宋体" w:cs="宋体"/>
          <w:b/>
          <w:color w:val="auto"/>
          <w:kern w:val="0"/>
          <w:sz w:val="32"/>
          <w:szCs w:val="32"/>
          <w:highlight w:val="none"/>
        </w:rPr>
      </w:pPr>
    </w:p>
    <w:p w14:paraId="52B88FF2">
      <w:pPr>
        <w:jc w:val="center"/>
        <w:rPr>
          <w:rFonts w:hint="eastAsia" w:ascii="宋体" w:hAnsi="宋体" w:eastAsia="宋体" w:cs="宋体"/>
          <w:b/>
          <w:color w:val="auto"/>
          <w:kern w:val="0"/>
          <w:sz w:val="32"/>
          <w:szCs w:val="32"/>
          <w:highlight w:val="none"/>
        </w:rPr>
      </w:pPr>
    </w:p>
    <w:p w14:paraId="7EBAF178">
      <w:pPr>
        <w:jc w:val="center"/>
        <w:rPr>
          <w:rFonts w:hint="eastAsia" w:ascii="宋体" w:hAnsi="宋体" w:eastAsia="宋体" w:cs="宋体"/>
          <w:b/>
          <w:color w:val="auto"/>
          <w:kern w:val="0"/>
          <w:sz w:val="32"/>
          <w:szCs w:val="32"/>
          <w:highlight w:val="none"/>
        </w:rPr>
      </w:pPr>
    </w:p>
    <w:p w14:paraId="1113F184">
      <w:pPr>
        <w:jc w:val="center"/>
        <w:rPr>
          <w:rFonts w:hint="eastAsia" w:ascii="宋体" w:hAnsi="宋体" w:eastAsia="宋体" w:cs="宋体"/>
          <w:b/>
          <w:color w:val="auto"/>
          <w:kern w:val="0"/>
          <w:sz w:val="32"/>
          <w:szCs w:val="32"/>
          <w:highlight w:val="none"/>
        </w:rPr>
      </w:pPr>
    </w:p>
    <w:p w14:paraId="6DE1C469">
      <w:pPr>
        <w:jc w:val="center"/>
        <w:rPr>
          <w:rFonts w:hint="eastAsia" w:ascii="宋体" w:hAnsi="宋体" w:eastAsia="宋体" w:cs="宋体"/>
          <w:b/>
          <w:color w:val="auto"/>
          <w:kern w:val="0"/>
          <w:sz w:val="32"/>
          <w:szCs w:val="32"/>
          <w:highlight w:val="none"/>
        </w:rPr>
      </w:pPr>
    </w:p>
    <w:p w14:paraId="16BBA276">
      <w:pPr>
        <w:jc w:val="center"/>
        <w:rPr>
          <w:rFonts w:hint="eastAsia" w:ascii="宋体" w:hAnsi="宋体" w:eastAsia="宋体" w:cs="宋体"/>
          <w:b/>
          <w:color w:val="auto"/>
          <w:kern w:val="0"/>
          <w:sz w:val="32"/>
          <w:szCs w:val="32"/>
          <w:highlight w:val="none"/>
        </w:rPr>
      </w:pPr>
    </w:p>
    <w:p w14:paraId="7DE80290">
      <w:pPr>
        <w:jc w:val="center"/>
        <w:rPr>
          <w:rFonts w:hint="eastAsia" w:ascii="宋体" w:hAnsi="宋体" w:eastAsia="宋体" w:cs="宋体"/>
          <w:b/>
          <w:color w:val="auto"/>
          <w:kern w:val="0"/>
          <w:sz w:val="32"/>
          <w:szCs w:val="32"/>
          <w:highlight w:val="none"/>
        </w:rPr>
      </w:pPr>
    </w:p>
    <w:p w14:paraId="33B2FDD0">
      <w:pPr>
        <w:jc w:val="center"/>
        <w:rPr>
          <w:rFonts w:hint="eastAsia" w:ascii="宋体" w:hAnsi="宋体" w:eastAsia="宋体" w:cs="宋体"/>
          <w:b/>
          <w:color w:val="auto"/>
          <w:kern w:val="0"/>
          <w:sz w:val="32"/>
          <w:szCs w:val="32"/>
          <w:highlight w:val="none"/>
        </w:rPr>
      </w:pPr>
    </w:p>
    <w:p w14:paraId="0DA97A27">
      <w:pPr>
        <w:jc w:val="center"/>
        <w:rPr>
          <w:rFonts w:hint="eastAsia" w:ascii="宋体" w:hAnsi="宋体" w:eastAsia="宋体" w:cs="宋体"/>
          <w:b/>
          <w:color w:val="auto"/>
          <w:kern w:val="0"/>
          <w:sz w:val="32"/>
          <w:szCs w:val="32"/>
          <w:highlight w:val="none"/>
        </w:rPr>
      </w:pPr>
    </w:p>
    <w:p w14:paraId="19FE2DE0">
      <w:pPr>
        <w:jc w:val="center"/>
        <w:rPr>
          <w:rFonts w:hint="eastAsia" w:ascii="宋体" w:hAnsi="宋体" w:eastAsia="宋体" w:cs="宋体"/>
          <w:b/>
          <w:color w:val="auto"/>
          <w:kern w:val="0"/>
          <w:sz w:val="32"/>
          <w:szCs w:val="32"/>
          <w:highlight w:val="none"/>
        </w:rPr>
      </w:pPr>
    </w:p>
    <w:p w14:paraId="00F9475C">
      <w:pPr>
        <w:jc w:val="center"/>
        <w:rPr>
          <w:rFonts w:hint="eastAsia" w:ascii="宋体" w:hAnsi="宋体" w:eastAsia="宋体" w:cs="宋体"/>
          <w:b/>
          <w:color w:val="auto"/>
          <w:kern w:val="0"/>
          <w:sz w:val="32"/>
          <w:szCs w:val="32"/>
          <w:highlight w:val="none"/>
        </w:rPr>
      </w:pPr>
    </w:p>
    <w:p w14:paraId="7DAA366B">
      <w:pPr>
        <w:jc w:val="center"/>
        <w:rPr>
          <w:rFonts w:hint="eastAsia" w:ascii="宋体" w:hAnsi="宋体" w:eastAsia="宋体" w:cs="宋体"/>
          <w:b/>
          <w:color w:val="auto"/>
          <w:kern w:val="0"/>
          <w:sz w:val="32"/>
          <w:szCs w:val="32"/>
          <w:highlight w:val="none"/>
        </w:rPr>
      </w:pPr>
    </w:p>
    <w:p w14:paraId="7CE9CDA7">
      <w:pPr>
        <w:ind w:firstLine="2891" w:firstLineChars="900"/>
        <w:rPr>
          <w:rFonts w:hint="eastAsia" w:ascii="宋体" w:hAnsi="宋体" w:eastAsia="宋体" w:cs="宋体"/>
          <w:b/>
          <w:bCs/>
          <w:color w:val="auto"/>
          <w:sz w:val="32"/>
          <w:szCs w:val="32"/>
          <w:highlight w:val="none"/>
        </w:rPr>
      </w:pPr>
    </w:p>
    <w:p w14:paraId="581DCA72">
      <w:pPr>
        <w:ind w:firstLine="2891" w:firstLineChars="900"/>
        <w:rPr>
          <w:rFonts w:hint="eastAsia" w:ascii="宋体" w:hAnsi="宋体" w:eastAsia="宋体" w:cs="宋体"/>
          <w:b/>
          <w:bCs/>
          <w:color w:val="auto"/>
          <w:sz w:val="32"/>
          <w:szCs w:val="32"/>
          <w:highlight w:val="none"/>
        </w:rPr>
      </w:pPr>
    </w:p>
    <w:p w14:paraId="1BE3BA76">
      <w:pPr>
        <w:ind w:firstLine="2891" w:firstLineChars="900"/>
        <w:rPr>
          <w:rFonts w:hint="eastAsia" w:ascii="宋体" w:hAnsi="宋体" w:eastAsia="宋体" w:cs="宋体"/>
          <w:b/>
          <w:bCs/>
          <w:color w:val="auto"/>
          <w:sz w:val="32"/>
          <w:szCs w:val="32"/>
          <w:highlight w:val="none"/>
        </w:rPr>
      </w:pPr>
    </w:p>
    <w:p w14:paraId="1E382EA7">
      <w:pPr>
        <w:ind w:firstLine="2891" w:firstLineChars="900"/>
        <w:rPr>
          <w:rFonts w:hint="eastAsia" w:ascii="宋体" w:hAnsi="宋体" w:eastAsia="宋体" w:cs="宋体"/>
          <w:b/>
          <w:bCs/>
          <w:color w:val="auto"/>
          <w:sz w:val="32"/>
          <w:szCs w:val="32"/>
          <w:highlight w:val="none"/>
        </w:rPr>
      </w:pPr>
    </w:p>
    <w:p w14:paraId="4F90E876">
      <w:pPr>
        <w:ind w:firstLine="2891" w:firstLineChars="900"/>
        <w:rPr>
          <w:rFonts w:hint="eastAsia" w:ascii="宋体" w:hAnsi="宋体" w:eastAsia="宋体" w:cs="宋体"/>
          <w:b/>
          <w:bCs/>
          <w:color w:val="auto"/>
          <w:sz w:val="32"/>
          <w:szCs w:val="32"/>
          <w:highlight w:val="none"/>
        </w:rPr>
      </w:pPr>
    </w:p>
    <w:p w14:paraId="7F56650C">
      <w:pPr>
        <w:ind w:firstLine="2891" w:firstLineChars="900"/>
        <w:rPr>
          <w:rFonts w:hint="eastAsia" w:ascii="宋体" w:hAnsi="宋体" w:eastAsia="宋体" w:cs="宋体"/>
          <w:b/>
          <w:bCs/>
          <w:color w:val="auto"/>
          <w:sz w:val="32"/>
          <w:szCs w:val="32"/>
          <w:highlight w:val="none"/>
        </w:rPr>
      </w:pPr>
    </w:p>
    <w:p w14:paraId="0B29CCA6">
      <w:pPr>
        <w:widowControl/>
        <w:adjustRightInd/>
        <w:jc w:val="left"/>
        <w:rPr>
          <w:rFonts w:hint="eastAsia" w:ascii="宋体" w:hAnsi="宋体" w:eastAsia="宋体" w:cs="宋体"/>
          <w:b/>
          <w:color w:val="auto"/>
          <w:kern w:val="0"/>
          <w:sz w:val="32"/>
          <w:szCs w:val="32"/>
          <w:highlight w:val="none"/>
        </w:rPr>
      </w:pPr>
    </w:p>
    <w:p w14:paraId="6A1B335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47C0CF1">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八、</w:t>
      </w:r>
      <w:r>
        <w:rPr>
          <w:rFonts w:hint="eastAsia" w:ascii="宋体" w:hAnsi="宋体" w:eastAsia="宋体" w:cs="宋体"/>
          <w:b/>
          <w:color w:val="auto"/>
          <w:kern w:val="0"/>
          <w:sz w:val="28"/>
          <w:szCs w:val="28"/>
          <w:highlight w:val="none"/>
          <w:lang w:val="zh-CN" w:eastAsia="zh-CN"/>
        </w:rPr>
        <w:t>政府采购供应商廉洁自律承诺书</w:t>
      </w:r>
    </w:p>
    <w:p w14:paraId="6C7DC16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316862E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我单位响应你单位项目招标要求参加投标。在这次投标过程中和中标后，我们将严格遵守国家法律法规要求，并郑重承诺：</w:t>
      </w:r>
    </w:p>
    <w:p w14:paraId="2925A75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一、不向项目有关人员及部门赠送礼金礼物、有价证券、回扣以及中介费、介绍费、咨询费等好处费；</w:t>
      </w:r>
    </w:p>
    <w:p w14:paraId="43F5D71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二、不为项目有关人员及部门报销应由你方单位或个人支付的费用；</w:t>
      </w:r>
    </w:p>
    <w:p w14:paraId="221F9CB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三、不向项目有关人员及部门提供有可能影响公正的宴请和健身娱乐等活动；</w:t>
      </w:r>
    </w:p>
    <w:p w14:paraId="78D9F89C">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四、不为项目有关人员及部门出国（境）、旅游等提供方便；</w:t>
      </w:r>
    </w:p>
    <w:p w14:paraId="03645826">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五、不为项目有关人员个人装修住房、婚丧嫁娶、配偶子女工作安排等提供好处；</w:t>
      </w:r>
    </w:p>
    <w:p w14:paraId="205B6A80">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Chars="200" w:right="0" w:rightChars="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lang w:val="zh-CN"/>
        </w:rPr>
        <w:t>严格遵守《</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政府采购法》《</w:t>
      </w:r>
      <w:r>
        <w:rPr>
          <w:rFonts w:hint="eastAsia" w:ascii="宋体" w:hAnsi="宋体" w:eastAsia="宋体" w:cs="宋体"/>
          <w:color w:val="auto"/>
          <w:szCs w:val="21"/>
          <w:highlight w:val="none"/>
          <w:lang w:val="zh-CN"/>
        </w:rPr>
        <w:t>中华人民共和国</w:t>
      </w:r>
      <w:r>
        <w:rPr>
          <w:rFonts w:hint="eastAsia" w:ascii="宋体" w:hAnsi="宋体" w:eastAsia="宋体" w:cs="宋体"/>
          <w:color w:val="auto"/>
          <w:kern w:val="0"/>
          <w:szCs w:val="21"/>
          <w:highlight w:val="none"/>
          <w:lang w:val="zh-CN"/>
        </w:rPr>
        <w:t>招标投标法》</w:t>
      </w:r>
      <w:r>
        <w:rPr>
          <w:rFonts w:hint="eastAsia" w:ascii="宋体" w:hAnsi="宋体" w:eastAsia="宋体" w:cs="宋体"/>
          <w:color w:val="auto"/>
          <w:szCs w:val="21"/>
          <w:highlight w:val="none"/>
          <w:lang w:val="zh-CN"/>
        </w:rPr>
        <w:t>《中华</w:t>
      </w:r>
    </w:p>
    <w:p w14:paraId="262F16CE">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right="0" w:rightChars="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人民共和国民法典》</w:t>
      </w:r>
      <w:r>
        <w:rPr>
          <w:rFonts w:hint="eastAsia" w:ascii="宋体" w:hAnsi="宋体" w:eastAsia="宋体" w:cs="宋体"/>
          <w:color w:val="auto"/>
          <w:kern w:val="0"/>
          <w:szCs w:val="21"/>
          <w:highlight w:val="none"/>
          <w:lang w:val="zh-CN"/>
        </w:rPr>
        <w:t>等法律法规，诚实守信，合法经营，坚决抵制各种违法违纪行为。</w:t>
      </w:r>
    </w:p>
    <w:p w14:paraId="2EE09EE2">
      <w:pPr>
        <w:keepNext w:val="0"/>
        <w:keepLines w:val="0"/>
        <w:pageBreakBefore w:val="0"/>
        <w:widowControl w:val="0"/>
        <w:kinsoku/>
        <w:wordWrap w:val="0"/>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如违反上述承诺，你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Cs w:val="21"/>
          <w:highlight w:val="none"/>
        </w:rPr>
        <w:t>单位</w:t>
      </w:r>
      <w:r>
        <w:rPr>
          <w:rFonts w:hint="eastAsia" w:ascii="宋体" w:hAnsi="宋体" w:eastAsia="宋体" w:cs="宋体"/>
          <w:color w:val="auto"/>
          <w:kern w:val="0"/>
          <w:szCs w:val="21"/>
          <w:highlight w:val="none"/>
          <w:lang w:val="zh-CN"/>
        </w:rPr>
        <w:t>进行项目建设或其他经营活动，并通报市财政局。由此引起的相应损失均由我单位承担。</w:t>
      </w:r>
    </w:p>
    <w:p w14:paraId="0A10800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宋体" w:hAnsi="宋体" w:eastAsia="宋体" w:cs="宋体"/>
          <w:color w:val="auto"/>
          <w:kern w:val="0"/>
          <w:szCs w:val="21"/>
          <w:highlight w:val="none"/>
          <w:lang w:val="zh-CN"/>
        </w:rPr>
      </w:pPr>
    </w:p>
    <w:p w14:paraId="39123F1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620" w:firstLineChars="2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投标人名称（</w:t>
      </w:r>
      <w:r>
        <w:rPr>
          <w:rFonts w:hint="eastAsia" w:ascii="宋体" w:hAnsi="宋体" w:eastAsia="宋体" w:cs="宋体"/>
          <w:color w:val="auto"/>
          <w:szCs w:val="21"/>
          <w:highlight w:val="none"/>
        </w:rPr>
        <w:t>电子签名</w:t>
      </w:r>
      <w:r>
        <w:rPr>
          <w:rFonts w:hint="eastAsia" w:ascii="宋体" w:hAnsi="宋体" w:eastAsia="宋体" w:cs="宋体"/>
          <w:color w:val="auto"/>
          <w:kern w:val="0"/>
          <w:szCs w:val="21"/>
          <w:highlight w:val="none"/>
          <w:lang w:val="zh-CN"/>
        </w:rPr>
        <w:t>）：</w:t>
      </w:r>
    </w:p>
    <w:p w14:paraId="28FBA012">
      <w:pPr>
        <w:keepNext w:val="0"/>
        <w:keepLines w:val="0"/>
        <w:pageBreakBefore w:val="0"/>
        <w:widowControl w:val="0"/>
        <w:kinsoku/>
        <w:wordWrap/>
        <w:overflowPunct/>
        <w:topLinePunct w:val="0"/>
        <w:bidi w:val="0"/>
        <w:adjustRightInd w:val="0"/>
        <w:snapToGrid/>
        <w:spacing w:line="360" w:lineRule="auto"/>
        <w:ind w:left="0" w:leftChars="0" w:right="0" w:firstLine="4620" w:firstLineChars="2200"/>
        <w:textAlignment w:val="auto"/>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zh-CN"/>
        </w:rPr>
        <w:t>日期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 xml:space="preserve">   年   月   日</w:t>
      </w:r>
    </w:p>
    <w:p w14:paraId="42E6B88D">
      <w:pPr>
        <w:spacing w:line="360" w:lineRule="auto"/>
        <w:jc w:val="center"/>
        <w:rPr>
          <w:rFonts w:hint="eastAsia" w:ascii="宋体" w:hAnsi="宋体" w:eastAsia="宋体" w:cs="宋体"/>
          <w:b/>
          <w:bCs/>
          <w:color w:val="auto"/>
          <w:sz w:val="24"/>
          <w:highlight w:val="none"/>
        </w:rPr>
      </w:pPr>
    </w:p>
    <w:p w14:paraId="0488B6B6">
      <w:pPr>
        <w:pStyle w:val="5"/>
        <w:rPr>
          <w:rFonts w:hint="eastAsia" w:ascii="宋体" w:hAnsi="宋体" w:eastAsia="宋体" w:cs="宋体"/>
          <w:b/>
          <w:bCs/>
          <w:color w:val="auto"/>
          <w:sz w:val="24"/>
          <w:highlight w:val="none"/>
        </w:rPr>
      </w:pPr>
    </w:p>
    <w:p w14:paraId="685B5EB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注：按本格式和要求提供。</w:t>
      </w:r>
    </w:p>
    <w:p w14:paraId="7D44B674">
      <w:pPr>
        <w:spacing w:line="360" w:lineRule="auto"/>
        <w:jc w:val="center"/>
        <w:rPr>
          <w:rFonts w:hint="eastAsia" w:ascii="宋体" w:hAnsi="宋体" w:eastAsia="宋体" w:cs="宋体"/>
          <w:b/>
          <w:bCs/>
          <w:color w:val="auto"/>
          <w:sz w:val="24"/>
          <w:highlight w:val="none"/>
        </w:rPr>
        <w:sectPr>
          <w:pgSz w:w="11905" w:h="16838"/>
          <w:pgMar w:top="1440" w:right="1080" w:bottom="1440" w:left="1080" w:header="851" w:footer="992" w:gutter="283"/>
          <w:pgBorders>
            <w:top w:val="none" w:sz="0" w:space="0"/>
            <w:left w:val="none" w:sz="0" w:space="0"/>
            <w:bottom w:val="none" w:sz="0" w:space="0"/>
            <w:right w:val="none" w:sz="0" w:space="0"/>
          </w:pgBorders>
          <w:cols w:space="0" w:num="1"/>
          <w:titlePg/>
          <w:rtlGutter w:val="0"/>
          <w:docGrid w:linePitch="312" w:charSpace="0"/>
        </w:sectPr>
      </w:pPr>
    </w:p>
    <w:p w14:paraId="0F6690ED">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报价文件部分</w:t>
      </w:r>
    </w:p>
    <w:p w14:paraId="4ED2CEB1">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E7848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开标一览表（报价表）………………………………………………………（页码）</w:t>
      </w:r>
    </w:p>
    <w:p w14:paraId="06EF87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(2)报价明细表</w:t>
      </w:r>
      <w:r>
        <w:rPr>
          <w:rFonts w:hint="eastAsia" w:ascii="宋体" w:hAnsi="宋体" w:eastAsia="宋体" w:cs="宋体"/>
          <w:color w:val="auto"/>
          <w:szCs w:val="21"/>
          <w:highlight w:val="none"/>
        </w:rPr>
        <w:t>……………………………………………………………………（页码）</w:t>
      </w:r>
    </w:p>
    <w:p w14:paraId="5B075E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(3)报价情况说明（如果有）</w:t>
      </w:r>
      <w:r>
        <w:rPr>
          <w:rFonts w:hint="eastAsia" w:ascii="宋体" w:hAnsi="宋体" w:eastAsia="宋体" w:cs="宋体"/>
          <w:color w:val="auto"/>
          <w:szCs w:val="21"/>
          <w:highlight w:val="none"/>
        </w:rPr>
        <w:t>……………………………………………………（页码）</w:t>
      </w:r>
    </w:p>
    <w:p w14:paraId="01FDB2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中小企业声明函………………………………………………………………（页码）</w:t>
      </w:r>
    </w:p>
    <w:p w14:paraId="7DB2F7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rPr>
        <w:sectPr>
          <w:headerReference r:id="rId13" w:type="first"/>
          <w:footerReference r:id="rId15" w:type="first"/>
          <w:headerReference r:id="rId12" w:type="default"/>
          <w:footerReference r:id="rId14" w:type="default"/>
          <w:pgSz w:w="11905" w:h="16838"/>
          <w:pgMar w:top="1440" w:right="1080" w:bottom="1440" w:left="1080" w:header="851" w:footer="992" w:gutter="283"/>
          <w:pgBorders>
            <w:top w:val="none" w:sz="0" w:space="0"/>
            <w:left w:val="none" w:sz="0" w:space="0"/>
            <w:bottom w:val="none" w:sz="0" w:space="0"/>
            <w:right w:val="none" w:sz="0" w:space="0"/>
          </w:pgBorders>
          <w:cols w:space="0" w:num="1"/>
          <w:titlePg/>
          <w:rtlGutter w:val="0"/>
          <w:docGrid w:linePitch="312" w:charSpace="0"/>
        </w:sectPr>
      </w:pPr>
    </w:p>
    <w:p w14:paraId="2980176E">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63F44C0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（采购人）、（采购代理机构）：</w:t>
      </w:r>
    </w:p>
    <w:p w14:paraId="5969C1C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Cs w:val="21"/>
          <w:highlight w:val="none"/>
        </w:rPr>
        <w:t>（项目名称）</w:t>
      </w:r>
      <w:r>
        <w:rPr>
          <w:rFonts w:hint="eastAsia" w:ascii="宋体" w:hAnsi="宋体" w:eastAsia="宋体" w:cs="宋体"/>
          <w:color w:val="auto"/>
          <w:kern w:val="0"/>
          <w:szCs w:val="21"/>
          <w:highlight w:val="none"/>
          <w:lang w:val="zh-CN"/>
        </w:rPr>
        <w:t>【招标编号：</w:t>
      </w:r>
      <w:r>
        <w:rPr>
          <w:rFonts w:hint="eastAsia" w:ascii="宋体" w:hAnsi="宋体" w:eastAsia="宋体" w:cs="宋体"/>
          <w:color w:val="auto"/>
          <w:szCs w:val="21"/>
          <w:highlight w:val="none"/>
        </w:rPr>
        <w:t>（采购编号）】的实施</w:t>
      </w:r>
      <w:r>
        <w:rPr>
          <w:rFonts w:hint="eastAsia" w:ascii="宋体" w:hAnsi="宋体" w:eastAsia="宋体" w:cs="宋体"/>
          <w:color w:val="auto"/>
          <w:kern w:val="0"/>
          <w:szCs w:val="21"/>
          <w:highlight w:val="none"/>
          <w:lang w:val="zh-CN"/>
        </w:rPr>
        <w:t>。</w:t>
      </w:r>
    </w:p>
    <w:p w14:paraId="79DEB8B6">
      <w:pPr>
        <w:spacing w:line="360" w:lineRule="auto"/>
        <w:jc w:val="center"/>
        <w:rPr>
          <w:rFonts w:hint="eastAsia" w:ascii="宋体" w:hAnsi="宋体" w:eastAsia="宋体" w:cs="宋体"/>
          <w:b w:val="0"/>
          <w:bCs/>
          <w:color w:val="auto"/>
          <w:kern w:val="0"/>
          <w:szCs w:val="21"/>
          <w:highlight w:val="none"/>
          <w:lang w:val="zh-CN"/>
        </w:rPr>
      </w:pPr>
      <w:r>
        <w:rPr>
          <w:rFonts w:hint="eastAsia" w:ascii="宋体" w:hAnsi="宋体" w:eastAsia="宋体" w:cs="宋体"/>
          <w:b w:val="0"/>
          <w:bCs/>
          <w:color w:val="auto"/>
          <w:kern w:val="0"/>
          <w:szCs w:val="21"/>
          <w:highlight w:val="none"/>
          <w:lang w:val="zh-CN"/>
        </w:rPr>
        <w:t>开标一览表（报价表）(单位均为人民币元)</w:t>
      </w:r>
    </w:p>
    <w:p w14:paraId="220465DD">
      <w:pPr>
        <w:spacing w:line="360" w:lineRule="auto"/>
        <w:jc w:val="both"/>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标项名称：</w:t>
      </w:r>
    </w:p>
    <w:tbl>
      <w:tblPr>
        <w:tblStyle w:val="65"/>
        <w:tblW w:w="14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3262"/>
        <w:gridCol w:w="1353"/>
        <w:gridCol w:w="1330"/>
        <w:gridCol w:w="1620"/>
        <w:gridCol w:w="1556"/>
        <w:gridCol w:w="1130"/>
        <w:gridCol w:w="1370"/>
        <w:gridCol w:w="1692"/>
      </w:tblGrid>
      <w:tr w14:paraId="3723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334" w:type="dxa"/>
            <w:vAlign w:val="center"/>
          </w:tcPr>
          <w:p w14:paraId="09EB2C7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3262" w:type="dxa"/>
            <w:vAlign w:val="center"/>
          </w:tcPr>
          <w:p w14:paraId="268F730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产品名称（采购标的）</w:t>
            </w:r>
          </w:p>
        </w:tc>
        <w:tc>
          <w:tcPr>
            <w:tcW w:w="1353" w:type="dxa"/>
            <w:vAlign w:val="center"/>
          </w:tcPr>
          <w:p w14:paraId="23E268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产品品牌</w:t>
            </w:r>
          </w:p>
          <w:p w14:paraId="2B8CAD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（如有）</w:t>
            </w:r>
          </w:p>
        </w:tc>
        <w:tc>
          <w:tcPr>
            <w:tcW w:w="1330" w:type="dxa"/>
            <w:vAlign w:val="center"/>
          </w:tcPr>
          <w:p w14:paraId="70237B1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产品型号（如有）</w:t>
            </w:r>
          </w:p>
        </w:tc>
        <w:tc>
          <w:tcPr>
            <w:tcW w:w="1620" w:type="dxa"/>
            <w:vAlign w:val="center"/>
          </w:tcPr>
          <w:p w14:paraId="2336D65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数量</w:t>
            </w:r>
          </w:p>
        </w:tc>
        <w:tc>
          <w:tcPr>
            <w:tcW w:w="1556" w:type="dxa"/>
            <w:vAlign w:val="center"/>
          </w:tcPr>
          <w:p w14:paraId="6B74D7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单价（元）</w:t>
            </w:r>
          </w:p>
        </w:tc>
        <w:tc>
          <w:tcPr>
            <w:tcW w:w="1130" w:type="dxa"/>
            <w:vAlign w:val="center"/>
          </w:tcPr>
          <w:p w14:paraId="0617782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小计（元）</w:t>
            </w:r>
          </w:p>
        </w:tc>
        <w:tc>
          <w:tcPr>
            <w:tcW w:w="1370" w:type="dxa"/>
            <w:vAlign w:val="center"/>
          </w:tcPr>
          <w:p w14:paraId="095CDF6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质保期（年）</w:t>
            </w:r>
          </w:p>
        </w:tc>
        <w:tc>
          <w:tcPr>
            <w:tcW w:w="1692" w:type="dxa"/>
            <w:vAlign w:val="center"/>
          </w:tcPr>
          <w:p w14:paraId="071636D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备注（如有）</w:t>
            </w:r>
          </w:p>
        </w:tc>
      </w:tr>
      <w:tr w14:paraId="5674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34" w:type="dxa"/>
            <w:vAlign w:val="center"/>
          </w:tcPr>
          <w:p w14:paraId="5E3E83C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62" w:type="dxa"/>
            <w:vAlign w:val="center"/>
          </w:tcPr>
          <w:p w14:paraId="446BF2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53" w:type="dxa"/>
            <w:vAlign w:val="center"/>
          </w:tcPr>
          <w:p w14:paraId="59A459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30" w:type="dxa"/>
            <w:vAlign w:val="center"/>
          </w:tcPr>
          <w:p w14:paraId="069538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620" w:type="dxa"/>
            <w:vAlign w:val="center"/>
          </w:tcPr>
          <w:p w14:paraId="213BC4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556" w:type="dxa"/>
            <w:vAlign w:val="center"/>
          </w:tcPr>
          <w:p w14:paraId="1A6F10F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130" w:type="dxa"/>
            <w:vAlign w:val="center"/>
          </w:tcPr>
          <w:p w14:paraId="699F6A6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370" w:type="dxa"/>
            <w:vAlign w:val="center"/>
          </w:tcPr>
          <w:p w14:paraId="7B3CF2B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692" w:type="dxa"/>
            <w:vAlign w:val="center"/>
          </w:tcPr>
          <w:p w14:paraId="4CB09FD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r>
      <w:tr w14:paraId="7AD9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4" w:type="dxa"/>
            <w:vAlign w:val="center"/>
          </w:tcPr>
          <w:p w14:paraId="0E1E585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62" w:type="dxa"/>
            <w:vAlign w:val="center"/>
          </w:tcPr>
          <w:p w14:paraId="610B14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53" w:type="dxa"/>
            <w:vAlign w:val="center"/>
          </w:tcPr>
          <w:p w14:paraId="3F107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30" w:type="dxa"/>
            <w:vAlign w:val="center"/>
          </w:tcPr>
          <w:p w14:paraId="3AD1F0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620" w:type="dxa"/>
            <w:vAlign w:val="center"/>
          </w:tcPr>
          <w:p w14:paraId="238D6F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556" w:type="dxa"/>
            <w:vAlign w:val="center"/>
          </w:tcPr>
          <w:p w14:paraId="5225D90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130" w:type="dxa"/>
            <w:vAlign w:val="center"/>
          </w:tcPr>
          <w:p w14:paraId="7F36715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370" w:type="dxa"/>
            <w:vAlign w:val="center"/>
          </w:tcPr>
          <w:p w14:paraId="6D889A2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692" w:type="dxa"/>
            <w:vAlign w:val="center"/>
          </w:tcPr>
          <w:p w14:paraId="499EFE7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r>
      <w:tr w14:paraId="7F3B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4" w:type="dxa"/>
            <w:vAlign w:val="center"/>
          </w:tcPr>
          <w:p w14:paraId="2649F79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62" w:type="dxa"/>
            <w:vAlign w:val="center"/>
          </w:tcPr>
          <w:p w14:paraId="3B090A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53" w:type="dxa"/>
            <w:vAlign w:val="center"/>
          </w:tcPr>
          <w:p w14:paraId="28AA34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30" w:type="dxa"/>
            <w:vAlign w:val="center"/>
          </w:tcPr>
          <w:p w14:paraId="552801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620" w:type="dxa"/>
            <w:vAlign w:val="center"/>
          </w:tcPr>
          <w:p w14:paraId="35AC92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556" w:type="dxa"/>
            <w:vAlign w:val="center"/>
          </w:tcPr>
          <w:p w14:paraId="5D282A5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130" w:type="dxa"/>
            <w:vAlign w:val="center"/>
          </w:tcPr>
          <w:p w14:paraId="506D645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370" w:type="dxa"/>
            <w:vAlign w:val="center"/>
          </w:tcPr>
          <w:p w14:paraId="156E75A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692" w:type="dxa"/>
            <w:vAlign w:val="center"/>
          </w:tcPr>
          <w:p w14:paraId="2EB0145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r>
      <w:tr w14:paraId="11D4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4" w:type="dxa"/>
            <w:vAlign w:val="center"/>
          </w:tcPr>
          <w:p w14:paraId="394FA43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3262" w:type="dxa"/>
            <w:vAlign w:val="center"/>
          </w:tcPr>
          <w:p w14:paraId="5ED0F9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53" w:type="dxa"/>
            <w:vAlign w:val="center"/>
          </w:tcPr>
          <w:p w14:paraId="6C1717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30" w:type="dxa"/>
            <w:vAlign w:val="center"/>
          </w:tcPr>
          <w:p w14:paraId="2E676A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620" w:type="dxa"/>
            <w:vAlign w:val="center"/>
          </w:tcPr>
          <w:p w14:paraId="512862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556" w:type="dxa"/>
            <w:vAlign w:val="center"/>
          </w:tcPr>
          <w:p w14:paraId="7A585FC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130" w:type="dxa"/>
            <w:vAlign w:val="center"/>
          </w:tcPr>
          <w:p w14:paraId="3EAB6AC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370" w:type="dxa"/>
            <w:vAlign w:val="center"/>
          </w:tcPr>
          <w:p w14:paraId="1417389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692" w:type="dxa"/>
            <w:vAlign w:val="center"/>
          </w:tcPr>
          <w:p w14:paraId="5FD4D3F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r>
      <w:tr w14:paraId="17BB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4" w:type="dxa"/>
            <w:vAlign w:val="center"/>
          </w:tcPr>
          <w:p w14:paraId="37449A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3262" w:type="dxa"/>
            <w:vAlign w:val="center"/>
          </w:tcPr>
          <w:p w14:paraId="384BAE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53" w:type="dxa"/>
            <w:vAlign w:val="center"/>
          </w:tcPr>
          <w:p w14:paraId="707910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330" w:type="dxa"/>
            <w:vAlign w:val="center"/>
          </w:tcPr>
          <w:p w14:paraId="7137BA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620" w:type="dxa"/>
            <w:vAlign w:val="center"/>
          </w:tcPr>
          <w:p w14:paraId="7C743A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1556" w:type="dxa"/>
            <w:vAlign w:val="center"/>
          </w:tcPr>
          <w:p w14:paraId="00B3440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130" w:type="dxa"/>
            <w:vAlign w:val="center"/>
          </w:tcPr>
          <w:p w14:paraId="5D1E44C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370" w:type="dxa"/>
            <w:vAlign w:val="center"/>
          </w:tcPr>
          <w:p w14:paraId="249BA8F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692" w:type="dxa"/>
            <w:vAlign w:val="center"/>
          </w:tcPr>
          <w:p w14:paraId="17AC884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r>
      <w:tr w14:paraId="731A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9" w:type="dxa"/>
            <w:gridSpan w:val="4"/>
            <w:vAlign w:val="center"/>
          </w:tcPr>
          <w:p w14:paraId="3C73010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投标报价（小写）</w:t>
            </w:r>
          </w:p>
        </w:tc>
        <w:tc>
          <w:tcPr>
            <w:tcW w:w="7368" w:type="dxa"/>
            <w:gridSpan w:val="5"/>
            <w:vAlign w:val="center"/>
          </w:tcPr>
          <w:p w14:paraId="3F86BA9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r>
      <w:tr w14:paraId="10FC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9" w:type="dxa"/>
            <w:gridSpan w:val="4"/>
            <w:vAlign w:val="center"/>
          </w:tcPr>
          <w:p w14:paraId="744A428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投标报价（大写）</w:t>
            </w:r>
          </w:p>
        </w:tc>
        <w:tc>
          <w:tcPr>
            <w:tcW w:w="7368" w:type="dxa"/>
            <w:gridSpan w:val="5"/>
            <w:vAlign w:val="center"/>
          </w:tcPr>
          <w:p w14:paraId="10E1CD9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color w:val="auto"/>
                <w:sz w:val="21"/>
                <w:szCs w:val="21"/>
                <w:highlight w:val="none"/>
              </w:rPr>
            </w:pPr>
          </w:p>
        </w:tc>
      </w:tr>
    </w:tbl>
    <w:p w14:paraId="7587AE05">
      <w:pPr>
        <w:snapToGrid w:val="0"/>
        <w:spacing w:line="360" w:lineRule="auto"/>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注：</w:t>
      </w:r>
    </w:p>
    <w:p w14:paraId="1A9938C7">
      <w:pPr>
        <w:keepNext w:val="0"/>
        <w:keepLines w:val="0"/>
        <w:pageBreakBefore w:val="0"/>
        <w:widowControl w:val="0"/>
        <w:kinsoku/>
        <w:wordWrap/>
        <w:overflowPunct/>
        <w:topLinePunct w:val="0"/>
        <w:autoSpaceDE/>
        <w:autoSpaceDN/>
        <w:bidi w:val="0"/>
        <w:adjustRightInd w:val="0"/>
        <w:spacing w:line="360" w:lineRule="auto"/>
        <w:ind w:left="0" w:leftChars="0" w:firstLine="630" w:firstLineChars="3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1、投标人需按本表格式填写，</w:t>
      </w:r>
      <w:r>
        <w:rPr>
          <w:rFonts w:hint="eastAsia" w:ascii="宋体" w:hAnsi="宋体" w:eastAsia="宋体" w:cs="宋体"/>
          <w:b/>
          <w:bCs/>
          <w:color w:val="auto"/>
          <w:kern w:val="0"/>
          <w:szCs w:val="21"/>
          <w:highlight w:val="none"/>
          <w:lang w:val="zh-CN"/>
        </w:rPr>
        <w:t>否则视为投标文件含有采购人不能接受的附加条件，投标无效。</w:t>
      </w:r>
    </w:p>
    <w:p w14:paraId="1D32C74D">
      <w:pPr>
        <w:keepNext w:val="0"/>
        <w:keepLines w:val="0"/>
        <w:pageBreakBefore w:val="0"/>
        <w:widowControl w:val="0"/>
        <w:kinsoku/>
        <w:wordWrap/>
        <w:overflowPunct/>
        <w:topLinePunct w:val="0"/>
        <w:autoSpaceDE/>
        <w:autoSpaceDN/>
        <w:bidi w:val="0"/>
        <w:adjustRightInd w:val="0"/>
        <w:spacing w:line="360" w:lineRule="auto"/>
        <w:ind w:left="0" w:leftChars="0" w:firstLine="630" w:firstLineChars="3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2、有关本项目实施所涉及的一切费用均计入报价。</w:t>
      </w:r>
      <w:r>
        <w:rPr>
          <w:rFonts w:hint="eastAsia" w:ascii="宋体" w:hAnsi="宋体" w:eastAsia="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不得出现“0元”“免费赠送”等形式的无偿报价，</w:t>
      </w:r>
      <w:r>
        <w:rPr>
          <w:rFonts w:hint="eastAsia" w:ascii="宋体" w:hAnsi="宋体" w:eastAsia="宋体" w:cs="宋体"/>
          <w:b/>
          <w:color w:val="auto"/>
          <w:kern w:val="0"/>
          <w:szCs w:val="21"/>
          <w:highlight w:val="none"/>
        </w:rPr>
        <w:t>否则视为</w:t>
      </w:r>
      <w:r>
        <w:rPr>
          <w:rFonts w:hint="eastAsia" w:ascii="宋体" w:hAnsi="宋体" w:eastAsia="宋体" w:cs="宋体"/>
          <w:b/>
          <w:color w:val="auto"/>
          <w:szCs w:val="21"/>
          <w:highlight w:val="none"/>
        </w:rPr>
        <w:t>投标文件含有采购人不能接受的附加条件的，投标无效</w:t>
      </w:r>
      <w:r>
        <w:rPr>
          <w:rFonts w:hint="eastAsia" w:ascii="宋体" w:hAnsi="宋体" w:eastAsia="宋体" w:cs="宋体"/>
          <w:b/>
          <w:color w:val="auto"/>
          <w:kern w:val="0"/>
          <w:szCs w:val="21"/>
          <w:highlight w:val="none"/>
          <w:lang w:val="zh-CN"/>
        </w:rPr>
        <w:t>。采购内容未包含在《开标一览表（报价表）》名称栏中，投标人不能作出合理解释的，视为投标文件含有采购人不能接受的附加条件的，投标无效。</w:t>
      </w:r>
    </w:p>
    <w:p w14:paraId="551E7FB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、特别提示：采购</w:t>
      </w:r>
      <w:r>
        <w:rPr>
          <w:rFonts w:hint="eastAsia" w:ascii="宋体" w:hAnsi="宋体" w:eastAsia="宋体" w:cs="宋体"/>
          <w:color w:val="auto"/>
          <w:kern w:val="0"/>
          <w:szCs w:val="21"/>
          <w:highlight w:val="none"/>
          <w:lang w:val="en-US" w:eastAsia="zh-CN"/>
        </w:rPr>
        <w:t>代理</w:t>
      </w:r>
      <w:r>
        <w:rPr>
          <w:rFonts w:hint="eastAsia" w:ascii="宋体" w:hAnsi="宋体" w:eastAsia="宋体" w:cs="宋体"/>
          <w:color w:val="auto"/>
          <w:kern w:val="0"/>
          <w:szCs w:val="21"/>
          <w:highlight w:val="none"/>
          <w:lang w:val="zh-CN"/>
        </w:rPr>
        <w:t>机构将对项目名称和项目编号，中标供应商名称、地址和中标金额，主要中标标的名称、服务范围、服务要求、服务时间、服务标准等予以公示。</w:t>
      </w:r>
    </w:p>
    <w:p w14:paraId="7D956A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jc w:val="left"/>
        <w:textAlignment w:val="auto"/>
        <w:rPr>
          <w:rFonts w:hint="eastAsia" w:ascii="宋体" w:hAnsi="宋体" w:eastAsia="宋体" w:cs="宋体"/>
          <w:color w:val="auto"/>
          <w:kern w:val="0"/>
          <w:szCs w:val="21"/>
          <w:highlight w:val="none"/>
          <w:lang w:val="zh-CN"/>
        </w:rPr>
        <w:sectPr>
          <w:pgSz w:w="16838" w:h="11905" w:orient="landscape"/>
          <w:pgMar w:top="1440" w:right="1080" w:bottom="1440" w:left="1080" w:header="851" w:footer="992" w:gutter="283"/>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968C61">
      <w:pPr>
        <w:pStyle w:val="696"/>
        <w:keepNext w:val="0"/>
        <w:pageBreakBefore w:val="0"/>
        <w:tabs>
          <w:tab w:val="clear" w:pos="720"/>
        </w:tabs>
        <w:snapToGrid w:val="0"/>
        <w:spacing w:before="319" w:beforeLines="100" w:after="319" w:afterLines="100" w:line="240" w:lineRule="auto"/>
        <w:outlineLvl w:val="9"/>
        <w:rPr>
          <w:rFonts w:hint="default"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二、报价明细表</w:t>
      </w:r>
    </w:p>
    <w:tbl>
      <w:tblPr>
        <w:tblStyle w:val="65"/>
        <w:tblW w:w="489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60"/>
        <w:gridCol w:w="1218"/>
        <w:gridCol w:w="3411"/>
        <w:gridCol w:w="817"/>
        <w:gridCol w:w="775"/>
        <w:gridCol w:w="1155"/>
        <w:gridCol w:w="1144"/>
      </w:tblGrid>
      <w:tr w14:paraId="5E8BD9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27EDF9F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642" w:type="pct"/>
            <w:tcBorders>
              <w:tl2br w:val="nil"/>
              <w:tr2bl w:val="nil"/>
            </w:tcBorders>
            <w:shd w:val="clear" w:color="auto" w:fill="auto"/>
            <w:noWrap/>
            <w:vAlign w:val="center"/>
          </w:tcPr>
          <w:p w14:paraId="5D6003E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1799" w:type="pct"/>
            <w:tcBorders>
              <w:tl2br w:val="nil"/>
              <w:tr2bl w:val="nil"/>
            </w:tcBorders>
            <w:shd w:val="clear" w:color="auto" w:fill="auto"/>
            <w:noWrap/>
            <w:vAlign w:val="center"/>
          </w:tcPr>
          <w:p w14:paraId="2B94605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规格配置</w:t>
            </w:r>
          </w:p>
        </w:tc>
        <w:tc>
          <w:tcPr>
            <w:tcW w:w="430" w:type="pct"/>
            <w:tcBorders>
              <w:tl2br w:val="nil"/>
              <w:tr2bl w:val="nil"/>
            </w:tcBorders>
            <w:shd w:val="clear" w:color="auto" w:fill="auto"/>
            <w:noWrap/>
            <w:vAlign w:val="center"/>
          </w:tcPr>
          <w:p w14:paraId="116B29A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08" w:type="pct"/>
            <w:tcBorders>
              <w:tl2br w:val="nil"/>
              <w:tr2bl w:val="nil"/>
            </w:tcBorders>
            <w:shd w:val="clear" w:color="auto" w:fill="auto"/>
            <w:noWrap/>
            <w:vAlign w:val="center"/>
          </w:tcPr>
          <w:p w14:paraId="3806BD6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09" w:type="pct"/>
            <w:tcBorders>
              <w:tl2br w:val="nil"/>
              <w:tr2bl w:val="nil"/>
            </w:tcBorders>
            <w:shd w:val="clear" w:color="auto" w:fill="auto"/>
            <w:noWrap/>
            <w:vAlign w:val="center"/>
          </w:tcPr>
          <w:p w14:paraId="18F703E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单价（元）</w:t>
            </w:r>
          </w:p>
        </w:tc>
        <w:tc>
          <w:tcPr>
            <w:tcW w:w="603" w:type="pct"/>
            <w:tcBorders>
              <w:tl2br w:val="nil"/>
              <w:tr2bl w:val="nil"/>
            </w:tcBorders>
            <w:shd w:val="clear" w:color="auto" w:fill="auto"/>
            <w:noWrap/>
            <w:vAlign w:val="center"/>
          </w:tcPr>
          <w:p w14:paraId="15A37A7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合价（元）</w:t>
            </w:r>
          </w:p>
        </w:tc>
      </w:tr>
      <w:tr w14:paraId="195EF6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6510A70A">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一、便民服务中心大厅</w:t>
            </w:r>
          </w:p>
        </w:tc>
      </w:tr>
      <w:tr w14:paraId="4F9C12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0FE9DA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36FF2A1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CA7C27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330C52A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68E35BA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5E0C0BF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0F10AD8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F79C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05E1343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vAlign w:val="center"/>
          </w:tcPr>
          <w:p w14:paraId="223E5EF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EBBBC2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12073F3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7DE512C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47793E4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4117FE0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E61A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6D70D42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vAlign w:val="center"/>
          </w:tcPr>
          <w:p w14:paraId="33FA4CA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0C4C08D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09ACD80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2954C6A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321BBF9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4DD093D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1A98B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3790C55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vAlign w:val="center"/>
          </w:tcPr>
          <w:p w14:paraId="176855F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1C13E15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11BD645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AFD087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0CFDD83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3AAF2E3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DE15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3BCABEF6">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二、拍照间</w:t>
            </w:r>
          </w:p>
        </w:tc>
      </w:tr>
      <w:tr w14:paraId="065A6D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49FEF71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noWrap/>
            <w:vAlign w:val="center"/>
          </w:tcPr>
          <w:p w14:paraId="1C6A0FC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AB8169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3997965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4DCC446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06BAFBB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12F349C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C822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05D0A35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noWrap/>
            <w:vAlign w:val="center"/>
          </w:tcPr>
          <w:p w14:paraId="76A9B53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A3D634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2D5CB33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6C4FC9B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0F9F5AF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0B63997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9693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F89E89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noWrap/>
            <w:vAlign w:val="center"/>
          </w:tcPr>
          <w:p w14:paraId="11F3C24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3E3F1E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2E27816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77F73C4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1799F31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5255A77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901C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483C86B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noWrap/>
            <w:vAlign w:val="center"/>
          </w:tcPr>
          <w:p w14:paraId="48A7930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noWrap/>
            <w:vAlign w:val="center"/>
          </w:tcPr>
          <w:p w14:paraId="4283EC3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2EAACA5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B89F0D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13E1322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748E0B9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F4A8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49041BAE">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三、人力资源大厅</w:t>
            </w:r>
          </w:p>
        </w:tc>
      </w:tr>
      <w:tr w14:paraId="5768D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506" w:type="pct"/>
            <w:tcBorders>
              <w:tl2br w:val="nil"/>
              <w:tr2bl w:val="nil"/>
            </w:tcBorders>
            <w:shd w:val="clear" w:color="auto" w:fill="auto"/>
            <w:noWrap/>
            <w:vAlign w:val="center"/>
          </w:tcPr>
          <w:p w14:paraId="3890101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noWrap/>
            <w:vAlign w:val="center"/>
          </w:tcPr>
          <w:p w14:paraId="40EF426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033EF85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57B2883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0498056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64DE4B8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2D8D816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4E5C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23CF29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noWrap/>
            <w:vAlign w:val="center"/>
          </w:tcPr>
          <w:p w14:paraId="7DF5374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7C23DB9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4C4CCEB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43B1DEF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0870E54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1C0D204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65EF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9FE424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noWrap/>
            <w:vAlign w:val="center"/>
          </w:tcPr>
          <w:p w14:paraId="20A4E3F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15D2D818">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776C7FE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19272BA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1A22942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733026D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50CD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0ADCAF2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noWrap/>
            <w:vAlign w:val="center"/>
          </w:tcPr>
          <w:p w14:paraId="28684A3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6F5D1C7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583755C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4F9D98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58C14D0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12EDA0B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8BEF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1E36BA7F">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四、带岗直播间</w:t>
            </w:r>
          </w:p>
        </w:tc>
      </w:tr>
      <w:tr w14:paraId="0F3EA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2EB7234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2A080C4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5F2E037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59BE788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1891FD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550A9D5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0B09714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7362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241D0BA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vAlign w:val="center"/>
          </w:tcPr>
          <w:p w14:paraId="1F47DA3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C83E39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6387298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3E0A51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5E825C3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05D2530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B67E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39F198E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vAlign w:val="center"/>
          </w:tcPr>
          <w:p w14:paraId="73F140F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noWrap/>
            <w:vAlign w:val="center"/>
          </w:tcPr>
          <w:p w14:paraId="1D6AFC8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03E8D5F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3B984EF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03D31BE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5E13DAC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98E0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A0DB3E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noWrap/>
            <w:vAlign w:val="center"/>
          </w:tcPr>
          <w:p w14:paraId="00285F5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7B9B49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550971F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0AE53F7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2BB7F2B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363FC71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073D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62B05839">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五、零工市场室</w:t>
            </w:r>
          </w:p>
        </w:tc>
      </w:tr>
      <w:tr w14:paraId="06F1C3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06" w:type="pct"/>
            <w:tcBorders>
              <w:tl2br w:val="nil"/>
              <w:tr2bl w:val="nil"/>
            </w:tcBorders>
            <w:shd w:val="clear" w:color="auto" w:fill="auto"/>
            <w:noWrap/>
            <w:vAlign w:val="center"/>
          </w:tcPr>
          <w:p w14:paraId="49F7513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55594CA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D7C1C8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7DE94A5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4927B58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3594A1B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1A0E9CE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789FC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47E0003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vAlign w:val="center"/>
          </w:tcPr>
          <w:p w14:paraId="78D9BB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A76DDB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581CD8F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56B5A06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37259CC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379294D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ABF7F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012B790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vAlign w:val="center"/>
          </w:tcPr>
          <w:p w14:paraId="5011E06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5A5F33AA">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51D61B6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6B3CC1E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44E2ED0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69D6A59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5F9D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3DEC460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vAlign w:val="center"/>
          </w:tcPr>
          <w:p w14:paraId="40FA244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1FECC9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477D853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3F9D6E7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012A3A5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49507D0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20BA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032D0DA3">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六、远程面试室</w:t>
            </w:r>
          </w:p>
        </w:tc>
      </w:tr>
      <w:tr w14:paraId="1B8529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3BB815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2871632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22E619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7B26422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45F5BC0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4EBD6D9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18CA727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C744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D6B14B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vAlign w:val="center"/>
          </w:tcPr>
          <w:p w14:paraId="25B39C8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DF3DD35">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059831E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4441DAB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484F33C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058254F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9B36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5D2A452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vAlign w:val="center"/>
          </w:tcPr>
          <w:p w14:paraId="0864C33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692EFA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40AFCCA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2E72EBB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20BBFB8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36E4E20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CAB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B389B6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vAlign w:val="center"/>
          </w:tcPr>
          <w:p w14:paraId="0A549F4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594BF04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6847BF1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3F08040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5754FD4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5491D5B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B34DC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0A68FB28">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七、业务培训室</w:t>
            </w:r>
          </w:p>
        </w:tc>
      </w:tr>
      <w:tr w14:paraId="58E219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6CB8519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noWrap/>
            <w:vAlign w:val="center"/>
          </w:tcPr>
          <w:p w14:paraId="5972761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733D9A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5F38F3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72F6515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6557A07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1BCF8FE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42CE4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2871DAE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noWrap/>
            <w:vAlign w:val="center"/>
          </w:tcPr>
          <w:p w14:paraId="0E5D962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0810D74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6439694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2297B0C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433FD50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3DAD314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AEE1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5711CFC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noWrap/>
            <w:vAlign w:val="center"/>
          </w:tcPr>
          <w:p w14:paraId="519900D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1A4F7F43">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777DD62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52989C5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7D34AA6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3DEFE3C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D0CE6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495B70C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noWrap/>
            <w:vAlign w:val="center"/>
          </w:tcPr>
          <w:p w14:paraId="0796DD0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BD7428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082FE2B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7C2D4D2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0F715CE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5EB6488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A7473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51FA0DBA">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八、人才会客厅</w:t>
            </w:r>
          </w:p>
        </w:tc>
      </w:tr>
      <w:tr w14:paraId="72434F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5C302B8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22594C7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31E4A5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38AC483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15CFCDF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0FDB144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0E977A8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9804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985638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vAlign w:val="center"/>
          </w:tcPr>
          <w:p w14:paraId="0AE2259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63E2026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5366F23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1C9DC25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4D41046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3C311E5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3FA7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22AC21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vAlign w:val="center"/>
          </w:tcPr>
          <w:p w14:paraId="00D6571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BCC769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0A6DFAD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0B78242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4187323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68F9F41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1AD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56FC63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vAlign w:val="center"/>
          </w:tcPr>
          <w:p w14:paraId="6C97866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D9FCF1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10D13CA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164852A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4CA7650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18B947C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A005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3BF91655">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九、员工加油站</w:t>
            </w:r>
          </w:p>
        </w:tc>
      </w:tr>
      <w:tr w14:paraId="288E04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040062E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6781736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5A9AD33">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44D1456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60C19AA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721E950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119E4AE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65274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2D49D78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vAlign w:val="center"/>
          </w:tcPr>
          <w:p w14:paraId="1C9E32C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FF82A6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69AF7CA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0B087AD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721B559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38E4C58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EE2D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506" w:type="pct"/>
            <w:tcBorders>
              <w:tl2br w:val="nil"/>
              <w:tr2bl w:val="nil"/>
            </w:tcBorders>
            <w:shd w:val="clear" w:color="auto" w:fill="auto"/>
            <w:noWrap/>
            <w:vAlign w:val="center"/>
          </w:tcPr>
          <w:p w14:paraId="3F260F4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vAlign w:val="center"/>
          </w:tcPr>
          <w:p w14:paraId="6F15A4E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12636FA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28B9A37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5BCEAF8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48BB490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7DD3B2A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058B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B4734D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vAlign w:val="center"/>
          </w:tcPr>
          <w:p w14:paraId="153E4BB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10FB222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70639C0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6B0652D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64ACA3E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4EDA2AE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55DE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42EB0E02">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十、大会议室</w:t>
            </w:r>
          </w:p>
        </w:tc>
      </w:tr>
      <w:tr w14:paraId="6ECE21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3DC47D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1317CD0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9296AE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2BE8C12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15214E6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01ABA8E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55CDE34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FD6D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02EB493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vAlign w:val="center"/>
          </w:tcPr>
          <w:p w14:paraId="64A799D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C0F3F2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7F77D26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4B033C7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58759B5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67625A3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0641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3B16823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vAlign w:val="center"/>
          </w:tcPr>
          <w:p w14:paraId="658CDFF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A392E72">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21DE435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2FE4EEE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2BADD60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64E7904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0A5D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2352C63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vAlign w:val="center"/>
          </w:tcPr>
          <w:p w14:paraId="18014F5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AF4E4DB">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vAlign w:val="center"/>
          </w:tcPr>
          <w:p w14:paraId="3695FB2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vAlign w:val="center"/>
          </w:tcPr>
          <w:p w14:paraId="3909A38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vAlign w:val="center"/>
          </w:tcPr>
          <w:p w14:paraId="6ED15FC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vAlign w:val="center"/>
          </w:tcPr>
          <w:p w14:paraId="2B4AEE5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EA737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63587E51">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十一、小会议室</w:t>
            </w:r>
          </w:p>
        </w:tc>
      </w:tr>
      <w:tr w14:paraId="7DD10B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3AA3F65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3088966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75EFAE5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09AD263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0EFF235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74B4B87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337FBE2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D72B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4DB1F9A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vAlign w:val="center"/>
          </w:tcPr>
          <w:p w14:paraId="033B581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C7AA41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3F8CEAE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6502F2E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103EB2F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12C6EF4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3F7F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481CEEF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vAlign w:val="center"/>
          </w:tcPr>
          <w:p w14:paraId="323193E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63F4D7C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62031A6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1E7E961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284F310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66F2D04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6136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2FEFEF2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vAlign w:val="center"/>
          </w:tcPr>
          <w:p w14:paraId="1F78699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73838F1E">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174BCB6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6AA4A05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4E41624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199B489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823A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4E16DF12">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十二、其他设备</w:t>
            </w:r>
          </w:p>
        </w:tc>
      </w:tr>
      <w:tr w14:paraId="108F8B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FDCCAA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noWrap/>
            <w:vAlign w:val="center"/>
          </w:tcPr>
          <w:p w14:paraId="1EE2816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CD41C0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7EAD43D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3614DE5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588D17A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3BF7413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35DE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FD06D8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noWrap/>
            <w:vAlign w:val="center"/>
          </w:tcPr>
          <w:p w14:paraId="0E3F3F6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603B0D6D">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39A659E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60B1752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5C0937D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777A187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FD55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2BFF4A9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noWrap/>
            <w:vAlign w:val="center"/>
          </w:tcPr>
          <w:p w14:paraId="363B8A2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175C30F9">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7835305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72F22C0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57AB019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05624C2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4563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7116DE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noWrap/>
            <w:vAlign w:val="center"/>
          </w:tcPr>
          <w:p w14:paraId="0CF4B79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220B59C6">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696ABB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71109AA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0C48D7B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6C689A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6105E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4209A351">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十三、工程材料(含施工费)</w:t>
            </w:r>
          </w:p>
        </w:tc>
      </w:tr>
      <w:tr w14:paraId="206C27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F2FADB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noWrap/>
            <w:vAlign w:val="center"/>
          </w:tcPr>
          <w:p w14:paraId="02042A2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6521DA35">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449932D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9EF146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507E75E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6167F30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659D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6E3D6C6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noWrap/>
            <w:vAlign w:val="center"/>
          </w:tcPr>
          <w:p w14:paraId="594B94F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5EB28BC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3B6BF37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74FC532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2A951F7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047C46B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46F85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E1C03A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noWrap/>
            <w:vAlign w:val="center"/>
          </w:tcPr>
          <w:p w14:paraId="484EA01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EE99EA1">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25BC2C2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A359A8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7C432DB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04333C0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C61F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78F32E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noWrap/>
            <w:vAlign w:val="center"/>
          </w:tcPr>
          <w:p w14:paraId="1D74D95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0B68CA0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55045BB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2BF230A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49D56D26">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29E26E9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7FC79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6B00CD62">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十四、文化墙、制度牌、科室牌</w:t>
            </w:r>
          </w:p>
        </w:tc>
      </w:tr>
      <w:tr w14:paraId="36F7D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03702D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noWrap/>
            <w:vAlign w:val="center"/>
          </w:tcPr>
          <w:p w14:paraId="7BFF547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023D076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6E1882E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CE3345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01489D3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6A49383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E85E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087963D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noWrap/>
            <w:vAlign w:val="center"/>
          </w:tcPr>
          <w:p w14:paraId="00C0B64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797A662F">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04B9734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3352126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6ACFE35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404BD7C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9243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4260BFF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noWrap/>
            <w:vAlign w:val="center"/>
          </w:tcPr>
          <w:p w14:paraId="56E9678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38DBAAA7">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186C25D7">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406EB4C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7479187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69168DE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EC15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B15F50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noWrap/>
            <w:vAlign w:val="center"/>
          </w:tcPr>
          <w:p w14:paraId="6B879B8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17C14C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4FB92A5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3D8EB2D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60A1AB3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45278D6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190D1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00" w:type="pct"/>
            <w:gridSpan w:val="7"/>
            <w:tcBorders>
              <w:tl2br w:val="nil"/>
              <w:tr2bl w:val="nil"/>
            </w:tcBorders>
            <w:shd w:val="clear" w:color="auto" w:fill="auto"/>
            <w:noWrap/>
            <w:vAlign w:val="center"/>
          </w:tcPr>
          <w:p w14:paraId="1A0BCBB8">
            <w:pPr>
              <w:keepNext w:val="0"/>
              <w:keepLines w:val="0"/>
              <w:pageBreakBefore w:val="0"/>
              <w:widowControl w:val="0"/>
              <w:kinsoku/>
              <w:wordWrap w:val="0"/>
              <w:overflowPunct/>
              <w:topLinePunct w:val="0"/>
              <w:autoSpaceDE/>
              <w:autoSpaceDN w:val="0"/>
              <w:bidi w:val="0"/>
              <w:adjustRightInd w:val="0"/>
              <w:snapToGrid/>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十五、室外工程</w:t>
            </w:r>
          </w:p>
        </w:tc>
      </w:tr>
      <w:tr w14:paraId="006A03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1CEE1D1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1</w:t>
            </w:r>
          </w:p>
        </w:tc>
        <w:tc>
          <w:tcPr>
            <w:tcW w:w="642" w:type="pct"/>
            <w:tcBorders>
              <w:tl2br w:val="nil"/>
              <w:tr2bl w:val="nil"/>
            </w:tcBorders>
            <w:shd w:val="clear" w:color="auto" w:fill="auto"/>
            <w:vAlign w:val="center"/>
          </w:tcPr>
          <w:p w14:paraId="30E6405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174ACF8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75253431">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9D97762">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320383A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735D30C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6E2B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698170E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2</w:t>
            </w:r>
          </w:p>
        </w:tc>
        <w:tc>
          <w:tcPr>
            <w:tcW w:w="642" w:type="pct"/>
            <w:tcBorders>
              <w:tl2br w:val="nil"/>
              <w:tr2bl w:val="nil"/>
            </w:tcBorders>
            <w:shd w:val="clear" w:color="auto" w:fill="auto"/>
            <w:noWrap/>
            <w:vAlign w:val="center"/>
          </w:tcPr>
          <w:p w14:paraId="7CDB3EB3">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45447A6C">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353DF2B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074A2B2C">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1608C9F5">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7E1D059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F172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4D98F25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3</w:t>
            </w:r>
          </w:p>
        </w:tc>
        <w:tc>
          <w:tcPr>
            <w:tcW w:w="642" w:type="pct"/>
            <w:tcBorders>
              <w:tl2br w:val="nil"/>
              <w:tr2bl w:val="nil"/>
            </w:tcBorders>
            <w:shd w:val="clear" w:color="auto" w:fill="auto"/>
            <w:noWrap/>
            <w:vAlign w:val="center"/>
          </w:tcPr>
          <w:p w14:paraId="107603D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7289EF50">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4B1B406D">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7B17B3FE">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4A4E905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7DCEF0FF">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6F6F1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06" w:type="pct"/>
            <w:tcBorders>
              <w:tl2br w:val="nil"/>
              <w:tr2bl w:val="nil"/>
            </w:tcBorders>
            <w:shd w:val="clear" w:color="auto" w:fill="auto"/>
            <w:noWrap/>
            <w:vAlign w:val="center"/>
          </w:tcPr>
          <w:p w14:paraId="7FEABEB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sz w:val="21"/>
                <w:szCs w:val="21"/>
                <w:highlight w:val="none"/>
                <w:u w:val="none"/>
                <w:lang w:val="en-US" w:eastAsia="zh-CN"/>
              </w:rPr>
              <w:t>...</w:t>
            </w:r>
          </w:p>
        </w:tc>
        <w:tc>
          <w:tcPr>
            <w:tcW w:w="642" w:type="pct"/>
            <w:tcBorders>
              <w:tl2br w:val="nil"/>
              <w:tr2bl w:val="nil"/>
            </w:tcBorders>
            <w:shd w:val="clear" w:color="auto" w:fill="auto"/>
            <w:noWrap/>
            <w:vAlign w:val="center"/>
          </w:tcPr>
          <w:p w14:paraId="7AB0452B">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1799" w:type="pct"/>
            <w:tcBorders>
              <w:tl2br w:val="nil"/>
              <w:tr2bl w:val="nil"/>
            </w:tcBorders>
            <w:shd w:val="clear" w:color="auto" w:fill="auto"/>
            <w:vAlign w:val="center"/>
          </w:tcPr>
          <w:p w14:paraId="100534B4">
            <w:pPr>
              <w:keepNext w:val="0"/>
              <w:keepLines w:val="0"/>
              <w:pageBreakBefore w:val="0"/>
              <w:widowControl w:val="0"/>
              <w:suppressLineNumbers w:val="0"/>
              <w:kinsoku/>
              <w:wordWrap w:val="0"/>
              <w:overflowPunct/>
              <w:topLinePunct w:val="0"/>
              <w:autoSpaceDE/>
              <w:autoSpaceDN w:val="0"/>
              <w:bidi w:val="0"/>
              <w:adjustRightInd w:val="0"/>
              <w:snapToGrid/>
              <w:jc w:val="left"/>
              <w:textAlignment w:val="center"/>
              <w:rPr>
                <w:rFonts w:hint="eastAsia" w:ascii="宋体" w:hAnsi="宋体" w:eastAsia="宋体" w:cs="宋体"/>
                <w:i w:val="0"/>
                <w:iCs w:val="0"/>
                <w:color w:val="auto"/>
                <w:sz w:val="21"/>
                <w:szCs w:val="21"/>
                <w:highlight w:val="none"/>
                <w:u w:val="none"/>
              </w:rPr>
            </w:pPr>
          </w:p>
        </w:tc>
        <w:tc>
          <w:tcPr>
            <w:tcW w:w="430" w:type="pct"/>
            <w:tcBorders>
              <w:tl2br w:val="nil"/>
              <w:tr2bl w:val="nil"/>
            </w:tcBorders>
            <w:shd w:val="clear" w:color="auto" w:fill="auto"/>
            <w:noWrap/>
            <w:vAlign w:val="center"/>
          </w:tcPr>
          <w:p w14:paraId="661A1C50">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408" w:type="pct"/>
            <w:tcBorders>
              <w:tl2br w:val="nil"/>
              <w:tr2bl w:val="nil"/>
            </w:tcBorders>
            <w:shd w:val="clear" w:color="auto" w:fill="auto"/>
            <w:noWrap/>
            <w:vAlign w:val="center"/>
          </w:tcPr>
          <w:p w14:paraId="568DBA6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p>
        </w:tc>
        <w:tc>
          <w:tcPr>
            <w:tcW w:w="609" w:type="pct"/>
            <w:tcBorders>
              <w:tl2br w:val="nil"/>
              <w:tr2bl w:val="nil"/>
            </w:tcBorders>
            <w:shd w:val="clear" w:color="auto" w:fill="auto"/>
            <w:noWrap/>
            <w:vAlign w:val="center"/>
          </w:tcPr>
          <w:p w14:paraId="7C631F19">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03" w:type="pct"/>
            <w:tcBorders>
              <w:tl2br w:val="nil"/>
              <w:tr2bl w:val="nil"/>
            </w:tcBorders>
            <w:shd w:val="clear" w:color="auto" w:fill="auto"/>
            <w:noWrap/>
            <w:vAlign w:val="center"/>
          </w:tcPr>
          <w:p w14:paraId="517DF55A">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068F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947" w:type="pct"/>
            <w:gridSpan w:val="3"/>
            <w:tcBorders>
              <w:tl2br w:val="nil"/>
              <w:tr2bl w:val="nil"/>
            </w:tcBorders>
            <w:shd w:val="clear" w:color="auto" w:fill="auto"/>
            <w:noWrap/>
            <w:vAlign w:val="center"/>
          </w:tcPr>
          <w:p w14:paraId="41C91608">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b/>
                <w:bCs/>
                <w:i w:val="0"/>
                <w:iCs w:val="0"/>
                <w:color w:val="auto"/>
                <w:sz w:val="21"/>
                <w:szCs w:val="21"/>
                <w:highlight w:val="none"/>
                <w:u w:val="none"/>
                <w:lang w:val="en-US" w:eastAsia="zh-CN"/>
              </w:rPr>
              <w:t>合计（一～十五）</w:t>
            </w:r>
          </w:p>
        </w:tc>
        <w:tc>
          <w:tcPr>
            <w:tcW w:w="2052" w:type="pct"/>
            <w:gridSpan w:val="4"/>
            <w:tcBorders>
              <w:tl2br w:val="nil"/>
              <w:tr2bl w:val="nil"/>
            </w:tcBorders>
            <w:shd w:val="clear" w:color="auto" w:fill="auto"/>
            <w:noWrap/>
            <w:vAlign w:val="center"/>
          </w:tcPr>
          <w:p w14:paraId="23ADC0E4">
            <w:pPr>
              <w:keepNext w:val="0"/>
              <w:keepLines w:val="0"/>
              <w:pageBreakBefore w:val="0"/>
              <w:widowControl w:val="0"/>
              <w:suppressLineNumbers w:val="0"/>
              <w:kinsoku/>
              <w:wordWrap w:val="0"/>
              <w:overflowPunct/>
              <w:topLinePunct w:val="0"/>
              <w:autoSpaceDE/>
              <w:autoSpaceDN w:val="0"/>
              <w:bidi w:val="0"/>
              <w:adjustRightInd w:val="0"/>
              <w:snapToGrid/>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single"/>
                <w:lang w:val="en-US" w:eastAsia="zh-CN" w:bidi="ar"/>
              </w:rPr>
              <w:t xml:space="preserve">                </w:t>
            </w:r>
            <w:r>
              <w:rPr>
                <w:rFonts w:hint="eastAsia" w:ascii="宋体" w:hAnsi="宋体" w:cs="宋体"/>
                <w:i w:val="0"/>
                <w:iCs w:val="0"/>
                <w:color w:val="auto"/>
                <w:kern w:val="0"/>
                <w:sz w:val="21"/>
                <w:szCs w:val="21"/>
                <w:highlight w:val="none"/>
                <w:u w:val="none"/>
                <w:lang w:val="en-US" w:eastAsia="zh-CN" w:bidi="ar"/>
              </w:rPr>
              <w:t>元</w:t>
            </w:r>
          </w:p>
        </w:tc>
      </w:tr>
    </w:tbl>
    <w:p w14:paraId="756017C0">
      <w:pPr>
        <w:widowControl/>
        <w:spacing w:line="360" w:lineRule="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注：本表“合计”金额与“</w:t>
      </w:r>
      <w:r>
        <w:rPr>
          <w:rFonts w:hint="eastAsia" w:ascii="宋体" w:hAnsi="宋体" w:cs="宋体"/>
          <w:bCs/>
          <w:color w:val="auto"/>
          <w:szCs w:val="21"/>
          <w:highlight w:val="none"/>
        </w:rPr>
        <w:t>开标一览表（报价表）</w:t>
      </w:r>
      <w:r>
        <w:rPr>
          <w:rFonts w:hint="eastAsia" w:ascii="宋体" w:hAnsi="宋体" w:cs="宋体"/>
          <w:bCs/>
          <w:color w:val="auto"/>
          <w:szCs w:val="21"/>
          <w:highlight w:val="none"/>
          <w:lang w:val="en-US" w:eastAsia="zh-CN"/>
        </w:rPr>
        <w:t>”投标报价金额一致。</w:t>
      </w:r>
    </w:p>
    <w:p w14:paraId="240EFBC4">
      <w:pPr>
        <w:pStyle w:val="696"/>
        <w:keepNext w:val="0"/>
        <w:pageBreakBefore w:val="0"/>
        <w:tabs>
          <w:tab w:val="clear" w:pos="720"/>
        </w:tabs>
        <w:snapToGrid w:val="0"/>
        <w:spacing w:before="319" w:beforeLines="100" w:after="319" w:afterLines="100" w:line="240" w:lineRule="auto"/>
        <w:outlineLvl w:val="9"/>
        <w:rPr>
          <w:rFonts w:hint="eastAsia" w:ascii="宋体" w:hAnsi="宋体" w:eastAsia="宋体" w:cs="宋体"/>
          <w:color w:val="auto"/>
          <w:kern w:val="2"/>
          <w:sz w:val="28"/>
          <w:szCs w:val="28"/>
          <w:highlight w:val="none"/>
          <w:lang w:val="en-US" w:eastAsia="zh-CN"/>
        </w:rPr>
      </w:pPr>
    </w:p>
    <w:p w14:paraId="4A6BC82B">
      <w:pPr>
        <w:pStyle w:val="696"/>
        <w:keepNext w:val="0"/>
        <w:pageBreakBefore w:val="0"/>
        <w:tabs>
          <w:tab w:val="clear" w:pos="720"/>
        </w:tabs>
        <w:snapToGrid w:val="0"/>
        <w:spacing w:before="319" w:beforeLines="100" w:after="319" w:afterLines="100" w:line="240" w:lineRule="auto"/>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rPr>
        <w:t>三</w:t>
      </w:r>
      <w:r>
        <w:rPr>
          <w:rFonts w:hint="eastAsia" w:ascii="宋体" w:hAnsi="宋体" w:eastAsia="宋体" w:cs="宋体"/>
          <w:color w:val="auto"/>
          <w:kern w:val="2"/>
          <w:sz w:val="28"/>
          <w:szCs w:val="28"/>
          <w:highlight w:val="none"/>
        </w:rPr>
        <w:t>、报价情况说明（如果有）</w:t>
      </w:r>
    </w:p>
    <w:p w14:paraId="49273847">
      <w:pPr>
        <w:widowControl/>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（如供应商报价低于项目预算50%的，应当提交本文档，详细阐述不影响产品质量或者诚信履约的具体原因，否则投标无效。）</w:t>
      </w:r>
    </w:p>
    <w:p w14:paraId="1CEECF5A">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6CC9C557">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204C6A9F">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070DE1DB">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42F7C97F">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1A44014E">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107776B6">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00F8EDEA">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0E037C58">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68B8CC68">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312C93B2">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5228A47E">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1681A41D">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50C3399B">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30EFB898">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1805DFD7">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1CDB155B">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402CEFA8">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5E72F218">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66F1F7C3">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val="en-US" w:eastAsia="zh-CN"/>
        </w:rPr>
      </w:pPr>
    </w:p>
    <w:p w14:paraId="35C0BBCD">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lang w:val="en-US" w:eastAsia="zh-CN"/>
        </w:rPr>
        <w:t>四</w:t>
      </w:r>
      <w:r>
        <w:rPr>
          <w:rFonts w:hint="eastAsia" w:ascii="宋体" w:hAnsi="宋体" w:eastAsia="宋体" w:cs="宋体"/>
          <w:color w:val="auto"/>
          <w:kern w:val="2"/>
          <w:sz w:val="28"/>
          <w:szCs w:val="28"/>
          <w:highlight w:val="none"/>
        </w:rPr>
        <w:t>、中小企业声明函</w:t>
      </w:r>
      <w:r>
        <w:rPr>
          <w:rFonts w:hint="eastAsia" w:ascii="宋体" w:hAnsi="宋体" w:eastAsia="宋体" w:cs="宋体"/>
          <w:color w:val="auto"/>
          <w:kern w:val="2"/>
          <w:sz w:val="28"/>
          <w:szCs w:val="28"/>
          <w:highlight w:val="none"/>
          <w:lang w:eastAsia="zh-CN"/>
        </w:rPr>
        <w:t>（</w:t>
      </w:r>
      <w:r>
        <w:rPr>
          <w:rFonts w:hint="eastAsia" w:ascii="宋体" w:hAnsi="宋体" w:eastAsia="宋体" w:cs="宋体"/>
          <w:color w:val="auto"/>
          <w:kern w:val="2"/>
          <w:sz w:val="28"/>
          <w:szCs w:val="28"/>
          <w:highlight w:val="none"/>
          <w:lang w:val="en-US" w:eastAsia="zh-CN"/>
        </w:rPr>
        <w:t>如果有</w:t>
      </w:r>
      <w:r>
        <w:rPr>
          <w:rFonts w:hint="eastAsia" w:ascii="宋体" w:hAnsi="宋体" w:eastAsia="宋体" w:cs="宋体"/>
          <w:color w:val="auto"/>
          <w:kern w:val="2"/>
          <w:sz w:val="28"/>
          <w:szCs w:val="28"/>
          <w:highlight w:val="none"/>
          <w:lang w:eastAsia="zh-CN"/>
        </w:rPr>
        <w:t>）</w:t>
      </w:r>
    </w:p>
    <w:p w14:paraId="05E232DD">
      <w:pPr>
        <w:keepNext w:val="0"/>
        <w:keepLines w:val="0"/>
        <w:pageBreakBefore w:val="0"/>
        <w:widowControl/>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AAE4719">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C3E7BD">
      <w:pPr>
        <w:pStyle w:val="4"/>
        <w:keepNext w:val="0"/>
        <w:keepLines w:val="0"/>
        <w:pageBreakBefore/>
        <w:widowControl/>
        <w:kinsoku/>
        <w:wordWrap/>
        <w:overflowPunct/>
        <w:topLinePunct w:val="0"/>
        <w:autoSpaceDE/>
        <w:autoSpaceDN/>
        <w:bidi w:val="0"/>
        <w:adjustRightInd w:val="0"/>
        <w:snapToGrid/>
        <w:spacing w:before="313" w:beforeLines="100" w:beforeAutospacing="0" w:after="313" w:afterLines="100" w:afterAutospacing="0" w:line="240" w:lineRule="auto"/>
        <w:ind w:left="0" w:firstLine="0"/>
        <w:jc w:val="center"/>
        <w:textAlignment w:val="auto"/>
        <w:rPr>
          <w:rFonts w:hint="eastAsia" w:ascii="宋体" w:hAnsi="宋体" w:eastAsia="宋体" w:cs="宋体"/>
          <w:color w:val="auto"/>
          <w:highlight w:val="none"/>
        </w:rPr>
      </w:pPr>
      <w:bookmarkStart w:id="510" w:name="_Toc465665161"/>
      <w:r>
        <w:rPr>
          <w:rFonts w:hint="eastAsia" w:ascii="宋体" w:hAnsi="宋体" w:eastAsia="宋体" w:cs="宋体"/>
          <w:color w:val="auto"/>
          <w:highlight w:val="none"/>
        </w:rPr>
        <w:t>附件</w:t>
      </w:r>
      <w:bookmarkEnd w:id="510"/>
    </w:p>
    <w:p w14:paraId="2BE63595">
      <w:pPr>
        <w:keepNext w:val="0"/>
        <w:keepLines w:val="0"/>
        <w:pageBreakBefore w:val="0"/>
        <w:widowControl w:val="0"/>
        <w:kinsoku/>
        <w:wordWrap/>
        <w:overflowPunct/>
        <w:topLinePunct w:val="0"/>
        <w:autoSpaceDE/>
        <w:autoSpaceDN/>
        <w:bidi w:val="0"/>
        <w:adjustRightInd w:val="0"/>
        <w:spacing w:before="313" w:beforeLines="100" w:after="313" w:afterLines="100" w:line="240" w:lineRule="auto"/>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附件1：</w:t>
      </w:r>
    </w:p>
    <w:p w14:paraId="48001A7C">
      <w:pPr>
        <w:pStyle w:val="696"/>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宋体" w:hAnsi="宋体" w:eastAsia="宋体" w:cs="宋体"/>
          <w:b/>
          <w:bCs w:val="0"/>
          <w:color w:val="auto"/>
          <w:kern w:val="2"/>
          <w:sz w:val="28"/>
          <w:szCs w:val="28"/>
          <w:highlight w:val="none"/>
          <w:lang w:val="en-US" w:eastAsia="zh-CN"/>
        </w:rPr>
      </w:pPr>
      <w:bookmarkStart w:id="511" w:name="OLE_LINK14"/>
      <w:bookmarkStart w:id="512" w:name="OLE_LINK13"/>
      <w:r>
        <w:rPr>
          <w:rFonts w:hint="eastAsia" w:ascii="宋体" w:hAnsi="宋体" w:eastAsia="宋体" w:cs="宋体"/>
          <w:b/>
          <w:bCs w:val="0"/>
          <w:color w:val="auto"/>
          <w:kern w:val="2"/>
          <w:sz w:val="28"/>
          <w:szCs w:val="28"/>
          <w:highlight w:val="none"/>
          <w:lang w:val="en-US" w:eastAsia="zh-CN"/>
        </w:rPr>
        <w:t>残疾人福利性单位声明函</w:t>
      </w:r>
    </w:p>
    <w:bookmarkEnd w:id="511"/>
    <w:bookmarkEnd w:id="512"/>
    <w:p w14:paraId="69DA5226">
      <w:pPr>
        <w:spacing w:line="360" w:lineRule="auto"/>
        <w:rPr>
          <w:rFonts w:hint="eastAsia" w:ascii="宋体" w:hAnsi="宋体" w:eastAsia="宋体" w:cs="宋体"/>
          <w:b/>
          <w:color w:val="auto"/>
          <w:spacing w:val="6"/>
          <w:szCs w:val="21"/>
          <w:highlight w:val="none"/>
        </w:rPr>
      </w:pPr>
    </w:p>
    <w:p w14:paraId="42BA2F1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lang w:val="en-US" w:eastAsia="zh-CN"/>
        </w:rPr>
        <w:t xml:space="preserve">  （采购人）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lang w:val="en-US" w:eastAsia="zh-CN"/>
        </w:rPr>
        <w:t xml:space="preserve">   （项目名称）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D21F88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0F908816">
      <w:pPr>
        <w:spacing w:line="360" w:lineRule="auto"/>
        <w:ind w:firstLine="420" w:firstLineChars="200"/>
        <w:rPr>
          <w:rFonts w:hint="eastAsia" w:ascii="宋体" w:hAnsi="宋体" w:eastAsia="宋体" w:cs="宋体"/>
          <w:color w:val="auto"/>
          <w:szCs w:val="21"/>
          <w:highlight w:val="none"/>
        </w:rPr>
      </w:pPr>
    </w:p>
    <w:p w14:paraId="62512B6C">
      <w:pPr>
        <w:spacing w:line="360" w:lineRule="auto"/>
        <w:ind w:firstLine="420" w:firstLineChars="200"/>
        <w:rPr>
          <w:rFonts w:hint="eastAsia" w:ascii="宋体" w:hAnsi="宋体" w:eastAsia="宋体" w:cs="宋体"/>
          <w:color w:val="auto"/>
          <w:szCs w:val="21"/>
          <w:highlight w:val="none"/>
        </w:rPr>
      </w:pPr>
    </w:p>
    <w:p w14:paraId="7A8CCFDF">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投标人名称（电子签名）</w:t>
      </w:r>
      <w:r>
        <w:rPr>
          <w:rFonts w:hint="eastAsia" w:ascii="宋体" w:hAnsi="宋体" w:eastAsia="宋体" w:cs="宋体"/>
          <w:color w:val="auto"/>
          <w:szCs w:val="21"/>
          <w:highlight w:val="none"/>
        </w:rPr>
        <w:t>：</w:t>
      </w:r>
    </w:p>
    <w:p w14:paraId="6BA402C7">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  期：</w:t>
      </w:r>
    </w:p>
    <w:p w14:paraId="12FC9F8E">
      <w:pPr>
        <w:spacing w:line="360" w:lineRule="auto"/>
        <w:ind w:firstLine="480" w:firstLineChars="200"/>
        <w:rPr>
          <w:rFonts w:hint="eastAsia" w:ascii="宋体" w:hAnsi="宋体" w:eastAsia="宋体" w:cs="宋体"/>
          <w:color w:val="auto"/>
          <w:sz w:val="24"/>
          <w:highlight w:val="none"/>
        </w:rPr>
      </w:pPr>
    </w:p>
    <w:p w14:paraId="08881FF8">
      <w:pPr>
        <w:spacing w:line="360" w:lineRule="auto"/>
        <w:ind w:firstLine="420" w:firstLineChars="200"/>
        <w:rPr>
          <w:rFonts w:hint="eastAsia" w:ascii="宋体" w:hAnsi="宋体" w:eastAsia="宋体" w:cs="宋体"/>
          <w:color w:val="auto"/>
          <w:highlight w:val="none"/>
        </w:rPr>
      </w:pPr>
    </w:p>
    <w:p w14:paraId="33307808">
      <w:pPr>
        <w:spacing w:line="360" w:lineRule="auto"/>
        <w:ind w:firstLine="420" w:firstLineChars="200"/>
        <w:rPr>
          <w:rFonts w:hint="eastAsia" w:ascii="宋体" w:hAnsi="宋体" w:eastAsia="宋体" w:cs="宋体"/>
          <w:color w:val="auto"/>
          <w:highlight w:val="none"/>
        </w:rPr>
      </w:pPr>
    </w:p>
    <w:p w14:paraId="05C47897">
      <w:pPr>
        <w:spacing w:line="360" w:lineRule="auto"/>
        <w:ind w:firstLine="420" w:firstLineChars="200"/>
        <w:rPr>
          <w:rFonts w:hint="eastAsia" w:ascii="宋体" w:hAnsi="宋体" w:eastAsia="宋体" w:cs="宋体"/>
          <w:color w:val="auto"/>
          <w:highlight w:val="none"/>
        </w:rPr>
      </w:pPr>
    </w:p>
    <w:p w14:paraId="7889FDCE">
      <w:pPr>
        <w:spacing w:line="360" w:lineRule="auto"/>
        <w:ind w:firstLine="420" w:firstLineChars="200"/>
        <w:rPr>
          <w:rFonts w:hint="eastAsia" w:ascii="宋体" w:hAnsi="宋体" w:eastAsia="宋体" w:cs="宋体"/>
          <w:color w:val="auto"/>
          <w:highlight w:val="none"/>
        </w:rPr>
      </w:pPr>
    </w:p>
    <w:p w14:paraId="2DE9685C">
      <w:pPr>
        <w:spacing w:line="360" w:lineRule="auto"/>
        <w:rPr>
          <w:rFonts w:hint="eastAsia" w:ascii="宋体" w:hAnsi="宋体" w:eastAsia="宋体" w:cs="宋体"/>
          <w:b/>
          <w:color w:val="auto"/>
          <w:sz w:val="24"/>
          <w:highlight w:val="none"/>
        </w:rPr>
      </w:pPr>
    </w:p>
    <w:p w14:paraId="727EDB50">
      <w:pPr>
        <w:spacing w:line="360" w:lineRule="auto"/>
        <w:rPr>
          <w:rFonts w:hint="eastAsia" w:ascii="宋体" w:hAnsi="宋体" w:eastAsia="宋体" w:cs="宋体"/>
          <w:b/>
          <w:color w:val="auto"/>
          <w:sz w:val="24"/>
          <w:highlight w:val="none"/>
        </w:rPr>
      </w:pPr>
    </w:p>
    <w:p w14:paraId="661E3E26">
      <w:pPr>
        <w:spacing w:line="360" w:lineRule="auto"/>
        <w:rPr>
          <w:rFonts w:hint="eastAsia" w:ascii="宋体" w:hAnsi="宋体" w:eastAsia="宋体" w:cs="宋体"/>
          <w:b/>
          <w:color w:val="auto"/>
          <w:sz w:val="24"/>
          <w:highlight w:val="none"/>
        </w:rPr>
      </w:pPr>
    </w:p>
    <w:p w14:paraId="0F0A9C3E">
      <w:pPr>
        <w:spacing w:line="360" w:lineRule="auto"/>
        <w:rPr>
          <w:rFonts w:hint="eastAsia" w:ascii="宋体" w:hAnsi="宋体" w:eastAsia="宋体" w:cs="宋体"/>
          <w:b/>
          <w:color w:val="auto"/>
          <w:sz w:val="24"/>
          <w:highlight w:val="none"/>
        </w:rPr>
      </w:pPr>
    </w:p>
    <w:p w14:paraId="764A865A">
      <w:pPr>
        <w:spacing w:line="360" w:lineRule="auto"/>
        <w:rPr>
          <w:rFonts w:hint="eastAsia" w:ascii="宋体" w:hAnsi="宋体" w:eastAsia="宋体" w:cs="宋体"/>
          <w:b/>
          <w:color w:val="auto"/>
          <w:sz w:val="24"/>
          <w:highlight w:val="none"/>
        </w:rPr>
      </w:pPr>
    </w:p>
    <w:p w14:paraId="6B27E892">
      <w:pPr>
        <w:spacing w:line="360" w:lineRule="auto"/>
        <w:rPr>
          <w:rFonts w:hint="eastAsia" w:ascii="宋体" w:hAnsi="宋体" w:eastAsia="宋体" w:cs="宋体"/>
          <w:b/>
          <w:color w:val="auto"/>
          <w:sz w:val="24"/>
          <w:highlight w:val="none"/>
        </w:rPr>
      </w:pPr>
    </w:p>
    <w:p w14:paraId="225D57C2">
      <w:pPr>
        <w:spacing w:line="360" w:lineRule="auto"/>
        <w:rPr>
          <w:rFonts w:hint="eastAsia" w:ascii="宋体" w:hAnsi="宋体" w:eastAsia="宋体" w:cs="宋体"/>
          <w:b/>
          <w:color w:val="auto"/>
          <w:sz w:val="24"/>
          <w:highlight w:val="none"/>
        </w:rPr>
      </w:pPr>
    </w:p>
    <w:p w14:paraId="168F86D4">
      <w:pPr>
        <w:spacing w:line="360" w:lineRule="auto"/>
        <w:rPr>
          <w:rFonts w:hint="eastAsia" w:ascii="宋体" w:hAnsi="宋体" w:eastAsia="宋体" w:cs="宋体"/>
          <w:b/>
          <w:color w:val="auto"/>
          <w:sz w:val="24"/>
          <w:highlight w:val="none"/>
        </w:rPr>
      </w:pPr>
    </w:p>
    <w:p w14:paraId="06F74478">
      <w:pPr>
        <w:spacing w:line="360" w:lineRule="auto"/>
        <w:rPr>
          <w:rFonts w:hint="eastAsia" w:ascii="宋体" w:hAnsi="宋体" w:eastAsia="宋体" w:cs="宋体"/>
          <w:b/>
          <w:color w:val="auto"/>
          <w:sz w:val="24"/>
          <w:highlight w:val="none"/>
        </w:rPr>
      </w:pPr>
    </w:p>
    <w:p w14:paraId="5D0718EA">
      <w:pPr>
        <w:pStyle w:val="5"/>
        <w:rPr>
          <w:rFonts w:hint="eastAsia" w:ascii="宋体" w:hAnsi="宋体" w:eastAsia="宋体" w:cs="宋体"/>
          <w:color w:val="auto"/>
          <w:sz w:val="24"/>
          <w:highlight w:val="none"/>
        </w:rPr>
      </w:pPr>
    </w:p>
    <w:p w14:paraId="3FB8BC9B">
      <w:pPr>
        <w:rPr>
          <w:rFonts w:hint="eastAsia" w:ascii="宋体" w:hAnsi="宋体" w:eastAsia="宋体" w:cs="宋体"/>
          <w:color w:val="auto"/>
          <w:highlight w:val="none"/>
        </w:rPr>
      </w:pPr>
    </w:p>
    <w:p w14:paraId="52608CB0">
      <w:pPr>
        <w:rPr>
          <w:rFonts w:hint="eastAsia" w:ascii="宋体" w:hAnsi="宋体" w:eastAsia="宋体" w:cs="宋体"/>
          <w:b/>
          <w:color w:val="auto"/>
          <w:sz w:val="24"/>
          <w:highlight w:val="none"/>
        </w:rPr>
      </w:pPr>
    </w:p>
    <w:p w14:paraId="17608F75">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附件2：质疑函范本及制作说明</w:t>
      </w:r>
    </w:p>
    <w:p w14:paraId="32443645">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质疑函范本</w:t>
      </w:r>
    </w:p>
    <w:p w14:paraId="518E360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32C3A4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lang w:val="en-US" w:eastAsia="zh-CN"/>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lang w:val="en-US" w:eastAsia="zh-CN"/>
        </w:rPr>
        <w:t xml:space="preserve">                                                    </w:t>
      </w:r>
    </w:p>
    <w:p w14:paraId="289DD9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lang w:val="en-US" w:eastAsia="zh-CN"/>
        </w:rPr>
        <w:t xml:space="preserve">                           </w:t>
      </w:r>
    </w:p>
    <w:p w14:paraId="5BF2C8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lang w:val="en-US" w:eastAsia="zh-CN"/>
        </w:rPr>
        <w:t xml:space="preserve">                      </w:t>
      </w:r>
    </w:p>
    <w:p w14:paraId="3BCCF9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lang w:val="en-US" w:eastAsia="zh-CN"/>
        </w:rPr>
        <w:t xml:space="preserve">                                   </w:t>
      </w:r>
    </w:p>
    <w:p w14:paraId="2370D1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lang w:val="en-US" w:eastAsia="zh-CN"/>
        </w:rPr>
        <w:t xml:space="preserve">                                   </w:t>
      </w:r>
    </w:p>
    <w:p w14:paraId="4D94A9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lang w:val="en-US" w:eastAsia="zh-CN"/>
        </w:rPr>
        <w:t xml:space="preserve">                           </w:t>
      </w:r>
    </w:p>
    <w:p w14:paraId="221BA7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22613C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lang w:val="en-US" w:eastAsia="zh-CN"/>
        </w:rPr>
        <w:t xml:space="preserve">                                                    </w:t>
      </w:r>
    </w:p>
    <w:p w14:paraId="51F311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lang w:val="en-US" w:eastAsia="zh-CN"/>
        </w:rPr>
        <w:t xml:space="preserve">                      </w:t>
      </w:r>
    </w:p>
    <w:p w14:paraId="03A5B9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lang w:val="en-US" w:eastAsia="zh-CN"/>
        </w:rPr>
        <w:t xml:space="preserve">                                                    </w:t>
      </w:r>
    </w:p>
    <w:p w14:paraId="306D5C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lang w:val="en-US" w:eastAsia="zh-CN"/>
        </w:rPr>
        <w:t xml:space="preserve">                                                    </w:t>
      </w:r>
    </w:p>
    <w:p w14:paraId="37553F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06F744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lang w:val="en-US" w:eastAsia="zh-CN"/>
        </w:rPr>
        <w:t xml:space="preserve">                                                  </w:t>
      </w:r>
    </w:p>
    <w:p w14:paraId="5AE45E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lang w:val="en-US" w:eastAsia="zh-CN"/>
        </w:rPr>
        <w:t xml:space="preserve">                                                    </w:t>
      </w:r>
    </w:p>
    <w:p w14:paraId="50F428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u w:val="dotted"/>
          <w:lang w:val="en-US" w:eastAsia="zh-CN"/>
        </w:rPr>
        <w:t xml:space="preserve">                                                              </w:t>
      </w:r>
    </w:p>
    <w:p w14:paraId="204268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lang w:val="en-US" w:eastAsia="zh-CN"/>
        </w:rPr>
        <w:t xml:space="preserve">                                                    </w:t>
      </w:r>
    </w:p>
    <w:p w14:paraId="0E8F3F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lang w:val="en-US"/>
        </w:rPr>
      </w:pPr>
      <w:r>
        <w:rPr>
          <w:rFonts w:hint="eastAsia" w:ascii="宋体" w:hAnsi="宋体" w:eastAsia="宋体" w:cs="宋体"/>
          <w:color w:val="auto"/>
          <w:sz w:val="21"/>
          <w:szCs w:val="21"/>
          <w:highlight w:val="none"/>
          <w:u w:val="dotted"/>
          <w:lang w:val="en-US" w:eastAsia="zh-CN"/>
        </w:rPr>
        <w:t xml:space="preserve">                                                              </w:t>
      </w:r>
    </w:p>
    <w:p w14:paraId="7CFA5E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73B960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10DCB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56F600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lang w:val="en-US" w:eastAsia="zh-CN"/>
        </w:rPr>
        <w:t xml:space="preserve">                                                    </w:t>
      </w:r>
    </w:p>
    <w:p w14:paraId="158EA98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004847A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日期：</w:t>
      </w:r>
    </w:p>
    <w:p w14:paraId="7CF59B92">
      <w:pPr>
        <w:spacing w:line="360" w:lineRule="auto"/>
        <w:jc w:val="center"/>
        <w:rPr>
          <w:rFonts w:hint="eastAsia" w:ascii="宋体" w:hAnsi="宋体" w:eastAsia="宋体" w:cs="宋体"/>
          <w:b/>
          <w:bCs/>
          <w:color w:val="auto"/>
          <w:sz w:val="24"/>
          <w:highlight w:val="none"/>
        </w:rPr>
      </w:pPr>
    </w:p>
    <w:p w14:paraId="4A89A64C">
      <w:pPr>
        <w:spacing w:line="360" w:lineRule="auto"/>
        <w:rPr>
          <w:rFonts w:hint="eastAsia" w:ascii="宋体" w:hAnsi="宋体" w:eastAsia="宋体" w:cs="宋体"/>
          <w:b/>
          <w:color w:val="auto"/>
          <w:sz w:val="24"/>
          <w:highlight w:val="none"/>
        </w:rPr>
      </w:pPr>
    </w:p>
    <w:p w14:paraId="4C4BBE36">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5C10CF9D">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598AFFFA">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47963BA">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232E9C4A">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2A1DDD3A">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19339E8C">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8773AC4">
      <w:pPr>
        <w:widowControl/>
        <w:spacing w:line="360" w:lineRule="auto"/>
        <w:ind w:firstLine="600" w:firstLineChars="200"/>
        <w:jc w:val="left"/>
        <w:rPr>
          <w:rFonts w:hint="eastAsia" w:ascii="宋体" w:hAnsi="宋体" w:eastAsia="宋体" w:cs="宋体"/>
          <w:color w:val="auto"/>
          <w:sz w:val="30"/>
          <w:szCs w:val="30"/>
          <w:highlight w:val="none"/>
        </w:rPr>
      </w:pPr>
    </w:p>
    <w:p w14:paraId="159A0791">
      <w:pPr>
        <w:spacing w:line="360" w:lineRule="auto"/>
        <w:jc w:val="center"/>
        <w:rPr>
          <w:rFonts w:hint="eastAsia" w:ascii="宋体" w:hAnsi="宋体" w:eastAsia="宋体" w:cs="宋体"/>
          <w:b/>
          <w:color w:val="auto"/>
          <w:spacing w:val="6"/>
          <w:sz w:val="32"/>
          <w:szCs w:val="32"/>
          <w:highlight w:val="none"/>
        </w:rPr>
      </w:pPr>
    </w:p>
    <w:p w14:paraId="160D716A">
      <w:pPr>
        <w:spacing w:line="360" w:lineRule="auto"/>
        <w:jc w:val="center"/>
        <w:rPr>
          <w:rFonts w:hint="eastAsia" w:ascii="宋体" w:hAnsi="宋体" w:eastAsia="宋体" w:cs="宋体"/>
          <w:b/>
          <w:color w:val="auto"/>
          <w:spacing w:val="6"/>
          <w:sz w:val="32"/>
          <w:szCs w:val="32"/>
          <w:highlight w:val="none"/>
        </w:rPr>
      </w:pPr>
    </w:p>
    <w:p w14:paraId="1CFC707D">
      <w:pPr>
        <w:spacing w:line="360" w:lineRule="auto"/>
        <w:jc w:val="center"/>
        <w:rPr>
          <w:rFonts w:hint="eastAsia" w:ascii="宋体" w:hAnsi="宋体" w:eastAsia="宋体" w:cs="宋体"/>
          <w:b/>
          <w:color w:val="auto"/>
          <w:spacing w:val="6"/>
          <w:sz w:val="32"/>
          <w:szCs w:val="32"/>
          <w:highlight w:val="none"/>
        </w:rPr>
      </w:pPr>
    </w:p>
    <w:p w14:paraId="617EA5C7">
      <w:pPr>
        <w:spacing w:line="360" w:lineRule="auto"/>
        <w:jc w:val="center"/>
        <w:rPr>
          <w:rFonts w:hint="eastAsia" w:ascii="宋体" w:hAnsi="宋体" w:eastAsia="宋体" w:cs="宋体"/>
          <w:b/>
          <w:color w:val="auto"/>
          <w:spacing w:val="6"/>
          <w:sz w:val="32"/>
          <w:szCs w:val="32"/>
          <w:highlight w:val="none"/>
        </w:rPr>
      </w:pPr>
    </w:p>
    <w:p w14:paraId="1F8F75F2">
      <w:pPr>
        <w:spacing w:line="360" w:lineRule="auto"/>
        <w:jc w:val="center"/>
        <w:rPr>
          <w:rFonts w:hint="eastAsia" w:ascii="宋体" w:hAnsi="宋体" w:eastAsia="宋体" w:cs="宋体"/>
          <w:b/>
          <w:color w:val="auto"/>
          <w:spacing w:val="6"/>
          <w:sz w:val="32"/>
          <w:szCs w:val="32"/>
          <w:highlight w:val="none"/>
        </w:rPr>
      </w:pPr>
    </w:p>
    <w:p w14:paraId="60BB626C">
      <w:pPr>
        <w:spacing w:line="360" w:lineRule="auto"/>
        <w:jc w:val="center"/>
        <w:rPr>
          <w:rFonts w:hint="eastAsia" w:ascii="宋体" w:hAnsi="宋体" w:eastAsia="宋体" w:cs="宋体"/>
          <w:b/>
          <w:color w:val="auto"/>
          <w:spacing w:val="6"/>
          <w:sz w:val="32"/>
          <w:szCs w:val="32"/>
          <w:highlight w:val="none"/>
        </w:rPr>
      </w:pPr>
    </w:p>
    <w:p w14:paraId="4690D62E">
      <w:pPr>
        <w:spacing w:line="360" w:lineRule="auto"/>
        <w:jc w:val="center"/>
        <w:rPr>
          <w:rFonts w:hint="eastAsia" w:ascii="宋体" w:hAnsi="宋体" w:eastAsia="宋体" w:cs="宋体"/>
          <w:b/>
          <w:color w:val="auto"/>
          <w:spacing w:val="6"/>
          <w:sz w:val="32"/>
          <w:szCs w:val="32"/>
          <w:highlight w:val="none"/>
        </w:rPr>
      </w:pPr>
    </w:p>
    <w:p w14:paraId="76FF0B8F">
      <w:pPr>
        <w:spacing w:line="360" w:lineRule="auto"/>
        <w:jc w:val="center"/>
        <w:rPr>
          <w:rFonts w:hint="eastAsia" w:ascii="宋体" w:hAnsi="宋体" w:eastAsia="宋体" w:cs="宋体"/>
          <w:b/>
          <w:color w:val="auto"/>
          <w:spacing w:val="6"/>
          <w:sz w:val="32"/>
          <w:szCs w:val="32"/>
          <w:highlight w:val="none"/>
        </w:rPr>
      </w:pPr>
    </w:p>
    <w:p w14:paraId="2DB909AB">
      <w:pPr>
        <w:spacing w:line="360" w:lineRule="auto"/>
        <w:jc w:val="center"/>
        <w:rPr>
          <w:rFonts w:hint="eastAsia" w:ascii="宋体" w:hAnsi="宋体" w:eastAsia="宋体" w:cs="宋体"/>
          <w:b/>
          <w:color w:val="auto"/>
          <w:spacing w:val="6"/>
          <w:sz w:val="32"/>
          <w:szCs w:val="32"/>
          <w:highlight w:val="none"/>
        </w:rPr>
      </w:pPr>
    </w:p>
    <w:p w14:paraId="6B5DDCC7">
      <w:pPr>
        <w:spacing w:line="360" w:lineRule="auto"/>
        <w:jc w:val="center"/>
        <w:rPr>
          <w:rFonts w:hint="eastAsia" w:ascii="宋体" w:hAnsi="宋体" w:eastAsia="宋体" w:cs="宋体"/>
          <w:b/>
          <w:color w:val="auto"/>
          <w:spacing w:val="6"/>
          <w:sz w:val="32"/>
          <w:szCs w:val="32"/>
          <w:highlight w:val="none"/>
        </w:rPr>
      </w:pPr>
    </w:p>
    <w:p w14:paraId="146BE77B">
      <w:pPr>
        <w:spacing w:line="360" w:lineRule="auto"/>
        <w:jc w:val="center"/>
        <w:rPr>
          <w:rFonts w:hint="eastAsia" w:ascii="宋体" w:hAnsi="宋体" w:eastAsia="宋体" w:cs="宋体"/>
          <w:b/>
          <w:color w:val="auto"/>
          <w:spacing w:val="6"/>
          <w:sz w:val="32"/>
          <w:szCs w:val="32"/>
          <w:highlight w:val="none"/>
        </w:rPr>
      </w:pPr>
    </w:p>
    <w:p w14:paraId="08809958">
      <w:pPr>
        <w:spacing w:line="360" w:lineRule="auto"/>
        <w:jc w:val="center"/>
        <w:rPr>
          <w:rFonts w:hint="eastAsia" w:ascii="宋体" w:hAnsi="宋体" w:eastAsia="宋体" w:cs="宋体"/>
          <w:b/>
          <w:color w:val="auto"/>
          <w:spacing w:val="6"/>
          <w:sz w:val="32"/>
          <w:szCs w:val="32"/>
          <w:highlight w:val="none"/>
        </w:rPr>
      </w:pPr>
    </w:p>
    <w:p w14:paraId="79E4661A">
      <w:pPr>
        <w:spacing w:line="360" w:lineRule="auto"/>
        <w:jc w:val="left"/>
        <w:rPr>
          <w:rFonts w:hint="eastAsia" w:ascii="宋体" w:hAnsi="宋体" w:eastAsia="宋体" w:cs="宋体"/>
          <w:b/>
          <w:color w:val="auto"/>
          <w:spacing w:val="6"/>
          <w:sz w:val="32"/>
          <w:szCs w:val="32"/>
          <w:highlight w:val="none"/>
        </w:rPr>
      </w:pPr>
    </w:p>
    <w:p w14:paraId="49A483A9">
      <w:pPr>
        <w:spacing w:line="360" w:lineRule="auto"/>
        <w:jc w:val="left"/>
        <w:rPr>
          <w:rFonts w:hint="eastAsia" w:ascii="宋体" w:hAnsi="宋体" w:eastAsia="宋体" w:cs="宋体"/>
          <w:b/>
          <w:color w:val="auto"/>
          <w:spacing w:val="6"/>
          <w:sz w:val="32"/>
          <w:szCs w:val="32"/>
          <w:highlight w:val="none"/>
        </w:rPr>
      </w:pPr>
    </w:p>
    <w:p w14:paraId="4D8FB30B">
      <w:pPr>
        <w:spacing w:line="360" w:lineRule="auto"/>
        <w:jc w:val="left"/>
        <w:rPr>
          <w:rFonts w:hint="eastAsia" w:ascii="宋体" w:hAnsi="宋体" w:eastAsia="宋体" w:cs="宋体"/>
          <w:b/>
          <w:color w:val="auto"/>
          <w:spacing w:val="6"/>
          <w:sz w:val="32"/>
          <w:szCs w:val="32"/>
          <w:highlight w:val="none"/>
        </w:rPr>
      </w:pPr>
    </w:p>
    <w:p w14:paraId="187E872F">
      <w:pPr>
        <w:spacing w:line="360" w:lineRule="auto"/>
        <w:jc w:val="left"/>
        <w:rPr>
          <w:rFonts w:hint="eastAsia" w:ascii="宋体" w:hAnsi="宋体" w:eastAsia="宋体" w:cs="宋体"/>
          <w:b/>
          <w:color w:val="auto"/>
          <w:spacing w:val="6"/>
          <w:sz w:val="32"/>
          <w:szCs w:val="32"/>
          <w:highlight w:val="none"/>
        </w:rPr>
      </w:pPr>
    </w:p>
    <w:p w14:paraId="377054F7">
      <w:pPr>
        <w:spacing w:line="360" w:lineRule="auto"/>
        <w:jc w:val="left"/>
        <w:rPr>
          <w:rFonts w:hint="eastAsia" w:ascii="宋体" w:hAnsi="宋体" w:eastAsia="宋体" w:cs="宋体"/>
          <w:b/>
          <w:color w:val="auto"/>
          <w:spacing w:val="6"/>
          <w:sz w:val="32"/>
          <w:szCs w:val="32"/>
          <w:highlight w:val="none"/>
        </w:rPr>
      </w:pPr>
    </w:p>
    <w:p w14:paraId="0F9D9DC7">
      <w:pPr>
        <w:spacing w:line="360" w:lineRule="auto"/>
        <w:jc w:val="left"/>
        <w:rPr>
          <w:rFonts w:hint="eastAsia" w:ascii="宋体" w:hAnsi="宋体" w:eastAsia="宋体" w:cs="宋体"/>
          <w:b/>
          <w:color w:val="auto"/>
          <w:spacing w:val="6"/>
          <w:sz w:val="32"/>
          <w:szCs w:val="32"/>
          <w:highlight w:val="none"/>
        </w:rPr>
      </w:pPr>
    </w:p>
    <w:p w14:paraId="7255B0B5">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auto"/>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附件3：投诉书范本及制作说明</w:t>
      </w:r>
    </w:p>
    <w:p w14:paraId="5F7C7966">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投诉书范本</w:t>
      </w:r>
    </w:p>
    <w:p w14:paraId="7293E76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6BF5646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lang w:val="en-US" w:eastAsia="zh-CN"/>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lang w:val="en-US" w:eastAsia="zh-CN"/>
        </w:rPr>
        <w:t xml:space="preserve">                                             </w:t>
      </w:r>
    </w:p>
    <w:p w14:paraId="6648D72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lang w:val="en-US" w:eastAsia="zh-CN"/>
        </w:rPr>
        <w:t xml:space="preserve">                     </w:t>
      </w:r>
    </w:p>
    <w:p w14:paraId="013DEFD9">
      <w:pPr>
        <w:keepNext w:val="0"/>
        <w:keepLines w:val="0"/>
        <w:pageBreakBefore w:val="0"/>
        <w:widowControl w:val="0"/>
        <w:tabs>
          <w:tab w:val="left" w:pos="6510"/>
        </w:tabs>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lang w:val="en-US" w:eastAsia="zh-CN"/>
        </w:rPr>
        <w:t xml:space="preserve">                        </w:t>
      </w:r>
    </w:p>
    <w:p w14:paraId="353DD002">
      <w:pPr>
        <w:keepNext w:val="0"/>
        <w:keepLines w:val="0"/>
        <w:pageBreakBefore w:val="0"/>
        <w:widowControl w:val="0"/>
        <w:tabs>
          <w:tab w:val="left" w:pos="6510"/>
        </w:tabs>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lang w:val="en-US"/>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lang w:val="en-US" w:eastAsia="zh-CN"/>
        </w:rPr>
        <w:t xml:space="preserve">                          </w:t>
      </w:r>
    </w:p>
    <w:p w14:paraId="33A4A0C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dotted"/>
          <w:lang w:val="en-US" w:eastAsia="zh-CN"/>
        </w:rPr>
        <w:t xml:space="preserve">                     </w:t>
      </w:r>
    </w:p>
    <w:p w14:paraId="5A21AF2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lang w:val="en-US" w:eastAsia="zh-CN"/>
        </w:rPr>
        <w:t xml:space="preserve">                     </w:t>
      </w:r>
    </w:p>
    <w:p w14:paraId="0EDB71D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lang w:val="en-US" w:eastAsia="zh-CN"/>
        </w:rPr>
        <w:t xml:space="preserve">                                   </w:t>
      </w:r>
    </w:p>
    <w:p w14:paraId="4572A14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lang w:val="en-US" w:eastAsia="zh-CN"/>
        </w:rPr>
        <w:t xml:space="preserve">                     </w:t>
      </w:r>
    </w:p>
    <w:p w14:paraId="0CF9C57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lang w:val="en-US" w:eastAsia="zh-CN"/>
        </w:rPr>
        <w:t xml:space="preserve">                     </w:t>
      </w:r>
    </w:p>
    <w:p w14:paraId="35FCAD4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52B099E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251089B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lang w:val="en-US" w:eastAsia="zh-CN"/>
        </w:rPr>
        <w:t xml:space="preserve">                                             </w:t>
      </w:r>
    </w:p>
    <w:p w14:paraId="5EAA0E1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lang w:val="en-US" w:eastAsia="zh-CN"/>
        </w:rPr>
        <w:t xml:space="preserve">                     </w:t>
      </w:r>
    </w:p>
    <w:p w14:paraId="1931948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lang w:val="en-US" w:eastAsia="zh-CN"/>
        </w:rPr>
        <w:t xml:space="preserve">                     </w:t>
      </w:r>
    </w:p>
    <w:p w14:paraId="3285BBF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5D82D3E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lang w:val="en-US" w:eastAsia="zh-CN"/>
        </w:rPr>
        <w:t xml:space="preserve">                                             </w:t>
      </w:r>
    </w:p>
    <w:p w14:paraId="2470F37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lang w:val="en-US" w:eastAsia="zh-CN"/>
        </w:rPr>
        <w:t xml:space="preserve">                     </w:t>
      </w:r>
    </w:p>
    <w:p w14:paraId="294B5BC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lang w:val="en-US" w:eastAsia="zh-CN"/>
        </w:rPr>
        <w:t xml:space="preserve">                                             </w:t>
      </w:r>
    </w:p>
    <w:p w14:paraId="0A3C341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lang w:val="en-US" w:eastAsia="zh-CN"/>
        </w:rPr>
        <w:t xml:space="preserve">                                             </w:t>
      </w:r>
    </w:p>
    <w:p w14:paraId="3BDC34C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lang w:val="en-US" w:eastAsia="zh-CN"/>
        </w:rPr>
        <w:t xml:space="preserve">                                             </w:t>
      </w:r>
    </w:p>
    <w:p w14:paraId="77B89B5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lang w:val="en-US" w:eastAsia="zh-CN"/>
        </w:rPr>
        <w:t xml:space="preserve">                                             </w:t>
      </w:r>
    </w:p>
    <w:p w14:paraId="50385E0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1DA76393">
      <w:pPr>
        <w:keepNext w:val="0"/>
        <w:keepLines w:val="0"/>
        <w:pageBreakBefore w:val="0"/>
        <w:widowControl w:val="0"/>
        <w:kinsoku/>
        <w:wordWrap w:val="0"/>
        <w:overflowPunct/>
        <w:topLinePunct w:val="0"/>
        <w:autoSpaceDE/>
        <w:autoSpaceDN/>
        <w:bidi w:val="0"/>
        <w:adjustRightInd w:val="0"/>
        <w:snapToGrid/>
        <w:spacing w:line="360" w:lineRule="auto"/>
        <w:ind w:left="630" w:leftChars="200" w:hanging="210" w:hangingChars="100"/>
        <w:textAlignment w:val="auto"/>
        <w:rPr>
          <w:rFonts w:hint="eastAsia" w:ascii="宋体" w:hAnsi="宋体" w:eastAsia="宋体" w:cs="宋体"/>
          <w:color w:val="auto"/>
          <w:sz w:val="21"/>
          <w:szCs w:val="21"/>
          <w:highlight w:val="none"/>
          <w:u w:val="dotted"/>
          <w:lang w:val="en-US" w:eastAsia="zh-CN"/>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lang w:val="en-US" w:eastAsia="zh-CN"/>
        </w:rPr>
        <w:t xml:space="preserve">      </w:t>
      </w:r>
    </w:p>
    <w:p w14:paraId="603F9ED7">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u w:val="dotted"/>
          <w:lang w:val="en-US" w:eastAsia="zh-CN"/>
        </w:rPr>
      </w:pPr>
      <w:r>
        <w:rPr>
          <w:rFonts w:hint="eastAsia" w:ascii="宋体" w:hAnsi="宋体" w:eastAsia="宋体" w:cs="宋体"/>
          <w:color w:val="auto"/>
          <w:sz w:val="21"/>
          <w:szCs w:val="21"/>
          <w:highlight w:val="none"/>
          <w:u w:val="dotted"/>
          <w:lang w:val="en-US" w:eastAsia="zh-CN"/>
        </w:rPr>
        <w:t xml:space="preserve">                                         </w:t>
      </w:r>
    </w:p>
    <w:p w14:paraId="23D3126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lang w:val="en-US" w:eastAsia="zh-CN"/>
        </w:rPr>
        <w:t xml:space="preserve">   </w:t>
      </w:r>
      <w:r>
        <w:rPr>
          <w:rFonts w:hint="eastAsia" w:ascii="宋体" w:hAnsi="宋体" w:eastAsia="宋体" w:cs="宋体"/>
          <w:color w:val="auto"/>
          <w:sz w:val="21"/>
          <w:szCs w:val="21"/>
          <w:highlight w:val="none"/>
        </w:rPr>
        <w:t>日,就质疑事项作出了答复/没有在法定期限内作出答复。</w:t>
      </w:r>
    </w:p>
    <w:p w14:paraId="7B52A6C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5462F46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color w:val="auto"/>
          <w:sz w:val="21"/>
          <w:szCs w:val="21"/>
          <w:highlight w:val="none"/>
          <w:u w:val="dotted"/>
          <w:lang w:val="en-US" w:eastAsia="zh-CN"/>
        </w:rPr>
        <w:t xml:space="preserve">                                            </w:t>
      </w:r>
    </w:p>
    <w:p w14:paraId="7AB08D7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lang w:val="en-US" w:eastAsia="zh-CN"/>
        </w:rPr>
        <w:t xml:space="preserve">                                            </w:t>
      </w:r>
    </w:p>
    <w:p w14:paraId="229BE2D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rPr>
      </w:pPr>
    </w:p>
    <w:p w14:paraId="22AF80A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lang w:val="en-US" w:eastAsia="zh-CN"/>
        </w:rPr>
        <w:t xml:space="preserve">                                            </w:t>
      </w:r>
    </w:p>
    <w:p w14:paraId="1CF15CD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2B7C663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720CD7F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32484A4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lang w:val="en-US" w:eastAsia="zh-CN"/>
        </w:rPr>
        <w:t xml:space="preserve">                                            </w:t>
      </w:r>
    </w:p>
    <w:p w14:paraId="78747B4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u w:val="single"/>
        </w:rPr>
      </w:pPr>
    </w:p>
    <w:p w14:paraId="7BB45C5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552D888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日期：</w:t>
      </w:r>
    </w:p>
    <w:p w14:paraId="45C6F29C">
      <w:pPr>
        <w:spacing w:line="360" w:lineRule="auto"/>
        <w:rPr>
          <w:rFonts w:hint="eastAsia" w:ascii="宋体" w:hAnsi="宋体" w:eastAsia="宋体" w:cs="宋体"/>
          <w:b/>
          <w:color w:val="auto"/>
          <w:sz w:val="24"/>
          <w:highlight w:val="none"/>
        </w:rPr>
      </w:pPr>
    </w:p>
    <w:p w14:paraId="592F90C0">
      <w:pPr>
        <w:spacing w:line="360" w:lineRule="auto"/>
        <w:rPr>
          <w:rFonts w:hint="eastAsia" w:ascii="宋体" w:hAnsi="宋体" w:eastAsia="宋体" w:cs="宋体"/>
          <w:b/>
          <w:color w:val="auto"/>
          <w:sz w:val="24"/>
          <w:highlight w:val="none"/>
        </w:rPr>
      </w:pPr>
    </w:p>
    <w:p w14:paraId="23B0A3D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5D2B05A5">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598E012F">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13F0E49">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7C42D1B3">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594DEDC9">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4D8631EF">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44E6774E">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5B68724C">
      <w:pPr>
        <w:spacing w:line="360" w:lineRule="auto"/>
        <w:rPr>
          <w:rFonts w:hint="eastAsia" w:ascii="宋体" w:hAnsi="宋体" w:eastAsia="宋体" w:cs="宋体"/>
          <w:b/>
          <w:color w:val="auto"/>
          <w:sz w:val="24"/>
          <w:highlight w:val="none"/>
        </w:rPr>
      </w:pPr>
    </w:p>
    <w:p w14:paraId="35F97AFA">
      <w:pPr>
        <w:autoSpaceDE w:val="0"/>
        <w:autoSpaceDN w:val="0"/>
        <w:jc w:val="center"/>
        <w:rPr>
          <w:rFonts w:hint="eastAsia" w:ascii="宋体" w:hAnsi="宋体" w:eastAsia="宋体" w:cs="宋体"/>
          <w:b/>
          <w:color w:val="auto"/>
          <w:spacing w:val="6"/>
          <w:sz w:val="32"/>
          <w:szCs w:val="32"/>
          <w:highlight w:val="none"/>
        </w:rPr>
      </w:pPr>
    </w:p>
    <w:p w14:paraId="53AE7DE1">
      <w:pPr>
        <w:autoSpaceDE w:val="0"/>
        <w:autoSpaceDN w:val="0"/>
        <w:jc w:val="center"/>
        <w:rPr>
          <w:rFonts w:hint="eastAsia" w:ascii="宋体" w:hAnsi="宋体" w:eastAsia="宋体" w:cs="宋体"/>
          <w:b/>
          <w:color w:val="auto"/>
          <w:spacing w:val="6"/>
          <w:sz w:val="32"/>
          <w:szCs w:val="32"/>
          <w:highlight w:val="none"/>
        </w:rPr>
      </w:pPr>
    </w:p>
    <w:p w14:paraId="361CCB0A">
      <w:pPr>
        <w:autoSpaceDE w:val="0"/>
        <w:autoSpaceDN w:val="0"/>
        <w:jc w:val="center"/>
        <w:rPr>
          <w:rFonts w:hint="eastAsia" w:ascii="宋体" w:hAnsi="宋体" w:eastAsia="宋体" w:cs="宋体"/>
          <w:b/>
          <w:color w:val="auto"/>
          <w:spacing w:val="6"/>
          <w:sz w:val="32"/>
          <w:szCs w:val="32"/>
          <w:highlight w:val="none"/>
        </w:rPr>
      </w:pPr>
    </w:p>
    <w:p w14:paraId="187640F8">
      <w:pPr>
        <w:autoSpaceDE w:val="0"/>
        <w:autoSpaceDN w:val="0"/>
        <w:jc w:val="center"/>
        <w:rPr>
          <w:rFonts w:hint="eastAsia" w:ascii="宋体" w:hAnsi="宋体" w:eastAsia="宋体" w:cs="宋体"/>
          <w:b/>
          <w:color w:val="auto"/>
          <w:spacing w:val="6"/>
          <w:sz w:val="32"/>
          <w:szCs w:val="32"/>
          <w:highlight w:val="none"/>
        </w:rPr>
      </w:pPr>
    </w:p>
    <w:p w14:paraId="4139842F">
      <w:pPr>
        <w:autoSpaceDE w:val="0"/>
        <w:autoSpaceDN w:val="0"/>
        <w:jc w:val="center"/>
        <w:rPr>
          <w:rFonts w:hint="eastAsia" w:ascii="宋体" w:hAnsi="宋体" w:eastAsia="宋体" w:cs="宋体"/>
          <w:b/>
          <w:color w:val="auto"/>
          <w:spacing w:val="6"/>
          <w:sz w:val="32"/>
          <w:szCs w:val="32"/>
          <w:highlight w:val="none"/>
        </w:rPr>
      </w:pPr>
    </w:p>
    <w:p w14:paraId="408138D3">
      <w:pPr>
        <w:autoSpaceDE w:val="0"/>
        <w:autoSpaceDN w:val="0"/>
        <w:jc w:val="center"/>
        <w:rPr>
          <w:rFonts w:hint="eastAsia" w:ascii="宋体" w:hAnsi="宋体" w:eastAsia="宋体" w:cs="宋体"/>
          <w:b/>
          <w:color w:val="auto"/>
          <w:spacing w:val="6"/>
          <w:sz w:val="32"/>
          <w:szCs w:val="32"/>
          <w:highlight w:val="none"/>
        </w:rPr>
      </w:pPr>
    </w:p>
    <w:p w14:paraId="081F5AF2">
      <w:pPr>
        <w:autoSpaceDE w:val="0"/>
        <w:autoSpaceDN w:val="0"/>
        <w:jc w:val="center"/>
        <w:rPr>
          <w:rFonts w:hint="eastAsia" w:ascii="宋体" w:hAnsi="宋体" w:eastAsia="宋体" w:cs="宋体"/>
          <w:b/>
          <w:color w:val="auto"/>
          <w:spacing w:val="6"/>
          <w:sz w:val="32"/>
          <w:szCs w:val="32"/>
          <w:highlight w:val="none"/>
        </w:rPr>
      </w:pPr>
    </w:p>
    <w:p w14:paraId="5A73A2AF">
      <w:pPr>
        <w:autoSpaceDE w:val="0"/>
        <w:autoSpaceDN w:val="0"/>
        <w:jc w:val="center"/>
        <w:rPr>
          <w:rFonts w:hint="eastAsia" w:ascii="宋体" w:hAnsi="宋体" w:eastAsia="宋体" w:cs="宋体"/>
          <w:b/>
          <w:color w:val="auto"/>
          <w:spacing w:val="6"/>
          <w:sz w:val="32"/>
          <w:szCs w:val="32"/>
          <w:highlight w:val="none"/>
        </w:rPr>
      </w:pPr>
    </w:p>
    <w:p w14:paraId="65B55A75">
      <w:pPr>
        <w:autoSpaceDE w:val="0"/>
        <w:autoSpaceDN w:val="0"/>
        <w:jc w:val="center"/>
        <w:rPr>
          <w:rFonts w:hint="eastAsia" w:ascii="宋体" w:hAnsi="宋体" w:eastAsia="宋体" w:cs="宋体"/>
          <w:b/>
          <w:color w:val="auto"/>
          <w:spacing w:val="6"/>
          <w:sz w:val="32"/>
          <w:szCs w:val="32"/>
          <w:highlight w:val="none"/>
        </w:rPr>
      </w:pPr>
    </w:p>
    <w:p w14:paraId="749F3153">
      <w:pPr>
        <w:autoSpaceDE w:val="0"/>
        <w:autoSpaceDN w:val="0"/>
        <w:jc w:val="center"/>
        <w:rPr>
          <w:rFonts w:hint="eastAsia" w:ascii="宋体" w:hAnsi="宋体" w:eastAsia="宋体" w:cs="宋体"/>
          <w:b/>
          <w:color w:val="auto"/>
          <w:spacing w:val="6"/>
          <w:sz w:val="32"/>
          <w:szCs w:val="32"/>
          <w:highlight w:val="none"/>
        </w:rPr>
      </w:pPr>
    </w:p>
    <w:p w14:paraId="2D14C682">
      <w:pPr>
        <w:pStyle w:val="3"/>
        <w:rPr>
          <w:rFonts w:hint="eastAsia" w:ascii="宋体" w:hAnsi="宋体" w:eastAsia="宋体" w:cs="宋体"/>
          <w:color w:val="auto"/>
          <w:highlight w:val="none"/>
        </w:rPr>
      </w:pPr>
    </w:p>
    <w:p w14:paraId="70DF291F">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66CFAA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（采购人）、（采购代理机构）</w:t>
      </w:r>
      <w:r>
        <w:rPr>
          <w:rFonts w:hint="eastAsia" w:ascii="宋体" w:hAnsi="宋体" w:eastAsia="宋体" w:cs="宋体"/>
          <w:color w:val="auto"/>
          <w:sz w:val="21"/>
          <w:szCs w:val="21"/>
          <w:highlight w:val="none"/>
          <w:u w:val="none"/>
          <w:lang w:eastAsia="zh-CN"/>
        </w:rPr>
        <w:t>：</w:t>
      </w:r>
    </w:p>
    <w:p w14:paraId="2D33AD8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你方组织的（项目名称）项目【招标编号：（采购编号）】</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我方所使用的“XX专用章”与法定名称章具有同等的法律效力，对使用“XX专用章”的行为予以完全承认，并愿意承担相应责任。</w:t>
      </w:r>
    </w:p>
    <w:p w14:paraId="41153BA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2AD62327">
      <w:pPr>
        <w:spacing w:line="360" w:lineRule="auto"/>
        <w:ind w:firstLine="494"/>
        <w:rPr>
          <w:rFonts w:hint="eastAsia" w:ascii="宋体" w:hAnsi="宋体" w:eastAsia="宋体" w:cs="宋体"/>
          <w:color w:val="auto"/>
          <w:sz w:val="24"/>
          <w:highlight w:val="none"/>
        </w:rPr>
      </w:pPr>
    </w:p>
    <w:p w14:paraId="14C00928">
      <w:pPr>
        <w:spacing w:line="360" w:lineRule="auto"/>
        <w:ind w:firstLine="494"/>
        <w:rPr>
          <w:rFonts w:hint="eastAsia" w:ascii="宋体" w:hAnsi="宋体" w:eastAsia="宋体" w:cs="宋体"/>
          <w:color w:val="auto"/>
          <w:sz w:val="24"/>
          <w:highlight w:val="none"/>
        </w:rPr>
      </w:pPr>
    </w:p>
    <w:p w14:paraId="68A98794">
      <w:pPr>
        <w:spacing w:line="360" w:lineRule="auto"/>
        <w:ind w:firstLine="494"/>
        <w:rPr>
          <w:rFonts w:hint="eastAsia" w:ascii="宋体" w:hAnsi="宋体" w:eastAsia="宋体" w:cs="宋体"/>
          <w:color w:val="auto"/>
          <w:sz w:val="24"/>
          <w:highlight w:val="none"/>
        </w:rPr>
      </w:pPr>
    </w:p>
    <w:p w14:paraId="430237BB">
      <w:pPr>
        <w:spacing w:line="360" w:lineRule="auto"/>
        <w:ind w:firstLine="494"/>
        <w:rPr>
          <w:rFonts w:hint="eastAsia" w:ascii="宋体" w:hAnsi="宋体" w:eastAsia="宋体" w:cs="宋体"/>
          <w:color w:val="auto"/>
          <w:sz w:val="24"/>
          <w:highlight w:val="none"/>
        </w:rPr>
      </w:pPr>
    </w:p>
    <w:p w14:paraId="0F74AACE">
      <w:pPr>
        <w:keepNext w:val="0"/>
        <w:keepLines w:val="0"/>
        <w:pageBreakBefore w:val="0"/>
        <w:widowControl w:val="0"/>
        <w:kinsoku/>
        <w:wordWrap/>
        <w:overflowPunct/>
        <w:topLinePunct w:val="0"/>
        <w:autoSpaceDE/>
        <w:autoSpaceDN/>
        <w:bidi w:val="0"/>
        <w:adjustRightInd w:val="0"/>
        <w:snapToGrid/>
        <w:spacing w:line="360" w:lineRule="auto"/>
        <w:ind w:right="480" w:firstLine="3570" w:firstLineChars="1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1E454DB3">
      <w:pPr>
        <w:keepNext w:val="0"/>
        <w:keepLines w:val="0"/>
        <w:pageBreakBefore w:val="0"/>
        <w:widowControl w:val="0"/>
        <w:kinsoku/>
        <w:wordWrap/>
        <w:overflowPunct/>
        <w:topLinePunct w:val="0"/>
        <w:autoSpaceDE/>
        <w:autoSpaceDN/>
        <w:bidi w:val="0"/>
        <w:adjustRightInd w:val="0"/>
        <w:snapToGrid/>
        <w:spacing w:line="360" w:lineRule="auto"/>
        <w:ind w:right="1440" w:firstLine="49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7894D58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w:t>
      </w:r>
    </w:p>
    <w:p w14:paraId="68F6F4D0">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val="0"/>
          <w:bCs w:val="0"/>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val="0"/>
          <w:bCs w:val="0"/>
          <w:color w:val="auto"/>
          <w:sz w:val="21"/>
          <w:szCs w:val="21"/>
          <w:highlight w:val="none"/>
        </w:rPr>
        <w:t>投标单位法定名称章（印模）</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投标单位“XX专用章”（印模）</w:t>
      </w:r>
    </w:p>
    <w:p w14:paraId="35C98D23">
      <w:pPr>
        <w:autoSpaceDE w:val="0"/>
        <w:autoSpaceDN w:val="0"/>
        <w:jc w:val="center"/>
        <w:rPr>
          <w:rFonts w:hint="eastAsia" w:ascii="宋体" w:hAnsi="宋体" w:eastAsia="宋体" w:cs="宋体"/>
          <w:b/>
          <w:color w:val="auto"/>
          <w:spacing w:val="6"/>
          <w:sz w:val="32"/>
          <w:szCs w:val="32"/>
          <w:highlight w:val="none"/>
        </w:rPr>
      </w:pPr>
    </w:p>
    <w:p w14:paraId="6CF11DD3">
      <w:pPr>
        <w:autoSpaceDE w:val="0"/>
        <w:autoSpaceDN w:val="0"/>
        <w:jc w:val="center"/>
        <w:rPr>
          <w:rFonts w:hint="eastAsia" w:ascii="宋体" w:hAnsi="宋体" w:eastAsia="宋体" w:cs="宋体"/>
          <w:b/>
          <w:color w:val="auto"/>
          <w:spacing w:val="6"/>
          <w:sz w:val="32"/>
          <w:szCs w:val="32"/>
          <w:highlight w:val="none"/>
        </w:rPr>
      </w:pPr>
    </w:p>
    <w:p w14:paraId="549D6A7B">
      <w:pPr>
        <w:autoSpaceDE w:val="0"/>
        <w:autoSpaceDN w:val="0"/>
        <w:jc w:val="center"/>
        <w:rPr>
          <w:rFonts w:hint="eastAsia" w:ascii="宋体" w:hAnsi="宋体" w:eastAsia="宋体" w:cs="宋体"/>
          <w:b/>
          <w:color w:val="auto"/>
          <w:spacing w:val="6"/>
          <w:sz w:val="32"/>
          <w:szCs w:val="32"/>
          <w:highlight w:val="none"/>
        </w:rPr>
      </w:pPr>
    </w:p>
    <w:p w14:paraId="12D25C35">
      <w:pPr>
        <w:autoSpaceDE w:val="0"/>
        <w:autoSpaceDN w:val="0"/>
        <w:jc w:val="center"/>
        <w:rPr>
          <w:rFonts w:hint="eastAsia" w:ascii="宋体" w:hAnsi="宋体" w:eastAsia="宋体" w:cs="宋体"/>
          <w:b/>
          <w:color w:val="auto"/>
          <w:spacing w:val="6"/>
          <w:sz w:val="32"/>
          <w:szCs w:val="32"/>
          <w:highlight w:val="none"/>
        </w:rPr>
      </w:pPr>
    </w:p>
    <w:p w14:paraId="3E048D82">
      <w:pPr>
        <w:autoSpaceDE w:val="0"/>
        <w:autoSpaceDN w:val="0"/>
        <w:jc w:val="center"/>
        <w:rPr>
          <w:rFonts w:hint="eastAsia" w:ascii="宋体" w:hAnsi="宋体" w:eastAsia="宋体" w:cs="宋体"/>
          <w:b/>
          <w:color w:val="auto"/>
          <w:spacing w:val="6"/>
          <w:sz w:val="32"/>
          <w:szCs w:val="32"/>
          <w:highlight w:val="none"/>
        </w:rPr>
      </w:pPr>
    </w:p>
    <w:p w14:paraId="671A8A45">
      <w:pPr>
        <w:autoSpaceDE w:val="0"/>
        <w:autoSpaceDN w:val="0"/>
        <w:jc w:val="center"/>
        <w:rPr>
          <w:rFonts w:hint="eastAsia" w:ascii="宋体" w:hAnsi="宋体" w:eastAsia="宋体" w:cs="宋体"/>
          <w:b/>
          <w:color w:val="auto"/>
          <w:spacing w:val="6"/>
          <w:sz w:val="32"/>
          <w:szCs w:val="32"/>
          <w:highlight w:val="none"/>
        </w:rPr>
      </w:pPr>
    </w:p>
    <w:p w14:paraId="2411117C">
      <w:pPr>
        <w:autoSpaceDE w:val="0"/>
        <w:autoSpaceDN w:val="0"/>
        <w:jc w:val="center"/>
        <w:rPr>
          <w:rFonts w:hint="eastAsia" w:ascii="宋体" w:hAnsi="宋体" w:eastAsia="宋体" w:cs="宋体"/>
          <w:b/>
          <w:color w:val="auto"/>
          <w:spacing w:val="6"/>
          <w:sz w:val="32"/>
          <w:szCs w:val="32"/>
          <w:highlight w:val="none"/>
        </w:rPr>
      </w:pPr>
    </w:p>
    <w:p w14:paraId="740C7210">
      <w:pPr>
        <w:autoSpaceDE w:val="0"/>
        <w:autoSpaceDN w:val="0"/>
        <w:jc w:val="center"/>
        <w:rPr>
          <w:rFonts w:hint="eastAsia" w:ascii="宋体" w:hAnsi="宋体" w:eastAsia="宋体" w:cs="宋体"/>
          <w:b/>
          <w:color w:val="auto"/>
          <w:spacing w:val="6"/>
          <w:sz w:val="32"/>
          <w:szCs w:val="32"/>
          <w:highlight w:val="none"/>
        </w:rPr>
      </w:pPr>
    </w:p>
    <w:p w14:paraId="6617F4EF">
      <w:pPr>
        <w:autoSpaceDE w:val="0"/>
        <w:autoSpaceDN w:val="0"/>
        <w:jc w:val="center"/>
        <w:rPr>
          <w:rFonts w:hint="eastAsia" w:ascii="宋体" w:hAnsi="宋体" w:eastAsia="宋体" w:cs="宋体"/>
          <w:b/>
          <w:color w:val="auto"/>
          <w:spacing w:val="6"/>
          <w:sz w:val="32"/>
          <w:szCs w:val="32"/>
          <w:highlight w:val="none"/>
        </w:rPr>
      </w:pPr>
    </w:p>
    <w:p w14:paraId="5A9E2B3F">
      <w:pPr>
        <w:autoSpaceDE w:val="0"/>
        <w:autoSpaceDN w:val="0"/>
        <w:jc w:val="center"/>
        <w:rPr>
          <w:rFonts w:hint="eastAsia" w:ascii="宋体" w:hAnsi="宋体" w:eastAsia="宋体" w:cs="宋体"/>
          <w:b/>
          <w:color w:val="auto"/>
          <w:spacing w:val="6"/>
          <w:sz w:val="32"/>
          <w:szCs w:val="32"/>
          <w:highlight w:val="none"/>
        </w:rPr>
      </w:pPr>
    </w:p>
    <w:p w14:paraId="62056B28">
      <w:pPr>
        <w:autoSpaceDE w:val="0"/>
        <w:autoSpaceDN w:val="0"/>
        <w:jc w:val="center"/>
        <w:rPr>
          <w:rFonts w:hint="eastAsia" w:ascii="宋体" w:hAnsi="宋体" w:eastAsia="宋体" w:cs="宋体"/>
          <w:b/>
          <w:color w:val="auto"/>
          <w:spacing w:val="6"/>
          <w:sz w:val="32"/>
          <w:szCs w:val="32"/>
          <w:highlight w:val="none"/>
        </w:rPr>
      </w:pPr>
    </w:p>
    <w:p w14:paraId="1DBC612F">
      <w:pPr>
        <w:autoSpaceDE w:val="0"/>
        <w:autoSpaceDN w:val="0"/>
        <w:jc w:val="center"/>
        <w:rPr>
          <w:rFonts w:hint="eastAsia" w:ascii="宋体" w:hAnsi="宋体" w:eastAsia="宋体" w:cs="宋体"/>
          <w:b/>
          <w:color w:val="auto"/>
          <w:spacing w:val="6"/>
          <w:sz w:val="32"/>
          <w:szCs w:val="32"/>
          <w:highlight w:val="none"/>
        </w:rPr>
      </w:pPr>
    </w:p>
    <w:p w14:paraId="41D9CB3A">
      <w:pPr>
        <w:autoSpaceDE w:val="0"/>
        <w:autoSpaceDN w:val="0"/>
        <w:jc w:val="center"/>
        <w:rPr>
          <w:rFonts w:hint="eastAsia" w:ascii="宋体" w:hAnsi="宋体" w:eastAsia="宋体" w:cs="宋体"/>
          <w:b/>
          <w:color w:val="auto"/>
          <w:spacing w:val="6"/>
          <w:sz w:val="32"/>
          <w:szCs w:val="32"/>
          <w:highlight w:val="none"/>
        </w:rPr>
      </w:pPr>
    </w:p>
    <w:p w14:paraId="15BC6318">
      <w:pPr>
        <w:autoSpaceDE w:val="0"/>
        <w:autoSpaceDN w:val="0"/>
        <w:jc w:val="center"/>
        <w:rPr>
          <w:rFonts w:hint="eastAsia" w:ascii="宋体" w:hAnsi="宋体" w:eastAsia="宋体" w:cs="宋体"/>
          <w:b/>
          <w:color w:val="auto"/>
          <w:spacing w:val="6"/>
          <w:sz w:val="32"/>
          <w:szCs w:val="32"/>
          <w:highlight w:val="none"/>
        </w:rPr>
      </w:pPr>
    </w:p>
    <w:p w14:paraId="2DA39F91">
      <w:pPr>
        <w:autoSpaceDE w:val="0"/>
        <w:autoSpaceDN w:val="0"/>
        <w:jc w:val="center"/>
        <w:rPr>
          <w:rFonts w:hint="eastAsia" w:ascii="宋体" w:hAnsi="宋体" w:eastAsia="宋体" w:cs="宋体"/>
          <w:b/>
          <w:color w:val="auto"/>
          <w:spacing w:val="6"/>
          <w:sz w:val="32"/>
          <w:szCs w:val="32"/>
          <w:highlight w:val="none"/>
        </w:rPr>
      </w:pPr>
    </w:p>
    <w:p w14:paraId="1F9CBD04">
      <w:pPr>
        <w:autoSpaceDE w:val="0"/>
        <w:autoSpaceDN w:val="0"/>
        <w:jc w:val="center"/>
        <w:rPr>
          <w:rFonts w:hint="eastAsia" w:ascii="宋体" w:hAnsi="宋体" w:eastAsia="宋体" w:cs="宋体"/>
          <w:b/>
          <w:color w:val="auto"/>
          <w:spacing w:val="6"/>
          <w:sz w:val="32"/>
          <w:szCs w:val="32"/>
          <w:highlight w:val="none"/>
        </w:rPr>
      </w:pPr>
    </w:p>
    <w:p w14:paraId="38D73A4C">
      <w:pPr>
        <w:autoSpaceDE w:val="0"/>
        <w:autoSpaceDN w:val="0"/>
        <w:jc w:val="center"/>
        <w:rPr>
          <w:rFonts w:hint="eastAsia" w:ascii="宋体" w:hAnsi="宋体" w:eastAsia="宋体" w:cs="宋体"/>
          <w:b/>
          <w:color w:val="auto"/>
          <w:spacing w:val="6"/>
          <w:sz w:val="32"/>
          <w:szCs w:val="32"/>
          <w:highlight w:val="none"/>
        </w:rPr>
      </w:pPr>
    </w:p>
    <w:p w14:paraId="3C722EF6">
      <w:pPr>
        <w:autoSpaceDE w:val="0"/>
        <w:autoSpaceDN w:val="0"/>
        <w:jc w:val="center"/>
        <w:rPr>
          <w:rFonts w:hint="eastAsia" w:ascii="宋体" w:hAnsi="宋体" w:eastAsia="宋体" w:cs="宋体"/>
          <w:b/>
          <w:color w:val="auto"/>
          <w:spacing w:val="6"/>
          <w:sz w:val="32"/>
          <w:szCs w:val="32"/>
          <w:highlight w:val="none"/>
        </w:rPr>
      </w:pPr>
    </w:p>
    <w:p w14:paraId="66B416D0">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pacing w:val="6"/>
          <w:sz w:val="32"/>
          <w:szCs w:val="32"/>
          <w:highlight w:val="none"/>
          <w:lang w:val="zh-CN"/>
        </w:rPr>
        <w:t>联合协议</w:t>
      </w:r>
    </w:p>
    <w:p w14:paraId="13B20AA4">
      <w:pPr>
        <w:keepNext w:val="0"/>
        <w:keepLines w:val="0"/>
        <w:pageBreakBefore w:val="0"/>
        <w:widowControl/>
        <w:kinsoku/>
        <w:wordWrap/>
        <w:overflowPunct/>
        <w:topLinePunct w:val="0"/>
        <w:autoSpaceDE/>
        <w:autoSpaceDN/>
        <w:bidi w:val="0"/>
        <w:adjustRightInd w:val="0"/>
        <w:spacing w:line="360" w:lineRule="auto"/>
        <w:ind w:right="0"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以联合体形式投标的，提供联合协议；本项目不接受联合体投标或者投标人不以联合体形式投标的，则不需要提供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w:t>
      </w:r>
    </w:p>
    <w:p w14:paraId="73E64957">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rPr>
        <w:t>（项目名称）【招标编号：（采购编号）】</w:t>
      </w:r>
      <w:r>
        <w:rPr>
          <w:rFonts w:hint="eastAsia" w:ascii="宋体" w:hAnsi="宋体" w:eastAsia="宋体" w:cs="宋体"/>
          <w:color w:val="auto"/>
          <w:kern w:val="0"/>
          <w:sz w:val="21"/>
          <w:szCs w:val="21"/>
          <w:highlight w:val="none"/>
          <w:lang w:val="zh-CN"/>
        </w:rPr>
        <w:t xml:space="preserve">投标。 </w:t>
      </w:r>
    </w:p>
    <w:p w14:paraId="5100E35F">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46614143">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0AEB0723">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38261D94">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29E24AA2">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2AB3D0CF">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2ACF166B">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14:paraId="0EECB315">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513" w:name="_Hlk101131882"/>
      <w:r>
        <w:rPr>
          <w:rFonts w:hint="eastAsia" w:ascii="宋体" w:hAnsi="宋体" w:eastAsia="宋体" w:cs="宋体"/>
          <w:color w:val="auto"/>
          <w:kern w:val="0"/>
          <w:sz w:val="21"/>
          <w:szCs w:val="21"/>
          <w:highlight w:val="none"/>
          <w:u w:val="single"/>
        </w:rPr>
        <w:t>联合体成员X,……</w:t>
      </w:r>
      <w:bookmarkEnd w:id="513"/>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提供的全部货物由小微企业制造，其合同份额占到合同总金额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w:t>
      </w:r>
      <w:bookmarkStart w:id="514" w:name="_Hlk101133598"/>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bookmarkEnd w:id="514"/>
      <w:r>
        <w:rPr>
          <w:rFonts w:hint="eastAsia" w:ascii="宋体" w:hAnsi="宋体" w:eastAsia="宋体" w:cs="宋体"/>
          <w:b/>
          <w:color w:val="auto"/>
          <w:kern w:val="0"/>
          <w:sz w:val="21"/>
          <w:szCs w:val="21"/>
          <w:highlight w:val="none"/>
          <w:lang w:val="zh-CN"/>
        </w:rPr>
        <w:t>）</w:t>
      </w:r>
    </w:p>
    <w:p w14:paraId="4ABF4F21">
      <w:pPr>
        <w:keepNext w:val="0"/>
        <w:keepLines w:val="0"/>
        <w:pageBreakBefore w:val="0"/>
        <w:widowControl w:val="0"/>
        <w:kinsoku/>
        <w:wordWrap/>
        <w:overflowPunct/>
        <w:topLinePunct w:val="0"/>
        <w:autoSpaceDE/>
        <w:autoSpaceDN/>
        <w:bidi w:val="0"/>
        <w:adjustRightInd w:val="0"/>
        <w:spacing w:line="312" w:lineRule="auto"/>
        <w:ind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515"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515"/>
    </w:p>
    <w:p w14:paraId="26B8D68C">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065BBF34">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14:paraId="73FA3852">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1C972AA8">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2C146B5F">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14:paraId="23023313">
      <w:pPr>
        <w:keepNext w:val="0"/>
        <w:keepLines w:val="0"/>
        <w:pageBreakBefore w:val="0"/>
        <w:widowControl w:val="0"/>
        <w:kinsoku/>
        <w:wordWrap/>
        <w:overflowPunct/>
        <w:topLinePunct w:val="0"/>
        <w:autoSpaceDE/>
        <w:autoSpaceDN/>
        <w:bidi w:val="0"/>
        <w:adjustRightInd w:val="0"/>
        <w:snapToGrid w:val="0"/>
        <w:spacing w:line="312"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1477996F">
      <w:pPr>
        <w:keepNext w:val="0"/>
        <w:keepLines w:val="0"/>
        <w:pageBreakBefore w:val="0"/>
        <w:widowControl w:val="0"/>
        <w:kinsoku/>
        <w:wordWrap/>
        <w:overflowPunct/>
        <w:topLinePunct w:val="0"/>
        <w:autoSpaceDE/>
        <w:autoSpaceDN/>
        <w:bidi w:val="0"/>
        <w:adjustRightInd w:val="0"/>
        <w:snapToGrid w:val="0"/>
        <w:spacing w:line="312"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5DDAD71A">
      <w:pPr>
        <w:keepNext w:val="0"/>
        <w:keepLines w:val="0"/>
        <w:pageBreakBefore w:val="0"/>
        <w:widowControl w:val="0"/>
        <w:kinsoku/>
        <w:wordWrap/>
        <w:overflowPunct/>
        <w:topLinePunct w:val="0"/>
        <w:autoSpaceDE/>
        <w:autoSpaceDN/>
        <w:bidi w:val="0"/>
        <w:adjustRightInd w:val="0"/>
        <w:snapToGrid w:val="0"/>
        <w:spacing w:line="312" w:lineRule="auto"/>
        <w:ind w:right="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6EF5C752">
      <w:pPr>
        <w:keepNext w:val="0"/>
        <w:keepLines w:val="0"/>
        <w:pageBreakBefore w:val="0"/>
        <w:widowControl w:val="0"/>
        <w:kinsoku/>
        <w:wordWrap/>
        <w:overflowPunct/>
        <w:topLinePunct w:val="0"/>
        <w:autoSpaceDE/>
        <w:autoSpaceDN/>
        <w:bidi w:val="0"/>
        <w:adjustRightInd w:val="0"/>
        <w:snapToGrid w:val="0"/>
        <w:spacing w:line="312" w:lineRule="auto"/>
        <w:ind w:right="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  年  月   日</w:t>
      </w:r>
    </w:p>
    <w:p w14:paraId="77857AC5">
      <w:pPr>
        <w:keepNext w:val="0"/>
        <w:keepLines w:val="0"/>
        <w:pageBreakBefore w:val="0"/>
        <w:widowControl w:val="0"/>
        <w:kinsoku/>
        <w:wordWrap/>
        <w:overflowPunct/>
        <w:topLinePunct w:val="0"/>
        <w:autoSpaceDE/>
        <w:autoSpaceDN/>
        <w:bidi w:val="0"/>
        <w:adjustRightInd w:val="0"/>
        <w:snapToGrid/>
        <w:spacing w:line="312" w:lineRule="auto"/>
        <w:ind w:right="0" w:firstLine="0" w:firstLineChars="0"/>
        <w:jc w:val="both"/>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21"/>
          <w:szCs w:val="21"/>
          <w:highlight w:val="none"/>
        </w:rPr>
        <w:t>注：按本格式和要求提供。</w:t>
      </w:r>
    </w:p>
    <w:p w14:paraId="736C5FE3">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宋体" w:hAnsi="宋体" w:eastAsia="宋体" w:cs="宋体"/>
          <w:b/>
          <w:color w:val="auto"/>
          <w:spacing w:val="6"/>
          <w:sz w:val="32"/>
          <w:szCs w:val="32"/>
          <w:highlight w:val="none"/>
        </w:rPr>
      </w:pPr>
    </w:p>
    <w:p w14:paraId="76308610">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宋体" w:hAnsi="宋体" w:eastAsia="宋体" w:cs="宋体"/>
          <w:b/>
          <w:color w:val="auto"/>
          <w:spacing w:val="6"/>
          <w:sz w:val="32"/>
          <w:szCs w:val="32"/>
          <w:highlight w:val="none"/>
        </w:rPr>
      </w:pPr>
    </w:p>
    <w:p w14:paraId="4D89A396">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6</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rPr>
        <w:t>分包意向协议</w:t>
      </w:r>
    </w:p>
    <w:p w14:paraId="0D6EED09">
      <w:pPr>
        <w:keepNext w:val="0"/>
        <w:keepLines w:val="0"/>
        <w:pageBreakBefore w:val="0"/>
        <w:widowControl/>
        <w:kinsoku/>
        <w:wordWrap/>
        <w:overflowPunct/>
        <w:topLinePunct w:val="0"/>
        <w:autoSpaceDE/>
        <w:autoSpaceDN/>
        <w:bidi w:val="0"/>
        <w:adjustRightInd w:val="0"/>
        <w:spacing w:line="360" w:lineRule="auto"/>
        <w:ind w:right="0"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b w:val="0"/>
          <w:bCs/>
          <w:color w:val="auto"/>
          <w:sz w:val="21"/>
          <w:szCs w:val="21"/>
          <w:highlight w:val="none"/>
          <w:lang w:val="en-US" w:eastAsia="zh-CN"/>
        </w:rPr>
        <w:t>]</w:t>
      </w:r>
    </w:p>
    <w:p w14:paraId="169A90CC">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rPr>
        <w:t>（项目名称）【招标编号：（采购编号）】</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14:paraId="012E7E48">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1BF7514E">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690BF84A">
      <w:pPr>
        <w:pStyle w:val="5"/>
        <w:pageBreakBefore w:val="0"/>
        <w:widowControl w:val="0"/>
        <w:kinsoku/>
        <w:wordWrap w:val="0"/>
        <w:overflowPunct/>
        <w:topLinePunct w:val="0"/>
        <w:autoSpaceDE/>
        <w:autoSpaceDN/>
        <w:bidi w:val="0"/>
        <w:spacing w:line="312"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41F6AD22">
      <w:pPr>
        <w:pageBreakBefore w:val="0"/>
        <w:widowControl w:val="0"/>
        <w:kinsoku/>
        <w:wordWrap w:val="0"/>
        <w:overflowPunct/>
        <w:topLinePunct w:val="0"/>
        <w:autoSpaceDE/>
        <w:autoSpaceDN/>
        <w:bidi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0C5C8592">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（分包供应商X,……）提供的货物全部由小微企业制造，</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17EB93EE">
      <w:pPr>
        <w:pageBreakBefore w:val="0"/>
        <w:widowControl w:val="0"/>
        <w:kinsoku/>
        <w:wordWrap w:val="0"/>
        <w:overflowPunct/>
        <w:topLinePunct w:val="0"/>
        <w:autoSpaceDE/>
        <w:autoSpaceDN/>
        <w:bidi w:val="0"/>
        <w:spacing w:line="312" w:lineRule="auto"/>
        <w:ind w:left="0" w:leftChars="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3B473C0A">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67B71FEB">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0A63AA26">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2200A342">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0DF126C5">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14948163">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4D51B436">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5C4A18EF">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52945823">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2588B811">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7BD83421">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14:paraId="03955969">
      <w:pPr>
        <w:keepNext w:val="0"/>
        <w:keepLines w:val="0"/>
        <w:pageBreakBefore w:val="0"/>
        <w:widowControl w:val="0"/>
        <w:kinsoku/>
        <w:wordWrap w:val="0"/>
        <w:overflowPunct/>
        <w:topLinePunct w:val="0"/>
        <w:autoSpaceDE/>
        <w:autoSpaceDN/>
        <w:bidi w:val="0"/>
        <w:adjustRightInd w:val="0"/>
        <w:snapToGrid w:val="0"/>
        <w:spacing w:line="312"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投标人名称(电子签名)：</w:t>
      </w:r>
    </w:p>
    <w:p w14:paraId="6258A43C">
      <w:pPr>
        <w:keepNext w:val="0"/>
        <w:keepLines w:val="0"/>
        <w:pageBreakBefore w:val="0"/>
        <w:widowControl w:val="0"/>
        <w:kinsoku/>
        <w:overflowPunct/>
        <w:topLinePunct w:val="0"/>
        <w:autoSpaceDE/>
        <w:autoSpaceDN/>
        <w:bidi w:val="0"/>
        <w:adjustRightInd w:val="0"/>
        <w:snapToGrid w:val="0"/>
        <w:spacing w:line="312" w:lineRule="auto"/>
        <w:ind w:left="0" w:leftChars="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分包供应商名称(电子签名/公章)：</w:t>
      </w:r>
    </w:p>
    <w:p w14:paraId="60CFCEDA">
      <w:pPr>
        <w:keepNext w:val="0"/>
        <w:keepLines w:val="0"/>
        <w:pageBreakBefore w:val="0"/>
        <w:widowControl w:val="0"/>
        <w:kinsoku/>
        <w:overflowPunct/>
        <w:topLinePunct w:val="0"/>
        <w:autoSpaceDE/>
        <w:autoSpaceDN/>
        <w:bidi w:val="0"/>
        <w:adjustRightInd w:val="0"/>
        <w:snapToGrid w:val="0"/>
        <w:spacing w:line="312"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w:t>
      </w:r>
    </w:p>
    <w:p w14:paraId="56747B78">
      <w:pPr>
        <w:keepNext w:val="0"/>
        <w:keepLines w:val="0"/>
        <w:pageBreakBefore w:val="0"/>
        <w:widowControl w:val="0"/>
        <w:kinsoku/>
        <w:overflowPunct/>
        <w:topLinePunct w:val="0"/>
        <w:autoSpaceDE/>
        <w:autoSpaceDN/>
        <w:bidi w:val="0"/>
        <w:adjustRightInd w:val="0"/>
        <w:snapToGrid w:val="0"/>
        <w:spacing w:line="312" w:lineRule="auto"/>
        <w:ind w:left="0" w:leftChars="0" w:firstLine="0"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2F72C9BC">
      <w:pPr>
        <w:keepNext w:val="0"/>
        <w:keepLines w:val="0"/>
        <w:pageBreakBefore w:val="0"/>
        <w:widowControl w:val="0"/>
        <w:kinsoku/>
        <w:wordWrap/>
        <w:overflowPunct/>
        <w:topLinePunct w:val="0"/>
        <w:autoSpaceDE/>
        <w:autoSpaceDN/>
        <w:bidi w:val="0"/>
        <w:adjustRightInd w:val="0"/>
        <w:snapToGrid/>
        <w:spacing w:line="312" w:lineRule="auto"/>
        <w:ind w:left="0" w:leftChars="0" w:firstLine="0" w:firstLineChars="0"/>
        <w:jc w:val="both"/>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21"/>
          <w:szCs w:val="21"/>
          <w:highlight w:val="none"/>
        </w:rPr>
        <w:t>注：按本格式和要求提供。</w:t>
      </w:r>
    </w:p>
    <w:p w14:paraId="242BB9D8">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both"/>
        <w:textAlignment w:val="auto"/>
        <w:rPr>
          <w:rFonts w:hint="eastAsia" w:ascii="宋体" w:hAnsi="宋体" w:eastAsia="宋体" w:cs="宋体"/>
          <w:b/>
          <w:color w:val="auto"/>
          <w:sz w:val="32"/>
          <w:szCs w:val="32"/>
          <w:highlight w:val="none"/>
          <w:lang w:val="en-US" w:eastAsia="zh-CN"/>
        </w:rPr>
      </w:pPr>
    </w:p>
    <w:p w14:paraId="1D4A0EBA">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both"/>
        <w:textAlignment w:val="auto"/>
        <w:rPr>
          <w:rFonts w:hint="eastAsia" w:ascii="宋体" w:hAnsi="宋体" w:eastAsia="宋体" w:cs="宋体"/>
          <w:b/>
          <w:color w:val="auto"/>
          <w:sz w:val="32"/>
          <w:szCs w:val="32"/>
          <w:highlight w:val="none"/>
          <w:lang w:val="en-US" w:eastAsia="zh-CN"/>
        </w:rPr>
      </w:pPr>
    </w:p>
    <w:p w14:paraId="7F028BFC">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both"/>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附件7：</w:t>
      </w: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val="en-US" w:eastAsia="zh-CN"/>
        </w:rPr>
        <w:t>:</w:t>
      </w:r>
    </w:p>
    <w:p w14:paraId="07B9EC30">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val="en-US" w:eastAsia="zh-CN"/>
        </w:rPr>
        <w:t>货物</w:t>
      </w:r>
      <w:r>
        <w:rPr>
          <w:rFonts w:hint="eastAsia" w:ascii="宋体" w:hAnsi="宋体" w:eastAsia="宋体" w:cs="宋体"/>
          <w:b/>
          <w:color w:val="auto"/>
          <w:sz w:val="32"/>
          <w:szCs w:val="32"/>
          <w:highlight w:val="none"/>
        </w:rPr>
        <w:t>）</w:t>
      </w:r>
    </w:p>
    <w:p w14:paraId="5F493043">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采购人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14:paraId="0F3750B2">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rPr>
        <w:t xml:space="preserve">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74905BC7">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rPr>
        <w:t xml:space="preserve">为 </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 </w:t>
      </w:r>
      <w:r>
        <w:rPr>
          <w:rFonts w:hint="eastAsia" w:ascii="宋体" w:hAnsi="宋体" w:eastAsia="宋体" w:cs="宋体"/>
          <w:color w:val="auto"/>
          <w:sz w:val="21"/>
          <w:szCs w:val="21"/>
          <w:highlight w:val="none"/>
        </w:rPr>
        <w:t>；</w:t>
      </w:r>
    </w:p>
    <w:p w14:paraId="52CF5AAB">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AA9BB87">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2A39BBF">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17D8721">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投标人名称（电子签名）：</w:t>
      </w:r>
    </w:p>
    <w:p w14:paraId="65C5CC63">
      <w:pPr>
        <w:keepNext w:val="0"/>
        <w:keepLines w:val="0"/>
        <w:pageBreakBefore w:val="0"/>
        <w:widowControl w:val="0"/>
        <w:kinsoku/>
        <w:wordWrap/>
        <w:overflowPunct/>
        <w:topLinePunct w:val="0"/>
        <w:autoSpaceDE/>
        <w:autoSpaceDN/>
        <w:bidi w:val="0"/>
        <w:adjustRightInd w:val="0"/>
        <w:snapToGrid/>
        <w:spacing w:line="360" w:lineRule="auto"/>
        <w:ind w:right="0"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A5DBE8D">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宋体" w:hAnsi="宋体" w:eastAsia="宋体" w:cs="宋体"/>
          <w:b/>
          <w:color w:val="auto"/>
          <w:sz w:val="21"/>
          <w:szCs w:val="21"/>
          <w:highlight w:val="none"/>
        </w:rPr>
      </w:pPr>
    </w:p>
    <w:p w14:paraId="2B5EE4EF">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从业人员、营业收入、资产总额填报上一年度数据，无上一年度数据的新成立企业可不填报。</w:t>
      </w:r>
    </w:p>
    <w:p w14:paraId="5442AC72">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p>
    <w:p w14:paraId="6BE204F2">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F47DFAB">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A901A1">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footerReference r:id="rId20" w:type="first"/>
      <w:headerReference r:id="rId16" w:type="default"/>
      <w:footerReference r:id="rId18" w:type="default"/>
      <w:footerReference r:id="rId19" w:type="even"/>
      <w:pgSz w:w="11905" w:h="16838"/>
      <w:pgMar w:top="1440" w:right="1080" w:bottom="1440" w:left="1080" w:header="851" w:footer="992" w:gutter="283"/>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2332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29A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36110187"/>
    <w:bookmarkStart w:id="517" w:name="_Toc164085800"/>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4FCB">
    <w:pPr>
      <w:pStyle w:val="42"/>
      <w:framePr w:wrap="around" w:vAnchor="text" w:hAnchor="margin" w:xAlign="right" w:y="1"/>
      <w:rPr>
        <w:rStyle w:val="75"/>
      </w:rPr>
    </w:pPr>
    <w:r>
      <w:fldChar w:fldCharType="begin"/>
    </w:r>
    <w:r>
      <w:rPr>
        <w:rStyle w:val="75"/>
      </w:rPr>
      <w:instrText xml:space="preserve">PAGE  </w:instrText>
    </w:r>
    <w:r>
      <w:fldChar w:fldCharType="end"/>
    </w:r>
  </w:p>
  <w:p w14:paraId="19E2DC1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698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A4A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4A127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A3A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6F5E598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A62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73EE29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7F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72C4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AE0B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840B">
    <w:pPr>
      <w:pStyle w:val="42"/>
      <w:framePr w:wrap="around" w:vAnchor="text" w:hAnchor="margin" w:xAlign="right" w:y="1"/>
      <w:rPr>
        <w:rStyle w:val="75"/>
      </w:rPr>
    </w:pPr>
    <w:r>
      <w:fldChar w:fldCharType="begin"/>
    </w:r>
    <w:r>
      <w:rPr>
        <w:rStyle w:val="75"/>
      </w:rPr>
      <w:instrText xml:space="preserve">PAGE  </w:instrText>
    </w:r>
    <w:r>
      <w:fldChar w:fldCharType="end"/>
    </w:r>
  </w:p>
  <w:p w14:paraId="131F59E5">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CC097">
    <w:pPr>
      <w:pStyle w:val="44"/>
      <w:pBdr>
        <w:bottom w:val="thickThinLargeGap" w:color="auto" w:sz="4" w:space="1"/>
      </w:pBdr>
      <w:jc w:val="left"/>
      <w:rPr>
        <w:rFonts w:hint="eastAsia" w:ascii="幼圆" w:hAnsi="幼圆" w:eastAsia="幼圆" w:cs="幼圆"/>
        <w:lang w:val="en-US"/>
      </w:rPr>
    </w:pPr>
    <w:r>
      <w:rPr>
        <w:rFonts w:hint="eastAsia" w:ascii="幼圆" w:hAnsi="幼圆" w:eastAsia="幼圆" w:cs="幼圆"/>
        <w:lang w:val="en-US" w:eastAsia="zh-CN"/>
      </w:rPr>
      <w:t>高新区人才人力大厦设备及其他附属采购项目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ED8F">
    <w:pPr>
      <w:pStyle w:val="4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F756">
    <w:pPr>
      <w:pStyle w:val="44"/>
      <w:pBdr>
        <w:bottom w:val="thickThinLargeGap" w:color="auto" w:sz="4" w:space="1"/>
      </w:pBdr>
      <w:jc w:val="both"/>
    </w:pPr>
    <w:r>
      <w:rPr>
        <w:rFonts w:hint="eastAsia" w:ascii="幼圆" w:hAnsi="幼圆" w:eastAsia="幼圆" w:cs="幼圆"/>
        <w:lang w:val="en-US" w:eastAsia="zh-CN"/>
      </w:rPr>
      <w:t>高新区人才人力大厦设备及其他附属采购项目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B99DB">
    <w:pPr>
      <w:pStyle w:val="44"/>
      <w:pBdr>
        <w:bottom w:val="thickThinLargeGap" w:color="auto" w:sz="4" w:space="1"/>
      </w:pBdr>
      <w:jc w:val="both"/>
    </w:pPr>
    <w:r>
      <w:rPr>
        <w:rFonts w:hint="eastAsia" w:ascii="幼圆" w:hAnsi="幼圆" w:eastAsia="幼圆" w:cs="幼圆"/>
        <w:lang w:val="en-US" w:eastAsia="zh-CN"/>
      </w:rPr>
      <w:t>高新区人才人力大厦设备及其他附属采购项目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807E">
    <w:pPr>
      <w:pStyle w:val="44"/>
      <w:pBdr>
        <w:bottom w:val="thickThinLargeGap" w:color="auto" w:sz="4" w:space="1"/>
      </w:pBdr>
      <w:ind w:left="8288" w:hanging="8280" w:hangingChars="4600"/>
      <w:jc w:val="both"/>
      <w:rPr>
        <w:rFonts w:ascii="仿宋_GB2312" w:eastAsia="仿宋_GB2312"/>
        <w:b/>
        <w:i/>
        <w:sz w:val="18"/>
        <w:u w:val="single"/>
      </w:rPr>
    </w:pPr>
    <w:r>
      <w:rPr>
        <w:rFonts w:hint="eastAsia" w:ascii="幼圆" w:hAnsi="幼圆" w:eastAsia="幼圆" w:cs="幼圆"/>
        <w:lang w:val="en-US" w:eastAsia="zh-CN"/>
      </w:rPr>
      <w:t>高新区人才人力大厦设备及其他附属采购项目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8268">
    <w:pPr>
      <w:pStyle w:val="44"/>
      <w:pBdr>
        <w:bottom w:val="thickThinLargeGap" w:color="auto" w:sz="4" w:space="1"/>
      </w:pBdr>
      <w:jc w:val="both"/>
    </w:pPr>
    <w:r>
      <w:rPr>
        <w:rFonts w:hint="eastAsia" w:ascii="幼圆" w:hAnsi="幼圆" w:eastAsia="幼圆" w:cs="幼圆"/>
        <w:lang w:val="en-US" w:eastAsia="zh-CN"/>
      </w:rPr>
      <w:t>高新区人才人力大厦设备及其他附属采购项目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4861">
    <w:pPr>
      <w:pStyle w:val="44"/>
      <w:pBdr>
        <w:bottom w:val="thickThinLargeGap" w:color="auto" w:sz="4" w:space="1"/>
      </w:pBdr>
      <w:jc w:val="both"/>
      <w:rPr>
        <w:rFonts w:ascii="仿宋_GB2312" w:eastAsia="仿宋_GB2312"/>
        <w:b/>
        <w:i/>
        <w:iCs/>
        <w:u w:val="single"/>
      </w:rPr>
    </w:pPr>
    <w:r>
      <w:rPr>
        <w:rFonts w:hint="eastAsia" w:ascii="幼圆" w:hAnsi="幼圆" w:eastAsia="幼圆" w:cs="幼圆"/>
        <w:lang w:val="en-US" w:eastAsia="zh-CN"/>
      </w:rPr>
      <w:t>高新区人才人力大厦设备及其他附属采购项目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649E">
    <w:pPr>
      <w:pStyle w:val="44"/>
      <w:pBdr>
        <w:bottom w:val="thickThinLargeGap" w:color="auto" w:sz="4" w:space="1"/>
      </w:pBdr>
      <w:ind w:left="8288" w:hanging="8280" w:hangingChars="4600"/>
      <w:jc w:val="both"/>
    </w:pPr>
    <w:r>
      <w:rPr>
        <w:rFonts w:hint="eastAsia" w:ascii="黑体" w:hAnsi="黑体" w:eastAsia="黑体" w:cs="黑体"/>
        <w:bCs/>
        <w:kern w:val="2"/>
        <w:sz w:val="18"/>
        <w:szCs w:val="18"/>
        <w:lang w:val="en-US" w:eastAsia="zh-CN"/>
      </w:rPr>
      <w:t xml:space="preserve"> </w:t>
    </w:r>
    <w:r>
      <w:rPr>
        <w:rFonts w:hint="eastAsia" w:ascii="幼圆" w:hAnsi="幼圆" w:eastAsia="幼圆" w:cs="幼圆"/>
        <w:lang w:val="en-US" w:eastAsia="zh-CN"/>
      </w:rPr>
      <w:t>高新区人才人力大厦设备及其他附属采购项目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23D07"/>
    <w:multiLevelType w:val="singleLevel"/>
    <w:tmpl w:val="39A23D07"/>
    <w:lvl w:ilvl="0" w:tentative="0">
      <w:start w:val="8"/>
      <w:numFmt w:val="decimal"/>
      <w:suff w:val="space"/>
      <w:lvlText w:val="%1."/>
      <w:lvlJc w:val="left"/>
    </w:lvl>
  </w:abstractNum>
  <w:abstractNum w:abstractNumId="1">
    <w:nsid w:val="5F781037"/>
    <w:multiLevelType w:val="singleLevel"/>
    <w:tmpl w:val="5F781037"/>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zMzYjdkMDc0MjVkNDkzYzJjNDkyMTkzODYz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41"/>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56352C"/>
    <w:rsid w:val="019232C4"/>
    <w:rsid w:val="019F7441"/>
    <w:rsid w:val="01B37585"/>
    <w:rsid w:val="01D55165"/>
    <w:rsid w:val="01DF6BF8"/>
    <w:rsid w:val="01E96118"/>
    <w:rsid w:val="01EC2C57"/>
    <w:rsid w:val="026B2E25"/>
    <w:rsid w:val="02824D4D"/>
    <w:rsid w:val="02DC4B10"/>
    <w:rsid w:val="02DD76CE"/>
    <w:rsid w:val="02F208C2"/>
    <w:rsid w:val="02F36323"/>
    <w:rsid w:val="02F5619C"/>
    <w:rsid w:val="0326446A"/>
    <w:rsid w:val="032D5555"/>
    <w:rsid w:val="035703C5"/>
    <w:rsid w:val="036634D2"/>
    <w:rsid w:val="03DD35E4"/>
    <w:rsid w:val="04076900"/>
    <w:rsid w:val="041A5A3B"/>
    <w:rsid w:val="042311BA"/>
    <w:rsid w:val="042B157A"/>
    <w:rsid w:val="04637523"/>
    <w:rsid w:val="048F763B"/>
    <w:rsid w:val="049F330E"/>
    <w:rsid w:val="04AA775C"/>
    <w:rsid w:val="04AF1889"/>
    <w:rsid w:val="04F66F48"/>
    <w:rsid w:val="05251E14"/>
    <w:rsid w:val="058A2B36"/>
    <w:rsid w:val="05A16594"/>
    <w:rsid w:val="05A7762D"/>
    <w:rsid w:val="060E5941"/>
    <w:rsid w:val="06110FAF"/>
    <w:rsid w:val="064235AD"/>
    <w:rsid w:val="06493CA7"/>
    <w:rsid w:val="065A6178"/>
    <w:rsid w:val="066F1CF3"/>
    <w:rsid w:val="06925398"/>
    <w:rsid w:val="06930BB8"/>
    <w:rsid w:val="07245D42"/>
    <w:rsid w:val="07264C62"/>
    <w:rsid w:val="0779354C"/>
    <w:rsid w:val="08061376"/>
    <w:rsid w:val="08452D77"/>
    <w:rsid w:val="086401F8"/>
    <w:rsid w:val="08751CAA"/>
    <w:rsid w:val="087E4C40"/>
    <w:rsid w:val="08D66AD6"/>
    <w:rsid w:val="08DA33A3"/>
    <w:rsid w:val="08E80F13"/>
    <w:rsid w:val="08F460BB"/>
    <w:rsid w:val="09335624"/>
    <w:rsid w:val="0944690F"/>
    <w:rsid w:val="09535675"/>
    <w:rsid w:val="095F057D"/>
    <w:rsid w:val="09624DC1"/>
    <w:rsid w:val="09642282"/>
    <w:rsid w:val="09662B04"/>
    <w:rsid w:val="09733572"/>
    <w:rsid w:val="09772C16"/>
    <w:rsid w:val="098353B5"/>
    <w:rsid w:val="09975825"/>
    <w:rsid w:val="09A92330"/>
    <w:rsid w:val="09B06B87"/>
    <w:rsid w:val="09C13146"/>
    <w:rsid w:val="09E04166"/>
    <w:rsid w:val="09F75AC8"/>
    <w:rsid w:val="0A035323"/>
    <w:rsid w:val="0A1C0718"/>
    <w:rsid w:val="0A3E7710"/>
    <w:rsid w:val="0A5B7E63"/>
    <w:rsid w:val="0AA374A5"/>
    <w:rsid w:val="0AAB7649"/>
    <w:rsid w:val="0ABC5606"/>
    <w:rsid w:val="0B2C7471"/>
    <w:rsid w:val="0B30404E"/>
    <w:rsid w:val="0B4C6C14"/>
    <w:rsid w:val="0B631A88"/>
    <w:rsid w:val="0B683D45"/>
    <w:rsid w:val="0B7F3F11"/>
    <w:rsid w:val="0B830568"/>
    <w:rsid w:val="0B884417"/>
    <w:rsid w:val="0BF6188C"/>
    <w:rsid w:val="0BF73C91"/>
    <w:rsid w:val="0C170175"/>
    <w:rsid w:val="0C571A41"/>
    <w:rsid w:val="0C5C1171"/>
    <w:rsid w:val="0C5E1CBC"/>
    <w:rsid w:val="0C615B50"/>
    <w:rsid w:val="0C7F7D0C"/>
    <w:rsid w:val="0C8445DA"/>
    <w:rsid w:val="0C87121B"/>
    <w:rsid w:val="0C8D02A8"/>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3D4155"/>
    <w:rsid w:val="0E5604B2"/>
    <w:rsid w:val="0E6D5D79"/>
    <w:rsid w:val="0E8D0520"/>
    <w:rsid w:val="0E9D0089"/>
    <w:rsid w:val="0EB803EE"/>
    <w:rsid w:val="0EF94D4B"/>
    <w:rsid w:val="0F1D4DCD"/>
    <w:rsid w:val="0F2B663B"/>
    <w:rsid w:val="0F4958DC"/>
    <w:rsid w:val="0F515DF7"/>
    <w:rsid w:val="0F596BA8"/>
    <w:rsid w:val="0F6248D2"/>
    <w:rsid w:val="0F693536"/>
    <w:rsid w:val="0F7B0511"/>
    <w:rsid w:val="0F7B76D9"/>
    <w:rsid w:val="0F816ACD"/>
    <w:rsid w:val="0F9832DB"/>
    <w:rsid w:val="0FBF3FD2"/>
    <w:rsid w:val="0FBF7FF3"/>
    <w:rsid w:val="0FE513A7"/>
    <w:rsid w:val="10421E87"/>
    <w:rsid w:val="10646583"/>
    <w:rsid w:val="10757B43"/>
    <w:rsid w:val="107D4B15"/>
    <w:rsid w:val="108A3C80"/>
    <w:rsid w:val="10C26171"/>
    <w:rsid w:val="10F33360"/>
    <w:rsid w:val="10FC16EA"/>
    <w:rsid w:val="11013053"/>
    <w:rsid w:val="110F1D40"/>
    <w:rsid w:val="11266F33"/>
    <w:rsid w:val="118963A1"/>
    <w:rsid w:val="11C6522A"/>
    <w:rsid w:val="11E104CC"/>
    <w:rsid w:val="11E20309"/>
    <w:rsid w:val="12083D9E"/>
    <w:rsid w:val="12087A18"/>
    <w:rsid w:val="12255233"/>
    <w:rsid w:val="12530213"/>
    <w:rsid w:val="127723A9"/>
    <w:rsid w:val="12862074"/>
    <w:rsid w:val="12883966"/>
    <w:rsid w:val="129E45B4"/>
    <w:rsid w:val="12B855CF"/>
    <w:rsid w:val="12D81596"/>
    <w:rsid w:val="13072A44"/>
    <w:rsid w:val="13195052"/>
    <w:rsid w:val="135F4BE2"/>
    <w:rsid w:val="139B1A0A"/>
    <w:rsid w:val="139D25C7"/>
    <w:rsid w:val="13BF3CE4"/>
    <w:rsid w:val="13DF72EE"/>
    <w:rsid w:val="14026F61"/>
    <w:rsid w:val="1410028C"/>
    <w:rsid w:val="141008D8"/>
    <w:rsid w:val="14125FE6"/>
    <w:rsid w:val="146D271E"/>
    <w:rsid w:val="14982588"/>
    <w:rsid w:val="149A5AD9"/>
    <w:rsid w:val="14A7619D"/>
    <w:rsid w:val="14D70121"/>
    <w:rsid w:val="14E326F3"/>
    <w:rsid w:val="150536C3"/>
    <w:rsid w:val="150C1963"/>
    <w:rsid w:val="151447A0"/>
    <w:rsid w:val="15155441"/>
    <w:rsid w:val="154A6454"/>
    <w:rsid w:val="15762120"/>
    <w:rsid w:val="157F3133"/>
    <w:rsid w:val="15BB3DE2"/>
    <w:rsid w:val="15D27773"/>
    <w:rsid w:val="15FB5702"/>
    <w:rsid w:val="16155B22"/>
    <w:rsid w:val="1667119A"/>
    <w:rsid w:val="16A8729C"/>
    <w:rsid w:val="16AC4929"/>
    <w:rsid w:val="16B33777"/>
    <w:rsid w:val="16BC70A7"/>
    <w:rsid w:val="16C6339E"/>
    <w:rsid w:val="16FC6A01"/>
    <w:rsid w:val="1705609A"/>
    <w:rsid w:val="172E00FB"/>
    <w:rsid w:val="172F2D79"/>
    <w:rsid w:val="17557BEF"/>
    <w:rsid w:val="179A2834"/>
    <w:rsid w:val="17D349C1"/>
    <w:rsid w:val="18084440"/>
    <w:rsid w:val="1830729E"/>
    <w:rsid w:val="1870062C"/>
    <w:rsid w:val="18817102"/>
    <w:rsid w:val="18830A15"/>
    <w:rsid w:val="18852B28"/>
    <w:rsid w:val="188B5321"/>
    <w:rsid w:val="193F6FDA"/>
    <w:rsid w:val="19932372"/>
    <w:rsid w:val="19A20DD5"/>
    <w:rsid w:val="19AE03F1"/>
    <w:rsid w:val="1A071A03"/>
    <w:rsid w:val="1A1F16AE"/>
    <w:rsid w:val="1A3B5C77"/>
    <w:rsid w:val="1A984BAD"/>
    <w:rsid w:val="1A9C233C"/>
    <w:rsid w:val="1AB8220E"/>
    <w:rsid w:val="1AE4166C"/>
    <w:rsid w:val="1AF06CFB"/>
    <w:rsid w:val="1AF11B8D"/>
    <w:rsid w:val="1B11359C"/>
    <w:rsid w:val="1B2A271F"/>
    <w:rsid w:val="1B530544"/>
    <w:rsid w:val="1B713184"/>
    <w:rsid w:val="1B7F324D"/>
    <w:rsid w:val="1BA209CF"/>
    <w:rsid w:val="1BB4777D"/>
    <w:rsid w:val="1BD75AB8"/>
    <w:rsid w:val="1C0459C2"/>
    <w:rsid w:val="1C1B3B4A"/>
    <w:rsid w:val="1C88086E"/>
    <w:rsid w:val="1CF81355"/>
    <w:rsid w:val="1D266CE1"/>
    <w:rsid w:val="1D3963AF"/>
    <w:rsid w:val="1D6A673C"/>
    <w:rsid w:val="1D6E74F2"/>
    <w:rsid w:val="1D9247AE"/>
    <w:rsid w:val="1DAD4EB4"/>
    <w:rsid w:val="1DB567EC"/>
    <w:rsid w:val="1DF51A98"/>
    <w:rsid w:val="1E127412"/>
    <w:rsid w:val="1E3D060F"/>
    <w:rsid w:val="1E3F7D2E"/>
    <w:rsid w:val="1E4134E4"/>
    <w:rsid w:val="1E5062B3"/>
    <w:rsid w:val="1E523514"/>
    <w:rsid w:val="1E6C62E8"/>
    <w:rsid w:val="1E714A66"/>
    <w:rsid w:val="1E802593"/>
    <w:rsid w:val="1EA703CC"/>
    <w:rsid w:val="1EB7330C"/>
    <w:rsid w:val="1F0A0FF3"/>
    <w:rsid w:val="1F5771FF"/>
    <w:rsid w:val="1FE76643"/>
    <w:rsid w:val="1FE868A9"/>
    <w:rsid w:val="1FF92231"/>
    <w:rsid w:val="20034907"/>
    <w:rsid w:val="20173E4B"/>
    <w:rsid w:val="204E48BC"/>
    <w:rsid w:val="208921B3"/>
    <w:rsid w:val="20973DEB"/>
    <w:rsid w:val="20B26522"/>
    <w:rsid w:val="20B44310"/>
    <w:rsid w:val="211116EB"/>
    <w:rsid w:val="21123EB5"/>
    <w:rsid w:val="216133FC"/>
    <w:rsid w:val="21D56769"/>
    <w:rsid w:val="21E52EF3"/>
    <w:rsid w:val="21FB5D7B"/>
    <w:rsid w:val="220B1C3D"/>
    <w:rsid w:val="221D1D20"/>
    <w:rsid w:val="221D25B7"/>
    <w:rsid w:val="221F78FD"/>
    <w:rsid w:val="22334A87"/>
    <w:rsid w:val="22515048"/>
    <w:rsid w:val="2284330F"/>
    <w:rsid w:val="22BE6801"/>
    <w:rsid w:val="233500BF"/>
    <w:rsid w:val="23377FF7"/>
    <w:rsid w:val="236B425F"/>
    <w:rsid w:val="23836192"/>
    <w:rsid w:val="23901F29"/>
    <w:rsid w:val="239C0061"/>
    <w:rsid w:val="23B908A4"/>
    <w:rsid w:val="23E95BEF"/>
    <w:rsid w:val="23FD0064"/>
    <w:rsid w:val="245375B0"/>
    <w:rsid w:val="24642C0A"/>
    <w:rsid w:val="24A0025B"/>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2717DA"/>
    <w:rsid w:val="27425763"/>
    <w:rsid w:val="276142BF"/>
    <w:rsid w:val="27783712"/>
    <w:rsid w:val="27907362"/>
    <w:rsid w:val="27CE49D7"/>
    <w:rsid w:val="28136E4F"/>
    <w:rsid w:val="28333E1D"/>
    <w:rsid w:val="28454BD6"/>
    <w:rsid w:val="28455253"/>
    <w:rsid w:val="28551971"/>
    <w:rsid w:val="285B1C53"/>
    <w:rsid w:val="289F7086"/>
    <w:rsid w:val="28C32028"/>
    <w:rsid w:val="28CC490F"/>
    <w:rsid w:val="28DE40AA"/>
    <w:rsid w:val="291D4652"/>
    <w:rsid w:val="29345E77"/>
    <w:rsid w:val="294C65AD"/>
    <w:rsid w:val="2969358F"/>
    <w:rsid w:val="29806583"/>
    <w:rsid w:val="298B3C4C"/>
    <w:rsid w:val="29932CBF"/>
    <w:rsid w:val="29F26D24"/>
    <w:rsid w:val="2A15033F"/>
    <w:rsid w:val="2A1662C1"/>
    <w:rsid w:val="2A1C7367"/>
    <w:rsid w:val="2A2815FA"/>
    <w:rsid w:val="2A6D6092"/>
    <w:rsid w:val="2A7D76B4"/>
    <w:rsid w:val="2AE1429A"/>
    <w:rsid w:val="2B317D66"/>
    <w:rsid w:val="2B431325"/>
    <w:rsid w:val="2B437463"/>
    <w:rsid w:val="2B487D7C"/>
    <w:rsid w:val="2B7807EE"/>
    <w:rsid w:val="2BBE2C91"/>
    <w:rsid w:val="2BBF00EC"/>
    <w:rsid w:val="2BC37CFD"/>
    <w:rsid w:val="2BD5237F"/>
    <w:rsid w:val="2BE536CE"/>
    <w:rsid w:val="2BE758D9"/>
    <w:rsid w:val="2C09049E"/>
    <w:rsid w:val="2C0A653C"/>
    <w:rsid w:val="2C191F85"/>
    <w:rsid w:val="2C212804"/>
    <w:rsid w:val="2C574D97"/>
    <w:rsid w:val="2CB0737E"/>
    <w:rsid w:val="2CCD46A4"/>
    <w:rsid w:val="2CE82D6F"/>
    <w:rsid w:val="2D343236"/>
    <w:rsid w:val="2DD15014"/>
    <w:rsid w:val="2DF72DE4"/>
    <w:rsid w:val="2E0220AF"/>
    <w:rsid w:val="2E201555"/>
    <w:rsid w:val="2E2D690F"/>
    <w:rsid w:val="2E4B082A"/>
    <w:rsid w:val="2E5D4E86"/>
    <w:rsid w:val="2E5D790B"/>
    <w:rsid w:val="2E9A3C18"/>
    <w:rsid w:val="2EBB0FEE"/>
    <w:rsid w:val="2EC63002"/>
    <w:rsid w:val="2F0A6B38"/>
    <w:rsid w:val="2F917175"/>
    <w:rsid w:val="2F946CCB"/>
    <w:rsid w:val="2FD25781"/>
    <w:rsid w:val="2FFD7934"/>
    <w:rsid w:val="304229F7"/>
    <w:rsid w:val="30733ACD"/>
    <w:rsid w:val="308C3862"/>
    <w:rsid w:val="309379D8"/>
    <w:rsid w:val="30A16923"/>
    <w:rsid w:val="30A270F7"/>
    <w:rsid w:val="30CC4482"/>
    <w:rsid w:val="30DF1478"/>
    <w:rsid w:val="30E40B8A"/>
    <w:rsid w:val="30EC586F"/>
    <w:rsid w:val="31590FFB"/>
    <w:rsid w:val="319C6071"/>
    <w:rsid w:val="31AC537E"/>
    <w:rsid w:val="31E3679B"/>
    <w:rsid w:val="31E732FD"/>
    <w:rsid w:val="324A2E74"/>
    <w:rsid w:val="32517576"/>
    <w:rsid w:val="32BE5C2C"/>
    <w:rsid w:val="32FB6478"/>
    <w:rsid w:val="33026E1D"/>
    <w:rsid w:val="33263B3F"/>
    <w:rsid w:val="336963EB"/>
    <w:rsid w:val="33816EEB"/>
    <w:rsid w:val="338B4ADF"/>
    <w:rsid w:val="33AD49A1"/>
    <w:rsid w:val="33EB55CD"/>
    <w:rsid w:val="33EC4C02"/>
    <w:rsid w:val="33FA1699"/>
    <w:rsid w:val="340D2360"/>
    <w:rsid w:val="3410665D"/>
    <w:rsid w:val="34211214"/>
    <w:rsid w:val="342E63AB"/>
    <w:rsid w:val="34840650"/>
    <w:rsid w:val="34950E68"/>
    <w:rsid w:val="34986E94"/>
    <w:rsid w:val="34AF62C9"/>
    <w:rsid w:val="34CB4388"/>
    <w:rsid w:val="34FA6E12"/>
    <w:rsid w:val="358D5588"/>
    <w:rsid w:val="35F6767A"/>
    <w:rsid w:val="3634593D"/>
    <w:rsid w:val="363A3B40"/>
    <w:rsid w:val="365302AE"/>
    <w:rsid w:val="36607A0A"/>
    <w:rsid w:val="366E227C"/>
    <w:rsid w:val="366F2E0D"/>
    <w:rsid w:val="367B6A5C"/>
    <w:rsid w:val="36A74ADA"/>
    <w:rsid w:val="36AD60D5"/>
    <w:rsid w:val="36B224F9"/>
    <w:rsid w:val="36BB3856"/>
    <w:rsid w:val="36EC0CC9"/>
    <w:rsid w:val="370E607B"/>
    <w:rsid w:val="371C3C3F"/>
    <w:rsid w:val="373F410B"/>
    <w:rsid w:val="375D2779"/>
    <w:rsid w:val="3762240D"/>
    <w:rsid w:val="37EE7094"/>
    <w:rsid w:val="38296C89"/>
    <w:rsid w:val="383002EB"/>
    <w:rsid w:val="38586797"/>
    <w:rsid w:val="385C6928"/>
    <w:rsid w:val="38882341"/>
    <w:rsid w:val="38BC0149"/>
    <w:rsid w:val="38D417C5"/>
    <w:rsid w:val="38D87D1C"/>
    <w:rsid w:val="38E044AD"/>
    <w:rsid w:val="393C786B"/>
    <w:rsid w:val="39636459"/>
    <w:rsid w:val="396B7F6C"/>
    <w:rsid w:val="397615C9"/>
    <w:rsid w:val="398842F2"/>
    <w:rsid w:val="39B417A9"/>
    <w:rsid w:val="39FC5695"/>
    <w:rsid w:val="3A006D8E"/>
    <w:rsid w:val="3A3651E5"/>
    <w:rsid w:val="3A6406C8"/>
    <w:rsid w:val="3A744481"/>
    <w:rsid w:val="3A8C7BEF"/>
    <w:rsid w:val="3A906246"/>
    <w:rsid w:val="3AD4138A"/>
    <w:rsid w:val="3B2349B7"/>
    <w:rsid w:val="3B616CFF"/>
    <w:rsid w:val="3B6259F6"/>
    <w:rsid w:val="3B976654"/>
    <w:rsid w:val="3BC01EFC"/>
    <w:rsid w:val="3BCA786A"/>
    <w:rsid w:val="3BD31E2F"/>
    <w:rsid w:val="3BD90C92"/>
    <w:rsid w:val="3BDE3756"/>
    <w:rsid w:val="3BF15831"/>
    <w:rsid w:val="3C105946"/>
    <w:rsid w:val="3C471448"/>
    <w:rsid w:val="3C5F759A"/>
    <w:rsid w:val="3C6C525A"/>
    <w:rsid w:val="3CCE23CB"/>
    <w:rsid w:val="3CD17D17"/>
    <w:rsid w:val="3D2F666C"/>
    <w:rsid w:val="3D3C7F39"/>
    <w:rsid w:val="3D440F09"/>
    <w:rsid w:val="3D4504A0"/>
    <w:rsid w:val="3D8734BB"/>
    <w:rsid w:val="3D951406"/>
    <w:rsid w:val="3D9A11D4"/>
    <w:rsid w:val="3D9B4CAC"/>
    <w:rsid w:val="3DA16D89"/>
    <w:rsid w:val="3DA364BE"/>
    <w:rsid w:val="3DAF7496"/>
    <w:rsid w:val="3DE041CB"/>
    <w:rsid w:val="3E0D48F6"/>
    <w:rsid w:val="3E1868B4"/>
    <w:rsid w:val="3E377251"/>
    <w:rsid w:val="3E42664B"/>
    <w:rsid w:val="3E5A7334"/>
    <w:rsid w:val="3E6C4BB7"/>
    <w:rsid w:val="3E7B5D6B"/>
    <w:rsid w:val="3E843E66"/>
    <w:rsid w:val="3E8F51FE"/>
    <w:rsid w:val="3E91236D"/>
    <w:rsid w:val="3E926F87"/>
    <w:rsid w:val="3E9A59DE"/>
    <w:rsid w:val="3EAF4836"/>
    <w:rsid w:val="3EC33DFA"/>
    <w:rsid w:val="3ECE641A"/>
    <w:rsid w:val="3F060E16"/>
    <w:rsid w:val="3F1D1096"/>
    <w:rsid w:val="3F2E6D77"/>
    <w:rsid w:val="3F2F0234"/>
    <w:rsid w:val="3F6363FE"/>
    <w:rsid w:val="3F756B8F"/>
    <w:rsid w:val="3F95482B"/>
    <w:rsid w:val="3FD0262E"/>
    <w:rsid w:val="4019356B"/>
    <w:rsid w:val="40592157"/>
    <w:rsid w:val="405D772B"/>
    <w:rsid w:val="406E1CAE"/>
    <w:rsid w:val="40A0133A"/>
    <w:rsid w:val="40B64990"/>
    <w:rsid w:val="40C31A53"/>
    <w:rsid w:val="40E01788"/>
    <w:rsid w:val="40FF2192"/>
    <w:rsid w:val="40FF545D"/>
    <w:rsid w:val="410067C8"/>
    <w:rsid w:val="418F0D2A"/>
    <w:rsid w:val="41B0056A"/>
    <w:rsid w:val="41D01505"/>
    <w:rsid w:val="42474939"/>
    <w:rsid w:val="424C3C57"/>
    <w:rsid w:val="42613FF3"/>
    <w:rsid w:val="42660D96"/>
    <w:rsid w:val="427D40B5"/>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82185"/>
    <w:rsid w:val="44DE1391"/>
    <w:rsid w:val="451B225C"/>
    <w:rsid w:val="452410C9"/>
    <w:rsid w:val="45317DFB"/>
    <w:rsid w:val="45521829"/>
    <w:rsid w:val="456D3CE4"/>
    <w:rsid w:val="4579042C"/>
    <w:rsid w:val="457F0571"/>
    <w:rsid w:val="45851176"/>
    <w:rsid w:val="45AA6F6F"/>
    <w:rsid w:val="45C63B94"/>
    <w:rsid w:val="460E7DA5"/>
    <w:rsid w:val="463C5764"/>
    <w:rsid w:val="46422483"/>
    <w:rsid w:val="4659254A"/>
    <w:rsid w:val="465B0637"/>
    <w:rsid w:val="465E3F0D"/>
    <w:rsid w:val="466A16E6"/>
    <w:rsid w:val="46893F2B"/>
    <w:rsid w:val="46C4686E"/>
    <w:rsid w:val="47282841"/>
    <w:rsid w:val="477B778F"/>
    <w:rsid w:val="478203EC"/>
    <w:rsid w:val="4797159D"/>
    <w:rsid w:val="479F3413"/>
    <w:rsid w:val="47B025FA"/>
    <w:rsid w:val="47FF2E34"/>
    <w:rsid w:val="4809698F"/>
    <w:rsid w:val="4811697D"/>
    <w:rsid w:val="487A3E25"/>
    <w:rsid w:val="487B0469"/>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92E07"/>
    <w:rsid w:val="4AB82D0F"/>
    <w:rsid w:val="4AEB7664"/>
    <w:rsid w:val="4AF92219"/>
    <w:rsid w:val="4AFD7C19"/>
    <w:rsid w:val="4B0567D1"/>
    <w:rsid w:val="4B236AAE"/>
    <w:rsid w:val="4B707271"/>
    <w:rsid w:val="4B9739F7"/>
    <w:rsid w:val="4B9D56FF"/>
    <w:rsid w:val="4BEE2503"/>
    <w:rsid w:val="4C245A30"/>
    <w:rsid w:val="4CB6685F"/>
    <w:rsid w:val="4CC367FE"/>
    <w:rsid w:val="4D077F3C"/>
    <w:rsid w:val="4D123355"/>
    <w:rsid w:val="4D2A3B31"/>
    <w:rsid w:val="4D312C52"/>
    <w:rsid w:val="4D905305"/>
    <w:rsid w:val="4D964A72"/>
    <w:rsid w:val="4D9C1254"/>
    <w:rsid w:val="4DB113FE"/>
    <w:rsid w:val="4DE960F6"/>
    <w:rsid w:val="4E6430C6"/>
    <w:rsid w:val="4E793892"/>
    <w:rsid w:val="4E800872"/>
    <w:rsid w:val="4EA9221A"/>
    <w:rsid w:val="4EC569ED"/>
    <w:rsid w:val="4ED50EA1"/>
    <w:rsid w:val="4EEC050C"/>
    <w:rsid w:val="4F104EC3"/>
    <w:rsid w:val="4F393CB2"/>
    <w:rsid w:val="4F42290E"/>
    <w:rsid w:val="4F43481C"/>
    <w:rsid w:val="4F47354A"/>
    <w:rsid w:val="4F7D56F4"/>
    <w:rsid w:val="4F911C54"/>
    <w:rsid w:val="4FD23C92"/>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5D01BA"/>
    <w:rsid w:val="52615633"/>
    <w:rsid w:val="52977FD4"/>
    <w:rsid w:val="52A25790"/>
    <w:rsid w:val="52A96B6F"/>
    <w:rsid w:val="52B45975"/>
    <w:rsid w:val="52D94AA4"/>
    <w:rsid w:val="52EA3A62"/>
    <w:rsid w:val="52F50BB8"/>
    <w:rsid w:val="53097272"/>
    <w:rsid w:val="53544462"/>
    <w:rsid w:val="5397158E"/>
    <w:rsid w:val="53D53D51"/>
    <w:rsid w:val="54013861"/>
    <w:rsid w:val="54264A35"/>
    <w:rsid w:val="543B053F"/>
    <w:rsid w:val="54443832"/>
    <w:rsid w:val="54487265"/>
    <w:rsid w:val="544D6070"/>
    <w:rsid w:val="54605E1E"/>
    <w:rsid w:val="546A0AE5"/>
    <w:rsid w:val="54B3506A"/>
    <w:rsid w:val="54CA0D16"/>
    <w:rsid w:val="54DD4057"/>
    <w:rsid w:val="54E7490F"/>
    <w:rsid w:val="54F7464C"/>
    <w:rsid w:val="55001108"/>
    <w:rsid w:val="550764A4"/>
    <w:rsid w:val="550B2BF6"/>
    <w:rsid w:val="55214EB5"/>
    <w:rsid w:val="55364EFD"/>
    <w:rsid w:val="554F18E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5356E"/>
    <w:rsid w:val="57CD20C2"/>
    <w:rsid w:val="57D675AB"/>
    <w:rsid w:val="57D95FDD"/>
    <w:rsid w:val="581613C9"/>
    <w:rsid w:val="58917D2F"/>
    <w:rsid w:val="5894085C"/>
    <w:rsid w:val="58AE4F0C"/>
    <w:rsid w:val="58B85899"/>
    <w:rsid w:val="58D00F8B"/>
    <w:rsid w:val="58D50F9B"/>
    <w:rsid w:val="58E363A9"/>
    <w:rsid w:val="590621D0"/>
    <w:rsid w:val="595E1678"/>
    <w:rsid w:val="596D5BD4"/>
    <w:rsid w:val="597E3DD8"/>
    <w:rsid w:val="59F80043"/>
    <w:rsid w:val="5A09252F"/>
    <w:rsid w:val="5A0B2778"/>
    <w:rsid w:val="5A1B4F97"/>
    <w:rsid w:val="5A2A7C7B"/>
    <w:rsid w:val="5A3002F3"/>
    <w:rsid w:val="5A3E2560"/>
    <w:rsid w:val="5A4F343E"/>
    <w:rsid w:val="5A5D3B6E"/>
    <w:rsid w:val="5A637A76"/>
    <w:rsid w:val="5A6D33BA"/>
    <w:rsid w:val="5A792B1F"/>
    <w:rsid w:val="5A874767"/>
    <w:rsid w:val="5AAD6F28"/>
    <w:rsid w:val="5AD63A24"/>
    <w:rsid w:val="5B2E1A1D"/>
    <w:rsid w:val="5B6735BC"/>
    <w:rsid w:val="5B843A1C"/>
    <w:rsid w:val="5B873E3F"/>
    <w:rsid w:val="5C02690E"/>
    <w:rsid w:val="5C196DA7"/>
    <w:rsid w:val="5C28123C"/>
    <w:rsid w:val="5C2A048C"/>
    <w:rsid w:val="5C80234E"/>
    <w:rsid w:val="5C8A680C"/>
    <w:rsid w:val="5D0C4701"/>
    <w:rsid w:val="5D0F0395"/>
    <w:rsid w:val="5D216A18"/>
    <w:rsid w:val="5D221076"/>
    <w:rsid w:val="5D397964"/>
    <w:rsid w:val="5D5A391C"/>
    <w:rsid w:val="5D5F10C0"/>
    <w:rsid w:val="5D891B7B"/>
    <w:rsid w:val="5DAD38EE"/>
    <w:rsid w:val="5E006862"/>
    <w:rsid w:val="5E0207B9"/>
    <w:rsid w:val="5E1834A1"/>
    <w:rsid w:val="5E261785"/>
    <w:rsid w:val="5E4A7017"/>
    <w:rsid w:val="5E552BBA"/>
    <w:rsid w:val="5E611C10"/>
    <w:rsid w:val="5EC44B06"/>
    <w:rsid w:val="5EFC7377"/>
    <w:rsid w:val="5F06174D"/>
    <w:rsid w:val="5F3A3602"/>
    <w:rsid w:val="5F6277C6"/>
    <w:rsid w:val="5F6D0B1D"/>
    <w:rsid w:val="5F8D0B82"/>
    <w:rsid w:val="5FCC5339"/>
    <w:rsid w:val="5FE34A5B"/>
    <w:rsid w:val="5FFE1E36"/>
    <w:rsid w:val="60232584"/>
    <w:rsid w:val="607330CE"/>
    <w:rsid w:val="60753D8B"/>
    <w:rsid w:val="60825176"/>
    <w:rsid w:val="609F2AC4"/>
    <w:rsid w:val="60FA2EE8"/>
    <w:rsid w:val="61054A27"/>
    <w:rsid w:val="610A52BC"/>
    <w:rsid w:val="611D2366"/>
    <w:rsid w:val="61421856"/>
    <w:rsid w:val="615227C4"/>
    <w:rsid w:val="61654E3F"/>
    <w:rsid w:val="6182292A"/>
    <w:rsid w:val="619F7F92"/>
    <w:rsid w:val="61A6621C"/>
    <w:rsid w:val="61B262CB"/>
    <w:rsid w:val="61F94C26"/>
    <w:rsid w:val="62000E56"/>
    <w:rsid w:val="62453C71"/>
    <w:rsid w:val="624F3E49"/>
    <w:rsid w:val="62632286"/>
    <w:rsid w:val="62885958"/>
    <w:rsid w:val="62F40B65"/>
    <w:rsid w:val="62FC2CFE"/>
    <w:rsid w:val="63024505"/>
    <w:rsid w:val="63037672"/>
    <w:rsid w:val="635B1DB5"/>
    <w:rsid w:val="63711FED"/>
    <w:rsid w:val="63880DDC"/>
    <w:rsid w:val="638D750D"/>
    <w:rsid w:val="63AC6CC0"/>
    <w:rsid w:val="64055776"/>
    <w:rsid w:val="64240056"/>
    <w:rsid w:val="643E143A"/>
    <w:rsid w:val="64664647"/>
    <w:rsid w:val="648B6EEF"/>
    <w:rsid w:val="64C158BF"/>
    <w:rsid w:val="64CE2EAA"/>
    <w:rsid w:val="65023D00"/>
    <w:rsid w:val="653C3090"/>
    <w:rsid w:val="65573D14"/>
    <w:rsid w:val="65792064"/>
    <w:rsid w:val="65854376"/>
    <w:rsid w:val="658767BE"/>
    <w:rsid w:val="65892531"/>
    <w:rsid w:val="658E45E7"/>
    <w:rsid w:val="659336FC"/>
    <w:rsid w:val="66195831"/>
    <w:rsid w:val="662B3D98"/>
    <w:rsid w:val="662E75B1"/>
    <w:rsid w:val="66342C2E"/>
    <w:rsid w:val="663E784C"/>
    <w:rsid w:val="66592077"/>
    <w:rsid w:val="668B6A45"/>
    <w:rsid w:val="672F3F24"/>
    <w:rsid w:val="67334D4A"/>
    <w:rsid w:val="673E055F"/>
    <w:rsid w:val="67551CE3"/>
    <w:rsid w:val="6796206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4BA9"/>
    <w:rsid w:val="68E937A3"/>
    <w:rsid w:val="693E15D3"/>
    <w:rsid w:val="69627681"/>
    <w:rsid w:val="696348E6"/>
    <w:rsid w:val="6977531D"/>
    <w:rsid w:val="69BA1155"/>
    <w:rsid w:val="69CC2BFF"/>
    <w:rsid w:val="69FD55B8"/>
    <w:rsid w:val="6A0B1C62"/>
    <w:rsid w:val="6A2406C8"/>
    <w:rsid w:val="6A585741"/>
    <w:rsid w:val="6ADE0BD1"/>
    <w:rsid w:val="6AE96859"/>
    <w:rsid w:val="6B147746"/>
    <w:rsid w:val="6B24787C"/>
    <w:rsid w:val="6B573233"/>
    <w:rsid w:val="6B5B6274"/>
    <w:rsid w:val="6B817F21"/>
    <w:rsid w:val="6B935D53"/>
    <w:rsid w:val="6C196F71"/>
    <w:rsid w:val="6C1D047C"/>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73BE0"/>
    <w:rsid w:val="6E8335BD"/>
    <w:rsid w:val="6E8E12EF"/>
    <w:rsid w:val="6E972936"/>
    <w:rsid w:val="6EA92AF3"/>
    <w:rsid w:val="6ED446C5"/>
    <w:rsid w:val="6F036D0B"/>
    <w:rsid w:val="6F2A7D94"/>
    <w:rsid w:val="6F765F90"/>
    <w:rsid w:val="6F8331F1"/>
    <w:rsid w:val="6FAE1A09"/>
    <w:rsid w:val="6FD75BF8"/>
    <w:rsid w:val="707723D0"/>
    <w:rsid w:val="70E31AFB"/>
    <w:rsid w:val="70F5661B"/>
    <w:rsid w:val="71184396"/>
    <w:rsid w:val="71360107"/>
    <w:rsid w:val="713B688E"/>
    <w:rsid w:val="7161784E"/>
    <w:rsid w:val="71D43752"/>
    <w:rsid w:val="71F1796A"/>
    <w:rsid w:val="72120343"/>
    <w:rsid w:val="72154626"/>
    <w:rsid w:val="72262B5D"/>
    <w:rsid w:val="72283FF7"/>
    <w:rsid w:val="722E7212"/>
    <w:rsid w:val="723A0474"/>
    <w:rsid w:val="724101BC"/>
    <w:rsid w:val="725923E4"/>
    <w:rsid w:val="72864BF7"/>
    <w:rsid w:val="729023FC"/>
    <w:rsid w:val="72A60DB2"/>
    <w:rsid w:val="734C474E"/>
    <w:rsid w:val="739F31BF"/>
    <w:rsid w:val="73C0646E"/>
    <w:rsid w:val="74214EB4"/>
    <w:rsid w:val="742222F5"/>
    <w:rsid w:val="74476126"/>
    <w:rsid w:val="74501BC5"/>
    <w:rsid w:val="74706664"/>
    <w:rsid w:val="747F3682"/>
    <w:rsid w:val="749C4185"/>
    <w:rsid w:val="75067759"/>
    <w:rsid w:val="752E6DCD"/>
    <w:rsid w:val="7551380D"/>
    <w:rsid w:val="75600BE5"/>
    <w:rsid w:val="7564475C"/>
    <w:rsid w:val="7583797F"/>
    <w:rsid w:val="75D20F1D"/>
    <w:rsid w:val="75DA2C18"/>
    <w:rsid w:val="75DE03EB"/>
    <w:rsid w:val="75F54412"/>
    <w:rsid w:val="761D08E0"/>
    <w:rsid w:val="764B7247"/>
    <w:rsid w:val="765D347C"/>
    <w:rsid w:val="76826699"/>
    <w:rsid w:val="76A31123"/>
    <w:rsid w:val="76C87133"/>
    <w:rsid w:val="76CD08D5"/>
    <w:rsid w:val="76DB4B92"/>
    <w:rsid w:val="77052AA4"/>
    <w:rsid w:val="77136511"/>
    <w:rsid w:val="77340A39"/>
    <w:rsid w:val="77351FD0"/>
    <w:rsid w:val="77393A18"/>
    <w:rsid w:val="77472422"/>
    <w:rsid w:val="777F31F2"/>
    <w:rsid w:val="77D1700D"/>
    <w:rsid w:val="77EC04CC"/>
    <w:rsid w:val="78064B00"/>
    <w:rsid w:val="78775729"/>
    <w:rsid w:val="78A42DB0"/>
    <w:rsid w:val="78A656AB"/>
    <w:rsid w:val="78B2245C"/>
    <w:rsid w:val="78E172CC"/>
    <w:rsid w:val="78EA1D1F"/>
    <w:rsid w:val="7904172F"/>
    <w:rsid w:val="790F7E27"/>
    <w:rsid w:val="792A231A"/>
    <w:rsid w:val="79316829"/>
    <w:rsid w:val="79477283"/>
    <w:rsid w:val="797E66A9"/>
    <w:rsid w:val="79894B12"/>
    <w:rsid w:val="79A97383"/>
    <w:rsid w:val="79E27E8B"/>
    <w:rsid w:val="79EB4D7F"/>
    <w:rsid w:val="79F850CE"/>
    <w:rsid w:val="79FD443C"/>
    <w:rsid w:val="7A1D1975"/>
    <w:rsid w:val="7A3E5150"/>
    <w:rsid w:val="7A4670D6"/>
    <w:rsid w:val="7A534B63"/>
    <w:rsid w:val="7A615382"/>
    <w:rsid w:val="7A67303B"/>
    <w:rsid w:val="7AAB1D04"/>
    <w:rsid w:val="7ABA4368"/>
    <w:rsid w:val="7AD05746"/>
    <w:rsid w:val="7B1543CA"/>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82266"/>
    <w:rsid w:val="7E1E5218"/>
    <w:rsid w:val="7E9A4E1F"/>
    <w:rsid w:val="7EA7723A"/>
    <w:rsid w:val="7EF56FBB"/>
    <w:rsid w:val="7F0768EB"/>
    <w:rsid w:val="7F143BEC"/>
    <w:rsid w:val="7F715AF2"/>
    <w:rsid w:val="7F886E69"/>
    <w:rsid w:val="7FCD3BCF"/>
    <w:rsid w:val="7FEA3E31"/>
    <w:rsid w:val="BB7F7E1B"/>
    <w:rsid w:val="BB7FA927"/>
    <w:rsid w:val="EF57F951"/>
    <w:rsid w:val="F5FFD31F"/>
    <w:rsid w:val="FDFF71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5"/>
    <w:qFormat/>
    <w:uiPriority w:val="0"/>
    <w:pPr>
      <w:adjustRightInd/>
      <w:spacing w:after="120" w:line="240" w:lineRule="auto"/>
      <w:ind w:left="420" w:leftChars="200" w:firstLine="210"/>
    </w:pPr>
    <w:rPr>
      <w:sz w:val="21"/>
    </w:rPr>
  </w:style>
  <w:style w:type="paragraph" w:styleId="3">
    <w:name w:val="Body Text Indent"/>
    <w:basedOn w:val="1"/>
    <w:link w:val="269"/>
    <w:qFormat/>
    <w:uiPriority w:val="0"/>
    <w:pPr>
      <w:spacing w:line="480" w:lineRule="exact"/>
      <w:ind w:firstLine="480" w:firstLineChars="200"/>
    </w:pPr>
    <w:rPr>
      <w:rFonts w:ascii="宋体" w:hAnsi="宋体"/>
      <w:sz w:val="24"/>
    </w:rPr>
  </w:style>
  <w:style w:type="paragraph" w:styleId="7">
    <w:name w:val="Plain Text"/>
    <w:basedOn w:val="1"/>
    <w:next w:val="1"/>
    <w:link w:val="129"/>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6"/>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4"/>
    <w:qFormat/>
    <w:uiPriority w:val="0"/>
    <w:pPr>
      <w:autoSpaceDE w:val="0"/>
      <w:autoSpaceDN w:val="0"/>
      <w:spacing w:line="360" w:lineRule="auto"/>
    </w:pPr>
    <w:rPr>
      <w:rFonts w:ascii="宋体" w:hAnsi="Arial" w:cs="Arial"/>
      <w:snapToGrid w:val="0"/>
      <w:sz w:val="24"/>
      <w:szCs w:val="21"/>
      <w:lang w:val="zh-CN"/>
    </w:rPr>
  </w:style>
  <w:style w:type="paragraph" w:styleId="27">
    <w:name w:val="toc 4"/>
    <w:basedOn w:val="1"/>
    <w:next w:val="1"/>
    <w:qFormat/>
    <w:uiPriority w:val="0"/>
    <w:pPr>
      <w:ind w:left="1260" w:leftChars="6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qFormat/>
    <w:uiPriority w:val="0"/>
    <w:pPr>
      <w:ind w:left="600" w:leftChars="600"/>
    </w:pPr>
    <w:rPr>
      <w:rFonts w:ascii="Verdana" w:hAnsi="Verdana" w:eastAsia="宋体" w:cs="Times New Roman"/>
      <w:kern w:val="0"/>
      <w:sz w:val="20"/>
      <w:szCs w:val="20"/>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5"/>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92"/>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next w:val="1"/>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0"/>
    <w:qFormat/>
    <w:uiPriority w:val="0"/>
    <w:rPr>
      <w:b/>
      <w:bCs/>
    </w:rPr>
  </w:style>
  <w:style w:type="paragraph" w:styleId="64">
    <w:name w:val="Body Text First Indent"/>
    <w:basedOn w:val="26"/>
    <w:next w:val="1"/>
    <w:link w:val="325"/>
    <w:qFormat/>
    <w:uiPriority w:val="0"/>
    <w:pPr>
      <w:ind w:firstLine="420"/>
    </w:pPr>
    <w:rPr>
      <w:rFonts w:hAnsi="Calibri" w:cs="Times New Roman"/>
      <w:snapToGrid/>
      <w:szCs w:val="20"/>
    </w:rPr>
  </w:style>
  <w:style w:type="table" w:styleId="66">
    <w:name w:val="Table Grid"/>
    <w:basedOn w:val="6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Normal Indent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83">
    <w:name w:val="表格文字"/>
    <w:basedOn w:val="84"/>
    <w:next w:val="26"/>
    <w:qFormat/>
    <w:uiPriority w:val="0"/>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snapToGrid w:val="0"/>
    </w:pPr>
    <w:rPr>
      <w:sz w:val="20"/>
    </w:rPr>
  </w:style>
  <w:style w:type="paragraph" w:customStyle="1" w:styleId="85">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2"/>
    <w:qFormat/>
    <w:uiPriority w:val="0"/>
    <w:rPr>
      <w:rFonts w:ascii="宋体" w:hAnsi="宋体"/>
      <w:kern w:val="2"/>
      <w:sz w:val="21"/>
      <w:szCs w:val="24"/>
    </w:rPr>
  </w:style>
  <w:style w:type="character" w:customStyle="1" w:styleId="126">
    <w:name w:val="font11"/>
    <w:basedOn w:val="72"/>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字符1"/>
    <w:link w:val="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5"/>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8"/>
    <w:qFormat/>
    <w:uiPriority w:val="0"/>
    <w:rPr>
      <w:rFonts w:ascii="宋体"/>
      <w:kern w:val="2"/>
      <w:sz w:val="24"/>
      <w:szCs w:val="21"/>
      <w:lang w:val="zh-CN"/>
    </w:rPr>
  </w:style>
  <w:style w:type="character" w:customStyle="1" w:styleId="186">
    <w:name w:val="标题 9 字符"/>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1"/>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3"/>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60"/>
    <w:qFormat/>
    <w:uiPriority w:val="0"/>
    <w:rPr>
      <w:rFonts w:ascii="黑体" w:hAnsi="Courier New" w:eastAsia="黑体"/>
    </w:rPr>
  </w:style>
  <w:style w:type="character" w:customStyle="1" w:styleId="306">
    <w:name w:val="正文文本 2 字符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11"/>
    <w:qFormat/>
    <w:uiPriority w:val="0"/>
    <w:rPr>
      <w:b/>
      <w:bCs/>
      <w:kern w:val="2"/>
      <w:sz w:val="24"/>
      <w:szCs w:val="24"/>
    </w:rPr>
  </w:style>
  <w:style w:type="character" w:customStyle="1" w:styleId="312">
    <w:name w:val="正文文本缩进 2 字符"/>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2"/>
    <w:qFormat/>
    <w:uiPriority w:val="0"/>
    <w:rPr>
      <w:kern w:val="2"/>
      <w:sz w:val="21"/>
      <w:szCs w:val="24"/>
    </w:rPr>
  </w:style>
  <w:style w:type="character" w:customStyle="1" w:styleId="349">
    <w:name w:val="签名 字符"/>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2"/>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8"/>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7"/>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0"/>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search_content1"/>
    <w:qFormat/>
    <w:uiPriority w:val="0"/>
    <w:rPr>
      <w:sz w:val="20"/>
      <w:szCs w:val="20"/>
    </w:rPr>
  </w:style>
  <w:style w:type="paragraph" w:customStyle="1" w:styleId="967">
    <w:name w:val="防指正文"/>
    <w:basedOn w:val="1"/>
    <w:qFormat/>
    <w:uiPriority w:val="0"/>
    <w:pPr>
      <w:tabs>
        <w:tab w:val="left" w:pos="540"/>
      </w:tabs>
      <w:snapToGrid w:val="0"/>
      <w:spacing w:line="360" w:lineRule="auto"/>
    </w:pPr>
    <w:rPr>
      <w:rFonts w:ascii="宋体" w:hAnsi="宋体"/>
      <w:bCs/>
      <w:sz w:val="24"/>
    </w:rPr>
  </w:style>
  <w:style w:type="character" w:customStyle="1" w:styleId="968">
    <w:name w:val="未处理的提及2"/>
    <w:basedOn w:val="72"/>
    <w:semiHidden/>
    <w:unhideWhenUsed/>
    <w:qFormat/>
    <w:uiPriority w:val="99"/>
    <w:rPr>
      <w:color w:val="605E5C"/>
      <w:shd w:val="clear" w:color="auto" w:fill="E1DFDD"/>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纯文本 字符2"/>
    <w:qFormat/>
    <w:uiPriority w:val="0"/>
    <w:rPr>
      <w:rFonts w:ascii="宋体" w:hAnsi="Courier New" w:eastAsia="宋体"/>
      <w:kern w:val="2"/>
      <w:sz w:val="21"/>
      <w:lang w:val="en-US" w:eastAsia="zh-CN" w:bidi="ar-SA"/>
    </w:rPr>
  </w:style>
  <w:style w:type="paragraph" w:customStyle="1" w:styleId="9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2">
    <w:name w:val="bookmark-item"/>
    <w:basedOn w:val="72"/>
    <w:qFormat/>
    <w:uiPriority w:val="0"/>
  </w:style>
  <w:style w:type="paragraph" w:customStyle="1" w:styleId="973">
    <w:name w:val="**正文"/>
    <w:basedOn w:val="1"/>
    <w:qFormat/>
    <w:uiPriority w:val="99"/>
    <w:pPr>
      <w:ind w:firstLine="480" w:firstLineChars="200"/>
    </w:pPr>
    <w:rPr>
      <w:rFonts w:ascii="Calibri" w:hAnsi="Calibri" w:eastAsia="仿宋_GB2312" w:cs="宋体"/>
      <w:kern w:val="0"/>
      <w:sz w:val="24"/>
      <w:szCs w:val="32"/>
    </w:rPr>
  </w:style>
  <w:style w:type="paragraph" w:customStyle="1" w:styleId="974">
    <w:name w:val="ZY-A-正文内容"/>
    <w:basedOn w:val="1"/>
    <w:qFormat/>
    <w:uiPriority w:val="0"/>
    <w:pPr>
      <w:widowControl/>
      <w:tabs>
        <w:tab w:val="left" w:pos="0"/>
      </w:tabs>
      <w:spacing w:line="360" w:lineRule="auto"/>
      <w:ind w:firstLine="560" w:firstLineChars="200"/>
    </w:pPr>
    <w:rPr>
      <w:rFonts w:hint="eastAsia" w:ascii="Times New Roman" w:hAnsi="Times New Roman" w:eastAsia="仿宋_GB2312"/>
      <w:sz w:val="28"/>
      <w:szCs w:val="21"/>
    </w:rPr>
  </w:style>
  <w:style w:type="character" w:customStyle="1" w:styleId="975">
    <w:name w:val="font151"/>
    <w:basedOn w:val="72"/>
    <w:qFormat/>
    <w:uiPriority w:val="0"/>
    <w:rPr>
      <w:rFonts w:ascii="Calibri" w:hAnsi="Calibri" w:cs="Calibri"/>
      <w:color w:val="000000"/>
      <w:sz w:val="20"/>
      <w:szCs w:val="20"/>
      <w:u w:val="none"/>
    </w:rPr>
  </w:style>
  <w:style w:type="character" w:customStyle="1" w:styleId="976">
    <w:name w:val="font161"/>
    <w:basedOn w:val="72"/>
    <w:qFormat/>
    <w:uiPriority w:val="0"/>
    <w:rPr>
      <w:rFonts w:hint="default" w:ascii="Calibri" w:hAnsi="Calibri" w:cs="Calibri"/>
      <w:color w:val="000000"/>
      <w:sz w:val="20"/>
      <w:szCs w:val="20"/>
      <w:u w:val="none"/>
    </w:rPr>
  </w:style>
  <w:style w:type="table" w:customStyle="1" w:styleId="97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18811</Words>
  <Characters>20947</Characters>
  <Lines>273</Lines>
  <Paragraphs>77</Paragraphs>
  <TotalTime>61</TotalTime>
  <ScaleCrop>false</ScaleCrop>
  <LinksUpToDate>false</LinksUpToDate>
  <CharactersWithSpaces>21243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Mx.</dc:creator>
  <cp:lastModifiedBy>沈勤伟</cp:lastModifiedBy>
  <cp:lastPrinted>2023-07-24T21:55:00Z</cp:lastPrinted>
  <dcterms:modified xsi:type="dcterms:W3CDTF">2025-07-10T11:44:37Z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F24B58363DCF475A96AECBB7DAAD243F_13</vt:lpwstr>
  </property>
  <property fmtid="{D5CDD505-2E9C-101B-9397-08002B2CF9AE}" pid="5" name="KSOTemplateDocerSaveRecord">
    <vt:lpwstr>eyJoZGlkIjoiYmU2NzMzYjdkMDc0MjVkNDkzYzJjNDkyMTkzODYzNDQiLCJ1c2VySWQiOiIyNzExNDM3MzYifQ==</vt:lpwstr>
  </property>
</Properties>
</file>