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50570">
      <w:pPr>
        <w:tabs>
          <w:tab w:val="left" w:pos="3834"/>
        </w:tabs>
        <w:jc w:val="left"/>
        <w:rPr>
          <w:rFonts w:ascii="宋体" w:hAnsi="宋体" w:cs="宋体"/>
          <w:color w:val="auto"/>
          <w:highlight w:val="none"/>
        </w:rPr>
      </w:pPr>
      <w:r>
        <w:rPr>
          <w:rFonts w:hint="eastAsia" w:ascii="宋体" w:hAnsi="宋体" w:cs="宋体"/>
          <w:color w:val="auto"/>
          <w:highlight w:val="none"/>
        </w:rPr>
        <w:tab/>
      </w:r>
    </w:p>
    <w:p w14:paraId="001246FB">
      <w:pPr>
        <w:widowControl/>
        <w:ind w:right="-2"/>
        <w:jc w:val="center"/>
        <w:rPr>
          <w:rFonts w:ascii="宋体" w:hAnsi="宋体" w:cs="宋体"/>
          <w:b/>
          <w:color w:val="auto"/>
          <w:sz w:val="24"/>
          <w:highlight w:val="none"/>
        </w:rPr>
      </w:pPr>
    </w:p>
    <w:p w14:paraId="00065753">
      <w:pPr>
        <w:pStyle w:val="44"/>
        <w:jc w:val="center"/>
        <w:rPr>
          <w:rFonts w:ascii="宋体" w:hAnsi="宋体" w:cs="宋体"/>
          <w:b/>
          <w:bCs/>
          <w:color w:val="auto"/>
          <w:sz w:val="72"/>
          <w:szCs w:val="72"/>
          <w:highlight w:val="none"/>
        </w:rPr>
      </w:pPr>
    </w:p>
    <w:p w14:paraId="0255333C">
      <w:pPr>
        <w:pStyle w:val="44"/>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政府采购项目招标文件</w:t>
      </w:r>
    </w:p>
    <w:p w14:paraId="763A5927">
      <w:pP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（电子招投标）</w:t>
      </w:r>
    </w:p>
    <w:p w14:paraId="2F29D912">
      <w:pPr>
        <w:rPr>
          <w:rFonts w:ascii="宋体" w:hAnsi="宋体" w:cs="宋体"/>
          <w:b/>
          <w:color w:val="auto"/>
          <w:sz w:val="24"/>
          <w:highlight w:val="none"/>
        </w:rPr>
      </w:pPr>
    </w:p>
    <w:p w14:paraId="26C7C5C3">
      <w:pPr>
        <w:pStyle w:val="44"/>
        <w:rPr>
          <w:rFonts w:ascii="宋体" w:hAnsi="宋体" w:cs="宋体"/>
          <w:b/>
          <w:color w:val="auto"/>
          <w:sz w:val="24"/>
          <w:highlight w:val="none"/>
        </w:rPr>
      </w:pPr>
    </w:p>
    <w:p w14:paraId="269445E5">
      <w:pPr>
        <w:rPr>
          <w:rFonts w:ascii="宋体" w:hAnsi="宋体" w:cs="宋体"/>
          <w:b/>
          <w:color w:val="auto"/>
          <w:sz w:val="24"/>
          <w:highlight w:val="none"/>
        </w:rPr>
      </w:pPr>
    </w:p>
    <w:p w14:paraId="42446523">
      <w:pPr>
        <w:pStyle w:val="3"/>
        <w:rPr>
          <w:rFonts w:ascii="宋体" w:hAnsi="宋体" w:eastAsia="宋体" w:cs="宋体"/>
          <w:color w:val="auto"/>
          <w:sz w:val="24"/>
          <w:highlight w:val="none"/>
        </w:rPr>
      </w:pPr>
    </w:p>
    <w:p w14:paraId="3F4851C5">
      <w:pPr>
        <w:rPr>
          <w:rFonts w:ascii="宋体" w:hAnsi="宋体" w:cs="宋体"/>
          <w:b/>
          <w:color w:val="auto"/>
          <w:sz w:val="24"/>
          <w:highlight w:val="none"/>
        </w:rPr>
      </w:pPr>
    </w:p>
    <w:p w14:paraId="67800A13">
      <w:pPr>
        <w:pStyle w:val="3"/>
        <w:rPr>
          <w:rFonts w:ascii="宋体" w:hAnsi="宋体" w:eastAsia="宋体" w:cs="宋体"/>
          <w:color w:val="auto"/>
          <w:sz w:val="24"/>
          <w:highlight w:val="none"/>
        </w:rPr>
      </w:pPr>
    </w:p>
    <w:p w14:paraId="47A0EC84">
      <w:pPr>
        <w:rPr>
          <w:rFonts w:ascii="宋体" w:hAnsi="宋体" w:cs="宋体"/>
          <w:b/>
          <w:color w:val="auto"/>
          <w:sz w:val="24"/>
          <w:highlight w:val="none"/>
        </w:rPr>
      </w:pPr>
    </w:p>
    <w:p w14:paraId="49853818">
      <w:pPr>
        <w:pStyle w:val="3"/>
        <w:rPr>
          <w:rFonts w:ascii="宋体" w:hAnsi="宋体" w:eastAsia="宋体" w:cs="宋体"/>
          <w:color w:val="auto"/>
          <w:highlight w:val="none"/>
        </w:rPr>
      </w:pPr>
    </w:p>
    <w:p w14:paraId="0CF71410">
      <w:pPr>
        <w:pStyle w:val="44"/>
        <w:rPr>
          <w:rFonts w:ascii="宋体" w:hAnsi="宋体" w:cs="宋体"/>
          <w:b/>
          <w:color w:val="auto"/>
          <w:sz w:val="24"/>
          <w:highlight w:val="none"/>
        </w:rPr>
      </w:pPr>
    </w:p>
    <w:p w14:paraId="4685A56D">
      <w:pPr>
        <w:rPr>
          <w:rFonts w:ascii="宋体" w:hAnsi="宋体" w:cs="宋体"/>
          <w:color w:val="auto"/>
          <w:highlight w:val="none"/>
        </w:rPr>
      </w:pPr>
    </w:p>
    <w:p w14:paraId="17C23B65">
      <w:pPr>
        <w:rPr>
          <w:rFonts w:ascii="宋体" w:hAnsi="宋体" w:cs="宋体"/>
          <w:color w:val="auto"/>
          <w:highlight w:val="none"/>
        </w:rPr>
      </w:pPr>
    </w:p>
    <w:tbl>
      <w:tblPr>
        <w:tblStyle w:val="64"/>
        <w:tblW w:w="87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88"/>
      </w:tblGrid>
      <w:tr w14:paraId="2719F7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701" w:type="dxa"/>
            <w:tcBorders>
              <w:tl2br w:val="nil"/>
              <w:tr2bl w:val="nil"/>
            </w:tcBorders>
            <w:vAlign w:val="center"/>
          </w:tcPr>
          <w:p w14:paraId="0BDCEB95">
            <w:pPr>
              <w:jc w:val="center"/>
              <w:rPr>
                <w:rFonts w:ascii="宋体" w:hAnsi="宋体" w:cs="宋体"/>
                <w:color w:val="auto"/>
                <w:sz w:val="28"/>
                <w:szCs w:val="28"/>
                <w:highlight w:val="none"/>
              </w:rPr>
            </w:pPr>
            <w:r>
              <w:rPr>
                <w:rFonts w:hint="eastAsia" w:ascii="宋体" w:hAnsi="宋体" w:cs="宋体"/>
                <w:color w:val="auto"/>
                <w:sz w:val="28"/>
                <w:szCs w:val="28"/>
                <w:highlight w:val="none"/>
              </w:rPr>
              <w:t>项目名称</w:t>
            </w:r>
          </w:p>
        </w:tc>
        <w:tc>
          <w:tcPr>
            <w:tcW w:w="7088" w:type="dxa"/>
            <w:tcBorders>
              <w:tl2br w:val="nil"/>
              <w:tr2bl w:val="nil"/>
            </w:tcBorders>
            <w:vAlign w:val="center"/>
          </w:tcPr>
          <w:p w14:paraId="3982E74F">
            <w:pPr>
              <w:ind w:hanging="1"/>
              <w:rPr>
                <w:rFonts w:hint="default" w:ascii="宋体" w:hAnsi="宋体" w:eastAsia="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eastAsia="zh-CN"/>
              </w:rPr>
              <w:t>2025-2026年度高新区（高照街道）人力资源市场运营服务项目</w:t>
            </w:r>
          </w:p>
        </w:tc>
      </w:tr>
      <w:tr w14:paraId="412B02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tcBorders>
              <w:tl2br w:val="nil"/>
              <w:tr2bl w:val="nil"/>
            </w:tcBorders>
            <w:vAlign w:val="center"/>
          </w:tcPr>
          <w:p w14:paraId="1BBDF622">
            <w:pPr>
              <w:jc w:val="center"/>
              <w:rPr>
                <w:rFonts w:ascii="宋体" w:hAnsi="宋体" w:cs="宋体"/>
                <w:color w:val="auto"/>
                <w:sz w:val="28"/>
                <w:szCs w:val="28"/>
                <w:highlight w:val="none"/>
              </w:rPr>
            </w:pPr>
            <w:r>
              <w:rPr>
                <w:rFonts w:hint="eastAsia" w:ascii="宋体" w:hAnsi="宋体" w:cs="宋体"/>
                <w:color w:val="auto"/>
                <w:sz w:val="28"/>
                <w:szCs w:val="28"/>
                <w:highlight w:val="none"/>
              </w:rPr>
              <w:t>项目编号</w:t>
            </w:r>
          </w:p>
        </w:tc>
        <w:tc>
          <w:tcPr>
            <w:tcW w:w="7088" w:type="dxa"/>
            <w:tcBorders>
              <w:tl2br w:val="nil"/>
              <w:tr2bl w:val="nil"/>
            </w:tcBorders>
            <w:vAlign w:val="center"/>
          </w:tcPr>
          <w:p w14:paraId="2A718965">
            <w:pPr>
              <w:ind w:hanging="1"/>
              <w:rPr>
                <w:rFonts w:hint="default" w:ascii="宋体" w:hAnsi="宋体" w:eastAsia="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val="en-US" w:eastAsia="zh-CN"/>
              </w:rPr>
              <w:t>ZJJYZFCG-2025-016</w:t>
            </w:r>
          </w:p>
        </w:tc>
      </w:tr>
      <w:tr w14:paraId="0931C6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tcBorders>
              <w:tl2br w:val="nil"/>
              <w:tr2bl w:val="nil"/>
            </w:tcBorders>
            <w:vAlign w:val="center"/>
          </w:tcPr>
          <w:p w14:paraId="68FF78AF">
            <w:pPr>
              <w:jc w:val="center"/>
              <w:rPr>
                <w:rFonts w:ascii="宋体" w:hAnsi="宋体" w:cs="宋体"/>
                <w:color w:val="auto"/>
                <w:sz w:val="28"/>
                <w:szCs w:val="28"/>
                <w:highlight w:val="none"/>
              </w:rPr>
            </w:pPr>
            <w:r>
              <w:rPr>
                <w:rFonts w:hint="eastAsia" w:ascii="宋体" w:hAnsi="宋体" w:cs="宋体"/>
                <w:color w:val="auto"/>
                <w:sz w:val="28"/>
                <w:szCs w:val="28"/>
                <w:highlight w:val="none"/>
              </w:rPr>
              <w:t>采购方式</w:t>
            </w:r>
          </w:p>
        </w:tc>
        <w:tc>
          <w:tcPr>
            <w:tcW w:w="7088" w:type="dxa"/>
            <w:tcBorders>
              <w:tl2br w:val="nil"/>
              <w:tr2bl w:val="nil"/>
            </w:tcBorders>
            <w:vAlign w:val="center"/>
          </w:tcPr>
          <w:p w14:paraId="68AC850D">
            <w:pPr>
              <w:ind w:hanging="1"/>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公开招标</w:t>
            </w:r>
          </w:p>
        </w:tc>
      </w:tr>
      <w:tr w14:paraId="7CFA84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tcBorders>
              <w:tl2br w:val="nil"/>
              <w:tr2bl w:val="nil"/>
            </w:tcBorders>
            <w:vAlign w:val="center"/>
          </w:tcPr>
          <w:p w14:paraId="15CF56B4">
            <w:pPr>
              <w:jc w:val="center"/>
              <w:rPr>
                <w:rFonts w:ascii="宋体" w:hAnsi="宋体" w:cs="宋体"/>
                <w:color w:val="auto"/>
                <w:sz w:val="28"/>
                <w:szCs w:val="28"/>
                <w:highlight w:val="none"/>
              </w:rPr>
            </w:pPr>
            <w:r>
              <w:rPr>
                <w:rFonts w:hint="eastAsia" w:ascii="宋体" w:hAnsi="宋体" w:cs="宋体"/>
                <w:color w:val="auto"/>
                <w:sz w:val="28"/>
                <w:szCs w:val="28"/>
                <w:highlight w:val="none"/>
              </w:rPr>
              <w:t>交易方式</w:t>
            </w:r>
          </w:p>
        </w:tc>
        <w:tc>
          <w:tcPr>
            <w:tcW w:w="7088" w:type="dxa"/>
            <w:tcBorders>
              <w:tl2br w:val="nil"/>
              <w:tr2bl w:val="nil"/>
            </w:tcBorders>
            <w:vAlign w:val="center"/>
          </w:tcPr>
          <w:p w14:paraId="1835D372">
            <w:pPr>
              <w:ind w:hanging="1"/>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电子交易（政府采购云平台）</w:t>
            </w:r>
          </w:p>
        </w:tc>
      </w:tr>
      <w:tr w14:paraId="67A43C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tcBorders>
              <w:tl2br w:val="nil"/>
              <w:tr2bl w:val="nil"/>
            </w:tcBorders>
            <w:vAlign w:val="center"/>
          </w:tcPr>
          <w:p w14:paraId="706742B6">
            <w:pPr>
              <w:jc w:val="center"/>
              <w:rPr>
                <w:rFonts w:ascii="宋体" w:hAnsi="宋体" w:cs="宋体"/>
                <w:color w:val="auto"/>
                <w:sz w:val="28"/>
                <w:szCs w:val="28"/>
                <w:highlight w:val="none"/>
              </w:rPr>
            </w:pPr>
            <w:r>
              <w:rPr>
                <w:rFonts w:hint="eastAsia" w:ascii="宋体" w:hAnsi="宋体" w:cs="宋体"/>
                <w:color w:val="auto"/>
                <w:sz w:val="28"/>
                <w:szCs w:val="28"/>
                <w:highlight w:val="none"/>
              </w:rPr>
              <w:t>采 购 人</w:t>
            </w:r>
          </w:p>
        </w:tc>
        <w:tc>
          <w:tcPr>
            <w:tcW w:w="7088" w:type="dxa"/>
            <w:tcBorders>
              <w:tl2br w:val="nil"/>
              <w:tr2bl w:val="nil"/>
            </w:tcBorders>
            <w:vAlign w:val="center"/>
          </w:tcPr>
          <w:p w14:paraId="77DA7DC5">
            <w:pPr>
              <w:ind w:hanging="1"/>
              <w:jc w:val="left"/>
              <w:rPr>
                <w:rFonts w:hint="eastAsia" w:ascii="宋体" w:hAnsi="宋体" w:eastAsia="宋体" w:cs="宋体"/>
                <w:bCs/>
                <w:color w:val="auto"/>
                <w:kern w:val="0"/>
                <w:sz w:val="28"/>
                <w:szCs w:val="28"/>
                <w:highlight w:val="none"/>
                <w:lang w:eastAsia="zh-CN"/>
              </w:rPr>
            </w:pPr>
            <w:r>
              <w:rPr>
                <w:rFonts w:hint="eastAsia" w:ascii="宋体" w:hAnsi="宋体" w:cs="宋体"/>
                <w:bCs/>
                <w:color w:val="auto"/>
                <w:kern w:val="0"/>
                <w:sz w:val="28"/>
                <w:szCs w:val="28"/>
                <w:highlight w:val="none"/>
                <w:lang w:eastAsia="zh-CN"/>
              </w:rPr>
              <w:t>嘉兴市秀洲区人民政府高照街道办事处</w:t>
            </w:r>
          </w:p>
        </w:tc>
      </w:tr>
      <w:tr w14:paraId="33CACD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tcBorders>
              <w:tl2br w:val="nil"/>
              <w:tr2bl w:val="nil"/>
            </w:tcBorders>
            <w:vAlign w:val="center"/>
          </w:tcPr>
          <w:p w14:paraId="41610A10">
            <w:pPr>
              <w:jc w:val="center"/>
              <w:rPr>
                <w:rFonts w:ascii="宋体" w:hAnsi="宋体" w:cs="宋体"/>
                <w:color w:val="auto"/>
                <w:sz w:val="28"/>
                <w:szCs w:val="28"/>
                <w:highlight w:val="none"/>
              </w:rPr>
            </w:pPr>
            <w:r>
              <w:rPr>
                <w:rFonts w:hint="eastAsia" w:ascii="宋体" w:hAnsi="宋体" w:cs="宋体"/>
                <w:color w:val="auto"/>
                <w:sz w:val="28"/>
                <w:szCs w:val="28"/>
                <w:highlight w:val="none"/>
              </w:rPr>
              <w:t>代理机构</w:t>
            </w:r>
          </w:p>
        </w:tc>
        <w:tc>
          <w:tcPr>
            <w:tcW w:w="7088" w:type="dxa"/>
            <w:tcBorders>
              <w:tl2br w:val="nil"/>
              <w:tr2bl w:val="nil"/>
            </w:tcBorders>
            <w:vAlign w:val="center"/>
          </w:tcPr>
          <w:p w14:paraId="238D67FB">
            <w:pPr>
              <w:ind w:hanging="1"/>
              <w:jc w:val="left"/>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浙江槿阳建设管理有限公司</w:t>
            </w:r>
          </w:p>
        </w:tc>
      </w:tr>
      <w:tr w14:paraId="52FBCE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tcBorders>
              <w:tl2br w:val="nil"/>
              <w:tr2bl w:val="nil"/>
            </w:tcBorders>
            <w:vAlign w:val="center"/>
          </w:tcPr>
          <w:p w14:paraId="4387108D">
            <w:pPr>
              <w:jc w:val="center"/>
              <w:rPr>
                <w:rFonts w:ascii="宋体" w:hAnsi="宋体" w:cs="宋体"/>
                <w:color w:val="auto"/>
                <w:sz w:val="28"/>
                <w:szCs w:val="28"/>
                <w:highlight w:val="none"/>
              </w:rPr>
            </w:pPr>
            <w:r>
              <w:rPr>
                <w:rFonts w:hint="eastAsia" w:ascii="宋体" w:hAnsi="宋体" w:cs="宋体"/>
                <w:color w:val="auto"/>
                <w:sz w:val="28"/>
                <w:szCs w:val="28"/>
                <w:highlight w:val="none"/>
              </w:rPr>
              <w:t>日    期</w:t>
            </w:r>
          </w:p>
        </w:tc>
        <w:tc>
          <w:tcPr>
            <w:tcW w:w="7088" w:type="dxa"/>
            <w:tcBorders>
              <w:tl2br w:val="nil"/>
              <w:tr2bl w:val="nil"/>
            </w:tcBorders>
            <w:vAlign w:val="center"/>
          </w:tcPr>
          <w:p w14:paraId="46701C7C">
            <w:pPr>
              <w:ind w:hanging="1"/>
              <w:rPr>
                <w:rFonts w:ascii="宋体" w:hAnsi="宋体" w:cs="宋体"/>
                <w:color w:val="auto"/>
                <w:kern w:val="0"/>
                <w:sz w:val="28"/>
                <w:szCs w:val="28"/>
                <w:highlight w:val="none"/>
              </w:rPr>
            </w:pPr>
            <w:r>
              <w:rPr>
                <w:rFonts w:hint="eastAsia" w:ascii="宋体" w:hAnsi="宋体" w:cs="宋体"/>
                <w:color w:val="auto"/>
                <w:kern w:val="0"/>
                <w:sz w:val="28"/>
                <w:szCs w:val="28"/>
                <w:highlight w:val="none"/>
              </w:rPr>
              <w:t>二○二</w:t>
            </w:r>
            <w:r>
              <w:rPr>
                <w:rFonts w:hint="eastAsia" w:ascii="宋体" w:hAnsi="宋体" w:cs="宋体"/>
                <w:color w:val="auto"/>
                <w:kern w:val="0"/>
                <w:sz w:val="28"/>
                <w:szCs w:val="28"/>
                <w:highlight w:val="none"/>
                <w:lang w:val="en-US" w:eastAsia="zh-CN"/>
              </w:rPr>
              <w:t>五</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七</w:t>
            </w:r>
            <w:r>
              <w:rPr>
                <w:rFonts w:hint="eastAsia" w:ascii="宋体" w:hAnsi="宋体" w:cs="宋体"/>
                <w:color w:val="auto"/>
                <w:kern w:val="0"/>
                <w:sz w:val="28"/>
                <w:szCs w:val="28"/>
                <w:highlight w:val="none"/>
              </w:rPr>
              <w:t>月</w:t>
            </w:r>
          </w:p>
        </w:tc>
      </w:tr>
    </w:tbl>
    <w:p w14:paraId="04CC24DB">
      <w:pPr>
        <w:snapToGrid w:val="0"/>
        <w:spacing w:line="360" w:lineRule="auto"/>
        <w:jc w:val="center"/>
        <w:rPr>
          <w:rFonts w:ascii="宋体" w:hAnsi="宋体" w:cs="宋体"/>
          <w:color w:val="auto"/>
          <w:sz w:val="30"/>
          <w:highlight w:val="none"/>
        </w:rPr>
      </w:pPr>
    </w:p>
    <w:p w14:paraId="22DDFF5B">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2B7B013">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B130D94">
      <w:pPr>
        <w:spacing w:line="360" w:lineRule="auto"/>
        <w:rPr>
          <w:rFonts w:ascii="宋体" w:hAnsi="宋体" w:cs="宋体"/>
          <w:color w:val="auto"/>
          <w:sz w:val="32"/>
          <w:szCs w:val="32"/>
          <w:highlight w:val="none"/>
        </w:rPr>
      </w:pPr>
    </w:p>
    <w:p w14:paraId="76CA5A3E">
      <w:pPr>
        <w:spacing w:line="360" w:lineRule="auto"/>
        <w:rPr>
          <w:rFonts w:ascii="宋体" w:hAnsi="宋体" w:cs="宋体"/>
          <w:color w:val="auto"/>
          <w:sz w:val="32"/>
          <w:szCs w:val="32"/>
          <w:highlight w:val="none"/>
        </w:rPr>
      </w:pPr>
    </w:p>
    <w:p w14:paraId="4CDFA1C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86F3F2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712D42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429F7F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6EA9D1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CEE8DB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EB49D1A">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6A6AF92">
      <w:pPr>
        <w:spacing w:line="360" w:lineRule="auto"/>
        <w:ind w:firstLine="549" w:firstLineChars="229"/>
        <w:rPr>
          <w:rFonts w:ascii="宋体" w:hAnsi="宋体" w:cs="宋体"/>
          <w:color w:val="auto"/>
          <w:sz w:val="24"/>
          <w:highlight w:val="none"/>
        </w:rPr>
      </w:pPr>
    </w:p>
    <w:p w14:paraId="166062B4">
      <w:pPr>
        <w:spacing w:line="360" w:lineRule="auto"/>
        <w:ind w:firstLine="549" w:firstLineChars="229"/>
        <w:rPr>
          <w:rFonts w:ascii="宋体" w:hAnsi="宋体" w:cs="宋体"/>
          <w:color w:val="auto"/>
          <w:sz w:val="24"/>
          <w:highlight w:val="none"/>
        </w:rPr>
      </w:pPr>
    </w:p>
    <w:p w14:paraId="3DA766AF">
      <w:pPr>
        <w:spacing w:line="360" w:lineRule="auto"/>
        <w:ind w:firstLine="549" w:firstLineChars="229"/>
        <w:rPr>
          <w:rFonts w:ascii="宋体" w:hAnsi="宋体" w:cs="宋体"/>
          <w:color w:val="auto"/>
          <w:sz w:val="24"/>
          <w:highlight w:val="none"/>
        </w:rPr>
      </w:pPr>
    </w:p>
    <w:p w14:paraId="1B7EBE17">
      <w:pPr>
        <w:spacing w:line="360" w:lineRule="auto"/>
        <w:ind w:firstLine="549" w:firstLineChars="229"/>
        <w:rPr>
          <w:rFonts w:ascii="宋体" w:hAnsi="宋体" w:cs="宋体"/>
          <w:color w:val="auto"/>
          <w:sz w:val="24"/>
          <w:highlight w:val="none"/>
        </w:rPr>
      </w:pPr>
    </w:p>
    <w:p w14:paraId="753B8194">
      <w:pPr>
        <w:spacing w:line="360" w:lineRule="auto"/>
        <w:ind w:firstLine="549" w:firstLineChars="229"/>
        <w:rPr>
          <w:rFonts w:ascii="宋体" w:hAnsi="宋体" w:cs="宋体"/>
          <w:color w:val="auto"/>
          <w:sz w:val="24"/>
          <w:highlight w:val="none"/>
        </w:rPr>
      </w:pPr>
    </w:p>
    <w:p w14:paraId="0011AC5B">
      <w:pPr>
        <w:spacing w:line="360" w:lineRule="auto"/>
        <w:ind w:firstLine="549" w:firstLineChars="229"/>
        <w:rPr>
          <w:rFonts w:ascii="宋体" w:hAnsi="宋体" w:cs="宋体"/>
          <w:color w:val="auto"/>
          <w:sz w:val="24"/>
          <w:highlight w:val="none"/>
        </w:rPr>
      </w:pPr>
    </w:p>
    <w:p w14:paraId="3F7963E9">
      <w:pPr>
        <w:spacing w:line="360" w:lineRule="auto"/>
        <w:ind w:firstLine="549" w:firstLineChars="229"/>
        <w:rPr>
          <w:rFonts w:ascii="宋体" w:hAnsi="宋体" w:cs="宋体"/>
          <w:color w:val="auto"/>
          <w:sz w:val="24"/>
          <w:highlight w:val="none"/>
        </w:rPr>
      </w:pPr>
    </w:p>
    <w:p w14:paraId="22BF3774">
      <w:pPr>
        <w:spacing w:line="360" w:lineRule="auto"/>
        <w:ind w:firstLine="549" w:firstLineChars="229"/>
        <w:rPr>
          <w:rFonts w:ascii="宋体" w:hAnsi="宋体" w:cs="宋体"/>
          <w:color w:val="auto"/>
          <w:sz w:val="24"/>
          <w:highlight w:val="none"/>
        </w:rPr>
      </w:pPr>
    </w:p>
    <w:p w14:paraId="0F8D75E9">
      <w:pPr>
        <w:spacing w:line="360" w:lineRule="auto"/>
        <w:ind w:firstLine="549" w:firstLineChars="229"/>
        <w:rPr>
          <w:rFonts w:ascii="宋体" w:hAnsi="宋体" w:cs="宋体"/>
          <w:color w:val="auto"/>
          <w:sz w:val="24"/>
          <w:highlight w:val="none"/>
        </w:rPr>
      </w:pPr>
    </w:p>
    <w:p w14:paraId="2B69F3D9">
      <w:pPr>
        <w:spacing w:line="360" w:lineRule="auto"/>
        <w:ind w:firstLine="549" w:firstLineChars="229"/>
        <w:rPr>
          <w:rFonts w:ascii="宋体" w:hAnsi="宋体" w:cs="宋体"/>
          <w:color w:val="auto"/>
          <w:sz w:val="24"/>
          <w:highlight w:val="none"/>
        </w:rPr>
      </w:pPr>
    </w:p>
    <w:p w14:paraId="4A98BBC6">
      <w:pPr>
        <w:spacing w:line="360" w:lineRule="auto"/>
        <w:ind w:firstLine="549" w:firstLineChars="229"/>
        <w:rPr>
          <w:rFonts w:ascii="宋体" w:hAnsi="宋体" w:cs="宋体"/>
          <w:color w:val="auto"/>
          <w:sz w:val="24"/>
          <w:highlight w:val="none"/>
        </w:rPr>
      </w:pPr>
    </w:p>
    <w:p w14:paraId="3C0FB85B">
      <w:pPr>
        <w:spacing w:line="360" w:lineRule="auto"/>
        <w:ind w:firstLine="549" w:firstLineChars="229"/>
        <w:rPr>
          <w:rFonts w:ascii="宋体" w:hAnsi="宋体" w:cs="宋体"/>
          <w:color w:val="auto"/>
          <w:sz w:val="24"/>
          <w:highlight w:val="none"/>
        </w:rPr>
      </w:pPr>
    </w:p>
    <w:p w14:paraId="2608C0D0">
      <w:pPr>
        <w:spacing w:line="360" w:lineRule="auto"/>
        <w:rPr>
          <w:rFonts w:ascii="宋体" w:hAnsi="宋体" w:cs="宋体"/>
          <w:color w:val="auto"/>
          <w:sz w:val="24"/>
          <w:highlight w:val="none"/>
        </w:rPr>
      </w:pPr>
    </w:p>
    <w:p w14:paraId="20C15788">
      <w:pPr>
        <w:adjustRightInd/>
        <w:spacing w:before="240" w:beforeLines="100" w:after="240" w:afterLines="100"/>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36"/>
          <w:highlight w:val="none"/>
        </w:rPr>
        <w:t>第一部分招标公告</w:t>
      </w:r>
    </w:p>
    <w:p w14:paraId="3009074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77BF7D12">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lang w:eastAsia="zh-CN"/>
        </w:rPr>
        <w:t>2025-2026年度高新区（高照街道）人力资源市场运营服务项目</w:t>
      </w:r>
      <w:r>
        <w:rPr>
          <w:rFonts w:hint="eastAsia" w:ascii="宋体" w:hAnsi="宋体" w:cs="宋体"/>
          <w:color w:val="auto"/>
          <w:szCs w:val="21"/>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"https://www.zcygov.cn/）获取（下载）招标文件，并于2022年%20月%20日%20点%20分00秒" </w:instrText>
      </w:r>
      <w:r>
        <w:rPr>
          <w:color w:val="auto"/>
          <w:highlight w:val="none"/>
        </w:rPr>
        <w:fldChar w:fldCharType="separate"/>
      </w:r>
      <w:r>
        <w:rPr>
          <w:rStyle w:val="75"/>
          <w:rFonts w:hint="eastAsia" w:ascii="宋体" w:hAnsi="宋体" w:eastAsia="宋体" w:cs="宋体"/>
          <w:snapToGrid/>
          <w:color w:val="auto"/>
          <w:kern w:val="2"/>
          <w:sz w:val="21"/>
          <w:szCs w:val="21"/>
          <w:highlight w:val="none"/>
        </w:rPr>
        <w:t>https://www.zcygov.cn/）获取（下载）招标文件，并于202</w:t>
      </w:r>
      <w:r>
        <w:rPr>
          <w:rStyle w:val="75"/>
          <w:rFonts w:hint="eastAsia" w:ascii="宋体" w:hAnsi="宋体" w:cs="宋体"/>
          <w:snapToGrid/>
          <w:color w:val="auto"/>
          <w:kern w:val="2"/>
          <w:sz w:val="21"/>
          <w:szCs w:val="21"/>
          <w:highlight w:val="none"/>
          <w:lang w:val="en-US" w:eastAsia="zh-CN"/>
        </w:rPr>
        <w:t>5</w:t>
      </w:r>
      <w:r>
        <w:rPr>
          <w:rStyle w:val="75"/>
          <w:rFonts w:hint="eastAsia" w:ascii="宋体" w:hAnsi="宋体" w:eastAsia="宋体" w:cs="宋体"/>
          <w:snapToGrid/>
          <w:color w:val="auto"/>
          <w:kern w:val="2"/>
          <w:sz w:val="21"/>
          <w:szCs w:val="21"/>
          <w:highlight w:val="none"/>
        </w:rPr>
        <w:t>年</w:t>
      </w:r>
      <w:r>
        <w:rPr>
          <w:rStyle w:val="75"/>
          <w:rFonts w:hint="eastAsia" w:ascii="宋体" w:hAnsi="宋体" w:cs="宋体"/>
          <w:snapToGrid/>
          <w:color w:val="auto"/>
          <w:kern w:val="2"/>
          <w:sz w:val="21"/>
          <w:szCs w:val="21"/>
          <w:highlight w:val="none"/>
          <w:lang w:val="en-US" w:eastAsia="zh-CN"/>
        </w:rPr>
        <w:t>7</w:t>
      </w:r>
      <w:r>
        <w:rPr>
          <w:rStyle w:val="75"/>
          <w:rFonts w:hint="eastAsia" w:ascii="宋体" w:hAnsi="宋体" w:eastAsia="宋体" w:cs="宋体"/>
          <w:snapToGrid/>
          <w:color w:val="auto"/>
          <w:kern w:val="2"/>
          <w:sz w:val="21"/>
          <w:szCs w:val="21"/>
          <w:highlight w:val="none"/>
        </w:rPr>
        <w:t>月</w:t>
      </w:r>
      <w:r>
        <w:rPr>
          <w:rStyle w:val="75"/>
          <w:rFonts w:hint="eastAsia" w:ascii="宋体" w:hAnsi="宋体" w:cs="宋体"/>
          <w:snapToGrid/>
          <w:color w:val="auto"/>
          <w:kern w:val="2"/>
          <w:sz w:val="21"/>
          <w:szCs w:val="21"/>
          <w:highlight w:val="none"/>
          <w:lang w:val="en-US" w:eastAsia="zh-CN"/>
        </w:rPr>
        <w:t>22</w:t>
      </w:r>
      <w:r>
        <w:rPr>
          <w:rStyle w:val="75"/>
          <w:rFonts w:hint="eastAsia" w:ascii="宋体" w:hAnsi="宋体" w:eastAsia="宋体" w:cs="宋体"/>
          <w:snapToGrid/>
          <w:color w:val="auto"/>
          <w:kern w:val="2"/>
          <w:sz w:val="21"/>
          <w:szCs w:val="21"/>
          <w:highlight w:val="none"/>
        </w:rPr>
        <w:t>日</w:t>
      </w:r>
      <w:r>
        <w:rPr>
          <w:rStyle w:val="75"/>
          <w:rFonts w:hint="eastAsia" w:ascii="宋体" w:hAnsi="宋体" w:cs="宋体"/>
          <w:snapToGrid/>
          <w:color w:val="auto"/>
          <w:kern w:val="2"/>
          <w:sz w:val="21"/>
          <w:szCs w:val="21"/>
          <w:highlight w:val="none"/>
          <w:lang w:val="en-US" w:eastAsia="zh-CN"/>
        </w:rPr>
        <w:t>14</w:t>
      </w:r>
      <w:r>
        <w:rPr>
          <w:rStyle w:val="75"/>
          <w:rFonts w:hint="eastAsia" w:ascii="宋体" w:hAnsi="宋体" w:eastAsia="宋体" w:cs="宋体"/>
          <w:snapToGrid/>
          <w:color w:val="auto"/>
          <w:kern w:val="2"/>
          <w:sz w:val="21"/>
          <w:szCs w:val="21"/>
          <w:highlight w:val="none"/>
        </w:rPr>
        <w:t>点</w:t>
      </w:r>
      <w:r>
        <w:rPr>
          <w:rStyle w:val="75"/>
          <w:rFonts w:hint="eastAsia" w:ascii="宋体" w:hAnsi="宋体" w:cs="宋体"/>
          <w:snapToGrid/>
          <w:color w:val="auto"/>
          <w:kern w:val="2"/>
          <w:sz w:val="21"/>
          <w:szCs w:val="21"/>
          <w:highlight w:val="none"/>
          <w:lang w:val="en-US" w:eastAsia="zh-CN"/>
        </w:rPr>
        <w:t>00</w:t>
      </w:r>
      <w:r>
        <w:rPr>
          <w:rStyle w:val="75"/>
          <w:rFonts w:hint="eastAsia" w:ascii="宋体" w:hAnsi="宋体" w:eastAsia="宋体" w:cs="宋体"/>
          <w:snapToGrid/>
          <w:color w:val="auto"/>
          <w:kern w:val="2"/>
          <w:sz w:val="21"/>
          <w:szCs w:val="21"/>
          <w:highlight w:val="none"/>
        </w:rPr>
        <w:t>分</w:t>
      </w:r>
      <w:r>
        <w:rPr>
          <w:rStyle w:val="75"/>
          <w:rFonts w:hint="eastAsia" w:ascii="宋体" w:hAnsi="宋体" w:eastAsia="宋体" w:cs="宋体"/>
          <w:bCs/>
          <w:snapToGrid/>
          <w:color w:val="auto"/>
          <w:kern w:val="2"/>
          <w:sz w:val="21"/>
          <w:szCs w:val="21"/>
          <w:highlight w:val="none"/>
        </w:rPr>
        <w:t>00秒</w:t>
      </w:r>
      <w:r>
        <w:rPr>
          <w:rStyle w:val="75"/>
          <w:rFonts w:hint="eastAsia" w:ascii="宋体" w:hAnsi="宋体" w:eastAsia="宋体" w:cs="宋体"/>
          <w:bCs/>
          <w:snapToGrid/>
          <w:color w:val="auto"/>
          <w:kern w:val="2"/>
          <w:sz w:val="21"/>
          <w:szCs w:val="21"/>
          <w:highlight w:val="none"/>
        </w:rPr>
        <w:fldChar w:fldCharType="end"/>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14:paraId="4C0396FB">
      <w:pPr>
        <w:spacing w:before="240" w:beforeLines="100" w:after="240" w:afterLines="100"/>
        <w:rPr>
          <w:rFonts w:ascii="宋体" w:hAnsi="宋体" w:cs="宋体"/>
          <w:b/>
          <w:color w:val="auto"/>
          <w:szCs w:val="21"/>
          <w:highlight w:val="none"/>
        </w:rPr>
      </w:pPr>
      <w:r>
        <w:rPr>
          <w:rFonts w:hint="eastAsia" w:ascii="宋体" w:hAnsi="宋体" w:cs="宋体"/>
          <w:b/>
          <w:color w:val="auto"/>
          <w:szCs w:val="21"/>
          <w:highlight w:val="none"/>
        </w:rPr>
        <w:t>一、项目基本情况</w:t>
      </w:r>
    </w:p>
    <w:p w14:paraId="37DDE98F">
      <w:pPr>
        <w:spacing w:line="360" w:lineRule="auto"/>
        <w:ind w:firstLine="420" w:firstLineChars="200"/>
        <w:rPr>
          <w:rFonts w:hint="default" w:ascii="宋体" w:hAnsi="宋体" w:cs="宋体"/>
          <w:bCs/>
          <w:color w:val="auto"/>
          <w:szCs w:val="21"/>
          <w:highlight w:val="none"/>
          <w:lang w:val="en-US"/>
        </w:rPr>
      </w:pPr>
      <w:r>
        <w:rPr>
          <w:rFonts w:hint="eastAsia" w:ascii="宋体" w:hAnsi="宋体" w:cs="宋体"/>
          <w:bCs/>
          <w:color w:val="auto"/>
          <w:szCs w:val="21"/>
          <w:highlight w:val="none"/>
        </w:rPr>
        <w:t>项目编号：</w:t>
      </w:r>
      <w:r>
        <w:rPr>
          <w:rFonts w:hint="eastAsia" w:ascii="宋体" w:hAnsi="宋体" w:cs="宋体"/>
          <w:bCs/>
          <w:color w:val="auto"/>
          <w:szCs w:val="21"/>
          <w:highlight w:val="none"/>
          <w:u w:val="single"/>
          <w:lang w:val="en-US" w:eastAsia="zh-CN"/>
        </w:rPr>
        <w:t>ZJJYZFCG-2025-016</w:t>
      </w:r>
    </w:p>
    <w:p w14:paraId="5165E999">
      <w:pPr>
        <w:spacing w:line="360" w:lineRule="auto"/>
        <w:ind w:firstLine="420" w:firstLineChars="200"/>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项目名称：</w:t>
      </w:r>
      <w:r>
        <w:rPr>
          <w:rFonts w:hint="eastAsia" w:ascii="宋体" w:hAnsi="宋体" w:cs="宋体"/>
          <w:bCs/>
          <w:color w:val="auto"/>
          <w:szCs w:val="21"/>
          <w:highlight w:val="none"/>
          <w:u w:val="single"/>
          <w:lang w:eastAsia="zh-CN"/>
        </w:rPr>
        <w:t>2025-2026年度高新区（高照街道）人力资源市场运营服务项目</w:t>
      </w:r>
    </w:p>
    <w:p w14:paraId="290B58BA">
      <w:pPr>
        <w:spacing w:line="360" w:lineRule="auto"/>
        <w:ind w:firstLine="420" w:firstLineChars="200"/>
        <w:rPr>
          <w:rFonts w:hint="default" w:ascii="宋体" w:hAnsi="宋体" w:cs="宋体"/>
          <w:bCs/>
          <w:color w:val="auto"/>
          <w:szCs w:val="21"/>
          <w:highlight w:val="none"/>
          <w:lang w:val="en-US"/>
        </w:rPr>
      </w:pPr>
      <w:r>
        <w:rPr>
          <w:rFonts w:hint="eastAsia" w:ascii="宋体" w:hAnsi="宋体" w:cs="宋体"/>
          <w:bCs/>
          <w:color w:val="auto"/>
          <w:szCs w:val="21"/>
          <w:highlight w:val="none"/>
        </w:rPr>
        <w:t>预算金额（元）：</w:t>
      </w:r>
      <w:r>
        <w:rPr>
          <w:rFonts w:hint="eastAsia" w:ascii="宋体" w:hAnsi="宋体" w:cs="宋体"/>
          <w:bCs/>
          <w:color w:val="auto"/>
          <w:szCs w:val="21"/>
          <w:highlight w:val="none"/>
          <w:u w:val="single"/>
          <w:lang w:val="en-US" w:eastAsia="zh-CN"/>
        </w:rPr>
        <w:t>980000</w:t>
      </w:r>
    </w:p>
    <w:p w14:paraId="05BF5C7E">
      <w:pPr>
        <w:spacing w:line="360" w:lineRule="auto"/>
        <w:ind w:firstLine="420" w:firstLineChars="200"/>
        <w:rPr>
          <w:rFonts w:hint="default" w:ascii="宋体" w:hAnsi="宋体" w:cs="宋体"/>
          <w:bCs/>
          <w:color w:val="auto"/>
          <w:szCs w:val="21"/>
          <w:highlight w:val="none"/>
          <w:lang w:val="en-US"/>
        </w:rPr>
      </w:pPr>
      <w:r>
        <w:rPr>
          <w:rFonts w:hint="eastAsia" w:ascii="宋体" w:hAnsi="宋体" w:cs="宋体"/>
          <w:bCs/>
          <w:color w:val="auto"/>
          <w:szCs w:val="21"/>
          <w:highlight w:val="none"/>
        </w:rPr>
        <w:t>最高限价（元）：</w:t>
      </w:r>
      <w:r>
        <w:rPr>
          <w:rFonts w:hint="eastAsia" w:ascii="宋体" w:hAnsi="宋体" w:cs="宋体"/>
          <w:bCs/>
          <w:color w:val="auto"/>
          <w:szCs w:val="21"/>
          <w:highlight w:val="none"/>
          <w:u w:val="single"/>
          <w:lang w:val="en-US" w:eastAsia="zh-CN"/>
        </w:rPr>
        <w:t>980000</w:t>
      </w:r>
    </w:p>
    <w:p w14:paraId="5B20601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采购需求：</w:t>
      </w:r>
    </w:p>
    <w:p w14:paraId="13D7F313">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标项名称：</w:t>
      </w:r>
      <w:r>
        <w:rPr>
          <w:rFonts w:hint="eastAsia" w:ascii="宋体" w:hAnsi="宋体" w:cs="宋体"/>
          <w:bCs/>
          <w:color w:val="auto"/>
          <w:szCs w:val="21"/>
          <w:highlight w:val="none"/>
          <w:u w:val="single"/>
          <w:lang w:eastAsia="zh-CN"/>
        </w:rPr>
        <w:t>2025-2026年度高新区（高照街道）人力资源市场运营服务项目</w:t>
      </w:r>
    </w:p>
    <w:p w14:paraId="05FA6768">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数量：1</w:t>
      </w:r>
    </w:p>
    <w:p w14:paraId="082BD887">
      <w:pPr>
        <w:spacing w:line="360" w:lineRule="auto"/>
        <w:ind w:firstLine="420" w:firstLineChars="200"/>
        <w:rPr>
          <w:rFonts w:hint="default" w:ascii="宋体" w:hAnsi="宋体" w:cs="宋体"/>
          <w:bCs/>
          <w:color w:val="auto"/>
          <w:szCs w:val="21"/>
          <w:highlight w:val="none"/>
          <w:lang w:val="en-US"/>
        </w:rPr>
      </w:pPr>
      <w:r>
        <w:rPr>
          <w:rFonts w:hint="eastAsia" w:ascii="宋体" w:hAnsi="宋体" w:cs="宋体"/>
          <w:bCs/>
          <w:color w:val="auto"/>
          <w:szCs w:val="21"/>
          <w:highlight w:val="none"/>
        </w:rPr>
        <w:t>预算金额（元）：</w:t>
      </w:r>
      <w:r>
        <w:rPr>
          <w:rFonts w:hint="eastAsia" w:ascii="宋体" w:hAnsi="宋体" w:cs="宋体"/>
          <w:bCs/>
          <w:color w:val="auto"/>
          <w:szCs w:val="21"/>
          <w:highlight w:val="none"/>
          <w:u w:val="single"/>
          <w:lang w:val="en-US" w:eastAsia="zh-CN"/>
        </w:rPr>
        <w:t>980000</w:t>
      </w:r>
    </w:p>
    <w:p w14:paraId="0D2DC3E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简要规格描述或项目基本概况介绍、用途：</w:t>
      </w:r>
      <w:r>
        <w:rPr>
          <w:rFonts w:hint="eastAsia" w:ascii="宋体" w:hAnsi="宋体" w:cs="宋体"/>
          <w:bCs/>
          <w:color w:val="auto"/>
          <w:szCs w:val="21"/>
          <w:highlight w:val="none"/>
          <w:u w:val="single"/>
          <w:lang w:val="en-US" w:eastAsia="zh-CN"/>
        </w:rPr>
        <w:t>派驻不少于6名就业服务专员从事就业专业服务，开展求职、招聘、培训、零工调剂、劳资矛盾纠纷调解等人力资源服务</w:t>
      </w:r>
      <w:r>
        <w:rPr>
          <w:rFonts w:hint="eastAsia" w:ascii="宋体" w:hAnsi="宋体" w:cs="宋体"/>
          <w:bCs/>
          <w:color w:val="auto"/>
          <w:szCs w:val="21"/>
          <w:highlight w:val="none"/>
          <w:u w:val="single"/>
          <w:lang w:eastAsia="zh-CN"/>
        </w:rPr>
        <w:t>，</w:t>
      </w:r>
      <w:r>
        <w:rPr>
          <w:rFonts w:hint="eastAsia" w:ascii="宋体" w:hAnsi="宋体" w:cs="宋体"/>
          <w:bCs/>
          <w:color w:val="auto"/>
          <w:szCs w:val="21"/>
          <w:highlight w:val="none"/>
        </w:rPr>
        <w:t>具体以招标文件第三部分采购需求为准，供应商可点击本公告下方“浏览采购文件”查看采购需求。</w:t>
      </w:r>
    </w:p>
    <w:p w14:paraId="1F90015C">
      <w:pPr>
        <w:spacing w:line="360" w:lineRule="auto"/>
        <w:ind w:firstLine="420" w:firstLineChars="200"/>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合同履约期限：</w:t>
      </w:r>
      <w:r>
        <w:rPr>
          <w:rFonts w:hint="eastAsia" w:ascii="宋体" w:hAnsi="宋体" w:cs="宋体"/>
          <w:color w:val="auto"/>
          <w:sz w:val="21"/>
          <w:szCs w:val="21"/>
          <w:highlight w:val="none"/>
          <w:u w:val="single"/>
          <w:lang w:val="en-US" w:eastAsia="zh-CN"/>
        </w:rPr>
        <w:t>从签订协议之日起至交付运营满一年（其中包括项目准备期和一年运营期）。</w:t>
      </w:r>
    </w:p>
    <w:p w14:paraId="3039C8D1">
      <w:pPr>
        <w:spacing w:line="360" w:lineRule="auto"/>
        <w:ind w:firstLine="420" w:firstLineChars="200"/>
        <w:rPr>
          <w:rFonts w:hint="default" w:ascii="宋体" w:hAnsi="宋体" w:eastAsia="宋体" w:cs="宋体"/>
          <w:b/>
          <w:color w:val="auto"/>
          <w:szCs w:val="21"/>
          <w:highlight w:val="none"/>
          <w:lang w:val="en-US" w:eastAsia="zh-CN"/>
        </w:rPr>
      </w:pPr>
      <w:r>
        <w:rPr>
          <w:rFonts w:hint="eastAsia" w:ascii="宋体" w:hAnsi="宋体" w:cs="宋体"/>
          <w:bCs/>
          <w:color w:val="auto"/>
          <w:szCs w:val="21"/>
          <w:highlight w:val="none"/>
        </w:rPr>
        <w:t>本项目接受联合体投标：</w:t>
      </w:r>
      <w:sdt>
        <w:sdtPr>
          <w:rPr>
            <w:rFonts w:hint="eastAsia" w:ascii="宋体" w:hAnsi="宋体" w:cs="宋体"/>
            <w:bCs/>
            <w:color w:val="auto"/>
            <w:kern w:val="0"/>
            <w:szCs w:val="21"/>
            <w:highlight w:val="none"/>
          </w:rPr>
          <w:id w:val="2035453831"/>
        </w:sdtPr>
        <w:sdtEndPr>
          <w:rPr>
            <w:rFonts w:hint="eastAsia" w:ascii="宋体" w:hAnsi="宋体" w:cs="宋体"/>
            <w:bCs/>
            <w:color w:val="auto"/>
            <w:kern w:val="0"/>
            <w:szCs w:val="21"/>
            <w:highlight w:val="none"/>
          </w:rPr>
        </w:sdtEndPr>
        <w:sdtContent>
          <w:r>
            <w:rPr>
              <w:rFonts w:hint="eastAsia" w:ascii="宋体" w:hAnsi="宋体" w:cs="宋体"/>
              <w:bCs/>
              <w:color w:val="auto"/>
              <w:kern w:val="0"/>
              <w:szCs w:val="21"/>
              <w:highlight w:val="none"/>
            </w:rPr>
            <w:t xml:space="preserve"> </w:t>
          </w:r>
          <w:sdt>
            <w:sdtPr>
              <w:rPr>
                <w:rFonts w:hint="eastAsia" w:ascii="宋体" w:hAnsi="宋体" w:cs="宋体"/>
                <w:bCs/>
                <w:color w:val="auto"/>
                <w:kern w:val="0"/>
                <w:szCs w:val="21"/>
                <w:highlight w:val="none"/>
              </w:rPr>
              <w:id w:val="-1890335429"/>
            </w:sdtPr>
            <w:sdtEndPr>
              <w:rPr>
                <w:rFonts w:hint="eastAsia" w:ascii="宋体" w:hAnsi="宋体" w:cs="宋体"/>
                <w:bCs/>
                <w:color w:val="auto"/>
                <w:kern w:val="0"/>
                <w:szCs w:val="21"/>
                <w:highlight w:val="none"/>
              </w:rPr>
            </w:sdtEndPr>
            <w:sdtContent>
              <w:r>
                <w:rPr>
                  <w:rFonts w:hint="eastAsia" w:ascii="宋体" w:hAnsi="宋体" w:cs="宋体"/>
                  <w:bCs/>
                  <w:color w:val="auto"/>
                  <w:kern w:val="0"/>
                  <w:szCs w:val="21"/>
                  <w:highlight w:val="none"/>
                </w:rPr>
                <w:sym w:font="Wingdings" w:char="00A8"/>
              </w:r>
            </w:sdtContent>
          </w:sdt>
        </w:sdtContent>
      </w:sdt>
      <w:r>
        <w:rPr>
          <w:rFonts w:hint="eastAsia" w:ascii="宋体" w:hAnsi="宋体" w:cs="宋体"/>
          <w:bCs/>
          <w:color w:val="auto"/>
          <w:szCs w:val="21"/>
          <w:highlight w:val="none"/>
        </w:rPr>
        <w:t>是，</w:t>
      </w:r>
      <w:sdt>
        <w:sdtPr>
          <w:rPr>
            <w:rFonts w:hint="eastAsia" w:ascii="宋体" w:hAnsi="宋体" w:cs="宋体"/>
            <w:bCs/>
            <w:color w:val="auto"/>
            <w:kern w:val="0"/>
            <w:szCs w:val="21"/>
            <w:highlight w:val="none"/>
          </w:rPr>
          <w:id w:val="-1765526721"/>
        </w:sdtPr>
        <w:sdtEndPr>
          <w:rPr>
            <w:rFonts w:hint="eastAsia" w:ascii="宋体" w:hAnsi="宋体" w:cs="宋体"/>
            <w:bCs/>
            <w:color w:val="auto"/>
            <w:kern w:val="0"/>
            <w:szCs w:val="21"/>
            <w:highlight w:val="none"/>
          </w:rPr>
        </w:sdtEndPr>
        <w:sdtContent>
          <w:sdt>
            <w:sdtPr>
              <w:rPr>
                <w:rFonts w:hint="eastAsia" w:ascii="宋体" w:hAnsi="宋体" w:cs="宋体"/>
                <w:bCs/>
                <w:color w:val="auto"/>
                <w:kern w:val="0"/>
                <w:szCs w:val="21"/>
                <w:highlight w:val="none"/>
              </w:rPr>
              <w:id w:val="1928616923"/>
            </w:sdtPr>
            <w:sdtEndPr>
              <w:rPr>
                <w:rFonts w:hint="eastAsia" w:ascii="宋体" w:hAnsi="宋体" w:cs="宋体"/>
                <w:bCs/>
                <w:color w:val="auto"/>
                <w:kern w:val="0"/>
                <w:szCs w:val="21"/>
                <w:highlight w:val="none"/>
              </w:rPr>
            </w:sdtEndPr>
            <w:sdtContent>
              <w:r>
                <w:rPr>
                  <w:rFonts w:hint="eastAsia" w:ascii="宋体" w:hAnsi="宋体" w:cs="宋体"/>
                  <w:bCs/>
                  <w:color w:val="auto"/>
                  <w:kern w:val="0"/>
                  <w:szCs w:val="21"/>
                  <w:highlight w:val="none"/>
                </w:rPr>
                <w:sym w:font="Wingdings" w:char="00FE"/>
              </w:r>
            </w:sdtContent>
          </w:sdt>
        </w:sdtContent>
      </w:sdt>
      <w:r>
        <w:rPr>
          <w:rFonts w:hint="eastAsia" w:ascii="宋体" w:hAnsi="宋体" w:cs="宋体"/>
          <w:bCs/>
          <w:color w:val="auto"/>
          <w:szCs w:val="21"/>
          <w:highlight w:val="none"/>
        </w:rPr>
        <w:t>否</w:t>
      </w:r>
      <w:r>
        <w:rPr>
          <w:rFonts w:hint="eastAsia" w:ascii="宋体" w:hAnsi="宋体" w:cs="宋体"/>
          <w:bCs/>
          <w:color w:val="auto"/>
          <w:kern w:val="0"/>
          <w:szCs w:val="21"/>
          <w:highlight w:val="none"/>
        </w:rPr>
        <w:t>。</w:t>
      </w:r>
    </w:p>
    <w:p w14:paraId="1D93B0E6">
      <w:pPr>
        <w:spacing w:before="240" w:beforeLines="100" w:after="240" w:afterLines="100"/>
        <w:rPr>
          <w:rFonts w:ascii="宋体" w:hAnsi="宋体" w:cs="宋体"/>
          <w:b/>
          <w:color w:val="auto"/>
          <w:szCs w:val="21"/>
          <w:highlight w:val="none"/>
        </w:rPr>
      </w:pPr>
      <w:r>
        <w:rPr>
          <w:rFonts w:hint="eastAsia" w:ascii="宋体" w:hAnsi="宋体" w:cs="宋体"/>
          <w:b/>
          <w:color w:val="auto"/>
          <w:szCs w:val="21"/>
          <w:highlight w:val="none"/>
        </w:rPr>
        <w:t>二、申请人的资格要求：</w:t>
      </w:r>
    </w:p>
    <w:p w14:paraId="3FB6A040">
      <w:pPr>
        <w:wordWrap w:val="0"/>
        <w:spacing w:line="360" w:lineRule="auto"/>
        <w:ind w:firstLine="482"/>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1EF5202">
      <w:pPr>
        <w:wordWrap w:val="0"/>
        <w:spacing w:line="360" w:lineRule="auto"/>
        <w:ind w:firstLine="482"/>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2.以联合体形式投标的，提供联合协议(本项目不接受联合体投标或者投标人不以联合体形式投标的，则不需要提供) ；</w:t>
      </w:r>
    </w:p>
    <w:p w14:paraId="1B8712B2">
      <w:pPr>
        <w:spacing w:line="360" w:lineRule="auto"/>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3.落实政府采购政策需满足的资格要求：</w:t>
      </w:r>
    </w:p>
    <w:sdt>
      <w:sdtPr>
        <w:rPr>
          <w:rFonts w:hint="eastAsia" w:ascii="宋体" w:hAnsi="宋体" w:cs="宋体"/>
          <w:color w:val="auto"/>
          <w:kern w:val="0"/>
          <w:szCs w:val="21"/>
          <w:highlight w:val="none"/>
        </w:rPr>
        <w:id w:val="-1361431184"/>
      </w:sdtPr>
      <w:sdtEndPr>
        <w:rPr>
          <w:rFonts w:hint="eastAsia" w:ascii="宋体" w:hAnsi="宋体" w:cs="宋体"/>
          <w:color w:val="auto"/>
          <w:kern w:val="0"/>
          <w:szCs w:val="21"/>
          <w:highlight w:val="none"/>
        </w:rPr>
      </w:sdtEndPr>
      <w:sdtContent>
        <w:p w14:paraId="703350D0">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szCs w:val="21"/>
              <w:highlight w:val="none"/>
            </w:rPr>
            <w:t xml:space="preserve">无； </w:t>
          </w:r>
        </w:p>
        <w:p w14:paraId="64993F02">
          <w:pPr>
            <w:spacing w:line="360" w:lineRule="auto"/>
            <w:ind w:firstLine="420" w:firstLineChars="200"/>
            <w:rPr>
              <w:rFonts w:ascii="宋体" w:hAnsi="宋体" w:cs="宋体"/>
              <w:color w:val="auto"/>
              <w:szCs w:val="21"/>
              <w:highlight w:val="none"/>
              <w:u w:val="none"/>
            </w:rPr>
          </w:pPr>
          <w:sdt>
            <w:sdtPr>
              <w:rPr>
                <w:rFonts w:hint="eastAsia" w:ascii="宋体" w:hAnsi="宋体" w:cs="宋体"/>
                <w:color w:val="auto"/>
                <w:kern w:val="0"/>
                <w:szCs w:val="21"/>
                <w:highlight w:val="none"/>
                <w:u w:val="none"/>
              </w:rPr>
              <w:id w:val="-1024704304"/>
            </w:sdtPr>
            <w:sdtEndPr>
              <w:rPr>
                <w:rFonts w:hint="eastAsia" w:ascii="宋体" w:hAnsi="宋体" w:cs="宋体"/>
                <w:color w:val="auto"/>
                <w:kern w:val="0"/>
                <w:szCs w:val="21"/>
                <w:highlight w:val="none"/>
                <w:u w:val="none"/>
              </w:rPr>
            </w:sdtEndPr>
            <w:sdtContent>
              <w:r>
                <w:rPr>
                  <w:rFonts w:hint="eastAsia" w:ascii="宋体" w:hAnsi="宋体" w:cs="宋体"/>
                  <w:color w:val="auto"/>
                  <w:kern w:val="0"/>
                  <w:szCs w:val="21"/>
                  <w:highlight w:val="none"/>
                  <w:u w:val="none"/>
                </w:rPr>
                <w:sym w:font="Wingdings" w:char="00FE"/>
              </w:r>
            </w:sdtContent>
          </w:sdt>
          <w:r>
            <w:rPr>
              <w:rFonts w:hint="eastAsia" w:ascii="宋体" w:hAnsi="宋体" w:cs="宋体"/>
              <w:color w:val="auto"/>
              <w:kern w:val="0"/>
              <w:szCs w:val="21"/>
              <w:highlight w:val="none"/>
              <w:u w:val="none"/>
            </w:rPr>
            <w:t>专</w:t>
          </w:r>
          <w:r>
            <w:rPr>
              <w:rFonts w:hint="eastAsia" w:ascii="宋体" w:hAnsi="宋体" w:cs="宋体"/>
              <w:color w:val="auto"/>
              <w:szCs w:val="21"/>
              <w:highlight w:val="none"/>
              <w:u w:val="none"/>
            </w:rPr>
            <w:t>门面向中小企业</w:t>
          </w:r>
        </w:p>
        <w:p w14:paraId="2B7DD230">
          <w:pPr>
            <w:spacing w:line="360" w:lineRule="auto"/>
            <w:ind w:firstLine="840" w:firstLineChars="400"/>
            <w:rPr>
              <w:rFonts w:ascii="宋体" w:hAnsi="宋体" w:cs="宋体"/>
              <w:color w:val="auto"/>
              <w:szCs w:val="21"/>
              <w:highlight w:val="none"/>
              <w:u w:val="none"/>
            </w:rPr>
          </w:pPr>
          <w:sdt>
            <w:sdtPr>
              <w:rPr>
                <w:rFonts w:hint="eastAsia" w:ascii="宋体" w:hAnsi="宋体" w:cs="宋体"/>
                <w:color w:val="auto"/>
                <w:kern w:val="0"/>
                <w:szCs w:val="21"/>
                <w:highlight w:val="none"/>
                <w:u w:val="none"/>
              </w:rPr>
              <w:id w:val="-333685401"/>
            </w:sdtPr>
            <w:sdtEndPr>
              <w:rPr>
                <w:rFonts w:hint="eastAsia" w:ascii="宋体" w:hAnsi="宋体" w:cs="宋体"/>
                <w:color w:val="auto"/>
                <w:kern w:val="0"/>
                <w:szCs w:val="21"/>
                <w:highlight w:val="none"/>
                <w:u w:val="none"/>
              </w:rPr>
            </w:sdtEndPr>
            <w:sdtContent>
              <w:sdt>
                <w:sdtPr>
                  <w:rPr>
                    <w:rFonts w:hint="eastAsia" w:ascii="宋体" w:hAnsi="宋体" w:cs="宋体"/>
                    <w:color w:val="auto"/>
                    <w:kern w:val="0"/>
                    <w:szCs w:val="21"/>
                    <w:highlight w:val="none"/>
                    <w:u w:val="none"/>
                  </w:rPr>
                  <w:id w:val="-1202788315"/>
                </w:sdtPr>
                <w:sdtEndPr>
                  <w:rPr>
                    <w:rFonts w:hint="eastAsia" w:ascii="宋体" w:hAnsi="宋体" w:cs="宋体"/>
                    <w:color w:val="auto"/>
                    <w:kern w:val="0"/>
                    <w:szCs w:val="21"/>
                    <w:highlight w:val="none"/>
                    <w:u w:val="none"/>
                  </w:rPr>
                </w:sdtEndPr>
                <w:sdtContent>
                  <w:r>
                    <w:rPr>
                      <w:rFonts w:hint="eastAsia" w:ascii="宋体" w:hAnsi="宋体" w:cs="宋体"/>
                      <w:color w:val="auto"/>
                      <w:kern w:val="0"/>
                      <w:szCs w:val="21"/>
                      <w:highlight w:val="none"/>
                      <w:u w:val="none"/>
                    </w:rPr>
                    <w:sym w:font="Wingdings" w:char="00FE"/>
                  </w:r>
                </w:sdtContent>
              </w:sdt>
            </w:sdtContent>
          </w:sdt>
          <w:r>
            <w:rPr>
              <w:rFonts w:hint="eastAsia" w:ascii="宋体" w:hAnsi="宋体" w:cs="宋体"/>
              <w:color w:val="auto"/>
              <w:szCs w:val="21"/>
              <w:highlight w:val="none"/>
              <w:u w:val="none"/>
            </w:rPr>
            <w:t>服务全部由符合政策要求的中小企业承接，提供中小企业声明函；</w:t>
          </w:r>
        </w:p>
        <w:p w14:paraId="6139E563">
          <w:pPr>
            <w:spacing w:line="360" w:lineRule="auto"/>
            <w:ind w:firstLine="840" w:firstLineChars="400"/>
            <w:rPr>
              <w:rFonts w:ascii="宋体" w:hAnsi="宋体" w:cs="宋体"/>
              <w:color w:val="auto"/>
              <w:kern w:val="0"/>
              <w:szCs w:val="21"/>
              <w:highlight w:val="none"/>
            </w:rPr>
          </w:pPr>
          <w:sdt>
            <w:sdtPr>
              <w:rPr>
                <w:rFonts w:hint="eastAsia" w:ascii="宋体" w:hAnsi="宋体" w:cs="宋体"/>
                <w:color w:val="auto"/>
                <w:kern w:val="0"/>
                <w:szCs w:val="21"/>
                <w:highlight w:val="none"/>
              </w:rPr>
              <w:id w:val="-1299604449"/>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sdt>
            <w:sdtPr>
              <w:rPr>
                <w:rFonts w:hint="eastAsia" w:ascii="宋体" w:hAnsi="宋体" w:cs="宋体"/>
                <w:color w:val="auto"/>
                <w:kern w:val="0"/>
                <w:szCs w:val="21"/>
                <w:highlight w:val="none"/>
              </w:rPr>
              <w:id w:val="-2141025358"/>
            </w:sdtPr>
            <w:sdtEndPr>
              <w:rPr>
                <w:rFonts w:hint="eastAsia" w:ascii="宋体" w:hAnsi="宋体" w:cs="宋体"/>
                <w:color w:val="auto"/>
                <w:kern w:val="0"/>
                <w:szCs w:val="21"/>
                <w:highlight w:val="none"/>
              </w:rPr>
            </w:sdtEndPr>
            <w:sdtContent/>
          </w:sdt>
          <w:r>
            <w:rPr>
              <w:rFonts w:hint="eastAsia" w:ascii="宋体" w:hAnsi="宋体" w:cs="宋体"/>
              <w:color w:val="auto"/>
              <w:szCs w:val="21"/>
              <w:highlight w:val="none"/>
            </w:rPr>
            <w:t>服务全部由符合政策要求的小微企业承接，提供中小企业声明函；</w:t>
          </w:r>
        </w:p>
      </w:sdtContent>
    </w:sdt>
    <w:p w14:paraId="2999FA6C">
      <w:pPr>
        <w:spacing w:line="360" w:lineRule="auto"/>
        <w:ind w:firstLine="420" w:firstLineChars="200"/>
        <w:rPr>
          <w:rFonts w:ascii="宋体" w:hAnsi="宋体" w:cs="宋体"/>
          <w:color w:val="auto"/>
          <w:szCs w:val="21"/>
          <w:highlight w:val="none"/>
        </w:rPr>
      </w:pPr>
      <w:sdt>
        <w:sdtPr>
          <w:rPr>
            <w:rFonts w:hint="eastAsia" w:ascii="宋体" w:hAnsi="宋体" w:cs="宋体"/>
            <w:color w:val="auto"/>
            <w:kern w:val="0"/>
            <w:szCs w:val="21"/>
            <w:highlight w:val="none"/>
          </w:rPr>
          <w:id w:val="1252388141"/>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r>
        <w:rPr>
          <w:rFonts w:hint="eastAsia" w:ascii="宋体" w:hAnsi="宋体" w:cs="宋体"/>
          <w:color w:val="auto"/>
          <w:szCs w:val="21"/>
          <w:highlight w:val="none"/>
        </w:rPr>
        <w:t>要求以联合体形式参加，提供联合协议和中小企业声明函，联合协议中中小企业合同金额应当达到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%，小微企业合同金额应当达到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%：如果供应商本身提供所有标的均由中小企业制造、承建或承接，视同符合了资格条件，无需再与其他中小企业组成联合体参加政府采购活动，无需提供联合协议；</w:t>
      </w:r>
    </w:p>
    <w:p w14:paraId="4A6B1A2C">
      <w:pPr>
        <w:spacing w:line="360" w:lineRule="auto"/>
        <w:ind w:firstLine="420" w:firstLineChars="200"/>
        <w:rPr>
          <w:rFonts w:ascii="宋体" w:hAnsi="宋体" w:cs="宋体"/>
          <w:color w:val="auto"/>
          <w:szCs w:val="21"/>
          <w:highlight w:val="none"/>
        </w:rPr>
      </w:pPr>
      <w:sdt>
        <w:sdtPr>
          <w:rPr>
            <w:rFonts w:hint="eastAsia" w:ascii="宋体" w:hAnsi="宋体" w:cs="宋体"/>
            <w:color w:val="auto"/>
            <w:kern w:val="0"/>
            <w:szCs w:val="21"/>
            <w:highlight w:val="none"/>
          </w:rPr>
          <w:id w:val="1167755400"/>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r>
        <w:rPr>
          <w:rFonts w:hint="eastAsia" w:ascii="宋体" w:hAnsi="宋体" w:cs="宋体"/>
          <w:color w:val="auto"/>
          <w:szCs w:val="21"/>
          <w:highlight w:val="none"/>
        </w:rPr>
        <w:t>要求合同分包，提供分包意向协议和中小企业声明函，分包意向协议中中小企业合同金额应当达到达到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%，小微企业合同金额应当达到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%；如果供应商本身提供所有标的均由中小企业制造、承建或承接，视同符合了资格条件，无需再向中小企业分包，无需提供分包意向协议；</w:t>
      </w:r>
    </w:p>
    <w:p w14:paraId="04EB19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4.本项目的特定资格要求：</w:t>
      </w:r>
    </w:p>
    <w:p w14:paraId="7296A59C">
      <w:pPr>
        <w:spacing w:line="360" w:lineRule="auto"/>
        <w:ind w:firstLine="420" w:firstLineChars="200"/>
        <w:rPr>
          <w:rFonts w:ascii="宋体" w:hAnsi="宋体" w:cs="宋体"/>
          <w:color w:val="auto"/>
          <w:kern w:val="0"/>
          <w:szCs w:val="21"/>
          <w:highlight w:val="none"/>
        </w:rPr>
      </w:pPr>
      <w:sdt>
        <w:sdtPr>
          <w:rPr>
            <w:rFonts w:hint="eastAsia" w:ascii="宋体" w:hAnsi="宋体" w:cs="宋体"/>
            <w:color w:val="auto"/>
            <w:kern w:val="0"/>
            <w:szCs w:val="21"/>
            <w:highlight w:val="none"/>
          </w:rPr>
          <w:id w:val="1033081449"/>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FE"/>
          </w:r>
        </w:sdtContent>
      </w:sdt>
      <w:r>
        <w:rPr>
          <w:rFonts w:hint="eastAsia" w:ascii="宋体" w:hAnsi="宋体" w:cs="宋体"/>
          <w:color w:val="auto"/>
          <w:kern w:val="0"/>
          <w:szCs w:val="21"/>
          <w:highlight w:val="none"/>
        </w:rPr>
        <w:t>无。</w:t>
      </w:r>
    </w:p>
    <w:p w14:paraId="154FDB46">
      <w:pPr>
        <w:spacing w:line="360" w:lineRule="auto"/>
        <w:ind w:firstLine="420" w:firstLineChars="200"/>
        <w:rPr>
          <w:rFonts w:hint="default" w:ascii="宋体" w:hAnsi="宋体" w:cs="宋体"/>
          <w:color w:val="auto"/>
          <w:kern w:val="0"/>
          <w:szCs w:val="21"/>
          <w:highlight w:val="none"/>
          <w:lang w:val="en-US"/>
        </w:rPr>
      </w:pPr>
      <w:sdt>
        <w:sdtPr>
          <w:rPr>
            <w:rFonts w:hint="eastAsia" w:ascii="宋体" w:hAnsi="宋体" w:cs="宋体"/>
            <w:color w:val="auto"/>
            <w:kern w:val="0"/>
            <w:szCs w:val="21"/>
            <w:highlight w:val="none"/>
          </w:rPr>
          <w:id w:val="761263351"/>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r>
        <w:rPr>
          <w:rFonts w:hint="eastAsia" w:ascii="宋体" w:hAnsi="宋体" w:cs="宋体"/>
          <w:color w:val="auto"/>
          <w:kern w:val="0"/>
          <w:szCs w:val="21"/>
          <w:highlight w:val="none"/>
        </w:rPr>
        <w:t>有特定资格要求：</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，该特定条件的法律法规依据：</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w:t>
      </w:r>
    </w:p>
    <w:p w14:paraId="028ADF8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5.单位负责人为同一人或者存在直接控股、管理关系的不同供应商，不得参加同一合同项下的政府采购活动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为采购项目提供整体设计、规范编制或者项目管理、监理、检测等服务后不得再参加该采购项目的其他采购活动。</w:t>
      </w:r>
    </w:p>
    <w:p w14:paraId="44785B37">
      <w:pPr>
        <w:spacing w:before="240" w:beforeLines="100" w:after="240" w:afterLines="100"/>
        <w:rPr>
          <w:rFonts w:ascii="宋体" w:hAnsi="宋体" w:cs="宋体"/>
          <w:b/>
          <w:color w:val="auto"/>
          <w:szCs w:val="21"/>
          <w:highlight w:val="none"/>
        </w:rPr>
      </w:pPr>
      <w:r>
        <w:rPr>
          <w:rFonts w:hint="eastAsia" w:ascii="宋体" w:hAnsi="宋体" w:cs="宋体"/>
          <w:b/>
          <w:color w:val="auto"/>
          <w:szCs w:val="21"/>
          <w:highlight w:val="none"/>
        </w:rPr>
        <w:t>三、获取招标文件</w:t>
      </w:r>
    </w:p>
    <w:p w14:paraId="168745DD">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时间：</w:t>
      </w:r>
      <w:r>
        <w:rPr>
          <w:rFonts w:hint="eastAsia" w:ascii="宋体" w:hAnsi="宋体" w:cs="宋体"/>
          <w:color w:val="auto"/>
          <w:szCs w:val="21"/>
          <w:highlight w:val="none"/>
        </w:rPr>
        <w:t>/至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22</w:t>
      </w:r>
      <w:r>
        <w:rPr>
          <w:rFonts w:hint="eastAsia" w:ascii="宋体" w:hAnsi="宋体" w:cs="宋体"/>
          <w:color w:val="auto"/>
          <w:szCs w:val="21"/>
          <w:highlight w:val="none"/>
          <w:u w:val="single"/>
        </w:rPr>
        <w:t>日</w:t>
      </w:r>
      <w:r>
        <w:rPr>
          <w:rFonts w:hint="eastAsia" w:ascii="宋体" w:hAnsi="宋体" w:cs="宋体"/>
          <w:color w:val="auto"/>
          <w:szCs w:val="21"/>
          <w:highlight w:val="none"/>
        </w:rPr>
        <w:t>，</w:t>
      </w:r>
      <w:r>
        <w:rPr>
          <w:rFonts w:hint="eastAsia" w:ascii="宋体" w:hAnsi="宋体" w:cs="宋体"/>
          <w:color w:val="auto"/>
          <w:szCs w:val="21"/>
          <w:highlight w:val="none"/>
        </w:rPr>
        <w:t>每天上午00:00至12:00 ，下午12:00至23:59（北京时间，线上获取法定节假日均可，线下获取文件法定节假日除外）</w:t>
      </w:r>
    </w:p>
    <w:p w14:paraId="04865404">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地点（网址）：</w:t>
      </w:r>
      <w:r>
        <w:rPr>
          <w:rFonts w:hint="eastAsia" w:ascii="宋体" w:hAnsi="宋体" w:cs="宋体"/>
          <w:color w:val="auto"/>
          <w:szCs w:val="21"/>
          <w:highlight w:val="none"/>
        </w:rPr>
        <w:t xml:space="preserve">政采云平台（https://www.zcygov.cn/） </w:t>
      </w:r>
    </w:p>
    <w:p w14:paraId="579D45C5">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方式：</w:t>
      </w:r>
      <w:r>
        <w:rPr>
          <w:rFonts w:hint="eastAsia" w:ascii="宋体" w:hAnsi="宋体" w:cs="宋体"/>
          <w:color w:val="auto"/>
          <w:szCs w:val="21"/>
          <w:highlight w:val="none"/>
        </w:rPr>
        <w:t>供应商登录政采云平台https://www.zcygov.cn/在线申请获取采购文件（进入“项目采购”应用，在获取采购文件菜单中选择项目，申请获取采购文件）。</w:t>
      </w:r>
    </w:p>
    <w:p w14:paraId="09F007C0">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售价（元）：</w:t>
      </w:r>
      <w:r>
        <w:rPr>
          <w:rFonts w:hint="eastAsia" w:ascii="宋体" w:hAnsi="宋体" w:cs="宋体"/>
          <w:color w:val="auto"/>
          <w:szCs w:val="21"/>
          <w:highlight w:val="none"/>
        </w:rPr>
        <w:t xml:space="preserve">0 </w:t>
      </w:r>
    </w:p>
    <w:p w14:paraId="634756A3">
      <w:pPr>
        <w:wordWrap w:val="0"/>
        <w:spacing w:before="240" w:beforeLines="100" w:after="240" w:afterLines="100"/>
        <w:rPr>
          <w:rFonts w:ascii="宋体" w:hAnsi="宋体" w:cs="宋体"/>
          <w:b/>
          <w:color w:val="auto"/>
          <w:szCs w:val="21"/>
          <w:highlight w:val="none"/>
        </w:rPr>
      </w:pPr>
      <w:r>
        <w:rPr>
          <w:rFonts w:hint="eastAsia" w:ascii="宋体" w:hAnsi="宋体" w:cs="宋体"/>
          <w:b/>
          <w:color w:val="auto"/>
          <w:szCs w:val="21"/>
          <w:highlight w:val="none"/>
        </w:rPr>
        <w:t>四、提交投标文件截止时间、开标时间和地点</w:t>
      </w:r>
    </w:p>
    <w:p w14:paraId="58837B12">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提交投标文件截止时间：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22</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w:t>
      </w:r>
      <w:r>
        <w:rPr>
          <w:rFonts w:hint="eastAsia" w:ascii="宋体" w:hAnsi="宋体" w:cs="宋体"/>
          <w:color w:val="auto"/>
          <w:szCs w:val="21"/>
          <w:highlight w:val="none"/>
        </w:rPr>
        <w:t>（北京时间）</w:t>
      </w:r>
    </w:p>
    <w:p w14:paraId="0E3F13E0">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投标地点（网址）：</w:t>
      </w:r>
      <w:r>
        <w:rPr>
          <w:rFonts w:hint="eastAsia" w:ascii="宋体" w:hAnsi="宋体" w:cs="宋体"/>
          <w:color w:val="auto"/>
          <w:szCs w:val="21"/>
          <w:highlight w:val="none"/>
        </w:rPr>
        <w:t xml:space="preserve">政采云平台（https://www.zcygov.cn/） </w:t>
      </w:r>
    </w:p>
    <w:p w14:paraId="30BD41EC">
      <w:pPr>
        <w:wordWrap w:val="0"/>
        <w:spacing w:line="360" w:lineRule="auto"/>
        <w:ind w:firstLine="422" w:firstLineChars="200"/>
        <w:rPr>
          <w:rFonts w:ascii="宋体" w:hAnsi="宋体" w:cs="宋体"/>
          <w:bCs/>
          <w:color w:val="auto"/>
          <w:szCs w:val="21"/>
          <w:highlight w:val="none"/>
        </w:rPr>
      </w:pPr>
      <w:r>
        <w:rPr>
          <w:rFonts w:hint="eastAsia" w:ascii="宋体" w:hAnsi="宋体" w:cs="宋体"/>
          <w:b/>
          <w:color w:val="auto"/>
          <w:szCs w:val="21"/>
          <w:highlight w:val="none"/>
        </w:rPr>
        <w:t>开标时间：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22</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w:t>
      </w:r>
    </w:p>
    <w:p w14:paraId="7D1967CD">
      <w:pPr>
        <w:wordWrap w:val="0"/>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开标地点（网址）：</w:t>
      </w:r>
      <w:r>
        <w:rPr>
          <w:rFonts w:hint="eastAsia" w:ascii="宋体" w:hAnsi="宋体" w:cs="宋体"/>
          <w:color w:val="auto"/>
          <w:szCs w:val="21"/>
          <w:highlight w:val="none"/>
        </w:rPr>
        <w:t>政采云平台（https://www.zcygov.cn/）</w:t>
      </w:r>
    </w:p>
    <w:p w14:paraId="3681BF08">
      <w:pPr>
        <w:spacing w:before="240" w:beforeLines="100" w:after="240" w:afterLines="100"/>
        <w:rPr>
          <w:rFonts w:ascii="宋体" w:hAnsi="宋体" w:cs="宋体"/>
          <w:b/>
          <w:color w:val="auto"/>
          <w:szCs w:val="21"/>
          <w:highlight w:val="none"/>
        </w:rPr>
      </w:pPr>
      <w:r>
        <w:rPr>
          <w:rFonts w:hint="eastAsia" w:ascii="宋体" w:hAnsi="宋体" w:cs="宋体"/>
          <w:b/>
          <w:color w:val="auto"/>
          <w:szCs w:val="21"/>
          <w:highlight w:val="none"/>
        </w:rPr>
        <w:t>五、采购意向公开</w:t>
      </w:r>
    </w:p>
    <w:p w14:paraId="03505EC1">
      <w:pPr>
        <w:wordWrap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采购意向公开链接：</w:t>
      </w:r>
      <w:r>
        <w:rPr>
          <w:rFonts w:hint="eastAsia" w:ascii="宋体" w:hAnsi="宋体" w:cs="宋体"/>
          <w:color w:val="auto"/>
          <w:szCs w:val="21"/>
          <w:highlight w:val="none"/>
          <w:u w:val="single"/>
          <w:lang w:val="en-US" w:eastAsia="zh-CN"/>
        </w:rPr>
        <w:t>https://zfcg.czt.zj.gov.cn/site/detail?parentId=600007&amp;articleId=m69ALU8FbWqkwmZlRpDatg%3D%3D</w:t>
      </w:r>
    </w:p>
    <w:p w14:paraId="58BEF99E">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发布时间：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25</w:t>
      </w:r>
      <w:r>
        <w:rPr>
          <w:rFonts w:hint="eastAsia" w:ascii="宋体" w:hAnsi="宋体" w:cs="宋体"/>
          <w:color w:val="auto"/>
          <w:szCs w:val="21"/>
          <w:highlight w:val="none"/>
          <w:u w:val="single"/>
        </w:rPr>
        <w:t>日</w:t>
      </w:r>
    </w:p>
    <w:p w14:paraId="59E40767">
      <w:pPr>
        <w:spacing w:before="240" w:beforeLines="100" w:after="240" w:afterLines="100"/>
        <w:rPr>
          <w:rFonts w:ascii="宋体" w:hAnsi="宋体" w:cs="宋体"/>
          <w:b/>
          <w:color w:val="auto"/>
          <w:szCs w:val="21"/>
          <w:highlight w:val="none"/>
        </w:rPr>
      </w:pPr>
      <w:r>
        <w:rPr>
          <w:rFonts w:hint="eastAsia" w:ascii="宋体" w:hAnsi="宋体" w:cs="宋体"/>
          <w:b/>
          <w:color w:val="auto"/>
          <w:szCs w:val="21"/>
          <w:highlight w:val="none"/>
        </w:rPr>
        <w:t>六、公告期限</w:t>
      </w:r>
    </w:p>
    <w:p w14:paraId="04017AD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14:paraId="1FE4A9A5">
      <w:pPr>
        <w:spacing w:before="240" w:beforeLines="100" w:after="240" w:afterLines="100"/>
        <w:rPr>
          <w:rFonts w:ascii="宋体" w:hAnsi="宋体" w:cs="宋体"/>
          <w:b/>
          <w:color w:val="auto"/>
          <w:szCs w:val="21"/>
          <w:highlight w:val="none"/>
        </w:rPr>
      </w:pPr>
      <w:r>
        <w:rPr>
          <w:rFonts w:hint="eastAsia" w:ascii="宋体" w:hAnsi="宋体" w:cs="宋体"/>
          <w:b/>
          <w:color w:val="auto"/>
          <w:szCs w:val="21"/>
          <w:highlight w:val="none"/>
        </w:rPr>
        <w:t>七、其他补充事宜</w:t>
      </w:r>
    </w:p>
    <w:p w14:paraId="752D9B86">
      <w:pPr>
        <w:wordWrap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rPr>
        <w:t>1.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rPr>
        <w:t>https://jinrong.zcygov.cn/finance-service/#/home。</w:t>
      </w:r>
    </w:p>
    <w:p w14:paraId="038E010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Cs w:val="21"/>
          <w:highlight w:val="none"/>
          <w:lang w:eastAsia="zh-CN"/>
        </w:rPr>
        <w:t>：</w:t>
      </w:r>
      <w:r>
        <w:rPr>
          <w:rFonts w:hint="eastAsia" w:ascii="宋体" w:hAnsi="宋体" w:cs="宋体"/>
          <w:color w:val="auto"/>
          <w:szCs w:val="21"/>
          <w:highlight w:val="none"/>
        </w:rPr>
        <w:t>鼓励供应商在线提起质疑，路径为：政采云-项目采购-询问质疑投诉-质疑列表。质疑供应商对在线质疑答复不满意的，可在线提起投诉，路径为：浙江政府服务网-政府采购投诉处理-在线办理。</w:t>
      </w:r>
    </w:p>
    <w:p w14:paraId="539DA4F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1E749A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7170CD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5.其他事项：</w:t>
      </w:r>
    </w:p>
    <w:p w14:paraId="0B36576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需要落实的政府采购政策：包括节约资源、保护环境、支持创新、促进中小企业发展等。详见招标文件的第二部分总则。</w:t>
      </w:r>
    </w:p>
    <w:p w14:paraId="70DB56F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电子招投标的说明：</w:t>
      </w:r>
    </w:p>
    <w:p w14:paraId="1504968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①电子招投标：本项目以数据电文形式，依托“政府采购云平台（www.zcygov.cn）”进行招投标活动，不接受纸质投标文件；</w:t>
      </w:r>
    </w:p>
    <w:p w14:paraId="1693B7F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688D447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③招标文件的获取：使用账号登录或者使用CA登录政采云平台；进入“项目采购”应用，在获取采购文件菜单中选择项目，获取招标文件；</w:t>
      </w:r>
    </w:p>
    <w:p w14:paraId="76BA88C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④投标文件的制作：在“政采云电子交易客户端”中完成“填写基本信息”、“导入投标文件”、“标书关联”、“标书检查”、“电子签名”、“生成电子标书”等操作；</w:t>
      </w:r>
    </w:p>
    <w:p w14:paraId="4E08599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⑤采购人、采购代理机构将依托政采云平台完成本项目的电子交易活动，平台不接受未按上述方式获取招标文件的供应商进行投标活动；</w:t>
      </w:r>
    </w:p>
    <w:p w14:paraId="3FB7E6C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⑥对未按上述方式获取招标文件的供应商对该文件提出的质疑，采购人或采购代理机构将不予处理；</w:t>
      </w:r>
    </w:p>
    <w:p w14:paraId="69426F3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⑦不提供招标文件纸质版；</w:t>
      </w:r>
    </w:p>
    <w:p w14:paraId="79A4F0F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58B11E7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321A226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⑩具体操作指南：详见政采云平台“服务中心-帮助文档-项目采购-操作流程-电子招投标-政府采购项目电子交易管理操作指南-供应商”。</w:t>
      </w:r>
    </w:p>
    <w:p w14:paraId="6AB35C2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招标文件公告期限与招标公告的公告期限一致。</w:t>
      </w:r>
    </w:p>
    <w:p w14:paraId="17D83F19">
      <w:pPr>
        <w:spacing w:before="240" w:beforeLines="100" w:after="240" w:afterLines="100"/>
        <w:rPr>
          <w:rFonts w:ascii="宋体" w:hAnsi="宋体" w:cs="宋体"/>
          <w:b/>
          <w:color w:val="auto"/>
          <w:szCs w:val="21"/>
          <w:highlight w:val="none"/>
        </w:rPr>
      </w:pPr>
      <w:r>
        <w:rPr>
          <w:rFonts w:hint="eastAsia" w:ascii="宋体" w:hAnsi="宋体" w:cs="宋体"/>
          <w:b/>
          <w:color w:val="auto"/>
          <w:szCs w:val="21"/>
          <w:highlight w:val="none"/>
        </w:rPr>
        <w:t>八、对本次采购提出询问、质疑、投诉，请按以下方式联系</w:t>
      </w:r>
    </w:p>
    <w:p w14:paraId="0E4FA2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1.采购人信息</w:t>
      </w:r>
    </w:p>
    <w:p w14:paraId="66B4DD9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嘉兴市秀洲区人民政府高照街道办事处</w:t>
      </w:r>
    </w:p>
    <w:p w14:paraId="412A7B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址：嘉兴市康和路1288号</w:t>
      </w:r>
    </w:p>
    <w:p w14:paraId="613283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    真： /</w:t>
      </w:r>
    </w:p>
    <w:p w14:paraId="642F079B">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val="en-US" w:eastAsia="zh-CN"/>
        </w:rPr>
        <w:t>沈小英</w:t>
      </w:r>
    </w:p>
    <w:p w14:paraId="6601C7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项目联系方式（询问）：0573-82790159</w:t>
      </w:r>
    </w:p>
    <w:p w14:paraId="21BC91D1">
      <w:pPr>
        <w:tabs>
          <w:tab w:val="left" w:pos="3241"/>
        </w:tabs>
        <w:spacing w:line="360" w:lineRule="auto"/>
        <w:ind w:firstLine="420" w:firstLineChars="200"/>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rPr>
        <w:t>质疑联系人：金越瀚</w:t>
      </w:r>
    </w:p>
    <w:p w14:paraId="28710F03">
      <w:pPr>
        <w:spacing w:line="360" w:lineRule="auto"/>
        <w:ind w:firstLine="420" w:firstLineChars="200"/>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rPr>
        <w:t>质疑联系方式：</w:t>
      </w:r>
      <w:r>
        <w:rPr>
          <w:rFonts w:hint="eastAsia" w:ascii="宋体" w:hAnsi="宋体" w:cs="宋体"/>
          <w:color w:val="auto"/>
          <w:szCs w:val="21"/>
          <w:highlight w:val="none"/>
          <w:u w:val="none"/>
          <w:lang w:val="en-US" w:eastAsia="zh-CN"/>
        </w:rPr>
        <w:t>0573-83599727</w:t>
      </w:r>
    </w:p>
    <w:p w14:paraId="64FF6D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2.采购代理机构信息            </w:t>
      </w:r>
    </w:p>
    <w:p w14:paraId="119DE206">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val="en-US" w:eastAsia="zh-CN"/>
        </w:rPr>
        <w:t>浙江槿阳建设管理有限公司</w:t>
      </w:r>
    </w:p>
    <w:p w14:paraId="32FDE75B">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地址：嘉兴市秀洲区成秀路205号鼎盛大厦4楼</w:t>
      </w:r>
      <w:r>
        <w:rPr>
          <w:rFonts w:hint="eastAsia" w:ascii="宋体" w:hAnsi="宋体" w:cs="宋体"/>
          <w:color w:val="auto"/>
          <w:szCs w:val="21"/>
          <w:highlight w:val="none"/>
          <w:lang w:val="en-US" w:eastAsia="zh-CN"/>
        </w:rPr>
        <w:t>409室</w:t>
      </w:r>
    </w:p>
    <w:p w14:paraId="74F431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传    真：/             </w:t>
      </w:r>
    </w:p>
    <w:p w14:paraId="2730C0A6">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val="en-US" w:eastAsia="zh-CN"/>
        </w:rPr>
        <w:t>沈勤伟</w:t>
      </w:r>
    </w:p>
    <w:p w14:paraId="226098FE">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项目联系方式（询问）：0573-838076</w:t>
      </w:r>
      <w:r>
        <w:rPr>
          <w:rFonts w:hint="eastAsia" w:ascii="宋体" w:hAnsi="宋体" w:cs="宋体"/>
          <w:color w:val="auto"/>
          <w:szCs w:val="21"/>
          <w:highlight w:val="none"/>
          <w:lang w:val="en-US" w:eastAsia="zh-CN"/>
        </w:rPr>
        <w:t>72/18069691919</w:t>
      </w:r>
    </w:p>
    <w:p w14:paraId="33D0067E">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质疑联系人：</w:t>
      </w:r>
      <w:r>
        <w:rPr>
          <w:rFonts w:hint="eastAsia" w:ascii="宋体" w:hAnsi="宋体" w:cs="宋体"/>
          <w:color w:val="auto"/>
          <w:szCs w:val="21"/>
          <w:highlight w:val="none"/>
          <w:lang w:val="en-US" w:eastAsia="zh-CN"/>
        </w:rPr>
        <w:t>薛玉来</w:t>
      </w:r>
    </w:p>
    <w:p w14:paraId="7893644D">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质疑联系方式：0573-838076</w:t>
      </w:r>
      <w:r>
        <w:rPr>
          <w:rFonts w:hint="eastAsia" w:ascii="宋体" w:hAnsi="宋体" w:cs="宋体"/>
          <w:color w:val="auto"/>
          <w:szCs w:val="21"/>
          <w:highlight w:val="none"/>
          <w:lang w:val="en-US" w:eastAsia="zh-CN"/>
        </w:rPr>
        <w:t>72</w:t>
      </w:r>
    </w:p>
    <w:p w14:paraId="7355A1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3.同级政府采购监督管理部门            </w:t>
      </w:r>
    </w:p>
    <w:p w14:paraId="1552A7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称：嘉兴市</w:t>
      </w:r>
      <w:r>
        <w:rPr>
          <w:rFonts w:hint="eastAsia" w:ascii="宋体" w:hAnsi="宋体" w:cs="宋体"/>
          <w:color w:val="auto"/>
          <w:szCs w:val="21"/>
          <w:highlight w:val="none"/>
          <w:lang w:val="en-US" w:eastAsia="zh-CN"/>
        </w:rPr>
        <w:t>秀洲区</w:t>
      </w:r>
      <w:r>
        <w:rPr>
          <w:rFonts w:hint="eastAsia" w:ascii="宋体" w:hAnsi="宋体" w:cs="宋体"/>
          <w:color w:val="auto"/>
          <w:szCs w:val="21"/>
          <w:highlight w:val="none"/>
        </w:rPr>
        <w:t>财政局</w:t>
      </w:r>
    </w:p>
    <w:p w14:paraId="66079A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嘉兴市洪兴路1765号</w:t>
      </w:r>
    </w:p>
    <w:p w14:paraId="66C658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    真：/</w:t>
      </w:r>
    </w:p>
    <w:p w14:paraId="6E3F4F51">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 系 人：</w:t>
      </w:r>
      <w:r>
        <w:rPr>
          <w:rFonts w:hint="eastAsia" w:ascii="宋体" w:hAnsi="宋体" w:cs="宋体"/>
          <w:color w:val="auto"/>
          <w:szCs w:val="21"/>
          <w:highlight w:val="none"/>
          <w:lang w:val="en-US" w:eastAsia="zh-CN"/>
        </w:rPr>
        <w:t>方先生</w:t>
      </w:r>
    </w:p>
    <w:p w14:paraId="45C973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监督投诉电话：0573-82720085</w:t>
      </w:r>
    </w:p>
    <w:p w14:paraId="5990A36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2B8F2151">
      <w:pPr>
        <w:wordWrap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CA问题联系电话（人工）：汇信CA 400-888-4636；天谷CA 400-087-8198。</w:t>
      </w:r>
    </w:p>
    <w:p w14:paraId="5495C375">
      <w:pPr>
        <w:adjustRightInd/>
        <w:spacing w:before="240" w:beforeLines="100" w:after="240" w:afterLines="100"/>
        <w:jc w:val="center"/>
        <w:outlineLvl w:val="0"/>
        <w:rPr>
          <w:rFonts w:ascii="宋体" w:hAnsi="宋体" w:cs="宋体"/>
          <w:b/>
          <w:color w:val="auto"/>
          <w:sz w:val="36"/>
          <w:szCs w:val="20"/>
          <w:highlight w:val="none"/>
        </w:rPr>
      </w:pPr>
    </w:p>
    <w:p w14:paraId="7FB31C4E">
      <w:pPr>
        <w:adjustRightInd/>
        <w:spacing w:before="240" w:beforeLines="100" w:after="240" w:afterLines="100"/>
        <w:jc w:val="center"/>
        <w:outlineLvl w:val="0"/>
        <w:rPr>
          <w:rFonts w:ascii="宋体" w:hAnsi="宋体" w:cs="宋体"/>
          <w:b/>
          <w:color w:val="auto"/>
          <w:sz w:val="36"/>
          <w:szCs w:val="20"/>
          <w:highlight w:val="none"/>
        </w:rPr>
      </w:pPr>
    </w:p>
    <w:p w14:paraId="18566536">
      <w:pPr>
        <w:adjustRightInd/>
        <w:spacing w:before="240" w:beforeLines="100" w:after="240" w:afterLines="100"/>
        <w:jc w:val="center"/>
        <w:outlineLvl w:val="0"/>
        <w:rPr>
          <w:rFonts w:ascii="宋体" w:hAnsi="宋体" w:cs="宋体"/>
          <w:b/>
          <w:color w:val="auto"/>
          <w:sz w:val="36"/>
          <w:szCs w:val="20"/>
          <w:highlight w:val="none"/>
        </w:rPr>
      </w:pPr>
    </w:p>
    <w:p w14:paraId="6E3E56FE">
      <w:pPr>
        <w:adjustRightInd/>
        <w:spacing w:before="240" w:beforeLines="100" w:after="240" w:afterLines="100"/>
        <w:jc w:val="center"/>
        <w:outlineLvl w:val="0"/>
        <w:rPr>
          <w:rFonts w:ascii="宋体" w:hAnsi="宋体" w:cs="宋体"/>
          <w:b/>
          <w:color w:val="auto"/>
          <w:sz w:val="36"/>
          <w:szCs w:val="20"/>
          <w:highlight w:val="none"/>
        </w:rPr>
      </w:pPr>
    </w:p>
    <w:p w14:paraId="58C0207E">
      <w:pPr>
        <w:adjustRightInd/>
        <w:spacing w:before="240" w:beforeLines="100" w:after="240" w:afterLines="100"/>
        <w:jc w:val="center"/>
        <w:outlineLvl w:val="0"/>
        <w:rPr>
          <w:rFonts w:ascii="宋体" w:hAnsi="宋体" w:cs="宋体"/>
          <w:b/>
          <w:color w:val="auto"/>
          <w:sz w:val="36"/>
          <w:szCs w:val="20"/>
          <w:highlight w:val="none"/>
        </w:rPr>
      </w:pPr>
    </w:p>
    <w:p w14:paraId="5267553D">
      <w:pPr>
        <w:adjustRightInd/>
        <w:spacing w:before="240" w:beforeLines="100" w:after="240" w:afterLines="100"/>
        <w:jc w:val="center"/>
        <w:outlineLvl w:val="0"/>
        <w:rPr>
          <w:rFonts w:ascii="宋体" w:hAnsi="宋体" w:cs="宋体"/>
          <w:b/>
          <w:color w:val="auto"/>
          <w:sz w:val="36"/>
          <w:szCs w:val="20"/>
          <w:highlight w:val="none"/>
        </w:rPr>
      </w:pPr>
    </w:p>
    <w:p w14:paraId="32849445">
      <w:pPr>
        <w:adjustRightInd/>
        <w:spacing w:before="240" w:beforeLines="100" w:after="240" w:afterLines="100"/>
        <w:jc w:val="center"/>
        <w:outlineLvl w:val="0"/>
        <w:rPr>
          <w:rFonts w:ascii="宋体" w:hAnsi="宋体" w:cs="宋体"/>
          <w:b/>
          <w:color w:val="auto"/>
          <w:sz w:val="36"/>
          <w:szCs w:val="20"/>
          <w:highlight w:val="none"/>
        </w:rPr>
      </w:pPr>
    </w:p>
    <w:p w14:paraId="38618696">
      <w:pPr>
        <w:adjustRightInd/>
        <w:spacing w:before="240" w:beforeLines="100" w:after="240" w:afterLines="100"/>
        <w:jc w:val="center"/>
        <w:outlineLvl w:val="0"/>
        <w:rPr>
          <w:rFonts w:ascii="宋体" w:hAnsi="宋体" w:cs="宋体"/>
          <w:b/>
          <w:color w:val="auto"/>
          <w:sz w:val="36"/>
          <w:szCs w:val="20"/>
          <w:highlight w:val="none"/>
        </w:rPr>
      </w:pPr>
    </w:p>
    <w:p w14:paraId="7AF206AC">
      <w:pPr>
        <w:adjustRightInd/>
        <w:spacing w:before="240" w:beforeLines="100" w:after="240" w:afterLines="100"/>
        <w:jc w:val="center"/>
        <w:outlineLvl w:val="0"/>
        <w:rPr>
          <w:rFonts w:ascii="宋体" w:hAnsi="宋体" w:cs="宋体"/>
          <w:b/>
          <w:color w:val="auto"/>
          <w:sz w:val="36"/>
          <w:szCs w:val="20"/>
          <w:highlight w:val="none"/>
        </w:rPr>
      </w:pPr>
    </w:p>
    <w:p w14:paraId="138C26A1">
      <w:pPr>
        <w:adjustRightInd/>
        <w:spacing w:before="240" w:beforeLines="100" w:after="240" w:afterLines="100"/>
        <w:jc w:val="center"/>
        <w:outlineLvl w:val="0"/>
        <w:rPr>
          <w:rFonts w:ascii="宋体" w:hAnsi="宋体" w:cs="宋体"/>
          <w:b/>
          <w:color w:val="auto"/>
          <w:sz w:val="36"/>
          <w:szCs w:val="20"/>
          <w:highlight w:val="none"/>
        </w:rPr>
      </w:pPr>
    </w:p>
    <w:p w14:paraId="3DA43739">
      <w:pPr>
        <w:adjustRightInd/>
        <w:spacing w:before="240" w:beforeLines="100" w:after="240" w:afterLines="100"/>
        <w:jc w:val="center"/>
        <w:outlineLvl w:val="0"/>
        <w:rPr>
          <w:rFonts w:ascii="宋体" w:hAnsi="宋体" w:cs="宋体"/>
          <w:b/>
          <w:color w:val="auto"/>
          <w:sz w:val="36"/>
          <w:szCs w:val="20"/>
          <w:highlight w:val="none"/>
        </w:rPr>
      </w:pPr>
    </w:p>
    <w:p w14:paraId="0EBDD151">
      <w:pPr>
        <w:adjustRightInd/>
        <w:spacing w:before="240" w:beforeLines="100" w:after="240" w:afterLines="100"/>
        <w:jc w:val="center"/>
        <w:outlineLvl w:val="0"/>
        <w:rPr>
          <w:rFonts w:ascii="宋体" w:hAnsi="宋体" w:cs="宋体"/>
          <w:b/>
          <w:color w:val="auto"/>
          <w:sz w:val="36"/>
          <w:szCs w:val="20"/>
          <w:highlight w:val="none"/>
        </w:rPr>
      </w:pPr>
    </w:p>
    <w:p w14:paraId="4D62C976">
      <w:pPr>
        <w:adjustRightInd/>
        <w:spacing w:before="240" w:beforeLines="100"/>
        <w:jc w:val="center"/>
        <w:outlineLvl w:val="0"/>
        <w:rPr>
          <w:rFonts w:hint="eastAsia" w:ascii="宋体" w:hAnsi="宋体" w:cs="宋体"/>
          <w:b/>
          <w:color w:val="auto"/>
          <w:sz w:val="36"/>
          <w:szCs w:val="20"/>
          <w:highlight w:val="none"/>
        </w:rPr>
      </w:pPr>
    </w:p>
    <w:p w14:paraId="25C03F2D">
      <w:pPr>
        <w:pStyle w:val="3"/>
        <w:rPr>
          <w:rFonts w:hint="eastAsia" w:ascii="宋体" w:hAnsi="宋体" w:cs="宋体"/>
          <w:b/>
          <w:color w:val="auto"/>
          <w:sz w:val="36"/>
          <w:szCs w:val="20"/>
          <w:highlight w:val="none"/>
        </w:rPr>
      </w:pPr>
    </w:p>
    <w:p w14:paraId="4DFAA170">
      <w:pPr>
        <w:rPr>
          <w:rFonts w:hint="eastAsia" w:ascii="宋体" w:hAnsi="宋体" w:cs="宋体"/>
          <w:b/>
          <w:color w:val="auto"/>
          <w:sz w:val="36"/>
          <w:szCs w:val="20"/>
          <w:highlight w:val="none"/>
        </w:rPr>
      </w:pPr>
    </w:p>
    <w:p w14:paraId="526B035E">
      <w:pPr>
        <w:rPr>
          <w:rFonts w:hint="eastAsia" w:ascii="宋体" w:hAnsi="宋体" w:cs="宋体"/>
          <w:b/>
          <w:color w:val="auto"/>
          <w:sz w:val="36"/>
          <w:szCs w:val="20"/>
          <w:highlight w:val="none"/>
        </w:rPr>
      </w:pPr>
    </w:p>
    <w:p w14:paraId="563CF8B8">
      <w:pPr>
        <w:rPr>
          <w:rFonts w:hint="eastAsia" w:ascii="宋体" w:hAnsi="宋体" w:cs="宋体"/>
          <w:b/>
          <w:color w:val="auto"/>
          <w:sz w:val="36"/>
          <w:szCs w:val="20"/>
          <w:highlight w:val="none"/>
        </w:rPr>
      </w:pPr>
    </w:p>
    <w:p w14:paraId="67D2E920">
      <w:pPr>
        <w:adjustRightInd/>
        <w:spacing w:before="240" w:beforeLines="100"/>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2C7DF8A8">
      <w:pPr>
        <w:snapToGrid w:val="0"/>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29"/>
        <w:gridCol w:w="1907"/>
        <w:gridCol w:w="6776"/>
      </w:tblGrid>
      <w:tr w14:paraId="4FEB1C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exact"/>
          <w:jc w:val="center"/>
        </w:trPr>
        <w:tc>
          <w:tcPr>
            <w:tcW w:w="729" w:type="dxa"/>
            <w:tcBorders>
              <w:tl2br w:val="nil"/>
              <w:tr2bl w:val="nil"/>
            </w:tcBorders>
            <w:shd w:val="clear" w:color="auto" w:fill="DCE6F2" w:themeFill="accent1" w:themeFillTint="32"/>
            <w:vAlign w:val="center"/>
          </w:tcPr>
          <w:p w14:paraId="62FF4C7C">
            <w:pPr>
              <w:snapToGrid w:val="0"/>
              <w:jc w:val="center"/>
              <w:rPr>
                <w:rFonts w:ascii="宋体" w:hAnsi="宋体" w:cs="宋体"/>
                <w:color w:val="auto"/>
                <w:highlight w:val="none"/>
              </w:rPr>
            </w:pPr>
            <w:r>
              <w:rPr>
                <w:rFonts w:hint="eastAsia" w:ascii="宋体" w:hAnsi="宋体" w:cs="宋体"/>
                <w:b/>
                <w:color w:val="auto"/>
                <w:szCs w:val="21"/>
                <w:highlight w:val="none"/>
              </w:rPr>
              <w:t>序号</w:t>
            </w:r>
          </w:p>
        </w:tc>
        <w:tc>
          <w:tcPr>
            <w:tcW w:w="1907" w:type="dxa"/>
            <w:tcBorders>
              <w:tl2br w:val="nil"/>
              <w:tr2bl w:val="nil"/>
            </w:tcBorders>
            <w:shd w:val="clear" w:color="auto" w:fill="DCE6F2" w:themeFill="accent1" w:themeFillTint="32"/>
            <w:vAlign w:val="center"/>
          </w:tcPr>
          <w:p w14:paraId="41BC2E25">
            <w:pPr>
              <w:snapToGrid w:val="0"/>
              <w:jc w:val="center"/>
              <w:rPr>
                <w:rFonts w:ascii="宋体" w:hAnsi="宋体" w:cs="宋体"/>
                <w:color w:val="auto"/>
                <w:highlight w:val="none"/>
              </w:rPr>
            </w:pPr>
            <w:r>
              <w:rPr>
                <w:rFonts w:hint="eastAsia" w:ascii="宋体" w:hAnsi="宋体" w:cs="宋体"/>
                <w:b/>
                <w:color w:val="auto"/>
                <w:szCs w:val="21"/>
                <w:highlight w:val="none"/>
              </w:rPr>
              <w:t>事项</w:t>
            </w:r>
          </w:p>
        </w:tc>
        <w:tc>
          <w:tcPr>
            <w:tcW w:w="6776" w:type="dxa"/>
            <w:tcBorders>
              <w:tl2br w:val="nil"/>
              <w:tr2bl w:val="nil"/>
            </w:tcBorders>
            <w:shd w:val="clear" w:color="auto" w:fill="DCE6F2" w:themeFill="accent1" w:themeFillTint="32"/>
            <w:vAlign w:val="center"/>
          </w:tcPr>
          <w:p w14:paraId="42BC4245">
            <w:pPr>
              <w:snapToGrid w:val="0"/>
              <w:jc w:val="center"/>
              <w:rPr>
                <w:rFonts w:ascii="宋体" w:hAnsi="宋体" w:cs="宋体"/>
                <w:color w:val="auto"/>
                <w:highlight w:val="none"/>
              </w:rPr>
            </w:pPr>
            <w:r>
              <w:rPr>
                <w:rFonts w:hint="eastAsia" w:ascii="宋体" w:hAnsi="宋体" w:cs="宋体"/>
                <w:b/>
                <w:color w:val="auto"/>
                <w:szCs w:val="21"/>
                <w:highlight w:val="none"/>
              </w:rPr>
              <w:t>本项目的特别规定</w:t>
            </w:r>
          </w:p>
        </w:tc>
      </w:tr>
      <w:tr w14:paraId="552E48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exact"/>
          <w:jc w:val="center"/>
        </w:trPr>
        <w:tc>
          <w:tcPr>
            <w:tcW w:w="729" w:type="dxa"/>
            <w:tcBorders>
              <w:tl2br w:val="nil"/>
              <w:tr2bl w:val="nil"/>
            </w:tcBorders>
            <w:shd w:val="clear" w:color="auto" w:fill="FFFFFF" w:themeFill="background1"/>
            <w:vAlign w:val="center"/>
          </w:tcPr>
          <w:p w14:paraId="58987A3C">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1907" w:type="dxa"/>
            <w:tcBorders>
              <w:tl2br w:val="nil"/>
              <w:tr2bl w:val="nil"/>
            </w:tcBorders>
            <w:shd w:val="clear" w:color="auto" w:fill="FFFFFF" w:themeFill="background1"/>
            <w:vAlign w:val="center"/>
          </w:tcPr>
          <w:p w14:paraId="349EFE2D">
            <w:pPr>
              <w:snapToGrid w:val="0"/>
              <w:jc w:val="center"/>
              <w:rPr>
                <w:rFonts w:ascii="宋体" w:hAnsi="宋体" w:cs="宋体"/>
                <w:color w:val="auto"/>
                <w:szCs w:val="21"/>
                <w:highlight w:val="none"/>
              </w:rPr>
            </w:pPr>
            <w:r>
              <w:rPr>
                <w:rFonts w:hint="eastAsia" w:ascii="宋体" w:hAnsi="宋体" w:cs="宋体"/>
                <w:color w:val="auto"/>
                <w:szCs w:val="21"/>
                <w:highlight w:val="none"/>
              </w:rPr>
              <w:t>项目属性</w:t>
            </w:r>
          </w:p>
        </w:tc>
        <w:tc>
          <w:tcPr>
            <w:tcW w:w="6776" w:type="dxa"/>
            <w:tcBorders>
              <w:tl2br w:val="nil"/>
              <w:tr2bl w:val="nil"/>
            </w:tcBorders>
            <w:shd w:val="clear" w:color="auto" w:fill="FFFFFF" w:themeFill="background1"/>
            <w:vAlign w:val="center"/>
          </w:tcPr>
          <w:p w14:paraId="4C78EB1C">
            <w:pPr>
              <w:rPr>
                <w:rFonts w:ascii="宋体" w:hAnsi="宋体" w:cs="宋体"/>
                <w:b/>
                <w:color w:val="auto"/>
                <w:kern w:val="0"/>
                <w:szCs w:val="21"/>
                <w:highlight w:val="none"/>
              </w:rPr>
            </w:pPr>
            <w:r>
              <w:rPr>
                <w:rFonts w:hint="eastAsia" w:ascii="宋体" w:hAnsi="宋体" w:cs="宋体"/>
                <w:bCs/>
                <w:color w:val="auto"/>
                <w:kern w:val="0"/>
                <w:szCs w:val="21"/>
                <w:highlight w:val="none"/>
              </w:rPr>
              <w:t>服务类</w:t>
            </w:r>
          </w:p>
        </w:tc>
      </w:tr>
      <w:tr w14:paraId="4B6BEF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l2br w:val="nil"/>
              <w:tr2bl w:val="nil"/>
            </w:tcBorders>
            <w:shd w:val="clear" w:color="auto" w:fill="FFFFFF" w:themeFill="background1"/>
            <w:vAlign w:val="center"/>
          </w:tcPr>
          <w:p w14:paraId="2FB78E14">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1907" w:type="dxa"/>
            <w:tcBorders>
              <w:tl2br w:val="nil"/>
              <w:tr2bl w:val="nil"/>
            </w:tcBorders>
            <w:shd w:val="clear" w:color="auto" w:fill="FFFFFF" w:themeFill="background1"/>
            <w:vAlign w:val="center"/>
          </w:tcPr>
          <w:p w14:paraId="5F843E8D">
            <w:pPr>
              <w:snapToGrid w:val="0"/>
              <w:jc w:val="center"/>
              <w:rPr>
                <w:rFonts w:ascii="宋体" w:hAnsi="宋体" w:cs="宋体"/>
                <w:color w:val="auto"/>
                <w:szCs w:val="21"/>
                <w:highlight w:val="none"/>
              </w:rPr>
            </w:pPr>
            <w:r>
              <w:rPr>
                <w:rFonts w:hint="eastAsia" w:ascii="宋体" w:hAnsi="宋体" w:cs="宋体"/>
                <w:color w:val="auto"/>
                <w:szCs w:val="21"/>
                <w:highlight w:val="none"/>
              </w:rPr>
              <w:t>采购标的及其对应的中小企业划分标准所属行业</w:t>
            </w:r>
          </w:p>
        </w:tc>
        <w:tc>
          <w:tcPr>
            <w:tcW w:w="6776" w:type="dxa"/>
            <w:tcBorders>
              <w:tl2br w:val="nil"/>
              <w:tr2bl w:val="nil"/>
            </w:tcBorders>
            <w:shd w:val="clear" w:color="auto" w:fill="FFFFFF" w:themeFill="background1"/>
            <w:vAlign w:val="center"/>
          </w:tcPr>
          <w:p w14:paraId="595250EB">
            <w:pPr>
              <w:spacing w:line="400" w:lineRule="exact"/>
              <w:rPr>
                <w:rFonts w:ascii="宋体" w:hAnsi="宋体" w:cs="宋体"/>
                <w:b/>
                <w:color w:val="auto"/>
                <w:kern w:val="0"/>
                <w:szCs w:val="21"/>
                <w:highlight w:val="none"/>
              </w:rPr>
            </w:pPr>
            <w:r>
              <w:rPr>
                <w:rFonts w:hint="eastAsia" w:ascii="宋体" w:hAnsi="宋体" w:cs="宋体"/>
                <w:b/>
                <w:color w:val="auto"/>
                <w:kern w:val="0"/>
                <w:szCs w:val="21"/>
                <w:highlight w:val="none"/>
              </w:rPr>
              <w:t>标的：</w:t>
            </w:r>
            <w:r>
              <w:rPr>
                <w:rFonts w:hint="eastAsia" w:ascii="宋体" w:hAnsi="宋体" w:cs="宋体"/>
                <w:b/>
                <w:color w:val="auto"/>
                <w:kern w:val="0"/>
                <w:szCs w:val="21"/>
                <w:highlight w:val="none"/>
                <w:u w:val="single"/>
                <w:lang w:eastAsia="zh-CN"/>
              </w:rPr>
              <w:t>2025-2026年度高新区（高照街道）人力资源市场运营服务项目</w:t>
            </w:r>
            <w:r>
              <w:rPr>
                <w:rFonts w:hint="eastAsia" w:ascii="宋体" w:hAnsi="宋体" w:cs="宋体"/>
                <w:b/>
                <w:color w:val="auto"/>
                <w:kern w:val="0"/>
                <w:szCs w:val="21"/>
                <w:highlight w:val="none"/>
                <w:u w:val="single"/>
              </w:rPr>
              <w:t>，</w:t>
            </w:r>
            <w:r>
              <w:rPr>
                <w:rFonts w:hint="eastAsia" w:ascii="宋体" w:hAnsi="宋体" w:cs="宋体"/>
                <w:b/>
                <w:color w:val="auto"/>
                <w:kern w:val="0"/>
                <w:szCs w:val="21"/>
                <w:highlight w:val="none"/>
              </w:rPr>
              <w:t>属于</w:t>
            </w:r>
            <w:r>
              <w:rPr>
                <w:rFonts w:hint="eastAsia" w:ascii="宋体" w:hAnsi="宋体" w:cs="宋体"/>
                <w:b/>
                <w:color w:val="auto"/>
                <w:kern w:val="0"/>
                <w:szCs w:val="21"/>
                <w:highlight w:val="none"/>
                <w:u w:val="single"/>
                <w:lang w:val="en-US" w:eastAsia="zh-CN"/>
              </w:rPr>
              <w:t>租赁和商业服务业</w:t>
            </w:r>
            <w:r>
              <w:rPr>
                <w:rFonts w:hint="eastAsia" w:ascii="宋体" w:hAnsi="宋体" w:cs="宋体"/>
                <w:b/>
                <w:color w:val="auto"/>
                <w:kern w:val="0"/>
                <w:szCs w:val="21"/>
                <w:highlight w:val="none"/>
                <w:u w:val="single"/>
              </w:rPr>
              <w:t>；</w:t>
            </w:r>
          </w:p>
        </w:tc>
      </w:tr>
      <w:tr w14:paraId="5247E6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l2br w:val="nil"/>
              <w:tr2bl w:val="nil"/>
            </w:tcBorders>
            <w:shd w:val="clear" w:color="auto" w:fill="FFFFFF" w:themeFill="background1"/>
            <w:vAlign w:val="center"/>
          </w:tcPr>
          <w:p w14:paraId="5FAB3EB6">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1907" w:type="dxa"/>
            <w:tcBorders>
              <w:tl2br w:val="nil"/>
              <w:tr2bl w:val="nil"/>
            </w:tcBorders>
            <w:shd w:val="clear" w:color="auto" w:fill="FFFFFF" w:themeFill="background1"/>
            <w:vAlign w:val="center"/>
          </w:tcPr>
          <w:p w14:paraId="6F442DA8">
            <w:pPr>
              <w:snapToGrid w:val="0"/>
              <w:jc w:val="center"/>
              <w:rPr>
                <w:rFonts w:ascii="宋体" w:hAnsi="宋体" w:cs="宋体"/>
                <w:color w:val="auto"/>
                <w:szCs w:val="21"/>
                <w:highlight w:val="none"/>
              </w:rPr>
            </w:pPr>
            <w:r>
              <w:rPr>
                <w:rFonts w:hint="eastAsia" w:ascii="宋体" w:hAnsi="宋体" w:cs="宋体"/>
                <w:color w:val="auto"/>
                <w:szCs w:val="21"/>
                <w:highlight w:val="none"/>
              </w:rPr>
              <w:t>是否允许采购进口产品</w:t>
            </w:r>
          </w:p>
        </w:tc>
        <w:tc>
          <w:tcPr>
            <w:tcW w:w="6776" w:type="dxa"/>
            <w:tcBorders>
              <w:tl2br w:val="nil"/>
              <w:tr2bl w:val="nil"/>
            </w:tcBorders>
            <w:shd w:val="clear" w:color="auto" w:fill="FFFFFF" w:themeFill="background1"/>
            <w:vAlign w:val="center"/>
          </w:tcPr>
          <w:p w14:paraId="7FB9513B">
            <w:pPr>
              <w:spacing w:line="400" w:lineRule="exact"/>
              <w:rPr>
                <w:rFonts w:ascii="宋体" w:hAnsi="宋体" w:cs="宋体"/>
                <w:bCs/>
                <w:color w:val="auto"/>
                <w:kern w:val="0"/>
                <w:szCs w:val="21"/>
                <w:highlight w:val="none"/>
              </w:rPr>
            </w:pPr>
            <w:r>
              <w:rPr>
                <w:rFonts w:hint="eastAsia" w:ascii="宋体" w:hAnsi="宋体" w:cs="宋体"/>
                <w:color w:val="auto"/>
                <w:kern w:val="0"/>
                <w:szCs w:val="21"/>
                <w:highlight w:val="none"/>
              </w:rPr>
              <w:sym w:font="Wingdings" w:char="00FE"/>
            </w:r>
            <w:r>
              <w:rPr>
                <w:rFonts w:hint="eastAsia" w:ascii="宋体" w:hAnsi="宋体" w:cs="宋体"/>
                <w:bCs/>
                <w:color w:val="auto"/>
                <w:kern w:val="0"/>
                <w:szCs w:val="21"/>
                <w:highlight w:val="none"/>
              </w:rPr>
              <w:t>本项目不允许采购进口产品。</w:t>
            </w:r>
          </w:p>
          <w:p w14:paraId="72224E56">
            <w:pPr>
              <w:spacing w:line="400" w:lineRule="exact"/>
              <w:rPr>
                <w:rFonts w:ascii="宋体" w:hAnsi="宋体" w:cs="宋体"/>
                <w:b/>
                <w:color w:val="auto"/>
                <w:kern w:val="0"/>
                <w:szCs w:val="21"/>
                <w:highlight w:val="none"/>
              </w:rPr>
            </w:pPr>
            <w:r>
              <w:rPr>
                <w:rFonts w:hint="eastAsia" w:ascii="宋体" w:hAnsi="宋体" w:cs="宋体"/>
                <w:color w:val="auto"/>
                <w:kern w:val="0"/>
                <w:szCs w:val="21"/>
                <w:highlight w:val="none"/>
              </w:rPr>
              <w:sym w:font="Wingdings" w:char="00A8"/>
            </w:r>
            <w:r>
              <w:rPr>
                <w:rFonts w:hint="eastAsia" w:ascii="宋体" w:hAnsi="宋体" w:cs="宋体"/>
                <w:bCs/>
                <w:color w:val="auto"/>
                <w:kern w:val="0"/>
                <w:szCs w:val="21"/>
                <w:highlight w:val="none"/>
              </w:rPr>
              <w:t>可以就</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采购进口产品。优先采购向我国企业转让技术、与我国企业签订消化吸收再创新方案的供应商的进口产品，详见</w:t>
            </w:r>
            <w:r>
              <w:rPr>
                <w:rFonts w:hint="eastAsia" w:ascii="宋体" w:hAnsi="宋体" w:cs="宋体"/>
                <w:bCs/>
                <w:color w:val="auto"/>
                <w:kern w:val="0"/>
                <w:szCs w:val="21"/>
                <w:highlight w:val="none"/>
                <w:u w:val="single"/>
              </w:rPr>
              <w:t>评分标准</w:t>
            </w:r>
            <w:r>
              <w:rPr>
                <w:rFonts w:hint="eastAsia" w:ascii="宋体" w:hAnsi="宋体" w:cs="宋体"/>
                <w:bCs/>
                <w:color w:val="auto"/>
                <w:kern w:val="0"/>
                <w:szCs w:val="21"/>
                <w:highlight w:val="none"/>
              </w:rPr>
              <w:t>。</w:t>
            </w:r>
          </w:p>
        </w:tc>
      </w:tr>
      <w:tr w14:paraId="5C3BBE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l2br w:val="nil"/>
              <w:tr2bl w:val="nil"/>
            </w:tcBorders>
            <w:shd w:val="clear" w:color="auto" w:fill="FFFFFF" w:themeFill="background1"/>
            <w:vAlign w:val="center"/>
          </w:tcPr>
          <w:p w14:paraId="7D8B7E75">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1907" w:type="dxa"/>
            <w:tcBorders>
              <w:tl2br w:val="nil"/>
              <w:tr2bl w:val="nil"/>
            </w:tcBorders>
            <w:shd w:val="clear" w:color="auto" w:fill="FFFFFF" w:themeFill="background1"/>
            <w:vAlign w:val="center"/>
          </w:tcPr>
          <w:p w14:paraId="7EA7B7D5">
            <w:pPr>
              <w:snapToGrid w:val="0"/>
              <w:jc w:val="center"/>
              <w:rPr>
                <w:rFonts w:ascii="宋体" w:hAnsi="宋体" w:cs="宋体"/>
                <w:color w:val="auto"/>
                <w:szCs w:val="21"/>
                <w:highlight w:val="none"/>
              </w:rPr>
            </w:pPr>
            <w:r>
              <w:rPr>
                <w:rFonts w:hint="eastAsia" w:ascii="宋体" w:hAnsi="宋体" w:cs="宋体"/>
                <w:color w:val="auto"/>
                <w:szCs w:val="21"/>
                <w:highlight w:val="none"/>
              </w:rPr>
              <w:t>分包</w:t>
            </w:r>
          </w:p>
        </w:tc>
        <w:tc>
          <w:tcPr>
            <w:tcW w:w="6776" w:type="dxa"/>
            <w:tcBorders>
              <w:tl2br w:val="nil"/>
              <w:tr2bl w:val="nil"/>
            </w:tcBorders>
            <w:shd w:val="clear" w:color="auto" w:fill="FFFFFF" w:themeFill="background1"/>
            <w:vAlign w:val="center"/>
          </w:tcPr>
          <w:p w14:paraId="427B492A">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A同意将非主体、非关键性的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工作分包。</w:t>
            </w:r>
          </w:p>
          <w:p w14:paraId="0BDB58B8">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sym w:font="Wingdings" w:char="00FE"/>
            </w:r>
            <w:r>
              <w:rPr>
                <w:rFonts w:hint="eastAsia" w:ascii="宋体" w:hAnsi="宋体" w:cs="宋体"/>
                <w:color w:val="auto"/>
                <w:kern w:val="0"/>
                <w:szCs w:val="21"/>
                <w:highlight w:val="none"/>
              </w:rPr>
              <w:t>B不同意分包。</w:t>
            </w:r>
          </w:p>
          <w:p w14:paraId="0D1A9A2F">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注：不得限制大中型企业向小微企业合理分包。</w:t>
            </w:r>
          </w:p>
        </w:tc>
      </w:tr>
      <w:tr w14:paraId="75B7E1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l2br w:val="nil"/>
              <w:tr2bl w:val="nil"/>
            </w:tcBorders>
            <w:shd w:val="clear" w:color="auto" w:fill="FFFFFF" w:themeFill="background1"/>
            <w:vAlign w:val="center"/>
          </w:tcPr>
          <w:p w14:paraId="3F321697">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1907" w:type="dxa"/>
            <w:tcBorders>
              <w:tl2br w:val="nil"/>
              <w:tr2bl w:val="nil"/>
            </w:tcBorders>
            <w:shd w:val="clear" w:color="auto" w:fill="FFFFFF" w:themeFill="background1"/>
            <w:vAlign w:val="center"/>
          </w:tcPr>
          <w:p w14:paraId="07623F6F">
            <w:pPr>
              <w:snapToGrid w:val="0"/>
              <w:jc w:val="center"/>
              <w:rPr>
                <w:rFonts w:ascii="宋体" w:hAnsi="宋体" w:cs="宋体"/>
                <w:color w:val="auto"/>
                <w:szCs w:val="21"/>
                <w:highlight w:val="none"/>
              </w:rPr>
            </w:pPr>
            <w:r>
              <w:rPr>
                <w:rFonts w:hint="eastAsia" w:ascii="宋体" w:hAnsi="宋体" w:cs="宋体"/>
                <w:color w:val="auto"/>
                <w:szCs w:val="21"/>
                <w:highlight w:val="none"/>
              </w:rPr>
              <w:t>开标前答疑会或现场考察</w:t>
            </w:r>
          </w:p>
        </w:tc>
        <w:tc>
          <w:tcPr>
            <w:tcW w:w="6776" w:type="dxa"/>
            <w:tcBorders>
              <w:tl2br w:val="nil"/>
              <w:tr2bl w:val="nil"/>
            </w:tcBorders>
            <w:shd w:val="clear" w:color="auto" w:fill="FFFFFF" w:themeFill="background1"/>
            <w:vAlign w:val="center"/>
          </w:tcPr>
          <w:p w14:paraId="3B61EC95">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sym w:font="Wingdings" w:char="00FE"/>
            </w:r>
            <w:r>
              <w:rPr>
                <w:rFonts w:hint="eastAsia" w:ascii="宋体" w:hAnsi="宋体" w:cs="宋体"/>
                <w:color w:val="auto"/>
                <w:kern w:val="0"/>
                <w:szCs w:val="21"/>
                <w:highlight w:val="none"/>
              </w:rPr>
              <w:t>A不组织。</w:t>
            </w:r>
          </w:p>
          <w:p w14:paraId="3623DA4C">
            <w:pPr>
              <w:spacing w:line="40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777057702"/>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r>
              <w:rPr>
                <w:rFonts w:hint="eastAsia" w:ascii="宋体" w:hAnsi="宋体" w:cs="宋体"/>
                <w:color w:val="auto"/>
                <w:kern w:val="0"/>
                <w:szCs w:val="21"/>
                <w:highlight w:val="none"/>
              </w:rPr>
              <w:t>B组织，时间：</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，联系人：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，联系方式：</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tc>
      </w:tr>
      <w:tr w14:paraId="2B7561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l2br w:val="nil"/>
              <w:tr2bl w:val="nil"/>
            </w:tcBorders>
            <w:shd w:val="clear" w:color="auto" w:fill="FFFFFF" w:themeFill="background1"/>
            <w:vAlign w:val="center"/>
          </w:tcPr>
          <w:p w14:paraId="0BFA85B2">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1907" w:type="dxa"/>
            <w:tcBorders>
              <w:tl2br w:val="nil"/>
              <w:tr2bl w:val="nil"/>
            </w:tcBorders>
            <w:shd w:val="clear" w:color="auto" w:fill="FFFFFF" w:themeFill="background1"/>
            <w:vAlign w:val="center"/>
          </w:tcPr>
          <w:p w14:paraId="706E6DC1">
            <w:pPr>
              <w:snapToGrid w:val="0"/>
              <w:jc w:val="center"/>
              <w:rPr>
                <w:rFonts w:ascii="宋体" w:hAnsi="宋体" w:cs="宋体"/>
                <w:color w:val="auto"/>
                <w:szCs w:val="21"/>
                <w:highlight w:val="none"/>
              </w:rPr>
            </w:pPr>
            <w:r>
              <w:rPr>
                <w:rFonts w:hint="eastAsia" w:ascii="宋体" w:hAnsi="宋体" w:cs="宋体"/>
                <w:color w:val="auto"/>
                <w:szCs w:val="21"/>
                <w:highlight w:val="none"/>
              </w:rPr>
              <w:t>样品提供</w:t>
            </w:r>
          </w:p>
        </w:tc>
        <w:tc>
          <w:tcPr>
            <w:tcW w:w="6776" w:type="dxa"/>
            <w:tcBorders>
              <w:tl2br w:val="nil"/>
              <w:tr2bl w:val="nil"/>
            </w:tcBorders>
            <w:shd w:val="clear" w:color="auto" w:fill="FFFFFF" w:themeFill="background1"/>
            <w:vAlign w:val="center"/>
          </w:tcPr>
          <w:p w14:paraId="791F1DDC">
            <w:pPr>
              <w:wordWrap w:val="0"/>
              <w:spacing w:line="400" w:lineRule="exact"/>
              <w:rPr>
                <w:rFonts w:ascii="宋体" w:hAnsi="宋体" w:cs="宋体"/>
                <w:color w:val="auto"/>
                <w:szCs w:val="21"/>
                <w:highlight w:val="none"/>
              </w:rPr>
            </w:pPr>
            <w:r>
              <w:rPr>
                <w:rFonts w:hint="eastAsia" w:ascii="宋体" w:hAnsi="宋体" w:cs="宋体"/>
                <w:color w:val="auto"/>
                <w:kern w:val="0"/>
                <w:szCs w:val="21"/>
                <w:highlight w:val="none"/>
              </w:rPr>
              <w:sym w:font="Wingdings" w:char="F0FE"/>
            </w:r>
            <w:r>
              <w:rPr>
                <w:rFonts w:hint="eastAsia" w:ascii="宋体" w:hAnsi="宋体" w:cs="宋体"/>
                <w:color w:val="auto"/>
                <w:kern w:val="0"/>
                <w:szCs w:val="21"/>
                <w:highlight w:val="none"/>
              </w:rPr>
              <w:t>A</w:t>
            </w:r>
            <w:r>
              <w:rPr>
                <w:rFonts w:hint="eastAsia" w:ascii="宋体" w:hAnsi="宋体" w:cs="宋体"/>
                <w:color w:val="auto"/>
                <w:szCs w:val="21"/>
                <w:highlight w:val="none"/>
              </w:rPr>
              <w:t>不要求提供。</w:t>
            </w:r>
          </w:p>
          <w:p w14:paraId="1F560AFE">
            <w:pPr>
              <w:wordWrap w:val="0"/>
              <w:spacing w:line="40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026831988"/>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r>
              <w:rPr>
                <w:rFonts w:hint="eastAsia" w:ascii="宋体" w:hAnsi="宋体" w:cs="宋体"/>
                <w:color w:val="auto"/>
                <w:kern w:val="0"/>
                <w:szCs w:val="21"/>
                <w:highlight w:val="none"/>
              </w:rPr>
              <w:t>B要求提供，</w:t>
            </w:r>
          </w:p>
          <w:p w14:paraId="5C7DF4BD">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snapToGrid w:val="0"/>
                <w:color w:val="auto"/>
                <w:kern w:val="28"/>
                <w:szCs w:val="21"/>
                <w:highlight w:val="none"/>
              </w:rPr>
              <w:t>样品：</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78807729">
            <w:pPr>
              <w:wordWrap w:val="0"/>
              <w:spacing w:line="400" w:lineRule="exact"/>
              <w:rPr>
                <w:rFonts w:ascii="宋体" w:hAnsi="宋体" w:cs="宋体"/>
                <w:color w:val="auto"/>
                <w:kern w:val="0"/>
                <w:szCs w:val="21"/>
                <w:highlight w:val="none"/>
              </w:rPr>
            </w:pPr>
            <w:r>
              <w:rPr>
                <w:rFonts w:hint="eastAsia" w:ascii="宋体" w:hAnsi="宋体" w:cs="宋体"/>
                <w:snapToGrid w:val="0"/>
                <w:color w:val="auto"/>
                <w:kern w:val="28"/>
                <w:szCs w:val="21"/>
                <w:highlight w:val="none"/>
              </w:rPr>
              <w:t>（2）样品制作的标准和要求：</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7ECC2F73">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（3）样品的评审方法以及评审标准</w:t>
            </w:r>
            <w:r>
              <w:rPr>
                <w:rFonts w:hint="eastAsia" w:ascii="宋体" w:hAnsi="宋体" w:cs="宋体"/>
                <w:snapToGrid w:val="0"/>
                <w:color w:val="auto"/>
                <w:kern w:val="28"/>
                <w:szCs w:val="21"/>
                <w:highlight w:val="none"/>
              </w:rPr>
              <w:t>：详见</w:t>
            </w:r>
            <w:r>
              <w:rPr>
                <w:rFonts w:hint="eastAsia" w:ascii="宋体" w:hAnsi="宋体" w:cs="宋体"/>
                <w:color w:val="auto"/>
                <w:szCs w:val="21"/>
                <w:highlight w:val="none"/>
                <w:u w:val="single"/>
              </w:rPr>
              <w:t>评标办法</w:t>
            </w:r>
            <w:r>
              <w:rPr>
                <w:rFonts w:hint="eastAsia" w:ascii="宋体" w:hAnsi="宋体" w:cs="宋体"/>
                <w:color w:val="auto"/>
                <w:kern w:val="0"/>
                <w:szCs w:val="21"/>
                <w:highlight w:val="none"/>
              </w:rPr>
              <w:t>；</w:t>
            </w:r>
          </w:p>
          <w:p w14:paraId="6EF3F1F3">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（4）是否需要随样品提交检测报告：</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否；</w:t>
            </w:r>
            <w:sdt>
              <w:sdtPr>
                <w:rPr>
                  <w:rFonts w:hint="eastAsia" w:ascii="宋体" w:hAnsi="宋体" w:cs="宋体"/>
                  <w:color w:val="auto"/>
                  <w:kern w:val="0"/>
                  <w:szCs w:val="21"/>
                  <w:highlight w:val="none"/>
                </w:rPr>
                <w:id w:val="1621728433"/>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1303421454"/>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sdtContent>
            </w:sdt>
            <w:r>
              <w:rPr>
                <w:rFonts w:hint="eastAsia" w:ascii="宋体" w:hAnsi="宋体" w:cs="宋体"/>
                <w:color w:val="auto"/>
                <w:kern w:val="0"/>
                <w:szCs w:val="21"/>
                <w:highlight w:val="none"/>
              </w:rPr>
              <w:t>是，检测机构的要求</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；检测内容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7AE03A10">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（5）提供样品的时间：</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；联系人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28"/>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。请投标人在上述时间内提供样品并按规定位置安装完毕。超过截止时间的，采购人或采购代理机构将不予接收，并将清场并封闭样品现场。</w:t>
            </w:r>
          </w:p>
          <w:p w14:paraId="25C14B27">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0739E66">
            <w:pPr>
              <w:spacing w:line="400" w:lineRule="exact"/>
              <w:rPr>
                <w:rFonts w:ascii="宋体" w:hAnsi="宋体" w:cs="宋体"/>
                <w:color w:val="auto"/>
                <w:kern w:val="0"/>
                <w:szCs w:val="21"/>
                <w:highlight w:val="none"/>
              </w:rPr>
            </w:pPr>
            <w:r>
              <w:rPr>
                <w:rFonts w:hint="eastAsia" w:ascii="宋体" w:hAnsi="宋体" w:cs="宋体"/>
                <w:color w:val="auto"/>
                <w:szCs w:val="21"/>
                <w:highlight w:val="none"/>
              </w:rPr>
              <w:t>（7）制作、运输、安装和保管样品所发生的一切费用由投标人自理。</w:t>
            </w:r>
          </w:p>
        </w:tc>
      </w:tr>
      <w:tr w14:paraId="4A6F65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l2br w:val="nil"/>
              <w:tr2bl w:val="nil"/>
            </w:tcBorders>
            <w:shd w:val="clear" w:color="auto" w:fill="FFFFFF" w:themeFill="background1"/>
            <w:vAlign w:val="center"/>
          </w:tcPr>
          <w:p w14:paraId="2209FF6A">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1907" w:type="dxa"/>
            <w:tcBorders>
              <w:tl2br w:val="nil"/>
              <w:tr2bl w:val="nil"/>
            </w:tcBorders>
            <w:shd w:val="clear" w:color="auto" w:fill="FFFFFF" w:themeFill="background1"/>
            <w:vAlign w:val="center"/>
          </w:tcPr>
          <w:p w14:paraId="53E8C396">
            <w:pPr>
              <w:snapToGrid w:val="0"/>
              <w:jc w:val="center"/>
              <w:rPr>
                <w:rFonts w:ascii="宋体" w:hAnsi="宋体" w:cs="宋体"/>
                <w:color w:val="auto"/>
                <w:szCs w:val="21"/>
                <w:highlight w:val="none"/>
              </w:rPr>
            </w:pPr>
            <w:r>
              <w:rPr>
                <w:rFonts w:hint="eastAsia" w:ascii="宋体" w:hAnsi="宋体" w:cs="宋体"/>
                <w:color w:val="auto"/>
                <w:szCs w:val="21"/>
                <w:highlight w:val="none"/>
              </w:rPr>
              <w:t>方案讲解演示</w:t>
            </w:r>
          </w:p>
        </w:tc>
        <w:tc>
          <w:tcPr>
            <w:tcW w:w="6776" w:type="dxa"/>
            <w:tcBorders>
              <w:tl2br w:val="nil"/>
              <w:tr2bl w:val="nil"/>
            </w:tcBorders>
            <w:shd w:val="clear" w:color="auto" w:fill="FFFFFF" w:themeFill="background1"/>
            <w:vAlign w:val="center"/>
          </w:tcPr>
          <w:p w14:paraId="06A7A155">
            <w:pPr>
              <w:spacing w:line="400" w:lineRule="exact"/>
              <w:rPr>
                <w:rFonts w:ascii="宋体" w:hAnsi="宋体" w:cs="宋体"/>
                <w:bCs/>
                <w:color w:val="auto"/>
                <w:kern w:val="0"/>
                <w:szCs w:val="21"/>
                <w:highlight w:val="none"/>
              </w:rPr>
            </w:pPr>
            <w:r>
              <w:rPr>
                <w:rFonts w:hint="eastAsia" w:ascii="宋体" w:hAnsi="宋体" w:cs="宋体"/>
                <w:color w:val="auto"/>
                <w:kern w:val="0"/>
                <w:szCs w:val="21"/>
                <w:highlight w:val="none"/>
              </w:rPr>
              <w:sym w:font="Wingdings" w:char="00FE"/>
            </w:r>
            <w:r>
              <w:rPr>
                <w:rFonts w:hint="eastAsia" w:ascii="宋体" w:hAnsi="宋体" w:cs="宋体"/>
                <w:bCs/>
                <w:color w:val="auto"/>
                <w:kern w:val="0"/>
                <w:szCs w:val="21"/>
                <w:highlight w:val="none"/>
              </w:rPr>
              <w:t>A不组织。</w:t>
            </w:r>
          </w:p>
          <w:p w14:paraId="582F5D57">
            <w:pPr>
              <w:spacing w:line="400" w:lineRule="exact"/>
              <w:rPr>
                <w:rFonts w:ascii="宋体" w:hAnsi="宋体" w:cs="宋体"/>
                <w:bCs/>
                <w:color w:val="auto"/>
                <w:kern w:val="0"/>
                <w:szCs w:val="21"/>
                <w:highlight w:val="none"/>
              </w:rPr>
            </w:pPr>
            <w:r>
              <w:rPr>
                <w:rFonts w:hint="eastAsia" w:ascii="宋体" w:hAnsi="宋体" w:cs="宋体"/>
                <w:color w:val="auto"/>
                <w:kern w:val="0"/>
                <w:szCs w:val="21"/>
                <w:highlight w:val="none"/>
              </w:rPr>
              <w:sym w:font="Wingdings" w:char="00A8"/>
            </w:r>
            <w:r>
              <w:rPr>
                <w:rFonts w:hint="eastAsia" w:ascii="宋体" w:hAnsi="宋体" w:cs="宋体"/>
                <w:bCs/>
                <w:color w:val="auto"/>
                <w:kern w:val="0"/>
                <w:szCs w:val="21"/>
                <w:highlight w:val="none"/>
              </w:rPr>
              <w:t>B组织。</w:t>
            </w:r>
          </w:p>
          <w:p w14:paraId="05C825B8">
            <w:p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412679CA">
            <w:p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（2）方案讲解演示可选择以下其中一种方式：</w:t>
            </w:r>
          </w:p>
          <w:p w14:paraId="4D2196FC">
            <w:p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方式一：政采云平台在线讲解演示。政采云平台在线讲解需投标人根据政采云平台操作要求做好准备工作，提前完善软硬件配置环境。</w:t>
            </w:r>
          </w:p>
          <w:p w14:paraId="570521F4">
            <w:p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方式二：采购代理机构现场讲解演示。现场讲解地点为</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，讲解演示所用电脑等设备由投标人自备。现场讲解演示人员进场时提供讲解人员名单（加盖公章或授权代表签名）及身份证明，否则不得讲解演示。</w:t>
            </w:r>
          </w:p>
          <w:p w14:paraId="6DF35421">
            <w:p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14:paraId="2EE5CEC0">
            <w:pPr>
              <w:spacing w:line="400" w:lineRule="exact"/>
              <w:rPr>
                <w:rFonts w:ascii="宋体" w:hAnsi="宋体" w:cs="宋体"/>
                <w:b/>
                <w:color w:val="auto"/>
                <w:kern w:val="0"/>
                <w:szCs w:val="21"/>
                <w:highlight w:val="none"/>
              </w:rPr>
            </w:pPr>
            <w:r>
              <w:rPr>
                <w:rFonts w:hint="eastAsia" w:ascii="宋体" w:hAnsi="宋体" w:cs="宋体"/>
                <w:bCs/>
                <w:color w:val="auto"/>
                <w:kern w:val="0"/>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06FBF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vMerge w:val="restart"/>
            <w:tcBorders>
              <w:tl2br w:val="nil"/>
              <w:tr2bl w:val="nil"/>
            </w:tcBorders>
            <w:shd w:val="clear" w:color="auto" w:fill="FFFFFF" w:themeFill="background1"/>
            <w:vAlign w:val="center"/>
          </w:tcPr>
          <w:p w14:paraId="4EAF3D80">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1907" w:type="dxa"/>
            <w:vMerge w:val="restart"/>
            <w:tcBorders>
              <w:tl2br w:val="nil"/>
              <w:tr2bl w:val="nil"/>
            </w:tcBorders>
            <w:shd w:val="clear" w:color="auto" w:fill="FFFFFF" w:themeFill="background1"/>
            <w:vAlign w:val="center"/>
          </w:tcPr>
          <w:p w14:paraId="76B16078">
            <w:pPr>
              <w:snapToGrid w:val="0"/>
              <w:jc w:val="center"/>
              <w:rPr>
                <w:rFonts w:ascii="宋体" w:hAnsi="宋体" w:cs="宋体"/>
                <w:color w:val="auto"/>
                <w:szCs w:val="21"/>
                <w:highlight w:val="none"/>
              </w:rPr>
            </w:pPr>
            <w:r>
              <w:rPr>
                <w:rFonts w:hint="eastAsia" w:ascii="宋体" w:hAnsi="宋体" w:cs="宋体"/>
                <w:color w:val="auto"/>
                <w:szCs w:val="21"/>
                <w:highlight w:val="none"/>
              </w:rPr>
              <w:t>投标人应当提供的资格、资信证明文件</w:t>
            </w:r>
          </w:p>
        </w:tc>
        <w:tc>
          <w:tcPr>
            <w:tcW w:w="6776" w:type="dxa"/>
            <w:tcBorders>
              <w:tl2br w:val="nil"/>
              <w:tr2bl w:val="nil"/>
            </w:tcBorders>
            <w:shd w:val="clear" w:color="auto" w:fill="FFFFFF" w:themeFill="background1"/>
            <w:vAlign w:val="center"/>
          </w:tcPr>
          <w:p w14:paraId="2E265A84">
            <w:pPr>
              <w:spacing w:line="400" w:lineRule="exact"/>
              <w:rPr>
                <w:rFonts w:ascii="宋体" w:hAnsi="宋体" w:cs="宋体"/>
                <w:color w:val="auto"/>
                <w:szCs w:val="21"/>
                <w:highlight w:val="none"/>
              </w:rPr>
            </w:pPr>
            <w:r>
              <w:rPr>
                <w:rFonts w:hint="eastAsia" w:ascii="宋体" w:hAnsi="宋体" w:cs="宋体"/>
                <w:color w:val="auto"/>
                <w:szCs w:val="21"/>
                <w:highlight w:val="none"/>
              </w:rPr>
              <w:t>（1）资格证明文件：见招标文件第二部分11.1。</w:t>
            </w:r>
          </w:p>
          <w:p w14:paraId="10D36E1E">
            <w:pPr>
              <w:spacing w:line="400" w:lineRule="exact"/>
              <w:rPr>
                <w:rFonts w:ascii="宋体" w:hAnsi="宋体" w:cs="宋体"/>
                <w:b/>
                <w:color w:val="auto"/>
                <w:kern w:val="0"/>
                <w:szCs w:val="21"/>
                <w:highlight w:val="none"/>
              </w:rPr>
            </w:pPr>
            <w:r>
              <w:rPr>
                <w:rFonts w:hint="eastAsia" w:ascii="宋体" w:hAnsi="宋体" w:cs="宋体"/>
                <w:color w:val="auto"/>
                <w:kern w:val="0"/>
                <w:szCs w:val="21"/>
                <w:highlight w:val="none"/>
                <w:lang w:val="zh-CN"/>
              </w:rPr>
              <w:t>投标人未提供有效的资格证明文件的，视为投标人不具备招标文件中规定的资格要求，投标无效。</w:t>
            </w:r>
          </w:p>
        </w:tc>
      </w:tr>
      <w:tr w14:paraId="52CCD0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29" w:type="dxa"/>
            <w:vMerge w:val="continue"/>
            <w:tcBorders>
              <w:tl2br w:val="nil"/>
              <w:tr2bl w:val="nil"/>
            </w:tcBorders>
            <w:shd w:val="clear" w:color="auto" w:fill="FFFFFF" w:themeFill="background1"/>
            <w:vAlign w:val="center"/>
          </w:tcPr>
          <w:p w14:paraId="1208ADA3">
            <w:pPr>
              <w:snapToGrid w:val="0"/>
              <w:jc w:val="center"/>
              <w:rPr>
                <w:rFonts w:ascii="宋体" w:hAnsi="宋体" w:cs="宋体"/>
                <w:color w:val="auto"/>
                <w:szCs w:val="21"/>
                <w:highlight w:val="none"/>
              </w:rPr>
            </w:pPr>
          </w:p>
        </w:tc>
        <w:tc>
          <w:tcPr>
            <w:tcW w:w="1907" w:type="dxa"/>
            <w:vMerge w:val="continue"/>
            <w:tcBorders>
              <w:tl2br w:val="nil"/>
              <w:tr2bl w:val="nil"/>
            </w:tcBorders>
            <w:shd w:val="clear" w:color="auto" w:fill="FFFFFF" w:themeFill="background1"/>
            <w:vAlign w:val="center"/>
          </w:tcPr>
          <w:p w14:paraId="3B6DA7B2">
            <w:pPr>
              <w:snapToGrid w:val="0"/>
              <w:jc w:val="center"/>
              <w:rPr>
                <w:rFonts w:ascii="宋体" w:hAnsi="宋体" w:cs="宋体"/>
                <w:color w:val="auto"/>
                <w:szCs w:val="21"/>
                <w:highlight w:val="none"/>
              </w:rPr>
            </w:pPr>
          </w:p>
        </w:tc>
        <w:tc>
          <w:tcPr>
            <w:tcW w:w="6776" w:type="dxa"/>
            <w:tcBorders>
              <w:tl2br w:val="nil"/>
              <w:tr2bl w:val="nil"/>
            </w:tcBorders>
            <w:shd w:val="clear" w:color="auto" w:fill="FFFFFF" w:themeFill="background1"/>
            <w:vAlign w:val="center"/>
          </w:tcPr>
          <w:p w14:paraId="25D6DE85">
            <w:pPr>
              <w:rPr>
                <w:rFonts w:ascii="宋体" w:hAnsi="宋体" w:cs="宋体"/>
                <w:b/>
                <w:color w:val="auto"/>
                <w:kern w:val="0"/>
                <w:szCs w:val="21"/>
                <w:highlight w:val="none"/>
              </w:rPr>
            </w:pPr>
            <w:r>
              <w:rPr>
                <w:rFonts w:hint="eastAsia" w:ascii="宋体" w:hAnsi="宋体" w:cs="宋体"/>
                <w:color w:val="auto"/>
                <w:szCs w:val="21"/>
                <w:highlight w:val="none"/>
              </w:rPr>
              <w:t>（2）资信证明文件：根据招标文件第四部分评标标准提供。</w:t>
            </w:r>
          </w:p>
        </w:tc>
      </w:tr>
      <w:tr w14:paraId="30712E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l2br w:val="nil"/>
              <w:tr2bl w:val="nil"/>
            </w:tcBorders>
            <w:shd w:val="clear" w:color="auto" w:fill="FFFFFF" w:themeFill="background1"/>
            <w:vAlign w:val="center"/>
          </w:tcPr>
          <w:p w14:paraId="29D11C46">
            <w:pPr>
              <w:snapToGrid w:val="0"/>
              <w:jc w:val="center"/>
              <w:rPr>
                <w:rFonts w:ascii="宋体" w:hAnsi="宋体" w:cs="宋体"/>
                <w:color w:val="auto"/>
                <w:szCs w:val="21"/>
                <w:highlight w:val="none"/>
              </w:rPr>
            </w:pPr>
            <w:r>
              <w:rPr>
                <w:rFonts w:hint="eastAsia" w:ascii="宋体" w:hAnsi="宋体" w:cs="宋体"/>
                <w:color w:val="auto"/>
                <w:szCs w:val="21"/>
                <w:highlight w:val="none"/>
              </w:rPr>
              <w:t>9</w:t>
            </w:r>
          </w:p>
        </w:tc>
        <w:tc>
          <w:tcPr>
            <w:tcW w:w="1907" w:type="dxa"/>
            <w:tcBorders>
              <w:tl2br w:val="nil"/>
              <w:tr2bl w:val="nil"/>
            </w:tcBorders>
            <w:shd w:val="clear" w:color="auto" w:fill="FFFFFF" w:themeFill="background1"/>
            <w:vAlign w:val="center"/>
          </w:tcPr>
          <w:p w14:paraId="5B4EF356">
            <w:pPr>
              <w:snapToGrid w:val="0"/>
              <w:jc w:val="center"/>
              <w:rPr>
                <w:rFonts w:ascii="宋体" w:hAnsi="宋体" w:cs="宋体"/>
                <w:color w:val="auto"/>
                <w:szCs w:val="21"/>
                <w:highlight w:val="none"/>
              </w:rPr>
            </w:pPr>
            <w:r>
              <w:rPr>
                <w:rFonts w:hint="eastAsia" w:ascii="宋体" w:hAnsi="宋体" w:cs="宋体"/>
                <w:color w:val="auto"/>
                <w:szCs w:val="21"/>
                <w:highlight w:val="none"/>
              </w:rPr>
              <w:t>节能产品、环境标志产品政府优先采购或强制采购</w:t>
            </w:r>
          </w:p>
        </w:tc>
        <w:tc>
          <w:tcPr>
            <w:tcW w:w="6776" w:type="dxa"/>
            <w:tcBorders>
              <w:tl2br w:val="nil"/>
              <w:tr2bl w:val="nil"/>
            </w:tcBorders>
            <w:shd w:val="clear" w:color="auto" w:fill="FFFFFF" w:themeFill="background1"/>
            <w:vAlign w:val="center"/>
          </w:tcPr>
          <w:p w14:paraId="5AAC2F82">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依据国家确定的认证机构出具的、处于有效期之内的节能产品认证证书，对获得证书的产品实施政府优先采购或强制采购；其中，对</w:t>
            </w:r>
            <w:r>
              <w:rPr>
                <w:rFonts w:hint="eastAsia" w:ascii="宋体" w:hAnsi="宋体" w:cs="宋体"/>
                <w:color w:val="auto"/>
                <w:kern w:val="0"/>
                <w:szCs w:val="21"/>
                <w:highlight w:val="none"/>
                <w:u w:val="single"/>
              </w:rPr>
              <w:t>产品名称****</w:t>
            </w:r>
            <w:r>
              <w:rPr>
                <w:rFonts w:hint="eastAsia" w:ascii="宋体" w:hAnsi="宋体" w:cs="宋体"/>
                <w:color w:val="auto"/>
                <w:kern w:val="0"/>
                <w:szCs w:val="21"/>
                <w:highlight w:val="none"/>
              </w:rPr>
              <w:t>实施政府优先采购，详见</w:t>
            </w:r>
            <w:r>
              <w:rPr>
                <w:rFonts w:hint="eastAsia" w:ascii="宋体" w:hAnsi="宋体" w:cs="宋体"/>
                <w:color w:val="auto"/>
                <w:kern w:val="0"/>
                <w:szCs w:val="21"/>
                <w:highlight w:val="none"/>
                <w:u w:val="single"/>
              </w:rPr>
              <w:t>评分标准</w:t>
            </w:r>
            <w:r>
              <w:rPr>
                <w:rFonts w:hint="eastAsia" w:ascii="宋体" w:hAnsi="宋体" w:cs="宋体"/>
                <w:color w:val="auto"/>
                <w:kern w:val="0"/>
                <w:szCs w:val="21"/>
                <w:highlight w:val="none"/>
              </w:rPr>
              <w:t>；▲对</w:t>
            </w:r>
            <w:r>
              <w:rPr>
                <w:rFonts w:hint="eastAsia" w:ascii="宋体" w:hAnsi="宋体" w:cs="宋体"/>
                <w:color w:val="auto"/>
                <w:kern w:val="0"/>
                <w:szCs w:val="21"/>
                <w:highlight w:val="none"/>
                <w:u w:val="single"/>
              </w:rPr>
              <w:t>产品名称****</w:t>
            </w:r>
            <w:r>
              <w:rPr>
                <w:rFonts w:hint="eastAsia" w:ascii="宋体" w:hAnsi="宋体" w:cs="宋体"/>
                <w:color w:val="auto"/>
                <w:kern w:val="0"/>
                <w:szCs w:val="21"/>
                <w:highlight w:val="none"/>
              </w:rPr>
              <w:t>实施政府强制采购，</w:t>
            </w:r>
            <w:r>
              <w:rPr>
                <w:rFonts w:hint="eastAsia" w:ascii="宋体" w:hAnsi="宋体" w:cs="宋体"/>
                <w:b/>
                <w:bCs/>
                <w:color w:val="auto"/>
                <w:kern w:val="0"/>
                <w:szCs w:val="21"/>
                <w:highlight w:val="none"/>
              </w:rPr>
              <w:t>投标人就相应的投标产品未提供国家确定的认证机构出具的、处于有效期之内的节能产品认证证书的，投标无效。</w:t>
            </w:r>
          </w:p>
          <w:p w14:paraId="67043801">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依据国家确定的认证机构出具的、处于有效期之内的环境标志产品认证证书，对获得证书的</w:t>
            </w:r>
            <w:r>
              <w:rPr>
                <w:rFonts w:hint="eastAsia" w:ascii="宋体" w:hAnsi="宋体" w:cs="宋体"/>
                <w:color w:val="auto"/>
                <w:kern w:val="0"/>
                <w:szCs w:val="21"/>
                <w:highlight w:val="none"/>
                <w:u w:val="single"/>
              </w:rPr>
              <w:t>产品名称****</w:t>
            </w:r>
            <w:r>
              <w:rPr>
                <w:rFonts w:hint="eastAsia" w:ascii="宋体" w:hAnsi="宋体" w:cs="宋体"/>
                <w:color w:val="auto"/>
                <w:kern w:val="0"/>
                <w:szCs w:val="21"/>
                <w:highlight w:val="none"/>
              </w:rPr>
              <w:t>实施政府优先采购，详见</w:t>
            </w:r>
            <w:r>
              <w:rPr>
                <w:rFonts w:hint="eastAsia" w:ascii="宋体" w:hAnsi="宋体" w:cs="宋体"/>
                <w:color w:val="auto"/>
                <w:kern w:val="0"/>
                <w:szCs w:val="21"/>
                <w:highlight w:val="none"/>
                <w:u w:val="single"/>
              </w:rPr>
              <w:t>评分标准</w:t>
            </w:r>
            <w:r>
              <w:rPr>
                <w:rFonts w:hint="eastAsia" w:ascii="宋体" w:hAnsi="宋体" w:cs="宋体"/>
                <w:color w:val="auto"/>
                <w:kern w:val="0"/>
                <w:szCs w:val="21"/>
                <w:highlight w:val="none"/>
              </w:rPr>
              <w:t>。</w:t>
            </w:r>
          </w:p>
          <w:p w14:paraId="533251B6">
            <w:pPr>
              <w:spacing w:line="400" w:lineRule="exact"/>
              <w:rPr>
                <w:rFonts w:ascii="宋体" w:hAnsi="宋体" w:cs="宋体"/>
                <w:b/>
                <w:color w:val="auto"/>
                <w:kern w:val="0"/>
                <w:szCs w:val="21"/>
                <w:highlight w:val="none"/>
              </w:rPr>
            </w:pPr>
            <w:r>
              <w:rPr>
                <w:rFonts w:hint="eastAsia" w:ascii="宋体" w:hAnsi="宋体" w:cs="宋体"/>
                <w:color w:val="auto"/>
                <w:kern w:val="0"/>
                <w:szCs w:val="21"/>
                <w:highlight w:val="none"/>
              </w:rPr>
              <w:sym w:font="Wingdings" w:char="00FE"/>
            </w:r>
            <w:r>
              <w:rPr>
                <w:rFonts w:hint="eastAsia" w:ascii="宋体" w:hAnsi="宋体" w:cs="宋体"/>
                <w:color w:val="auto"/>
                <w:kern w:val="0"/>
                <w:szCs w:val="21"/>
                <w:highlight w:val="none"/>
              </w:rPr>
              <w:t>无。</w:t>
            </w:r>
          </w:p>
        </w:tc>
      </w:tr>
      <w:tr w14:paraId="3F4DE7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tcBorders>
              <w:tl2br w:val="nil"/>
              <w:tr2bl w:val="nil"/>
            </w:tcBorders>
            <w:shd w:val="clear" w:color="auto" w:fill="FFFFFF" w:themeFill="background1"/>
            <w:vAlign w:val="center"/>
          </w:tcPr>
          <w:p w14:paraId="5BD0B527">
            <w:pPr>
              <w:snapToGrid w:val="0"/>
              <w:jc w:val="center"/>
              <w:rPr>
                <w:rFonts w:ascii="宋体" w:hAnsi="宋体" w:cs="宋体"/>
                <w:color w:val="auto"/>
                <w:highlight w:val="none"/>
              </w:rPr>
            </w:pPr>
            <w:r>
              <w:rPr>
                <w:rFonts w:hint="eastAsia" w:ascii="宋体" w:hAnsi="宋体" w:cs="宋体"/>
                <w:color w:val="auto"/>
                <w:szCs w:val="21"/>
                <w:highlight w:val="none"/>
              </w:rPr>
              <w:t>10</w:t>
            </w:r>
          </w:p>
        </w:tc>
        <w:tc>
          <w:tcPr>
            <w:tcW w:w="1907" w:type="dxa"/>
            <w:tcBorders>
              <w:tl2br w:val="nil"/>
              <w:tr2bl w:val="nil"/>
            </w:tcBorders>
            <w:shd w:val="clear" w:color="auto" w:fill="FFFFFF" w:themeFill="background1"/>
            <w:vAlign w:val="center"/>
          </w:tcPr>
          <w:p w14:paraId="301B9269">
            <w:pPr>
              <w:snapToGrid w:val="0"/>
              <w:jc w:val="center"/>
              <w:rPr>
                <w:rFonts w:ascii="宋体" w:hAnsi="宋体" w:cs="宋体"/>
                <w:color w:val="auto"/>
                <w:highlight w:val="none"/>
              </w:rPr>
            </w:pPr>
            <w:r>
              <w:rPr>
                <w:rFonts w:hint="eastAsia" w:ascii="宋体" w:hAnsi="宋体" w:cs="宋体"/>
                <w:color w:val="auto"/>
                <w:szCs w:val="21"/>
                <w:highlight w:val="none"/>
              </w:rPr>
              <w:t>报价要求</w:t>
            </w:r>
          </w:p>
        </w:tc>
        <w:tc>
          <w:tcPr>
            <w:tcW w:w="6776" w:type="dxa"/>
            <w:tcBorders>
              <w:tl2br w:val="nil"/>
              <w:tr2bl w:val="nil"/>
            </w:tcBorders>
            <w:shd w:val="clear" w:color="auto" w:fill="FFFFFF" w:themeFill="background1"/>
            <w:vAlign w:val="center"/>
          </w:tcPr>
          <w:p w14:paraId="59487A6F">
            <w:pPr>
              <w:snapToGrid w:val="0"/>
              <w:spacing w:line="400" w:lineRule="exact"/>
              <w:jc w:val="left"/>
              <w:rPr>
                <w:rFonts w:ascii="宋体" w:hAnsi="宋体" w:cs="宋体"/>
                <w:b/>
                <w:color w:val="auto"/>
                <w:kern w:val="0"/>
                <w:szCs w:val="21"/>
                <w:highlight w:val="none"/>
              </w:rPr>
            </w:pPr>
            <w:r>
              <w:rPr>
                <w:rFonts w:hint="eastAsia" w:ascii="宋体" w:hAnsi="宋体" w:cs="宋体"/>
                <w:b/>
                <w:bCs/>
                <w:color w:val="auto"/>
                <w:szCs w:val="21"/>
                <w:highlight w:val="none"/>
                <w:lang w:val="zh-CN"/>
              </w:rPr>
              <w:t>有关本项目实施所需的所有费用（含税费）均计入报价。投标文件</w:t>
            </w:r>
            <w:r>
              <w:rPr>
                <w:rFonts w:hint="eastAsia" w:ascii="宋体" w:hAnsi="宋体" w:cs="宋体"/>
                <w:b/>
                <w:bCs/>
                <w:color w:val="auto"/>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Cs w:val="21"/>
                <w:highlight w:val="none"/>
                <w:lang w:val="zh-CN"/>
              </w:rPr>
              <w:t>投标文件中价格全部采用人民币报价。招标文件未列明，而投标人认为必需的费用也需列入报价。</w:t>
            </w:r>
            <w:r>
              <w:rPr>
                <w:rFonts w:hint="eastAsia" w:ascii="宋体" w:hAnsi="宋体" w:cs="宋体"/>
                <w:b/>
                <w:bCs/>
                <w:color w:val="auto"/>
                <w:kern w:val="0"/>
                <w:szCs w:val="21"/>
                <w:highlight w:val="none"/>
              </w:rPr>
              <w:t>提醒：验收时检测费用由采购人承担，不包含在投标总价中。</w:t>
            </w:r>
          </w:p>
          <w:p w14:paraId="09229953">
            <w:pPr>
              <w:snapToGrid w:val="0"/>
              <w:spacing w:line="400" w:lineRule="exact"/>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投标报价出现下列情形的，投标无效：</w:t>
            </w:r>
          </w:p>
          <w:p w14:paraId="25132513">
            <w:pPr>
              <w:snapToGrid w:val="0"/>
              <w:spacing w:line="400" w:lineRule="exact"/>
              <w:ind w:firstLine="211" w:firstLineChars="100"/>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投标文件出现不是唯一的、有选择性投标报价的；</w:t>
            </w:r>
          </w:p>
          <w:p w14:paraId="0754C9C5">
            <w:pPr>
              <w:snapToGrid w:val="0"/>
              <w:spacing w:line="400" w:lineRule="exact"/>
              <w:ind w:firstLine="211" w:firstLineChars="100"/>
              <w:jc w:val="left"/>
              <w:rPr>
                <w:rFonts w:ascii="宋体" w:hAnsi="宋体" w:cs="宋体"/>
                <w:color w:val="auto"/>
                <w:kern w:val="0"/>
                <w:szCs w:val="21"/>
                <w:highlight w:val="none"/>
                <w:lang w:val="zh-CN"/>
              </w:rPr>
            </w:pPr>
            <w:r>
              <w:rPr>
                <w:rFonts w:hint="eastAsia" w:ascii="宋体" w:hAnsi="宋体" w:cs="宋体"/>
                <w:b/>
                <w:color w:val="auto"/>
                <w:kern w:val="0"/>
                <w:szCs w:val="21"/>
                <w:highlight w:val="none"/>
                <w:lang w:val="zh-CN"/>
              </w:rPr>
              <w:t>投标报价超过招标文件中规定的预算金额或者最高限价的；</w:t>
            </w:r>
          </w:p>
          <w:p w14:paraId="215ABF26">
            <w:pPr>
              <w:spacing w:line="400" w:lineRule="exact"/>
              <w:ind w:firstLine="211" w:firstLineChars="100"/>
              <w:rPr>
                <w:rFonts w:ascii="宋体" w:hAnsi="宋体" w:cs="宋体"/>
                <w:b/>
                <w:color w:val="auto"/>
                <w:szCs w:val="21"/>
                <w:highlight w:val="none"/>
              </w:rPr>
            </w:pPr>
            <w:r>
              <w:rPr>
                <w:rFonts w:hint="eastAsia" w:ascii="宋体" w:hAnsi="宋体" w:cs="宋体"/>
                <w:b/>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Cs w:val="21"/>
                <w:highlight w:val="none"/>
              </w:rPr>
              <w:t>；</w:t>
            </w:r>
          </w:p>
          <w:p w14:paraId="17CC925F">
            <w:pPr>
              <w:spacing w:line="400" w:lineRule="exact"/>
              <w:ind w:firstLine="211" w:firstLineChars="100"/>
              <w:rPr>
                <w:rFonts w:ascii="宋体" w:hAnsi="宋体" w:cs="宋体"/>
                <w:color w:val="auto"/>
                <w:highlight w:val="none"/>
              </w:rPr>
            </w:pPr>
            <w:r>
              <w:rPr>
                <w:rFonts w:hint="eastAsia" w:ascii="宋体" w:hAnsi="宋体" w:cs="宋体"/>
                <w:b/>
                <w:color w:val="auto"/>
                <w:kern w:val="0"/>
                <w:szCs w:val="21"/>
                <w:highlight w:val="none"/>
              </w:rPr>
              <w:t>投标人对根据修正原则修正后的报价不确认的</w:t>
            </w:r>
            <w:r>
              <w:rPr>
                <w:rFonts w:hint="eastAsia" w:ascii="宋体" w:hAnsi="宋体" w:cs="宋体"/>
                <w:b/>
                <w:color w:val="auto"/>
                <w:szCs w:val="21"/>
                <w:highlight w:val="none"/>
              </w:rPr>
              <w:t>。</w:t>
            </w:r>
          </w:p>
        </w:tc>
      </w:tr>
      <w:tr w14:paraId="58441B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l2br w:val="nil"/>
              <w:tr2bl w:val="nil"/>
            </w:tcBorders>
            <w:shd w:val="clear" w:color="auto" w:fill="FFFFFF" w:themeFill="background1"/>
            <w:vAlign w:val="center"/>
          </w:tcPr>
          <w:p w14:paraId="58FD1185">
            <w:pPr>
              <w:snapToGrid w:val="0"/>
              <w:jc w:val="center"/>
              <w:rPr>
                <w:rFonts w:ascii="宋体" w:hAnsi="宋体" w:cs="宋体"/>
                <w:color w:val="auto"/>
                <w:szCs w:val="21"/>
                <w:highlight w:val="none"/>
              </w:rPr>
            </w:pPr>
            <w:r>
              <w:rPr>
                <w:rFonts w:hint="eastAsia" w:ascii="宋体" w:hAnsi="宋体" w:cs="宋体"/>
                <w:color w:val="auto"/>
                <w:szCs w:val="21"/>
                <w:highlight w:val="none"/>
              </w:rPr>
              <w:t>11</w:t>
            </w:r>
          </w:p>
        </w:tc>
        <w:tc>
          <w:tcPr>
            <w:tcW w:w="1907" w:type="dxa"/>
            <w:tcBorders>
              <w:tl2br w:val="nil"/>
              <w:tr2bl w:val="nil"/>
            </w:tcBorders>
            <w:shd w:val="clear" w:color="auto" w:fill="FFFFFF" w:themeFill="background1"/>
            <w:vAlign w:val="center"/>
          </w:tcPr>
          <w:p w14:paraId="5C3D82FF">
            <w:pPr>
              <w:snapToGrid w:val="0"/>
              <w:jc w:val="center"/>
              <w:rPr>
                <w:rFonts w:ascii="宋体" w:hAnsi="宋体" w:cs="宋体"/>
                <w:color w:val="auto"/>
                <w:szCs w:val="21"/>
                <w:highlight w:val="none"/>
              </w:rPr>
            </w:pPr>
            <w:r>
              <w:rPr>
                <w:rFonts w:hint="eastAsia" w:ascii="宋体" w:hAnsi="宋体" w:cs="宋体"/>
                <w:color w:val="auto"/>
                <w:szCs w:val="21"/>
                <w:highlight w:val="none"/>
              </w:rPr>
              <w:t>中小企业信用融资</w:t>
            </w:r>
          </w:p>
        </w:tc>
        <w:tc>
          <w:tcPr>
            <w:tcW w:w="6776" w:type="dxa"/>
            <w:tcBorders>
              <w:tl2br w:val="nil"/>
              <w:tr2bl w:val="nil"/>
            </w:tcBorders>
            <w:shd w:val="clear" w:color="auto" w:fill="FFFFFF" w:themeFill="background1"/>
            <w:vAlign w:val="center"/>
          </w:tcPr>
          <w:p w14:paraId="2BFABC2E">
            <w:pPr>
              <w:pStyle w:val="5"/>
              <w:wordWrap w:val="0"/>
              <w:spacing w:line="400" w:lineRule="exact"/>
              <w:rPr>
                <w:rFonts w:hAnsi="宋体" w:cs="宋体"/>
                <w:b/>
                <w:color w:val="auto"/>
                <w:highlight w:val="none"/>
              </w:rPr>
            </w:pPr>
            <w:r>
              <w:rPr>
                <w:rFonts w:hint="eastAsia" w:hAnsi="宋体" w:cs="宋体"/>
                <w:snapToGrid/>
                <w:color w:val="auto"/>
                <w:kern w:val="0"/>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1E4F18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tcBorders>
              <w:tl2br w:val="nil"/>
              <w:tr2bl w:val="nil"/>
            </w:tcBorders>
            <w:shd w:val="clear" w:color="auto" w:fill="FFFFFF" w:themeFill="background1"/>
            <w:vAlign w:val="center"/>
          </w:tcPr>
          <w:p w14:paraId="6FB84CF6">
            <w:pPr>
              <w:snapToGrid w:val="0"/>
              <w:jc w:val="center"/>
              <w:rPr>
                <w:rFonts w:ascii="宋体" w:hAnsi="宋体" w:cs="宋体"/>
                <w:color w:val="auto"/>
                <w:highlight w:val="none"/>
              </w:rPr>
            </w:pPr>
            <w:r>
              <w:rPr>
                <w:rFonts w:hint="eastAsia" w:ascii="宋体" w:hAnsi="宋体" w:cs="宋体"/>
                <w:color w:val="auto"/>
                <w:szCs w:val="21"/>
                <w:highlight w:val="none"/>
              </w:rPr>
              <w:t>12</w:t>
            </w:r>
          </w:p>
        </w:tc>
        <w:tc>
          <w:tcPr>
            <w:tcW w:w="1907" w:type="dxa"/>
            <w:tcBorders>
              <w:tl2br w:val="nil"/>
              <w:tr2bl w:val="nil"/>
            </w:tcBorders>
            <w:shd w:val="clear" w:color="auto" w:fill="FFFFFF" w:themeFill="background1"/>
            <w:vAlign w:val="center"/>
          </w:tcPr>
          <w:p w14:paraId="7367A122">
            <w:pPr>
              <w:snapToGrid w:val="0"/>
              <w:jc w:val="center"/>
              <w:rPr>
                <w:rFonts w:ascii="宋体" w:hAnsi="宋体" w:cs="宋体"/>
                <w:color w:val="auto"/>
                <w:highlight w:val="none"/>
              </w:rPr>
            </w:pPr>
            <w:r>
              <w:rPr>
                <w:rFonts w:hint="eastAsia" w:ascii="宋体" w:hAnsi="宋体" w:cs="宋体"/>
                <w:color w:val="auto"/>
                <w:szCs w:val="21"/>
                <w:highlight w:val="none"/>
              </w:rPr>
              <w:t>备份投标文件送达地点和签收人员</w:t>
            </w:r>
          </w:p>
        </w:tc>
        <w:tc>
          <w:tcPr>
            <w:tcW w:w="6776" w:type="dxa"/>
            <w:tcBorders>
              <w:tl2br w:val="nil"/>
              <w:tr2bl w:val="nil"/>
            </w:tcBorders>
            <w:shd w:val="clear" w:color="auto" w:fill="FFFFFF" w:themeFill="background1"/>
            <w:vAlign w:val="center"/>
          </w:tcPr>
          <w:p w14:paraId="25FD0E5B">
            <w:pPr>
              <w:pStyle w:val="5"/>
              <w:spacing w:line="400" w:lineRule="exact"/>
              <w:rPr>
                <w:rFonts w:hAnsi="宋体" w:cs="宋体"/>
                <w:color w:val="auto"/>
                <w:highlight w:val="none"/>
              </w:rPr>
            </w:pPr>
            <w:r>
              <w:rPr>
                <w:rFonts w:hint="eastAsia" w:hAnsi="宋体" w:cs="宋体"/>
                <w:color w:val="auto"/>
                <w:kern w:val="28"/>
                <w:highlight w:val="none"/>
              </w:rPr>
              <w:t>备份投标文件送达地点：</w:t>
            </w:r>
            <w:r>
              <w:rPr>
                <w:rFonts w:hint="eastAsia" w:hAnsi="宋体" w:cs="宋体"/>
                <w:color w:val="auto"/>
                <w:kern w:val="28"/>
                <w:highlight w:val="none"/>
                <w:u w:val="single"/>
              </w:rPr>
              <w:t>嘉兴市秀洲区成秀路205号鼎盛大厦4楼409招标代理部</w:t>
            </w:r>
            <w:r>
              <w:rPr>
                <w:rFonts w:hint="eastAsia" w:hAnsi="宋体" w:cs="宋体"/>
                <w:color w:val="auto"/>
                <w:kern w:val="28"/>
                <w:highlight w:val="none"/>
              </w:rPr>
              <w:t>；备份投标文件签收人员联系电话：</w:t>
            </w:r>
            <w:r>
              <w:rPr>
                <w:rFonts w:hint="eastAsia" w:hAnsi="宋体" w:cs="宋体"/>
                <w:color w:val="auto"/>
                <w:kern w:val="28"/>
                <w:highlight w:val="none"/>
                <w:u w:val="single"/>
                <w:lang w:val="en-US" w:eastAsia="zh-CN"/>
              </w:rPr>
              <w:t>18069691919</w:t>
            </w:r>
            <w:r>
              <w:rPr>
                <w:rFonts w:hint="eastAsia" w:hAnsi="宋体" w:cs="宋体"/>
                <w:color w:val="auto"/>
                <w:kern w:val="28"/>
                <w:highlight w:val="none"/>
              </w:rPr>
              <w:t>。</w:t>
            </w:r>
            <w:r>
              <w:rPr>
                <w:rFonts w:hint="eastAsia" w:hAnsi="宋体" w:cs="宋体"/>
                <w:b/>
                <w:color w:val="auto"/>
                <w:highlight w:val="none"/>
              </w:rPr>
              <w:t>采购人、采购代理机构不强制或变相强制投标人提交备份投标文件。</w:t>
            </w:r>
          </w:p>
        </w:tc>
      </w:tr>
      <w:tr w14:paraId="5977CA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tcBorders>
              <w:tl2br w:val="nil"/>
              <w:tr2bl w:val="nil"/>
            </w:tcBorders>
            <w:shd w:val="clear" w:color="auto" w:fill="FFFFFF" w:themeFill="background1"/>
            <w:vAlign w:val="center"/>
          </w:tcPr>
          <w:p w14:paraId="7EFCA88D">
            <w:pPr>
              <w:snapToGrid w:val="0"/>
              <w:jc w:val="center"/>
              <w:rPr>
                <w:rFonts w:ascii="宋体" w:hAnsi="宋体" w:cs="宋体"/>
                <w:color w:val="auto"/>
                <w:szCs w:val="21"/>
                <w:highlight w:val="none"/>
              </w:rPr>
            </w:pPr>
            <w:r>
              <w:rPr>
                <w:rFonts w:hint="eastAsia" w:ascii="宋体" w:hAnsi="宋体" w:cs="宋体"/>
                <w:color w:val="auto"/>
                <w:szCs w:val="21"/>
                <w:highlight w:val="none"/>
              </w:rPr>
              <w:t>13</w:t>
            </w:r>
          </w:p>
        </w:tc>
        <w:tc>
          <w:tcPr>
            <w:tcW w:w="1907" w:type="dxa"/>
            <w:tcBorders>
              <w:tl2br w:val="nil"/>
              <w:tr2bl w:val="nil"/>
            </w:tcBorders>
            <w:shd w:val="clear" w:color="auto" w:fill="FFFFFF" w:themeFill="background1"/>
            <w:vAlign w:val="center"/>
          </w:tcPr>
          <w:p w14:paraId="7CFED6C6">
            <w:pPr>
              <w:snapToGrid w:val="0"/>
              <w:jc w:val="center"/>
              <w:rPr>
                <w:rFonts w:ascii="宋体" w:hAnsi="宋体" w:cs="宋体"/>
                <w:color w:val="auto"/>
                <w:szCs w:val="21"/>
                <w:highlight w:val="none"/>
              </w:rPr>
            </w:pPr>
            <w:r>
              <w:rPr>
                <w:rFonts w:hint="eastAsia" w:ascii="宋体" w:hAnsi="宋体" w:cs="宋体"/>
                <w:color w:val="auto"/>
                <w:szCs w:val="21"/>
                <w:highlight w:val="none"/>
              </w:rPr>
              <w:t>采购代理机构代理服务费用</w:t>
            </w:r>
          </w:p>
        </w:tc>
        <w:tc>
          <w:tcPr>
            <w:tcW w:w="6776" w:type="dxa"/>
            <w:tcBorders>
              <w:tl2br w:val="nil"/>
              <w:tr2bl w:val="nil"/>
            </w:tcBorders>
            <w:shd w:val="clear" w:color="auto" w:fill="FFFFFF" w:themeFill="background1"/>
            <w:vAlign w:val="center"/>
          </w:tcPr>
          <w:p w14:paraId="2B131461">
            <w:pPr>
              <w:pStyle w:val="5"/>
              <w:spacing w:line="400" w:lineRule="exact"/>
              <w:contextualSpacing/>
              <w:rPr>
                <w:rFonts w:hAnsi="宋体" w:cs="宋体"/>
                <w:color w:val="auto"/>
                <w:highlight w:val="none"/>
              </w:rPr>
            </w:pPr>
            <w:r>
              <w:rPr>
                <w:rFonts w:hint="eastAsia" w:hAnsi="宋体" w:cs="宋体"/>
                <w:color w:val="auto"/>
                <w:highlight w:val="none"/>
              </w:rPr>
              <w:t>1.根据“国家发展和改革委员会办公厅《关于招标代理服务收费有关问题的通知》（发改办价格【2003】857号、财库【2018】2号第十五条）”规定，招标代理机构向中标人收取招标代理服务费；</w:t>
            </w:r>
          </w:p>
          <w:p w14:paraId="0C44E7DE">
            <w:pPr>
              <w:pStyle w:val="5"/>
              <w:spacing w:line="400" w:lineRule="exact"/>
              <w:contextualSpacing/>
              <w:rPr>
                <w:rFonts w:hAnsi="宋体" w:cs="宋体"/>
                <w:color w:val="auto"/>
                <w:highlight w:val="none"/>
              </w:rPr>
            </w:pPr>
            <w:r>
              <w:rPr>
                <w:rFonts w:hint="eastAsia" w:hAnsi="宋体" w:cs="宋体"/>
                <w:color w:val="auto"/>
                <w:highlight w:val="none"/>
              </w:rPr>
              <w:t>2.中标人应在收取《中标通知书》时向采购代理机构交纳招标代理服务费，服务费的收费标准按计价【2002】1980号文规定计算；</w:t>
            </w:r>
          </w:p>
          <w:p w14:paraId="45976C80">
            <w:pPr>
              <w:pStyle w:val="5"/>
              <w:spacing w:line="400" w:lineRule="exact"/>
              <w:contextualSpacing/>
              <w:rPr>
                <w:rFonts w:hAnsi="宋体" w:cs="宋体"/>
                <w:color w:val="auto"/>
                <w:highlight w:val="none"/>
              </w:rPr>
            </w:pPr>
            <w:r>
              <w:rPr>
                <w:rFonts w:hint="eastAsia" w:hAnsi="宋体" w:cs="宋体"/>
                <w:color w:val="auto"/>
                <w:highlight w:val="none"/>
              </w:rPr>
              <w:t>3.本项目以</w:t>
            </w:r>
            <w:r>
              <w:rPr>
                <w:rFonts w:hint="eastAsia" w:hAnsi="宋体" w:cs="宋体"/>
                <w:color w:val="auto"/>
                <w:highlight w:val="none"/>
                <w:u w:val="single"/>
              </w:rPr>
              <w:t xml:space="preserve"> 服务类 </w:t>
            </w:r>
            <w:r>
              <w:rPr>
                <w:rFonts w:hint="eastAsia" w:hAnsi="宋体" w:cs="宋体"/>
                <w:color w:val="auto"/>
                <w:highlight w:val="none"/>
              </w:rPr>
              <w:t>招标收费标准收取中标服务费，对于招标代理服务费不足6000元的按6000元计取招标代理服务费；</w:t>
            </w:r>
          </w:p>
          <w:p w14:paraId="37B4C03D">
            <w:pPr>
              <w:pStyle w:val="5"/>
              <w:spacing w:line="400" w:lineRule="exact"/>
              <w:contextualSpacing/>
              <w:rPr>
                <w:rFonts w:hAnsi="宋体" w:cs="宋体"/>
                <w:color w:val="auto"/>
                <w:highlight w:val="none"/>
              </w:rPr>
            </w:pPr>
            <w:r>
              <w:rPr>
                <w:rFonts w:hint="eastAsia" w:hAnsi="宋体" w:cs="宋体"/>
                <w:color w:val="auto"/>
                <w:highlight w:val="none"/>
              </w:rPr>
              <w:t>4.服务费的货币为人民币；</w:t>
            </w:r>
          </w:p>
          <w:p w14:paraId="7BA3A60F">
            <w:pPr>
              <w:pStyle w:val="5"/>
              <w:spacing w:line="400" w:lineRule="exact"/>
              <w:contextualSpacing/>
              <w:rPr>
                <w:rFonts w:hAnsi="宋体" w:cs="宋体"/>
                <w:color w:val="auto"/>
                <w:highlight w:val="none"/>
              </w:rPr>
            </w:pPr>
            <w:r>
              <w:rPr>
                <w:rFonts w:hint="eastAsia" w:hAnsi="宋体" w:cs="宋体"/>
                <w:color w:val="auto"/>
                <w:highlight w:val="none"/>
              </w:rPr>
              <w:t>5.服务费支付方式：一次性以银行划账、电汇、汇票或支票的形式支付；</w:t>
            </w:r>
          </w:p>
          <w:p w14:paraId="490A20F3">
            <w:pPr>
              <w:pStyle w:val="5"/>
              <w:spacing w:line="400" w:lineRule="exact"/>
              <w:contextualSpacing/>
              <w:rPr>
                <w:rFonts w:hAnsi="宋体" w:cs="宋体"/>
                <w:color w:val="auto"/>
                <w:highlight w:val="none"/>
              </w:rPr>
            </w:pPr>
            <w:r>
              <w:rPr>
                <w:rFonts w:hint="eastAsia" w:hAnsi="宋体" w:cs="宋体"/>
                <w:color w:val="auto"/>
                <w:highlight w:val="none"/>
              </w:rPr>
              <w:t>6.服务费以银行划账方式按下列要求提交：</w:t>
            </w:r>
          </w:p>
          <w:p w14:paraId="21C54F66">
            <w:pPr>
              <w:pStyle w:val="5"/>
              <w:spacing w:line="400" w:lineRule="exact"/>
              <w:contextualSpacing/>
              <w:rPr>
                <w:rFonts w:hAnsi="宋体" w:cs="宋体"/>
                <w:color w:val="auto"/>
                <w:highlight w:val="none"/>
              </w:rPr>
            </w:pPr>
            <w:r>
              <w:rPr>
                <w:rFonts w:hint="eastAsia" w:hAnsi="宋体" w:cs="宋体"/>
                <w:color w:val="auto"/>
                <w:highlight w:val="none"/>
              </w:rPr>
              <w:t>收款人：</w:t>
            </w:r>
            <w:r>
              <w:rPr>
                <w:rFonts w:hint="eastAsia" w:ascii="宋体" w:hAnsi="宋体" w:eastAsia="宋体" w:cs="宋体"/>
                <w:color w:val="auto"/>
                <w:highlight w:val="none"/>
              </w:rPr>
              <w:t>浙江槿阳建设管理有限公司</w:t>
            </w:r>
          </w:p>
          <w:p w14:paraId="34C79272">
            <w:pPr>
              <w:pStyle w:val="5"/>
              <w:spacing w:line="400" w:lineRule="exact"/>
              <w:contextualSpacing/>
              <w:rPr>
                <w:rFonts w:hAnsi="宋体" w:cs="宋体"/>
                <w:color w:val="auto"/>
                <w:highlight w:val="none"/>
              </w:rPr>
            </w:pPr>
            <w:r>
              <w:rPr>
                <w:rFonts w:hint="eastAsia" w:hAnsi="宋体" w:cs="宋体"/>
                <w:color w:val="auto"/>
                <w:highlight w:val="none"/>
              </w:rPr>
              <w:t>户名：</w:t>
            </w:r>
            <w:r>
              <w:rPr>
                <w:rFonts w:hint="eastAsia" w:ascii="宋体" w:hAnsi="宋体" w:eastAsia="宋体" w:cs="宋体"/>
                <w:color w:val="auto"/>
                <w:highlight w:val="none"/>
              </w:rPr>
              <w:t>浙江槿阳建设管理有限公司</w:t>
            </w:r>
          </w:p>
          <w:p w14:paraId="39F75418">
            <w:pPr>
              <w:pStyle w:val="5"/>
              <w:spacing w:line="400" w:lineRule="exact"/>
              <w:contextualSpacing/>
              <w:rPr>
                <w:rFonts w:hAnsi="宋体" w:cs="宋体"/>
                <w:color w:val="auto"/>
                <w:highlight w:val="none"/>
              </w:rPr>
            </w:pPr>
            <w:r>
              <w:rPr>
                <w:rFonts w:hint="eastAsia" w:hAnsi="宋体" w:cs="宋体"/>
                <w:color w:val="auto"/>
                <w:highlight w:val="none"/>
              </w:rPr>
              <w:t>开户银行：</w:t>
            </w:r>
            <w:r>
              <w:rPr>
                <w:rFonts w:hint="eastAsia" w:ascii="宋体" w:hAnsi="宋体" w:eastAsia="宋体" w:cs="宋体"/>
                <w:color w:val="auto"/>
                <w:highlight w:val="none"/>
              </w:rPr>
              <w:t>中国建设银行股份有限公司嘉兴秀洲支行</w:t>
            </w:r>
          </w:p>
          <w:p w14:paraId="5E24F0D3">
            <w:pPr>
              <w:pStyle w:val="5"/>
              <w:spacing w:line="400" w:lineRule="exact"/>
              <w:contextualSpacing/>
              <w:rPr>
                <w:rFonts w:hAnsi="宋体" w:cs="宋体"/>
                <w:color w:val="auto"/>
                <w:highlight w:val="none"/>
              </w:rPr>
            </w:pPr>
            <w:r>
              <w:rPr>
                <w:rFonts w:hint="eastAsia" w:hAnsi="宋体" w:cs="宋体"/>
                <w:color w:val="auto"/>
                <w:highlight w:val="none"/>
              </w:rPr>
              <w:t>账号：</w:t>
            </w:r>
            <w:r>
              <w:rPr>
                <w:rFonts w:hint="eastAsia" w:ascii="宋体" w:hAnsi="宋体" w:eastAsia="宋体" w:cs="宋体"/>
                <w:color w:val="auto"/>
                <w:highlight w:val="none"/>
              </w:rPr>
              <w:t>33050163803500001451</w:t>
            </w:r>
          </w:p>
          <w:p w14:paraId="37BA1067">
            <w:pPr>
              <w:pStyle w:val="5"/>
              <w:spacing w:line="400" w:lineRule="exact"/>
              <w:contextualSpacing/>
              <w:rPr>
                <w:rFonts w:hAnsi="宋体" w:cs="宋体"/>
                <w:color w:val="auto"/>
                <w:highlight w:val="none"/>
              </w:rPr>
            </w:pPr>
            <w:r>
              <w:rPr>
                <w:rFonts w:hint="eastAsia" w:hAnsi="宋体" w:cs="宋体"/>
                <w:color w:val="auto"/>
                <w:highlight w:val="none"/>
              </w:rPr>
              <w:t>7.服务费支付时间：服务费必须在中标人领取《中标通知书》时一次性付清，如果中标人未能按时交纳服务费，采购代理机构/采购人保留取消其中标资格并追究其法律责任的权利；</w:t>
            </w:r>
          </w:p>
          <w:p w14:paraId="13A2B430">
            <w:pPr>
              <w:pStyle w:val="5"/>
              <w:spacing w:line="400" w:lineRule="exact"/>
              <w:contextualSpacing/>
              <w:rPr>
                <w:rFonts w:hAnsi="宋体" w:cs="宋体"/>
                <w:color w:val="auto"/>
                <w:kern w:val="28"/>
                <w:highlight w:val="none"/>
              </w:rPr>
            </w:pPr>
            <w:r>
              <w:rPr>
                <w:rFonts w:hint="eastAsia" w:hAnsi="宋体" w:cs="宋体"/>
                <w:color w:val="auto"/>
                <w:highlight w:val="none"/>
              </w:rPr>
              <w:t>8.服务费不在投标报价中单列。</w:t>
            </w:r>
          </w:p>
        </w:tc>
      </w:tr>
      <w:tr w14:paraId="68D4E6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9" w:hRule="exact"/>
          <w:jc w:val="center"/>
        </w:trPr>
        <w:tc>
          <w:tcPr>
            <w:tcW w:w="729" w:type="dxa"/>
            <w:vMerge w:val="restart"/>
            <w:tcBorders>
              <w:tl2br w:val="nil"/>
              <w:tr2bl w:val="nil"/>
            </w:tcBorders>
            <w:shd w:val="clear" w:color="auto" w:fill="FFFFFF" w:themeFill="background1"/>
            <w:vAlign w:val="center"/>
          </w:tcPr>
          <w:p w14:paraId="7EDACAC7">
            <w:pPr>
              <w:snapToGrid w:val="0"/>
              <w:jc w:val="center"/>
              <w:rPr>
                <w:rFonts w:ascii="宋体" w:hAnsi="宋体" w:cs="宋体"/>
                <w:color w:val="auto"/>
                <w:szCs w:val="21"/>
                <w:highlight w:val="none"/>
              </w:rPr>
            </w:pPr>
            <w:r>
              <w:rPr>
                <w:rFonts w:hint="eastAsia" w:ascii="宋体" w:hAnsi="宋体" w:cs="宋体"/>
                <w:color w:val="auto"/>
                <w:szCs w:val="21"/>
                <w:highlight w:val="none"/>
              </w:rPr>
              <w:t>14</w:t>
            </w:r>
          </w:p>
        </w:tc>
        <w:tc>
          <w:tcPr>
            <w:tcW w:w="1907" w:type="dxa"/>
            <w:vMerge w:val="restart"/>
            <w:tcBorders>
              <w:tl2br w:val="nil"/>
              <w:tr2bl w:val="nil"/>
            </w:tcBorders>
            <w:shd w:val="clear" w:color="auto" w:fill="FFFFFF" w:themeFill="background1"/>
            <w:vAlign w:val="center"/>
          </w:tcPr>
          <w:p w14:paraId="15254774">
            <w:pPr>
              <w:snapToGrid w:val="0"/>
              <w:jc w:val="center"/>
              <w:rPr>
                <w:rFonts w:ascii="宋体" w:hAnsi="宋体" w:cs="宋体"/>
                <w:color w:val="auto"/>
                <w:szCs w:val="21"/>
                <w:highlight w:val="none"/>
              </w:rPr>
            </w:pPr>
            <w:r>
              <w:rPr>
                <w:rFonts w:hint="eastAsia" w:ascii="宋体" w:hAnsi="宋体" w:cs="宋体"/>
                <w:color w:val="auto"/>
                <w:szCs w:val="21"/>
                <w:highlight w:val="none"/>
              </w:rPr>
              <w:t>特别说明</w:t>
            </w:r>
          </w:p>
        </w:tc>
        <w:tc>
          <w:tcPr>
            <w:tcW w:w="6776" w:type="dxa"/>
            <w:tcBorders>
              <w:tl2br w:val="nil"/>
              <w:tr2bl w:val="nil"/>
            </w:tcBorders>
            <w:shd w:val="clear" w:color="auto" w:fill="FFFFFF" w:themeFill="background1"/>
            <w:vAlign w:val="center"/>
          </w:tcPr>
          <w:p w14:paraId="1146D3D1">
            <w:pPr>
              <w:spacing w:line="400" w:lineRule="exact"/>
              <w:rPr>
                <w:rFonts w:ascii="宋体" w:hAnsi="宋体" w:cs="宋体"/>
                <w:color w:val="auto"/>
                <w:kern w:val="28"/>
                <w:szCs w:val="21"/>
                <w:highlight w:val="none"/>
              </w:rPr>
            </w:pPr>
            <w:r>
              <w:rPr>
                <w:rFonts w:hint="eastAsia" w:ascii="宋体" w:hAnsi="宋体" w:cs="宋体"/>
                <w:color w:val="auto"/>
                <w:kern w:val="28"/>
                <w:szCs w:val="21"/>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42DA91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04" w:hRule="exact"/>
          <w:jc w:val="center"/>
        </w:trPr>
        <w:tc>
          <w:tcPr>
            <w:tcW w:w="729" w:type="dxa"/>
            <w:vMerge w:val="continue"/>
            <w:tcBorders>
              <w:tl2br w:val="nil"/>
              <w:tr2bl w:val="nil"/>
            </w:tcBorders>
            <w:shd w:val="clear" w:color="auto" w:fill="FFFFFF" w:themeFill="background1"/>
            <w:vAlign w:val="center"/>
          </w:tcPr>
          <w:p w14:paraId="3FB0C326">
            <w:pPr>
              <w:snapToGrid w:val="0"/>
              <w:jc w:val="center"/>
              <w:rPr>
                <w:rFonts w:ascii="宋体" w:hAnsi="宋体" w:cs="宋体"/>
                <w:color w:val="auto"/>
                <w:szCs w:val="21"/>
                <w:highlight w:val="none"/>
              </w:rPr>
            </w:pPr>
            <w:bookmarkStart w:id="11" w:name="_Toc164416483"/>
            <w:bookmarkStart w:id="12" w:name="第三部分"/>
          </w:p>
        </w:tc>
        <w:tc>
          <w:tcPr>
            <w:tcW w:w="1907" w:type="dxa"/>
            <w:vMerge w:val="continue"/>
            <w:tcBorders>
              <w:tl2br w:val="nil"/>
              <w:tr2bl w:val="nil"/>
            </w:tcBorders>
            <w:shd w:val="clear" w:color="auto" w:fill="FFFFFF" w:themeFill="background1"/>
            <w:vAlign w:val="center"/>
          </w:tcPr>
          <w:p w14:paraId="543ACC8E">
            <w:pPr>
              <w:snapToGrid w:val="0"/>
              <w:jc w:val="center"/>
              <w:rPr>
                <w:rFonts w:ascii="宋体" w:hAnsi="宋体" w:cs="宋体"/>
                <w:color w:val="auto"/>
                <w:szCs w:val="21"/>
                <w:highlight w:val="none"/>
              </w:rPr>
            </w:pPr>
          </w:p>
        </w:tc>
        <w:tc>
          <w:tcPr>
            <w:tcW w:w="6776" w:type="dxa"/>
            <w:tcBorders>
              <w:tl2br w:val="nil"/>
              <w:tr2bl w:val="nil"/>
            </w:tcBorders>
            <w:shd w:val="clear" w:color="auto" w:fill="FFFFFF" w:themeFill="background1"/>
            <w:vAlign w:val="center"/>
          </w:tcPr>
          <w:p w14:paraId="5F975C59">
            <w:pPr>
              <w:spacing w:line="400" w:lineRule="exact"/>
              <w:rPr>
                <w:rFonts w:ascii="宋体" w:hAnsi="宋体" w:cs="宋体"/>
                <w:color w:val="auto"/>
                <w:kern w:val="28"/>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kern w:val="28"/>
                <w:szCs w:val="21"/>
                <w:highlight w:val="none"/>
              </w:rPr>
              <w:t>联合体投标的，联合体各方均需按招标文件第四部分评标标准要求提供资信证明文件，否则视为不符合相关要求。招标文件第四部分评分标准有其他规定的，从其规定。</w:t>
            </w:r>
          </w:p>
          <w:p w14:paraId="7F5299AE">
            <w:pPr>
              <w:spacing w:line="400" w:lineRule="exact"/>
              <w:rPr>
                <w:rFonts w:ascii="宋体" w:hAnsi="宋体" w:cs="宋体"/>
                <w:color w:val="auto"/>
                <w:kern w:val="28"/>
                <w:szCs w:val="21"/>
                <w:highlight w:val="none"/>
              </w:rPr>
            </w:pPr>
            <w:sdt>
              <w:sdtPr>
                <w:rPr>
                  <w:rFonts w:hint="eastAsia" w:ascii="宋体" w:hAnsi="宋体" w:cs="宋体"/>
                  <w:color w:val="auto"/>
                  <w:kern w:val="0"/>
                  <w:szCs w:val="21"/>
                  <w:highlight w:val="none"/>
                </w:rPr>
                <w:id w:val="-1639946486"/>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r>
              <w:rPr>
                <w:rFonts w:hint="eastAsia" w:ascii="宋体" w:hAnsi="宋体" w:cs="宋体"/>
                <w:color w:val="auto"/>
                <w:kern w:val="28"/>
                <w:szCs w:val="21"/>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13E1B2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4" w:hRule="exact"/>
          <w:jc w:val="center"/>
        </w:trPr>
        <w:tc>
          <w:tcPr>
            <w:tcW w:w="729" w:type="dxa"/>
            <w:vMerge w:val="continue"/>
            <w:tcBorders>
              <w:tl2br w:val="nil"/>
              <w:tr2bl w:val="nil"/>
            </w:tcBorders>
            <w:shd w:val="clear" w:color="auto" w:fill="FFFFFF" w:themeFill="background1"/>
            <w:vAlign w:val="center"/>
          </w:tcPr>
          <w:p w14:paraId="6889C4C3">
            <w:pPr>
              <w:snapToGrid w:val="0"/>
              <w:jc w:val="center"/>
              <w:rPr>
                <w:rFonts w:ascii="宋体" w:hAnsi="宋体" w:cs="宋体"/>
                <w:color w:val="auto"/>
                <w:szCs w:val="21"/>
                <w:highlight w:val="none"/>
              </w:rPr>
            </w:pPr>
          </w:p>
        </w:tc>
        <w:tc>
          <w:tcPr>
            <w:tcW w:w="1907" w:type="dxa"/>
            <w:vMerge w:val="continue"/>
            <w:tcBorders>
              <w:tl2br w:val="nil"/>
              <w:tr2bl w:val="nil"/>
            </w:tcBorders>
            <w:shd w:val="clear" w:color="auto" w:fill="FFFFFF" w:themeFill="background1"/>
            <w:vAlign w:val="center"/>
          </w:tcPr>
          <w:p w14:paraId="5187DC02">
            <w:pPr>
              <w:snapToGrid w:val="0"/>
              <w:jc w:val="center"/>
              <w:rPr>
                <w:rFonts w:ascii="宋体" w:hAnsi="宋体" w:cs="宋体"/>
                <w:color w:val="auto"/>
                <w:szCs w:val="21"/>
                <w:highlight w:val="none"/>
              </w:rPr>
            </w:pPr>
          </w:p>
        </w:tc>
        <w:tc>
          <w:tcPr>
            <w:tcW w:w="6776" w:type="dxa"/>
            <w:tcBorders>
              <w:tl2br w:val="nil"/>
              <w:tr2bl w:val="nil"/>
            </w:tcBorders>
            <w:shd w:val="clear" w:color="auto" w:fill="FFFFFF" w:themeFill="background1"/>
            <w:vAlign w:val="center"/>
          </w:tcPr>
          <w:p w14:paraId="64C679EC">
            <w:pPr>
              <w:spacing w:line="400" w:lineRule="exact"/>
              <w:rPr>
                <w:rFonts w:ascii="宋体" w:hAnsi="宋体" w:cs="宋体"/>
                <w:color w:val="auto"/>
                <w:kern w:val="0"/>
                <w:szCs w:val="21"/>
                <w:highlight w:val="none"/>
              </w:rPr>
            </w:pPr>
            <w:r>
              <w:rPr>
                <w:rFonts w:hint="eastAsia" w:ascii="宋体" w:hAnsi="宋体" w:cs="宋体"/>
                <w:b/>
                <w:bCs/>
                <w:color w:val="auto"/>
                <w:kern w:val="0"/>
                <w:szCs w:val="21"/>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7ED3EC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3" w:hRule="exact"/>
          <w:jc w:val="center"/>
        </w:trPr>
        <w:tc>
          <w:tcPr>
            <w:tcW w:w="729" w:type="dxa"/>
            <w:vMerge w:val="continue"/>
            <w:tcBorders>
              <w:tl2br w:val="nil"/>
              <w:tr2bl w:val="nil"/>
            </w:tcBorders>
            <w:shd w:val="clear" w:color="auto" w:fill="FFFFFF" w:themeFill="background1"/>
            <w:vAlign w:val="center"/>
          </w:tcPr>
          <w:p w14:paraId="11805D9A">
            <w:pPr>
              <w:snapToGrid w:val="0"/>
              <w:jc w:val="center"/>
              <w:rPr>
                <w:rFonts w:ascii="宋体" w:hAnsi="宋体" w:cs="宋体"/>
                <w:color w:val="auto"/>
                <w:szCs w:val="21"/>
                <w:highlight w:val="none"/>
              </w:rPr>
            </w:pPr>
          </w:p>
        </w:tc>
        <w:tc>
          <w:tcPr>
            <w:tcW w:w="1907" w:type="dxa"/>
            <w:vMerge w:val="continue"/>
            <w:tcBorders>
              <w:tl2br w:val="nil"/>
              <w:tr2bl w:val="nil"/>
            </w:tcBorders>
            <w:shd w:val="clear" w:color="auto" w:fill="FFFFFF" w:themeFill="background1"/>
            <w:vAlign w:val="center"/>
          </w:tcPr>
          <w:p w14:paraId="225220AB">
            <w:pPr>
              <w:snapToGrid w:val="0"/>
              <w:jc w:val="center"/>
              <w:rPr>
                <w:rFonts w:ascii="宋体" w:hAnsi="宋体" w:cs="宋体"/>
                <w:color w:val="auto"/>
                <w:szCs w:val="21"/>
                <w:highlight w:val="none"/>
              </w:rPr>
            </w:pPr>
          </w:p>
        </w:tc>
        <w:tc>
          <w:tcPr>
            <w:tcW w:w="6776" w:type="dxa"/>
            <w:tcBorders>
              <w:tl2br w:val="nil"/>
              <w:tr2bl w:val="nil"/>
            </w:tcBorders>
            <w:shd w:val="clear" w:color="auto" w:fill="FFFFFF" w:themeFill="background1"/>
            <w:vAlign w:val="center"/>
          </w:tcPr>
          <w:p w14:paraId="61D19F4A">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本项目评审报告推荐的中标候选人数量：</w:t>
            </w:r>
            <w:r>
              <w:rPr>
                <w:rFonts w:hint="eastAsia" w:ascii="宋体" w:hAnsi="宋体" w:cs="宋体"/>
                <w:color w:val="auto"/>
                <w:kern w:val="0"/>
                <w:szCs w:val="21"/>
                <w:highlight w:val="none"/>
                <w:u w:val="single"/>
              </w:rPr>
              <w:t xml:space="preserve"> 1 </w:t>
            </w:r>
            <w:r>
              <w:rPr>
                <w:rFonts w:hint="eastAsia" w:ascii="宋体" w:hAnsi="宋体" w:cs="宋体"/>
                <w:color w:val="auto"/>
                <w:kern w:val="0"/>
                <w:szCs w:val="21"/>
                <w:highlight w:val="none"/>
              </w:rPr>
              <w:t>。</w:t>
            </w:r>
          </w:p>
          <w:p w14:paraId="7432E76D">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推荐</w:t>
            </w:r>
            <w:r>
              <w:rPr>
                <w:rFonts w:hint="eastAsia" w:ascii="宋体" w:hAnsi="宋体" w:cs="宋体"/>
                <w:color w:val="auto"/>
                <w:kern w:val="0"/>
                <w:szCs w:val="21"/>
                <w:highlight w:val="none"/>
              </w:rPr>
              <w:t>的中标候选人放弃中标、因不可抗力不能履行合同、不按照招标文件要求提交履约保证金担保，或者被查实存在影响中标结果的违法行为等情形，不符合中标条件的，招标人将：</w:t>
            </w:r>
          </w:p>
          <w:p w14:paraId="0A252898">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重新招标</w:t>
            </w:r>
          </w:p>
          <w:p w14:paraId="55295D5D">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sym w:font="Wingdings 2" w:char="0052"/>
            </w:r>
            <w:r>
              <w:rPr>
                <w:rFonts w:hint="eastAsia" w:ascii="宋体" w:hAnsi="宋体" w:cs="宋体"/>
                <w:color w:val="auto"/>
                <w:kern w:val="0"/>
                <w:szCs w:val="21"/>
                <w:highlight w:val="none"/>
              </w:rPr>
              <w:t>按中标候选人名单排序依次确定其他中标候选人为中标人</w:t>
            </w:r>
          </w:p>
        </w:tc>
      </w:tr>
      <w:bookmarkEnd w:id="10"/>
    </w:tbl>
    <w:p w14:paraId="1E5003AD">
      <w:pPr>
        <w:adjustRightInd/>
        <w:spacing w:before="240" w:beforeLines="100" w:after="240" w:afterLines="100"/>
        <w:jc w:val="center"/>
        <w:outlineLvl w:val="0"/>
        <w:rPr>
          <w:rFonts w:ascii="宋体" w:hAnsi="宋体" w:cs="宋体"/>
          <w:b/>
          <w:color w:val="auto"/>
          <w:sz w:val="36"/>
          <w:szCs w:val="21"/>
          <w:highlight w:val="none"/>
        </w:rPr>
      </w:pPr>
    </w:p>
    <w:p w14:paraId="62292B53">
      <w:pPr>
        <w:adjustRightInd/>
        <w:spacing w:before="240" w:beforeLines="100" w:after="240" w:afterLines="100"/>
        <w:jc w:val="center"/>
        <w:outlineLvl w:val="0"/>
        <w:rPr>
          <w:rFonts w:ascii="宋体" w:hAnsi="宋体" w:cs="宋体"/>
          <w:b/>
          <w:color w:val="auto"/>
          <w:sz w:val="36"/>
          <w:szCs w:val="21"/>
          <w:highlight w:val="none"/>
        </w:rPr>
      </w:pPr>
    </w:p>
    <w:p w14:paraId="07CA5DDB">
      <w:pPr>
        <w:adjustRightInd/>
        <w:spacing w:before="240" w:beforeLines="100" w:after="240" w:afterLines="100"/>
        <w:jc w:val="center"/>
        <w:outlineLvl w:val="0"/>
        <w:rPr>
          <w:rFonts w:ascii="宋体" w:hAnsi="宋体" w:cs="宋体"/>
          <w:b/>
          <w:color w:val="auto"/>
          <w:sz w:val="36"/>
          <w:szCs w:val="21"/>
          <w:highlight w:val="none"/>
        </w:rPr>
      </w:pPr>
    </w:p>
    <w:p w14:paraId="19F9FF9C">
      <w:pPr>
        <w:adjustRightInd/>
        <w:spacing w:before="240" w:beforeLines="100" w:after="240" w:afterLines="100"/>
        <w:jc w:val="center"/>
        <w:outlineLvl w:val="0"/>
        <w:rPr>
          <w:rFonts w:ascii="宋体" w:hAnsi="宋体" w:cs="宋体"/>
          <w:b/>
          <w:color w:val="auto"/>
          <w:sz w:val="36"/>
          <w:szCs w:val="21"/>
          <w:highlight w:val="none"/>
        </w:rPr>
      </w:pPr>
    </w:p>
    <w:p w14:paraId="29C9CF01">
      <w:pPr>
        <w:adjustRightInd/>
        <w:spacing w:before="240" w:beforeLines="100" w:after="240" w:afterLines="100"/>
        <w:jc w:val="center"/>
        <w:outlineLvl w:val="0"/>
        <w:rPr>
          <w:rFonts w:ascii="宋体" w:hAnsi="宋体" w:cs="宋体"/>
          <w:b/>
          <w:color w:val="auto"/>
          <w:sz w:val="36"/>
          <w:szCs w:val="21"/>
          <w:highlight w:val="none"/>
        </w:rPr>
      </w:pPr>
    </w:p>
    <w:p w14:paraId="58EE931A">
      <w:pPr>
        <w:adjustRightInd/>
        <w:spacing w:before="240" w:beforeLines="100" w:after="240" w:afterLines="100"/>
        <w:jc w:val="center"/>
        <w:outlineLvl w:val="0"/>
        <w:rPr>
          <w:rFonts w:ascii="宋体" w:hAnsi="宋体" w:cs="宋体"/>
          <w:b/>
          <w:color w:val="auto"/>
          <w:sz w:val="36"/>
          <w:szCs w:val="21"/>
          <w:highlight w:val="none"/>
        </w:rPr>
      </w:pPr>
    </w:p>
    <w:p w14:paraId="50548CA6">
      <w:pPr>
        <w:adjustRightInd/>
        <w:spacing w:before="240" w:beforeLines="100" w:after="240" w:afterLines="100"/>
        <w:jc w:val="center"/>
        <w:outlineLvl w:val="0"/>
        <w:rPr>
          <w:rFonts w:ascii="宋体" w:hAnsi="宋体" w:cs="宋体"/>
          <w:b/>
          <w:color w:val="auto"/>
          <w:sz w:val="36"/>
          <w:szCs w:val="21"/>
          <w:highlight w:val="none"/>
        </w:rPr>
      </w:pPr>
    </w:p>
    <w:p w14:paraId="06756C17">
      <w:pPr>
        <w:adjustRightInd/>
        <w:spacing w:before="240" w:beforeLines="100" w:after="240" w:afterLines="100"/>
        <w:jc w:val="center"/>
        <w:outlineLvl w:val="0"/>
        <w:rPr>
          <w:rFonts w:ascii="宋体" w:hAnsi="宋体" w:cs="宋体"/>
          <w:b/>
          <w:color w:val="auto"/>
          <w:sz w:val="36"/>
          <w:szCs w:val="21"/>
          <w:highlight w:val="none"/>
        </w:rPr>
      </w:pPr>
    </w:p>
    <w:p w14:paraId="19147A29">
      <w:pPr>
        <w:adjustRightInd/>
        <w:spacing w:before="240" w:beforeLines="100" w:after="240" w:afterLines="100"/>
        <w:jc w:val="center"/>
        <w:outlineLvl w:val="0"/>
        <w:rPr>
          <w:rFonts w:ascii="宋体" w:hAnsi="宋体" w:cs="宋体"/>
          <w:b/>
          <w:color w:val="auto"/>
          <w:sz w:val="36"/>
          <w:szCs w:val="21"/>
          <w:highlight w:val="none"/>
        </w:rPr>
      </w:pPr>
    </w:p>
    <w:p w14:paraId="773573DB">
      <w:pPr>
        <w:adjustRightInd/>
        <w:spacing w:before="240" w:beforeLines="100" w:after="240" w:afterLines="100"/>
        <w:jc w:val="center"/>
        <w:outlineLvl w:val="0"/>
        <w:rPr>
          <w:rFonts w:ascii="宋体" w:hAnsi="宋体" w:cs="宋体"/>
          <w:b/>
          <w:color w:val="auto"/>
          <w:sz w:val="36"/>
          <w:szCs w:val="21"/>
          <w:highlight w:val="none"/>
        </w:rPr>
      </w:pPr>
    </w:p>
    <w:p w14:paraId="1757E2E0">
      <w:pPr>
        <w:adjustRightInd/>
        <w:spacing w:before="240" w:beforeLines="100" w:after="240" w:afterLines="100"/>
        <w:jc w:val="center"/>
        <w:outlineLvl w:val="0"/>
        <w:rPr>
          <w:rFonts w:ascii="宋体" w:hAnsi="宋体" w:cs="宋体"/>
          <w:b/>
          <w:color w:val="auto"/>
          <w:sz w:val="36"/>
          <w:szCs w:val="21"/>
          <w:highlight w:val="none"/>
        </w:rPr>
      </w:pPr>
      <w:r>
        <w:rPr>
          <w:rFonts w:hint="eastAsia" w:ascii="宋体" w:hAnsi="宋体" w:cs="宋体"/>
          <w:b/>
          <w:color w:val="auto"/>
          <w:sz w:val="36"/>
          <w:szCs w:val="21"/>
          <w:highlight w:val="none"/>
        </w:rPr>
        <w:t>一、总则</w:t>
      </w:r>
    </w:p>
    <w:p w14:paraId="06644C3B">
      <w:pPr>
        <w:snapToGrid w:val="0"/>
        <w:spacing w:before="240" w:beforeLines="100" w:after="240" w:afterLines="100"/>
        <w:jc w:val="left"/>
        <w:outlineLvl w:val="1"/>
        <w:rPr>
          <w:rFonts w:ascii="宋体" w:hAnsi="宋体" w:cs="宋体"/>
          <w:b/>
          <w:color w:val="auto"/>
          <w:szCs w:val="21"/>
          <w:highlight w:val="none"/>
        </w:rPr>
      </w:pPr>
      <w:r>
        <w:rPr>
          <w:rFonts w:hint="eastAsia" w:ascii="宋体" w:hAnsi="宋体" w:cs="宋体"/>
          <w:b/>
          <w:color w:val="auto"/>
          <w:szCs w:val="21"/>
          <w:highlight w:val="none"/>
        </w:rPr>
        <w:t>1.适用范围</w:t>
      </w:r>
    </w:p>
    <w:p w14:paraId="6CC4D18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本招标文件适用于该项目的招标、投标、开标、资格审查及信用信息查询、评标、定标、合同、验收等行为（法律、法规另有规定的，从其规定）。</w:t>
      </w:r>
    </w:p>
    <w:p w14:paraId="59309E3C">
      <w:pPr>
        <w:snapToGrid w:val="0"/>
        <w:spacing w:before="240" w:beforeLines="100" w:after="240" w:afterLines="100"/>
        <w:jc w:val="left"/>
        <w:outlineLvl w:val="1"/>
        <w:rPr>
          <w:rFonts w:ascii="宋体" w:hAnsi="宋体" w:cs="宋体"/>
          <w:b/>
          <w:color w:val="auto"/>
          <w:szCs w:val="21"/>
          <w:highlight w:val="none"/>
        </w:rPr>
      </w:pPr>
      <w:r>
        <w:rPr>
          <w:rFonts w:hint="eastAsia" w:ascii="宋体" w:hAnsi="宋体" w:cs="宋体"/>
          <w:b/>
          <w:color w:val="auto"/>
          <w:szCs w:val="21"/>
          <w:highlight w:val="none"/>
        </w:rPr>
        <w:t>2.定义</w:t>
      </w:r>
    </w:p>
    <w:p w14:paraId="4EC1DD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“采购人”系指招标公告中载明的本项目的采购人。</w:t>
      </w:r>
    </w:p>
    <w:p w14:paraId="2D27AD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“采购代理机构”系指招标公告中载明的本项目的采购代理机构。</w:t>
      </w:r>
    </w:p>
    <w:p w14:paraId="55D45E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“投标人”系指是指响应招标、参加投标竞争的法人、其他组织或者自然人。</w:t>
      </w:r>
    </w:p>
    <w:p w14:paraId="5B095F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“负责人”系指法人企业的法定负责人，或其他组织为法律、行政法规规定代表单位行使职权的主要负责人，或自然人本人。</w:t>
      </w:r>
    </w:p>
    <w:p w14:paraId="7EAF73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FBEB7C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 “电子交易平台”是指本项目政府采购活动所依托的政府采购云平台（https://www.zcygov.cn/）。</w:t>
      </w:r>
    </w:p>
    <w:p w14:paraId="50D149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 “▲”系指实质性要求条款，“</w:t>
      </w:r>
      <w:r>
        <w:rPr>
          <w:rFonts w:hint="eastAsia" w:ascii="宋体" w:hAnsi="宋体" w:cs="宋体"/>
          <w:color w:val="auto"/>
          <w:kern w:val="0"/>
          <w:szCs w:val="21"/>
          <w:highlight w:val="none"/>
        </w:rPr>
        <w:sym w:font="Wingdings" w:char="00FE"/>
      </w:r>
      <w:r>
        <w:rPr>
          <w:rFonts w:hint="eastAsia" w:ascii="宋体" w:hAnsi="宋体" w:cs="宋体"/>
          <w:color w:val="auto"/>
          <w:szCs w:val="21"/>
          <w:highlight w:val="none"/>
        </w:rPr>
        <w:t>”系指适用本项目的要求，“</w:t>
      </w:r>
      <w:sdt>
        <w:sdtPr>
          <w:rPr>
            <w:rFonts w:hint="eastAsia" w:ascii="宋体" w:hAnsi="宋体" w:cs="宋体"/>
            <w:color w:val="auto"/>
            <w:kern w:val="0"/>
            <w:szCs w:val="21"/>
            <w:highlight w:val="none"/>
          </w:rPr>
          <w:id w:val="404888855"/>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512970236"/>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sdtContent>
      </w:sdt>
      <w:r>
        <w:rPr>
          <w:rFonts w:hint="eastAsia" w:ascii="宋体" w:hAnsi="宋体" w:cs="宋体"/>
          <w:color w:val="auto"/>
          <w:szCs w:val="21"/>
          <w:highlight w:val="none"/>
        </w:rPr>
        <w:t>”系指不适用本项目的要求。</w:t>
      </w:r>
    </w:p>
    <w:p w14:paraId="716DB268">
      <w:pPr>
        <w:snapToGrid w:val="0"/>
        <w:spacing w:before="240" w:beforeLines="100" w:after="240" w:afterLines="100"/>
        <w:jc w:val="left"/>
        <w:outlineLvl w:val="1"/>
        <w:rPr>
          <w:rFonts w:ascii="宋体" w:hAnsi="宋体" w:cs="宋体"/>
          <w:b/>
          <w:color w:val="auto"/>
          <w:szCs w:val="21"/>
          <w:highlight w:val="none"/>
        </w:rPr>
      </w:pPr>
      <w:r>
        <w:rPr>
          <w:rFonts w:hint="eastAsia" w:ascii="宋体" w:hAnsi="宋体" w:cs="宋体"/>
          <w:b/>
          <w:color w:val="auto"/>
          <w:szCs w:val="21"/>
          <w:highlight w:val="none"/>
        </w:rPr>
        <w:t>3.采购项目需要落实的政府采购政策</w:t>
      </w:r>
    </w:p>
    <w:p w14:paraId="1013F2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进口产品采购管理</w:t>
      </w:r>
    </w:p>
    <w:p w14:paraId="1304F8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723ED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支持绿色发展</w:t>
      </w:r>
    </w:p>
    <w:p w14:paraId="18A53311">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3.2.1 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Cs w:val="21"/>
          <w:highlight w:val="none"/>
          <w:u w:val="single"/>
        </w:rPr>
        <w:t>采购人拟采购的产品属于政府强制采购的节能产品品目清单范围的，投标人未按招标文件要求提供国家确定的认证机构出具的、处于有效期之内的节能产品认证证书的，投标无效。</w:t>
      </w:r>
    </w:p>
    <w:p w14:paraId="722798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 修缮、装修类项目采购建材的，采购人应将绿色建筑和绿色建材性能、指标等作为实质性条件纳入招标文件和合同。</w:t>
      </w:r>
    </w:p>
    <w:p w14:paraId="2EF71F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E2308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10DC9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 支持中小企业发展</w:t>
      </w:r>
    </w:p>
    <w:p w14:paraId="7AF84A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 中小企业，是指在中华人民共和国境内依法设立，依据国务院批准的中小企业划分标准确定的中型企业、小型企业和微型企业，但与大企业的负责人为同一人，或者与大企业存在直接控股、管理关系的除外。</w:t>
      </w:r>
    </w:p>
    <w:p w14:paraId="42AEF6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10F5DD8A">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 xml:space="preserve">3.3.2 </w:t>
      </w:r>
      <w:r>
        <w:rPr>
          <w:rFonts w:hint="eastAsia" w:ascii="宋体" w:hAnsi="宋体" w:cs="宋体"/>
          <w:color w:val="auto"/>
          <w:kern w:val="0"/>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BE38DEE">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以联合体形式参加政府采购活动，联合体各方均为中小企业的，联合体视同中小企业。其中，联合体各方均为小微企业的，联合体视同小微企业。</w:t>
      </w:r>
    </w:p>
    <w:p w14:paraId="1D078E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 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8F72A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3.3.4 符合《关于促进残疾人就业政府采购政策的通知》（财库〔2017〕141号）规定的条件并提供《残疾人福利性单位声明函》（附件1）的残疾人福利性单位视同小型、微型企业；</w:t>
      </w:r>
    </w:p>
    <w:p w14:paraId="599319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 符合《关于政府采购支持监狱企业发展有关问题的通知》（财库〔2014〕68号）规定的监狱企业并提供由省级以上监狱管理局、戒毒管理局（含新疆生产建设兵团）出具的属于监狱企业证明文件的，视同为小型、微型企业。</w:t>
      </w:r>
    </w:p>
    <w:p w14:paraId="44E7A2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3.3.6 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A985A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3.3.7 中小企业享受扶持政策获得政府采购合同的，小微企业不得将合同分包给大中型企业，中型企业不得将合同分包给大型企业。</w:t>
      </w:r>
    </w:p>
    <w:p w14:paraId="26D43F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 支持创新发展</w:t>
      </w:r>
    </w:p>
    <w:p w14:paraId="3705AA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3.4.1 采购人优先采购被认定为首台套产品和“制造精品”的自主创新产品。</w:t>
      </w:r>
    </w:p>
    <w:p w14:paraId="69D280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3.4.2 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76F07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 平等对待内外资企业和符合条件的破产重整企业</w:t>
      </w:r>
    </w:p>
    <w:p w14:paraId="122A7F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平等对待内外资企业和符合条件的破产重整企业平等对待内外资企业和符合条件的破产重整企业，切实保障企业公平竞争，平等维护企业的合法利益。</w:t>
      </w:r>
    </w:p>
    <w:p w14:paraId="137624B7">
      <w:pPr>
        <w:spacing w:before="240" w:beforeLines="100" w:after="240" w:afterLines="100"/>
        <w:rPr>
          <w:rFonts w:ascii="宋体" w:hAnsi="宋体" w:cs="宋体"/>
          <w:b/>
          <w:color w:val="auto"/>
          <w:szCs w:val="21"/>
          <w:highlight w:val="none"/>
        </w:rPr>
      </w:pPr>
      <w:r>
        <w:rPr>
          <w:rFonts w:hint="eastAsia" w:ascii="宋体" w:hAnsi="宋体" w:cs="宋体"/>
          <w:b/>
          <w:color w:val="auto"/>
          <w:szCs w:val="21"/>
          <w:highlight w:val="none"/>
        </w:rPr>
        <w:t>4.询问、质疑、投诉</w:t>
      </w:r>
    </w:p>
    <w:p w14:paraId="1D5356C7">
      <w:pPr>
        <w:autoSpaceDE w:val="0"/>
        <w:autoSpaceDN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4.1 在线询问、质疑、投诉。</w:t>
      </w:r>
    </w:p>
    <w:p w14:paraId="7B64C6B5">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根据《浙江省财政厅关于进一步促进政府采购公平竞争打造最优营商环境的通知》</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浙财采监2021</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A90B5D">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zh-CN"/>
        </w:rPr>
        <w:t>供应商询问</w:t>
      </w:r>
    </w:p>
    <w:p w14:paraId="6A7999F7">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1121726">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 xml:space="preserve">3 </w:t>
      </w:r>
      <w:r>
        <w:rPr>
          <w:rFonts w:hint="eastAsia" w:ascii="宋体" w:hAnsi="宋体" w:cs="宋体"/>
          <w:color w:val="auto"/>
          <w:kern w:val="0"/>
          <w:szCs w:val="21"/>
          <w:highlight w:val="none"/>
          <w:lang w:val="zh-CN"/>
        </w:rPr>
        <w:t>供应商质疑</w:t>
      </w:r>
    </w:p>
    <w:p w14:paraId="228F015E">
      <w:pPr>
        <w:pStyle w:val="5"/>
        <w:spacing w:line="360" w:lineRule="auto"/>
        <w:ind w:firstLine="420" w:firstLineChars="200"/>
        <w:rPr>
          <w:rFonts w:hAnsi="宋体" w:cs="宋体"/>
          <w:color w:val="auto"/>
          <w:highlight w:val="none"/>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highlight w:val="none"/>
        </w:rPr>
        <w:t>.1 提出质疑的供应商应当是参与所质疑项目采购活动的供应商。潜在供应商已依法获取其可质疑的招标文件的，可以对该文件提出质疑。</w:t>
      </w:r>
    </w:p>
    <w:p w14:paraId="51FE7572">
      <w:pPr>
        <w:pStyle w:val="5"/>
        <w:spacing w:line="360" w:lineRule="auto"/>
        <w:ind w:firstLine="420" w:firstLineChars="200"/>
        <w:rPr>
          <w:rFonts w:hAnsi="宋体" w:cs="宋体"/>
          <w:color w:val="auto"/>
          <w:highlight w:val="none"/>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highlight w:val="none"/>
        </w:rPr>
        <w:t>.2 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03902AE">
      <w:pPr>
        <w:pStyle w:val="16"/>
        <w:spacing w:line="360" w:lineRule="auto"/>
        <w:ind w:firstLine="840" w:firstLineChars="4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 对招标文件提出质疑的，质疑期限为供应商获得招标文件之日或者招标文件公告期限届满之日起计算。</w:t>
      </w:r>
    </w:p>
    <w:p w14:paraId="2FBD104F">
      <w:pPr>
        <w:pStyle w:val="5"/>
        <w:spacing w:line="360" w:lineRule="auto"/>
        <w:ind w:firstLine="840" w:firstLineChars="400"/>
        <w:rPr>
          <w:rFonts w:hAnsi="宋体" w:cs="宋体"/>
          <w:color w:val="auto"/>
          <w:highlight w:val="none"/>
        </w:rPr>
      </w:pPr>
      <w:r>
        <w:rPr>
          <w:rFonts w:hint="eastAsia" w:hAnsi="宋体" w:cs="宋体"/>
          <w:color w:val="auto"/>
          <w:highlight w:val="none"/>
        </w:rPr>
        <w:t>4.3.2.2 对采购过程提出质疑的，质疑期限为各采购程序环节结束之日起计算。</w:t>
      </w:r>
    </w:p>
    <w:p w14:paraId="4071E11A">
      <w:pPr>
        <w:pStyle w:val="5"/>
        <w:spacing w:line="360" w:lineRule="auto"/>
        <w:ind w:firstLine="840" w:firstLineChars="400"/>
        <w:rPr>
          <w:rFonts w:hAnsi="宋体" w:cs="宋体"/>
          <w:color w:val="auto"/>
          <w:highlight w:val="none"/>
        </w:rPr>
      </w:pPr>
      <w:r>
        <w:rPr>
          <w:rFonts w:hint="eastAsia" w:hAnsi="宋体" w:cs="宋体"/>
          <w:color w:val="auto"/>
          <w:highlight w:val="none"/>
        </w:rPr>
        <w:t>4.3.2.3 对采购结果提出质疑的，质疑期限自采购结果公告期限届满之日起计算。</w:t>
      </w:r>
    </w:p>
    <w:p w14:paraId="755504DE">
      <w:pPr>
        <w:pStyle w:val="5"/>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w:t>
      </w:r>
      <w:r>
        <w:rPr>
          <w:rFonts w:hint="eastAsia" w:hAnsi="宋体" w:cs="宋体"/>
          <w:color w:val="auto"/>
          <w:kern w:val="0"/>
          <w:highlight w:val="none"/>
        </w:rPr>
        <w:t xml:space="preserve"> </w:t>
      </w:r>
      <w:r>
        <w:rPr>
          <w:rFonts w:hint="eastAsia" w:hAnsi="宋体" w:cs="宋体"/>
          <w:color w:val="auto"/>
          <w:highlight w:val="none"/>
        </w:rPr>
        <w:t>供应商提出质疑应当提交质疑函和必要的证明材料。质疑函应当包括下列内容：</w:t>
      </w:r>
    </w:p>
    <w:p w14:paraId="16FADEE5">
      <w:pPr>
        <w:pStyle w:val="5"/>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.3.1</w:t>
      </w:r>
      <w:r>
        <w:rPr>
          <w:rFonts w:hint="eastAsia" w:hAnsi="宋体" w:cs="宋体"/>
          <w:color w:val="auto"/>
          <w:kern w:val="0"/>
          <w:highlight w:val="none"/>
        </w:rPr>
        <w:t xml:space="preserve"> </w:t>
      </w:r>
      <w:r>
        <w:rPr>
          <w:rFonts w:hint="eastAsia" w:hAnsi="宋体" w:cs="宋体"/>
          <w:color w:val="auto"/>
          <w:kern w:val="0"/>
          <w:highlight w:val="none"/>
          <w:lang w:val="zh-CN"/>
        </w:rPr>
        <w:t>供应商的姓名或者名称、地址、邮编、联系人及联系电话；</w:t>
      </w:r>
    </w:p>
    <w:p w14:paraId="6A310949">
      <w:pPr>
        <w:pStyle w:val="5"/>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.3.2</w:t>
      </w:r>
      <w:r>
        <w:rPr>
          <w:rFonts w:hint="eastAsia" w:hAnsi="宋体" w:cs="宋体"/>
          <w:color w:val="auto"/>
          <w:kern w:val="0"/>
          <w:highlight w:val="none"/>
        </w:rPr>
        <w:t xml:space="preserve"> </w:t>
      </w:r>
      <w:r>
        <w:rPr>
          <w:rFonts w:hint="eastAsia" w:hAnsi="宋体" w:cs="宋体"/>
          <w:color w:val="auto"/>
          <w:kern w:val="0"/>
          <w:highlight w:val="none"/>
          <w:lang w:val="zh-CN"/>
        </w:rPr>
        <w:t>质疑项目的名称、编号；</w:t>
      </w:r>
    </w:p>
    <w:p w14:paraId="3444918F">
      <w:pPr>
        <w:pStyle w:val="5"/>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.3.3</w:t>
      </w:r>
      <w:r>
        <w:rPr>
          <w:rFonts w:hint="eastAsia" w:hAnsi="宋体" w:cs="宋体"/>
          <w:color w:val="auto"/>
          <w:kern w:val="0"/>
          <w:highlight w:val="none"/>
        </w:rPr>
        <w:t xml:space="preserve"> </w:t>
      </w:r>
      <w:r>
        <w:rPr>
          <w:rFonts w:hint="eastAsia" w:hAnsi="宋体" w:cs="宋体"/>
          <w:color w:val="auto"/>
          <w:kern w:val="0"/>
          <w:highlight w:val="none"/>
          <w:lang w:val="zh-CN"/>
        </w:rPr>
        <w:t>具体、明确的质疑事项和与质疑事项相关的请求；</w:t>
      </w:r>
    </w:p>
    <w:p w14:paraId="1029E548">
      <w:pPr>
        <w:pStyle w:val="5"/>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.3.4</w:t>
      </w:r>
      <w:r>
        <w:rPr>
          <w:rFonts w:hint="eastAsia" w:hAnsi="宋体" w:cs="宋体"/>
          <w:color w:val="auto"/>
          <w:kern w:val="0"/>
          <w:highlight w:val="none"/>
        </w:rPr>
        <w:t xml:space="preserve"> </w:t>
      </w:r>
      <w:r>
        <w:rPr>
          <w:rFonts w:hint="eastAsia" w:hAnsi="宋体" w:cs="宋体"/>
          <w:color w:val="auto"/>
          <w:kern w:val="0"/>
          <w:highlight w:val="none"/>
          <w:lang w:val="zh-CN"/>
        </w:rPr>
        <w:t>事实依据；</w:t>
      </w:r>
    </w:p>
    <w:p w14:paraId="0D56CA53">
      <w:pPr>
        <w:pStyle w:val="5"/>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.3.5</w:t>
      </w:r>
      <w:r>
        <w:rPr>
          <w:rFonts w:hint="eastAsia" w:hAnsi="宋体" w:cs="宋体"/>
          <w:color w:val="auto"/>
          <w:kern w:val="0"/>
          <w:highlight w:val="none"/>
        </w:rPr>
        <w:t xml:space="preserve"> </w:t>
      </w:r>
      <w:r>
        <w:rPr>
          <w:rFonts w:hint="eastAsia" w:hAnsi="宋体" w:cs="宋体"/>
          <w:color w:val="auto"/>
          <w:kern w:val="0"/>
          <w:highlight w:val="none"/>
          <w:lang w:val="zh-CN"/>
        </w:rPr>
        <w:t>必要的法律依据；</w:t>
      </w:r>
    </w:p>
    <w:p w14:paraId="0CDD3DC7">
      <w:pPr>
        <w:pStyle w:val="5"/>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.3.6</w:t>
      </w:r>
      <w:r>
        <w:rPr>
          <w:rFonts w:hint="eastAsia" w:hAnsi="宋体" w:cs="宋体"/>
          <w:color w:val="auto"/>
          <w:kern w:val="0"/>
          <w:highlight w:val="none"/>
        </w:rPr>
        <w:t xml:space="preserve"> </w:t>
      </w:r>
      <w:r>
        <w:rPr>
          <w:rFonts w:hint="eastAsia" w:hAnsi="宋体" w:cs="宋体"/>
          <w:color w:val="auto"/>
          <w:kern w:val="0"/>
          <w:highlight w:val="none"/>
          <w:lang w:val="zh-CN"/>
        </w:rPr>
        <w:t>提出质疑的日期。</w:t>
      </w:r>
    </w:p>
    <w:p w14:paraId="547E5833">
      <w:pPr>
        <w:pStyle w:val="891"/>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68253261">
      <w:pPr>
        <w:pStyle w:val="891"/>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质疑函范本及制作说明详见附件2。</w:t>
      </w:r>
    </w:p>
    <w:p w14:paraId="2A8D4B68">
      <w:pPr>
        <w:pStyle w:val="891"/>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4.3.4 对同一采购程序环节的质疑，供应商须在法定质疑期内一次性提出。</w:t>
      </w:r>
    </w:p>
    <w:p w14:paraId="4548F6EA">
      <w:pPr>
        <w:pStyle w:val="891"/>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4.3.5 采购人或者采购代理机构应当在收到供应商的书面质疑后七个工作日内作出答复，并以书面形式通知质疑供应商和其他与质疑处理结果有利害关系的政府采购当事人，但答复的内容不得涉及商业秘密。</w:t>
      </w:r>
    </w:p>
    <w:p w14:paraId="0EBF0F9A">
      <w:pPr>
        <w:pStyle w:val="891"/>
        <w:shd w:val="clear" w:color="auto" w:fill="FFFFFF"/>
        <w:snapToGrid w:val="0"/>
        <w:spacing w:before="0" w:beforeAutospacing="0" w:after="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w:t>
      </w:r>
      <w:r>
        <w:rPr>
          <w:rFonts w:hint="eastAsia"/>
          <w:color w:val="auto"/>
          <w:sz w:val="21"/>
          <w:szCs w:val="21"/>
          <w:highlight w:val="none"/>
        </w:rPr>
        <w:t>3.6 询问或者质疑事项可能影响采购结果的，采购人应当暂停签订合同，已经签订合同的，应当中止履行合同。</w:t>
      </w:r>
    </w:p>
    <w:p w14:paraId="5E3B2A14">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 xml:space="preserve">4 </w:t>
      </w:r>
      <w:r>
        <w:rPr>
          <w:rFonts w:hint="eastAsia" w:ascii="宋体" w:hAnsi="宋体" w:cs="宋体"/>
          <w:color w:val="auto"/>
          <w:kern w:val="0"/>
          <w:szCs w:val="21"/>
          <w:highlight w:val="none"/>
          <w:lang w:val="zh-CN"/>
        </w:rPr>
        <w:t>供应商投诉</w:t>
      </w:r>
    </w:p>
    <w:p w14:paraId="4AE0A18E">
      <w:pPr>
        <w:pStyle w:val="891"/>
        <w:widowControl w:val="0"/>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4.4.1 质疑供应商对采购人、采购代理机构的答复不满意或者采购人、采购代理机构未在规定的时间内作出答复的，可以在答复期满后十五个工作日内向同级政府采购监督管理部门提出投诉。</w:t>
      </w:r>
    </w:p>
    <w:p w14:paraId="66A11404">
      <w:pPr>
        <w:pStyle w:val="891"/>
        <w:widowControl w:val="0"/>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 xml:space="preserve"> 供应商投诉的事项不得超出已质疑事项的范围，基于质疑答复内容提出的投诉事项除外。</w:t>
      </w:r>
    </w:p>
    <w:p w14:paraId="58E22EE8">
      <w:pPr>
        <w:pStyle w:val="891"/>
        <w:widowControl w:val="0"/>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4.4.3 供应商投诉应当有明确的请求和必要的证明材料。</w:t>
      </w:r>
    </w:p>
    <w:p w14:paraId="5B11EC62">
      <w:pPr>
        <w:pStyle w:val="891"/>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4.4.4 以联合体形式参加政府采购活动的，其投诉应当由组成联合体的所有供应商共同提出。</w:t>
      </w:r>
    </w:p>
    <w:p w14:paraId="57EFBD38">
      <w:pPr>
        <w:pStyle w:val="891"/>
        <w:shd w:val="clear" w:color="auto" w:fill="FFFFFF"/>
        <w:snapToGrid w:val="0"/>
        <w:spacing w:before="0" w:beforeAutospacing="0" w:after="0" w:afterAutospacing="0" w:line="360" w:lineRule="auto"/>
        <w:ind w:firstLine="420" w:firstLineChars="200"/>
        <w:contextualSpacing/>
        <w:rPr>
          <w:color w:val="auto"/>
          <w:highlight w:val="none"/>
        </w:rPr>
      </w:pPr>
      <w:r>
        <w:rPr>
          <w:rFonts w:hint="eastAsia"/>
          <w:color w:val="auto"/>
          <w:sz w:val="21"/>
          <w:szCs w:val="21"/>
          <w:highlight w:val="none"/>
        </w:rPr>
        <w:t>投诉书范本及制作说明详见附件3。</w:t>
      </w:r>
    </w:p>
    <w:p w14:paraId="79EE779B">
      <w:pPr>
        <w:adjustRightInd/>
        <w:spacing w:before="240" w:beforeLines="100" w:after="240" w:afterLines="100"/>
        <w:jc w:val="center"/>
        <w:outlineLvl w:val="0"/>
        <w:rPr>
          <w:rFonts w:ascii="宋体" w:hAnsi="宋体" w:cs="宋体"/>
          <w:b/>
          <w:color w:val="auto"/>
          <w:sz w:val="36"/>
          <w:szCs w:val="21"/>
          <w:highlight w:val="none"/>
        </w:rPr>
      </w:pPr>
      <w:r>
        <w:rPr>
          <w:rFonts w:hint="eastAsia" w:ascii="宋体" w:hAnsi="宋体" w:cs="宋体"/>
          <w:b/>
          <w:color w:val="auto"/>
          <w:sz w:val="36"/>
          <w:szCs w:val="21"/>
          <w:highlight w:val="none"/>
        </w:rPr>
        <w:t>二、招标文件的构成、澄清、修改</w:t>
      </w:r>
    </w:p>
    <w:p w14:paraId="73B02F4B">
      <w:pPr>
        <w:pStyle w:val="5"/>
        <w:spacing w:before="240" w:beforeLines="100" w:after="240" w:afterLines="100"/>
        <w:rPr>
          <w:rFonts w:hAnsi="宋体" w:cs="宋体"/>
          <w:b/>
          <w:color w:val="auto"/>
          <w:highlight w:val="none"/>
        </w:rPr>
      </w:pPr>
      <w:r>
        <w:rPr>
          <w:rFonts w:hint="eastAsia" w:hAnsi="宋体" w:cs="宋体"/>
          <w:b/>
          <w:color w:val="auto"/>
          <w:highlight w:val="none"/>
        </w:rPr>
        <w:t>5.招标文件的构成</w:t>
      </w:r>
    </w:p>
    <w:p w14:paraId="71D255FB">
      <w:pPr>
        <w:pStyle w:val="5"/>
        <w:spacing w:line="360" w:lineRule="auto"/>
        <w:ind w:firstLine="420" w:firstLineChars="200"/>
        <w:rPr>
          <w:rFonts w:hAnsi="宋体" w:cs="宋体"/>
          <w:color w:val="auto"/>
          <w:highlight w:val="none"/>
        </w:rPr>
      </w:pPr>
      <w:r>
        <w:rPr>
          <w:rFonts w:hint="eastAsia" w:hAnsi="宋体" w:cs="宋体"/>
          <w:color w:val="auto"/>
          <w:highlight w:val="none"/>
        </w:rPr>
        <w:t>5.1 招标文件包括下列文件及附件：</w:t>
      </w:r>
    </w:p>
    <w:p w14:paraId="745C9925">
      <w:pPr>
        <w:pStyle w:val="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5.1.1 招标公告；</w:t>
      </w:r>
    </w:p>
    <w:p w14:paraId="1062DB51">
      <w:pPr>
        <w:pStyle w:val="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5.1.2 投标人须知；</w:t>
      </w:r>
    </w:p>
    <w:p w14:paraId="2278DA4E">
      <w:pPr>
        <w:pStyle w:val="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5.1.3 采购需求；</w:t>
      </w:r>
    </w:p>
    <w:p w14:paraId="41C34079">
      <w:pPr>
        <w:pStyle w:val="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5.1.4 评标办法；</w:t>
      </w:r>
    </w:p>
    <w:p w14:paraId="6B31A299">
      <w:pPr>
        <w:pStyle w:val="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5.1.5 拟签订的合同文本；</w:t>
      </w:r>
    </w:p>
    <w:p w14:paraId="08054C46">
      <w:pPr>
        <w:pStyle w:val="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5.1.6 应提交的有关格式范例。</w:t>
      </w:r>
    </w:p>
    <w:p w14:paraId="6199BF2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 与本项目有关的</w:t>
      </w:r>
      <w:r>
        <w:rPr>
          <w:rFonts w:hint="eastAsia" w:ascii="宋体" w:hAnsi="宋体" w:cs="宋体"/>
          <w:bCs/>
          <w:color w:val="auto"/>
          <w:szCs w:val="21"/>
          <w:highlight w:val="none"/>
        </w:rPr>
        <w:t>澄清或者修改的内容为招标文件的组成部分</w:t>
      </w:r>
      <w:r>
        <w:rPr>
          <w:rFonts w:hint="eastAsia" w:ascii="宋体" w:hAnsi="宋体" w:cs="宋体"/>
          <w:color w:val="auto"/>
          <w:szCs w:val="21"/>
          <w:highlight w:val="none"/>
        </w:rPr>
        <w:t>。</w:t>
      </w:r>
    </w:p>
    <w:p w14:paraId="61A3AC55">
      <w:pPr>
        <w:pStyle w:val="5"/>
        <w:spacing w:before="240" w:beforeLines="100" w:after="240" w:afterLines="100"/>
        <w:rPr>
          <w:rFonts w:hAnsi="宋体" w:cs="宋体"/>
          <w:b/>
          <w:color w:val="auto"/>
          <w:highlight w:val="none"/>
        </w:rPr>
      </w:pPr>
      <w:r>
        <w:rPr>
          <w:rFonts w:hint="eastAsia" w:hAnsi="宋体" w:cs="宋体"/>
          <w:b/>
          <w:color w:val="auto"/>
          <w:highlight w:val="none"/>
        </w:rPr>
        <w:t>6.招标文件的澄清、修改</w:t>
      </w:r>
    </w:p>
    <w:p w14:paraId="0F2873DA">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6.1 已获取招标文件的潜在投标人，若有问题需要澄清，应于投标截止时间前，以书面形式向采购代理机构提出。</w:t>
      </w:r>
    </w:p>
    <w:p w14:paraId="3520A882">
      <w:pPr>
        <w:pStyle w:val="135"/>
        <w:snapToGrid w:val="0"/>
        <w:spacing w:before="0"/>
        <w:ind w:firstLine="420"/>
        <w:rPr>
          <w:rFonts w:ascii="宋体" w:hAnsi="宋体" w:cs="宋体"/>
          <w:color w:val="auto"/>
          <w:highlight w:val="none"/>
        </w:rPr>
      </w:pPr>
      <w:r>
        <w:rPr>
          <w:rFonts w:hint="eastAsia" w:ascii="宋体" w:hAnsi="宋体" w:cs="宋体"/>
          <w:color w:val="auto"/>
          <w:sz w:val="21"/>
          <w:szCs w:val="2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524443C">
      <w:pPr>
        <w:adjustRightInd/>
        <w:spacing w:before="240" w:beforeLines="100" w:after="240" w:afterLines="100"/>
        <w:jc w:val="center"/>
        <w:outlineLvl w:val="0"/>
        <w:rPr>
          <w:rFonts w:ascii="宋体" w:hAnsi="宋体" w:cs="宋体"/>
          <w:b/>
          <w:color w:val="auto"/>
          <w:sz w:val="36"/>
          <w:szCs w:val="22"/>
          <w:highlight w:val="none"/>
        </w:rPr>
      </w:pPr>
      <w:r>
        <w:rPr>
          <w:rFonts w:hint="eastAsia" w:ascii="宋体" w:hAnsi="宋体" w:cs="宋体"/>
          <w:b/>
          <w:color w:val="auto"/>
          <w:sz w:val="36"/>
          <w:szCs w:val="22"/>
          <w:highlight w:val="none"/>
        </w:rPr>
        <w:t>三、投标</w:t>
      </w:r>
    </w:p>
    <w:p w14:paraId="7FB01634">
      <w:pPr>
        <w:pStyle w:val="5"/>
        <w:spacing w:before="240" w:beforeLines="100" w:after="240" w:afterLines="100"/>
        <w:rPr>
          <w:rFonts w:hAnsi="宋体" w:cs="宋体"/>
          <w:b/>
          <w:color w:val="auto"/>
          <w:highlight w:val="none"/>
        </w:rPr>
      </w:pPr>
      <w:r>
        <w:rPr>
          <w:rFonts w:hint="eastAsia" w:hAnsi="宋体" w:cs="宋体"/>
          <w:b/>
          <w:color w:val="auto"/>
          <w:highlight w:val="none"/>
        </w:rPr>
        <w:t>7.招标文件的获取</w:t>
      </w:r>
    </w:p>
    <w:p w14:paraId="648AF03D">
      <w:pPr>
        <w:spacing w:line="360" w:lineRule="auto"/>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详见招标公告中获取招标文件的时间期限、地点、方式及招标文件售价。</w:t>
      </w:r>
    </w:p>
    <w:p w14:paraId="2A15E67D">
      <w:pPr>
        <w:spacing w:line="360" w:lineRule="auto"/>
        <w:ind w:firstLine="422" w:firstLineChars="200"/>
        <w:rPr>
          <w:rFonts w:ascii="宋体" w:hAnsi="宋体" w:cs="宋体"/>
          <w:snapToGrid w:val="0"/>
          <w:color w:val="auto"/>
          <w:kern w:val="28"/>
          <w:szCs w:val="21"/>
          <w:highlight w:val="none"/>
        </w:rPr>
      </w:pPr>
      <w:r>
        <w:rPr>
          <w:rFonts w:hint="eastAsia" w:ascii="宋体" w:hAnsi="宋体" w:cs="宋体"/>
          <w:b/>
          <w:bCs/>
          <w:color w:val="auto"/>
          <w:szCs w:val="21"/>
          <w:highlight w:val="none"/>
        </w:rPr>
        <w:t>▲</w:t>
      </w:r>
      <w:r>
        <w:rPr>
          <w:rFonts w:hint="eastAsia" w:ascii="宋体" w:hAnsi="宋体" w:cs="宋体"/>
          <w:b/>
          <w:bCs/>
          <w:snapToGrid w:val="0"/>
          <w:color w:val="auto"/>
          <w:kern w:val="28"/>
          <w:szCs w:val="21"/>
          <w:highlight w:val="none"/>
          <w:u w:val="single"/>
        </w:rPr>
        <w:t>附件中直接下载仅供浏览使用，不视作依法获取招标文件，不得就采购文件提出质疑投诉,未按规定获取招标文件者的投标将被拒绝。</w:t>
      </w:r>
    </w:p>
    <w:p w14:paraId="2547D750">
      <w:pPr>
        <w:pStyle w:val="5"/>
        <w:spacing w:before="240" w:beforeLines="100" w:after="240" w:afterLines="100"/>
        <w:rPr>
          <w:rFonts w:hAnsi="宋体" w:cs="宋体"/>
          <w:b/>
          <w:color w:val="auto"/>
          <w:highlight w:val="none"/>
        </w:rPr>
      </w:pPr>
      <w:r>
        <w:rPr>
          <w:rFonts w:hAnsi="宋体" w:cs="宋体"/>
          <w:b/>
          <w:color w:val="auto"/>
          <w:highlight w:val="none"/>
        </w:rPr>
        <w:t>8.</w:t>
      </w:r>
      <w:r>
        <w:rPr>
          <w:rFonts w:hint="eastAsia" w:hAnsi="宋体" w:cs="宋体"/>
          <w:b/>
          <w:color w:val="auto"/>
          <w:highlight w:val="none"/>
        </w:rPr>
        <w:t xml:space="preserve"> 开标前答疑会或现场考察</w:t>
      </w:r>
    </w:p>
    <w:p w14:paraId="0CA135FE">
      <w:pPr>
        <w:pStyle w:val="5"/>
        <w:spacing w:line="360" w:lineRule="auto"/>
        <w:ind w:firstLine="420" w:firstLineChars="200"/>
        <w:rPr>
          <w:rFonts w:hAnsi="宋体" w:cs="宋体"/>
          <w:color w:val="auto"/>
          <w:highlight w:val="none"/>
        </w:rPr>
      </w:pPr>
      <w:r>
        <w:rPr>
          <w:rFonts w:hint="eastAsia" w:hAnsi="宋体" w:cs="宋体"/>
          <w:color w:val="auto"/>
          <w:highlight w:val="none"/>
        </w:rPr>
        <w:t>采购人组织潜在投标人现场考察或者召开开标前答疑会的，潜在投标人按第二部分投标人须知前附表的规定参加现场考察或者开标前答疑会。</w:t>
      </w:r>
    </w:p>
    <w:p w14:paraId="42377940">
      <w:pPr>
        <w:pStyle w:val="5"/>
        <w:spacing w:before="240" w:beforeLines="100" w:after="240" w:afterLines="100"/>
        <w:rPr>
          <w:rFonts w:hAnsi="宋体" w:cs="宋体"/>
          <w:b/>
          <w:color w:val="auto"/>
          <w:highlight w:val="none"/>
        </w:rPr>
      </w:pPr>
      <w:r>
        <w:rPr>
          <w:rFonts w:hAnsi="宋体" w:cs="宋体"/>
          <w:b/>
          <w:color w:val="auto"/>
          <w:highlight w:val="none"/>
        </w:rPr>
        <w:t>9.</w:t>
      </w:r>
      <w:r>
        <w:rPr>
          <w:rFonts w:hint="eastAsia" w:hAnsi="宋体" w:cs="宋体"/>
          <w:b/>
          <w:color w:val="auto"/>
          <w:highlight w:val="none"/>
        </w:rPr>
        <w:t>投标保证金</w:t>
      </w:r>
    </w:p>
    <w:p w14:paraId="3491A439">
      <w:pPr>
        <w:pStyle w:val="16"/>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本项目不需缴纳投标保证金。</w:t>
      </w:r>
    </w:p>
    <w:p w14:paraId="735021A8">
      <w:pPr>
        <w:pStyle w:val="5"/>
        <w:spacing w:before="240" w:beforeLines="100" w:after="240" w:afterLines="100"/>
        <w:rPr>
          <w:rFonts w:hAnsi="宋体" w:cs="宋体"/>
          <w:b/>
          <w:color w:val="auto"/>
          <w:highlight w:val="none"/>
        </w:rPr>
      </w:pPr>
      <w:r>
        <w:rPr>
          <w:rFonts w:hAnsi="宋体" w:cs="宋体"/>
          <w:b/>
          <w:color w:val="auto"/>
          <w:highlight w:val="none"/>
        </w:rPr>
        <w:t>10.</w:t>
      </w:r>
      <w:r>
        <w:rPr>
          <w:rFonts w:hint="eastAsia" w:hAnsi="宋体" w:cs="宋体"/>
          <w:b/>
          <w:color w:val="auto"/>
          <w:highlight w:val="none"/>
        </w:rPr>
        <w:t>投标文件的语言</w:t>
      </w:r>
    </w:p>
    <w:p w14:paraId="09FD7DC8">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投标文件及投标人与采购有关的来往通知、函件和文件均应使用中文。</w:t>
      </w:r>
    </w:p>
    <w:p w14:paraId="0EBD87EC">
      <w:pPr>
        <w:pStyle w:val="5"/>
        <w:spacing w:before="240" w:beforeLines="100" w:after="240" w:afterLines="100"/>
        <w:rPr>
          <w:rFonts w:hAnsi="宋体" w:cs="宋体"/>
          <w:b/>
          <w:color w:val="auto"/>
          <w:highlight w:val="none"/>
        </w:rPr>
      </w:pPr>
      <w:r>
        <w:rPr>
          <w:rFonts w:hAnsi="宋体" w:cs="宋体"/>
          <w:b/>
          <w:color w:val="auto"/>
          <w:highlight w:val="none"/>
        </w:rPr>
        <w:t>11.</w:t>
      </w:r>
      <w:r>
        <w:rPr>
          <w:rFonts w:hint="eastAsia" w:hAnsi="宋体" w:cs="宋体"/>
          <w:b/>
          <w:color w:val="auto"/>
          <w:highlight w:val="none"/>
        </w:rPr>
        <w:t>投标文件的组成</w:t>
      </w:r>
    </w:p>
    <w:p w14:paraId="1008C0A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11.1 </w:t>
      </w:r>
      <w:r>
        <w:rPr>
          <w:rFonts w:hint="eastAsia" w:ascii="宋体" w:hAnsi="宋体" w:cs="宋体"/>
          <w:b/>
          <w:color w:val="auto"/>
          <w:szCs w:val="21"/>
          <w:highlight w:val="none"/>
        </w:rPr>
        <w:t>资格文件</w:t>
      </w:r>
      <w:r>
        <w:rPr>
          <w:rFonts w:hint="eastAsia" w:ascii="宋体" w:hAnsi="宋体" w:cs="宋体"/>
          <w:color w:val="auto"/>
          <w:szCs w:val="21"/>
          <w:highlight w:val="none"/>
        </w:rPr>
        <w:t>：</w:t>
      </w:r>
    </w:p>
    <w:p w14:paraId="56279E56">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11.1.1 符合参加政府采购活动应当具备的一般条件的承诺函；</w:t>
      </w:r>
    </w:p>
    <w:p w14:paraId="25AD99FA">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11.1.2 联合协议（如果有）；</w:t>
      </w:r>
    </w:p>
    <w:p w14:paraId="68CCAF3B">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11.1.3 落实政府采购政策需满足的资格要求（如果有）；</w:t>
      </w:r>
    </w:p>
    <w:p w14:paraId="0D31B005">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11.1.4 本项目的特定资格要求（如果有）。</w:t>
      </w:r>
    </w:p>
    <w:p w14:paraId="5A390891">
      <w:pPr>
        <w:snapToGrid w:val="0"/>
        <w:spacing w:line="360" w:lineRule="auto"/>
        <w:ind w:firstLine="422" w:firstLineChars="200"/>
        <w:rPr>
          <w:rFonts w:ascii="宋体" w:hAnsi="宋体" w:cs="宋体"/>
          <w:b/>
          <w:bCs/>
          <w:color w:val="auto"/>
          <w:szCs w:val="21"/>
          <w:highlight w:val="none"/>
          <w:lang w:val="zh-CN"/>
        </w:rPr>
      </w:pPr>
      <w:r>
        <w:rPr>
          <w:rFonts w:hint="eastAsia" w:ascii="宋体" w:hAnsi="宋体" w:cs="宋体"/>
          <w:b/>
          <w:bCs/>
          <w:color w:val="auto"/>
          <w:szCs w:val="21"/>
          <w:highlight w:val="none"/>
          <w:lang w:val="zh-CN"/>
        </w:rPr>
        <w:t>11.</w:t>
      </w:r>
      <w:r>
        <w:rPr>
          <w:rFonts w:hint="eastAsia" w:ascii="宋体" w:hAnsi="宋体" w:cs="宋体"/>
          <w:b/>
          <w:bCs/>
          <w:color w:val="auto"/>
          <w:szCs w:val="21"/>
          <w:highlight w:val="none"/>
        </w:rPr>
        <w:t>2 商务技术</w:t>
      </w:r>
      <w:r>
        <w:rPr>
          <w:rFonts w:hint="eastAsia" w:ascii="宋体" w:hAnsi="宋体" w:cs="宋体"/>
          <w:b/>
          <w:bCs/>
          <w:color w:val="auto"/>
          <w:szCs w:val="21"/>
          <w:highlight w:val="none"/>
          <w:lang w:val="zh-CN"/>
        </w:rPr>
        <w:t>文件：</w:t>
      </w:r>
    </w:p>
    <w:p w14:paraId="5271E1A2">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11.2.1 投标函；</w:t>
      </w:r>
    </w:p>
    <w:p w14:paraId="3C6BEF6B">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11.2.2 授权委托书或法定代表人（单位负责人、自然人本人）身份证明；</w:t>
      </w:r>
    </w:p>
    <w:p w14:paraId="441CC16C">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11.2.3 分包意向协议（如果有）；</w:t>
      </w:r>
    </w:p>
    <w:p w14:paraId="0A4DFBE8">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11.2.4 符合性审查资料；</w:t>
      </w:r>
    </w:p>
    <w:p w14:paraId="1C0E6017">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11.2.5 评标标准相应的商务技术资料；</w:t>
      </w:r>
    </w:p>
    <w:p w14:paraId="66224A67">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 商务技术偏离表；</w:t>
      </w:r>
    </w:p>
    <w:p w14:paraId="61B29760">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政府采购供应商廉洁自律承诺书；</w:t>
      </w:r>
    </w:p>
    <w:p w14:paraId="7C371014">
      <w:pPr>
        <w:snapToGrid w:val="0"/>
        <w:spacing w:line="360" w:lineRule="auto"/>
        <w:ind w:firstLine="422" w:firstLineChars="200"/>
        <w:rPr>
          <w:rFonts w:ascii="宋体" w:hAnsi="宋体" w:cs="宋体"/>
          <w:color w:val="auto"/>
          <w:szCs w:val="21"/>
          <w:highlight w:val="none"/>
          <w:u w:val="single"/>
          <w:lang w:val="zh-CN"/>
        </w:rPr>
      </w:pPr>
      <w:r>
        <w:rPr>
          <w:rFonts w:hint="eastAsia" w:ascii="宋体" w:hAnsi="宋体" w:cs="宋体"/>
          <w:b/>
          <w:bCs/>
          <w:color w:val="auto"/>
          <w:kern w:val="0"/>
          <w:szCs w:val="21"/>
          <w:highlight w:val="none"/>
          <w:lang w:val="zh-CN"/>
        </w:rPr>
        <w:t>11.</w:t>
      </w:r>
      <w:r>
        <w:rPr>
          <w:rFonts w:hint="eastAsia" w:ascii="宋体" w:hAnsi="宋体" w:cs="宋体"/>
          <w:b/>
          <w:bCs/>
          <w:color w:val="auto"/>
          <w:kern w:val="0"/>
          <w:szCs w:val="21"/>
          <w:highlight w:val="none"/>
        </w:rPr>
        <w:t xml:space="preserve">3 </w:t>
      </w:r>
      <w:r>
        <w:rPr>
          <w:rFonts w:hint="eastAsia" w:ascii="宋体" w:hAnsi="宋体" w:cs="宋体"/>
          <w:b/>
          <w:color w:val="auto"/>
          <w:szCs w:val="21"/>
          <w:highlight w:val="none"/>
        </w:rPr>
        <w:t>报价文件：</w:t>
      </w:r>
    </w:p>
    <w:p w14:paraId="7102A9F9">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11.3.1 开标一览表（报价表）；</w:t>
      </w:r>
    </w:p>
    <w:p w14:paraId="7ADCEF58">
      <w:pPr>
        <w:snapToGrid w:val="0"/>
        <w:spacing w:line="360" w:lineRule="auto"/>
        <w:ind w:firstLine="840" w:firstLineChars="4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11.3.</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报价情况说明（如供应商报价低于项目预算50%的，应当提交本文档，详细阐述不影响产品质量或者诚信履约的具体原因）</w:t>
      </w:r>
      <w:r>
        <w:rPr>
          <w:rFonts w:hint="eastAsia" w:ascii="宋体" w:hAnsi="宋体" w:cs="宋体"/>
          <w:color w:val="auto"/>
          <w:szCs w:val="21"/>
          <w:highlight w:val="none"/>
          <w:lang w:eastAsia="zh-CN"/>
        </w:rPr>
        <w:t>；</w:t>
      </w:r>
    </w:p>
    <w:p w14:paraId="50A6A8A4">
      <w:pPr>
        <w:snapToGrid w:val="0"/>
        <w:spacing w:line="360" w:lineRule="auto"/>
        <w:ind w:firstLine="840" w:firstLineChars="4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11.3.</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 中小企业声明函（如本项目专门面向中小企业采购，此处可不提供）</w:t>
      </w:r>
      <w:r>
        <w:rPr>
          <w:rFonts w:hint="eastAsia" w:ascii="宋体" w:hAnsi="宋体" w:cs="宋体"/>
          <w:color w:val="auto"/>
          <w:szCs w:val="21"/>
          <w:highlight w:val="none"/>
          <w:lang w:eastAsia="zh-CN"/>
        </w:rPr>
        <w:t>。</w:t>
      </w:r>
    </w:p>
    <w:p w14:paraId="5491479C">
      <w:pPr>
        <w:spacing w:line="360" w:lineRule="auto"/>
        <w:ind w:firstLine="632" w:firstLineChars="300"/>
        <w:rPr>
          <w:rFonts w:ascii="宋体" w:hAnsi="宋体" w:cs="宋体"/>
          <w:b/>
          <w:color w:val="auto"/>
          <w:szCs w:val="21"/>
          <w:highlight w:val="none"/>
          <w:u w:val="single"/>
        </w:rPr>
      </w:pPr>
      <w:r>
        <w:rPr>
          <w:rFonts w:hint="eastAsia" w:ascii="宋体" w:hAnsi="宋体" w:cs="宋体"/>
          <w:b/>
          <w:color w:val="auto"/>
          <w:szCs w:val="21"/>
          <w:highlight w:val="none"/>
          <w:u w:val="single"/>
        </w:rPr>
        <w:t>投标文件含有采购人不能接受的附加条件的，投标无效；</w:t>
      </w:r>
    </w:p>
    <w:p w14:paraId="30981896">
      <w:pPr>
        <w:spacing w:line="360" w:lineRule="auto"/>
        <w:ind w:firstLine="632" w:firstLineChars="300"/>
        <w:rPr>
          <w:rFonts w:ascii="宋体" w:hAnsi="宋体" w:cs="宋体"/>
          <w:b/>
          <w:color w:val="auto"/>
          <w:szCs w:val="21"/>
          <w:highlight w:val="none"/>
          <w:u w:val="single"/>
        </w:rPr>
      </w:pPr>
      <w:r>
        <w:rPr>
          <w:rFonts w:hint="eastAsia" w:ascii="宋体" w:hAnsi="宋体" w:cs="宋体"/>
          <w:b/>
          <w:color w:val="auto"/>
          <w:szCs w:val="21"/>
          <w:highlight w:val="none"/>
          <w:u w:val="single"/>
        </w:rPr>
        <w:t>投标人提供虚假材料投标的，投标无效。</w:t>
      </w:r>
    </w:p>
    <w:p w14:paraId="007A6F5F">
      <w:pPr>
        <w:pStyle w:val="135"/>
        <w:snapToGrid w:val="0"/>
        <w:spacing w:before="240" w:beforeLines="100" w:after="240" w:afterLines="100" w:line="240" w:lineRule="auto"/>
        <w:ind w:firstLine="0" w:firstLineChars="0"/>
        <w:outlineLvl w:val="0"/>
        <w:rPr>
          <w:rFonts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w:t>
      </w:r>
      <w:r>
        <w:rPr>
          <w:rFonts w:hint="eastAsia" w:ascii="宋体" w:hAnsi="宋体" w:cs="宋体"/>
          <w:b/>
          <w:color w:val="auto"/>
          <w:sz w:val="21"/>
          <w:szCs w:val="21"/>
          <w:highlight w:val="none"/>
        </w:rPr>
        <w:t>投标文件的编制</w:t>
      </w:r>
    </w:p>
    <w:p w14:paraId="51DC515E">
      <w:pPr>
        <w:spacing w:line="360" w:lineRule="auto"/>
        <w:ind w:firstLine="420" w:firstLineChars="200"/>
        <w:rPr>
          <w:rFonts w:ascii="宋体" w:hAnsi="宋体" w:cs="宋体"/>
          <w:b/>
          <w:color w:val="auto"/>
          <w:szCs w:val="21"/>
          <w:highlight w:val="none"/>
        </w:rPr>
      </w:pPr>
      <w:r>
        <w:rPr>
          <w:rFonts w:hint="eastAsia" w:ascii="宋体" w:hAnsi="宋体" w:cs="宋体"/>
          <w:color w:val="auto"/>
          <w:kern w:val="0"/>
          <w:szCs w:val="21"/>
          <w:highlight w:val="none"/>
          <w:lang w:val="zh-CN"/>
        </w:rPr>
        <w:t>12.1</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0F2ACD4">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0B31927C">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使用“政采云电子交易客户端”需要提前申领CA数字证书，申领流程请自行前往“浙江政府采购网-下载专区-电子交易客户端-CA驱动和申领流程”进行查阅。</w:t>
      </w:r>
    </w:p>
    <w:p w14:paraId="69BA14CF">
      <w:pPr>
        <w:pStyle w:val="135"/>
        <w:snapToGrid w:val="0"/>
        <w:spacing w:before="240" w:beforeLines="100" w:after="240" w:afterLines="100" w:line="240" w:lineRule="auto"/>
        <w:ind w:firstLine="0" w:firstLineChars="0"/>
        <w:outlineLvl w:val="0"/>
        <w:rPr>
          <w:rFonts w:ascii="宋体" w:hAnsi="宋体" w:cs="宋体"/>
          <w:b/>
          <w:color w:val="auto"/>
          <w:sz w:val="21"/>
          <w:szCs w:val="21"/>
          <w:highlight w:val="none"/>
        </w:rPr>
      </w:pPr>
      <w:r>
        <w:rPr>
          <w:rFonts w:hint="eastAsia" w:ascii="宋体" w:hAnsi="宋体" w:cs="宋体"/>
          <w:b/>
          <w:color w:val="auto"/>
          <w:sz w:val="21"/>
          <w:szCs w:val="21"/>
          <w:highlight w:val="none"/>
        </w:rPr>
        <w:t>13.投标文件的签署、盖章</w:t>
      </w:r>
    </w:p>
    <w:p w14:paraId="4224EB7B">
      <w:pPr>
        <w:pStyle w:val="135"/>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13.1 投标文件按照招标文件第六部分格式要求进行签署、盖章。</w:t>
      </w:r>
      <w:r>
        <w:rPr>
          <w:rFonts w:hint="eastAsia" w:ascii="宋体" w:hAnsi="宋体" w:cs="宋体"/>
          <w:b/>
          <w:color w:val="auto"/>
          <w:sz w:val="21"/>
          <w:szCs w:val="21"/>
          <w:highlight w:val="none"/>
        </w:rPr>
        <w:t>▲</w:t>
      </w:r>
      <w:r>
        <w:rPr>
          <w:rFonts w:hint="eastAsia" w:ascii="宋体" w:hAnsi="宋体" w:cs="宋体"/>
          <w:b/>
          <w:color w:val="auto"/>
          <w:sz w:val="21"/>
          <w:szCs w:val="21"/>
          <w:highlight w:val="none"/>
          <w:u w:val="single"/>
        </w:rPr>
        <w:t>投标人的投标文件未按照招标文件要求签署、盖章的，其投标无效</w:t>
      </w:r>
      <w:r>
        <w:rPr>
          <w:rFonts w:hint="eastAsia" w:ascii="宋体" w:hAnsi="宋体" w:cs="宋体"/>
          <w:color w:val="auto"/>
          <w:sz w:val="21"/>
          <w:szCs w:val="21"/>
          <w:highlight w:val="none"/>
          <w:u w:val="single"/>
        </w:rPr>
        <w:t>。</w:t>
      </w:r>
    </w:p>
    <w:p w14:paraId="513EA74A">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13.2 为确保网上操作合法、有效和安全，投标人应当在投标截止时间前完成在“政府采购云平台”的身份认证，确保在电子投标过程中能够对相关数据电文进行加密和使用电子签名。</w:t>
      </w:r>
    </w:p>
    <w:p w14:paraId="3905EF46">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13.3 招标文件对投标文件签署、盖章的要求适用于电子签名。</w:t>
      </w:r>
    </w:p>
    <w:p w14:paraId="4CBE9567">
      <w:pPr>
        <w:pStyle w:val="135"/>
        <w:spacing w:before="240" w:beforeLines="100" w:after="24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14.投标文件的提交、补充、修改、撤回</w:t>
      </w:r>
    </w:p>
    <w:p w14:paraId="306A1996">
      <w:pPr>
        <w:pStyle w:val="13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cs="宋体"/>
          <w:b/>
          <w:bCs/>
          <w:color w:val="auto"/>
          <w:sz w:val="21"/>
          <w:szCs w:val="21"/>
          <w:highlight w:val="none"/>
          <w:u w:val="single"/>
        </w:rPr>
        <w:t>供应商撤回投标不得损害国家利益、社会公共利益、采购人利益、代理机构利益、其他供应商利益，否则，供应商撤销（撤回）投标无效。</w:t>
      </w:r>
      <w:r>
        <w:rPr>
          <w:rFonts w:hint="eastAsia" w:ascii="宋体" w:hAnsi="宋体" w:cs="宋体"/>
          <w:color w:val="auto"/>
          <w:sz w:val="21"/>
          <w:szCs w:val="21"/>
          <w:highlight w:val="none"/>
        </w:rPr>
        <w:t>投标截止时间前未完成传输的，视为撤回投标文件。投标截止时间后递交的投标文件，电子交易平台将拒收。</w:t>
      </w:r>
    </w:p>
    <w:p w14:paraId="78490392">
      <w:pPr>
        <w:pStyle w:val="13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14.2 电子交易平台收到投标文件，将妥善保存并即时向供应商发出确认回执通知。在投标截止时间前，除供应商补充、修改或者撤回投标文件外，任何单位和个人不得解密或提取投标文件。</w:t>
      </w:r>
    </w:p>
    <w:p w14:paraId="7C52402C">
      <w:pPr>
        <w:pStyle w:val="13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14.3 采购人、采购代理机构可以视情况延长投标文件提交的截止时间。在上述情况下，采购代理机构与投标人以前在投标截止期方面的全部权利、责任和义务，将适用于延长至新的投标截止期。</w:t>
      </w:r>
    </w:p>
    <w:p w14:paraId="7D58738F">
      <w:pPr>
        <w:pStyle w:val="5"/>
        <w:spacing w:before="240" w:beforeLines="100" w:after="240" w:afterLines="100"/>
        <w:rPr>
          <w:rFonts w:hAnsi="宋体" w:cs="宋体"/>
          <w:b/>
          <w:color w:val="auto"/>
          <w:highlight w:val="none"/>
        </w:rPr>
      </w:pPr>
      <w:r>
        <w:rPr>
          <w:rFonts w:hint="eastAsia" w:hAnsi="宋体" w:cs="宋体"/>
          <w:b/>
          <w:color w:val="auto"/>
          <w:highlight w:val="none"/>
        </w:rPr>
        <w:t>15.备份投标文件</w:t>
      </w:r>
    </w:p>
    <w:p w14:paraId="7DC1325E">
      <w:pPr>
        <w:pStyle w:val="5"/>
        <w:spacing w:line="360" w:lineRule="auto"/>
        <w:ind w:firstLine="420" w:firstLineChars="200"/>
        <w:rPr>
          <w:rFonts w:hAnsi="宋体" w:cs="宋体"/>
          <w:b/>
          <w:color w:val="auto"/>
          <w:highlight w:val="none"/>
        </w:rPr>
      </w:pPr>
      <w:r>
        <w:rPr>
          <w:rFonts w:hint="eastAsia" w:hAnsi="宋体" w:cs="宋体"/>
          <w:color w:val="auto"/>
          <w:highlight w:val="none"/>
        </w:rPr>
        <w:t>15.1 投标人在电子交易平台传输递交投标文件后，还可以在投标截止时间前直接提交或者以邮政快递方式递交备份投标文件1份，</w:t>
      </w:r>
      <w:r>
        <w:rPr>
          <w:rFonts w:hint="eastAsia" w:hAnsi="宋体" w:cs="宋体"/>
          <w:b/>
          <w:color w:val="auto"/>
          <w:highlight w:val="none"/>
          <w:u w:val="single"/>
        </w:rPr>
        <w:t>但采购人、采购代理机构不强制或变相强制投标人提交备份投标文件。</w:t>
      </w:r>
    </w:p>
    <w:p w14:paraId="5207B5DF">
      <w:pPr>
        <w:pStyle w:val="5"/>
        <w:spacing w:line="360" w:lineRule="auto"/>
        <w:ind w:firstLine="420" w:firstLineChars="200"/>
        <w:rPr>
          <w:rFonts w:hAnsi="宋体" w:cs="宋体"/>
          <w:b/>
          <w:bCs/>
          <w:color w:val="auto"/>
          <w:highlight w:val="none"/>
          <w:u w:val="single"/>
        </w:rPr>
      </w:pPr>
      <w:r>
        <w:rPr>
          <w:rFonts w:hint="eastAsia" w:hAnsi="宋体" w:cs="宋体"/>
          <w:color w:val="auto"/>
          <w:highlight w:val="none"/>
        </w:rPr>
        <w:t>15.2 备份投标文件须在“政采云投标客户端”制作生成，并储存在DVD光盘或U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bCs/>
          <w:color w:val="auto"/>
          <w:highlight w:val="none"/>
          <w:u w:val="single"/>
        </w:rPr>
        <w:t>不符合上述制作、存储、密封规定的备份投标文件将被视为无效或者被拒绝接收。</w:t>
      </w:r>
    </w:p>
    <w:p w14:paraId="18597199">
      <w:pPr>
        <w:pStyle w:val="5"/>
        <w:spacing w:line="360" w:lineRule="auto"/>
        <w:ind w:firstLine="420" w:firstLineChars="200"/>
        <w:rPr>
          <w:rFonts w:hAnsi="宋体" w:cs="宋体"/>
          <w:color w:val="auto"/>
          <w:highlight w:val="none"/>
        </w:rPr>
      </w:pPr>
      <w:r>
        <w:rPr>
          <w:rFonts w:hint="eastAsia" w:hAnsi="宋体" w:cs="宋体"/>
          <w:color w:val="auto"/>
          <w:highlight w:val="none"/>
        </w:rPr>
        <w:t>15.3 直接提交备份投标文件的，投标人应于投标截止时间前在投标人须知前附表规定的地点将备份投标文件提交给采购代理机构，采购代理机构将拒绝接受逾期送达的备份投标文件。</w:t>
      </w:r>
    </w:p>
    <w:p w14:paraId="48A48B70">
      <w:pPr>
        <w:pStyle w:val="5"/>
        <w:spacing w:line="360" w:lineRule="auto"/>
        <w:ind w:firstLine="420" w:firstLineChars="200"/>
        <w:rPr>
          <w:rFonts w:hAnsi="宋体" w:cs="宋体"/>
          <w:color w:val="auto"/>
          <w:highlight w:val="none"/>
        </w:rPr>
      </w:pPr>
      <w:r>
        <w:rPr>
          <w:rFonts w:hint="eastAsia" w:hAnsi="宋体" w:cs="宋体"/>
          <w:color w:val="auto"/>
          <w:highlight w:val="none"/>
        </w:rPr>
        <w:t>15.4 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highlight w:val="none"/>
        </w:rPr>
        <w:t>招标文件第二部分投标人须知前附表规定的备份投标文件送达地点；</w:t>
      </w:r>
      <w:r>
        <w:rPr>
          <w:rFonts w:hint="eastAsia" w:hAnsi="宋体" w:cs="宋体"/>
          <w:color w:val="auto"/>
          <w:highlight w:val="none"/>
        </w:rPr>
        <w:t>送达时间以签收人签收时间为准。采购代理机构将拒绝接受逾期送达的备份投标文件。邮寄过程中，电子备份投标文件发生泄露、遗失、损坏或延期送达等情况的，由投标人自行负责。</w:t>
      </w:r>
    </w:p>
    <w:p w14:paraId="78DC2618">
      <w:pPr>
        <w:pStyle w:val="5"/>
        <w:spacing w:line="360" w:lineRule="auto"/>
        <w:ind w:firstLine="422" w:firstLineChars="200"/>
        <w:rPr>
          <w:rFonts w:hAnsi="宋体" w:cs="宋体"/>
          <w:b/>
          <w:color w:val="auto"/>
          <w:highlight w:val="none"/>
        </w:rPr>
      </w:pPr>
      <w:r>
        <w:rPr>
          <w:rFonts w:hint="eastAsia" w:hAnsi="宋体" w:cs="宋体"/>
          <w:b/>
          <w:color w:val="auto"/>
          <w:highlight w:val="none"/>
        </w:rPr>
        <w:t xml:space="preserve">15.5 </w:t>
      </w:r>
      <w:r>
        <w:rPr>
          <w:rFonts w:hint="eastAsia" w:hAnsi="宋体" w:cs="宋体"/>
          <w:b/>
          <w:color w:val="auto"/>
          <w:highlight w:val="none"/>
          <w:u w:val="single"/>
        </w:rPr>
        <w:t>投标人仅提交备份投标文件，没有在电子交易平台传输递交投标文件的，投标无效。</w:t>
      </w:r>
    </w:p>
    <w:p w14:paraId="62C2D8B4">
      <w:pPr>
        <w:pStyle w:val="135"/>
        <w:spacing w:before="240" w:beforeLines="100" w:after="24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14:paraId="4B12C23F">
      <w:pPr>
        <w:pStyle w:val="17"/>
        <w:spacing w:line="360" w:lineRule="auto"/>
        <w:ind w:firstLine="420"/>
        <w:rPr>
          <w:rFonts w:cs="宋体"/>
          <w:color w:val="auto"/>
          <w:sz w:val="21"/>
          <w:szCs w:val="21"/>
          <w:highlight w:val="none"/>
        </w:rPr>
      </w:pPr>
      <w:r>
        <w:rPr>
          <w:rFonts w:hint="eastAsia" w:cs="宋体"/>
          <w:color w:val="auto"/>
          <w:sz w:val="21"/>
          <w:szCs w:val="21"/>
          <w:highlight w:val="none"/>
        </w:rPr>
        <w:t>有招标文件第四部分第4.2项规定的情形之一的，投标无效：</w:t>
      </w:r>
    </w:p>
    <w:p w14:paraId="728DD4DE">
      <w:pPr>
        <w:pStyle w:val="135"/>
        <w:spacing w:before="240" w:beforeLines="100" w:after="24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17.投标有效期</w:t>
      </w:r>
    </w:p>
    <w:p w14:paraId="167E6137">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17.1 投标有效期为从提交投标文件的截止之日起90天。▲</w:t>
      </w:r>
      <w:r>
        <w:rPr>
          <w:rFonts w:hint="eastAsia" w:ascii="宋体" w:hAnsi="宋体" w:cs="宋体"/>
          <w:b/>
          <w:color w:val="auto"/>
          <w:szCs w:val="21"/>
          <w:highlight w:val="none"/>
          <w:u w:val="single"/>
        </w:rPr>
        <w:t>投标人的投标文件中承诺的投标有效期少于招标文件中载明的投标有效期的，投标无效。</w:t>
      </w:r>
    </w:p>
    <w:p w14:paraId="5839AF1A">
      <w:pPr>
        <w:pStyle w:val="13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17.2 投标文件合格投递后，自投标截止日期起，在投标有效期内有效。</w:t>
      </w:r>
    </w:p>
    <w:p w14:paraId="45CC488C">
      <w:pPr>
        <w:pStyle w:val="135"/>
        <w:spacing w:before="0"/>
        <w:ind w:firstLine="420"/>
        <w:rPr>
          <w:rFonts w:ascii="宋体" w:hAnsi="宋体" w:cs="宋体"/>
          <w:color w:val="auto"/>
          <w:highlight w:val="none"/>
        </w:rPr>
      </w:pPr>
      <w:r>
        <w:rPr>
          <w:rFonts w:hint="eastAsia" w:ascii="宋体" w:hAnsi="宋体" w:cs="宋体"/>
          <w:color w:val="auto"/>
          <w:sz w:val="21"/>
          <w:szCs w:val="21"/>
          <w:highlight w:val="none"/>
        </w:rPr>
        <w:t>17.3 在原定投标有效期满之前，如果出现特殊情况，采购代理机构可以以书面形式通知投标人延长投标有效期。投标人同意延长的，不得要求或被允许修改其投标文件，投标人拒绝延长的，其投标无效。</w:t>
      </w:r>
    </w:p>
    <w:p w14:paraId="0301740E">
      <w:pPr>
        <w:pStyle w:val="135"/>
        <w:spacing w:before="240" w:beforeLines="100" w:after="240" w:afterLines="100" w:line="240" w:lineRule="auto"/>
        <w:ind w:firstLine="0" w:firstLineChars="0"/>
        <w:jc w:val="center"/>
        <w:rPr>
          <w:rFonts w:ascii="宋体" w:hAnsi="宋体" w:cs="宋体"/>
          <w:b/>
          <w:color w:val="auto"/>
          <w:sz w:val="36"/>
          <w:szCs w:val="21"/>
          <w:highlight w:val="none"/>
        </w:rPr>
      </w:pPr>
      <w:r>
        <w:rPr>
          <w:rFonts w:hint="eastAsia" w:ascii="宋体" w:hAnsi="宋体" w:cs="宋体"/>
          <w:b/>
          <w:color w:val="auto"/>
          <w:sz w:val="36"/>
          <w:szCs w:val="21"/>
          <w:highlight w:val="none"/>
        </w:rPr>
        <w:t>四、开标、资格审查与信用信息查询</w:t>
      </w:r>
    </w:p>
    <w:p w14:paraId="6DDC267A">
      <w:pPr>
        <w:pStyle w:val="135"/>
        <w:spacing w:before="240" w:beforeLines="100" w:after="24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18.开标</w:t>
      </w:r>
    </w:p>
    <w:p w14:paraId="091384FE">
      <w:pPr>
        <w:pStyle w:val="559"/>
        <w:wordWrap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 采购代理机构按照招标文件规定的时间通过电子交易平台组织开标，所有投标人均应当准时在线参加。投标人不足3家的，不得开标。</w:t>
      </w:r>
    </w:p>
    <w:p w14:paraId="163F2771">
      <w:pPr>
        <w:pStyle w:val="559"/>
        <w:wordWrap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18.2 开标时，电子交易平台按开标时间自动提取所有投标文件。采购代理机构依托电子交易平台发起开始解密指令，投标人按照平台提示和招标文件的规定在半小时内完成在线解密。</w:t>
      </w:r>
    </w:p>
    <w:p w14:paraId="491D1154">
      <w:pPr>
        <w:pStyle w:val="559"/>
        <w:wordWrap w:val="0"/>
        <w:spacing w:before="0" w:line="360" w:lineRule="auto"/>
        <w:ind w:left="0" w:firstLine="420" w:firstLineChars="200"/>
        <w:contextualSpacing/>
        <w:rPr>
          <w:rFonts w:ascii="宋体" w:hAnsi="宋体" w:cs="宋体"/>
          <w:b/>
          <w:color w:val="auto"/>
          <w:sz w:val="21"/>
          <w:szCs w:val="21"/>
          <w:highlight w:val="none"/>
        </w:rPr>
      </w:pPr>
      <w:r>
        <w:rPr>
          <w:rFonts w:hint="eastAsia" w:ascii="宋体" w:hAnsi="宋体" w:cs="宋体"/>
          <w:color w:val="auto"/>
          <w:sz w:val="21"/>
          <w:szCs w:val="21"/>
          <w:highlight w:val="none"/>
        </w:rPr>
        <w:t xml:space="preserve">18.3 </w:t>
      </w:r>
      <w:r>
        <w:rPr>
          <w:rFonts w:hint="eastAsia" w:ascii="宋体" w:hAnsi="宋体" w:cs="宋体"/>
          <w:b/>
          <w:color w:val="auto"/>
          <w:sz w:val="21"/>
          <w:szCs w:val="21"/>
          <w:highlight w:val="none"/>
          <w:u w:val="single"/>
        </w:rPr>
        <w:t>投标文件未按时解密，投标人提供了备份投标文件的，以备份投标文件作为依据，否则视为投标文件撤回。投标文件已按时解密的，备份投标文件自动失效。</w:t>
      </w:r>
    </w:p>
    <w:p w14:paraId="670E5AD1">
      <w:pPr>
        <w:pStyle w:val="135"/>
        <w:spacing w:before="240" w:beforeLines="100" w:after="24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19.资格审查</w:t>
      </w:r>
    </w:p>
    <w:p w14:paraId="2FC2C505">
      <w:pPr>
        <w:pStyle w:val="135"/>
        <w:wordWrap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19.1 开标后，采购人将依据法律法规和招标文件的规定，对投标人的资格进行审查。</w:t>
      </w:r>
    </w:p>
    <w:p w14:paraId="3A228A19">
      <w:pPr>
        <w:pStyle w:val="135"/>
        <w:wordWrap w:val="0"/>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19.2 投标人未按照招标文件要求提供与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投标人不具备招标文件中规定的资格要求，其投标无效。</w:t>
      </w:r>
    </w:p>
    <w:p w14:paraId="40823B0A">
      <w:pPr>
        <w:pStyle w:val="135"/>
        <w:wordWrap w:val="0"/>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3 对未通过资格审查的投标人，告知其未通过的原因。</w:t>
      </w:r>
    </w:p>
    <w:p w14:paraId="0BB3BA04">
      <w:pPr>
        <w:pStyle w:val="135"/>
        <w:wordWrap w:val="0"/>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 合格投标人不足3家的，不再评标。</w:t>
      </w:r>
    </w:p>
    <w:p w14:paraId="0167BFE0">
      <w:pPr>
        <w:pStyle w:val="135"/>
        <w:wordWrap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19.5 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46B000E">
      <w:pPr>
        <w:pStyle w:val="135"/>
        <w:spacing w:before="240" w:beforeLines="100" w:after="24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20.信用信息查询</w:t>
      </w:r>
    </w:p>
    <w:p w14:paraId="40760A3A">
      <w:pPr>
        <w:pStyle w:val="135"/>
        <w:wordWrap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 信用信息查询渠道及截止时间：</w:t>
      </w:r>
      <w:r>
        <w:rPr>
          <w:rFonts w:hint="eastAsia" w:ascii="宋体" w:hAnsi="宋体" w:cs="宋体"/>
          <w:color w:val="auto"/>
          <w:kern w:val="0"/>
          <w:sz w:val="21"/>
          <w:szCs w:val="21"/>
          <w:highlight w:val="none"/>
          <w:u w:val="single"/>
        </w:rPr>
        <w:t>采购代理机构将在资格审查时通过“信用中国”网站(www.creditchina.gov.cn)、中国政府采购网(www.ccgp.gov.cn)渠道查询投标人接受资格时的信用记录。</w:t>
      </w:r>
    </w:p>
    <w:p w14:paraId="12E39D1E">
      <w:pPr>
        <w:pStyle w:val="135"/>
        <w:wordWrap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 信用信息查询记录和证据留存的具体方式：</w:t>
      </w:r>
      <w:r>
        <w:rPr>
          <w:rFonts w:hint="eastAsia" w:ascii="宋体" w:hAnsi="宋体" w:cs="宋体"/>
          <w:color w:val="auto"/>
          <w:kern w:val="0"/>
          <w:sz w:val="21"/>
          <w:szCs w:val="21"/>
          <w:highlight w:val="none"/>
          <w:u w:val="single"/>
        </w:rPr>
        <w:t>现场查询的投标人的信用记录、查询结果经确认后将与采购文件一起存档。</w:t>
      </w:r>
    </w:p>
    <w:p w14:paraId="776F38AE">
      <w:pPr>
        <w:pStyle w:val="135"/>
        <w:wordWrap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 信用信息的使用规则：</w:t>
      </w:r>
      <w:r>
        <w:rPr>
          <w:rFonts w:hint="eastAsia" w:ascii="宋体" w:hAnsi="宋体" w:cs="宋体"/>
          <w:color w:val="auto"/>
          <w:kern w:val="0"/>
          <w:sz w:val="21"/>
          <w:szCs w:val="21"/>
          <w:highlight w:val="none"/>
          <w:u w:val="single"/>
        </w:rPr>
        <w:t>经查询列入失信被执行人名单、重大税收违法案件当事人名单、政府采购严重违法失信行为记录名单的投标人将被拒绝参与政府采购活动。</w:t>
      </w:r>
    </w:p>
    <w:p w14:paraId="056AC88B">
      <w:pPr>
        <w:pStyle w:val="135"/>
        <w:wordWrap w:val="0"/>
        <w:spacing w:before="0"/>
        <w:ind w:firstLine="420"/>
        <w:rPr>
          <w:rFonts w:ascii="宋体" w:hAnsi="宋体" w:cs="宋体"/>
          <w:color w:val="auto"/>
          <w:highlight w:val="none"/>
        </w:rPr>
      </w:pPr>
      <w:r>
        <w:rPr>
          <w:rFonts w:hint="eastAsia" w:ascii="宋体" w:hAnsi="宋体" w:cs="宋体"/>
          <w:color w:val="auto"/>
          <w:kern w:val="0"/>
          <w:sz w:val="21"/>
          <w:szCs w:val="21"/>
          <w:highlight w:val="none"/>
        </w:rPr>
        <w:t>20.4 联合体信用信息查询：</w:t>
      </w:r>
      <w:r>
        <w:rPr>
          <w:rFonts w:hint="eastAsia" w:ascii="宋体" w:hAnsi="宋体" w:cs="宋体"/>
          <w:color w:val="auto"/>
          <w:kern w:val="0"/>
          <w:sz w:val="21"/>
          <w:szCs w:val="21"/>
          <w:highlight w:val="none"/>
          <w:u w:val="singl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u w:val="single"/>
        </w:rPr>
        <w:t>。</w:t>
      </w:r>
    </w:p>
    <w:p w14:paraId="3AFC6927">
      <w:pPr>
        <w:snapToGrid w:val="0"/>
        <w:spacing w:before="240" w:beforeLines="100" w:after="240" w:afterLines="100"/>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8CA2C10">
      <w:pPr>
        <w:pStyle w:val="135"/>
        <w:spacing w:before="240" w:beforeLines="100" w:after="240" w:afterLines="100" w:line="240" w:lineRule="auto"/>
        <w:ind w:firstLine="0" w:firstLineChars="0"/>
        <w:rPr>
          <w:rFonts w:ascii="宋体" w:hAnsi="宋体" w:cs="宋体"/>
          <w:b/>
          <w:color w:val="auto"/>
          <w:sz w:val="21"/>
          <w:szCs w:val="21"/>
          <w:highlight w:val="none"/>
        </w:rPr>
      </w:pPr>
      <w:bookmarkStart w:id="13" w:name="_Toc91899903"/>
      <w:r>
        <w:rPr>
          <w:rFonts w:hint="eastAsia" w:ascii="宋体" w:hAnsi="宋体" w:cs="宋体"/>
          <w:b/>
          <w:color w:val="auto"/>
          <w:sz w:val="21"/>
          <w:szCs w:val="21"/>
          <w:highlight w:val="none"/>
        </w:rPr>
        <w:t>21.评标</w:t>
      </w:r>
    </w:p>
    <w:p w14:paraId="0DEFA5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评标委员会由政府采购评审专家4人和采购人代表1人，共5人组成。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4BFD7C3B">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详见招标文件第四部分评标办法。</w:t>
      </w:r>
    </w:p>
    <w:p w14:paraId="1AF63E79">
      <w:pPr>
        <w:snapToGrid w:val="0"/>
        <w:spacing w:before="240" w:beforeLines="100" w:after="240" w:afterLines="100"/>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14:paraId="43DF5E61">
      <w:pPr>
        <w:pStyle w:val="135"/>
        <w:spacing w:before="240" w:beforeLines="100" w:after="24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22.确定中标供应商</w:t>
      </w:r>
    </w:p>
    <w:p w14:paraId="543A6B29">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评审报告推荐的中标候选人中按顺序在线确定中标或者成交供应商，为提高政府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14:paraId="3F3C74A1">
      <w:pPr>
        <w:pStyle w:val="135"/>
        <w:spacing w:before="240" w:beforeLines="100" w:after="24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23.中标通知与中标结果公告</w:t>
      </w:r>
    </w:p>
    <w:p w14:paraId="35D71BD4">
      <w:pPr>
        <w:widowControl/>
        <w:shd w:val="clear" w:color="auto" w:fill="FFFFFF"/>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23.1 自中标人确定之日起2个工作日内，采购代理机构通过电子交易平台向中标人发出中标通知书，同时编制发布采购结果公告。采购代理机构也可以以纸质形式进行中标通知。</w:t>
      </w:r>
    </w:p>
    <w:p w14:paraId="6A6625C3">
      <w:pPr>
        <w:widowControl/>
        <w:shd w:val="clear" w:color="auto" w:fill="FFFFFF"/>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23.2 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16B0B23">
      <w:pPr>
        <w:widowControl/>
        <w:shd w:val="clear" w:color="auto" w:fill="FFFFFF"/>
        <w:spacing w:line="360" w:lineRule="auto"/>
        <w:ind w:firstLine="420" w:firstLineChars="200"/>
        <w:jc w:val="left"/>
        <w:rPr>
          <w:rFonts w:ascii="宋体" w:hAnsi="宋体" w:cs="宋体"/>
          <w:color w:val="auto"/>
          <w:sz w:val="24"/>
          <w:highlight w:val="none"/>
        </w:rPr>
      </w:pPr>
      <w:r>
        <w:rPr>
          <w:rFonts w:hint="eastAsia" w:ascii="宋体" w:hAnsi="宋体" w:cs="宋体"/>
          <w:color w:val="auto"/>
          <w:szCs w:val="21"/>
          <w:highlight w:val="none"/>
        </w:rPr>
        <w:t>23.3 公告期限为1个工作日。</w:t>
      </w:r>
    </w:p>
    <w:p w14:paraId="710BBD2B">
      <w:pPr>
        <w:snapToGrid w:val="0"/>
        <w:spacing w:before="240" w:beforeLines="100" w:after="240" w:afterLines="100"/>
        <w:jc w:val="center"/>
        <w:rPr>
          <w:rFonts w:ascii="宋体" w:hAnsi="宋体" w:cs="宋体"/>
          <w:b/>
          <w:color w:val="auto"/>
          <w:sz w:val="36"/>
          <w:szCs w:val="28"/>
          <w:highlight w:val="none"/>
        </w:rPr>
      </w:pPr>
      <w:r>
        <w:rPr>
          <w:rFonts w:hint="eastAsia" w:ascii="宋体" w:hAnsi="宋体" w:cs="宋体"/>
          <w:b/>
          <w:color w:val="auto"/>
          <w:sz w:val="36"/>
          <w:szCs w:val="28"/>
          <w:highlight w:val="none"/>
        </w:rPr>
        <w:t>七、合同授予</w:t>
      </w:r>
    </w:p>
    <w:p w14:paraId="5B3F23A6">
      <w:pPr>
        <w:pStyle w:val="135"/>
        <w:spacing w:before="240" w:beforeLines="100" w:after="24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24.合同主要条款</w:t>
      </w:r>
    </w:p>
    <w:p w14:paraId="307D2EAE">
      <w:pPr>
        <w:pStyle w:val="17"/>
        <w:spacing w:line="360" w:lineRule="auto"/>
        <w:ind w:firstLine="420"/>
        <w:rPr>
          <w:rFonts w:cs="宋体"/>
          <w:b/>
          <w:color w:val="auto"/>
          <w:sz w:val="21"/>
          <w:szCs w:val="21"/>
          <w:highlight w:val="none"/>
        </w:rPr>
      </w:pPr>
      <w:r>
        <w:rPr>
          <w:rFonts w:hint="eastAsia" w:cs="宋体"/>
          <w:color w:val="auto"/>
          <w:sz w:val="21"/>
          <w:szCs w:val="21"/>
          <w:highlight w:val="none"/>
        </w:rPr>
        <w:t>合同主要条款详见第五部分拟签订的合同文本。</w:t>
      </w:r>
    </w:p>
    <w:p w14:paraId="118A24DE">
      <w:pPr>
        <w:pStyle w:val="135"/>
        <w:spacing w:before="240" w:beforeLines="100" w:after="24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25.合同的签订</w:t>
      </w:r>
    </w:p>
    <w:p w14:paraId="506E0EBC">
      <w:pPr>
        <w:widowControl/>
        <w:shd w:val="clear" w:color="auto" w:fill="FFFFFF"/>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1996B30">
      <w:pPr>
        <w:pStyle w:val="135"/>
        <w:snapToGrid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68203FC9">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25.3 如签订合同并生效后，供应商无故拒绝或延期，除按照合同条款处理外，列入不良行为记录一次，并给予通报。</w:t>
      </w:r>
    </w:p>
    <w:p w14:paraId="777B6991">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25.4 中标供应商拒绝与采购人签订合同的，采购人可以按照评审报告推荐的中标或者成交候选人名单排序，确定下一候选人为中标供应商，也可以重新开展政府采购活动。</w:t>
      </w:r>
    </w:p>
    <w:p w14:paraId="1CF626B3">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25.5 采购合同由采购人与中标供应商根据招标文件、投标文件等内容通过政府采购电子交易平台在线签订，自动备案。</w:t>
      </w:r>
    </w:p>
    <w:p w14:paraId="09650D2D">
      <w:pPr>
        <w:pStyle w:val="135"/>
        <w:spacing w:before="240" w:beforeLines="100" w:after="24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26.履约保证金</w:t>
      </w:r>
    </w:p>
    <w:p w14:paraId="02A40F58">
      <w:pPr>
        <w:pStyle w:val="135"/>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FD81B2F">
      <w:pPr>
        <w:pStyle w:val="135"/>
        <w:snapToGrid w:val="0"/>
        <w:spacing w:before="0"/>
        <w:ind w:left="420" w:leftChars="200" w:firstLine="0" w:firstLineChars="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供应商可登录政采云平台-【金融服务】—【我的项目】—【已备案合同】以保函形式提供：</w:t>
      </w:r>
    </w:p>
    <w:p w14:paraId="1DE3ACE2">
      <w:pPr>
        <w:pStyle w:val="135"/>
        <w:snapToGrid w:val="0"/>
        <w:spacing w:before="0"/>
        <w:ind w:left="420" w:leftChars="200" w:firstLine="0" w:firstLineChars="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zh-CN"/>
        </w:rPr>
        <w:t>）供应商在合同列表选择需要投保的合同，点击[保函推荐]；</w:t>
      </w:r>
    </w:p>
    <w:p w14:paraId="57B775C9">
      <w:pPr>
        <w:pStyle w:val="135"/>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zh-CN"/>
        </w:rPr>
        <w:t>）在弹框里查看推荐的保函产品，供应商自行选择保函产品，点击[立即申请]；</w:t>
      </w:r>
    </w:p>
    <w:p w14:paraId="37EBF07F">
      <w:pPr>
        <w:pStyle w:val="135"/>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zh-CN"/>
        </w:rPr>
        <w:t>）在弹框里填写保函申请信息。</w:t>
      </w:r>
    </w:p>
    <w:p w14:paraId="4C5B00B8">
      <w:pPr>
        <w:pStyle w:val="135"/>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具体步骤：选择产品—填写供应商信息—选择中标项目—确认信息—等待保险/保函受理—确认保单—支付保费—成功出单。政采云金融专线400-903-9583。</w:t>
      </w:r>
    </w:p>
    <w:p w14:paraId="5487DED4">
      <w:pPr>
        <w:pStyle w:val="135"/>
        <w:spacing w:before="240" w:beforeLines="100" w:after="240" w:afterLines="100" w:line="240" w:lineRule="auto"/>
        <w:ind w:firstLine="0" w:firstLineChars="0"/>
        <w:rPr>
          <w:rFonts w:ascii="宋体" w:hAnsi="宋体" w:cs="宋体"/>
          <w:b/>
          <w:color w:val="auto"/>
          <w:sz w:val="21"/>
          <w:szCs w:val="21"/>
          <w:highlight w:val="none"/>
          <w:lang w:val="zh-CN"/>
        </w:rPr>
      </w:pPr>
      <w:r>
        <w:rPr>
          <w:rFonts w:hint="eastAsia" w:ascii="宋体" w:hAnsi="宋体" w:cs="宋体"/>
          <w:b/>
          <w:color w:val="auto"/>
          <w:sz w:val="21"/>
          <w:szCs w:val="21"/>
          <w:highlight w:val="none"/>
        </w:rPr>
        <w:t xml:space="preserve">27. </w:t>
      </w:r>
      <w:r>
        <w:rPr>
          <w:rFonts w:hint="eastAsia" w:ascii="宋体" w:hAnsi="宋体" w:cs="宋体"/>
          <w:b/>
          <w:color w:val="auto"/>
          <w:sz w:val="21"/>
          <w:szCs w:val="21"/>
          <w:highlight w:val="none"/>
          <w:lang w:val="zh-CN"/>
        </w:rPr>
        <w:t>预付款</w:t>
      </w:r>
    </w:p>
    <w:p w14:paraId="1C4CA879">
      <w:pPr>
        <w:pStyle w:val="135"/>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p>
    <w:p w14:paraId="10272C5E">
      <w:pPr>
        <w:pStyle w:val="135"/>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可登录政采云前台大厅选择金融服务-【保函保险服务】出具预付款保函，具体步骤：选择产品—填写供应商信息—选择中标项目—确认信息—等待保险/保函受理—确认保单—支付保费—成功出单。政采云金融专线400-903-9583。</w:t>
      </w:r>
    </w:p>
    <w:p w14:paraId="138F1A8C">
      <w:pPr>
        <w:snapToGrid w:val="0"/>
        <w:spacing w:before="240" w:beforeLines="100" w:after="240" w:afterLines="100"/>
        <w:jc w:val="center"/>
        <w:rPr>
          <w:rFonts w:ascii="宋体" w:hAnsi="宋体" w:cs="宋体"/>
          <w:b/>
          <w:color w:val="auto"/>
          <w:sz w:val="36"/>
          <w:szCs w:val="36"/>
          <w:highlight w:val="none"/>
        </w:rPr>
      </w:pPr>
      <w:r>
        <w:rPr>
          <w:rFonts w:hint="eastAsia" w:ascii="宋体" w:hAnsi="宋体" w:cs="宋体"/>
          <w:b/>
          <w:color w:val="auto"/>
          <w:sz w:val="36"/>
          <w:szCs w:val="36"/>
          <w:highlight w:val="none"/>
        </w:rPr>
        <w:t>八、电子交易活动的中止</w:t>
      </w:r>
    </w:p>
    <w:p w14:paraId="219A455F">
      <w:pPr>
        <w:pStyle w:val="135"/>
        <w:spacing w:before="240" w:beforeLines="100" w:after="24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28. 电子交易活动的中止</w:t>
      </w:r>
    </w:p>
    <w:p w14:paraId="46880457">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采购过程中出现以下情形，导致电子交易平台无法正常运行，或者无法保证电子交易的公平、公正和安全时，采购代理机构可中止电子交易活动：</w:t>
      </w:r>
    </w:p>
    <w:p w14:paraId="565C1E05">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 xml:space="preserve">28.1 电子交易平台发生故障而无法登录访问的； </w:t>
      </w:r>
    </w:p>
    <w:p w14:paraId="2CE99BF4">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28.2 电子交易平台应用或数据库出现错误，不能进行正常操作的；</w:t>
      </w:r>
    </w:p>
    <w:p w14:paraId="34D46E8A">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28.3 电子交易平台发现严重安全漏洞，有潜在泄密危险的；</w:t>
      </w:r>
    </w:p>
    <w:p w14:paraId="5E6CA454">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 xml:space="preserve">28.4 病毒发作导致不能进行正常操作的； </w:t>
      </w:r>
    </w:p>
    <w:p w14:paraId="6842E2F5">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28.5 其他无法保证电子交易的公平、公正和安全的情况。</w:t>
      </w:r>
    </w:p>
    <w:p w14:paraId="15F69CB5">
      <w:pPr>
        <w:pStyle w:val="135"/>
        <w:spacing w:before="240" w:beforeLines="100" w:after="24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29. 电子交易活动异常的处理</w:t>
      </w:r>
    </w:p>
    <w:p w14:paraId="4BD7135B">
      <w:pPr>
        <w:pStyle w:val="135"/>
        <w:snapToGrid w:val="0"/>
        <w:spacing w:before="0"/>
        <w:ind w:firstLine="422"/>
        <w:rPr>
          <w:rFonts w:ascii="宋体" w:hAnsi="宋体" w:cs="宋体"/>
          <w:b/>
          <w:bCs/>
          <w:color w:val="auto"/>
          <w:highlight w:val="none"/>
          <w:u w:val="single"/>
        </w:rPr>
      </w:pPr>
      <w:r>
        <w:rPr>
          <w:rFonts w:hint="eastAsia" w:ascii="宋体" w:hAnsi="宋体" w:cs="宋体"/>
          <w:b/>
          <w:bCs/>
          <w:color w:val="auto"/>
          <w:sz w:val="21"/>
          <w:szCs w:val="16"/>
          <w:highlight w:val="none"/>
          <w:u w:val="single"/>
        </w:rPr>
        <w:t>出现第28项情形的，不影响采购公平、公正性的，采购组织机构可以待上述情形消除后继续组织电子交易活动，也可以决定某些环节以纸质形式进行；影响或可能影响采购公平、公正性的，应当重新采购。</w:t>
      </w:r>
    </w:p>
    <w:p w14:paraId="55165315">
      <w:pPr>
        <w:snapToGrid w:val="0"/>
        <w:spacing w:before="240" w:beforeLines="100" w:after="240" w:afterLines="100"/>
        <w:jc w:val="center"/>
        <w:rPr>
          <w:rFonts w:ascii="宋体" w:hAnsi="宋体" w:cs="宋体"/>
          <w:b/>
          <w:color w:val="auto"/>
          <w:sz w:val="36"/>
          <w:szCs w:val="36"/>
          <w:highlight w:val="none"/>
        </w:rPr>
      </w:pPr>
      <w:r>
        <w:rPr>
          <w:rFonts w:hint="eastAsia" w:ascii="宋体" w:hAnsi="宋体" w:cs="宋体"/>
          <w:b/>
          <w:color w:val="auto"/>
          <w:sz w:val="36"/>
          <w:szCs w:val="36"/>
          <w:highlight w:val="none"/>
        </w:rPr>
        <w:t>九、验收</w:t>
      </w:r>
    </w:p>
    <w:p w14:paraId="248337A1">
      <w:pPr>
        <w:pStyle w:val="135"/>
        <w:spacing w:before="240" w:beforeLines="100" w:after="24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30. 验收</w:t>
      </w:r>
    </w:p>
    <w:p w14:paraId="204D43C4">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30.1 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14FABE">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30.2 采购人可以邀请参加本项目的其他投标人或者第三方机构参与验收。参与验收的投标人或者第三方机构的意见作为验收书的参考资料一并存档。</w:t>
      </w:r>
    </w:p>
    <w:p w14:paraId="242BABD7">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9FF5838">
      <w:pPr>
        <w:tabs>
          <w:tab w:val="left" w:pos="0"/>
        </w:tabs>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30.4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32E6155">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284"/>
          <w:pgBorders>
            <w:top w:val="none" w:sz="0" w:space="0"/>
            <w:left w:val="none" w:sz="0" w:space="0"/>
            <w:bottom w:val="none" w:sz="0" w:space="0"/>
            <w:right w:val="none" w:sz="0" w:space="0"/>
          </w:pgBorders>
          <w:cols w:space="720" w:num="1"/>
          <w:titlePg/>
          <w:docGrid w:linePitch="312" w:charSpace="0"/>
        </w:sectPr>
      </w:pPr>
      <w:bookmarkStart w:id="14" w:name="_Hlt68072998"/>
      <w:bookmarkEnd w:id="14"/>
      <w:bookmarkStart w:id="15" w:name="_Hlt68073093"/>
      <w:bookmarkEnd w:id="15"/>
      <w:bookmarkStart w:id="16" w:name="_Hlt74707468"/>
      <w:bookmarkEnd w:id="16"/>
      <w:bookmarkStart w:id="17" w:name="_Hlt74714665"/>
      <w:bookmarkEnd w:id="17"/>
      <w:bookmarkStart w:id="18" w:name="_Hlt68057669"/>
      <w:bookmarkEnd w:id="18"/>
      <w:bookmarkStart w:id="19" w:name="_Hlt75236101"/>
      <w:bookmarkEnd w:id="19"/>
      <w:bookmarkStart w:id="20" w:name="_Hlt75236011"/>
      <w:bookmarkEnd w:id="20"/>
      <w:bookmarkStart w:id="21" w:name="_Hlt68403820"/>
      <w:bookmarkEnd w:id="21"/>
      <w:bookmarkStart w:id="22" w:name="_Hlt75236290"/>
      <w:bookmarkEnd w:id="22"/>
      <w:bookmarkStart w:id="23" w:name="_Hlt68072990"/>
      <w:bookmarkEnd w:id="23"/>
      <w:bookmarkStart w:id="24" w:name="_Hlt74729768"/>
      <w:bookmarkEnd w:id="24"/>
      <w:bookmarkStart w:id="25" w:name="_Hlt74730295"/>
      <w:bookmarkEnd w:id="25"/>
    </w:p>
    <w:bookmarkEnd w:id="11"/>
    <w:bookmarkEnd w:id="12"/>
    <w:p w14:paraId="0AD0BABD">
      <w:pPr>
        <w:spacing w:before="319" w:beforeLines="100" w:after="319" w:afterLines="100"/>
        <w:contextualSpacing/>
        <w:jc w:val="center"/>
        <w:outlineLvl w:val="0"/>
        <w:rPr>
          <w:rFonts w:ascii="宋体" w:hAnsi="宋体" w:cs="宋体"/>
          <w:b/>
          <w:color w:val="auto"/>
          <w:sz w:val="36"/>
          <w:szCs w:val="36"/>
          <w:highlight w:val="none"/>
        </w:rPr>
      </w:pPr>
      <w:bookmarkStart w:id="26" w:name="第四部分"/>
      <w:r>
        <w:rPr>
          <w:rFonts w:hint="eastAsia" w:ascii="宋体" w:hAnsi="宋体" w:cs="宋体"/>
          <w:b/>
          <w:color w:val="auto"/>
          <w:sz w:val="36"/>
          <w:szCs w:val="36"/>
          <w:highlight w:val="none"/>
        </w:rPr>
        <w:t>第三部分 采购需求</w:t>
      </w:r>
    </w:p>
    <w:p w14:paraId="2ED38535">
      <w:pPr>
        <w:wordWrap w:val="0"/>
        <w:spacing w:line="360" w:lineRule="auto"/>
        <w:ind w:firstLine="428"/>
        <w:rPr>
          <w:rFonts w:ascii="宋体" w:hAnsi="宋体" w:cs="宋体"/>
          <w:b/>
          <w:bCs/>
          <w:color w:val="auto"/>
          <w:szCs w:val="21"/>
          <w:highlight w:val="none"/>
        </w:rPr>
      </w:pPr>
      <w:r>
        <w:rPr>
          <w:rFonts w:hint="eastAsia" w:ascii="宋体" w:hAnsi="宋体" w:cs="宋体"/>
          <w:b/>
          <w:bCs/>
          <w:color w:val="auto"/>
          <w:sz w:val="21"/>
          <w:szCs w:val="21"/>
          <w:highlight w:val="none"/>
        </w:rPr>
        <w:t>一、项目背景</w:t>
      </w:r>
    </w:p>
    <w:p w14:paraId="03AA052B">
      <w:pPr>
        <w:wordWrap w:val="0"/>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高新区（高照街道）人力资源市场建设已列入2025年度秀洲区政府民生实事项目。高新区人才人力大厦装修计划于2025年8月完工，人力资源市场届时将正式投入使用。人力资源市场的建成将有助于促进就业和人才配置的优化，也有助于构建新发展格局和推动高质量发展。为进一步提升公共就业和人才服务水平，建立健全统一规范的高新区（高照街道）人力资源市场体系，打造便捷高效的全方位公共就业服务体系，拟实施2025-2026年度高新区（高照街道）人力资源市场运营服务项目。</w:t>
      </w:r>
    </w:p>
    <w:p w14:paraId="2C94FDF7">
      <w:pPr>
        <w:wordWrap w:val="0"/>
        <w:spacing w:line="360" w:lineRule="auto"/>
        <w:ind w:firstLine="428"/>
        <w:rPr>
          <w:rFonts w:ascii="宋体" w:hAnsi="宋体" w:cs="宋体"/>
          <w:b/>
          <w:bCs/>
          <w:color w:val="auto"/>
          <w:szCs w:val="21"/>
          <w:highlight w:val="none"/>
        </w:rPr>
      </w:pPr>
      <w:r>
        <w:rPr>
          <w:rFonts w:hint="eastAsia" w:ascii="宋体" w:hAnsi="宋体" w:cs="宋体"/>
          <w:b/>
          <w:bCs/>
          <w:color w:val="auto"/>
          <w:sz w:val="21"/>
          <w:szCs w:val="21"/>
          <w:highlight w:val="none"/>
        </w:rPr>
        <w:t>二、服务内容</w:t>
      </w:r>
    </w:p>
    <w:p w14:paraId="3F2B83BF">
      <w:pPr>
        <w:wordWrap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派驻不少于6名就业服务专员从事就业专业服务，开展求职、招聘、培训、零工调剂、劳资矛盾纠纷调解等人力资源服务，服务企业不少于1500家次，每周开设专场招聘会，全年不少于50场次，举办沙龙或各类讲座培训不少于20场次；</w:t>
      </w:r>
    </w:p>
    <w:p w14:paraId="7CA4D043">
      <w:pPr>
        <w:wordWrap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日常运行维护“高新区（高照街道）零工市场”，为企业及求职者提供公共就业服务，其中包括企业招聘信息发布、求职者需求匹配、现场招聘会举办、人社就业补贴类相关政策咨询、企业沙龙培训等人力资源服务；</w:t>
      </w:r>
    </w:p>
    <w:p w14:paraId="2D04C037">
      <w:pPr>
        <w:wordWrap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3、搭建秀洲区人力资源市场——高新区（高照街道）人力资源市场——高新区（高照街道）工业社区“好就业服务站”工作体系，在</w:t>
      </w:r>
      <w:r>
        <w:rPr>
          <w:rFonts w:hint="eastAsia" w:ascii="宋体" w:hAnsi="宋体" w:cs="宋体"/>
          <w:color w:val="auto"/>
          <w:sz w:val="21"/>
          <w:szCs w:val="21"/>
          <w:highlight w:val="none"/>
          <w:lang w:val="en-US" w:eastAsia="zh-CN"/>
        </w:rPr>
        <w:t>区</w:t>
      </w:r>
      <w:r>
        <w:rPr>
          <w:rFonts w:hint="eastAsia" w:ascii="宋体" w:hAnsi="宋体" w:cs="宋体"/>
          <w:color w:val="auto"/>
          <w:sz w:val="21"/>
          <w:szCs w:val="21"/>
          <w:highlight w:val="none"/>
        </w:rPr>
        <w:t>级层面就业网站、微信公众号等设立高新区（高照街道）人力资源市场招聘专区；</w:t>
      </w:r>
    </w:p>
    <w:p w14:paraId="2B0403FD">
      <w:pPr>
        <w:wordWrap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4、建立五个服务平台，大学生就业平台、残疾人帮扶平台、退役军人及军属就业平台、开发公益性岗位平台以及职业技能培训平台；</w:t>
      </w:r>
    </w:p>
    <w:p w14:paraId="098EB599">
      <w:pPr>
        <w:wordWrap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5、做好宣传发动工作，推动建设“好就业”工作体系，在各村、社区广泛宣传就业创业政策和周五招聘信息，打造15分钟就业服务圈；</w:t>
      </w:r>
    </w:p>
    <w:p w14:paraId="2502AA06">
      <w:pPr>
        <w:wordWrap w:val="0"/>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6、其他公共就业服务等。</w:t>
      </w:r>
    </w:p>
    <w:p w14:paraId="117495BB">
      <w:pPr>
        <w:wordWrap w:val="0"/>
        <w:spacing w:line="360" w:lineRule="auto"/>
        <w:ind w:firstLine="428"/>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三、其他要求</w:t>
      </w:r>
    </w:p>
    <w:p w14:paraId="08B16E39">
      <w:pPr>
        <w:wordWrap w:val="0"/>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标供应商保证向采购单位交付的内容，包括但不限于：视频、软件、技术资料等，不会侵犯任何第三人的专利权、著作权、商标权、商业秘密、其他知识产权或者其他民事权利。如中标供应商违反上述规定，则中标供应商应负责消除采购单位拥有并使用中标供应商交付的服务类商品，包括但不限于：视频、软件、技术资料等所存在的全部法律障碍，并赔偿采购单位的损失。</w:t>
      </w:r>
    </w:p>
    <w:p w14:paraId="768F3009">
      <w:pPr>
        <w:wordWrap w:val="0"/>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2、根据项目需要和采购单位运营标准,中标供应商须指定一名管理人员驻点负责项目日常管理工作。</w:t>
      </w:r>
    </w:p>
    <w:p w14:paraId="7E148881">
      <w:pPr>
        <w:wordWrap w:val="0"/>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合同金额中包括绩效评价考核10万元，根据高新区（高照街道）人力资源市场服</w:t>
      </w:r>
      <w:r>
        <w:rPr>
          <w:rFonts w:hint="eastAsia" w:ascii="宋体" w:hAnsi="宋体" w:eastAsia="宋体" w:cs="宋体"/>
          <w:color w:val="auto"/>
          <w:sz w:val="21"/>
          <w:szCs w:val="21"/>
          <w:highlight w:val="none"/>
          <w:u w:val="none"/>
          <w:lang w:val="en-US" w:eastAsia="zh-CN"/>
        </w:rPr>
        <w:t>务对象代表（服务企业代表</w:t>
      </w:r>
      <w:r>
        <w:rPr>
          <w:rFonts w:hint="eastAsia" w:ascii="宋体" w:hAnsi="宋体" w:cs="宋体"/>
          <w:color w:val="auto"/>
          <w:sz w:val="21"/>
          <w:szCs w:val="21"/>
          <w:highlight w:val="none"/>
          <w:u w:val="none"/>
          <w:lang w:val="en-US" w:eastAsia="zh-CN"/>
        </w:rPr>
        <w:t>50</w:t>
      </w:r>
      <w:r>
        <w:rPr>
          <w:rFonts w:hint="eastAsia" w:ascii="宋体" w:hAnsi="宋体" w:eastAsia="宋体" w:cs="宋体"/>
          <w:color w:val="auto"/>
          <w:sz w:val="21"/>
          <w:szCs w:val="21"/>
          <w:highlight w:val="none"/>
          <w:u w:val="none"/>
          <w:lang w:val="en-US" w:eastAsia="zh-CN"/>
        </w:rPr>
        <w:t>名、</w:t>
      </w:r>
      <w:r>
        <w:rPr>
          <w:rFonts w:hint="eastAsia" w:ascii="宋体" w:hAnsi="宋体" w:cs="宋体"/>
          <w:color w:val="auto"/>
          <w:sz w:val="21"/>
          <w:szCs w:val="21"/>
          <w:highlight w:val="none"/>
          <w:u w:val="none"/>
          <w:lang w:val="en-US" w:eastAsia="zh-CN"/>
        </w:rPr>
        <w:t>工业</w:t>
      </w:r>
      <w:r>
        <w:rPr>
          <w:rFonts w:hint="eastAsia" w:ascii="宋体" w:hAnsi="宋体" w:eastAsia="宋体" w:cs="宋体"/>
          <w:color w:val="auto"/>
          <w:sz w:val="21"/>
          <w:szCs w:val="21"/>
          <w:highlight w:val="none"/>
          <w:u w:val="none"/>
          <w:lang w:val="en-US" w:eastAsia="zh-CN"/>
        </w:rPr>
        <w:t>社区代表</w:t>
      </w:r>
      <w:r>
        <w:rPr>
          <w:rFonts w:hint="eastAsia" w:ascii="宋体" w:hAnsi="宋体" w:cs="宋体"/>
          <w:color w:val="auto"/>
          <w:sz w:val="21"/>
          <w:szCs w:val="21"/>
          <w:highlight w:val="none"/>
          <w:u w:val="none"/>
          <w:lang w:val="en-US" w:eastAsia="zh-CN"/>
        </w:rPr>
        <w:t>6</w:t>
      </w:r>
      <w:r>
        <w:rPr>
          <w:rFonts w:hint="eastAsia" w:ascii="宋体" w:hAnsi="宋体" w:eastAsia="宋体" w:cs="宋体"/>
          <w:color w:val="auto"/>
          <w:sz w:val="21"/>
          <w:szCs w:val="21"/>
          <w:highlight w:val="none"/>
          <w:u w:val="none"/>
          <w:lang w:val="en-US" w:eastAsia="zh-CN"/>
        </w:rPr>
        <w:t>名）测评分值兑现绩效考核，绩效测评为百分制，按1</w:t>
      </w:r>
      <w:r>
        <w:rPr>
          <w:rFonts w:hint="eastAsia" w:ascii="宋体" w:hAnsi="宋体" w:eastAsia="宋体" w:cs="宋体"/>
          <w:color w:val="auto"/>
          <w:sz w:val="21"/>
          <w:szCs w:val="21"/>
          <w:highlight w:val="none"/>
          <w:lang w:val="en-US" w:eastAsia="zh-CN"/>
        </w:rPr>
        <w:t>分1000元标准兑现服务期绩效考核。</w:t>
      </w:r>
    </w:p>
    <w:p w14:paraId="538CF0FD">
      <w:pPr>
        <w:wordWrap w:val="0"/>
        <w:spacing w:line="360" w:lineRule="auto"/>
        <w:ind w:firstLine="428"/>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四</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服务期</w:t>
      </w:r>
    </w:p>
    <w:p w14:paraId="086459A6">
      <w:pPr>
        <w:wordWrap w:val="0"/>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从签订协议之日起至交付运营满一年（其中包括项目准备期和一年运营期）。</w:t>
      </w:r>
    </w:p>
    <w:p w14:paraId="0CCFEA22">
      <w:pPr>
        <w:wordWrap w:val="0"/>
        <w:spacing w:line="360" w:lineRule="auto"/>
        <w:ind w:firstLine="428"/>
        <w:rPr>
          <w:rFonts w:hint="default" w:ascii="宋体" w:hAnsi="宋体" w:eastAsia="宋体" w:cs="宋体"/>
          <w:b/>
          <w:bCs/>
          <w:color w:val="auto"/>
          <w:sz w:val="21"/>
          <w:szCs w:val="21"/>
          <w:highlight w:val="none"/>
          <w:lang w:val="en-US" w:eastAsia="zh-CN"/>
        </w:rPr>
      </w:pPr>
      <w:bookmarkStart w:id="27" w:name="_Toc1336"/>
      <w:bookmarkStart w:id="28" w:name="_Toc15921"/>
      <w:bookmarkStart w:id="29" w:name="_Toc31038"/>
      <w:r>
        <w:rPr>
          <w:rFonts w:hint="eastAsia" w:ascii="宋体" w:hAnsi="宋体" w:cs="宋体"/>
          <w:b/>
          <w:bCs/>
          <w:color w:val="auto"/>
          <w:sz w:val="21"/>
          <w:szCs w:val="21"/>
          <w:highlight w:val="none"/>
          <w:lang w:val="en-US" w:eastAsia="zh-CN"/>
        </w:rPr>
        <w:t>五</w:t>
      </w:r>
      <w:r>
        <w:rPr>
          <w:rFonts w:hint="eastAsia" w:ascii="宋体" w:hAnsi="宋体" w:cs="宋体"/>
          <w:b/>
          <w:bCs/>
          <w:color w:val="auto"/>
          <w:sz w:val="21"/>
          <w:szCs w:val="21"/>
          <w:highlight w:val="none"/>
        </w:rPr>
        <w:t>、</w:t>
      </w:r>
      <w:bookmarkEnd w:id="27"/>
      <w:bookmarkEnd w:id="28"/>
      <w:bookmarkEnd w:id="29"/>
      <w:r>
        <w:rPr>
          <w:rFonts w:hint="eastAsia" w:ascii="宋体" w:hAnsi="宋体" w:cs="宋体"/>
          <w:b/>
          <w:bCs/>
          <w:color w:val="auto"/>
          <w:sz w:val="21"/>
          <w:szCs w:val="21"/>
          <w:highlight w:val="none"/>
          <w:lang w:val="en-US" w:eastAsia="zh-CN"/>
        </w:rPr>
        <w:t>付款方式</w:t>
      </w:r>
    </w:p>
    <w:p w14:paraId="70B304E9">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预付款：按照浙财采监〔2022〕3号文件执行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预付款比例按合同金额</w:t>
      </w:r>
      <w:r>
        <w:rPr>
          <w:rFonts w:hint="eastAsia" w:ascii="宋体" w:hAnsi="宋体" w:eastAsia="宋体" w:cs="宋体"/>
          <w:color w:val="auto"/>
          <w:sz w:val="21"/>
          <w:szCs w:val="21"/>
          <w:highlight w:val="none"/>
        </w:rPr>
        <w:t>（扣除绩效考核资金）</w:t>
      </w:r>
      <w:r>
        <w:rPr>
          <w:rFonts w:hint="eastAsia" w:ascii="宋体" w:hAnsi="宋体" w:cs="宋体"/>
          <w:color w:val="auto"/>
          <w:sz w:val="21"/>
          <w:szCs w:val="21"/>
          <w:highlight w:val="none"/>
          <w:lang w:val="en-US" w:eastAsia="zh-CN"/>
        </w:rPr>
        <w:t>的40%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CD7431C">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服务满半年支付至合同价（扣除绩效考核资金）的60%（如已支付预付款的，则扣除预付款资金）；运营服务项目实施结束30日内，</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组织完成项目绩效测评，绩效测评完成30内支付剩余合同价款和绩效考核资金。</w:t>
      </w:r>
    </w:p>
    <w:p w14:paraId="79DFD6A2">
      <w:pPr>
        <w:keepNext w:val="0"/>
        <w:keepLines w:val="0"/>
        <w:pageBreakBefore w:val="0"/>
        <w:widowControl w:val="0"/>
        <w:kinsoku/>
        <w:wordWrap w:val="0"/>
        <w:overflowPunct/>
        <w:topLinePunct/>
        <w:autoSpaceDE/>
        <w:autoSpaceDN/>
        <w:bidi w:val="0"/>
        <w:snapToGrid/>
        <w:spacing w:line="360" w:lineRule="auto"/>
        <w:ind w:firstLine="422" w:firstLineChars="200"/>
        <w:jc w:val="both"/>
        <w:textAlignment w:val="auto"/>
        <w:rPr>
          <w:rFonts w:ascii="宋体" w:hAnsi="宋体" w:cs="宋体"/>
          <w:b/>
          <w:color w:val="auto"/>
          <w:highlight w:val="none"/>
        </w:rPr>
      </w:pPr>
      <w:r>
        <w:rPr>
          <w:rFonts w:hint="eastAsia" w:ascii="宋体" w:hAnsi="宋体" w:cs="宋体"/>
          <w:b/>
          <w:color w:val="auto"/>
          <w:highlight w:val="none"/>
        </w:rPr>
        <w:br w:type="page"/>
      </w:r>
      <w:bookmarkStart w:id="527" w:name="_GoBack"/>
      <w:bookmarkEnd w:id="527"/>
    </w:p>
    <w:p w14:paraId="0EA261EE">
      <w:pPr>
        <w:pStyle w:val="82"/>
        <w:wordWrap w:val="0"/>
        <w:spacing w:before="319" w:beforeLines="100" w:line="240" w:lineRule="auto"/>
        <w:ind w:left="0" w:leftChars="0" w:firstLine="0" w:firstLineChars="0"/>
        <w:jc w:val="center"/>
        <w:rPr>
          <w:rFonts w:ascii="宋体" w:hAnsi="宋体" w:cs="宋体"/>
          <w:b/>
          <w:color w:val="auto"/>
          <w:sz w:val="36"/>
          <w:szCs w:val="36"/>
          <w:highlight w:val="none"/>
        </w:rPr>
      </w:pPr>
      <w:r>
        <w:rPr>
          <w:rFonts w:hint="eastAsia" w:ascii="宋体" w:hAnsi="宋体" w:cs="宋体"/>
          <w:b/>
          <w:color w:val="auto"/>
          <w:sz w:val="36"/>
          <w:szCs w:val="36"/>
          <w:highlight w:val="none"/>
        </w:rPr>
        <w:t>第四部分</w:t>
      </w:r>
      <w:bookmarkStart w:id="30" w:name="_Toc184308084"/>
      <w:bookmarkEnd w:id="30"/>
      <w:bookmarkStart w:id="31" w:name="_Toc184312136"/>
      <w:bookmarkEnd w:id="31"/>
      <w:bookmarkStart w:id="32" w:name="_Toc184308105"/>
      <w:bookmarkEnd w:id="32"/>
      <w:bookmarkStart w:id="33" w:name="_Toc184310325"/>
      <w:bookmarkEnd w:id="33"/>
      <w:bookmarkStart w:id="34" w:name="_Toc184310293"/>
      <w:bookmarkEnd w:id="34"/>
      <w:bookmarkStart w:id="35" w:name="_Toc184308107"/>
      <w:bookmarkEnd w:id="35"/>
      <w:bookmarkStart w:id="36" w:name="_Toc184310274"/>
      <w:bookmarkEnd w:id="36"/>
      <w:bookmarkStart w:id="37" w:name="_Toc184313299"/>
      <w:bookmarkEnd w:id="37"/>
      <w:bookmarkStart w:id="38" w:name="_Toc184312094"/>
      <w:bookmarkEnd w:id="38"/>
      <w:bookmarkStart w:id="39" w:name="_Toc184314452"/>
      <w:bookmarkEnd w:id="39"/>
      <w:bookmarkStart w:id="40" w:name="_Toc184312114"/>
      <w:bookmarkEnd w:id="40"/>
      <w:bookmarkStart w:id="41" w:name="_Toc184312074"/>
      <w:bookmarkEnd w:id="41"/>
      <w:bookmarkStart w:id="42" w:name="_Toc184312086"/>
      <w:bookmarkEnd w:id="42"/>
      <w:bookmarkStart w:id="43" w:name="_Toc184310287"/>
      <w:bookmarkEnd w:id="43"/>
      <w:bookmarkStart w:id="44" w:name="_Toc184314427"/>
      <w:bookmarkEnd w:id="44"/>
      <w:bookmarkStart w:id="45" w:name="_Toc184314425"/>
      <w:bookmarkEnd w:id="45"/>
      <w:bookmarkStart w:id="46" w:name="_Toc184310324"/>
      <w:bookmarkEnd w:id="46"/>
      <w:bookmarkStart w:id="47" w:name="_Toc184308064"/>
      <w:bookmarkEnd w:id="47"/>
      <w:bookmarkStart w:id="48" w:name="_Toc184314411"/>
      <w:bookmarkEnd w:id="48"/>
      <w:bookmarkStart w:id="49" w:name="_Toc184310275"/>
      <w:bookmarkEnd w:id="49"/>
      <w:bookmarkStart w:id="50" w:name="_Toc184310344"/>
      <w:bookmarkEnd w:id="50"/>
      <w:bookmarkStart w:id="51" w:name="_Toc184313270"/>
      <w:bookmarkEnd w:id="51"/>
      <w:bookmarkStart w:id="52" w:name="_Toc184308069"/>
      <w:bookmarkEnd w:id="52"/>
      <w:bookmarkStart w:id="53" w:name="_Toc184314442"/>
      <w:bookmarkEnd w:id="53"/>
      <w:bookmarkStart w:id="54" w:name="_Toc184310288"/>
      <w:bookmarkEnd w:id="54"/>
      <w:bookmarkStart w:id="55" w:name="_Toc184312068"/>
      <w:bookmarkEnd w:id="55"/>
      <w:bookmarkStart w:id="56" w:name="_Toc184312077"/>
      <w:bookmarkEnd w:id="56"/>
      <w:bookmarkStart w:id="57" w:name="_Toc184314424"/>
      <w:bookmarkEnd w:id="57"/>
      <w:bookmarkStart w:id="58" w:name="_Toc184310278"/>
      <w:bookmarkEnd w:id="58"/>
      <w:bookmarkStart w:id="59" w:name="_Toc184314419"/>
      <w:bookmarkEnd w:id="59"/>
      <w:bookmarkStart w:id="60" w:name="_Toc184313292"/>
      <w:bookmarkEnd w:id="60"/>
      <w:bookmarkStart w:id="61" w:name="_Toc184312079"/>
      <w:bookmarkEnd w:id="61"/>
      <w:bookmarkStart w:id="62" w:name="_Toc184308080"/>
      <w:bookmarkEnd w:id="62"/>
      <w:bookmarkStart w:id="63" w:name="_Toc184314456"/>
      <w:bookmarkEnd w:id="63"/>
      <w:bookmarkStart w:id="64" w:name="_Toc184308055"/>
      <w:bookmarkEnd w:id="64"/>
      <w:bookmarkStart w:id="65" w:name="_Toc184308101"/>
      <w:bookmarkEnd w:id="65"/>
      <w:bookmarkStart w:id="66" w:name="_Toc184313289"/>
      <w:bookmarkEnd w:id="66"/>
      <w:bookmarkStart w:id="67" w:name="_Toc184308066"/>
      <w:bookmarkEnd w:id="67"/>
      <w:bookmarkStart w:id="68" w:name="_Toc184314477"/>
      <w:bookmarkEnd w:id="68"/>
      <w:bookmarkStart w:id="69" w:name="_Toc184308056"/>
      <w:bookmarkEnd w:id="69"/>
      <w:bookmarkStart w:id="70" w:name="_Toc184313286"/>
      <w:bookmarkEnd w:id="70"/>
      <w:bookmarkStart w:id="71" w:name="_Toc184310283"/>
      <w:bookmarkEnd w:id="71"/>
      <w:bookmarkStart w:id="72" w:name="_Toc184308104"/>
      <w:bookmarkEnd w:id="72"/>
      <w:bookmarkStart w:id="73" w:name="_Toc184312132"/>
      <w:bookmarkEnd w:id="73"/>
      <w:bookmarkStart w:id="74" w:name="_Toc184310314"/>
      <w:bookmarkEnd w:id="74"/>
      <w:bookmarkStart w:id="75" w:name="_Toc184310302"/>
      <w:bookmarkEnd w:id="75"/>
      <w:bookmarkStart w:id="76" w:name="_Toc184313262"/>
      <w:bookmarkEnd w:id="76"/>
      <w:bookmarkStart w:id="77" w:name="_Toc184312075"/>
      <w:bookmarkEnd w:id="77"/>
      <w:bookmarkStart w:id="78" w:name="_Toc184308067"/>
      <w:bookmarkEnd w:id="78"/>
      <w:bookmarkStart w:id="79" w:name="_Toc184310312"/>
      <w:bookmarkEnd w:id="79"/>
      <w:bookmarkStart w:id="80" w:name="_Toc184313271"/>
      <w:bookmarkEnd w:id="80"/>
      <w:bookmarkStart w:id="81" w:name="_Toc184314436"/>
      <w:bookmarkEnd w:id="81"/>
      <w:bookmarkStart w:id="82" w:name="_Toc184312090"/>
      <w:bookmarkEnd w:id="82"/>
      <w:bookmarkStart w:id="83" w:name="_Toc184314455"/>
      <w:bookmarkEnd w:id="83"/>
      <w:bookmarkStart w:id="84" w:name="_Toc184314478"/>
      <w:bookmarkEnd w:id="84"/>
      <w:bookmarkStart w:id="85" w:name="_Toc184312112"/>
      <w:bookmarkEnd w:id="85"/>
      <w:bookmarkStart w:id="86" w:name="_Toc184314421"/>
      <w:bookmarkEnd w:id="86"/>
      <w:bookmarkStart w:id="87" w:name="_Toc184312070"/>
      <w:bookmarkEnd w:id="87"/>
      <w:bookmarkStart w:id="88" w:name="_Toc184310343"/>
      <w:bookmarkEnd w:id="88"/>
      <w:bookmarkStart w:id="89" w:name="_Toc184310341"/>
      <w:bookmarkEnd w:id="89"/>
      <w:bookmarkStart w:id="90" w:name="_Toc184313279"/>
      <w:bookmarkEnd w:id="90"/>
      <w:bookmarkStart w:id="91" w:name="_Toc184313256"/>
      <w:bookmarkEnd w:id="91"/>
      <w:bookmarkStart w:id="92" w:name="_Toc184310279"/>
      <w:bookmarkEnd w:id="92"/>
      <w:bookmarkStart w:id="93" w:name="_Toc184313274"/>
      <w:bookmarkEnd w:id="93"/>
      <w:bookmarkStart w:id="94" w:name="_Toc184312111"/>
      <w:bookmarkEnd w:id="94"/>
      <w:bookmarkStart w:id="95" w:name="_Toc184312127"/>
      <w:bookmarkEnd w:id="95"/>
      <w:bookmarkStart w:id="96" w:name="_Toc184310305"/>
      <w:bookmarkEnd w:id="96"/>
      <w:bookmarkStart w:id="97" w:name="_Toc184308078"/>
      <w:bookmarkEnd w:id="97"/>
      <w:bookmarkStart w:id="98" w:name="_Toc184313280"/>
      <w:bookmarkEnd w:id="98"/>
      <w:bookmarkStart w:id="99" w:name="_Toc184314443"/>
      <w:bookmarkEnd w:id="99"/>
      <w:bookmarkStart w:id="100" w:name="_Toc184308076"/>
      <w:bookmarkEnd w:id="100"/>
      <w:bookmarkStart w:id="101" w:name="_Toc184308079"/>
      <w:bookmarkEnd w:id="101"/>
      <w:bookmarkStart w:id="102" w:name="_Toc184310303"/>
      <w:bookmarkEnd w:id="102"/>
      <w:bookmarkStart w:id="103" w:name="_Toc184308073"/>
      <w:bookmarkEnd w:id="103"/>
      <w:bookmarkStart w:id="104" w:name="_Toc184312082"/>
      <w:bookmarkEnd w:id="104"/>
      <w:bookmarkStart w:id="105" w:name="_Toc184314439"/>
      <w:bookmarkEnd w:id="105"/>
      <w:bookmarkStart w:id="106" w:name="_Toc184310309"/>
      <w:bookmarkEnd w:id="106"/>
      <w:bookmarkStart w:id="107" w:name="_Toc184312069"/>
      <w:bookmarkEnd w:id="107"/>
      <w:bookmarkStart w:id="108" w:name="_Toc184308042"/>
      <w:bookmarkEnd w:id="108"/>
      <w:bookmarkStart w:id="109" w:name="_Toc184314458"/>
      <w:bookmarkEnd w:id="109"/>
      <w:bookmarkStart w:id="110" w:name="_Toc184312109"/>
      <w:bookmarkEnd w:id="110"/>
      <w:bookmarkStart w:id="111" w:name="_Toc184312126"/>
      <w:bookmarkEnd w:id="111"/>
      <w:bookmarkStart w:id="112" w:name="_Toc184312130"/>
      <w:bookmarkEnd w:id="112"/>
      <w:bookmarkStart w:id="113" w:name="_Toc184312106"/>
      <w:bookmarkEnd w:id="113"/>
      <w:bookmarkStart w:id="114" w:name="_Toc184310317"/>
      <w:bookmarkEnd w:id="114"/>
      <w:bookmarkStart w:id="115" w:name="_Toc184313243"/>
      <w:bookmarkEnd w:id="115"/>
      <w:bookmarkStart w:id="116" w:name="_Toc184308065"/>
      <w:bookmarkEnd w:id="116"/>
      <w:bookmarkStart w:id="117" w:name="_Toc184312113"/>
      <w:bookmarkEnd w:id="117"/>
      <w:bookmarkStart w:id="118" w:name="_Toc184314460"/>
      <w:bookmarkEnd w:id="118"/>
      <w:bookmarkStart w:id="119" w:name="_Toc184313287"/>
      <w:bookmarkEnd w:id="119"/>
      <w:bookmarkStart w:id="120" w:name="_Toc184308103"/>
      <w:bookmarkEnd w:id="120"/>
      <w:bookmarkStart w:id="121" w:name="_Toc184310286"/>
      <w:bookmarkEnd w:id="121"/>
      <w:bookmarkStart w:id="122" w:name="_Toc184314432"/>
      <w:bookmarkEnd w:id="122"/>
      <w:bookmarkStart w:id="123" w:name="_Toc184313294"/>
      <w:bookmarkEnd w:id="123"/>
      <w:bookmarkStart w:id="124" w:name="_Toc184308059"/>
      <w:bookmarkEnd w:id="124"/>
      <w:bookmarkStart w:id="125" w:name="_Toc184313253"/>
      <w:bookmarkEnd w:id="125"/>
      <w:bookmarkStart w:id="126" w:name="_Toc184310329"/>
      <w:bookmarkEnd w:id="126"/>
      <w:bookmarkStart w:id="127" w:name="_Toc184312095"/>
      <w:bookmarkEnd w:id="127"/>
      <w:bookmarkStart w:id="128" w:name="_Toc184310292"/>
      <w:bookmarkEnd w:id="128"/>
      <w:bookmarkStart w:id="129" w:name="_Toc184310326"/>
      <w:bookmarkEnd w:id="129"/>
      <w:bookmarkStart w:id="130" w:name="_Toc184312119"/>
      <w:bookmarkEnd w:id="130"/>
      <w:bookmarkStart w:id="131" w:name="_Toc184314416"/>
      <w:bookmarkEnd w:id="131"/>
      <w:bookmarkStart w:id="132" w:name="_Toc184310332"/>
      <w:bookmarkEnd w:id="132"/>
      <w:bookmarkStart w:id="133" w:name="_Toc184308053"/>
      <w:bookmarkEnd w:id="133"/>
      <w:bookmarkStart w:id="134" w:name="_Toc184313246"/>
      <w:bookmarkEnd w:id="134"/>
      <w:bookmarkStart w:id="135" w:name="_Toc184314415"/>
      <w:bookmarkEnd w:id="135"/>
      <w:bookmarkStart w:id="136" w:name="_Toc184308088"/>
      <w:bookmarkEnd w:id="136"/>
      <w:bookmarkStart w:id="137" w:name="_Toc184308083"/>
      <w:bookmarkEnd w:id="137"/>
      <w:bookmarkStart w:id="138" w:name="_Toc184310315"/>
      <w:bookmarkEnd w:id="138"/>
      <w:bookmarkStart w:id="139" w:name="_Toc184312133"/>
      <w:bookmarkEnd w:id="139"/>
      <w:bookmarkStart w:id="140" w:name="_Toc184312118"/>
      <w:bookmarkEnd w:id="140"/>
      <w:bookmarkStart w:id="141" w:name="_Toc184312124"/>
      <w:bookmarkEnd w:id="141"/>
      <w:bookmarkStart w:id="142" w:name="_Toc184314469"/>
      <w:bookmarkEnd w:id="142"/>
      <w:bookmarkStart w:id="143" w:name="_Toc184314472"/>
      <w:bookmarkEnd w:id="143"/>
      <w:bookmarkStart w:id="144" w:name="_Toc184314454"/>
      <w:bookmarkEnd w:id="144"/>
      <w:bookmarkStart w:id="145" w:name="_Toc184314423"/>
      <w:bookmarkEnd w:id="145"/>
      <w:bookmarkStart w:id="146" w:name="_Toc184313297"/>
      <w:bookmarkEnd w:id="146"/>
      <w:bookmarkStart w:id="147" w:name="_Toc184313298"/>
      <w:bookmarkEnd w:id="147"/>
      <w:bookmarkStart w:id="148" w:name="_Toc184308090"/>
      <w:bookmarkEnd w:id="148"/>
      <w:bookmarkStart w:id="149" w:name="_Toc184314428"/>
      <w:bookmarkEnd w:id="149"/>
      <w:bookmarkStart w:id="150" w:name="_Toc184310313"/>
      <w:bookmarkEnd w:id="150"/>
      <w:bookmarkStart w:id="151" w:name="_Toc184314470"/>
      <w:bookmarkEnd w:id="151"/>
      <w:bookmarkStart w:id="152" w:name="_Toc184308102"/>
      <w:bookmarkEnd w:id="152"/>
      <w:bookmarkStart w:id="153" w:name="_Toc184313240"/>
      <w:bookmarkEnd w:id="153"/>
      <w:bookmarkStart w:id="154" w:name="_Toc184313252"/>
      <w:bookmarkEnd w:id="154"/>
      <w:bookmarkStart w:id="155" w:name="_Toc184314437"/>
      <w:bookmarkEnd w:id="155"/>
      <w:bookmarkStart w:id="156" w:name="_Toc184310301"/>
      <w:bookmarkEnd w:id="156"/>
      <w:bookmarkStart w:id="157" w:name="_Toc184310310"/>
      <w:bookmarkEnd w:id="157"/>
      <w:bookmarkStart w:id="158" w:name="_Toc184312102"/>
      <w:bookmarkEnd w:id="158"/>
      <w:bookmarkStart w:id="159" w:name="_Toc184313308"/>
      <w:bookmarkEnd w:id="159"/>
      <w:bookmarkStart w:id="160" w:name="_Toc184310307"/>
      <w:bookmarkEnd w:id="160"/>
      <w:bookmarkStart w:id="161" w:name="_Toc184310330"/>
      <w:bookmarkEnd w:id="161"/>
      <w:bookmarkStart w:id="162" w:name="_Toc184308100"/>
      <w:bookmarkEnd w:id="162"/>
      <w:bookmarkStart w:id="163" w:name="_Toc184312125"/>
      <w:bookmarkEnd w:id="163"/>
      <w:bookmarkStart w:id="164" w:name="_Toc184308038"/>
      <w:bookmarkEnd w:id="164"/>
      <w:bookmarkStart w:id="165" w:name="_Toc184308049"/>
      <w:bookmarkEnd w:id="165"/>
      <w:bookmarkStart w:id="166" w:name="_Toc184308081"/>
      <w:bookmarkEnd w:id="166"/>
      <w:bookmarkStart w:id="167" w:name="_Toc184314451"/>
      <w:bookmarkEnd w:id="167"/>
      <w:bookmarkStart w:id="168" w:name="_Toc184314465"/>
      <w:bookmarkEnd w:id="168"/>
      <w:bookmarkStart w:id="169" w:name="_Toc184313291"/>
      <w:bookmarkEnd w:id="169"/>
      <w:bookmarkStart w:id="170" w:name="_Toc184308097"/>
      <w:bookmarkEnd w:id="170"/>
      <w:bookmarkStart w:id="171" w:name="_Toc184310321"/>
      <w:bookmarkEnd w:id="171"/>
      <w:bookmarkStart w:id="172" w:name="_Toc184308070"/>
      <w:bookmarkEnd w:id="172"/>
      <w:bookmarkStart w:id="173" w:name="_Toc184313306"/>
      <w:bookmarkEnd w:id="173"/>
      <w:bookmarkStart w:id="174" w:name="_Toc184313258"/>
      <w:bookmarkEnd w:id="174"/>
      <w:bookmarkStart w:id="175" w:name="_Toc184314466"/>
      <w:bookmarkEnd w:id="175"/>
      <w:bookmarkStart w:id="176" w:name="_Toc184310337"/>
      <w:bookmarkEnd w:id="176"/>
      <w:bookmarkStart w:id="177" w:name="_Toc184310322"/>
      <w:bookmarkEnd w:id="177"/>
      <w:bookmarkStart w:id="178" w:name="_Toc184314448"/>
      <w:bookmarkEnd w:id="178"/>
      <w:bookmarkStart w:id="179" w:name="_Toc184314420"/>
      <w:bookmarkEnd w:id="179"/>
      <w:bookmarkStart w:id="180" w:name="_Toc184310336"/>
      <w:bookmarkEnd w:id="180"/>
      <w:bookmarkStart w:id="181" w:name="_Toc184312087"/>
      <w:bookmarkEnd w:id="181"/>
      <w:bookmarkStart w:id="182" w:name="_Toc184310316"/>
      <w:bookmarkEnd w:id="182"/>
      <w:bookmarkStart w:id="183" w:name="_Toc184310290"/>
      <w:bookmarkEnd w:id="183"/>
      <w:bookmarkStart w:id="184" w:name="_Toc184314450"/>
      <w:bookmarkEnd w:id="184"/>
      <w:bookmarkStart w:id="185" w:name="_Toc184308072"/>
      <w:bookmarkEnd w:id="185"/>
      <w:bookmarkStart w:id="186" w:name="_Toc184312134"/>
      <w:bookmarkEnd w:id="186"/>
      <w:bookmarkStart w:id="187" w:name="_Toc184312135"/>
      <w:bookmarkEnd w:id="187"/>
      <w:bookmarkStart w:id="188" w:name="_Toc184308106"/>
      <w:bookmarkEnd w:id="188"/>
      <w:bookmarkStart w:id="189" w:name="_Toc184308058"/>
      <w:bookmarkEnd w:id="189"/>
      <w:bookmarkStart w:id="190" w:name="_Toc184313261"/>
      <w:bookmarkEnd w:id="190"/>
      <w:bookmarkStart w:id="191" w:name="_Toc184313301"/>
      <w:bookmarkEnd w:id="191"/>
      <w:bookmarkStart w:id="192" w:name="_Toc184310289"/>
      <w:bookmarkEnd w:id="192"/>
      <w:bookmarkStart w:id="193" w:name="_Toc184313281"/>
      <w:bookmarkEnd w:id="193"/>
      <w:bookmarkStart w:id="194" w:name="_Toc184313302"/>
      <w:bookmarkEnd w:id="194"/>
      <w:bookmarkStart w:id="195" w:name="_Toc184312078"/>
      <w:bookmarkEnd w:id="195"/>
      <w:bookmarkStart w:id="196" w:name="_Toc184313273"/>
      <w:bookmarkEnd w:id="196"/>
      <w:bookmarkStart w:id="197" w:name="_Toc184313239"/>
      <w:bookmarkEnd w:id="197"/>
      <w:bookmarkStart w:id="198" w:name="_Toc184310285"/>
      <w:bookmarkEnd w:id="198"/>
      <w:bookmarkStart w:id="199" w:name="_Toc184308087"/>
      <w:bookmarkEnd w:id="199"/>
      <w:bookmarkStart w:id="200" w:name="_Toc184310331"/>
      <w:bookmarkEnd w:id="200"/>
      <w:bookmarkStart w:id="201" w:name="_Toc184312103"/>
      <w:bookmarkEnd w:id="201"/>
      <w:bookmarkStart w:id="202" w:name="_Toc184313254"/>
      <w:bookmarkEnd w:id="202"/>
      <w:bookmarkStart w:id="203" w:name="_Toc184313295"/>
      <w:bookmarkEnd w:id="203"/>
      <w:bookmarkStart w:id="204" w:name="_Toc184314479"/>
      <w:bookmarkEnd w:id="204"/>
      <w:bookmarkStart w:id="205" w:name="_Toc184312073"/>
      <w:bookmarkEnd w:id="205"/>
      <w:bookmarkStart w:id="206" w:name="_Toc184312120"/>
      <w:bookmarkEnd w:id="206"/>
      <w:bookmarkStart w:id="207" w:name="_Toc184313249"/>
      <w:bookmarkEnd w:id="207"/>
      <w:bookmarkStart w:id="208" w:name="_Toc184313259"/>
      <w:bookmarkEnd w:id="208"/>
      <w:bookmarkStart w:id="209" w:name="_Toc184313293"/>
      <w:bookmarkEnd w:id="209"/>
      <w:bookmarkStart w:id="210" w:name="_Toc184310342"/>
      <w:bookmarkEnd w:id="210"/>
      <w:bookmarkStart w:id="211" w:name="_Toc184313268"/>
      <w:bookmarkEnd w:id="211"/>
      <w:bookmarkStart w:id="212" w:name="_Toc184308077"/>
      <w:bookmarkEnd w:id="212"/>
      <w:bookmarkStart w:id="213" w:name="_Toc184313277"/>
      <w:bookmarkEnd w:id="213"/>
      <w:bookmarkStart w:id="214" w:name="_Toc184310335"/>
      <w:bookmarkEnd w:id="214"/>
      <w:bookmarkStart w:id="215" w:name="_Toc184314459"/>
      <w:bookmarkEnd w:id="215"/>
      <w:bookmarkStart w:id="216" w:name="_Toc184308051"/>
      <w:bookmarkEnd w:id="216"/>
      <w:bookmarkStart w:id="217" w:name="_Toc184312108"/>
      <w:bookmarkEnd w:id="217"/>
      <w:bookmarkStart w:id="218" w:name="_Toc184314445"/>
      <w:bookmarkEnd w:id="218"/>
      <w:bookmarkStart w:id="219" w:name="_Toc184313288"/>
      <w:bookmarkEnd w:id="219"/>
      <w:bookmarkStart w:id="220" w:name="_Toc184313245"/>
      <w:bookmarkEnd w:id="220"/>
      <w:bookmarkStart w:id="221" w:name="_Toc184313276"/>
      <w:bookmarkEnd w:id="221"/>
      <w:bookmarkStart w:id="222" w:name="_Toc184313241"/>
      <w:bookmarkEnd w:id="222"/>
      <w:bookmarkStart w:id="223" w:name="_Toc184310297"/>
      <w:bookmarkEnd w:id="223"/>
      <w:bookmarkStart w:id="224" w:name="_Toc184308068"/>
      <w:bookmarkEnd w:id="224"/>
      <w:bookmarkStart w:id="225" w:name="_Toc184313290"/>
      <w:bookmarkEnd w:id="225"/>
      <w:bookmarkStart w:id="226" w:name="_Toc184312096"/>
      <w:bookmarkEnd w:id="226"/>
      <w:bookmarkStart w:id="227" w:name="_Toc184312081"/>
      <w:bookmarkEnd w:id="227"/>
      <w:bookmarkStart w:id="228" w:name="_Toc184313300"/>
      <w:bookmarkEnd w:id="228"/>
      <w:bookmarkStart w:id="229" w:name="_Toc184313255"/>
      <w:bookmarkEnd w:id="229"/>
      <w:bookmarkStart w:id="230" w:name="_Toc184308050"/>
      <w:bookmarkEnd w:id="230"/>
      <w:bookmarkStart w:id="231" w:name="_Toc184312123"/>
      <w:bookmarkEnd w:id="231"/>
      <w:bookmarkStart w:id="232" w:name="_Toc184308060"/>
      <w:bookmarkEnd w:id="232"/>
      <w:bookmarkStart w:id="233" w:name="_Toc184313248"/>
      <w:bookmarkEnd w:id="233"/>
      <w:bookmarkStart w:id="234" w:name="_Toc184308089"/>
      <w:bookmarkEnd w:id="234"/>
      <w:bookmarkStart w:id="235" w:name="_Toc184312076"/>
      <w:bookmarkEnd w:id="235"/>
      <w:bookmarkStart w:id="236" w:name="_Toc184312067"/>
      <w:bookmarkEnd w:id="236"/>
      <w:bookmarkStart w:id="237" w:name="_Toc184312137"/>
      <w:bookmarkEnd w:id="237"/>
      <w:bookmarkStart w:id="238" w:name="_Toc184310340"/>
      <w:bookmarkEnd w:id="238"/>
      <w:bookmarkStart w:id="239" w:name="_Toc184313244"/>
      <w:bookmarkEnd w:id="239"/>
      <w:bookmarkStart w:id="240" w:name="_Toc184310306"/>
      <w:bookmarkEnd w:id="240"/>
      <w:bookmarkStart w:id="241" w:name="_Toc184310296"/>
      <w:bookmarkEnd w:id="241"/>
      <w:bookmarkStart w:id="242" w:name="_Toc184312117"/>
      <w:bookmarkEnd w:id="242"/>
      <w:bookmarkStart w:id="243" w:name="_Toc184312105"/>
      <w:bookmarkEnd w:id="243"/>
      <w:bookmarkStart w:id="244" w:name="_Toc184312115"/>
      <w:bookmarkEnd w:id="244"/>
      <w:bookmarkStart w:id="245" w:name="_Toc184312084"/>
      <w:bookmarkEnd w:id="245"/>
      <w:bookmarkStart w:id="246" w:name="_Toc184310295"/>
      <w:bookmarkEnd w:id="246"/>
      <w:bookmarkStart w:id="247" w:name="_Toc184308039"/>
      <w:bookmarkEnd w:id="247"/>
      <w:bookmarkStart w:id="248" w:name="_Toc184310333"/>
      <w:bookmarkEnd w:id="248"/>
      <w:bookmarkStart w:id="249" w:name="_Toc184308094"/>
      <w:bookmarkEnd w:id="249"/>
      <w:bookmarkStart w:id="250" w:name="_Toc184313251"/>
      <w:bookmarkEnd w:id="250"/>
      <w:bookmarkStart w:id="251" w:name="_Toc184310294"/>
      <w:bookmarkEnd w:id="251"/>
      <w:bookmarkStart w:id="252" w:name="_Toc184312072"/>
      <w:bookmarkEnd w:id="252"/>
      <w:bookmarkStart w:id="253" w:name="_Toc184313238"/>
      <w:bookmarkEnd w:id="253"/>
      <w:bookmarkStart w:id="254" w:name="_Toc184312071"/>
      <w:bookmarkEnd w:id="254"/>
      <w:bookmarkStart w:id="255" w:name="_Toc184312138"/>
      <w:bookmarkEnd w:id="255"/>
      <w:bookmarkStart w:id="256" w:name="_Toc184312100"/>
      <w:bookmarkEnd w:id="256"/>
      <w:bookmarkStart w:id="257" w:name="_Toc184313266"/>
      <w:bookmarkEnd w:id="257"/>
      <w:bookmarkStart w:id="258" w:name="_Toc184308041"/>
      <w:bookmarkEnd w:id="258"/>
      <w:bookmarkStart w:id="259" w:name="_Toc184310300"/>
      <w:bookmarkEnd w:id="259"/>
      <w:bookmarkStart w:id="260" w:name="_Toc184313267"/>
      <w:bookmarkEnd w:id="260"/>
      <w:bookmarkStart w:id="261" w:name="_Toc184310318"/>
      <w:bookmarkEnd w:id="261"/>
      <w:bookmarkStart w:id="262" w:name="_Toc184314476"/>
      <w:bookmarkEnd w:id="262"/>
      <w:bookmarkStart w:id="263" w:name="_Toc184312080"/>
      <w:bookmarkEnd w:id="263"/>
      <w:bookmarkStart w:id="264" w:name="_Toc184313260"/>
      <w:bookmarkEnd w:id="264"/>
      <w:bookmarkStart w:id="265" w:name="_Toc184313272"/>
      <w:bookmarkEnd w:id="265"/>
      <w:bookmarkStart w:id="266" w:name="_Toc184314474"/>
      <w:bookmarkEnd w:id="266"/>
      <w:bookmarkStart w:id="267" w:name="_Toc184314463"/>
      <w:bookmarkEnd w:id="267"/>
      <w:bookmarkStart w:id="268" w:name="_Toc184314468"/>
      <w:bookmarkEnd w:id="268"/>
      <w:bookmarkStart w:id="269" w:name="_Toc184308091"/>
      <w:bookmarkEnd w:id="269"/>
      <w:bookmarkStart w:id="270" w:name="_Toc184312122"/>
      <w:bookmarkEnd w:id="270"/>
      <w:bookmarkStart w:id="271" w:name="_Toc184312099"/>
      <w:bookmarkEnd w:id="271"/>
      <w:bookmarkStart w:id="272" w:name="_Toc184308043"/>
      <w:bookmarkEnd w:id="272"/>
      <w:bookmarkStart w:id="273" w:name="_Toc184313285"/>
      <w:bookmarkEnd w:id="273"/>
      <w:bookmarkStart w:id="274" w:name="_Toc184314438"/>
      <w:bookmarkEnd w:id="274"/>
      <w:bookmarkStart w:id="275" w:name="_Toc184308085"/>
      <w:bookmarkEnd w:id="275"/>
      <w:bookmarkStart w:id="276" w:name="_Toc184308045"/>
      <w:bookmarkEnd w:id="276"/>
      <w:bookmarkStart w:id="277" w:name="_Toc184313275"/>
      <w:bookmarkEnd w:id="277"/>
      <w:bookmarkStart w:id="278" w:name="_Toc184313242"/>
      <w:bookmarkEnd w:id="278"/>
      <w:bookmarkStart w:id="279" w:name="_Toc184312116"/>
      <w:bookmarkEnd w:id="279"/>
      <w:bookmarkStart w:id="280" w:name="_Toc184310308"/>
      <w:bookmarkEnd w:id="280"/>
      <w:bookmarkStart w:id="281" w:name="_Toc184312093"/>
      <w:bookmarkEnd w:id="281"/>
      <w:bookmarkStart w:id="282" w:name="_Toc184313265"/>
      <w:bookmarkEnd w:id="282"/>
      <w:bookmarkStart w:id="283" w:name="_Toc184313283"/>
      <w:bookmarkEnd w:id="283"/>
      <w:bookmarkStart w:id="284" w:name="_Toc184314434"/>
      <w:bookmarkEnd w:id="284"/>
      <w:bookmarkStart w:id="285" w:name="_Toc184312139"/>
      <w:bookmarkEnd w:id="285"/>
      <w:bookmarkStart w:id="286" w:name="_Toc184310323"/>
      <w:bookmarkEnd w:id="286"/>
      <w:bookmarkStart w:id="287" w:name="_Toc184313250"/>
      <w:bookmarkEnd w:id="287"/>
      <w:bookmarkStart w:id="288" w:name="_Toc184310299"/>
      <w:bookmarkEnd w:id="288"/>
      <w:bookmarkStart w:id="289" w:name="_Toc184314418"/>
      <w:bookmarkEnd w:id="289"/>
      <w:bookmarkStart w:id="290" w:name="_Toc184314417"/>
      <w:bookmarkEnd w:id="290"/>
      <w:bookmarkStart w:id="291" w:name="_Toc184310334"/>
      <w:bookmarkEnd w:id="291"/>
      <w:bookmarkStart w:id="292" w:name="_Toc184314473"/>
      <w:bookmarkEnd w:id="292"/>
      <w:bookmarkStart w:id="293" w:name="_Toc184310319"/>
      <w:bookmarkEnd w:id="293"/>
      <w:bookmarkStart w:id="294" w:name="_Toc184312088"/>
      <w:bookmarkEnd w:id="294"/>
      <w:bookmarkStart w:id="295" w:name="_Toc184312107"/>
      <w:bookmarkEnd w:id="295"/>
      <w:bookmarkStart w:id="296" w:name="_Toc184313307"/>
      <w:bookmarkEnd w:id="296"/>
      <w:bookmarkStart w:id="297" w:name="_Toc184308044"/>
      <w:bookmarkEnd w:id="297"/>
      <w:bookmarkStart w:id="298" w:name="_Toc184314430"/>
      <w:bookmarkEnd w:id="298"/>
      <w:bookmarkStart w:id="299" w:name="_Toc184314412"/>
      <w:bookmarkEnd w:id="299"/>
      <w:bookmarkStart w:id="300" w:name="_Toc184314431"/>
      <w:bookmarkEnd w:id="300"/>
      <w:bookmarkStart w:id="301" w:name="_Toc184310298"/>
      <w:bookmarkEnd w:id="301"/>
      <w:bookmarkStart w:id="302" w:name="_Toc184314467"/>
      <w:bookmarkEnd w:id="302"/>
      <w:bookmarkStart w:id="303" w:name="_Toc184314480"/>
      <w:bookmarkEnd w:id="303"/>
      <w:bookmarkStart w:id="304" w:name="_Toc184314440"/>
      <w:bookmarkEnd w:id="304"/>
      <w:bookmarkStart w:id="305" w:name="_Toc184310327"/>
      <w:bookmarkEnd w:id="305"/>
      <w:bookmarkStart w:id="306" w:name="_Toc184314422"/>
      <w:bookmarkEnd w:id="306"/>
      <w:bookmarkStart w:id="307" w:name="_Toc184314464"/>
      <w:bookmarkEnd w:id="307"/>
      <w:bookmarkStart w:id="308" w:name="_Toc184314447"/>
      <w:bookmarkEnd w:id="308"/>
      <w:bookmarkStart w:id="309" w:name="_Toc184313278"/>
      <w:bookmarkEnd w:id="309"/>
      <w:bookmarkStart w:id="310" w:name="_Toc184314441"/>
      <w:bookmarkEnd w:id="310"/>
      <w:bookmarkStart w:id="311" w:name="_Toc184314462"/>
      <w:bookmarkEnd w:id="311"/>
      <w:bookmarkStart w:id="312" w:name="_Toc184314471"/>
      <w:bookmarkEnd w:id="312"/>
      <w:bookmarkStart w:id="313" w:name="_Toc184313310"/>
      <w:bookmarkEnd w:id="313"/>
      <w:bookmarkStart w:id="314" w:name="_Toc184313282"/>
      <w:bookmarkEnd w:id="314"/>
      <w:bookmarkStart w:id="315" w:name="_Toc184308046"/>
      <w:bookmarkEnd w:id="315"/>
      <w:bookmarkStart w:id="316" w:name="_Toc184312131"/>
      <w:bookmarkEnd w:id="316"/>
      <w:bookmarkStart w:id="317" w:name="_Toc184314481"/>
      <w:bookmarkEnd w:id="317"/>
      <w:bookmarkStart w:id="318" w:name="_Toc184313303"/>
      <w:bookmarkEnd w:id="318"/>
      <w:bookmarkStart w:id="319" w:name="_Toc184313284"/>
      <w:bookmarkEnd w:id="319"/>
      <w:bookmarkStart w:id="320" w:name="_Toc184313263"/>
      <w:bookmarkEnd w:id="320"/>
      <w:bookmarkStart w:id="321" w:name="_Toc184308062"/>
      <w:bookmarkEnd w:id="321"/>
      <w:bookmarkStart w:id="322" w:name="_Toc184312089"/>
      <w:bookmarkEnd w:id="322"/>
      <w:bookmarkStart w:id="323" w:name="_Toc184312092"/>
      <w:bookmarkEnd w:id="323"/>
      <w:bookmarkStart w:id="324" w:name="_Toc184308047"/>
      <w:bookmarkEnd w:id="324"/>
      <w:bookmarkStart w:id="325" w:name="_Toc184308108"/>
      <w:bookmarkEnd w:id="325"/>
      <w:bookmarkStart w:id="326" w:name="_Toc184310282"/>
      <w:bookmarkEnd w:id="326"/>
      <w:bookmarkStart w:id="327" w:name="_Toc184310291"/>
      <w:bookmarkEnd w:id="327"/>
      <w:bookmarkStart w:id="328" w:name="_Toc184308075"/>
      <w:bookmarkEnd w:id="328"/>
      <w:bookmarkStart w:id="329" w:name="_Toc184314433"/>
      <w:bookmarkEnd w:id="329"/>
      <w:bookmarkStart w:id="330" w:name="_Toc184312121"/>
      <w:bookmarkEnd w:id="330"/>
      <w:bookmarkStart w:id="331" w:name="_Toc184314461"/>
      <w:bookmarkEnd w:id="331"/>
      <w:bookmarkStart w:id="332" w:name="_Toc184313257"/>
      <w:bookmarkEnd w:id="332"/>
      <w:bookmarkStart w:id="333" w:name="_Toc184308098"/>
      <w:bookmarkEnd w:id="333"/>
      <w:bookmarkStart w:id="334" w:name="_Toc184308036"/>
      <w:bookmarkEnd w:id="334"/>
      <w:bookmarkStart w:id="335" w:name="_Toc184314446"/>
      <w:bookmarkEnd w:id="335"/>
      <w:bookmarkStart w:id="336" w:name="_Toc184313305"/>
      <w:bookmarkEnd w:id="336"/>
      <w:bookmarkStart w:id="337" w:name="_Toc184310280"/>
      <w:bookmarkEnd w:id="337"/>
      <w:bookmarkStart w:id="338" w:name="_Toc184310328"/>
      <w:bookmarkEnd w:id="338"/>
      <w:bookmarkStart w:id="339" w:name="_Toc184308040"/>
      <w:bookmarkEnd w:id="339"/>
      <w:bookmarkStart w:id="340" w:name="_Toc184314457"/>
      <w:bookmarkEnd w:id="340"/>
      <w:bookmarkStart w:id="341" w:name="_Toc184308095"/>
      <w:bookmarkEnd w:id="341"/>
      <w:bookmarkStart w:id="342" w:name="_Toc184308099"/>
      <w:bookmarkEnd w:id="342"/>
      <w:bookmarkStart w:id="343" w:name="_Toc184310284"/>
      <w:bookmarkEnd w:id="343"/>
      <w:bookmarkStart w:id="344" w:name="_Toc184314449"/>
      <w:bookmarkEnd w:id="344"/>
      <w:bookmarkStart w:id="345" w:name="_Toc184312091"/>
      <w:bookmarkEnd w:id="345"/>
      <w:bookmarkStart w:id="346" w:name="_Toc184310320"/>
      <w:bookmarkEnd w:id="346"/>
      <w:bookmarkStart w:id="347" w:name="_Toc184310311"/>
      <w:bookmarkEnd w:id="347"/>
      <w:bookmarkStart w:id="348" w:name="_Toc184314413"/>
      <w:bookmarkEnd w:id="348"/>
      <w:bookmarkStart w:id="349" w:name="_Toc184313247"/>
      <w:bookmarkEnd w:id="349"/>
      <w:bookmarkStart w:id="350" w:name="_Toc184310304"/>
      <w:bookmarkEnd w:id="350"/>
      <w:bookmarkStart w:id="351" w:name="_Toc184312110"/>
      <w:bookmarkEnd w:id="351"/>
      <w:bookmarkStart w:id="352" w:name="_Toc184308074"/>
      <w:bookmarkEnd w:id="352"/>
      <w:bookmarkStart w:id="353" w:name="_Toc184314475"/>
      <w:bookmarkEnd w:id="353"/>
      <w:bookmarkStart w:id="354" w:name="_Toc184308052"/>
      <w:bookmarkEnd w:id="354"/>
      <w:bookmarkStart w:id="355" w:name="_Toc184308054"/>
      <w:bookmarkEnd w:id="355"/>
      <w:bookmarkStart w:id="356" w:name="_Toc184310277"/>
      <w:bookmarkEnd w:id="356"/>
      <w:bookmarkStart w:id="357" w:name="_Toc184308063"/>
      <w:bookmarkEnd w:id="357"/>
      <w:bookmarkStart w:id="358" w:name="_Toc184312129"/>
      <w:bookmarkEnd w:id="358"/>
      <w:bookmarkStart w:id="359" w:name="_Toc184310281"/>
      <w:bookmarkEnd w:id="359"/>
      <w:bookmarkStart w:id="360" w:name="_Toc184313269"/>
      <w:bookmarkEnd w:id="360"/>
      <w:bookmarkStart w:id="361" w:name="_Toc184312097"/>
      <w:bookmarkEnd w:id="361"/>
      <w:bookmarkStart w:id="362" w:name="_Toc184308082"/>
      <w:bookmarkEnd w:id="362"/>
      <w:bookmarkStart w:id="363" w:name="_Toc184314482"/>
      <w:bookmarkEnd w:id="363"/>
      <w:bookmarkStart w:id="364" w:name="_Toc184313296"/>
      <w:bookmarkEnd w:id="364"/>
      <w:bookmarkStart w:id="365" w:name="_Toc184313304"/>
      <w:bookmarkEnd w:id="365"/>
      <w:bookmarkStart w:id="366" w:name="_Toc184314429"/>
      <w:bookmarkEnd w:id="366"/>
      <w:bookmarkStart w:id="367" w:name="_Toc184308093"/>
      <w:bookmarkEnd w:id="367"/>
      <w:bookmarkStart w:id="368" w:name="_Toc184308061"/>
      <w:bookmarkEnd w:id="368"/>
      <w:bookmarkStart w:id="369" w:name="_Toc184313264"/>
      <w:bookmarkEnd w:id="369"/>
      <w:bookmarkStart w:id="370" w:name="_Toc184314414"/>
      <w:bookmarkEnd w:id="370"/>
      <w:bookmarkStart w:id="371" w:name="_Toc184314453"/>
      <w:bookmarkEnd w:id="371"/>
      <w:bookmarkStart w:id="372" w:name="_Toc184314426"/>
      <w:bookmarkEnd w:id="372"/>
      <w:bookmarkStart w:id="373" w:name="_Toc184310338"/>
      <w:bookmarkEnd w:id="373"/>
      <w:bookmarkStart w:id="374" w:name="_Toc184308037"/>
      <w:bookmarkEnd w:id="374"/>
      <w:bookmarkStart w:id="375" w:name="_Toc184308048"/>
      <w:bookmarkEnd w:id="375"/>
      <w:bookmarkStart w:id="376" w:name="_Toc184312128"/>
      <w:bookmarkEnd w:id="376"/>
      <w:bookmarkStart w:id="377" w:name="_Toc184308057"/>
      <w:bookmarkEnd w:id="377"/>
      <w:bookmarkStart w:id="378" w:name="_Toc184314444"/>
      <w:bookmarkEnd w:id="378"/>
      <w:bookmarkStart w:id="379" w:name="_Toc184310276"/>
      <w:bookmarkEnd w:id="379"/>
      <w:bookmarkStart w:id="380" w:name="_Toc184312085"/>
      <w:bookmarkEnd w:id="380"/>
      <w:bookmarkStart w:id="381" w:name="_Toc184314410"/>
      <w:bookmarkEnd w:id="381"/>
      <w:bookmarkStart w:id="382" w:name="_Toc184308092"/>
      <w:bookmarkEnd w:id="382"/>
      <w:bookmarkStart w:id="383" w:name="_Toc184312104"/>
      <w:bookmarkEnd w:id="383"/>
      <w:bookmarkStart w:id="384" w:name="_Toc184308086"/>
      <w:bookmarkEnd w:id="384"/>
      <w:bookmarkStart w:id="385" w:name="_Toc184308096"/>
      <w:bookmarkEnd w:id="385"/>
      <w:bookmarkStart w:id="386" w:name="_Toc184312083"/>
      <w:bookmarkEnd w:id="386"/>
      <w:bookmarkStart w:id="387" w:name="_Toc184310272"/>
      <w:bookmarkEnd w:id="387"/>
      <w:bookmarkStart w:id="388" w:name="_Toc184310273"/>
      <w:bookmarkEnd w:id="388"/>
      <w:bookmarkStart w:id="389" w:name="_Toc184310339"/>
      <w:bookmarkEnd w:id="389"/>
      <w:bookmarkStart w:id="390" w:name="_Toc184313309"/>
      <w:bookmarkEnd w:id="390"/>
      <w:bookmarkStart w:id="391" w:name="_Toc184312098"/>
      <w:bookmarkEnd w:id="391"/>
      <w:bookmarkStart w:id="392" w:name="_Toc184312101"/>
      <w:bookmarkEnd w:id="392"/>
      <w:bookmarkStart w:id="393" w:name="_Toc184314435"/>
      <w:bookmarkEnd w:id="393"/>
      <w:bookmarkStart w:id="394" w:name="_Toc184308071"/>
      <w:bookmarkEnd w:id="394"/>
      <w:r>
        <w:rPr>
          <w:rFonts w:hint="eastAsia" w:ascii="宋体" w:hAnsi="宋体" w:cs="宋体"/>
          <w:b/>
          <w:color w:val="auto"/>
          <w:sz w:val="36"/>
          <w:szCs w:val="36"/>
          <w:highlight w:val="none"/>
        </w:rPr>
        <w:t>评标办法</w:t>
      </w:r>
    </w:p>
    <w:p w14:paraId="05244336">
      <w:pPr>
        <w:snapToGrid w:val="0"/>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5"/>
        <w:tblW w:w="95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1307"/>
        <w:gridCol w:w="4936"/>
        <w:gridCol w:w="576"/>
        <w:gridCol w:w="935"/>
        <w:gridCol w:w="1261"/>
      </w:tblGrid>
      <w:tr w14:paraId="34C83D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35" w:type="dxa"/>
            <w:tcBorders>
              <w:tl2br w:val="nil"/>
              <w:tr2bl w:val="nil"/>
            </w:tcBorders>
            <w:vAlign w:val="center"/>
          </w:tcPr>
          <w:p w14:paraId="7F9494DC">
            <w:pPr>
              <w:snapToGrid w:val="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307" w:type="dxa"/>
            <w:tcBorders>
              <w:tl2br w:val="nil"/>
              <w:tr2bl w:val="nil"/>
            </w:tcBorders>
            <w:vAlign w:val="center"/>
          </w:tcPr>
          <w:p w14:paraId="45675DF1">
            <w:pPr>
              <w:snapToGrid w:val="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评分内容</w:t>
            </w:r>
          </w:p>
        </w:tc>
        <w:tc>
          <w:tcPr>
            <w:tcW w:w="4936" w:type="dxa"/>
            <w:tcBorders>
              <w:tl2br w:val="nil"/>
              <w:tr2bl w:val="nil"/>
            </w:tcBorders>
            <w:vAlign w:val="center"/>
          </w:tcPr>
          <w:p w14:paraId="398A30EA">
            <w:pPr>
              <w:snapToGrid w:val="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评标标准</w:t>
            </w:r>
          </w:p>
        </w:tc>
        <w:tc>
          <w:tcPr>
            <w:tcW w:w="576" w:type="dxa"/>
            <w:tcBorders>
              <w:tl2br w:val="nil"/>
              <w:tr2bl w:val="nil"/>
            </w:tcBorders>
            <w:vAlign w:val="center"/>
          </w:tcPr>
          <w:p w14:paraId="189544A3">
            <w:pPr>
              <w:snapToGrid w:val="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权值</w:t>
            </w:r>
          </w:p>
        </w:tc>
        <w:tc>
          <w:tcPr>
            <w:tcW w:w="935" w:type="dxa"/>
            <w:tcBorders>
              <w:tl2br w:val="nil"/>
              <w:tr2bl w:val="nil"/>
            </w:tcBorders>
            <w:vAlign w:val="center"/>
          </w:tcPr>
          <w:p w14:paraId="0B0F8A25">
            <w:pPr>
              <w:snapToGrid w:val="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261" w:type="dxa"/>
            <w:tcBorders>
              <w:tl2br w:val="nil"/>
              <w:tr2bl w:val="nil"/>
            </w:tcBorders>
            <w:vAlign w:val="center"/>
          </w:tcPr>
          <w:p w14:paraId="4233C082">
            <w:pPr>
              <w:snapToGrid w:val="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p>
        </w:tc>
      </w:tr>
      <w:tr w14:paraId="5B5B2B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tcBorders>
              <w:tl2br w:val="nil"/>
              <w:tr2bl w:val="nil"/>
            </w:tcBorders>
            <w:vAlign w:val="center"/>
          </w:tcPr>
          <w:p w14:paraId="0E71C515">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307" w:type="dxa"/>
            <w:tcBorders>
              <w:tl2br w:val="nil"/>
              <w:tr2bl w:val="nil"/>
            </w:tcBorders>
            <w:vAlign w:val="center"/>
          </w:tcPr>
          <w:p w14:paraId="23E40244">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类似业绩</w:t>
            </w:r>
          </w:p>
        </w:tc>
        <w:tc>
          <w:tcPr>
            <w:tcW w:w="4936" w:type="dxa"/>
            <w:tcBorders>
              <w:tl2br w:val="nil"/>
              <w:tr2bl w:val="nil"/>
            </w:tcBorders>
            <w:vAlign w:val="center"/>
          </w:tcPr>
          <w:p w14:paraId="08AD43D3">
            <w:pPr>
              <w:widowControl/>
              <w:snapToGrid w:val="0"/>
              <w:spacing w:line="340" w:lineRule="exac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投标单位202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年1月1日以来成功实施实施同类项目案例的，每个得0.5分，最高1分。</w:t>
            </w:r>
          </w:p>
          <w:p w14:paraId="53CE7A1D">
            <w:pPr>
              <w:widowControl/>
              <w:snapToGrid w:val="0"/>
              <w:spacing w:line="340" w:lineRule="exact"/>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需附证明材料：</w:t>
            </w:r>
            <w:r>
              <w:rPr>
                <w:rFonts w:hint="eastAsia" w:ascii="宋体" w:hAnsi="宋体" w:eastAsia="宋体" w:cs="宋体"/>
                <w:color w:val="auto"/>
                <w:sz w:val="21"/>
                <w:szCs w:val="21"/>
                <w:highlight w:val="none"/>
                <w:lang w:val="en-US" w:eastAsia="zh-CN"/>
              </w:rPr>
              <w:t>项目合同复印件</w:t>
            </w:r>
            <w:r>
              <w:rPr>
                <w:rFonts w:hint="eastAsia" w:ascii="宋体" w:hAnsi="宋体" w:cs="宋体"/>
                <w:color w:val="auto"/>
                <w:sz w:val="21"/>
                <w:szCs w:val="21"/>
                <w:highlight w:val="none"/>
                <w:lang w:val="en-US" w:eastAsia="zh-CN"/>
              </w:rPr>
              <w:t>。</w:t>
            </w:r>
          </w:p>
        </w:tc>
        <w:tc>
          <w:tcPr>
            <w:tcW w:w="576" w:type="dxa"/>
            <w:tcBorders>
              <w:tl2br w:val="nil"/>
              <w:tr2bl w:val="nil"/>
            </w:tcBorders>
            <w:vAlign w:val="center"/>
          </w:tcPr>
          <w:p w14:paraId="00478A06">
            <w:pPr>
              <w:widowControl/>
              <w:snapToGrid w:val="0"/>
              <w:spacing w:line="34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935" w:type="dxa"/>
            <w:tcBorders>
              <w:tl2br w:val="nil"/>
              <w:tr2bl w:val="nil"/>
            </w:tcBorders>
            <w:vAlign w:val="center"/>
          </w:tcPr>
          <w:p w14:paraId="2BDB25AF">
            <w:pPr>
              <w:widowControl/>
              <w:snapToGrid w:val="0"/>
              <w:spacing w:line="34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c>
          <w:tcPr>
            <w:tcW w:w="1261" w:type="dxa"/>
            <w:tcBorders>
              <w:tl2br w:val="nil"/>
              <w:tr2bl w:val="nil"/>
            </w:tcBorders>
            <w:vAlign w:val="center"/>
          </w:tcPr>
          <w:p w14:paraId="78C5B92C">
            <w:pPr>
              <w:widowControl/>
              <w:snapToGrid w:val="0"/>
              <w:spacing w:line="340" w:lineRule="exact"/>
              <w:jc w:val="center"/>
              <w:textAlignment w:val="center"/>
              <w:rPr>
                <w:rFonts w:hint="eastAsia" w:ascii="宋体" w:hAnsi="宋体" w:eastAsia="宋体" w:cs="宋体"/>
                <w:color w:val="auto"/>
                <w:sz w:val="21"/>
                <w:szCs w:val="21"/>
                <w:highlight w:val="none"/>
              </w:rPr>
            </w:pPr>
          </w:p>
        </w:tc>
      </w:tr>
      <w:tr w14:paraId="6A707B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tcBorders>
              <w:tl2br w:val="nil"/>
              <w:tr2bl w:val="nil"/>
            </w:tcBorders>
            <w:vAlign w:val="center"/>
          </w:tcPr>
          <w:p w14:paraId="0EBEA782">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307" w:type="dxa"/>
            <w:tcBorders>
              <w:tl2br w:val="nil"/>
              <w:tr2bl w:val="nil"/>
            </w:tcBorders>
            <w:vAlign w:val="center"/>
          </w:tcPr>
          <w:p w14:paraId="1E3AB6AD">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企业诚信</w:t>
            </w:r>
          </w:p>
        </w:tc>
        <w:tc>
          <w:tcPr>
            <w:tcW w:w="4936" w:type="dxa"/>
            <w:tcBorders>
              <w:tl2br w:val="nil"/>
              <w:tr2bl w:val="nil"/>
            </w:tcBorders>
            <w:vAlign w:val="center"/>
          </w:tcPr>
          <w:p w14:paraId="7DEED631">
            <w:pPr>
              <w:widowControl/>
              <w:snapToGrid w:val="0"/>
              <w:spacing w:line="340" w:lineRule="exac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凡在投标截止时间前三年受到行政处罚、行政处理(含通报)或记入不良行为的，此项得分为0</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若无处罚</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行政处理(含通)报)或记入不良行为的得3分</w:t>
            </w:r>
            <w:r>
              <w:rPr>
                <w:rFonts w:hint="eastAsia" w:ascii="宋体" w:hAnsi="宋体" w:cs="宋体"/>
                <w:color w:val="auto"/>
                <w:sz w:val="21"/>
                <w:szCs w:val="21"/>
                <w:highlight w:val="none"/>
                <w:lang w:val="en-US" w:eastAsia="zh-CN"/>
              </w:rPr>
              <w:t>。需附证明材料：</w:t>
            </w:r>
            <w:r>
              <w:rPr>
                <w:rFonts w:hint="default" w:ascii="宋体" w:hAnsi="宋体" w:eastAsia="宋体" w:cs="宋体"/>
                <w:color w:val="auto"/>
                <w:sz w:val="21"/>
                <w:szCs w:val="21"/>
                <w:highlight w:val="none"/>
                <w:lang w:val="en-US" w:eastAsia="zh-CN"/>
              </w:rPr>
              <w:t>自行提供承诺函，不提供承诺函的得0分，如有不良记录又虚假承诺的，一经发现将取消中标资格并报监管部门依法处理。</w:t>
            </w:r>
          </w:p>
        </w:tc>
        <w:tc>
          <w:tcPr>
            <w:tcW w:w="576" w:type="dxa"/>
            <w:tcBorders>
              <w:tl2br w:val="nil"/>
              <w:tr2bl w:val="nil"/>
            </w:tcBorders>
            <w:vAlign w:val="center"/>
          </w:tcPr>
          <w:p w14:paraId="1A31887D">
            <w:pPr>
              <w:widowControl/>
              <w:snapToGrid w:val="0"/>
              <w:spacing w:line="34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935" w:type="dxa"/>
            <w:tcBorders>
              <w:tl2br w:val="nil"/>
              <w:tr2bl w:val="nil"/>
            </w:tcBorders>
            <w:vAlign w:val="center"/>
          </w:tcPr>
          <w:p w14:paraId="5FBCD3CA">
            <w:pPr>
              <w:widowControl/>
              <w:snapToGrid w:val="0"/>
              <w:spacing w:line="34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c>
          <w:tcPr>
            <w:tcW w:w="1261" w:type="dxa"/>
            <w:tcBorders>
              <w:tl2br w:val="nil"/>
              <w:tr2bl w:val="nil"/>
            </w:tcBorders>
            <w:vAlign w:val="center"/>
          </w:tcPr>
          <w:p w14:paraId="74187412">
            <w:pPr>
              <w:widowControl/>
              <w:snapToGrid w:val="0"/>
              <w:spacing w:line="340" w:lineRule="exact"/>
              <w:jc w:val="center"/>
              <w:textAlignment w:val="center"/>
              <w:rPr>
                <w:rFonts w:hint="eastAsia" w:ascii="宋体" w:hAnsi="宋体" w:eastAsia="宋体" w:cs="宋体"/>
                <w:color w:val="auto"/>
                <w:sz w:val="21"/>
                <w:szCs w:val="21"/>
                <w:highlight w:val="none"/>
              </w:rPr>
            </w:pPr>
          </w:p>
        </w:tc>
      </w:tr>
      <w:tr w14:paraId="0F8A3E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tcBorders>
              <w:tl2br w:val="nil"/>
              <w:tr2bl w:val="nil"/>
            </w:tcBorders>
            <w:vAlign w:val="center"/>
          </w:tcPr>
          <w:p w14:paraId="29C35F63">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307" w:type="dxa"/>
            <w:vMerge w:val="restart"/>
            <w:tcBorders>
              <w:tl2br w:val="nil"/>
              <w:tr2bl w:val="nil"/>
            </w:tcBorders>
            <w:vAlign w:val="center"/>
          </w:tcPr>
          <w:p w14:paraId="2E394A9A">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实施方案</w:t>
            </w:r>
          </w:p>
        </w:tc>
        <w:tc>
          <w:tcPr>
            <w:tcW w:w="4936" w:type="dxa"/>
            <w:tcBorders>
              <w:tl2br w:val="nil"/>
              <w:tr2bl w:val="nil"/>
            </w:tcBorders>
            <w:vAlign w:val="center"/>
          </w:tcPr>
          <w:p w14:paraId="40DFA11F">
            <w:pPr>
              <w:widowControl/>
              <w:snapToGrid w:val="0"/>
              <w:spacing w:line="340" w:lineRule="exact"/>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围绕本项目采购内容，制定服务实施方案。根据项目实施方案</w:t>
            </w:r>
            <w:r>
              <w:rPr>
                <w:rFonts w:hint="eastAsia" w:ascii="宋体" w:hAnsi="宋体" w:cs="宋体"/>
                <w:color w:val="auto"/>
                <w:sz w:val="21"/>
                <w:szCs w:val="21"/>
                <w:highlight w:val="none"/>
                <w:lang w:val="en-US" w:eastAsia="zh-CN"/>
              </w:rPr>
              <w:t>进行评审：</w:t>
            </w:r>
          </w:p>
          <w:p w14:paraId="61D3DF19">
            <w:pPr>
              <w:widowControl/>
              <w:snapToGrid w:val="0"/>
              <w:spacing w:line="340" w:lineRule="exact"/>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是否内容全面，是否与采购需求符合性或匹配度进行打分（</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4分）；</w:t>
            </w:r>
          </w:p>
          <w:p w14:paraId="44D70676">
            <w:pPr>
              <w:widowControl/>
              <w:snapToGrid w:val="0"/>
              <w:spacing w:line="340" w:lineRule="exact"/>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是否重点突出，是否与采购需求符合性或匹配度进行打分（0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4分）；</w:t>
            </w:r>
          </w:p>
          <w:p w14:paraId="598309D1">
            <w:pPr>
              <w:widowControl/>
              <w:snapToGrid w:val="0"/>
              <w:spacing w:line="340" w:lineRule="exact"/>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是否具有操作性，是否与采购需求符合性或匹配度进行打分（0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4分）</w:t>
            </w:r>
            <w:r>
              <w:rPr>
                <w:rFonts w:hint="eastAsia" w:ascii="宋体" w:hAnsi="宋体" w:cs="宋体"/>
                <w:color w:val="auto"/>
                <w:sz w:val="21"/>
                <w:szCs w:val="21"/>
                <w:highlight w:val="none"/>
                <w:lang w:val="en-US" w:eastAsia="zh-CN"/>
              </w:rPr>
              <w:t>。</w:t>
            </w:r>
          </w:p>
        </w:tc>
        <w:tc>
          <w:tcPr>
            <w:tcW w:w="576" w:type="dxa"/>
            <w:tcBorders>
              <w:tl2br w:val="nil"/>
              <w:tr2bl w:val="nil"/>
            </w:tcBorders>
            <w:shd w:val="clear" w:color="auto" w:fill="auto"/>
            <w:vAlign w:val="center"/>
          </w:tcPr>
          <w:p w14:paraId="100CF65C">
            <w:pPr>
              <w:widowControl/>
              <w:snapToGrid w:val="0"/>
              <w:spacing w:line="340" w:lineRule="exact"/>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12</w:t>
            </w:r>
          </w:p>
        </w:tc>
        <w:tc>
          <w:tcPr>
            <w:tcW w:w="935" w:type="dxa"/>
            <w:tcBorders>
              <w:tl2br w:val="nil"/>
              <w:tr2bl w:val="nil"/>
            </w:tcBorders>
            <w:shd w:val="clear" w:color="auto" w:fill="auto"/>
            <w:vAlign w:val="center"/>
          </w:tcPr>
          <w:p w14:paraId="19034D98">
            <w:pPr>
              <w:widowControl/>
              <w:snapToGrid w:val="0"/>
              <w:spacing w:line="340" w:lineRule="exact"/>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主观分</w:t>
            </w:r>
          </w:p>
        </w:tc>
        <w:tc>
          <w:tcPr>
            <w:tcW w:w="1261" w:type="dxa"/>
            <w:tcBorders>
              <w:tl2br w:val="nil"/>
              <w:tr2bl w:val="nil"/>
            </w:tcBorders>
            <w:vAlign w:val="center"/>
          </w:tcPr>
          <w:p w14:paraId="6052CEA1">
            <w:pPr>
              <w:widowControl/>
              <w:snapToGrid w:val="0"/>
              <w:spacing w:line="340" w:lineRule="exact"/>
              <w:jc w:val="center"/>
              <w:textAlignment w:val="center"/>
              <w:rPr>
                <w:rFonts w:hint="eastAsia" w:ascii="宋体" w:hAnsi="宋体" w:eastAsia="宋体" w:cs="宋体"/>
                <w:color w:val="auto"/>
                <w:sz w:val="21"/>
                <w:szCs w:val="21"/>
                <w:highlight w:val="none"/>
              </w:rPr>
            </w:pPr>
          </w:p>
        </w:tc>
      </w:tr>
      <w:tr w14:paraId="69B34B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tcBorders>
              <w:tl2br w:val="nil"/>
              <w:tr2bl w:val="nil"/>
            </w:tcBorders>
            <w:vAlign w:val="center"/>
          </w:tcPr>
          <w:p w14:paraId="7810E7A9">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307" w:type="dxa"/>
            <w:vMerge w:val="continue"/>
            <w:tcBorders>
              <w:tl2br w:val="nil"/>
              <w:tr2bl w:val="nil"/>
            </w:tcBorders>
            <w:vAlign w:val="center"/>
          </w:tcPr>
          <w:p w14:paraId="0B77AE85">
            <w:pPr>
              <w:snapToGrid w:val="0"/>
              <w:jc w:val="center"/>
              <w:rPr>
                <w:rFonts w:hint="default" w:ascii="宋体" w:hAnsi="宋体" w:eastAsia="宋体" w:cs="宋体"/>
                <w:color w:val="auto"/>
                <w:sz w:val="21"/>
                <w:szCs w:val="21"/>
                <w:highlight w:val="none"/>
                <w:lang w:val="en-US" w:eastAsia="zh-CN"/>
              </w:rPr>
            </w:pPr>
          </w:p>
        </w:tc>
        <w:tc>
          <w:tcPr>
            <w:tcW w:w="4936" w:type="dxa"/>
            <w:tcBorders>
              <w:tl2br w:val="nil"/>
              <w:tr2bl w:val="nil"/>
            </w:tcBorders>
            <w:vAlign w:val="center"/>
          </w:tcPr>
          <w:p w14:paraId="0AEFD902">
            <w:pPr>
              <w:widowControl/>
              <w:snapToGrid w:val="0"/>
              <w:spacing w:line="340" w:lineRule="exact"/>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w:t>
            </w:r>
            <w:r>
              <w:rPr>
                <w:rFonts w:hint="default" w:ascii="宋体" w:hAnsi="宋体" w:eastAsia="宋体" w:cs="宋体"/>
                <w:color w:val="auto"/>
                <w:sz w:val="21"/>
                <w:szCs w:val="21"/>
                <w:highlight w:val="none"/>
                <w:lang w:val="en-US" w:eastAsia="zh-CN"/>
              </w:rPr>
              <w:t>实施方案的深度，以及组织实施方案的是否科学性、合理性、规范性和可操作性，是否与采购需求符合性或匹配度进行打分（0</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5分）</w:t>
            </w:r>
            <w:r>
              <w:rPr>
                <w:rFonts w:hint="eastAsia" w:ascii="宋体" w:hAnsi="宋体" w:cs="宋体"/>
                <w:color w:val="auto"/>
                <w:sz w:val="21"/>
                <w:szCs w:val="21"/>
                <w:highlight w:val="none"/>
                <w:lang w:val="en-US" w:eastAsia="zh-CN"/>
              </w:rPr>
              <w:t>；</w:t>
            </w:r>
          </w:p>
          <w:p w14:paraId="74E11324">
            <w:pPr>
              <w:widowControl/>
              <w:snapToGrid w:val="0"/>
              <w:spacing w:line="340" w:lineRule="exac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以及组织机构、工作程序和步骤、管理和协调方法、关键步骤的思路和要点等，是否与采购需求符合性或匹配度进行打分（0</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5分）</w:t>
            </w:r>
            <w:r>
              <w:rPr>
                <w:rFonts w:hint="eastAsia" w:ascii="宋体" w:hAnsi="宋体" w:cs="宋体"/>
                <w:color w:val="auto"/>
                <w:sz w:val="21"/>
                <w:szCs w:val="21"/>
                <w:highlight w:val="none"/>
                <w:lang w:val="en-US" w:eastAsia="zh-CN"/>
              </w:rPr>
              <w:t>。</w:t>
            </w:r>
          </w:p>
        </w:tc>
        <w:tc>
          <w:tcPr>
            <w:tcW w:w="576" w:type="dxa"/>
            <w:tcBorders>
              <w:tl2br w:val="nil"/>
              <w:tr2bl w:val="nil"/>
            </w:tcBorders>
            <w:vAlign w:val="center"/>
          </w:tcPr>
          <w:p w14:paraId="07F8CFE2">
            <w:pPr>
              <w:widowControl/>
              <w:snapToGrid w:val="0"/>
              <w:spacing w:line="34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935" w:type="dxa"/>
            <w:tcBorders>
              <w:tl2br w:val="nil"/>
              <w:tr2bl w:val="nil"/>
            </w:tcBorders>
            <w:vAlign w:val="center"/>
          </w:tcPr>
          <w:p w14:paraId="44EEECEB">
            <w:pPr>
              <w:widowControl/>
              <w:snapToGrid w:val="0"/>
              <w:spacing w:line="34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c>
          <w:tcPr>
            <w:tcW w:w="1261" w:type="dxa"/>
            <w:tcBorders>
              <w:tl2br w:val="nil"/>
              <w:tr2bl w:val="nil"/>
            </w:tcBorders>
            <w:vAlign w:val="center"/>
          </w:tcPr>
          <w:p w14:paraId="756176EA">
            <w:pPr>
              <w:widowControl/>
              <w:snapToGrid w:val="0"/>
              <w:spacing w:line="340" w:lineRule="exact"/>
              <w:jc w:val="center"/>
              <w:textAlignment w:val="center"/>
              <w:rPr>
                <w:rFonts w:hint="eastAsia" w:ascii="宋体" w:hAnsi="宋体" w:eastAsia="宋体" w:cs="宋体"/>
                <w:color w:val="auto"/>
                <w:sz w:val="21"/>
                <w:szCs w:val="21"/>
                <w:highlight w:val="none"/>
              </w:rPr>
            </w:pPr>
          </w:p>
        </w:tc>
      </w:tr>
      <w:tr w14:paraId="4D2F29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tcBorders>
              <w:tl2br w:val="nil"/>
              <w:tr2bl w:val="nil"/>
            </w:tcBorders>
            <w:vAlign w:val="center"/>
          </w:tcPr>
          <w:p w14:paraId="0CCDDAE7">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307" w:type="dxa"/>
            <w:vMerge w:val="continue"/>
            <w:tcBorders>
              <w:tl2br w:val="nil"/>
              <w:tr2bl w:val="nil"/>
            </w:tcBorders>
            <w:vAlign w:val="center"/>
          </w:tcPr>
          <w:p w14:paraId="610162E6">
            <w:pPr>
              <w:snapToGrid w:val="0"/>
              <w:jc w:val="center"/>
              <w:rPr>
                <w:rFonts w:hint="default" w:ascii="宋体" w:hAnsi="宋体" w:eastAsia="宋体" w:cs="宋体"/>
                <w:color w:val="auto"/>
                <w:sz w:val="21"/>
                <w:szCs w:val="21"/>
                <w:highlight w:val="none"/>
                <w:lang w:val="en-US" w:eastAsia="zh-CN"/>
              </w:rPr>
            </w:pPr>
          </w:p>
        </w:tc>
        <w:tc>
          <w:tcPr>
            <w:tcW w:w="4936" w:type="dxa"/>
            <w:tcBorders>
              <w:tl2br w:val="nil"/>
              <w:tr2bl w:val="nil"/>
            </w:tcBorders>
            <w:vAlign w:val="center"/>
          </w:tcPr>
          <w:p w14:paraId="7A6246A5">
            <w:pPr>
              <w:widowControl/>
              <w:snapToGrid w:val="0"/>
              <w:spacing w:line="340" w:lineRule="exac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对本项目思路、原则、特点、技术要求的理解情况，是否充分考虑采购方实际使用需求，是否与采购需求符合性或匹配度进行打分（0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5分）</w:t>
            </w:r>
            <w:r>
              <w:rPr>
                <w:rFonts w:hint="eastAsia" w:ascii="宋体" w:hAnsi="宋体" w:cs="宋体"/>
                <w:color w:val="auto"/>
                <w:sz w:val="21"/>
                <w:szCs w:val="21"/>
                <w:highlight w:val="none"/>
                <w:lang w:val="en-US" w:eastAsia="zh-CN"/>
              </w:rPr>
              <w:t>；</w:t>
            </w:r>
          </w:p>
          <w:p w14:paraId="25C8B719">
            <w:pPr>
              <w:widowControl/>
              <w:snapToGrid w:val="0"/>
              <w:spacing w:line="340" w:lineRule="exact"/>
              <w:textAlignment w:val="center"/>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方案在确保阶段性任务实现的同时，是否统筹考虑了总体目标的实现，是否与采购需求符合性或匹配度进行分打（0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5分）。</w:t>
            </w:r>
          </w:p>
        </w:tc>
        <w:tc>
          <w:tcPr>
            <w:tcW w:w="576" w:type="dxa"/>
            <w:tcBorders>
              <w:tl2br w:val="nil"/>
              <w:tr2bl w:val="nil"/>
            </w:tcBorders>
            <w:vAlign w:val="center"/>
          </w:tcPr>
          <w:p w14:paraId="76E93C95">
            <w:pPr>
              <w:widowControl/>
              <w:snapToGrid w:val="0"/>
              <w:spacing w:line="34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935" w:type="dxa"/>
            <w:tcBorders>
              <w:tl2br w:val="nil"/>
              <w:tr2bl w:val="nil"/>
            </w:tcBorders>
            <w:vAlign w:val="center"/>
          </w:tcPr>
          <w:p w14:paraId="50055FD3">
            <w:pPr>
              <w:widowControl/>
              <w:snapToGrid w:val="0"/>
              <w:spacing w:line="34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c>
          <w:tcPr>
            <w:tcW w:w="1261" w:type="dxa"/>
            <w:tcBorders>
              <w:tl2br w:val="nil"/>
              <w:tr2bl w:val="nil"/>
            </w:tcBorders>
            <w:vAlign w:val="center"/>
          </w:tcPr>
          <w:p w14:paraId="3E86E96E">
            <w:pPr>
              <w:widowControl/>
              <w:snapToGrid w:val="0"/>
              <w:spacing w:line="340" w:lineRule="exact"/>
              <w:jc w:val="center"/>
              <w:textAlignment w:val="center"/>
              <w:rPr>
                <w:rFonts w:hint="eastAsia" w:ascii="宋体" w:hAnsi="宋体" w:eastAsia="宋体" w:cs="宋体"/>
                <w:color w:val="auto"/>
                <w:sz w:val="21"/>
                <w:szCs w:val="21"/>
                <w:highlight w:val="none"/>
              </w:rPr>
            </w:pPr>
          </w:p>
        </w:tc>
      </w:tr>
      <w:tr w14:paraId="6BBA92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tcBorders>
              <w:tl2br w:val="nil"/>
              <w:tr2bl w:val="nil"/>
            </w:tcBorders>
            <w:vAlign w:val="center"/>
          </w:tcPr>
          <w:p w14:paraId="69FA1687">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307" w:type="dxa"/>
            <w:vMerge w:val="continue"/>
            <w:tcBorders>
              <w:tl2br w:val="nil"/>
              <w:tr2bl w:val="nil"/>
            </w:tcBorders>
            <w:vAlign w:val="center"/>
          </w:tcPr>
          <w:p w14:paraId="1F4C869A">
            <w:pPr>
              <w:snapToGrid w:val="0"/>
              <w:jc w:val="center"/>
              <w:rPr>
                <w:rFonts w:hint="default" w:ascii="宋体" w:hAnsi="宋体" w:eastAsia="宋体" w:cs="宋体"/>
                <w:color w:val="auto"/>
                <w:sz w:val="21"/>
                <w:szCs w:val="21"/>
                <w:highlight w:val="none"/>
                <w:lang w:val="en-US" w:eastAsia="zh-CN"/>
              </w:rPr>
            </w:pPr>
          </w:p>
        </w:tc>
        <w:tc>
          <w:tcPr>
            <w:tcW w:w="4936" w:type="dxa"/>
            <w:tcBorders>
              <w:tl2br w:val="nil"/>
              <w:tr2bl w:val="nil"/>
            </w:tcBorders>
            <w:vAlign w:val="center"/>
          </w:tcPr>
          <w:p w14:paraId="5D7DAC1A">
            <w:pPr>
              <w:widowControl/>
              <w:snapToGrid w:val="0"/>
              <w:spacing w:line="340" w:lineRule="exact"/>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针对本项目各项管理制度的完整性、合理性、可操作性，是否与采购需求符合性或匹配度进行打分（0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5分）；</w:t>
            </w:r>
          </w:p>
        </w:tc>
        <w:tc>
          <w:tcPr>
            <w:tcW w:w="576" w:type="dxa"/>
            <w:tcBorders>
              <w:tl2br w:val="nil"/>
              <w:tr2bl w:val="nil"/>
            </w:tcBorders>
            <w:vAlign w:val="center"/>
          </w:tcPr>
          <w:p w14:paraId="36400A43">
            <w:pPr>
              <w:widowControl/>
              <w:snapToGrid w:val="0"/>
              <w:spacing w:line="34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935" w:type="dxa"/>
            <w:tcBorders>
              <w:tl2br w:val="nil"/>
              <w:tr2bl w:val="nil"/>
            </w:tcBorders>
            <w:vAlign w:val="center"/>
          </w:tcPr>
          <w:p w14:paraId="1322E09F">
            <w:pPr>
              <w:widowControl/>
              <w:snapToGrid w:val="0"/>
              <w:spacing w:line="34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c>
          <w:tcPr>
            <w:tcW w:w="1261" w:type="dxa"/>
            <w:tcBorders>
              <w:tl2br w:val="nil"/>
              <w:tr2bl w:val="nil"/>
            </w:tcBorders>
            <w:vAlign w:val="center"/>
          </w:tcPr>
          <w:p w14:paraId="1F6D65FE">
            <w:pPr>
              <w:widowControl/>
              <w:snapToGrid w:val="0"/>
              <w:spacing w:line="340" w:lineRule="exact"/>
              <w:jc w:val="center"/>
              <w:textAlignment w:val="center"/>
              <w:rPr>
                <w:rFonts w:hint="eastAsia" w:ascii="宋体" w:hAnsi="宋体" w:eastAsia="宋体" w:cs="宋体"/>
                <w:color w:val="auto"/>
                <w:sz w:val="21"/>
                <w:szCs w:val="21"/>
                <w:highlight w:val="none"/>
              </w:rPr>
            </w:pPr>
          </w:p>
        </w:tc>
      </w:tr>
      <w:tr w14:paraId="0DF52A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tcBorders>
              <w:tl2br w:val="nil"/>
              <w:tr2bl w:val="nil"/>
            </w:tcBorders>
            <w:vAlign w:val="center"/>
          </w:tcPr>
          <w:p w14:paraId="52F6E985">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307" w:type="dxa"/>
            <w:vMerge w:val="continue"/>
            <w:tcBorders>
              <w:tl2br w:val="nil"/>
              <w:tr2bl w:val="nil"/>
            </w:tcBorders>
            <w:vAlign w:val="center"/>
          </w:tcPr>
          <w:p w14:paraId="4DD2A7B9">
            <w:pPr>
              <w:snapToGrid w:val="0"/>
              <w:jc w:val="center"/>
              <w:rPr>
                <w:rFonts w:hint="default" w:ascii="宋体" w:hAnsi="宋体" w:eastAsia="宋体" w:cs="宋体"/>
                <w:color w:val="auto"/>
                <w:sz w:val="21"/>
                <w:szCs w:val="21"/>
                <w:highlight w:val="none"/>
                <w:lang w:val="en-US" w:eastAsia="zh-CN"/>
              </w:rPr>
            </w:pPr>
          </w:p>
        </w:tc>
        <w:tc>
          <w:tcPr>
            <w:tcW w:w="4936" w:type="dxa"/>
            <w:tcBorders>
              <w:tl2br w:val="nil"/>
              <w:tr2bl w:val="nil"/>
            </w:tcBorders>
            <w:vAlign w:val="center"/>
          </w:tcPr>
          <w:p w14:paraId="7CBBCDEE">
            <w:pPr>
              <w:widowControl/>
              <w:snapToGrid w:val="0"/>
              <w:spacing w:line="340" w:lineRule="exac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针对本项目服务的措施（含组织措施、技术措施、经济措施、管理措施）的合理性、完整性，是否与采购需求符合性或匹配度进行打分（0</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5分）</w:t>
            </w:r>
            <w:r>
              <w:rPr>
                <w:rFonts w:hint="eastAsia" w:ascii="宋体" w:hAnsi="宋体" w:cs="宋体"/>
                <w:color w:val="auto"/>
                <w:sz w:val="21"/>
                <w:szCs w:val="21"/>
                <w:highlight w:val="none"/>
                <w:lang w:val="en-US" w:eastAsia="zh-CN"/>
              </w:rPr>
              <w:t>。</w:t>
            </w:r>
          </w:p>
        </w:tc>
        <w:tc>
          <w:tcPr>
            <w:tcW w:w="576" w:type="dxa"/>
            <w:tcBorders>
              <w:tl2br w:val="nil"/>
              <w:tr2bl w:val="nil"/>
            </w:tcBorders>
            <w:shd w:val="clear" w:color="auto" w:fill="auto"/>
            <w:vAlign w:val="center"/>
          </w:tcPr>
          <w:p w14:paraId="3BF92962">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935" w:type="dxa"/>
            <w:tcBorders>
              <w:tl2br w:val="nil"/>
              <w:tr2bl w:val="nil"/>
            </w:tcBorders>
            <w:shd w:val="clear" w:color="auto" w:fill="auto"/>
            <w:vAlign w:val="center"/>
          </w:tcPr>
          <w:p w14:paraId="54731381">
            <w:pPr>
              <w:widowControl/>
              <w:snapToGrid w:val="0"/>
              <w:spacing w:line="340" w:lineRule="exact"/>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p>
        </w:tc>
        <w:tc>
          <w:tcPr>
            <w:tcW w:w="1261" w:type="dxa"/>
            <w:tcBorders>
              <w:tl2br w:val="nil"/>
              <w:tr2bl w:val="nil"/>
            </w:tcBorders>
            <w:vAlign w:val="center"/>
          </w:tcPr>
          <w:p w14:paraId="0609A398">
            <w:pPr>
              <w:widowControl/>
              <w:snapToGrid w:val="0"/>
              <w:spacing w:line="340" w:lineRule="exact"/>
              <w:jc w:val="center"/>
              <w:textAlignment w:val="center"/>
              <w:rPr>
                <w:rFonts w:hint="eastAsia" w:ascii="宋体" w:hAnsi="宋体" w:eastAsia="宋体" w:cs="宋体"/>
                <w:color w:val="auto"/>
                <w:sz w:val="21"/>
                <w:szCs w:val="21"/>
                <w:highlight w:val="none"/>
              </w:rPr>
            </w:pPr>
          </w:p>
        </w:tc>
      </w:tr>
      <w:tr w14:paraId="7504CD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tcBorders>
              <w:tl2br w:val="nil"/>
              <w:tr2bl w:val="nil"/>
            </w:tcBorders>
            <w:vAlign w:val="center"/>
          </w:tcPr>
          <w:p w14:paraId="7508B3E5">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307" w:type="dxa"/>
            <w:vMerge w:val="continue"/>
            <w:tcBorders>
              <w:tl2br w:val="nil"/>
              <w:tr2bl w:val="nil"/>
            </w:tcBorders>
            <w:vAlign w:val="center"/>
          </w:tcPr>
          <w:p w14:paraId="01A5D82A">
            <w:pPr>
              <w:snapToGrid w:val="0"/>
              <w:jc w:val="center"/>
              <w:rPr>
                <w:rFonts w:hint="default" w:ascii="宋体" w:hAnsi="宋体" w:eastAsia="宋体" w:cs="宋体"/>
                <w:color w:val="auto"/>
                <w:sz w:val="21"/>
                <w:szCs w:val="21"/>
                <w:highlight w:val="none"/>
                <w:lang w:val="en-US" w:eastAsia="zh-CN"/>
              </w:rPr>
            </w:pPr>
          </w:p>
        </w:tc>
        <w:tc>
          <w:tcPr>
            <w:tcW w:w="4936" w:type="dxa"/>
            <w:tcBorders>
              <w:tl2br w:val="nil"/>
              <w:tr2bl w:val="nil"/>
            </w:tcBorders>
            <w:vAlign w:val="center"/>
          </w:tcPr>
          <w:p w14:paraId="230044D7">
            <w:pPr>
              <w:widowControl/>
              <w:snapToGrid w:val="0"/>
              <w:spacing w:line="340" w:lineRule="exact"/>
              <w:textAlignment w:val="center"/>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根据投标单位针对本项目组织机构及人力资源配备的合理性、完整性，是否与采购需求符合性或匹配度进行打分（0</w:t>
            </w:r>
            <w:r>
              <w:rPr>
                <w:rFonts w:hint="eastAsia" w:ascii="宋体" w:hAnsi="宋体" w:cs="宋体"/>
                <w:color w:val="auto"/>
                <w:sz w:val="21"/>
                <w:szCs w:val="21"/>
                <w:highlight w:val="none"/>
                <w:lang w:val="en-US" w:eastAsia="zh-CN"/>
              </w:rPr>
              <w:t>～</w:t>
            </w:r>
            <w:r>
              <w:rPr>
                <w:rFonts w:hint="default" w:ascii="宋体" w:hAnsi="宋体" w:cs="宋体"/>
                <w:color w:val="auto"/>
                <w:sz w:val="21"/>
                <w:szCs w:val="21"/>
                <w:highlight w:val="none"/>
                <w:lang w:val="en-US" w:eastAsia="zh-CN"/>
              </w:rPr>
              <w:t>5分）</w:t>
            </w:r>
            <w:r>
              <w:rPr>
                <w:rFonts w:hint="eastAsia" w:ascii="宋体" w:hAnsi="宋体" w:cs="宋体"/>
                <w:color w:val="auto"/>
                <w:sz w:val="21"/>
                <w:szCs w:val="21"/>
                <w:highlight w:val="none"/>
                <w:lang w:val="en-US" w:eastAsia="zh-CN"/>
              </w:rPr>
              <w:t>。</w:t>
            </w:r>
          </w:p>
        </w:tc>
        <w:tc>
          <w:tcPr>
            <w:tcW w:w="576" w:type="dxa"/>
            <w:tcBorders>
              <w:tl2br w:val="nil"/>
              <w:tr2bl w:val="nil"/>
            </w:tcBorders>
            <w:vAlign w:val="center"/>
          </w:tcPr>
          <w:p w14:paraId="786B098A">
            <w:pPr>
              <w:widowControl/>
              <w:snapToGrid w:val="0"/>
              <w:spacing w:line="34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935" w:type="dxa"/>
            <w:tcBorders>
              <w:tl2br w:val="nil"/>
              <w:tr2bl w:val="nil"/>
            </w:tcBorders>
            <w:vAlign w:val="center"/>
          </w:tcPr>
          <w:p w14:paraId="13B910F3">
            <w:pPr>
              <w:widowControl/>
              <w:snapToGrid w:val="0"/>
              <w:spacing w:line="34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c>
          <w:tcPr>
            <w:tcW w:w="1261" w:type="dxa"/>
            <w:tcBorders>
              <w:tl2br w:val="nil"/>
              <w:tr2bl w:val="nil"/>
            </w:tcBorders>
            <w:vAlign w:val="center"/>
          </w:tcPr>
          <w:p w14:paraId="1F2C8A2D">
            <w:pPr>
              <w:widowControl/>
              <w:snapToGrid w:val="0"/>
              <w:spacing w:line="340" w:lineRule="exact"/>
              <w:jc w:val="center"/>
              <w:textAlignment w:val="center"/>
              <w:rPr>
                <w:rFonts w:hint="eastAsia" w:ascii="宋体" w:hAnsi="宋体" w:eastAsia="宋体" w:cs="宋体"/>
                <w:color w:val="auto"/>
                <w:sz w:val="21"/>
                <w:szCs w:val="21"/>
                <w:highlight w:val="none"/>
              </w:rPr>
            </w:pPr>
          </w:p>
        </w:tc>
      </w:tr>
      <w:tr w14:paraId="676C45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tcBorders>
              <w:tl2br w:val="nil"/>
              <w:tr2bl w:val="nil"/>
            </w:tcBorders>
            <w:vAlign w:val="center"/>
          </w:tcPr>
          <w:p w14:paraId="48E06548">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307" w:type="dxa"/>
            <w:vMerge w:val="continue"/>
            <w:tcBorders>
              <w:tl2br w:val="nil"/>
              <w:tr2bl w:val="nil"/>
            </w:tcBorders>
            <w:vAlign w:val="center"/>
          </w:tcPr>
          <w:p w14:paraId="4419632C">
            <w:pPr>
              <w:snapToGrid w:val="0"/>
              <w:jc w:val="center"/>
              <w:rPr>
                <w:rFonts w:hint="default" w:ascii="宋体" w:hAnsi="宋体" w:eastAsia="宋体" w:cs="宋体"/>
                <w:color w:val="auto"/>
                <w:sz w:val="21"/>
                <w:szCs w:val="21"/>
                <w:highlight w:val="none"/>
                <w:lang w:val="en-US" w:eastAsia="zh-CN"/>
              </w:rPr>
            </w:pPr>
          </w:p>
        </w:tc>
        <w:tc>
          <w:tcPr>
            <w:tcW w:w="4936" w:type="dxa"/>
            <w:tcBorders>
              <w:tl2br w:val="nil"/>
              <w:tr2bl w:val="nil"/>
            </w:tcBorders>
            <w:vAlign w:val="center"/>
          </w:tcPr>
          <w:p w14:paraId="2C38CF84">
            <w:pPr>
              <w:widowControl/>
              <w:snapToGrid w:val="0"/>
              <w:spacing w:line="340" w:lineRule="exact"/>
              <w:textAlignment w:val="center"/>
              <w:rPr>
                <w:rFonts w:hint="eastAsia"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针对本项目的项目负责人的业务素质、工作能力等，是否与采购需求符合性或匹配度进行打分（0</w:t>
            </w:r>
            <w:r>
              <w:rPr>
                <w:rFonts w:hint="eastAsia" w:ascii="宋体" w:hAnsi="宋体" w:cs="宋体"/>
                <w:color w:val="auto"/>
                <w:sz w:val="21"/>
                <w:szCs w:val="21"/>
                <w:highlight w:val="none"/>
                <w:lang w:val="en-US" w:eastAsia="zh-CN"/>
              </w:rPr>
              <w:t>～</w:t>
            </w:r>
            <w:r>
              <w:rPr>
                <w:rFonts w:hint="default" w:ascii="宋体" w:hAnsi="宋体" w:cs="宋体"/>
                <w:color w:val="auto"/>
                <w:sz w:val="21"/>
                <w:szCs w:val="21"/>
                <w:highlight w:val="none"/>
                <w:lang w:val="en-US" w:eastAsia="zh-CN"/>
              </w:rPr>
              <w:t>5分）</w:t>
            </w:r>
            <w:r>
              <w:rPr>
                <w:rFonts w:hint="eastAsia" w:ascii="宋体" w:hAnsi="宋体" w:cs="宋体"/>
                <w:color w:val="auto"/>
                <w:sz w:val="21"/>
                <w:szCs w:val="21"/>
                <w:highlight w:val="none"/>
                <w:lang w:val="en-US" w:eastAsia="zh-CN"/>
              </w:rPr>
              <w:t>。</w:t>
            </w:r>
          </w:p>
          <w:p w14:paraId="28D38DA1">
            <w:pPr>
              <w:widowControl/>
              <w:snapToGrid w:val="0"/>
              <w:spacing w:line="340" w:lineRule="exact"/>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需附证明材料：</w:t>
            </w:r>
            <w:r>
              <w:rPr>
                <w:rFonts w:hint="default" w:ascii="宋体" w:hAnsi="宋体" w:cs="宋体"/>
                <w:color w:val="auto"/>
                <w:sz w:val="21"/>
                <w:szCs w:val="21"/>
                <w:highlight w:val="none"/>
                <w:lang w:val="en-US" w:eastAsia="zh-CN"/>
              </w:rPr>
              <w:t>项目负责人截止投标截止时间的投标</w:t>
            </w:r>
            <w:r>
              <w:rPr>
                <w:rFonts w:hint="eastAsia" w:ascii="宋体" w:hAnsi="宋体" w:cs="宋体"/>
                <w:color w:val="auto"/>
                <w:sz w:val="21"/>
                <w:szCs w:val="21"/>
                <w:highlight w:val="none"/>
                <w:lang w:val="en-US" w:eastAsia="zh-CN"/>
              </w:rPr>
              <w:t>供应商</w:t>
            </w:r>
            <w:r>
              <w:rPr>
                <w:rFonts w:hint="default" w:ascii="宋体" w:hAnsi="宋体" w:cs="宋体"/>
                <w:color w:val="auto"/>
                <w:sz w:val="21"/>
                <w:szCs w:val="21"/>
                <w:highlight w:val="none"/>
                <w:lang w:val="en-US" w:eastAsia="zh-CN"/>
              </w:rPr>
              <w:t>的社保证明及劳动合同</w:t>
            </w:r>
            <w:r>
              <w:rPr>
                <w:rFonts w:hint="eastAsia" w:ascii="宋体" w:hAnsi="宋体" w:cs="宋体"/>
                <w:color w:val="auto"/>
                <w:sz w:val="21"/>
                <w:szCs w:val="21"/>
                <w:highlight w:val="none"/>
                <w:lang w:val="en-US" w:eastAsia="zh-CN"/>
              </w:rPr>
              <w:t>复印件。</w:t>
            </w:r>
          </w:p>
        </w:tc>
        <w:tc>
          <w:tcPr>
            <w:tcW w:w="576" w:type="dxa"/>
            <w:tcBorders>
              <w:tl2br w:val="nil"/>
              <w:tr2bl w:val="nil"/>
            </w:tcBorders>
            <w:shd w:val="clear" w:color="auto" w:fill="auto"/>
            <w:vAlign w:val="center"/>
          </w:tcPr>
          <w:p w14:paraId="0E2A3ECF">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935" w:type="dxa"/>
            <w:tcBorders>
              <w:tl2br w:val="nil"/>
              <w:tr2bl w:val="nil"/>
            </w:tcBorders>
            <w:shd w:val="clear" w:color="auto" w:fill="auto"/>
            <w:vAlign w:val="center"/>
          </w:tcPr>
          <w:p w14:paraId="49B24261">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p>
        </w:tc>
        <w:tc>
          <w:tcPr>
            <w:tcW w:w="1261" w:type="dxa"/>
            <w:tcBorders>
              <w:tl2br w:val="nil"/>
              <w:tr2bl w:val="nil"/>
            </w:tcBorders>
            <w:vAlign w:val="center"/>
          </w:tcPr>
          <w:p w14:paraId="3D6F0924">
            <w:pPr>
              <w:widowControl/>
              <w:snapToGrid w:val="0"/>
              <w:spacing w:line="340" w:lineRule="exact"/>
              <w:jc w:val="center"/>
              <w:textAlignment w:val="center"/>
              <w:rPr>
                <w:rFonts w:hint="eastAsia" w:ascii="宋体" w:hAnsi="宋体" w:eastAsia="宋体" w:cs="宋体"/>
                <w:color w:val="auto"/>
                <w:sz w:val="21"/>
                <w:szCs w:val="21"/>
                <w:highlight w:val="none"/>
              </w:rPr>
            </w:pPr>
          </w:p>
        </w:tc>
      </w:tr>
      <w:tr w14:paraId="3F0EC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tcBorders>
              <w:tl2br w:val="nil"/>
              <w:tr2bl w:val="nil"/>
            </w:tcBorders>
            <w:vAlign w:val="center"/>
          </w:tcPr>
          <w:p w14:paraId="662ED9CA">
            <w:pPr>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307" w:type="dxa"/>
            <w:vMerge w:val="continue"/>
            <w:tcBorders>
              <w:tl2br w:val="nil"/>
              <w:tr2bl w:val="nil"/>
            </w:tcBorders>
            <w:vAlign w:val="center"/>
          </w:tcPr>
          <w:p w14:paraId="3CD39035">
            <w:pPr>
              <w:snapToGrid w:val="0"/>
              <w:jc w:val="center"/>
              <w:rPr>
                <w:rFonts w:hint="default" w:ascii="宋体" w:hAnsi="宋体" w:eastAsia="宋体" w:cs="宋体"/>
                <w:color w:val="auto"/>
                <w:sz w:val="21"/>
                <w:szCs w:val="21"/>
                <w:highlight w:val="none"/>
                <w:lang w:val="en-US" w:eastAsia="zh-CN"/>
              </w:rPr>
            </w:pPr>
          </w:p>
        </w:tc>
        <w:tc>
          <w:tcPr>
            <w:tcW w:w="4936" w:type="dxa"/>
            <w:tcBorders>
              <w:tl2br w:val="nil"/>
              <w:tr2bl w:val="nil"/>
            </w:tcBorders>
            <w:vAlign w:val="center"/>
          </w:tcPr>
          <w:p w14:paraId="1AA586A0">
            <w:pPr>
              <w:widowControl/>
              <w:snapToGrid w:val="0"/>
              <w:spacing w:line="340" w:lineRule="exact"/>
              <w:textAlignment w:val="center"/>
              <w:rPr>
                <w:rFonts w:hint="eastAsia" w:ascii="宋体" w:hAnsi="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针对本项目投入人员（项目负责人除外）的业务素质、工作能力等，是否与采购需求符合性或匹配度进行打分（0</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5分）</w:t>
            </w:r>
            <w:r>
              <w:rPr>
                <w:rFonts w:hint="eastAsia" w:ascii="宋体" w:hAnsi="宋体" w:cs="宋体"/>
                <w:color w:val="auto"/>
                <w:sz w:val="21"/>
                <w:szCs w:val="21"/>
                <w:highlight w:val="none"/>
                <w:lang w:val="en-US" w:eastAsia="zh-CN"/>
              </w:rPr>
              <w:t>。</w:t>
            </w:r>
          </w:p>
          <w:p w14:paraId="49EA39ED">
            <w:pPr>
              <w:widowControl/>
              <w:snapToGrid w:val="0"/>
              <w:spacing w:line="340" w:lineRule="exact"/>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需附证明材料：</w:t>
            </w:r>
            <w:r>
              <w:rPr>
                <w:rFonts w:hint="default" w:ascii="宋体" w:hAnsi="宋体" w:eastAsia="宋体" w:cs="宋体"/>
                <w:color w:val="auto"/>
                <w:sz w:val="21"/>
                <w:szCs w:val="21"/>
                <w:highlight w:val="none"/>
                <w:lang w:val="en-US" w:eastAsia="zh-CN"/>
              </w:rPr>
              <w:t>投入人员截止投标截止时间的投标单位的社保证明及劳动合同复印件</w:t>
            </w:r>
            <w:r>
              <w:rPr>
                <w:rFonts w:hint="eastAsia" w:ascii="宋体" w:hAnsi="宋体" w:cs="宋体"/>
                <w:color w:val="auto"/>
                <w:sz w:val="21"/>
                <w:szCs w:val="21"/>
                <w:highlight w:val="none"/>
                <w:lang w:val="en-US" w:eastAsia="zh-CN"/>
              </w:rPr>
              <w:t>。</w:t>
            </w:r>
          </w:p>
        </w:tc>
        <w:tc>
          <w:tcPr>
            <w:tcW w:w="576" w:type="dxa"/>
            <w:tcBorders>
              <w:tl2br w:val="nil"/>
              <w:tr2bl w:val="nil"/>
            </w:tcBorders>
            <w:shd w:val="clear" w:color="auto" w:fill="auto"/>
            <w:vAlign w:val="center"/>
          </w:tcPr>
          <w:p w14:paraId="71937F49">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935" w:type="dxa"/>
            <w:tcBorders>
              <w:tl2br w:val="nil"/>
              <w:tr2bl w:val="nil"/>
            </w:tcBorders>
            <w:shd w:val="clear" w:color="auto" w:fill="auto"/>
            <w:vAlign w:val="center"/>
          </w:tcPr>
          <w:p w14:paraId="057ECFF4">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p>
        </w:tc>
        <w:tc>
          <w:tcPr>
            <w:tcW w:w="1261" w:type="dxa"/>
            <w:tcBorders>
              <w:tl2br w:val="nil"/>
              <w:tr2bl w:val="nil"/>
            </w:tcBorders>
            <w:vAlign w:val="center"/>
          </w:tcPr>
          <w:p w14:paraId="3AEEF824">
            <w:pPr>
              <w:widowControl/>
              <w:snapToGrid w:val="0"/>
              <w:spacing w:line="340" w:lineRule="exact"/>
              <w:jc w:val="center"/>
              <w:textAlignment w:val="center"/>
              <w:rPr>
                <w:rFonts w:hint="eastAsia" w:ascii="宋体" w:hAnsi="宋体" w:eastAsia="宋体" w:cs="宋体"/>
                <w:color w:val="auto"/>
                <w:sz w:val="21"/>
                <w:szCs w:val="21"/>
                <w:highlight w:val="none"/>
              </w:rPr>
            </w:pPr>
          </w:p>
        </w:tc>
      </w:tr>
      <w:tr w14:paraId="1E562B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tcBorders>
              <w:tl2br w:val="nil"/>
              <w:tr2bl w:val="nil"/>
            </w:tcBorders>
            <w:vAlign w:val="center"/>
          </w:tcPr>
          <w:p w14:paraId="1526E574">
            <w:pPr>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307" w:type="dxa"/>
            <w:vMerge w:val="continue"/>
            <w:tcBorders>
              <w:tl2br w:val="nil"/>
              <w:tr2bl w:val="nil"/>
            </w:tcBorders>
            <w:vAlign w:val="center"/>
          </w:tcPr>
          <w:p w14:paraId="588F51EC">
            <w:pPr>
              <w:snapToGrid w:val="0"/>
              <w:jc w:val="center"/>
              <w:rPr>
                <w:rFonts w:hint="default" w:ascii="宋体" w:hAnsi="宋体" w:eastAsia="宋体" w:cs="宋体"/>
                <w:color w:val="auto"/>
                <w:sz w:val="21"/>
                <w:szCs w:val="21"/>
                <w:highlight w:val="none"/>
                <w:lang w:val="en-US" w:eastAsia="zh-CN"/>
              </w:rPr>
            </w:pPr>
          </w:p>
        </w:tc>
        <w:tc>
          <w:tcPr>
            <w:tcW w:w="4936" w:type="dxa"/>
            <w:tcBorders>
              <w:tl2br w:val="nil"/>
              <w:tr2bl w:val="nil"/>
            </w:tcBorders>
            <w:vAlign w:val="center"/>
          </w:tcPr>
          <w:p w14:paraId="3337B71F">
            <w:pPr>
              <w:widowControl/>
              <w:snapToGrid w:val="0"/>
              <w:spacing w:line="340" w:lineRule="exac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针对本项目投标单位稳定员工队伍的措施的完整性、合理性，是否与采购需求符合性或匹配度进行打分（0</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5分）</w:t>
            </w:r>
            <w:r>
              <w:rPr>
                <w:rFonts w:hint="eastAsia" w:ascii="宋体" w:hAnsi="宋体" w:cs="宋体"/>
                <w:color w:val="auto"/>
                <w:sz w:val="21"/>
                <w:szCs w:val="21"/>
                <w:highlight w:val="none"/>
                <w:lang w:val="en-US" w:eastAsia="zh-CN"/>
              </w:rPr>
              <w:t>。</w:t>
            </w:r>
          </w:p>
        </w:tc>
        <w:tc>
          <w:tcPr>
            <w:tcW w:w="576" w:type="dxa"/>
            <w:tcBorders>
              <w:tl2br w:val="nil"/>
              <w:tr2bl w:val="nil"/>
            </w:tcBorders>
            <w:shd w:val="clear" w:color="auto" w:fill="auto"/>
            <w:vAlign w:val="center"/>
          </w:tcPr>
          <w:p w14:paraId="4C4B7A2B">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935" w:type="dxa"/>
            <w:tcBorders>
              <w:tl2br w:val="nil"/>
              <w:tr2bl w:val="nil"/>
            </w:tcBorders>
            <w:shd w:val="clear" w:color="auto" w:fill="auto"/>
            <w:vAlign w:val="center"/>
          </w:tcPr>
          <w:p w14:paraId="41AE2A34">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p>
        </w:tc>
        <w:tc>
          <w:tcPr>
            <w:tcW w:w="1261" w:type="dxa"/>
            <w:tcBorders>
              <w:tl2br w:val="nil"/>
              <w:tr2bl w:val="nil"/>
            </w:tcBorders>
            <w:vAlign w:val="center"/>
          </w:tcPr>
          <w:p w14:paraId="70125D6A">
            <w:pPr>
              <w:widowControl/>
              <w:snapToGrid w:val="0"/>
              <w:spacing w:line="340" w:lineRule="exact"/>
              <w:jc w:val="center"/>
              <w:textAlignment w:val="center"/>
              <w:rPr>
                <w:rFonts w:hint="eastAsia" w:ascii="宋体" w:hAnsi="宋体" w:eastAsia="宋体" w:cs="宋体"/>
                <w:color w:val="auto"/>
                <w:sz w:val="21"/>
                <w:szCs w:val="21"/>
                <w:highlight w:val="none"/>
              </w:rPr>
            </w:pPr>
          </w:p>
        </w:tc>
      </w:tr>
      <w:tr w14:paraId="02825D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tcBorders>
              <w:tl2br w:val="nil"/>
              <w:tr2bl w:val="nil"/>
            </w:tcBorders>
            <w:vAlign w:val="center"/>
          </w:tcPr>
          <w:p w14:paraId="120E98FA">
            <w:pPr>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307" w:type="dxa"/>
            <w:vMerge w:val="continue"/>
            <w:tcBorders>
              <w:tl2br w:val="nil"/>
              <w:tr2bl w:val="nil"/>
            </w:tcBorders>
            <w:vAlign w:val="center"/>
          </w:tcPr>
          <w:p w14:paraId="00C109F8">
            <w:pPr>
              <w:snapToGrid w:val="0"/>
              <w:jc w:val="center"/>
              <w:rPr>
                <w:rFonts w:hint="default" w:ascii="宋体" w:hAnsi="宋体" w:eastAsia="宋体" w:cs="宋体"/>
                <w:color w:val="auto"/>
                <w:sz w:val="21"/>
                <w:szCs w:val="21"/>
                <w:highlight w:val="none"/>
                <w:lang w:val="en-US" w:eastAsia="zh-CN"/>
              </w:rPr>
            </w:pPr>
          </w:p>
        </w:tc>
        <w:tc>
          <w:tcPr>
            <w:tcW w:w="4936" w:type="dxa"/>
            <w:tcBorders>
              <w:tl2br w:val="nil"/>
              <w:tr2bl w:val="nil"/>
            </w:tcBorders>
            <w:vAlign w:val="center"/>
          </w:tcPr>
          <w:p w14:paraId="621573B7">
            <w:pPr>
              <w:widowControl/>
              <w:snapToGrid w:val="0"/>
              <w:spacing w:line="340" w:lineRule="exac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针对本项目有应对重大活动或重要接待任务等类型的应急预案，根据其完整性、合理性，是否与采购需求符合性或匹配度进行打分（0</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5分）</w:t>
            </w:r>
            <w:r>
              <w:rPr>
                <w:rFonts w:hint="eastAsia" w:ascii="宋体" w:hAnsi="宋体" w:cs="宋体"/>
                <w:color w:val="auto"/>
                <w:sz w:val="21"/>
                <w:szCs w:val="21"/>
                <w:highlight w:val="none"/>
                <w:lang w:val="en-US" w:eastAsia="zh-CN"/>
              </w:rPr>
              <w:t>。</w:t>
            </w:r>
          </w:p>
        </w:tc>
        <w:tc>
          <w:tcPr>
            <w:tcW w:w="576" w:type="dxa"/>
            <w:tcBorders>
              <w:tl2br w:val="nil"/>
              <w:tr2bl w:val="nil"/>
            </w:tcBorders>
            <w:shd w:val="clear" w:color="auto" w:fill="auto"/>
            <w:vAlign w:val="center"/>
          </w:tcPr>
          <w:p w14:paraId="1365C087">
            <w:pPr>
              <w:widowControl/>
              <w:snapToGrid w:val="0"/>
              <w:spacing w:line="340" w:lineRule="exact"/>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935" w:type="dxa"/>
            <w:tcBorders>
              <w:tl2br w:val="nil"/>
              <w:tr2bl w:val="nil"/>
            </w:tcBorders>
            <w:shd w:val="clear" w:color="auto" w:fill="auto"/>
            <w:vAlign w:val="center"/>
          </w:tcPr>
          <w:p w14:paraId="431C28E9">
            <w:pPr>
              <w:widowControl/>
              <w:snapToGrid w:val="0"/>
              <w:spacing w:line="340" w:lineRule="exact"/>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c>
          <w:tcPr>
            <w:tcW w:w="1261" w:type="dxa"/>
            <w:tcBorders>
              <w:tl2br w:val="nil"/>
              <w:tr2bl w:val="nil"/>
            </w:tcBorders>
            <w:vAlign w:val="center"/>
          </w:tcPr>
          <w:p w14:paraId="2D304F81">
            <w:pPr>
              <w:widowControl/>
              <w:snapToGrid w:val="0"/>
              <w:spacing w:line="340" w:lineRule="exact"/>
              <w:jc w:val="center"/>
              <w:textAlignment w:val="center"/>
              <w:rPr>
                <w:rFonts w:hint="eastAsia" w:ascii="宋体" w:hAnsi="宋体" w:eastAsia="宋体" w:cs="宋体"/>
                <w:color w:val="auto"/>
                <w:sz w:val="21"/>
                <w:szCs w:val="21"/>
                <w:highlight w:val="none"/>
              </w:rPr>
            </w:pPr>
          </w:p>
        </w:tc>
      </w:tr>
      <w:tr w14:paraId="386ACF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tcBorders>
              <w:tl2br w:val="nil"/>
              <w:tr2bl w:val="nil"/>
            </w:tcBorders>
            <w:vAlign w:val="center"/>
          </w:tcPr>
          <w:p w14:paraId="037A05E0">
            <w:pPr>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1307" w:type="dxa"/>
            <w:vMerge w:val="continue"/>
            <w:tcBorders>
              <w:tl2br w:val="nil"/>
              <w:tr2bl w:val="nil"/>
            </w:tcBorders>
            <w:vAlign w:val="center"/>
          </w:tcPr>
          <w:p w14:paraId="28518DF8">
            <w:pPr>
              <w:snapToGrid w:val="0"/>
              <w:jc w:val="center"/>
              <w:rPr>
                <w:rFonts w:hint="default" w:ascii="宋体" w:hAnsi="宋体" w:eastAsia="宋体" w:cs="宋体"/>
                <w:color w:val="auto"/>
                <w:sz w:val="21"/>
                <w:szCs w:val="21"/>
                <w:highlight w:val="none"/>
                <w:lang w:val="en-US" w:eastAsia="zh-CN"/>
              </w:rPr>
            </w:pPr>
          </w:p>
        </w:tc>
        <w:tc>
          <w:tcPr>
            <w:tcW w:w="4936" w:type="dxa"/>
            <w:tcBorders>
              <w:tl2br w:val="nil"/>
              <w:tr2bl w:val="nil"/>
            </w:tcBorders>
            <w:vAlign w:val="center"/>
          </w:tcPr>
          <w:p w14:paraId="527CBB06">
            <w:pPr>
              <w:widowControl/>
              <w:snapToGrid w:val="0"/>
              <w:spacing w:line="340" w:lineRule="exac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对项目实施人员的培训情况，是否与采购需求符合性或匹配度进行打分（0</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5分）</w:t>
            </w:r>
            <w:r>
              <w:rPr>
                <w:rFonts w:hint="eastAsia" w:ascii="宋体" w:hAnsi="宋体" w:cs="宋体"/>
                <w:color w:val="auto"/>
                <w:sz w:val="21"/>
                <w:szCs w:val="21"/>
                <w:highlight w:val="none"/>
                <w:lang w:val="en-US" w:eastAsia="zh-CN"/>
              </w:rPr>
              <w:t>。</w:t>
            </w:r>
          </w:p>
        </w:tc>
        <w:tc>
          <w:tcPr>
            <w:tcW w:w="576" w:type="dxa"/>
            <w:tcBorders>
              <w:tl2br w:val="nil"/>
              <w:tr2bl w:val="nil"/>
            </w:tcBorders>
            <w:shd w:val="clear" w:color="auto" w:fill="auto"/>
            <w:vAlign w:val="center"/>
          </w:tcPr>
          <w:p w14:paraId="5B4FF974">
            <w:pPr>
              <w:widowControl/>
              <w:snapToGrid w:val="0"/>
              <w:spacing w:line="340" w:lineRule="exact"/>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935" w:type="dxa"/>
            <w:tcBorders>
              <w:tl2br w:val="nil"/>
              <w:tr2bl w:val="nil"/>
            </w:tcBorders>
            <w:shd w:val="clear" w:color="auto" w:fill="auto"/>
            <w:vAlign w:val="center"/>
          </w:tcPr>
          <w:p w14:paraId="60B44FB4">
            <w:pPr>
              <w:widowControl/>
              <w:snapToGrid w:val="0"/>
              <w:spacing w:line="340" w:lineRule="exact"/>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c>
          <w:tcPr>
            <w:tcW w:w="1261" w:type="dxa"/>
            <w:tcBorders>
              <w:tl2br w:val="nil"/>
              <w:tr2bl w:val="nil"/>
            </w:tcBorders>
            <w:vAlign w:val="center"/>
          </w:tcPr>
          <w:p w14:paraId="43121C11">
            <w:pPr>
              <w:widowControl/>
              <w:snapToGrid w:val="0"/>
              <w:spacing w:line="340" w:lineRule="exact"/>
              <w:jc w:val="center"/>
              <w:textAlignment w:val="center"/>
              <w:rPr>
                <w:rFonts w:hint="eastAsia" w:ascii="宋体" w:hAnsi="宋体" w:eastAsia="宋体" w:cs="宋体"/>
                <w:color w:val="auto"/>
                <w:sz w:val="21"/>
                <w:szCs w:val="21"/>
                <w:highlight w:val="none"/>
              </w:rPr>
            </w:pPr>
          </w:p>
        </w:tc>
      </w:tr>
      <w:tr w14:paraId="7EFDB3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tcBorders>
              <w:tl2br w:val="nil"/>
              <w:tr2bl w:val="nil"/>
            </w:tcBorders>
            <w:vAlign w:val="center"/>
          </w:tcPr>
          <w:p w14:paraId="250F7541">
            <w:pPr>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1307" w:type="dxa"/>
            <w:vMerge w:val="continue"/>
            <w:tcBorders>
              <w:tl2br w:val="nil"/>
              <w:tr2bl w:val="nil"/>
            </w:tcBorders>
            <w:vAlign w:val="center"/>
          </w:tcPr>
          <w:p w14:paraId="09075849">
            <w:pPr>
              <w:snapToGrid w:val="0"/>
              <w:jc w:val="center"/>
              <w:rPr>
                <w:rFonts w:hint="default" w:ascii="宋体" w:hAnsi="宋体" w:eastAsia="宋体" w:cs="宋体"/>
                <w:color w:val="auto"/>
                <w:sz w:val="21"/>
                <w:szCs w:val="21"/>
                <w:highlight w:val="none"/>
                <w:lang w:val="en-US" w:eastAsia="zh-CN"/>
              </w:rPr>
            </w:pPr>
          </w:p>
        </w:tc>
        <w:tc>
          <w:tcPr>
            <w:tcW w:w="4936" w:type="dxa"/>
            <w:tcBorders>
              <w:tl2br w:val="nil"/>
              <w:tr2bl w:val="nil"/>
            </w:tcBorders>
            <w:vAlign w:val="center"/>
          </w:tcPr>
          <w:p w14:paraId="73FD7E9C">
            <w:pPr>
              <w:widowControl/>
              <w:snapToGrid w:val="0"/>
              <w:spacing w:line="340" w:lineRule="exac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针对本项目质量控制办法、及质量承诺进行评分：</w:t>
            </w:r>
          </w:p>
          <w:p w14:paraId="62551B62">
            <w:pPr>
              <w:widowControl/>
              <w:snapToGrid w:val="0"/>
              <w:spacing w:line="340" w:lineRule="exac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提供的本项目流程设计、质量控制办法、质量保证措施及承诺具有可行性、严密性，是否与采购需求符合性或匹配度进行打分（0</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5分）</w:t>
            </w:r>
            <w:r>
              <w:rPr>
                <w:rFonts w:hint="eastAsia" w:ascii="宋体" w:hAnsi="宋体" w:cs="宋体"/>
                <w:color w:val="auto"/>
                <w:sz w:val="21"/>
                <w:szCs w:val="21"/>
                <w:highlight w:val="none"/>
                <w:lang w:val="en-US" w:eastAsia="zh-CN"/>
              </w:rPr>
              <w:t>。</w:t>
            </w:r>
          </w:p>
        </w:tc>
        <w:tc>
          <w:tcPr>
            <w:tcW w:w="576" w:type="dxa"/>
            <w:tcBorders>
              <w:tl2br w:val="nil"/>
              <w:tr2bl w:val="nil"/>
            </w:tcBorders>
            <w:shd w:val="clear" w:color="auto" w:fill="auto"/>
            <w:vAlign w:val="center"/>
          </w:tcPr>
          <w:p w14:paraId="433DCA19">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935" w:type="dxa"/>
            <w:tcBorders>
              <w:tl2br w:val="nil"/>
              <w:tr2bl w:val="nil"/>
            </w:tcBorders>
            <w:shd w:val="clear" w:color="auto" w:fill="auto"/>
            <w:vAlign w:val="center"/>
          </w:tcPr>
          <w:p w14:paraId="75B1204C">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p>
        </w:tc>
        <w:tc>
          <w:tcPr>
            <w:tcW w:w="1261" w:type="dxa"/>
            <w:tcBorders>
              <w:tl2br w:val="nil"/>
              <w:tr2bl w:val="nil"/>
            </w:tcBorders>
            <w:vAlign w:val="center"/>
          </w:tcPr>
          <w:p w14:paraId="58011F39">
            <w:pPr>
              <w:widowControl/>
              <w:snapToGrid w:val="0"/>
              <w:spacing w:line="340" w:lineRule="exact"/>
              <w:jc w:val="center"/>
              <w:textAlignment w:val="center"/>
              <w:rPr>
                <w:rFonts w:hint="eastAsia" w:ascii="宋体" w:hAnsi="宋体" w:eastAsia="宋体" w:cs="宋体"/>
                <w:color w:val="auto"/>
                <w:sz w:val="21"/>
                <w:szCs w:val="21"/>
                <w:highlight w:val="none"/>
              </w:rPr>
            </w:pPr>
          </w:p>
        </w:tc>
      </w:tr>
      <w:tr w14:paraId="1FBA22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tcBorders>
              <w:tl2br w:val="nil"/>
              <w:tr2bl w:val="nil"/>
            </w:tcBorders>
            <w:vAlign w:val="center"/>
          </w:tcPr>
          <w:p w14:paraId="62DB6E80">
            <w:pPr>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1307" w:type="dxa"/>
            <w:vMerge w:val="continue"/>
            <w:tcBorders>
              <w:tl2br w:val="nil"/>
              <w:tr2bl w:val="nil"/>
            </w:tcBorders>
            <w:vAlign w:val="center"/>
          </w:tcPr>
          <w:p w14:paraId="29D7D7FD">
            <w:pPr>
              <w:snapToGrid w:val="0"/>
              <w:jc w:val="center"/>
              <w:rPr>
                <w:rFonts w:hint="default" w:ascii="宋体" w:hAnsi="宋体" w:eastAsia="宋体" w:cs="宋体"/>
                <w:color w:val="auto"/>
                <w:sz w:val="21"/>
                <w:szCs w:val="21"/>
                <w:highlight w:val="none"/>
                <w:lang w:val="en-US" w:eastAsia="zh-CN"/>
              </w:rPr>
            </w:pPr>
          </w:p>
        </w:tc>
        <w:tc>
          <w:tcPr>
            <w:tcW w:w="4936" w:type="dxa"/>
            <w:tcBorders>
              <w:tl2br w:val="nil"/>
              <w:tr2bl w:val="nil"/>
            </w:tcBorders>
            <w:vAlign w:val="center"/>
          </w:tcPr>
          <w:p w14:paraId="597331F4">
            <w:pPr>
              <w:widowControl/>
              <w:snapToGrid w:val="0"/>
              <w:spacing w:line="340" w:lineRule="exac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针对本项目实施过程中安全文明礼貌的承诺及保证措施，是否与采购需求符合性或匹配度进行打分（0</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5分）</w:t>
            </w:r>
            <w:r>
              <w:rPr>
                <w:rFonts w:hint="eastAsia" w:ascii="宋体" w:hAnsi="宋体" w:cs="宋体"/>
                <w:color w:val="auto"/>
                <w:sz w:val="21"/>
                <w:szCs w:val="21"/>
                <w:highlight w:val="none"/>
                <w:lang w:val="en-US" w:eastAsia="zh-CN"/>
              </w:rPr>
              <w:t>。</w:t>
            </w:r>
          </w:p>
        </w:tc>
        <w:tc>
          <w:tcPr>
            <w:tcW w:w="576" w:type="dxa"/>
            <w:tcBorders>
              <w:tl2br w:val="nil"/>
              <w:tr2bl w:val="nil"/>
            </w:tcBorders>
            <w:shd w:val="clear" w:color="auto" w:fill="auto"/>
            <w:vAlign w:val="center"/>
          </w:tcPr>
          <w:p w14:paraId="71350369">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935" w:type="dxa"/>
            <w:tcBorders>
              <w:tl2br w:val="nil"/>
              <w:tr2bl w:val="nil"/>
            </w:tcBorders>
            <w:shd w:val="clear" w:color="auto" w:fill="auto"/>
            <w:vAlign w:val="center"/>
          </w:tcPr>
          <w:p w14:paraId="27F686E3">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p>
        </w:tc>
        <w:tc>
          <w:tcPr>
            <w:tcW w:w="1261" w:type="dxa"/>
            <w:tcBorders>
              <w:tl2br w:val="nil"/>
              <w:tr2bl w:val="nil"/>
            </w:tcBorders>
            <w:vAlign w:val="center"/>
          </w:tcPr>
          <w:p w14:paraId="5A0F570C">
            <w:pPr>
              <w:widowControl/>
              <w:snapToGrid w:val="0"/>
              <w:spacing w:line="340" w:lineRule="exact"/>
              <w:jc w:val="center"/>
              <w:textAlignment w:val="center"/>
              <w:rPr>
                <w:rFonts w:hint="eastAsia" w:ascii="宋体" w:hAnsi="宋体" w:eastAsia="宋体" w:cs="宋体"/>
                <w:color w:val="auto"/>
                <w:sz w:val="21"/>
                <w:szCs w:val="21"/>
                <w:highlight w:val="none"/>
              </w:rPr>
            </w:pPr>
          </w:p>
        </w:tc>
      </w:tr>
      <w:tr w14:paraId="63EB8D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tcBorders>
              <w:tl2br w:val="nil"/>
              <w:tr2bl w:val="nil"/>
            </w:tcBorders>
            <w:vAlign w:val="center"/>
          </w:tcPr>
          <w:p w14:paraId="0B5182AA">
            <w:pPr>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1307" w:type="dxa"/>
            <w:vMerge w:val="continue"/>
            <w:tcBorders>
              <w:tl2br w:val="nil"/>
              <w:tr2bl w:val="nil"/>
            </w:tcBorders>
            <w:vAlign w:val="center"/>
          </w:tcPr>
          <w:p w14:paraId="25852A18">
            <w:pPr>
              <w:snapToGrid w:val="0"/>
              <w:jc w:val="center"/>
              <w:rPr>
                <w:rFonts w:hint="default" w:ascii="宋体" w:hAnsi="宋体" w:eastAsia="宋体" w:cs="宋体"/>
                <w:color w:val="auto"/>
                <w:sz w:val="21"/>
                <w:szCs w:val="21"/>
                <w:highlight w:val="none"/>
                <w:lang w:val="en-US" w:eastAsia="zh-CN"/>
              </w:rPr>
            </w:pPr>
          </w:p>
        </w:tc>
        <w:tc>
          <w:tcPr>
            <w:tcW w:w="4936" w:type="dxa"/>
            <w:tcBorders>
              <w:tl2br w:val="nil"/>
              <w:tr2bl w:val="nil"/>
            </w:tcBorders>
            <w:vAlign w:val="center"/>
          </w:tcPr>
          <w:p w14:paraId="2E8B10CF">
            <w:pPr>
              <w:widowControl/>
              <w:snapToGrid w:val="0"/>
              <w:spacing w:line="340" w:lineRule="exac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针对项目推进和实施中可能会出现的问题和存在的困难，进行客观仔细地分析，并结合自身专业、经验等实际情况，提出合理化建议（解决对策）（0</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4分）。</w:t>
            </w:r>
          </w:p>
        </w:tc>
        <w:tc>
          <w:tcPr>
            <w:tcW w:w="576" w:type="dxa"/>
            <w:tcBorders>
              <w:tl2br w:val="nil"/>
              <w:tr2bl w:val="nil"/>
            </w:tcBorders>
            <w:shd w:val="clear" w:color="auto" w:fill="auto"/>
            <w:vAlign w:val="center"/>
          </w:tcPr>
          <w:p w14:paraId="030F74B6">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935" w:type="dxa"/>
            <w:tcBorders>
              <w:tl2br w:val="nil"/>
              <w:tr2bl w:val="nil"/>
            </w:tcBorders>
            <w:shd w:val="clear" w:color="auto" w:fill="auto"/>
            <w:vAlign w:val="center"/>
          </w:tcPr>
          <w:p w14:paraId="0E5B294C">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p>
        </w:tc>
        <w:tc>
          <w:tcPr>
            <w:tcW w:w="1261" w:type="dxa"/>
            <w:tcBorders>
              <w:tl2br w:val="nil"/>
              <w:tr2bl w:val="nil"/>
            </w:tcBorders>
            <w:vAlign w:val="center"/>
          </w:tcPr>
          <w:p w14:paraId="7A7B9025">
            <w:pPr>
              <w:widowControl/>
              <w:snapToGrid w:val="0"/>
              <w:spacing w:line="340" w:lineRule="exact"/>
              <w:jc w:val="center"/>
              <w:textAlignment w:val="center"/>
              <w:rPr>
                <w:rFonts w:hint="eastAsia" w:ascii="宋体" w:hAnsi="宋体" w:eastAsia="宋体" w:cs="宋体"/>
                <w:color w:val="auto"/>
                <w:sz w:val="21"/>
                <w:szCs w:val="21"/>
                <w:highlight w:val="none"/>
              </w:rPr>
            </w:pPr>
          </w:p>
        </w:tc>
      </w:tr>
      <w:tr w14:paraId="5CD5F4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tcBorders>
              <w:tl2br w:val="nil"/>
              <w:tr2bl w:val="nil"/>
            </w:tcBorders>
            <w:vAlign w:val="center"/>
          </w:tcPr>
          <w:p w14:paraId="25E1E330">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w:t>
            </w:r>
          </w:p>
        </w:tc>
        <w:tc>
          <w:tcPr>
            <w:tcW w:w="1307" w:type="dxa"/>
            <w:tcBorders>
              <w:tl2br w:val="nil"/>
              <w:tr2bl w:val="nil"/>
            </w:tcBorders>
            <w:vAlign w:val="center"/>
          </w:tcPr>
          <w:p w14:paraId="7A7375FE">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报价部分</w:t>
            </w:r>
          </w:p>
          <w:p w14:paraId="569DF921">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4936" w:type="dxa"/>
            <w:tcBorders>
              <w:tl2br w:val="nil"/>
              <w:tr2bl w:val="nil"/>
            </w:tcBorders>
            <w:vAlign w:val="center"/>
          </w:tcPr>
          <w:p w14:paraId="14CBFB9A">
            <w:pPr>
              <w:widowControl/>
              <w:snapToGrid w:val="0"/>
              <w:spacing w:line="34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有效投标报价的最低价作为评标基准价，其最低报价为满分；按［投标报价得分=（评标基准价/投标报价）*权重］的计算公式计算。</w:t>
            </w:r>
          </w:p>
          <w:p w14:paraId="64C5D7C6">
            <w:pPr>
              <w:widowControl/>
              <w:snapToGrid w:val="0"/>
              <w:spacing w:line="34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tc>
        <w:tc>
          <w:tcPr>
            <w:tcW w:w="576" w:type="dxa"/>
            <w:tcBorders>
              <w:tl2br w:val="nil"/>
              <w:tr2bl w:val="nil"/>
            </w:tcBorders>
            <w:vAlign w:val="center"/>
          </w:tcPr>
          <w:p w14:paraId="43820B2A">
            <w:pPr>
              <w:widowControl/>
              <w:snapToGrid w:val="0"/>
              <w:spacing w:line="3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35" w:type="dxa"/>
            <w:tcBorders>
              <w:tl2br w:val="nil"/>
              <w:tr2bl w:val="nil"/>
            </w:tcBorders>
            <w:vAlign w:val="center"/>
          </w:tcPr>
          <w:p w14:paraId="7689CA7C">
            <w:pPr>
              <w:widowControl/>
              <w:snapToGrid w:val="0"/>
              <w:spacing w:line="3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1" w:type="dxa"/>
            <w:tcBorders>
              <w:tl2br w:val="nil"/>
              <w:tr2bl w:val="nil"/>
            </w:tcBorders>
            <w:vAlign w:val="center"/>
          </w:tcPr>
          <w:p w14:paraId="40594690">
            <w:pPr>
              <w:widowControl/>
              <w:snapToGrid w:val="0"/>
              <w:spacing w:line="340" w:lineRule="exact"/>
              <w:jc w:val="center"/>
              <w:textAlignment w:val="center"/>
              <w:rPr>
                <w:rFonts w:hint="eastAsia" w:ascii="宋体" w:hAnsi="宋体" w:eastAsia="宋体" w:cs="宋体"/>
                <w:color w:val="auto"/>
                <w:sz w:val="21"/>
                <w:szCs w:val="21"/>
                <w:highlight w:val="none"/>
              </w:rPr>
            </w:pPr>
          </w:p>
        </w:tc>
      </w:tr>
    </w:tbl>
    <w:p w14:paraId="2FEDCFB1">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shd w:val="clear" w:color="auto" w:fill="FFFFFF"/>
        </w:rPr>
        <w:t>*</w:t>
      </w:r>
      <w:r>
        <w:rPr>
          <w:rFonts w:hint="eastAsia" w:ascii="宋体" w:hAnsi="宋体" w:cs="宋体"/>
          <w:b/>
          <w:color w:val="auto"/>
          <w:szCs w:val="21"/>
          <w:highlight w:val="none"/>
        </w:rPr>
        <w:t>备注：上述内容缺项不得分，投标人编制投标文件（商务技术文件部分）时，建议按此目录（序号和内容）提供评标标准相应的商务技术资料。 </w:t>
      </w:r>
    </w:p>
    <w:p w14:paraId="1425B112">
      <w:pPr>
        <w:snapToGrid w:val="0"/>
        <w:spacing w:before="319" w:beforeLines="100" w:after="319" w:afterLines="100"/>
        <w:rPr>
          <w:rFonts w:ascii="宋体" w:hAnsi="宋体" w:cs="宋体"/>
          <w:b/>
          <w:color w:val="auto"/>
          <w:szCs w:val="21"/>
          <w:highlight w:val="none"/>
        </w:rPr>
      </w:pPr>
      <w:r>
        <w:rPr>
          <w:rFonts w:hint="eastAsia" w:ascii="宋体" w:hAnsi="宋体" w:cs="宋体"/>
          <w:b/>
          <w:color w:val="auto"/>
          <w:szCs w:val="21"/>
          <w:highlight w:val="none"/>
        </w:rPr>
        <w:t>一、评标方法</w:t>
      </w:r>
    </w:p>
    <w:p w14:paraId="087F451E">
      <w:pPr>
        <w:adjustRightInd/>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1.本项目采用综合评分法。</w:t>
      </w:r>
      <w:r>
        <w:rPr>
          <w:rFonts w:hint="eastAsia" w:ascii="宋体" w:hAnsi="宋体" w:cs="宋体"/>
          <w:color w:val="auto"/>
          <w:kern w:val="0"/>
          <w:szCs w:val="21"/>
          <w:highlight w:val="none"/>
        </w:rPr>
        <w:t>综合评分法，是指投标文件满足招标文件全部实质性要求，且按照评审因素的量化指标评审得分最高的投标人为中标候选人的评标方法。</w:t>
      </w:r>
    </w:p>
    <w:p w14:paraId="75AAEE02">
      <w:pPr>
        <w:snapToGrid w:val="0"/>
        <w:spacing w:before="319" w:beforeLines="100" w:after="319" w:afterLines="100"/>
        <w:rPr>
          <w:rFonts w:ascii="宋体" w:hAnsi="宋体" w:cs="宋体"/>
          <w:b/>
          <w:color w:val="auto"/>
          <w:szCs w:val="21"/>
          <w:highlight w:val="none"/>
        </w:rPr>
      </w:pPr>
      <w:r>
        <w:rPr>
          <w:rFonts w:hint="eastAsia" w:ascii="宋体" w:hAnsi="宋体" w:cs="宋体"/>
          <w:b/>
          <w:color w:val="auto"/>
          <w:szCs w:val="21"/>
          <w:highlight w:val="none"/>
        </w:rPr>
        <w:t>二、评标标准</w:t>
      </w:r>
    </w:p>
    <w:p w14:paraId="1DDEA1DA">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2.评标标准：</w:t>
      </w:r>
      <w:r>
        <w:rPr>
          <w:rFonts w:hint="eastAsia" w:ascii="宋体" w:hAnsi="宋体" w:cs="宋体"/>
          <w:color w:val="auto"/>
          <w:kern w:val="0"/>
          <w:szCs w:val="21"/>
          <w:highlight w:val="none"/>
        </w:rPr>
        <w:t>见评标办法前附表。</w:t>
      </w:r>
    </w:p>
    <w:p w14:paraId="587931D3">
      <w:pPr>
        <w:snapToGrid w:val="0"/>
        <w:spacing w:before="319" w:beforeLines="100" w:after="319" w:afterLines="100"/>
        <w:rPr>
          <w:rFonts w:ascii="宋体" w:hAnsi="宋体" w:cs="宋体"/>
          <w:b/>
          <w:color w:val="auto"/>
          <w:szCs w:val="21"/>
          <w:highlight w:val="none"/>
        </w:rPr>
      </w:pPr>
      <w:r>
        <w:rPr>
          <w:rFonts w:hint="eastAsia" w:ascii="宋体" w:hAnsi="宋体" w:cs="宋体"/>
          <w:b/>
          <w:color w:val="auto"/>
          <w:szCs w:val="21"/>
          <w:highlight w:val="none"/>
        </w:rPr>
        <w:t>三、评标程序</w:t>
      </w:r>
    </w:p>
    <w:p w14:paraId="12233548">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3.1 符合性审查。</w:t>
      </w:r>
      <w:r>
        <w:rPr>
          <w:rFonts w:hint="eastAsia" w:ascii="宋体" w:hAnsi="宋体" w:cs="宋体"/>
          <w:color w:val="auto"/>
          <w:kern w:val="0"/>
          <w:szCs w:val="21"/>
          <w:highlight w:val="none"/>
        </w:rPr>
        <w:t>评标委员会应当对符合资格的投标人的投标文件进行符合性审查，以确定其是否满足招标文件的实质性要求。不满足招标文件的实质性要求的，投标无效。</w:t>
      </w:r>
    </w:p>
    <w:p w14:paraId="128F9039">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3.2 比较与评价。</w:t>
      </w:r>
      <w:r>
        <w:rPr>
          <w:rFonts w:hint="eastAsia" w:ascii="宋体" w:hAnsi="宋体" w:cs="宋体"/>
          <w:color w:val="auto"/>
          <w:kern w:val="0"/>
          <w:szCs w:val="21"/>
          <w:highlight w:val="none"/>
        </w:rPr>
        <w:t>评标委员会应当按照招标文件中规定的评标方法和标准，对符合性审查合格的投标文件进行商务和技术评估，综合比较与评价。</w:t>
      </w:r>
    </w:p>
    <w:p w14:paraId="20B00379">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3.3 汇总商务技术得分。</w:t>
      </w:r>
      <w:r>
        <w:rPr>
          <w:rFonts w:hint="eastAsia" w:ascii="宋体" w:hAnsi="宋体" w:cs="宋体"/>
          <w:color w:val="auto"/>
          <w:kern w:val="0"/>
          <w:szCs w:val="21"/>
          <w:highlight w:val="none"/>
        </w:rPr>
        <w:t>评标委员会各成员应当独立对每个投标人的商务和技术文件进行评价，并汇总商务技术得分情况。</w:t>
      </w:r>
    </w:p>
    <w:p w14:paraId="26F15AB8">
      <w:pPr>
        <w:spacing w:line="360" w:lineRule="auto"/>
        <w:ind w:firstLine="413" w:firstLineChars="196"/>
        <w:rPr>
          <w:rFonts w:ascii="宋体" w:hAnsi="宋体" w:cs="宋体"/>
          <w:b/>
          <w:color w:val="auto"/>
          <w:kern w:val="0"/>
          <w:szCs w:val="21"/>
          <w:highlight w:val="none"/>
        </w:rPr>
      </w:pPr>
      <w:r>
        <w:rPr>
          <w:rFonts w:hint="eastAsia" w:ascii="宋体" w:hAnsi="宋体" w:cs="宋体"/>
          <w:b/>
          <w:color w:val="auto"/>
          <w:kern w:val="0"/>
          <w:szCs w:val="21"/>
          <w:highlight w:val="none"/>
        </w:rPr>
        <w:t>3.4 报价评审。</w:t>
      </w:r>
    </w:p>
    <w:p w14:paraId="35ACECF4">
      <w:pPr>
        <w:pStyle w:val="135"/>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 投标文件报价出现前后不一致的，按照下列规定修正：</w:t>
      </w:r>
    </w:p>
    <w:p w14:paraId="1330417C">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 投标文件中开标一览表(报价表)内容与投标文件中相应内容不一致的，以开标一览表(报价表)为准；</w:t>
      </w:r>
    </w:p>
    <w:p w14:paraId="4A5C9E50">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 大写金额和小写金额不一致的，以大写金额为准；</w:t>
      </w:r>
    </w:p>
    <w:p w14:paraId="1CCA401B">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 单价金额小数点或者百分比有明显错位的，以开标一览表的总价为准，并修改单价；</w:t>
      </w:r>
    </w:p>
    <w:p w14:paraId="511366BE">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 总价金额与按单价汇总金额不一致的，以单价金额计算结果为准。</w:t>
      </w:r>
    </w:p>
    <w:p w14:paraId="32A9A4FB">
      <w:pPr>
        <w:pStyle w:val="135"/>
        <w:wordWrap w:val="0"/>
        <w:topLinePunct/>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 同时出现两种以上不一致的，按照3.4.1规定的顺序修正。修正后的报价按照财政部第87号</w:t>
      </w:r>
    </w:p>
    <w:p w14:paraId="6F7350B7">
      <w:pPr>
        <w:pStyle w:val="135"/>
        <w:wordWrap w:val="0"/>
        <w:topLinePunct/>
        <w:spacing w:before="0"/>
        <w:ind w:firstLine="0"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令《政府采购货物和服务招标投标管理办法》第五十一条第二款的规定经投标人确认后产生约束力。</w:t>
      </w:r>
    </w:p>
    <w:p w14:paraId="74FA6B05">
      <w:pPr>
        <w:pStyle w:val="135"/>
        <w:wordWrap w:val="0"/>
        <w:topLinePunct/>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3.4.2 投标文件出现不是唯一的、有选择性投标报价的，投标无效。</w:t>
      </w:r>
    </w:p>
    <w:p w14:paraId="65ED1586">
      <w:pPr>
        <w:pStyle w:val="135"/>
        <w:wordWrap w:val="0"/>
        <w:topLinePunct/>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3.4.3 投标报价超过招标文件中规定的预算金额或者最高限价的，投标无效。</w:t>
      </w:r>
    </w:p>
    <w:p w14:paraId="7EE6773E">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69F280C">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 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E8D6099">
      <w:pPr>
        <w:spacing w:line="360" w:lineRule="auto"/>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3.5 排序与推荐。</w:t>
      </w:r>
      <w:r>
        <w:rPr>
          <w:rFonts w:hint="eastAsia" w:ascii="宋体" w:hAnsi="宋体" w:cs="宋体"/>
          <w:color w:val="auto"/>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113669B">
      <w:pPr>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4EBE82E">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3.6编写评标报告。</w:t>
      </w:r>
      <w:r>
        <w:rPr>
          <w:rFonts w:hint="eastAsia" w:ascii="宋体" w:hAnsi="宋体" w:cs="宋体"/>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07369CC">
      <w:pPr>
        <w:snapToGrid w:val="0"/>
        <w:spacing w:before="319" w:beforeLines="100" w:after="319" w:afterLines="100"/>
        <w:rPr>
          <w:rFonts w:ascii="宋体" w:hAnsi="宋体" w:cs="宋体"/>
          <w:b/>
          <w:color w:val="auto"/>
          <w:szCs w:val="21"/>
          <w:highlight w:val="none"/>
        </w:rPr>
      </w:pPr>
      <w:r>
        <w:rPr>
          <w:rFonts w:hint="eastAsia" w:ascii="宋体" w:hAnsi="宋体" w:cs="宋体"/>
          <w:b/>
          <w:color w:val="auto"/>
          <w:szCs w:val="21"/>
          <w:highlight w:val="none"/>
        </w:rPr>
        <w:t>四、评标中的其他事项</w:t>
      </w:r>
    </w:p>
    <w:p w14:paraId="0004C3BC">
      <w:pPr>
        <w:pStyle w:val="135"/>
        <w:spacing w:before="0"/>
        <w:ind w:firstLine="422"/>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 投标人澄清、说明或者补正。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15C6613">
      <w:pPr>
        <w:pStyle w:val="17"/>
        <w:spacing w:line="360" w:lineRule="auto"/>
        <w:ind w:firstLine="422"/>
        <w:rPr>
          <w:rFonts w:cs="宋体"/>
          <w:color w:val="auto"/>
          <w:sz w:val="21"/>
          <w:szCs w:val="21"/>
          <w:highlight w:val="none"/>
        </w:rPr>
      </w:pPr>
      <w:r>
        <w:rPr>
          <w:rFonts w:hint="eastAsia" w:cs="宋体"/>
          <w:b/>
          <w:color w:val="auto"/>
          <w:kern w:val="0"/>
          <w:sz w:val="21"/>
          <w:szCs w:val="21"/>
          <w:highlight w:val="none"/>
        </w:rPr>
        <w:t>4.2 投标无效。</w:t>
      </w:r>
      <w:r>
        <w:rPr>
          <w:rFonts w:hint="eastAsia" w:cs="宋体"/>
          <w:color w:val="auto"/>
          <w:sz w:val="21"/>
          <w:szCs w:val="21"/>
          <w:highlight w:val="none"/>
        </w:rPr>
        <w:t>有下列情况之一的，投标无效：</w:t>
      </w:r>
    </w:p>
    <w:p w14:paraId="317784B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 投标人不具备招标文件中规定的资格要求的（投标人未提供有效的资格文件的，视为投标人不具备招标文件中规定的资格要求）；</w:t>
      </w:r>
    </w:p>
    <w:p w14:paraId="2A68740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4.2.2 投标文件未按照招标文件要求签署、盖章的；</w:t>
      </w:r>
    </w:p>
    <w:p w14:paraId="43C00B1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4.2.3 采购人拟采购的产品属于政府强制采购的节能产品品目清单范围的，投标人相应的投标产品未获得国家确定的认证机构出具的、处于有效期之内的节能产品认证证书的；</w:t>
      </w:r>
    </w:p>
    <w:p w14:paraId="62AB53E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4.2.4 投标文件含有采购人不能接受的附加条件的；</w:t>
      </w:r>
    </w:p>
    <w:p w14:paraId="6429721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4.2.5 投标文件中承诺的投标有效期少于招标文件中载明的投标有效期的；</w:t>
      </w:r>
    </w:p>
    <w:p w14:paraId="4A84356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4.2.6 投标文件出现不是唯一的、有选择性投标报价的；</w:t>
      </w:r>
    </w:p>
    <w:p w14:paraId="3DA7D1C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4.2.7 投标报价超过招标文件中规定的预算金额或者最高限价的；</w:t>
      </w:r>
    </w:p>
    <w:p w14:paraId="01301CB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4.2.8 报价明显低于其他通过符合性审查投标人的报价，有可能影响产品质量或者不能诚信履约的，未能按要求提供书面说明或者提交相关证明材料，不能证明其报价合理性的；</w:t>
      </w:r>
    </w:p>
    <w:p w14:paraId="00784A4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4.2.9 投标人对根据修正原则修正后的报价不确认的；</w:t>
      </w:r>
    </w:p>
    <w:p w14:paraId="48D2BA6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4.2.10 投标人提供虚假材料投标的；</w:t>
      </w:r>
    </w:p>
    <w:p w14:paraId="41DB9AA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4.2.11 投标人有恶意串通、妨碍其他投标人的竞争行为、损害采购人或者其他投标人的合法权益情形的；</w:t>
      </w:r>
    </w:p>
    <w:p w14:paraId="5474E23B">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4.2.12 参与同一个采购包（标段）的供应商存在下列情形之一且无法合理解释的：</w:t>
      </w:r>
    </w:p>
    <w:p w14:paraId="6624140C">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(1)不同供应商的电子投标（响应）文件上传计算机的网卡MAC地址或硬盘序列号等硬件信息相同的；</w:t>
      </w:r>
    </w:p>
    <w:p w14:paraId="4577590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(2)上传的电子投标（响应）文件若出现使用本项目其他投标（响应）供应商的数字证书加密的，或者加盖本项目其他投标（响应）供应商的电子印章的；</w:t>
      </w:r>
    </w:p>
    <w:p w14:paraId="209BEEF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(3)不同供应商的投标（响应）文件的内容存在3处（含）以上错误一致的；</w:t>
      </w:r>
    </w:p>
    <w:p w14:paraId="78C746AB">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(4)不同供应商联系人为同一人或不同联系人的联系电话一致的。</w:t>
      </w:r>
    </w:p>
    <w:p w14:paraId="6D94E77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 xml:space="preserve"> 投标人仅提交备份投标文件，未在电子交易平台传输递交投标文件的，投标无效；</w:t>
      </w:r>
    </w:p>
    <w:p w14:paraId="647D4DC6">
      <w:pPr>
        <w:keepNext/>
        <w:keepLines/>
        <w:tabs>
          <w:tab w:val="left" w:pos="432"/>
        </w:tabs>
        <w:adjustRightInd/>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 投标文件不满足招标文件的其它实质性要求的；</w:t>
      </w:r>
    </w:p>
    <w:p w14:paraId="1D99DB38">
      <w:pPr>
        <w:wordWrap w:val="0"/>
        <w:topLinePunct/>
        <w:spacing w:line="360" w:lineRule="auto"/>
        <w:ind w:left="210" w:leftChars="100"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4.2.1</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 xml:space="preserve"> 法律、法规、规章（适用本市的）及省级以上规范性文件（适用本市的）规定的其他无效情形。</w:t>
      </w:r>
    </w:p>
    <w:p w14:paraId="0C0EAE43">
      <w:pPr>
        <w:wordWrap w:val="0"/>
        <w:topLinePunct/>
        <w:spacing w:line="360" w:lineRule="auto"/>
        <w:ind w:left="210" w:leftChars="100" w:firstLine="210" w:firstLineChars="100"/>
        <w:rPr>
          <w:rFonts w:ascii="宋体" w:hAnsi="宋体" w:cs="宋体"/>
          <w:color w:val="auto"/>
          <w:szCs w:val="21"/>
          <w:highlight w:val="none"/>
        </w:rPr>
      </w:pPr>
      <w:r>
        <w:rPr>
          <w:rFonts w:hint="eastAsia" w:ascii="宋体" w:hAnsi="宋体" w:cs="宋体"/>
          <w:color w:val="auto"/>
          <w:kern w:val="0"/>
          <w:szCs w:val="21"/>
          <w:highlight w:val="none"/>
        </w:rPr>
        <w:t>5.废标。根据《中华人民共和国政府采购法》第三十六条之规定，在采购中，出现下列情形之一的，应予废标：</w:t>
      </w:r>
    </w:p>
    <w:p w14:paraId="7F4E16C6">
      <w:pPr>
        <w:pStyle w:val="17"/>
        <w:snapToGrid w:val="0"/>
        <w:spacing w:line="360" w:lineRule="auto"/>
        <w:ind w:firstLine="420"/>
        <w:rPr>
          <w:rFonts w:cs="宋体"/>
          <w:color w:val="auto"/>
          <w:sz w:val="21"/>
          <w:szCs w:val="21"/>
          <w:highlight w:val="none"/>
        </w:rPr>
      </w:pPr>
      <w:r>
        <w:rPr>
          <w:rFonts w:hint="eastAsia" w:cs="宋体"/>
          <w:color w:val="auto"/>
          <w:sz w:val="21"/>
          <w:szCs w:val="21"/>
          <w:highlight w:val="none"/>
        </w:rPr>
        <w:t>5.1 符合专业条件的供应商或者对招标文件作实质响应的供应商不足3家的；</w:t>
      </w:r>
    </w:p>
    <w:p w14:paraId="01120E2B">
      <w:pPr>
        <w:pStyle w:val="17"/>
        <w:snapToGrid w:val="0"/>
        <w:spacing w:line="360" w:lineRule="auto"/>
        <w:ind w:firstLine="420"/>
        <w:rPr>
          <w:rFonts w:cs="宋体"/>
          <w:color w:val="auto"/>
          <w:sz w:val="21"/>
          <w:szCs w:val="21"/>
          <w:highlight w:val="none"/>
        </w:rPr>
      </w:pPr>
      <w:r>
        <w:rPr>
          <w:rFonts w:hint="eastAsia" w:cs="宋体"/>
          <w:color w:val="auto"/>
          <w:sz w:val="21"/>
          <w:szCs w:val="21"/>
          <w:highlight w:val="none"/>
        </w:rPr>
        <w:t>5.2 出现影响采购公正的违法、违规行为的；</w:t>
      </w:r>
    </w:p>
    <w:p w14:paraId="1FFF9607">
      <w:pPr>
        <w:pStyle w:val="17"/>
        <w:snapToGrid w:val="0"/>
        <w:spacing w:line="360" w:lineRule="auto"/>
        <w:ind w:firstLine="420"/>
        <w:rPr>
          <w:rFonts w:cs="宋体"/>
          <w:color w:val="auto"/>
          <w:sz w:val="21"/>
          <w:szCs w:val="21"/>
          <w:highlight w:val="none"/>
        </w:rPr>
      </w:pPr>
      <w:r>
        <w:rPr>
          <w:rFonts w:hint="eastAsia" w:cs="宋体"/>
          <w:color w:val="auto"/>
          <w:sz w:val="21"/>
          <w:szCs w:val="21"/>
          <w:highlight w:val="none"/>
        </w:rPr>
        <w:t>5.3 投标人的报价均超过了采购预算，采购人不能支付的；</w:t>
      </w:r>
    </w:p>
    <w:p w14:paraId="772927C0">
      <w:pPr>
        <w:pStyle w:val="17"/>
        <w:snapToGrid w:val="0"/>
        <w:spacing w:line="360" w:lineRule="auto"/>
        <w:ind w:firstLine="420"/>
        <w:rPr>
          <w:rFonts w:cs="宋体"/>
          <w:color w:val="auto"/>
          <w:sz w:val="21"/>
          <w:szCs w:val="21"/>
          <w:highlight w:val="none"/>
        </w:rPr>
      </w:pPr>
      <w:r>
        <w:rPr>
          <w:rFonts w:hint="eastAsia" w:cs="宋体"/>
          <w:color w:val="auto"/>
          <w:sz w:val="21"/>
          <w:szCs w:val="21"/>
          <w:highlight w:val="none"/>
        </w:rPr>
        <w:t>5.4 因重大变故，采购任务取消的。</w:t>
      </w:r>
    </w:p>
    <w:p w14:paraId="0CCF2178">
      <w:pPr>
        <w:pStyle w:val="17"/>
        <w:snapToGrid w:val="0"/>
        <w:spacing w:line="360" w:lineRule="auto"/>
        <w:ind w:firstLine="420"/>
        <w:rPr>
          <w:rFonts w:cs="宋体"/>
          <w:color w:val="auto"/>
          <w:sz w:val="21"/>
          <w:szCs w:val="21"/>
          <w:highlight w:val="none"/>
        </w:rPr>
      </w:pPr>
      <w:r>
        <w:rPr>
          <w:rFonts w:hint="eastAsia" w:cs="宋体"/>
          <w:color w:val="auto"/>
          <w:sz w:val="21"/>
          <w:szCs w:val="21"/>
          <w:highlight w:val="none"/>
        </w:rPr>
        <w:t>废标后，采购代理机构应当将废标理由通知所有投标人。</w:t>
      </w:r>
    </w:p>
    <w:p w14:paraId="5813E71C">
      <w:pPr>
        <w:pStyle w:val="17"/>
        <w:snapToGrid w:val="0"/>
        <w:spacing w:line="360" w:lineRule="auto"/>
        <w:ind w:firstLine="422"/>
        <w:rPr>
          <w:rFonts w:cs="宋体"/>
          <w:color w:val="auto"/>
          <w:sz w:val="21"/>
          <w:szCs w:val="21"/>
          <w:highlight w:val="none"/>
        </w:rPr>
      </w:pPr>
      <w:r>
        <w:rPr>
          <w:rFonts w:hint="eastAsia" w:cs="宋体"/>
          <w:b/>
          <w:color w:val="auto"/>
          <w:sz w:val="21"/>
          <w:szCs w:val="21"/>
          <w:highlight w:val="none"/>
        </w:rPr>
        <w:t>6.修改招标文件，重新组织采购活动。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E141AEE">
      <w:pPr>
        <w:pStyle w:val="17"/>
        <w:snapToGrid w:val="0"/>
        <w:spacing w:line="360" w:lineRule="auto"/>
        <w:ind w:firstLine="422"/>
        <w:rPr>
          <w:rFonts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有政府采购法第七十一条、第七十二条规定的违法行为之一，影响或者可能影响中标、成交结果的，依照下列规定处理：</w:t>
      </w:r>
    </w:p>
    <w:p w14:paraId="365E5532">
      <w:pPr>
        <w:pStyle w:val="17"/>
        <w:snapToGrid w:val="0"/>
        <w:spacing w:line="360" w:lineRule="auto"/>
        <w:ind w:firstLine="420"/>
        <w:rPr>
          <w:rFonts w:cs="宋体"/>
          <w:color w:val="auto"/>
          <w:sz w:val="21"/>
          <w:szCs w:val="21"/>
          <w:highlight w:val="none"/>
        </w:rPr>
      </w:pPr>
      <w:r>
        <w:rPr>
          <w:rFonts w:hint="eastAsia" w:cs="宋体"/>
          <w:color w:val="auto"/>
          <w:sz w:val="21"/>
          <w:szCs w:val="21"/>
          <w:highlight w:val="none"/>
        </w:rPr>
        <w:t>7.1未确定中标供应商的，终止本次政府采购活动，重新开展政府采购活动。</w:t>
      </w:r>
    </w:p>
    <w:p w14:paraId="05CAFF81">
      <w:pPr>
        <w:pStyle w:val="17"/>
        <w:snapToGrid w:val="0"/>
        <w:spacing w:line="360" w:lineRule="auto"/>
        <w:ind w:firstLine="420"/>
        <w:rPr>
          <w:rFonts w:cs="宋体"/>
          <w:color w:val="auto"/>
          <w:sz w:val="21"/>
          <w:szCs w:val="21"/>
          <w:highlight w:val="none"/>
        </w:rPr>
      </w:pPr>
      <w:r>
        <w:rPr>
          <w:rFonts w:hint="eastAsia"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6EBA0176">
      <w:pPr>
        <w:pStyle w:val="17"/>
        <w:snapToGrid w:val="0"/>
        <w:spacing w:line="360" w:lineRule="auto"/>
        <w:ind w:firstLine="420"/>
        <w:rPr>
          <w:rFonts w:cs="宋体"/>
          <w:color w:val="auto"/>
          <w:sz w:val="21"/>
          <w:szCs w:val="21"/>
          <w:highlight w:val="none"/>
        </w:rPr>
      </w:pPr>
      <w:r>
        <w:rPr>
          <w:rFonts w:hint="eastAsia" w:cs="宋体"/>
          <w:color w:val="auto"/>
          <w:sz w:val="21"/>
          <w:szCs w:val="21"/>
          <w:highlight w:val="none"/>
        </w:rPr>
        <w:t>7.3政府采购合同已签订但尚未履行的，撤销合同，从合格的中标候选人中另行确定中标供应商；没有合格的中标候选人的，重新开展政府采购活动。</w:t>
      </w:r>
    </w:p>
    <w:p w14:paraId="5EB81C8C">
      <w:pPr>
        <w:pStyle w:val="17"/>
        <w:snapToGrid w:val="0"/>
        <w:spacing w:line="360" w:lineRule="auto"/>
        <w:ind w:firstLine="420"/>
        <w:rPr>
          <w:rFonts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14:paraId="70C89417">
      <w:pPr>
        <w:pStyle w:val="17"/>
        <w:snapToGrid w:val="0"/>
        <w:spacing w:line="360" w:lineRule="auto"/>
        <w:ind w:firstLine="420"/>
        <w:rPr>
          <w:rFonts w:cs="宋体"/>
          <w:color w:val="auto"/>
          <w:sz w:val="21"/>
          <w:szCs w:val="21"/>
          <w:highlight w:val="none"/>
        </w:rPr>
      </w:pPr>
      <w:r>
        <w:rPr>
          <w:rFonts w:hint="eastAsia"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879300A">
      <w:pPr>
        <w:pStyle w:val="16"/>
        <w:rPr>
          <w:rFonts w:hAnsi="宋体" w:cs="宋体"/>
          <w:color w:val="auto"/>
          <w:highlight w:val="none"/>
        </w:rPr>
      </w:pPr>
    </w:p>
    <w:p w14:paraId="13CBD8E9">
      <w:pPr>
        <w:pStyle w:val="17"/>
        <w:rPr>
          <w:rFonts w:hAnsi="宋体" w:cs="宋体"/>
          <w:color w:val="auto"/>
          <w:highlight w:val="none"/>
        </w:rPr>
      </w:pPr>
    </w:p>
    <w:p w14:paraId="2FB9660A">
      <w:pPr>
        <w:pStyle w:val="16"/>
        <w:rPr>
          <w:rFonts w:hAnsi="宋体" w:cs="宋体"/>
          <w:color w:val="auto"/>
          <w:highlight w:val="none"/>
        </w:rPr>
      </w:pPr>
    </w:p>
    <w:p w14:paraId="0780F45E">
      <w:pPr>
        <w:pStyle w:val="17"/>
        <w:rPr>
          <w:rFonts w:hAnsi="宋体" w:cs="宋体"/>
          <w:color w:val="auto"/>
          <w:highlight w:val="none"/>
        </w:rPr>
      </w:pPr>
    </w:p>
    <w:p w14:paraId="4F38222F">
      <w:pPr>
        <w:pStyle w:val="16"/>
        <w:rPr>
          <w:rFonts w:hAnsi="宋体" w:cs="宋体"/>
          <w:color w:val="auto"/>
          <w:highlight w:val="none"/>
        </w:rPr>
      </w:pPr>
    </w:p>
    <w:p w14:paraId="47F572BA">
      <w:pPr>
        <w:pStyle w:val="17"/>
        <w:rPr>
          <w:rFonts w:hAnsi="宋体" w:cs="宋体"/>
          <w:color w:val="auto"/>
          <w:highlight w:val="none"/>
        </w:rPr>
      </w:pPr>
    </w:p>
    <w:p w14:paraId="7436F317">
      <w:pPr>
        <w:pStyle w:val="16"/>
        <w:rPr>
          <w:rFonts w:hAnsi="宋体" w:cs="宋体"/>
          <w:color w:val="auto"/>
          <w:highlight w:val="none"/>
        </w:rPr>
      </w:pPr>
    </w:p>
    <w:p w14:paraId="3EFBB348">
      <w:pPr>
        <w:pStyle w:val="17"/>
        <w:rPr>
          <w:rFonts w:hAnsi="宋体" w:cs="宋体"/>
          <w:color w:val="auto"/>
          <w:highlight w:val="none"/>
        </w:rPr>
      </w:pPr>
    </w:p>
    <w:p w14:paraId="7F0CC739">
      <w:pPr>
        <w:pStyle w:val="16"/>
        <w:rPr>
          <w:rFonts w:hAnsi="宋体" w:cs="宋体"/>
          <w:color w:val="auto"/>
          <w:highlight w:val="none"/>
        </w:rPr>
      </w:pPr>
    </w:p>
    <w:p w14:paraId="15C864DA">
      <w:pPr>
        <w:pStyle w:val="17"/>
        <w:rPr>
          <w:rFonts w:hAnsi="宋体" w:cs="宋体"/>
          <w:color w:val="auto"/>
          <w:highlight w:val="none"/>
        </w:rPr>
      </w:pPr>
    </w:p>
    <w:p w14:paraId="6D71D506">
      <w:pPr>
        <w:pStyle w:val="16"/>
        <w:rPr>
          <w:rFonts w:hAnsi="宋体" w:cs="宋体"/>
          <w:color w:val="auto"/>
          <w:highlight w:val="none"/>
        </w:rPr>
      </w:pPr>
    </w:p>
    <w:p w14:paraId="6611D3B0">
      <w:pPr>
        <w:pStyle w:val="17"/>
        <w:rPr>
          <w:rFonts w:hAnsi="宋体" w:cs="宋体"/>
          <w:color w:val="auto"/>
          <w:highlight w:val="none"/>
        </w:rPr>
      </w:pPr>
    </w:p>
    <w:p w14:paraId="313E5718">
      <w:pPr>
        <w:pStyle w:val="18"/>
        <w:rPr>
          <w:rFonts w:hAnsi="宋体" w:cs="宋体"/>
          <w:color w:val="auto"/>
          <w:highlight w:val="none"/>
        </w:rPr>
      </w:pPr>
    </w:p>
    <w:p w14:paraId="03E7133A">
      <w:pPr>
        <w:pStyle w:val="18"/>
        <w:rPr>
          <w:rFonts w:hAnsi="宋体" w:cs="宋体"/>
          <w:color w:val="auto"/>
          <w:highlight w:val="none"/>
        </w:rPr>
      </w:pPr>
    </w:p>
    <w:p w14:paraId="6D4CF477">
      <w:pPr>
        <w:pStyle w:val="18"/>
        <w:rPr>
          <w:rFonts w:hAnsi="宋体" w:cs="宋体"/>
          <w:color w:val="auto"/>
          <w:highlight w:val="none"/>
        </w:rPr>
      </w:pPr>
    </w:p>
    <w:p w14:paraId="2D30FEE9">
      <w:pPr>
        <w:pStyle w:val="18"/>
        <w:rPr>
          <w:rFonts w:hAnsi="宋体" w:cs="宋体"/>
          <w:color w:val="auto"/>
          <w:highlight w:val="none"/>
        </w:rPr>
      </w:pPr>
    </w:p>
    <w:p w14:paraId="336BF625">
      <w:pPr>
        <w:pStyle w:val="18"/>
        <w:rPr>
          <w:rFonts w:hAnsi="宋体" w:cs="宋体"/>
          <w:color w:val="auto"/>
          <w:highlight w:val="none"/>
        </w:rPr>
      </w:pPr>
    </w:p>
    <w:p w14:paraId="273CF7DA">
      <w:pPr>
        <w:pStyle w:val="18"/>
        <w:rPr>
          <w:rFonts w:hAnsi="宋体" w:cs="宋体"/>
          <w:color w:val="auto"/>
          <w:highlight w:val="none"/>
        </w:rPr>
      </w:pPr>
    </w:p>
    <w:p w14:paraId="4D238B3E">
      <w:pPr>
        <w:pStyle w:val="18"/>
        <w:rPr>
          <w:rFonts w:hAnsi="宋体" w:cs="宋体"/>
          <w:color w:val="auto"/>
          <w:highlight w:val="none"/>
        </w:rPr>
      </w:pPr>
    </w:p>
    <w:p w14:paraId="66F5B286">
      <w:pPr>
        <w:pStyle w:val="18"/>
        <w:rPr>
          <w:rFonts w:hAnsi="宋体" w:cs="宋体"/>
          <w:color w:val="auto"/>
          <w:highlight w:val="none"/>
        </w:rPr>
      </w:pPr>
    </w:p>
    <w:p w14:paraId="7820738D">
      <w:pPr>
        <w:pStyle w:val="17"/>
        <w:rPr>
          <w:rFonts w:hAnsi="宋体" w:cs="宋体"/>
          <w:color w:val="auto"/>
          <w:highlight w:val="none"/>
        </w:rPr>
      </w:pPr>
    </w:p>
    <w:bookmarkEnd w:id="26"/>
    <w:p w14:paraId="34EF84BF">
      <w:pPr>
        <w:spacing w:before="319" w:beforeLines="100" w:after="319" w:afterLines="100"/>
        <w:jc w:val="center"/>
        <w:outlineLvl w:val="0"/>
        <w:rPr>
          <w:rFonts w:ascii="宋体" w:hAnsi="宋体" w:cs="宋体"/>
          <w:b/>
          <w:color w:val="auto"/>
          <w:sz w:val="36"/>
          <w:szCs w:val="36"/>
          <w:highlight w:val="none"/>
        </w:rPr>
      </w:pPr>
      <w:bookmarkStart w:id="395" w:name="_Toc86217003"/>
      <w:bookmarkStart w:id="396" w:name="第五部分"/>
      <w:r>
        <w:rPr>
          <w:rFonts w:hint="eastAsia" w:ascii="宋体" w:hAnsi="宋体" w:cs="宋体"/>
          <w:b/>
          <w:color w:val="auto"/>
          <w:sz w:val="36"/>
          <w:szCs w:val="36"/>
          <w:highlight w:val="none"/>
        </w:rPr>
        <w:t>第五部分 拟签订的合同文本</w:t>
      </w:r>
    </w:p>
    <w:p w14:paraId="6383FC9A">
      <w:pPr>
        <w:spacing w:before="319" w:beforeLines="100" w:after="319" w:afterLines="100"/>
        <w:jc w:val="left"/>
        <w:rPr>
          <w:rFonts w:ascii="宋体" w:hAnsi="宋体" w:cs="宋体"/>
          <w:color w:val="auto"/>
          <w:sz w:val="32"/>
          <w:szCs w:val="32"/>
          <w:highlight w:val="none"/>
        </w:rPr>
      </w:pPr>
      <w:r>
        <w:rPr>
          <w:rFonts w:hint="eastAsia" w:ascii="宋体" w:hAnsi="宋体" w:cs="宋体"/>
          <w:color w:val="auto"/>
          <w:sz w:val="32"/>
          <w:szCs w:val="32"/>
          <w:highlight w:val="none"/>
        </w:rPr>
        <w:t>合同编号：</w:t>
      </w:r>
    </w:p>
    <w:p w14:paraId="52B9B8B5">
      <w:pPr>
        <w:spacing w:line="360" w:lineRule="auto"/>
        <w:rPr>
          <w:rFonts w:ascii="宋体" w:hAnsi="宋体" w:cs="宋体"/>
          <w:color w:val="auto"/>
          <w:sz w:val="28"/>
          <w:highlight w:val="none"/>
        </w:rPr>
      </w:pPr>
    </w:p>
    <w:p w14:paraId="711D4683">
      <w:pPr>
        <w:spacing w:line="360" w:lineRule="auto"/>
        <w:rPr>
          <w:rFonts w:ascii="宋体" w:hAnsi="宋体" w:cs="宋体"/>
          <w:color w:val="auto"/>
          <w:sz w:val="28"/>
          <w:highlight w:val="none"/>
        </w:rPr>
      </w:pPr>
    </w:p>
    <w:p w14:paraId="68CF6C7A">
      <w:pPr>
        <w:spacing w:before="319" w:beforeLines="100" w:after="319" w:afterLines="100"/>
        <w:jc w:val="center"/>
        <w:rPr>
          <w:rFonts w:ascii="宋体" w:hAnsi="宋体" w:cs="宋体"/>
          <w:b/>
          <w:color w:val="auto"/>
          <w:sz w:val="32"/>
          <w:szCs w:val="32"/>
          <w:highlight w:val="none"/>
        </w:rPr>
      </w:pPr>
      <w:r>
        <w:rPr>
          <w:rFonts w:hint="eastAsia" w:ascii="宋体" w:hAnsi="宋体" w:cs="宋体"/>
          <w:b/>
          <w:color w:val="auto"/>
          <w:sz w:val="32"/>
          <w:szCs w:val="32"/>
          <w:highlight w:val="none"/>
        </w:rPr>
        <w:t>政府采购合同参考范本</w:t>
      </w:r>
    </w:p>
    <w:p w14:paraId="563D9C05">
      <w:pPr>
        <w:spacing w:before="319" w:beforeLines="100" w:after="319" w:afterLines="100"/>
        <w:jc w:val="center"/>
        <w:rPr>
          <w:rFonts w:ascii="宋体" w:hAnsi="宋体" w:cs="宋体"/>
          <w:b/>
          <w:color w:val="auto"/>
          <w:sz w:val="32"/>
          <w:szCs w:val="32"/>
          <w:highlight w:val="none"/>
        </w:rPr>
      </w:pPr>
      <w:r>
        <w:rPr>
          <w:rFonts w:hint="eastAsia" w:ascii="宋体" w:hAnsi="宋体" w:cs="宋体"/>
          <w:b/>
          <w:color w:val="auto"/>
          <w:sz w:val="32"/>
          <w:szCs w:val="32"/>
          <w:highlight w:val="none"/>
        </w:rPr>
        <w:t>（服务类）</w:t>
      </w:r>
    </w:p>
    <w:p w14:paraId="2C24E21C">
      <w:pPr>
        <w:spacing w:line="360" w:lineRule="auto"/>
        <w:rPr>
          <w:rFonts w:ascii="宋体" w:hAnsi="宋体" w:cs="宋体"/>
          <w:color w:val="auto"/>
          <w:sz w:val="28"/>
          <w:highlight w:val="none"/>
        </w:rPr>
      </w:pPr>
    </w:p>
    <w:p w14:paraId="6B8ABD7B">
      <w:pPr>
        <w:pStyle w:val="48"/>
        <w:spacing w:before="20" w:after="20"/>
        <w:rPr>
          <w:rFonts w:ascii="宋体" w:hAnsi="宋体" w:eastAsia="宋体" w:cs="宋体"/>
          <w:color w:val="auto"/>
          <w:sz w:val="32"/>
          <w:highlight w:val="none"/>
        </w:rPr>
      </w:pPr>
      <w:bookmarkStart w:id="397" w:name="_Toc97118341"/>
      <w:bookmarkStart w:id="398" w:name="_Toc97118735"/>
      <w:bookmarkStart w:id="399" w:name="_Toc104208269"/>
      <w:bookmarkStart w:id="400" w:name="_Toc117259210"/>
      <w:bookmarkStart w:id="401" w:name="_Toc132308033"/>
      <w:r>
        <w:rPr>
          <w:rFonts w:hint="eastAsia" w:ascii="宋体" w:hAnsi="宋体" w:eastAsia="宋体" w:cs="宋体"/>
          <w:color w:val="auto"/>
          <w:sz w:val="32"/>
          <w:highlight w:val="none"/>
        </w:rPr>
        <w:t>第一部分 合同书</w:t>
      </w:r>
      <w:bookmarkEnd w:id="397"/>
      <w:bookmarkEnd w:id="398"/>
      <w:bookmarkEnd w:id="399"/>
      <w:bookmarkEnd w:id="400"/>
      <w:bookmarkEnd w:id="401"/>
    </w:p>
    <w:p w14:paraId="11E94DDE">
      <w:pPr>
        <w:spacing w:line="360" w:lineRule="auto"/>
        <w:rPr>
          <w:rFonts w:ascii="宋体" w:hAnsi="宋体" w:cs="宋体"/>
          <w:color w:val="auto"/>
          <w:sz w:val="28"/>
          <w:highlight w:val="none"/>
        </w:rPr>
      </w:pPr>
    </w:p>
    <w:p w14:paraId="216B5DB4">
      <w:pPr>
        <w:spacing w:line="360" w:lineRule="auto"/>
        <w:rPr>
          <w:rFonts w:ascii="宋体" w:hAnsi="宋体" w:cs="宋体"/>
          <w:color w:val="auto"/>
          <w:sz w:val="28"/>
          <w:highlight w:val="none"/>
        </w:rPr>
      </w:pPr>
    </w:p>
    <w:tbl>
      <w:tblPr>
        <w:tblStyle w:val="64"/>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5"/>
      </w:tblGrid>
      <w:tr w14:paraId="6D6EF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5" w:type="dxa"/>
            <w:vAlign w:val="center"/>
          </w:tcPr>
          <w:p w14:paraId="2B2509B7">
            <w:pPr>
              <w:rPr>
                <w:rFonts w:ascii="宋体" w:hAnsi="宋体" w:cs="宋体"/>
                <w:color w:val="auto"/>
                <w:sz w:val="28"/>
                <w:highlight w:val="none"/>
              </w:rPr>
            </w:pPr>
            <w:r>
              <w:rPr>
                <w:rFonts w:hint="eastAsia" w:ascii="宋体" w:hAnsi="宋体" w:cs="宋体"/>
                <w:color w:val="auto"/>
                <w:sz w:val="28"/>
                <w:highlight w:val="none"/>
              </w:rPr>
              <w:t>项目名称：</w:t>
            </w:r>
          </w:p>
        </w:tc>
      </w:tr>
      <w:tr w14:paraId="4797B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5" w:type="dxa"/>
            <w:vAlign w:val="center"/>
          </w:tcPr>
          <w:p w14:paraId="6F8BA62D">
            <w:pPr>
              <w:rPr>
                <w:rFonts w:hint="eastAsia" w:ascii="宋体" w:hAnsi="宋体" w:eastAsia="宋体" w:cs="宋体"/>
                <w:color w:val="auto"/>
                <w:sz w:val="28"/>
                <w:highlight w:val="none"/>
                <w:lang w:eastAsia="zh-CN"/>
              </w:rPr>
            </w:pPr>
            <w:r>
              <w:rPr>
                <w:rFonts w:hint="eastAsia" w:ascii="宋体" w:hAnsi="宋体" w:cs="宋体"/>
                <w:color w:val="auto"/>
                <w:sz w:val="28"/>
                <w:highlight w:val="none"/>
              </w:rPr>
              <w:t>甲    方：</w:t>
            </w:r>
          </w:p>
        </w:tc>
      </w:tr>
      <w:tr w14:paraId="0B366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5" w:type="dxa"/>
            <w:vAlign w:val="center"/>
          </w:tcPr>
          <w:p w14:paraId="419CE5B1">
            <w:pPr>
              <w:rPr>
                <w:rFonts w:ascii="宋体" w:hAnsi="宋体" w:cs="宋体"/>
                <w:color w:val="auto"/>
                <w:sz w:val="28"/>
                <w:highlight w:val="none"/>
              </w:rPr>
            </w:pPr>
            <w:r>
              <w:rPr>
                <w:rFonts w:hint="eastAsia" w:ascii="宋体" w:hAnsi="宋体" w:cs="宋体"/>
                <w:color w:val="auto"/>
                <w:sz w:val="28"/>
                <w:highlight w:val="none"/>
              </w:rPr>
              <w:t>乙    方</w:t>
            </w:r>
            <w:r>
              <w:rPr>
                <w:rFonts w:hint="eastAsia" w:ascii="宋体" w:hAnsi="宋体" w:cs="宋体"/>
                <w:i w:val="0"/>
                <w:iCs w:val="0"/>
                <w:color w:val="auto"/>
                <w:sz w:val="28"/>
                <w:highlight w:val="none"/>
              </w:rPr>
              <w:t>：</w:t>
            </w:r>
            <w:r>
              <w:rPr>
                <w:rFonts w:hint="eastAsia" w:ascii="宋体" w:hAnsi="宋体" w:cs="宋体"/>
                <w:i w:val="0"/>
                <w:iCs w:val="0"/>
                <w:color w:val="auto"/>
                <w:sz w:val="28"/>
                <w:highlight w:val="none"/>
                <w:u w:val="single"/>
              </w:rPr>
              <w:t>（中标人名称）</w:t>
            </w:r>
          </w:p>
        </w:tc>
      </w:tr>
      <w:tr w14:paraId="234DD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5" w:type="dxa"/>
            <w:vAlign w:val="center"/>
          </w:tcPr>
          <w:p w14:paraId="69B3D0D6">
            <w:pPr>
              <w:rPr>
                <w:rFonts w:ascii="宋体" w:hAnsi="宋体" w:cs="宋体"/>
                <w:color w:val="auto"/>
                <w:sz w:val="28"/>
                <w:highlight w:val="none"/>
                <w:u w:val="single"/>
              </w:rPr>
            </w:pPr>
            <w:r>
              <w:rPr>
                <w:rFonts w:hint="eastAsia" w:ascii="宋体" w:hAnsi="宋体" w:cs="宋体"/>
                <w:color w:val="auto"/>
                <w:sz w:val="28"/>
                <w:highlight w:val="none"/>
              </w:rPr>
              <w:t>签 订 地：</w:t>
            </w:r>
          </w:p>
        </w:tc>
      </w:tr>
      <w:tr w14:paraId="7255C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5" w:type="dxa"/>
            <w:vAlign w:val="center"/>
          </w:tcPr>
          <w:p w14:paraId="02D669E2">
            <w:pPr>
              <w:jc w:val="center"/>
              <w:rPr>
                <w:rFonts w:ascii="宋体" w:hAnsi="宋体" w:cs="宋体"/>
                <w:color w:val="auto"/>
                <w:sz w:val="28"/>
                <w:highlight w:val="none"/>
              </w:rPr>
            </w:pPr>
            <w:r>
              <w:rPr>
                <w:rFonts w:hint="eastAsia" w:ascii="宋体" w:hAnsi="宋体" w:cs="宋体"/>
                <w:color w:val="auto"/>
                <w:sz w:val="28"/>
                <w:highlight w:val="none"/>
              </w:rPr>
              <w:t>签订日期：   年  月  日</w:t>
            </w:r>
          </w:p>
        </w:tc>
      </w:tr>
    </w:tbl>
    <w:p w14:paraId="741080AE">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br w:type="page"/>
      </w:r>
      <w:bookmarkStart w:id="402" w:name="_Toc10340"/>
      <w:bookmarkStart w:id="403" w:name="_Toc1814"/>
      <w:bookmarkStart w:id="404" w:name="_Toc22618"/>
      <w:r>
        <w:rPr>
          <w:rFonts w:hint="eastAsia" w:ascii="宋体" w:hAnsi="宋体" w:cs="宋体"/>
          <w:color w:val="auto"/>
          <w:highlight w:val="none"/>
          <w:u w:val="single"/>
        </w:rPr>
        <w:t xml:space="preserve">       </w:t>
      </w:r>
      <w:r>
        <w:rPr>
          <w:rFonts w:hint="eastAsia" w:ascii="宋体" w:hAnsi="宋体" w:cs="宋体"/>
          <w:color w:val="auto"/>
          <w:szCs w:val="21"/>
          <w:highlight w:val="none"/>
          <w:lang w:val="zh-CN"/>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日</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（采购人）   </w:t>
      </w:r>
      <w:r>
        <w:rPr>
          <w:rFonts w:hint="eastAsia" w:ascii="宋体" w:hAnsi="宋体" w:cs="宋体"/>
          <w:color w:val="auto"/>
          <w:szCs w:val="21"/>
          <w:highlight w:val="none"/>
        </w:rPr>
        <w:t>以</w:t>
      </w:r>
      <w:r>
        <w:rPr>
          <w:rFonts w:hint="eastAsia" w:ascii="宋体" w:hAnsi="宋体" w:cs="宋体"/>
          <w:color w:val="auto"/>
          <w:szCs w:val="21"/>
          <w:highlight w:val="none"/>
          <w:u w:val="single"/>
        </w:rPr>
        <w:t xml:space="preserve">   （政府采购方式）  </w:t>
      </w:r>
      <w:r>
        <w:rPr>
          <w:rFonts w:hint="eastAsia" w:ascii="宋体" w:hAnsi="宋体" w:cs="宋体"/>
          <w:color w:val="auto"/>
          <w:szCs w:val="21"/>
          <w:highlight w:val="none"/>
        </w:rPr>
        <w:t>对</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项目进行了采购。经</w:t>
      </w:r>
      <w:r>
        <w:rPr>
          <w:rFonts w:hint="eastAsia" w:ascii="宋体" w:hAnsi="宋体" w:cs="宋体"/>
          <w:color w:val="auto"/>
          <w:szCs w:val="21"/>
          <w:highlight w:val="none"/>
          <w:u w:val="single"/>
        </w:rPr>
        <w:t xml:space="preserve">   （相关评定主体名称）   </w:t>
      </w:r>
      <w:r>
        <w:rPr>
          <w:rFonts w:hint="eastAsia" w:ascii="宋体" w:hAnsi="宋体" w:cs="宋体"/>
          <w:color w:val="auto"/>
          <w:szCs w:val="21"/>
          <w:highlight w:val="none"/>
        </w:rPr>
        <w:t>评定，</w:t>
      </w:r>
      <w:r>
        <w:rPr>
          <w:rFonts w:hint="eastAsia" w:ascii="宋体" w:hAnsi="宋体" w:cs="宋体"/>
          <w:color w:val="auto"/>
          <w:szCs w:val="21"/>
          <w:highlight w:val="none"/>
          <w:u w:val="single"/>
        </w:rPr>
        <w:t xml:space="preserve">   （中标或者成交供应商名称） </w:t>
      </w:r>
      <w:r>
        <w:rPr>
          <w:rFonts w:hint="eastAsia" w:ascii="宋体" w:hAnsi="宋体" w:cs="宋体"/>
          <w:color w:val="auto"/>
          <w:szCs w:val="21"/>
          <w:highlight w:val="none"/>
        </w:rPr>
        <w:t>为该项目中标或者成交供应商。现于中标或者成交通知书发出之日起10个工作日内，按照采购文件确定的事项签订本合同。</w:t>
      </w:r>
    </w:p>
    <w:p w14:paraId="13F4C73E">
      <w:pPr>
        <w:adjustRightInd/>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Cs w:val="21"/>
          <w:highlight w:val="none"/>
          <w:u w:val="single"/>
        </w:rPr>
        <w:t xml:space="preserve">   （采购人）   </w:t>
      </w:r>
      <w:r>
        <w:rPr>
          <w:rFonts w:hint="eastAsia" w:ascii="宋体" w:hAnsi="宋体" w:cs="宋体"/>
          <w:color w:val="auto"/>
          <w:szCs w:val="21"/>
          <w:highlight w:val="none"/>
          <w:lang w:val="zh-CN"/>
        </w:rPr>
        <w:t>(以下简称：甲方)和</w:t>
      </w:r>
      <w:r>
        <w:rPr>
          <w:rFonts w:hint="eastAsia" w:ascii="宋体" w:hAnsi="宋体" w:cs="宋体"/>
          <w:color w:val="auto"/>
          <w:szCs w:val="21"/>
          <w:highlight w:val="none"/>
          <w:u w:val="single"/>
        </w:rPr>
        <w:t xml:space="preserve">   （中或者成交标供应商名称）   </w:t>
      </w:r>
      <w:r>
        <w:rPr>
          <w:rFonts w:hint="eastAsia" w:ascii="宋体" w:hAnsi="宋体" w:cs="宋体"/>
          <w:color w:val="auto"/>
          <w:szCs w:val="21"/>
          <w:highlight w:val="none"/>
          <w:lang w:val="zh-CN"/>
        </w:rPr>
        <w:t>(以下简称：乙方)协商一致，约定以下合同</w:t>
      </w:r>
      <w:r>
        <w:rPr>
          <w:rFonts w:hint="eastAsia" w:ascii="宋体" w:hAnsi="宋体" w:cs="宋体"/>
          <w:color w:val="auto"/>
          <w:szCs w:val="21"/>
          <w:highlight w:val="none"/>
        </w:rPr>
        <w:t>条款，以兹共同遵守、全面履行。</w:t>
      </w:r>
    </w:p>
    <w:p w14:paraId="6032BABB">
      <w:pPr>
        <w:pStyle w:val="4"/>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05" w:name="_Toc22967"/>
      <w:bookmarkStart w:id="406" w:name="_Toc15367"/>
      <w:bookmarkStart w:id="407" w:name="_Toc28855"/>
      <w:bookmarkStart w:id="408" w:name="_Toc20421"/>
      <w:bookmarkStart w:id="409" w:name="_Toc19273"/>
      <w:r>
        <w:rPr>
          <w:rFonts w:hint="eastAsia" w:ascii="宋体" w:hAnsi="宋体" w:cs="宋体"/>
          <w:color w:val="auto"/>
          <w:sz w:val="21"/>
          <w:szCs w:val="21"/>
          <w:highlight w:val="none"/>
        </w:rPr>
        <w:t>1.1 合同组成部分</w:t>
      </w:r>
      <w:bookmarkEnd w:id="405"/>
      <w:bookmarkEnd w:id="406"/>
      <w:bookmarkEnd w:id="407"/>
      <w:bookmarkEnd w:id="408"/>
      <w:bookmarkEnd w:id="409"/>
    </w:p>
    <w:p w14:paraId="56EFDC2A">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A2450A8">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1.1.1本合同及其补充合同、变更协议；</w:t>
      </w:r>
    </w:p>
    <w:p w14:paraId="45ADEAD2">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1.1.2中标或者成交通知书；</w:t>
      </w:r>
    </w:p>
    <w:p w14:paraId="1DD976A5">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1.1.3投标或者响应文件（含澄清或者说明文件）；</w:t>
      </w:r>
    </w:p>
    <w:p w14:paraId="79BF494D">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1.1.4采购文件（含澄清或者修改文件）；</w:t>
      </w:r>
    </w:p>
    <w:p w14:paraId="72B94F83">
      <w:pPr>
        <w:adjustRightInd/>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1.1.5其他相关采购文件。</w:t>
      </w:r>
    </w:p>
    <w:p w14:paraId="236702F6">
      <w:pPr>
        <w:pStyle w:val="4"/>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10" w:name="_Toc22185"/>
      <w:bookmarkStart w:id="411" w:name="_Toc6311"/>
      <w:bookmarkStart w:id="412" w:name="_Toc18585"/>
      <w:bookmarkStart w:id="413" w:name="_Toc6773"/>
      <w:bookmarkStart w:id="414" w:name="_Toc2918"/>
      <w:r>
        <w:rPr>
          <w:rFonts w:hint="eastAsia" w:ascii="宋体" w:hAnsi="宋体" w:cs="宋体"/>
          <w:color w:val="auto"/>
          <w:sz w:val="21"/>
          <w:szCs w:val="21"/>
          <w:highlight w:val="none"/>
        </w:rPr>
        <w:t>1.2 标的</w:t>
      </w:r>
      <w:bookmarkEnd w:id="410"/>
      <w:bookmarkEnd w:id="411"/>
      <w:bookmarkEnd w:id="412"/>
      <w:bookmarkEnd w:id="413"/>
      <w:bookmarkEnd w:id="414"/>
    </w:p>
    <w:p w14:paraId="7BCD5FCC">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1.2.1服务内容：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5695558">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1.2.2服务标准：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641C62E">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1.2.3技术保障：</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9967D00">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1.2.4服务人员组成：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881C05A">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1.2.5合同（是/否）涉及货物。若涉及货物的的，则：</w:t>
      </w:r>
    </w:p>
    <w:p w14:paraId="2D74E013">
      <w:pPr>
        <w:adjustRightInd/>
        <w:spacing w:line="360" w:lineRule="auto"/>
        <w:ind w:firstLine="420" w:firstLineChars="200"/>
        <w:rPr>
          <w:rFonts w:ascii="宋体" w:hAnsi="宋体" w:cs="宋体"/>
          <w:color w:val="auto"/>
          <w:szCs w:val="21"/>
          <w:highlight w:val="none"/>
        </w:rPr>
      </w:pPr>
      <w:bookmarkStart w:id="415" w:name="_Toc4929"/>
      <w:bookmarkStart w:id="416" w:name="_Toc1386"/>
      <w:bookmarkStart w:id="417" w:name="_Toc13918"/>
      <w:bookmarkStart w:id="418" w:name="_Toc5635"/>
      <w:bookmarkStart w:id="419" w:name="_Toc21124"/>
      <w:r>
        <w:rPr>
          <w:rFonts w:hint="eastAsia" w:ascii="宋体" w:hAnsi="宋体" w:cs="宋体"/>
          <w:color w:val="auto"/>
          <w:szCs w:val="21"/>
          <w:highlight w:val="none"/>
        </w:rPr>
        <w:t>1.2.5.1货物名称、品牌、规格型号、花色：；</w:t>
      </w:r>
    </w:p>
    <w:p w14:paraId="2F848249">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1.2.5.2货物数量：；</w:t>
      </w:r>
    </w:p>
    <w:p w14:paraId="172E9CB1">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1.2.5.3货物质量：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C018FE7">
      <w:pPr>
        <w:pStyle w:val="4"/>
        <w:adjustRightInd/>
        <w:spacing w:before="319" w:beforeLines="100" w:after="319" w:afterLines="100" w:line="24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1.3 价款</w:t>
      </w:r>
      <w:bookmarkEnd w:id="415"/>
      <w:bookmarkEnd w:id="416"/>
      <w:bookmarkEnd w:id="417"/>
      <w:bookmarkEnd w:id="418"/>
      <w:bookmarkEnd w:id="419"/>
    </w:p>
    <w:p w14:paraId="621E32B4">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本项目采用以下第1.3.1条款规定的计价方式计价。</w:t>
      </w:r>
    </w:p>
    <w:p w14:paraId="1893FF40">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1.3.1总价合同，本合同总价（含税）为：￥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元人民币）。</w:t>
      </w:r>
    </w:p>
    <w:p w14:paraId="51E4968E">
      <w:pPr>
        <w:adjustRightInd/>
        <w:spacing w:line="360" w:lineRule="auto"/>
        <w:ind w:firstLine="420" w:firstLineChars="200"/>
        <w:rPr>
          <w:rFonts w:ascii="宋体" w:hAnsi="宋体" w:cs="宋体"/>
          <w:color w:val="auto"/>
          <w:szCs w:val="21"/>
          <w:highlight w:val="none"/>
        </w:rPr>
      </w:pPr>
      <w:bookmarkStart w:id="420" w:name="_Toc3625"/>
      <w:bookmarkStart w:id="421" w:name="_Toc11108"/>
      <w:bookmarkStart w:id="422" w:name="_Toc31421"/>
      <w:bookmarkStart w:id="423" w:name="_Toc4760"/>
      <w:bookmarkStart w:id="424" w:name="_Toc8772"/>
      <w:r>
        <w:rPr>
          <w:rFonts w:hint="eastAsia" w:ascii="宋体" w:hAnsi="宋体" w:cs="宋体"/>
          <w:color w:val="auto"/>
          <w:szCs w:val="21"/>
          <w:highlight w:val="none"/>
        </w:rPr>
        <w:t>1.3.2单价合同，本合同单价（含税）标准为：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。服务工作量的计量方式为：</w:t>
      </w:r>
      <w:r>
        <w:rPr>
          <w:rFonts w:hint="eastAsia" w:ascii="宋体" w:hAnsi="宋体" w:cs="宋体"/>
          <w:b/>
          <w:bCs/>
          <w:i/>
          <w:iCs/>
          <w:color w:val="auto"/>
          <w:szCs w:val="21"/>
          <w:highlight w:val="none"/>
          <w:u w:val="single"/>
        </w:rPr>
        <w:t>合同专用条款</w:t>
      </w:r>
      <w:r>
        <w:rPr>
          <w:rFonts w:hint="eastAsia" w:ascii="宋体" w:hAnsi="宋体" w:cs="宋体"/>
          <w:color w:val="auto"/>
          <w:szCs w:val="21"/>
          <w:highlight w:val="none"/>
        </w:rPr>
        <w:t>。单价合同，在合同履行期间内，根据实际完成的工作量据实结算，但结算总价上限不得超过预算金额或者双方确定的金额￥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元人民币）。</w:t>
      </w:r>
    </w:p>
    <w:p w14:paraId="70B9CB5E">
      <w:pPr>
        <w:adjustRightInd/>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1.3.3其他计价方式：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1A49E47">
      <w:pPr>
        <w:pStyle w:val="4"/>
        <w:adjustRightInd/>
        <w:spacing w:before="319" w:beforeLines="100" w:after="319" w:afterLines="100" w:line="24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1.4履约保证金</w:t>
      </w:r>
    </w:p>
    <w:p w14:paraId="7B49139B">
      <w:pPr>
        <w:pStyle w:val="961"/>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乙方（是/否）需要支付履约保证金。若需要支付履约保证金的，则：</w:t>
      </w:r>
    </w:p>
    <w:p w14:paraId="23868CB4">
      <w:pPr>
        <w:adjustRightInd/>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kern w:val="0"/>
          <w:szCs w:val="21"/>
          <w:highlight w:val="none"/>
        </w:rPr>
        <w:t>1.4.1履约保证金的比例为合同金额的</w:t>
      </w:r>
      <w:r>
        <w:rPr>
          <w:rFonts w:hint="eastAsia" w:ascii="宋体" w:hAnsi="宋体" w:cs="宋体"/>
          <w:b/>
          <w:i/>
          <w:color w:val="auto"/>
          <w:szCs w:val="21"/>
          <w:highlight w:val="none"/>
          <w:u w:val="single"/>
        </w:rPr>
        <w:t xml:space="preserve">      </w:t>
      </w:r>
      <w:r>
        <w:rPr>
          <w:rFonts w:hint="eastAsia" w:ascii="宋体" w:hAnsi="宋体" w:cs="宋体"/>
          <w:color w:val="auto"/>
          <w:kern w:val="0"/>
          <w:szCs w:val="21"/>
          <w:highlight w:val="none"/>
        </w:rPr>
        <w:t>%；</w:t>
      </w:r>
    </w:p>
    <w:p w14:paraId="20B60BC6">
      <w:pPr>
        <w:adjustRightInd/>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kern w:val="0"/>
          <w:szCs w:val="21"/>
          <w:highlight w:val="none"/>
        </w:rPr>
        <w:t>1.4.2履约保证金支付方式详见</w:t>
      </w:r>
      <w:r>
        <w:rPr>
          <w:rFonts w:hint="eastAsia" w:ascii="宋体" w:hAnsi="宋体" w:cs="宋体"/>
          <w:b/>
          <w:i/>
          <w:color w:val="auto"/>
          <w:szCs w:val="21"/>
          <w:highlight w:val="none"/>
          <w:u w:val="single"/>
        </w:rPr>
        <w:t>合同专用条款</w:t>
      </w:r>
      <w:r>
        <w:rPr>
          <w:rFonts w:hint="eastAsia" w:ascii="宋体" w:hAnsi="宋体" w:cs="宋体"/>
          <w:color w:val="auto"/>
          <w:kern w:val="0"/>
          <w:szCs w:val="21"/>
          <w:highlight w:val="none"/>
        </w:rPr>
        <w:t>；</w:t>
      </w:r>
    </w:p>
    <w:p w14:paraId="0DA5FADC">
      <w:pPr>
        <w:pStyle w:val="3"/>
        <w:tabs>
          <w:tab w:val="left" w:pos="0"/>
        </w:tabs>
        <w:ind w:left="0" w:firstLine="420" w:firstLineChars="200"/>
        <w:rPr>
          <w:rFonts w:ascii="宋体" w:hAnsi="宋体" w:eastAsia="宋体" w:cs="宋体"/>
          <w:color w:val="auto"/>
          <w:sz w:val="21"/>
          <w:szCs w:val="21"/>
          <w:highlight w:val="none"/>
          <w:lang w:val="en-US"/>
        </w:rPr>
      </w:pPr>
      <w:r>
        <w:rPr>
          <w:rFonts w:hint="eastAsia" w:ascii="宋体" w:hAnsi="宋体" w:eastAsia="宋体" w:cs="宋体"/>
          <w:b w:val="0"/>
          <w:bCs w:val="0"/>
          <w:color w:val="auto"/>
          <w:kern w:val="0"/>
          <w:sz w:val="21"/>
          <w:szCs w:val="21"/>
          <w:highlight w:val="none"/>
          <w:lang w:val="en-US"/>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95D2391">
      <w:pPr>
        <w:adjustRightInd/>
        <w:spacing w:line="360" w:lineRule="auto"/>
        <w:ind w:firstLine="420" w:firstLineChars="200"/>
        <w:outlineLvl w:val="0"/>
        <w:rPr>
          <w:rFonts w:ascii="宋体" w:hAnsi="宋体" w:cs="宋体"/>
          <w:color w:val="auto"/>
          <w:kern w:val="0"/>
          <w:sz w:val="24"/>
          <w:highlight w:val="none"/>
        </w:rPr>
      </w:pPr>
      <w:r>
        <w:rPr>
          <w:rFonts w:hint="eastAsia" w:ascii="宋体" w:hAnsi="宋体" w:cs="宋体"/>
          <w:color w:val="auto"/>
          <w:kern w:val="0"/>
          <w:szCs w:val="21"/>
          <w:highlight w:val="none"/>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color w:val="auto"/>
          <w:kern w:val="0"/>
          <w:szCs w:val="21"/>
          <w:highlight w:val="none"/>
          <w:u w:val="single"/>
        </w:rPr>
        <w:t xml:space="preserve">  0.05  </w:t>
      </w:r>
      <w:r>
        <w:rPr>
          <w:rFonts w:hint="eastAsia" w:ascii="宋体" w:hAnsi="宋体" w:cs="宋体"/>
          <w:color w:val="auto"/>
          <w:kern w:val="0"/>
          <w:szCs w:val="21"/>
          <w:highlight w:val="none"/>
        </w:rPr>
        <w:t>%计算，最高限额为本合同履约保证金的</w:t>
      </w:r>
      <w:r>
        <w:rPr>
          <w:rFonts w:hint="eastAsia" w:ascii="宋体" w:hAnsi="宋体" w:cs="宋体"/>
          <w:color w:val="auto"/>
          <w:kern w:val="0"/>
          <w:szCs w:val="21"/>
          <w:highlight w:val="none"/>
          <w:u w:val="single"/>
        </w:rPr>
        <w:t xml:space="preserve">  20  </w:t>
      </w:r>
      <w:r>
        <w:rPr>
          <w:rFonts w:hint="eastAsia" w:ascii="宋体" w:hAnsi="宋体" w:cs="宋体"/>
          <w:color w:val="auto"/>
          <w:kern w:val="0"/>
          <w:szCs w:val="21"/>
          <w:highlight w:val="none"/>
        </w:rPr>
        <w:t xml:space="preserve"> %。</w:t>
      </w:r>
    </w:p>
    <w:p w14:paraId="3069C2EB">
      <w:pPr>
        <w:pStyle w:val="4"/>
        <w:adjustRightInd/>
        <w:spacing w:before="319" w:beforeLines="100" w:after="319" w:afterLines="100" w:line="24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1.5预付款</w:t>
      </w:r>
    </w:p>
    <w:p w14:paraId="191AB03E">
      <w:pPr>
        <w:pStyle w:val="961"/>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甲方（是/否）需要支付预付款。若需要支付预付款的，则：</w:t>
      </w:r>
    </w:p>
    <w:p w14:paraId="0AB8C15B">
      <w:pPr>
        <w:adjustRightInd/>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1.5.1预付款比例、支付方式、时间详见</w:t>
      </w:r>
      <w:r>
        <w:rPr>
          <w:rFonts w:hint="eastAsia" w:ascii="宋体" w:hAnsi="宋体" w:cs="宋体"/>
          <w:b/>
          <w:i/>
          <w:color w:val="auto"/>
          <w:szCs w:val="21"/>
          <w:highlight w:val="none"/>
          <w:u w:val="single"/>
        </w:rPr>
        <w:t>合同专用条款</w:t>
      </w:r>
      <w:r>
        <w:rPr>
          <w:rFonts w:hint="eastAsia" w:ascii="宋体" w:hAnsi="宋体" w:cs="宋体"/>
          <w:color w:val="auto"/>
          <w:kern w:val="0"/>
          <w:szCs w:val="21"/>
          <w:highlight w:val="none"/>
        </w:rPr>
        <w:t>；</w:t>
      </w:r>
    </w:p>
    <w:p w14:paraId="4D7E07CF">
      <w:pPr>
        <w:pStyle w:val="961"/>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1.5.2预付款的扣回方式详见</w:t>
      </w:r>
      <w:r>
        <w:rPr>
          <w:rFonts w:hint="eastAsia"/>
          <w:b/>
          <w:i/>
          <w:color w:val="auto"/>
          <w:sz w:val="21"/>
          <w:szCs w:val="21"/>
          <w:highlight w:val="none"/>
          <w:u w:val="single"/>
        </w:rPr>
        <w:t>合同专用条款</w:t>
      </w:r>
      <w:r>
        <w:rPr>
          <w:rFonts w:hint="eastAsia"/>
          <w:color w:val="auto"/>
          <w:sz w:val="21"/>
          <w:szCs w:val="21"/>
          <w:highlight w:val="none"/>
        </w:rPr>
        <w:t>；</w:t>
      </w:r>
    </w:p>
    <w:p w14:paraId="6AE9F621">
      <w:pPr>
        <w:pStyle w:val="961"/>
        <w:spacing w:before="0" w:beforeAutospacing="0" w:after="0" w:afterAutospacing="0" w:line="360" w:lineRule="auto"/>
        <w:ind w:firstLine="420" w:firstLineChars="200"/>
        <w:rPr>
          <w:color w:val="auto"/>
          <w:highlight w:val="none"/>
          <w:u w:val="single"/>
        </w:rPr>
      </w:pPr>
      <w:r>
        <w:rPr>
          <w:rFonts w:hint="eastAsia"/>
          <w:color w:val="auto"/>
          <w:sz w:val="21"/>
          <w:szCs w:val="21"/>
          <w:highlight w:val="none"/>
        </w:rPr>
        <w:t>1.5.3预付款的担保措施详见</w:t>
      </w:r>
      <w:r>
        <w:rPr>
          <w:rFonts w:hint="eastAsia"/>
          <w:b/>
          <w:i/>
          <w:color w:val="auto"/>
          <w:sz w:val="21"/>
          <w:szCs w:val="21"/>
          <w:highlight w:val="none"/>
          <w:u w:val="single"/>
        </w:rPr>
        <w:t>合同专用条款</w:t>
      </w:r>
      <w:r>
        <w:rPr>
          <w:rFonts w:hint="eastAsia"/>
          <w:color w:val="auto"/>
          <w:sz w:val="21"/>
          <w:szCs w:val="21"/>
          <w:highlight w:val="none"/>
        </w:rPr>
        <w:t>。</w:t>
      </w:r>
    </w:p>
    <w:p w14:paraId="01428CD9">
      <w:pPr>
        <w:pStyle w:val="4"/>
        <w:adjustRightInd/>
        <w:spacing w:before="319" w:beforeLines="100" w:after="319" w:afterLines="100" w:line="24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1.6资金支付</w:t>
      </w:r>
    </w:p>
    <w:p w14:paraId="5360BE34">
      <w:pPr>
        <w:pStyle w:val="961"/>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550A01C">
      <w:pPr>
        <w:adjustRightInd/>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1.6.2资金支付的方式、时间和条件详见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1AA4A416">
      <w:pPr>
        <w:pStyle w:val="4"/>
        <w:adjustRightInd/>
        <w:spacing w:before="319" w:beforeLines="100" w:after="319" w:afterLines="100" w:line="24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1.7 履行期限、地点和方式</w:t>
      </w:r>
      <w:bookmarkEnd w:id="420"/>
      <w:bookmarkEnd w:id="421"/>
      <w:bookmarkEnd w:id="422"/>
      <w:bookmarkEnd w:id="423"/>
      <w:bookmarkEnd w:id="424"/>
    </w:p>
    <w:p w14:paraId="6D245E0D">
      <w:pPr>
        <w:adjustRightInd/>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1.7.1服务交付（实施）的时间（期限）：</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34BB5808">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1.7.2服务交付（实施）的地点（地域范围）：</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65C9C629">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1.7.3服务交付（实施）的方式：</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2F6995BF">
      <w:pPr>
        <w:adjustRightInd/>
        <w:spacing w:line="360" w:lineRule="auto"/>
        <w:ind w:firstLine="420" w:firstLineChars="200"/>
        <w:outlineLvl w:val="0"/>
        <w:rPr>
          <w:rFonts w:ascii="宋体" w:hAnsi="宋体" w:cs="宋体"/>
          <w:bCs/>
          <w:color w:val="auto"/>
          <w:szCs w:val="21"/>
          <w:highlight w:val="none"/>
        </w:rPr>
      </w:pPr>
      <w:bookmarkStart w:id="425" w:name="_Toc3079"/>
      <w:bookmarkStart w:id="426" w:name="_Toc24662"/>
      <w:bookmarkStart w:id="427" w:name="_Toc2375"/>
      <w:bookmarkStart w:id="428" w:name="_Toc8586"/>
      <w:bookmarkStart w:id="429" w:name="_Toc5698"/>
      <w:r>
        <w:rPr>
          <w:rFonts w:hint="eastAsia" w:ascii="宋体" w:hAnsi="宋体" w:cs="宋体"/>
          <w:bCs/>
          <w:color w:val="auto"/>
          <w:szCs w:val="21"/>
          <w:highlight w:val="none"/>
        </w:rPr>
        <w:t>1.7.4若服务涉及货物的，则货物的：</w:t>
      </w:r>
    </w:p>
    <w:p w14:paraId="6F35B784">
      <w:pPr>
        <w:adjustRightInd/>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1.7.4.1交付期限：详见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30D4D404">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1.7.4.2交付地点：</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3F0786E5">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1.7.4.3交付方式：</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7831D4E1">
      <w:pPr>
        <w:pStyle w:val="4"/>
        <w:adjustRightInd/>
        <w:spacing w:before="319" w:beforeLines="100" w:after="319" w:afterLines="100" w:line="24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1.8违约责任</w:t>
      </w:r>
      <w:bookmarkEnd w:id="425"/>
      <w:bookmarkEnd w:id="426"/>
      <w:bookmarkEnd w:id="427"/>
      <w:bookmarkEnd w:id="428"/>
      <w:bookmarkEnd w:id="429"/>
    </w:p>
    <w:p w14:paraId="30AF7563">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Cs w:val="21"/>
          <w:highlight w:val="none"/>
          <w:u w:val="single"/>
        </w:rPr>
        <w:t xml:space="preserve">0.05 </w:t>
      </w:r>
      <w:r>
        <w:rPr>
          <w:rFonts w:hint="eastAsia" w:ascii="宋体" w:hAnsi="宋体" w:cs="宋体"/>
          <w:color w:val="auto"/>
          <w:szCs w:val="21"/>
          <w:highlight w:val="none"/>
        </w:rPr>
        <w:t>%计算，最高限额为本合同总价的</w:t>
      </w:r>
      <w:r>
        <w:rPr>
          <w:rFonts w:hint="eastAsia" w:ascii="宋体" w:hAnsi="宋体" w:cs="宋体"/>
          <w:color w:val="auto"/>
          <w:szCs w:val="21"/>
          <w:highlight w:val="none"/>
          <w:u w:val="single"/>
        </w:rPr>
        <w:t xml:space="preserve">  20  </w:t>
      </w:r>
      <w:r>
        <w:rPr>
          <w:rFonts w:hint="eastAsia" w:ascii="宋体" w:hAnsi="宋体" w:cs="宋体"/>
          <w:color w:val="auto"/>
          <w:szCs w:val="21"/>
          <w:highlight w:val="none"/>
        </w:rPr>
        <w:t>%；迟延履行的违约金计算数额达到前述最高限额之日起，甲方有权在要求乙方支付违约金的同时，书面通知乙方解除本合同；</w:t>
      </w:r>
    </w:p>
    <w:p w14:paraId="779933C0">
      <w:pPr>
        <w:pStyle w:val="3"/>
        <w:ind w:left="0" w:firstLine="420" w:firstLineChars="20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1"/>
          <w:szCs w:val="21"/>
          <w:highlight w:val="none"/>
          <w:u w:val="single"/>
          <w:lang w:val="en-US"/>
        </w:rPr>
        <w:t xml:space="preserve">  0.05   </w:t>
      </w:r>
      <w:r>
        <w:rPr>
          <w:rFonts w:hint="eastAsia" w:ascii="宋体" w:hAnsi="宋体" w:eastAsia="宋体" w:cs="宋体"/>
          <w:b w:val="0"/>
          <w:bCs w:val="0"/>
          <w:color w:val="auto"/>
          <w:sz w:val="21"/>
          <w:szCs w:val="21"/>
          <w:highlight w:val="none"/>
          <w:lang w:val="en-US"/>
        </w:rPr>
        <w:t>%计算，最高限额为本合同总价的</w:t>
      </w:r>
      <w:r>
        <w:rPr>
          <w:rFonts w:hint="eastAsia" w:ascii="宋体" w:hAnsi="宋体" w:eastAsia="宋体" w:cs="宋体"/>
          <w:b w:val="0"/>
          <w:bCs w:val="0"/>
          <w:color w:val="auto"/>
          <w:sz w:val="21"/>
          <w:szCs w:val="21"/>
          <w:highlight w:val="none"/>
          <w:u w:val="single"/>
          <w:lang w:val="en-US"/>
        </w:rPr>
        <w:t xml:space="preserve">  20  </w:t>
      </w:r>
      <w:r>
        <w:rPr>
          <w:rFonts w:hint="eastAsia" w:ascii="宋体" w:hAnsi="宋体" w:eastAsia="宋体" w:cs="宋体"/>
          <w:b w:val="0"/>
          <w:bCs w:val="0"/>
          <w:color w:val="auto"/>
          <w:sz w:val="21"/>
          <w:szCs w:val="21"/>
          <w:highlight w:val="none"/>
          <w:lang w:val="en-US"/>
        </w:rPr>
        <w:t>%；迟延交付货物的违约金计算数额达到前述最高限额之日起，甲方有权在要求乙方支付违约金的同时，书面通知乙方解除本合同；</w:t>
      </w:r>
    </w:p>
    <w:p w14:paraId="3FD951E3">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color w:val="auto"/>
          <w:szCs w:val="21"/>
          <w:highlight w:val="none"/>
          <w:u w:val="single"/>
        </w:rPr>
        <w:t xml:space="preserve">   0.05   </w:t>
      </w:r>
      <w:r>
        <w:rPr>
          <w:rFonts w:hint="eastAsia" w:ascii="宋体" w:hAnsi="宋体" w:cs="宋体"/>
          <w:color w:val="auto"/>
          <w:szCs w:val="21"/>
          <w:highlight w:val="none"/>
        </w:rPr>
        <w:t>%计算，最高限额为本合同总价的</w:t>
      </w:r>
      <w:r>
        <w:rPr>
          <w:rFonts w:hint="eastAsia" w:ascii="宋体" w:hAnsi="宋体" w:cs="宋体"/>
          <w:color w:val="auto"/>
          <w:szCs w:val="21"/>
          <w:highlight w:val="none"/>
          <w:u w:val="single"/>
        </w:rPr>
        <w:t xml:space="preserve">   20   </w:t>
      </w:r>
      <w:r>
        <w:rPr>
          <w:rFonts w:hint="eastAsia" w:ascii="宋体" w:hAnsi="宋体" w:cs="宋体"/>
          <w:color w:val="auto"/>
          <w:szCs w:val="21"/>
          <w:highlight w:val="none"/>
        </w:rPr>
        <w:t>%；迟延付款的违约金计算数额达到前述最高限额之日起，乙方有权在要求甲方支付违约金的同时，书面通知甲方解除本合同；</w:t>
      </w:r>
    </w:p>
    <w:p w14:paraId="033C1E24">
      <w:pPr>
        <w:adjustRightInd/>
        <w:spacing w:line="360" w:lineRule="auto"/>
        <w:ind w:firstLine="420" w:firstLineChars="200"/>
        <w:rPr>
          <w:rFonts w:ascii="宋体" w:hAnsi="宋体" w:cs="宋体"/>
          <w:color w:val="auto"/>
          <w:szCs w:val="21"/>
          <w:highlight w:val="none"/>
        </w:rPr>
      </w:pPr>
      <w:bookmarkStart w:id="430" w:name="_Toc26807"/>
      <w:bookmarkStart w:id="431" w:name="_Toc32454"/>
      <w:bookmarkStart w:id="432" w:name="_Toc18683"/>
      <w:bookmarkStart w:id="433" w:name="_Toc30329"/>
      <w:bookmarkStart w:id="434" w:name="_Toc9497"/>
      <w:r>
        <w:rPr>
          <w:rFonts w:hint="eastAsia" w:ascii="宋体" w:hAnsi="宋体" w:cs="宋体"/>
          <w:color w:val="auto"/>
          <w:szCs w:val="21"/>
          <w:highlight w:val="none"/>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0A66448">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029CCC9">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FF932B7">
      <w:pPr>
        <w:adjustRightInd/>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1.8.7违约责任</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另有约定的，从其约定。</w:t>
      </w:r>
    </w:p>
    <w:bookmarkEnd w:id="430"/>
    <w:bookmarkEnd w:id="431"/>
    <w:bookmarkEnd w:id="432"/>
    <w:bookmarkEnd w:id="433"/>
    <w:bookmarkEnd w:id="434"/>
    <w:p w14:paraId="4813A43D">
      <w:pPr>
        <w:pStyle w:val="4"/>
        <w:adjustRightInd/>
        <w:spacing w:before="319" w:beforeLines="100" w:after="319" w:afterLines="100" w:line="240" w:lineRule="auto"/>
        <w:ind w:left="0" w:firstLine="422" w:firstLineChars="200"/>
        <w:rPr>
          <w:rFonts w:hint="eastAsia" w:ascii="宋体" w:hAnsi="宋体" w:cs="宋体"/>
          <w:color w:val="auto"/>
          <w:sz w:val="21"/>
          <w:szCs w:val="21"/>
          <w:highlight w:val="none"/>
          <w:lang w:eastAsia="zh-CN"/>
        </w:rPr>
      </w:pPr>
      <w:bookmarkStart w:id="435" w:name="_Toc28375"/>
      <w:bookmarkStart w:id="436" w:name="_Toc16021"/>
      <w:bookmarkStart w:id="437" w:name="_Toc15583"/>
      <w:r>
        <w:rPr>
          <w:rFonts w:hint="eastAsia" w:ascii="宋体" w:hAnsi="宋体" w:cs="宋体"/>
          <w:color w:val="auto"/>
          <w:sz w:val="21"/>
          <w:szCs w:val="21"/>
          <w:highlight w:val="none"/>
        </w:rPr>
        <w:t>1.9</w:t>
      </w:r>
      <w:r>
        <w:rPr>
          <w:rFonts w:hint="eastAsia" w:ascii="宋体" w:hAnsi="宋体" w:cs="宋体"/>
          <w:color w:val="auto"/>
          <w:sz w:val="21"/>
          <w:szCs w:val="21"/>
          <w:highlight w:val="none"/>
          <w:lang w:eastAsia="zh-CN"/>
        </w:rPr>
        <w:t>附加条款</w:t>
      </w:r>
    </w:p>
    <w:p w14:paraId="7A80927B">
      <w:pPr>
        <w:pStyle w:val="5"/>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cs="Arial"/>
          <w:color w:val="auto"/>
          <w:kern w:val="0"/>
          <w:szCs w:val="21"/>
          <w:highlight w:val="none"/>
        </w:rPr>
      </w:pPr>
      <w:r>
        <w:rPr>
          <w:rFonts w:hint="eastAsia" w:ascii="宋体" w:hAnsi="宋体" w:cs="宋体"/>
          <w:color w:val="auto"/>
          <w:szCs w:val="21"/>
          <w:highlight w:val="none"/>
        </w:rPr>
        <w:t>1.9.1</w:t>
      </w:r>
      <w:r>
        <w:rPr>
          <w:rFonts w:hint="eastAsia" w:ascii="宋体" w:hAnsi="宋体" w:cs="Arial"/>
          <w:color w:val="auto"/>
          <w:kern w:val="0"/>
          <w:szCs w:val="21"/>
          <w:highlight w:val="none"/>
        </w:rPr>
        <w:t>乙方在履行服务期间，如被上级检查发现重大隐患，而乙方检查</w:t>
      </w:r>
      <w:r>
        <w:rPr>
          <w:rFonts w:hint="eastAsia" w:hAnsi="宋体" w:cs="Arial"/>
          <w:color w:val="auto"/>
          <w:kern w:val="0"/>
          <w:szCs w:val="21"/>
          <w:highlight w:val="none"/>
          <w:lang w:eastAsia="zh-CN"/>
        </w:rPr>
        <w:t>中</w:t>
      </w:r>
      <w:r>
        <w:rPr>
          <w:rFonts w:hint="eastAsia" w:ascii="宋体" w:hAnsi="宋体" w:cs="Arial"/>
          <w:color w:val="auto"/>
          <w:kern w:val="0"/>
          <w:szCs w:val="21"/>
          <w:highlight w:val="none"/>
        </w:rPr>
        <w:t>未发现，</w:t>
      </w:r>
      <w:r>
        <w:rPr>
          <w:rFonts w:hint="eastAsia" w:hAnsi="宋体" w:cs="Arial"/>
          <w:color w:val="auto"/>
          <w:kern w:val="0"/>
          <w:szCs w:val="21"/>
          <w:highlight w:val="none"/>
          <w:lang w:eastAsia="zh-CN"/>
        </w:rPr>
        <w:t>视情</w:t>
      </w:r>
      <w:r>
        <w:rPr>
          <w:rFonts w:hint="eastAsia" w:ascii="宋体" w:hAnsi="宋体" w:cs="Arial"/>
          <w:color w:val="auto"/>
          <w:kern w:val="0"/>
          <w:szCs w:val="21"/>
          <w:highlight w:val="none"/>
        </w:rPr>
        <w:t>按照合同款项的</w:t>
      </w:r>
      <w:r>
        <w:rPr>
          <w:rFonts w:hint="eastAsia" w:hAnsi="宋体" w:cs="Arial"/>
          <w:color w:val="auto"/>
          <w:kern w:val="0"/>
          <w:szCs w:val="21"/>
          <w:highlight w:val="none"/>
          <w:lang w:val="en-US" w:eastAsia="zh-CN"/>
        </w:rPr>
        <w:t>1%</w:t>
      </w:r>
      <w:r>
        <w:rPr>
          <w:rFonts w:hint="eastAsia" w:ascii="宋体" w:hAnsi="宋体" w:cs="Arial"/>
          <w:color w:val="auto"/>
          <w:kern w:val="0"/>
          <w:szCs w:val="21"/>
          <w:highlight w:val="none"/>
        </w:rPr>
        <w:t>比例扣除。</w:t>
      </w:r>
    </w:p>
    <w:p w14:paraId="70281990">
      <w:pPr>
        <w:pStyle w:val="5"/>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cs="Arial"/>
          <w:color w:val="auto"/>
          <w:kern w:val="0"/>
          <w:szCs w:val="21"/>
          <w:highlight w:val="none"/>
        </w:rPr>
      </w:pPr>
      <w:r>
        <w:rPr>
          <w:rFonts w:hint="eastAsia" w:ascii="宋体" w:hAnsi="宋体" w:cs="宋体"/>
          <w:color w:val="auto"/>
          <w:szCs w:val="21"/>
          <w:highlight w:val="none"/>
        </w:rPr>
        <w:t>1.9.2</w:t>
      </w:r>
      <w:r>
        <w:rPr>
          <w:rFonts w:hint="eastAsia" w:ascii="宋体" w:hAnsi="宋体" w:cs="Arial"/>
          <w:color w:val="auto"/>
          <w:kern w:val="0"/>
          <w:szCs w:val="21"/>
          <w:highlight w:val="none"/>
        </w:rPr>
        <w:t>乙方服务期间，如发生</w:t>
      </w:r>
      <w:r>
        <w:rPr>
          <w:rFonts w:hint="eastAsia" w:hAnsi="宋体" w:cs="Arial"/>
          <w:color w:val="auto"/>
          <w:kern w:val="0"/>
          <w:szCs w:val="21"/>
          <w:highlight w:val="none"/>
          <w:lang w:eastAsia="zh-CN"/>
        </w:rPr>
        <w:t>一般等级以上事故的，</w:t>
      </w:r>
      <w:r>
        <w:rPr>
          <w:rFonts w:hint="eastAsia" w:ascii="宋体" w:hAnsi="宋体" w:cs="Arial"/>
          <w:color w:val="auto"/>
          <w:kern w:val="0"/>
          <w:szCs w:val="21"/>
          <w:highlight w:val="none"/>
          <w:lang w:eastAsia="zh-CN"/>
        </w:rPr>
        <w:t>且</w:t>
      </w:r>
      <w:r>
        <w:rPr>
          <w:rFonts w:hint="eastAsia" w:hAnsi="宋体" w:cs="Arial"/>
          <w:color w:val="auto"/>
          <w:kern w:val="0"/>
          <w:szCs w:val="21"/>
          <w:highlight w:val="none"/>
          <w:lang w:eastAsia="zh-CN"/>
        </w:rPr>
        <w:t>在乙方服务范畴以内</w:t>
      </w:r>
      <w:r>
        <w:rPr>
          <w:rFonts w:hint="eastAsia" w:ascii="宋体" w:hAnsi="宋体" w:cs="Arial"/>
          <w:color w:val="auto"/>
          <w:kern w:val="0"/>
          <w:szCs w:val="21"/>
          <w:highlight w:val="none"/>
          <w:lang w:eastAsia="zh-CN"/>
        </w:rPr>
        <w:t>，</w:t>
      </w:r>
      <w:r>
        <w:rPr>
          <w:rFonts w:hint="eastAsia" w:hAnsi="宋体" w:cs="Arial"/>
          <w:color w:val="auto"/>
          <w:kern w:val="0"/>
          <w:szCs w:val="21"/>
          <w:highlight w:val="none"/>
          <w:lang w:eastAsia="zh-CN"/>
        </w:rPr>
        <w:t>视情</w:t>
      </w:r>
      <w:r>
        <w:rPr>
          <w:rFonts w:hint="eastAsia" w:ascii="宋体" w:hAnsi="宋体" w:cs="Arial"/>
          <w:color w:val="auto"/>
          <w:kern w:val="0"/>
          <w:szCs w:val="21"/>
          <w:highlight w:val="none"/>
        </w:rPr>
        <w:t>按照一定比例扣除合同款项，</w:t>
      </w:r>
      <w:r>
        <w:rPr>
          <w:rFonts w:hint="eastAsia" w:hAnsi="宋体" w:cs="Arial"/>
          <w:color w:val="auto"/>
          <w:kern w:val="0"/>
          <w:szCs w:val="21"/>
          <w:highlight w:val="none"/>
          <w:lang w:eastAsia="zh-CN"/>
        </w:rPr>
        <w:t>不低于合同款项的</w:t>
      </w:r>
      <w:r>
        <w:rPr>
          <w:rFonts w:hint="eastAsia" w:hAnsi="宋体" w:cs="Arial"/>
          <w:color w:val="auto"/>
          <w:kern w:val="0"/>
          <w:szCs w:val="21"/>
          <w:highlight w:val="none"/>
          <w:lang w:val="en-US" w:eastAsia="zh-CN"/>
        </w:rPr>
        <w:t>2%</w:t>
      </w:r>
      <w:r>
        <w:rPr>
          <w:rFonts w:hint="eastAsia" w:hAnsi="宋体" w:cs="Arial"/>
          <w:color w:val="auto"/>
          <w:kern w:val="0"/>
          <w:szCs w:val="21"/>
          <w:highlight w:val="none"/>
          <w:lang w:eastAsia="zh-CN"/>
        </w:rPr>
        <w:t>且不高过合同款项的</w:t>
      </w:r>
      <w:r>
        <w:rPr>
          <w:rFonts w:hint="eastAsia" w:hAnsi="宋体" w:cs="Arial"/>
          <w:color w:val="auto"/>
          <w:kern w:val="0"/>
          <w:szCs w:val="21"/>
          <w:highlight w:val="none"/>
          <w:lang w:val="en-US" w:eastAsia="zh-CN"/>
        </w:rPr>
        <w:t>10%</w:t>
      </w:r>
      <w:r>
        <w:rPr>
          <w:rFonts w:hint="eastAsia" w:ascii="宋体" w:hAnsi="宋体" w:cs="Arial"/>
          <w:color w:val="auto"/>
          <w:kern w:val="0"/>
          <w:szCs w:val="21"/>
          <w:highlight w:val="none"/>
        </w:rPr>
        <w:t>。</w:t>
      </w:r>
    </w:p>
    <w:p w14:paraId="1A6BB233">
      <w:pPr>
        <w:pStyle w:val="4"/>
        <w:adjustRightInd/>
        <w:spacing w:before="319" w:beforeLines="100" w:after="319" w:afterLines="100" w:line="24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合同争议的解决</w:t>
      </w:r>
      <w:bookmarkEnd w:id="435"/>
      <w:bookmarkEnd w:id="436"/>
      <w:bookmarkEnd w:id="437"/>
    </w:p>
    <w:p w14:paraId="3CDAD9A6">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本合同履行过程中发生的任何争议，双方当事人均可通过和解或者调解解决；不愿和解、调解或者和解、调解不成的，可以选择以下第</w:t>
      </w:r>
      <w:r>
        <w:rPr>
          <w:rFonts w:hint="eastAsia" w:ascii="宋体" w:hAnsi="宋体" w:cs="宋体"/>
          <w:color w:val="auto"/>
          <w:szCs w:val="21"/>
          <w:highlight w:val="none"/>
          <w:u w:val="single"/>
          <w:lang w:val="en-US" w:eastAsia="zh-CN"/>
        </w:rPr>
        <w:t xml:space="preserve"> 2</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.2</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条款规定的方式解决：</w:t>
      </w:r>
    </w:p>
    <w:p w14:paraId="24D1C70A">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.1将争议提交</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仲裁委员会依申请仲裁时其现行有效的仲裁规则裁决；</w:t>
      </w:r>
    </w:p>
    <w:p w14:paraId="0C55C4F1">
      <w:pPr>
        <w:adjustRightInd/>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.2向</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人民法院起诉。</w:t>
      </w:r>
    </w:p>
    <w:p w14:paraId="703D395E">
      <w:pPr>
        <w:pStyle w:val="4"/>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38" w:name="_Toc11173"/>
      <w:bookmarkStart w:id="439" w:name="_Toc15322"/>
      <w:bookmarkStart w:id="440" w:name="_Toc7245"/>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 xml:space="preserve"> 合同生效</w:t>
      </w:r>
      <w:bookmarkEnd w:id="438"/>
      <w:bookmarkEnd w:id="439"/>
      <w:bookmarkEnd w:id="440"/>
    </w:p>
    <w:p w14:paraId="519CC46B">
      <w:pPr>
        <w:adjustRightInd/>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本合同自双方当事人盖章签字时生效。</w:t>
      </w:r>
    </w:p>
    <w:p w14:paraId="7A702FCF">
      <w:pPr>
        <w:autoSpaceDE w:val="0"/>
        <w:autoSpaceDN w:val="0"/>
        <w:spacing w:line="360" w:lineRule="auto"/>
        <w:ind w:firstLine="422" w:firstLineChars="200"/>
        <w:rPr>
          <w:rFonts w:ascii="宋体" w:hAnsi="宋体" w:cs="宋体"/>
          <w:color w:val="auto"/>
          <w:szCs w:val="21"/>
          <w:highlight w:val="none"/>
          <w:lang w:val="zh-CN"/>
        </w:rPr>
      </w:pPr>
      <w:r>
        <w:rPr>
          <w:rFonts w:hint="eastAsia" w:ascii="宋体" w:hAnsi="宋体" w:cs="宋体"/>
          <w:b/>
          <w:color w:val="auto"/>
          <w:szCs w:val="21"/>
          <w:highlight w:val="none"/>
          <w:lang w:val="zh-CN"/>
        </w:rPr>
        <w:t>甲方</w:t>
      </w:r>
      <w:r>
        <w:rPr>
          <w:rFonts w:hint="eastAsia" w:ascii="宋体" w:hAnsi="宋体" w:cs="宋体"/>
          <w:color w:val="auto"/>
          <w:szCs w:val="21"/>
          <w:highlight w:val="none"/>
          <w:lang w:val="zh-CN"/>
        </w:rPr>
        <w:t xml:space="preserve">：                             </w:t>
      </w:r>
      <w:r>
        <w:rPr>
          <w:rFonts w:hint="eastAsia" w:ascii="宋体" w:hAnsi="宋体" w:cs="宋体"/>
          <w:b/>
          <w:color w:val="auto"/>
          <w:szCs w:val="21"/>
          <w:highlight w:val="none"/>
          <w:lang w:val="zh-CN"/>
        </w:rPr>
        <w:t xml:space="preserve">      乙方</w:t>
      </w:r>
      <w:r>
        <w:rPr>
          <w:rFonts w:hint="eastAsia" w:ascii="宋体" w:hAnsi="宋体" w:cs="宋体"/>
          <w:color w:val="auto"/>
          <w:szCs w:val="21"/>
          <w:highlight w:val="none"/>
          <w:lang w:val="zh-CN"/>
        </w:rPr>
        <w:t>：</w:t>
      </w:r>
    </w:p>
    <w:p w14:paraId="23A9562D">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统一社会信用代码：                        统一社会信用代码或身份证号码：</w:t>
      </w:r>
    </w:p>
    <w:p w14:paraId="5F37B319">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住所：                                   住所：</w:t>
      </w:r>
    </w:p>
    <w:p w14:paraId="65272539">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法定代表人或                             法定代表人或</w:t>
      </w:r>
    </w:p>
    <w:p w14:paraId="7CF6A7C6">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 xml:space="preserve">授权代表（签字）：                       授权代表（签字）： </w:t>
      </w:r>
    </w:p>
    <w:p w14:paraId="2AA0A394">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联系人：                                 联系人：</w:t>
      </w:r>
    </w:p>
    <w:p w14:paraId="6EFA1D43">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约定送达地址：                           约定送达地址：</w:t>
      </w:r>
    </w:p>
    <w:p w14:paraId="437A1B3A">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邮政编码：                               邮政编码：</w:t>
      </w:r>
    </w:p>
    <w:p w14:paraId="25F61C3C">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 xml:space="preserve">电话：                                    电话： </w:t>
      </w:r>
    </w:p>
    <w:p w14:paraId="55AE0433">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传真：                                    传真：</w:t>
      </w:r>
    </w:p>
    <w:p w14:paraId="49208D09">
      <w:pPr>
        <w:autoSpaceDE w:val="0"/>
        <w:autoSpaceDN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电子邮箱：                               电子邮箱：</w:t>
      </w:r>
    </w:p>
    <w:p w14:paraId="68B9885D">
      <w:pPr>
        <w:autoSpaceDE w:val="0"/>
        <w:autoSpaceDN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开户银行：                               开户银行： </w:t>
      </w:r>
    </w:p>
    <w:p w14:paraId="06C29D21">
      <w:pPr>
        <w:autoSpaceDE w:val="0"/>
        <w:autoSpaceDN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开户名称：                               开户名称： </w:t>
      </w:r>
    </w:p>
    <w:p w14:paraId="7CE53303">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开户账号：                               开户账号：</w:t>
      </w:r>
    </w:p>
    <w:bookmarkEnd w:id="402"/>
    <w:bookmarkEnd w:id="403"/>
    <w:bookmarkEnd w:id="404"/>
    <w:p w14:paraId="582D58FF">
      <w:pPr>
        <w:pStyle w:val="48"/>
        <w:rPr>
          <w:rFonts w:ascii="宋体" w:hAnsi="宋体" w:eastAsia="宋体" w:cs="宋体"/>
          <w:color w:val="auto"/>
          <w:highlight w:val="none"/>
        </w:rPr>
      </w:pPr>
      <w:bookmarkStart w:id="441" w:name="_Toc331685783"/>
      <w:r>
        <w:rPr>
          <w:rFonts w:hint="eastAsia" w:ascii="宋体" w:hAnsi="宋体" w:eastAsia="宋体" w:cs="宋体"/>
          <w:color w:val="auto"/>
          <w:highlight w:val="none"/>
        </w:rPr>
        <w:br w:type="page"/>
      </w:r>
      <w:bookmarkStart w:id="442" w:name="_Toc126654845"/>
      <w:bookmarkStart w:id="443" w:name="_Toc97118736"/>
      <w:bookmarkStart w:id="444" w:name="_Toc97118342"/>
      <w:bookmarkStart w:id="445" w:name="_Toc132308034"/>
      <w:r>
        <w:rPr>
          <w:rFonts w:hint="eastAsia" w:ascii="宋体" w:hAnsi="宋体" w:eastAsia="宋体" w:cs="宋体"/>
          <w:color w:val="auto"/>
          <w:sz w:val="32"/>
          <w:highlight w:val="none"/>
        </w:rPr>
        <w:t>第二部分 合同一般条款</w:t>
      </w:r>
      <w:bookmarkEnd w:id="441"/>
      <w:bookmarkEnd w:id="442"/>
      <w:bookmarkEnd w:id="443"/>
      <w:bookmarkEnd w:id="444"/>
      <w:bookmarkEnd w:id="445"/>
    </w:p>
    <w:p w14:paraId="4BFC2D69">
      <w:pPr>
        <w:pStyle w:val="4"/>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46" w:name="_Toc19680"/>
      <w:bookmarkStart w:id="447" w:name="_Toc25079"/>
      <w:bookmarkStart w:id="448" w:name="_Toc5228"/>
      <w:bookmarkStart w:id="449" w:name="_Toc31297"/>
      <w:bookmarkStart w:id="450" w:name="_Toc14021"/>
      <w:r>
        <w:rPr>
          <w:rFonts w:hint="eastAsia" w:ascii="宋体" w:hAnsi="宋体" w:cs="宋体"/>
          <w:color w:val="auto"/>
          <w:sz w:val="21"/>
          <w:szCs w:val="21"/>
          <w:highlight w:val="none"/>
        </w:rPr>
        <w:t>2.1 定义</w:t>
      </w:r>
      <w:bookmarkEnd w:id="446"/>
      <w:bookmarkEnd w:id="447"/>
      <w:bookmarkEnd w:id="448"/>
      <w:bookmarkEnd w:id="449"/>
      <w:bookmarkEnd w:id="450"/>
    </w:p>
    <w:p w14:paraId="68EA7233">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本合同中的下列词语应按以下内容进行解释：</w:t>
      </w:r>
    </w:p>
    <w:p w14:paraId="4CDD6E97">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2.1.1“合同”系指采购人和中标或成交供应商签订的载明双方当事人所达成的协议，并包括所有的附件、附录和构成合同的其他文件。</w:t>
      </w:r>
    </w:p>
    <w:p w14:paraId="26250327">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2.1.2“合同价”系指根据合同约定，中标或成交供应商在完全履行合同义务后，采购人应支付给中标或成交供应商的价格。</w:t>
      </w:r>
    </w:p>
    <w:p w14:paraId="13B71E20">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2.1.3“服务”系指中标或成交供应商根据合同约定应向采购人履行的除货物和工程以外的其他政府采购对象，包括采购人自身需要的服务和向社会公众提供的公共服务。</w:t>
      </w:r>
    </w:p>
    <w:p w14:paraId="3A503290">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2.1.4“甲方”系指与中标或成交供应商签署合同的采购人；采购人委托采购代理机构代表其与乙方签订合同的，采购人的授权委托书作为合同附件。</w:t>
      </w:r>
    </w:p>
    <w:p w14:paraId="401533A4">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2.1.5“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BC5031C">
      <w:pPr>
        <w:adjustRightInd/>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2.1.6“现场”系指合同约定提供服务的地点。</w:t>
      </w:r>
    </w:p>
    <w:p w14:paraId="6D9291B5">
      <w:pPr>
        <w:pStyle w:val="4"/>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51" w:name="_Toc31402"/>
      <w:bookmarkStart w:id="452" w:name="_Toc23289"/>
      <w:bookmarkStart w:id="453" w:name="_Toc16752"/>
      <w:bookmarkStart w:id="454" w:name="_Toc19539"/>
      <w:bookmarkStart w:id="455" w:name="_Toc3769"/>
      <w:r>
        <w:rPr>
          <w:rFonts w:hint="eastAsia" w:ascii="宋体" w:hAnsi="宋体" w:cs="宋体"/>
          <w:color w:val="auto"/>
          <w:sz w:val="21"/>
          <w:szCs w:val="21"/>
          <w:highlight w:val="none"/>
        </w:rPr>
        <w:t>2.2 技术规范</w:t>
      </w:r>
      <w:bookmarkEnd w:id="451"/>
      <w:bookmarkEnd w:id="452"/>
      <w:bookmarkEnd w:id="453"/>
      <w:bookmarkEnd w:id="454"/>
      <w:bookmarkEnd w:id="455"/>
    </w:p>
    <w:p w14:paraId="4C73A6FF">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783FCFA">
      <w:pPr>
        <w:pStyle w:val="4"/>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56" w:name="_Toc12412"/>
      <w:bookmarkStart w:id="457" w:name="_Toc13673"/>
      <w:bookmarkStart w:id="458" w:name="_Toc4133"/>
      <w:bookmarkStart w:id="459" w:name="_Toc27945"/>
      <w:bookmarkStart w:id="460" w:name="_Toc9161"/>
      <w:r>
        <w:rPr>
          <w:rFonts w:hint="eastAsia" w:ascii="宋体" w:hAnsi="宋体" w:cs="宋体"/>
          <w:color w:val="auto"/>
          <w:sz w:val="21"/>
          <w:szCs w:val="21"/>
          <w:highlight w:val="none"/>
        </w:rPr>
        <w:t>2.3 知识产权</w:t>
      </w:r>
      <w:bookmarkEnd w:id="456"/>
      <w:bookmarkEnd w:id="457"/>
      <w:bookmarkEnd w:id="458"/>
      <w:bookmarkEnd w:id="459"/>
      <w:bookmarkEnd w:id="460"/>
    </w:p>
    <w:p w14:paraId="40F37DCC">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6E32EFA">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2.3.2合同涉及技术成果的归属和收益的分成办法的，详见合同专用条款。</w:t>
      </w:r>
    </w:p>
    <w:p w14:paraId="32E0CBDB">
      <w:pPr>
        <w:pStyle w:val="4"/>
        <w:adjustRightInd/>
        <w:spacing w:before="319" w:beforeLines="100" w:after="319" w:afterLines="100" w:line="24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2.4 履约检查和问题反馈</w:t>
      </w:r>
    </w:p>
    <w:p w14:paraId="36B45883">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4A02448">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2.4.2合同履行期间，甲方有权将履行过程中出现的问题反馈给乙方，双方当事人应以书面形式约定需要完善和改进的内容。</w:t>
      </w:r>
    </w:p>
    <w:p w14:paraId="0DADA774">
      <w:pPr>
        <w:pStyle w:val="4"/>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61" w:name="_Toc32670"/>
      <w:bookmarkStart w:id="462" w:name="_Toc26555"/>
      <w:bookmarkStart w:id="463" w:name="_Toc22011"/>
      <w:bookmarkStart w:id="464" w:name="_Toc31233"/>
      <w:bookmarkStart w:id="465" w:name="_Toc15447"/>
      <w:r>
        <w:rPr>
          <w:rFonts w:hint="eastAsia" w:ascii="宋体" w:hAnsi="宋体" w:cs="宋体"/>
          <w:color w:val="auto"/>
          <w:sz w:val="21"/>
          <w:szCs w:val="21"/>
          <w:highlight w:val="none"/>
        </w:rPr>
        <w:t>2.5 结算方式和付款条件</w:t>
      </w:r>
      <w:bookmarkEnd w:id="461"/>
      <w:bookmarkEnd w:id="462"/>
      <w:bookmarkEnd w:id="463"/>
      <w:bookmarkEnd w:id="464"/>
      <w:bookmarkEnd w:id="465"/>
    </w:p>
    <w:p w14:paraId="2D0FB708">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12C34689">
      <w:pPr>
        <w:pStyle w:val="4"/>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66" w:name="_Toc16163"/>
      <w:bookmarkStart w:id="467" w:name="_Toc13467"/>
      <w:bookmarkStart w:id="468" w:name="_Toc30507"/>
      <w:bookmarkStart w:id="469" w:name="_Toc18990"/>
      <w:bookmarkStart w:id="470" w:name="_Toc13154"/>
      <w:r>
        <w:rPr>
          <w:rFonts w:hint="eastAsia" w:ascii="宋体" w:hAnsi="宋体" w:cs="宋体"/>
          <w:color w:val="auto"/>
          <w:sz w:val="21"/>
          <w:szCs w:val="21"/>
          <w:highlight w:val="none"/>
        </w:rPr>
        <w:t>2.6 技术资料和保密义务</w:t>
      </w:r>
      <w:bookmarkEnd w:id="466"/>
      <w:bookmarkEnd w:id="467"/>
      <w:bookmarkEnd w:id="468"/>
      <w:bookmarkEnd w:id="469"/>
      <w:bookmarkEnd w:id="470"/>
    </w:p>
    <w:p w14:paraId="1CEC6D77">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2.6.1乙方有权依据合同约定和项目需要，向甲方了解有关情况，调阅有关资料等，甲方应予积极配合；</w:t>
      </w:r>
    </w:p>
    <w:p w14:paraId="4B5BA498">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2.6.2乙方有义务妥善保管和保护由甲方提供的前款信息和资料等；</w:t>
      </w:r>
    </w:p>
    <w:p w14:paraId="0F8B9056">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B74675F">
      <w:pPr>
        <w:pStyle w:val="4"/>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71" w:name="_Toc19069"/>
      <w:r>
        <w:rPr>
          <w:rFonts w:hint="eastAsia" w:ascii="宋体" w:hAnsi="宋体" w:cs="宋体"/>
          <w:color w:val="auto"/>
          <w:sz w:val="21"/>
          <w:szCs w:val="21"/>
          <w:highlight w:val="none"/>
        </w:rPr>
        <w:t>2.7 质量保证</w:t>
      </w:r>
      <w:bookmarkEnd w:id="471"/>
    </w:p>
    <w:p w14:paraId="431F373A">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2.7.1乙方应建立和完善履行合同的内部质量保证体系，并提供相关内部规章制度给甲方，以便甲方进行监督检查；</w:t>
      </w:r>
    </w:p>
    <w:p w14:paraId="7794E150">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2.7.2乙方应保证履行合同的人员数量和素质、软件和硬件设备的配置、场地、环境和设施等满足全面履行合同的要求，并应接受甲方的监督检查。</w:t>
      </w:r>
    </w:p>
    <w:p w14:paraId="4ABED5AC">
      <w:pPr>
        <w:pStyle w:val="4"/>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72" w:name="_Toc22267"/>
      <w:r>
        <w:rPr>
          <w:rFonts w:hint="eastAsia" w:ascii="宋体" w:hAnsi="宋体" w:cs="宋体"/>
          <w:color w:val="auto"/>
          <w:sz w:val="21"/>
          <w:szCs w:val="21"/>
          <w:highlight w:val="none"/>
        </w:rPr>
        <w:t>2.8 延迟履行</w:t>
      </w:r>
      <w:bookmarkEnd w:id="472"/>
    </w:p>
    <w:p w14:paraId="0E613070">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DC66A20">
      <w:pPr>
        <w:pStyle w:val="4"/>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73" w:name="_Toc10611"/>
      <w:r>
        <w:rPr>
          <w:rFonts w:hint="eastAsia" w:ascii="宋体" w:hAnsi="宋体" w:cs="宋体"/>
          <w:color w:val="auto"/>
          <w:sz w:val="21"/>
          <w:szCs w:val="21"/>
          <w:highlight w:val="none"/>
        </w:rPr>
        <w:t>2.9 合同变更</w:t>
      </w:r>
      <w:bookmarkEnd w:id="473"/>
    </w:p>
    <w:p w14:paraId="5172AE11">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合同继续履行将损害国家利益和社会公共利益的，双方当事人应当以书面形式变更合同。有过错的一方应当承担赔偿责任，双方当事人都有过错的，各自承担相应的责任。</w:t>
      </w:r>
    </w:p>
    <w:p w14:paraId="39EEE5E7">
      <w:pPr>
        <w:pStyle w:val="4"/>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74" w:name="_Toc21830"/>
      <w:bookmarkStart w:id="475" w:name="_Toc10663"/>
      <w:bookmarkStart w:id="476" w:name="_Toc42"/>
      <w:bookmarkStart w:id="477" w:name="_Toc26689"/>
      <w:bookmarkStart w:id="478" w:name="_Toc23368"/>
      <w:r>
        <w:rPr>
          <w:rFonts w:hint="eastAsia" w:ascii="宋体" w:hAnsi="宋体" w:cs="宋体"/>
          <w:color w:val="auto"/>
          <w:sz w:val="21"/>
          <w:szCs w:val="21"/>
          <w:highlight w:val="none"/>
        </w:rPr>
        <w:t>2.10 合同转让和分包</w:t>
      </w:r>
      <w:bookmarkEnd w:id="474"/>
      <w:bookmarkEnd w:id="475"/>
      <w:bookmarkEnd w:id="476"/>
      <w:bookmarkEnd w:id="477"/>
      <w:bookmarkEnd w:id="478"/>
    </w:p>
    <w:p w14:paraId="2603AF59">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F95B0C1">
      <w:pPr>
        <w:pStyle w:val="4"/>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79" w:name="_Toc26633"/>
      <w:bookmarkStart w:id="480" w:name="_Toc32494"/>
      <w:bookmarkStart w:id="481" w:name="_Toc25571"/>
      <w:bookmarkStart w:id="482" w:name="_Toc14371"/>
      <w:bookmarkStart w:id="483" w:name="_Toc4720"/>
      <w:r>
        <w:rPr>
          <w:rFonts w:hint="eastAsia" w:ascii="宋体" w:hAnsi="宋体" w:cs="宋体"/>
          <w:color w:val="auto"/>
          <w:sz w:val="21"/>
          <w:szCs w:val="21"/>
          <w:highlight w:val="none"/>
        </w:rPr>
        <w:t>2.11 不可抗力</w:t>
      </w:r>
      <w:bookmarkEnd w:id="479"/>
      <w:bookmarkEnd w:id="480"/>
      <w:bookmarkEnd w:id="481"/>
      <w:bookmarkEnd w:id="482"/>
      <w:bookmarkEnd w:id="483"/>
    </w:p>
    <w:p w14:paraId="093ED6CF">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2.11.1如果任何一方遭遇法律规定的不可抗力，致使合同履行受阻时，履行合同的期限应予延长，延长的期限应相当于不可抗力所影响的时间；</w:t>
      </w:r>
    </w:p>
    <w:p w14:paraId="20B36462">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2.11.2因不可抗力致使不能实现合同目的的，当事人可以解除合同；</w:t>
      </w:r>
    </w:p>
    <w:p w14:paraId="3DBFA873">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2.11.3因不可抗力致使合同有变更必要的，双方当事人应在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约定时间内以书面形式变更合同；</w:t>
      </w:r>
    </w:p>
    <w:p w14:paraId="26F1DBF6">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2.11.4受不可抗力影响的一方在不可抗力发生后，应在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约定时间内以书面形式通知对方当事人，并在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约定时间内，将有关部门出具的证明文件送达对方当事人。</w:t>
      </w:r>
    </w:p>
    <w:p w14:paraId="59ABB6D0">
      <w:pPr>
        <w:pStyle w:val="4"/>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84" w:name="_Toc23854"/>
      <w:bookmarkStart w:id="485" w:name="_Toc3638"/>
      <w:bookmarkStart w:id="486" w:name="_Toc24465"/>
      <w:bookmarkStart w:id="487" w:name="_Toc25783"/>
      <w:bookmarkStart w:id="488" w:name="_Toc14115"/>
      <w:r>
        <w:rPr>
          <w:rFonts w:hint="eastAsia" w:ascii="宋体" w:hAnsi="宋体" w:cs="宋体"/>
          <w:color w:val="auto"/>
          <w:sz w:val="21"/>
          <w:szCs w:val="21"/>
          <w:highlight w:val="none"/>
        </w:rPr>
        <w:t>2.12 税费</w:t>
      </w:r>
      <w:bookmarkEnd w:id="484"/>
      <w:bookmarkEnd w:id="485"/>
      <w:bookmarkEnd w:id="486"/>
      <w:bookmarkEnd w:id="487"/>
      <w:bookmarkEnd w:id="488"/>
    </w:p>
    <w:p w14:paraId="1795839D">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与合同有关的一切税费，均按照中华人民共和国法律的相关规定缴纳。</w:t>
      </w:r>
    </w:p>
    <w:p w14:paraId="120B8FB0">
      <w:pPr>
        <w:pStyle w:val="4"/>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89" w:name="_Toc7315"/>
      <w:bookmarkStart w:id="490" w:name="_Toc14814"/>
      <w:bookmarkStart w:id="491" w:name="_Toc26883"/>
      <w:bookmarkStart w:id="492" w:name="_Toc25525"/>
      <w:bookmarkStart w:id="493" w:name="_Toc30105"/>
      <w:r>
        <w:rPr>
          <w:rFonts w:hint="eastAsia" w:ascii="宋体" w:hAnsi="宋体" w:cs="宋体"/>
          <w:color w:val="auto"/>
          <w:sz w:val="21"/>
          <w:szCs w:val="21"/>
          <w:highlight w:val="none"/>
        </w:rPr>
        <w:t>2.13 乙方破产</w:t>
      </w:r>
      <w:bookmarkEnd w:id="489"/>
      <w:bookmarkEnd w:id="490"/>
      <w:bookmarkEnd w:id="491"/>
      <w:bookmarkEnd w:id="492"/>
      <w:bookmarkEnd w:id="493"/>
    </w:p>
    <w:p w14:paraId="55A6A39F">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42CE43C">
      <w:pPr>
        <w:pStyle w:val="4"/>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94" w:name="_Toc23323"/>
      <w:bookmarkStart w:id="495" w:name="_Toc2016"/>
      <w:bookmarkStart w:id="496" w:name="_Toc1123"/>
      <w:r>
        <w:rPr>
          <w:rFonts w:hint="eastAsia" w:ascii="宋体" w:hAnsi="宋体" w:cs="宋体"/>
          <w:color w:val="auto"/>
          <w:sz w:val="21"/>
          <w:szCs w:val="21"/>
          <w:highlight w:val="none"/>
        </w:rPr>
        <w:t>2.14 合同中止、终止</w:t>
      </w:r>
      <w:bookmarkEnd w:id="494"/>
      <w:bookmarkEnd w:id="495"/>
      <w:bookmarkEnd w:id="496"/>
    </w:p>
    <w:p w14:paraId="7B96374B">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2.14.1双方当事人不得擅自中止或者终止合同；</w:t>
      </w:r>
    </w:p>
    <w:p w14:paraId="236FE70B">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2.14.2合同继续履行将损害国家利益和社会公共利益的，双方当事人应当中止或者终止合同。有过错的一方应当承担赔偿责任，双方当事人都有过错的，各自承担相应的责任。</w:t>
      </w:r>
    </w:p>
    <w:p w14:paraId="7FF9F93B">
      <w:pPr>
        <w:pStyle w:val="4"/>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97" w:name="_Toc1969"/>
      <w:bookmarkStart w:id="498" w:name="_Toc17363"/>
      <w:bookmarkStart w:id="499" w:name="_Toc14525"/>
      <w:r>
        <w:rPr>
          <w:rFonts w:hint="eastAsia" w:ascii="宋体" w:hAnsi="宋体" w:cs="宋体"/>
          <w:color w:val="auto"/>
          <w:sz w:val="21"/>
          <w:szCs w:val="21"/>
          <w:highlight w:val="none"/>
        </w:rPr>
        <w:t>2.15 检验和验收</w:t>
      </w:r>
      <w:bookmarkEnd w:id="497"/>
      <w:bookmarkEnd w:id="498"/>
      <w:bookmarkEnd w:id="499"/>
    </w:p>
    <w:p w14:paraId="07224206">
      <w:pPr>
        <w:tabs>
          <w:tab w:val="left" w:pos="360"/>
          <w:tab w:val="left" w:pos="540"/>
          <w:tab w:val="left" w:pos="1080"/>
        </w:tabs>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2.15.1乙方按照</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的约定，定期提交服务报告，甲方按照</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的约定进行定期验收；</w:t>
      </w:r>
    </w:p>
    <w:p w14:paraId="7079AAED">
      <w:pPr>
        <w:tabs>
          <w:tab w:val="left" w:pos="360"/>
          <w:tab w:val="left" w:pos="540"/>
          <w:tab w:val="left" w:pos="1080"/>
        </w:tabs>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6FA540E">
      <w:pPr>
        <w:tabs>
          <w:tab w:val="left" w:pos="360"/>
          <w:tab w:val="left" w:pos="540"/>
          <w:tab w:val="left" w:pos="1080"/>
        </w:tabs>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2.15.3检验和验收标准、程序等具体内容以及前述验收书的效力详见</w:t>
      </w:r>
      <w:r>
        <w:rPr>
          <w:rFonts w:hint="eastAsia" w:ascii="宋体" w:hAnsi="宋体" w:cs="宋体"/>
          <w:b/>
          <w:i/>
          <w:color w:val="auto"/>
          <w:szCs w:val="21"/>
          <w:highlight w:val="none"/>
          <w:u w:val="single"/>
        </w:rPr>
        <w:t>合同专用条款</w:t>
      </w:r>
      <w:r>
        <w:rPr>
          <w:rFonts w:hint="eastAsia" w:ascii="宋体" w:hAnsi="宋体" w:cs="宋体"/>
          <w:i/>
          <w:color w:val="auto"/>
          <w:szCs w:val="21"/>
          <w:highlight w:val="none"/>
        </w:rPr>
        <w:t>。</w:t>
      </w:r>
    </w:p>
    <w:p w14:paraId="74DED558">
      <w:pPr>
        <w:pStyle w:val="4"/>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500" w:name="_Toc2308"/>
      <w:bookmarkStart w:id="501" w:name="_Toc25198"/>
      <w:bookmarkStart w:id="502" w:name="_Toc9808"/>
      <w:bookmarkStart w:id="503" w:name="_Toc31892"/>
      <w:bookmarkStart w:id="504" w:name="_Toc12666"/>
      <w:r>
        <w:rPr>
          <w:rFonts w:hint="eastAsia" w:ascii="宋体" w:hAnsi="宋体" w:cs="宋体"/>
          <w:color w:val="auto"/>
          <w:sz w:val="21"/>
          <w:szCs w:val="21"/>
          <w:highlight w:val="none"/>
        </w:rPr>
        <w:t>2.16 通知和送达</w:t>
      </w:r>
      <w:bookmarkEnd w:id="500"/>
      <w:bookmarkEnd w:id="501"/>
      <w:bookmarkEnd w:id="502"/>
      <w:bookmarkEnd w:id="503"/>
      <w:bookmarkEnd w:id="504"/>
    </w:p>
    <w:p w14:paraId="736BB569">
      <w:pPr>
        <w:wordWrap w:val="0"/>
        <w:adjustRightInd/>
        <w:spacing w:line="360" w:lineRule="auto"/>
        <w:ind w:firstLine="420" w:firstLineChars="200"/>
        <w:rPr>
          <w:rFonts w:ascii="宋体" w:hAnsi="宋体" w:cs="宋体"/>
          <w:color w:val="auto"/>
          <w:szCs w:val="21"/>
          <w:highlight w:val="none"/>
        </w:rPr>
      </w:pPr>
      <w:bookmarkStart w:id="505" w:name="_Toc27674"/>
      <w:bookmarkStart w:id="506" w:name="_Toc18401"/>
      <w:r>
        <w:rPr>
          <w:rFonts w:hint="eastAsia" w:ascii="宋体" w:hAnsi="宋体" w:cs="宋体"/>
          <w:color w:val="auto"/>
          <w:szCs w:val="21"/>
          <w:highlight w:val="none"/>
        </w:rPr>
        <w:t>2.16.1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14:paraId="000D28F2">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5"/>
      <w:bookmarkEnd w:id="506"/>
    </w:p>
    <w:p w14:paraId="76AEBFDD">
      <w:pPr>
        <w:pStyle w:val="4"/>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507" w:name="_Toc12254"/>
      <w:bookmarkStart w:id="508" w:name="_Toc20808"/>
      <w:bookmarkStart w:id="509" w:name="_Toc5063"/>
      <w:bookmarkStart w:id="510" w:name="_Toc27644"/>
      <w:bookmarkStart w:id="511" w:name="_Toc28906"/>
      <w:r>
        <w:rPr>
          <w:rFonts w:hint="eastAsia" w:ascii="宋体" w:hAnsi="宋体" w:cs="宋体"/>
          <w:color w:val="auto"/>
          <w:sz w:val="21"/>
          <w:szCs w:val="21"/>
          <w:highlight w:val="none"/>
        </w:rPr>
        <w:t>2.17 合同使用的文字和适用的法律</w:t>
      </w:r>
      <w:bookmarkEnd w:id="507"/>
      <w:bookmarkEnd w:id="508"/>
      <w:bookmarkEnd w:id="509"/>
      <w:bookmarkEnd w:id="510"/>
      <w:bookmarkEnd w:id="511"/>
    </w:p>
    <w:p w14:paraId="3570827A">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2.17.1 合同使用汉语书就、变更和解释；</w:t>
      </w:r>
    </w:p>
    <w:p w14:paraId="4CA597D2">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2.17.2 合同适用中华人民共和国法律。</w:t>
      </w:r>
    </w:p>
    <w:p w14:paraId="58293C7E">
      <w:pPr>
        <w:pStyle w:val="4"/>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512" w:name="_Toc4355"/>
      <w:bookmarkStart w:id="513" w:name="_Toc18540"/>
      <w:bookmarkStart w:id="514" w:name="_Toc30599"/>
      <w:r>
        <w:rPr>
          <w:rFonts w:hint="eastAsia" w:ascii="宋体" w:hAnsi="宋体" w:cs="宋体"/>
          <w:color w:val="auto"/>
          <w:sz w:val="21"/>
          <w:szCs w:val="21"/>
          <w:highlight w:val="none"/>
        </w:rPr>
        <w:t>2.18 计量单位</w:t>
      </w:r>
      <w:bookmarkEnd w:id="512"/>
      <w:bookmarkEnd w:id="513"/>
      <w:bookmarkEnd w:id="514"/>
    </w:p>
    <w:p w14:paraId="0CA1FB5C">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除技术规范中另有规定外,合同的计量单位均使用国家法定计量单位。</w:t>
      </w:r>
    </w:p>
    <w:p w14:paraId="7C484C1F">
      <w:pPr>
        <w:pStyle w:val="4"/>
        <w:adjustRightInd/>
        <w:spacing w:before="319" w:beforeLines="100" w:after="319" w:afterLines="100" w:line="24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2.19合同份数</w:t>
      </w:r>
    </w:p>
    <w:p w14:paraId="2C8FDE62">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合同份数按</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规定，每份均具有同等法律效力。</w:t>
      </w:r>
    </w:p>
    <w:p w14:paraId="7B8CAD24">
      <w:pPr>
        <w:widowControl/>
        <w:jc w:val="left"/>
        <w:rPr>
          <w:rFonts w:ascii="宋体" w:hAnsi="宋体" w:cs="宋体"/>
          <w:color w:val="auto"/>
          <w:sz w:val="24"/>
          <w:szCs w:val="20"/>
          <w:highlight w:val="none"/>
        </w:rPr>
      </w:pPr>
      <w:r>
        <w:rPr>
          <w:rFonts w:hint="eastAsia" w:ascii="宋体" w:hAnsi="宋体" w:cs="宋体"/>
          <w:color w:val="auto"/>
          <w:highlight w:val="none"/>
        </w:rPr>
        <w:br w:type="page"/>
      </w:r>
    </w:p>
    <w:p w14:paraId="3E020AC4">
      <w:pPr>
        <w:pStyle w:val="48"/>
        <w:spacing w:before="319" w:beforeLines="100" w:after="319" w:afterLines="100"/>
        <w:rPr>
          <w:rFonts w:ascii="宋体" w:hAnsi="宋体" w:eastAsia="宋体" w:cs="宋体"/>
          <w:color w:val="auto"/>
          <w:sz w:val="32"/>
          <w:highlight w:val="none"/>
        </w:rPr>
      </w:pPr>
      <w:bookmarkStart w:id="515" w:name="_Toc126654846"/>
      <w:bookmarkStart w:id="516" w:name="_Toc132308035"/>
      <w:r>
        <w:rPr>
          <w:rFonts w:hint="eastAsia" w:ascii="宋体" w:hAnsi="宋体" w:eastAsia="宋体" w:cs="宋体"/>
          <w:color w:val="auto"/>
          <w:sz w:val="32"/>
          <w:highlight w:val="none"/>
        </w:rPr>
        <w:t>第三部分 合同专用条款</w:t>
      </w:r>
      <w:bookmarkEnd w:id="515"/>
      <w:bookmarkEnd w:id="516"/>
    </w:p>
    <w:p w14:paraId="13A3D528">
      <w:pPr>
        <w:pStyle w:val="5"/>
        <w:adjustRightInd/>
        <w:spacing w:line="360" w:lineRule="auto"/>
        <w:ind w:firstLine="420" w:firstLineChars="200"/>
        <w:rPr>
          <w:rFonts w:hAnsi="宋体" w:cs="宋体"/>
          <w:b/>
          <w:i/>
          <w:color w:val="auto"/>
          <w:sz w:val="24"/>
          <w:szCs w:val="24"/>
          <w:highlight w:val="none"/>
          <w:u w:val="single"/>
        </w:rPr>
      </w:pPr>
      <w:r>
        <w:rPr>
          <w:rFonts w:hint="eastAsia" w:hAnsi="宋体" w:cs="宋体"/>
          <w:color w:val="auto"/>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1241"/>
        <w:gridCol w:w="8560"/>
      </w:tblGrid>
      <w:tr w14:paraId="7F4E7F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1" w:hRule="atLeast"/>
          <w:jc w:val="center"/>
        </w:trPr>
        <w:tc>
          <w:tcPr>
            <w:tcW w:w="633" w:type="pct"/>
            <w:tcBorders>
              <w:tl2br w:val="nil"/>
              <w:tr2bl w:val="nil"/>
            </w:tcBorders>
            <w:vAlign w:val="center"/>
          </w:tcPr>
          <w:p w14:paraId="3762BC34">
            <w:pPr>
              <w:keepLines/>
              <w:wordWrap w:val="0"/>
              <w:topLinePunct/>
              <w:adjustRightInd/>
              <w:jc w:val="center"/>
              <w:rPr>
                <w:rFonts w:ascii="宋体" w:hAnsi="宋体" w:cs="宋体"/>
                <w:bCs/>
                <w:color w:val="auto"/>
                <w:szCs w:val="21"/>
                <w:highlight w:val="none"/>
              </w:rPr>
            </w:pPr>
            <w:r>
              <w:rPr>
                <w:rFonts w:hint="eastAsia" w:ascii="宋体" w:hAnsi="宋体" w:cs="宋体"/>
                <w:bCs/>
                <w:color w:val="auto"/>
                <w:szCs w:val="21"/>
                <w:highlight w:val="none"/>
              </w:rPr>
              <w:t>条款号</w:t>
            </w:r>
          </w:p>
        </w:tc>
        <w:tc>
          <w:tcPr>
            <w:tcW w:w="4366" w:type="pct"/>
            <w:tcBorders>
              <w:tl2br w:val="nil"/>
              <w:tr2bl w:val="nil"/>
            </w:tcBorders>
            <w:vAlign w:val="center"/>
          </w:tcPr>
          <w:p w14:paraId="5F507EBD">
            <w:pPr>
              <w:keepLines/>
              <w:wordWrap w:val="0"/>
              <w:topLinePunct/>
              <w:adjustRightInd/>
              <w:jc w:val="center"/>
              <w:rPr>
                <w:rFonts w:ascii="宋体" w:hAnsi="宋体" w:cs="宋体"/>
                <w:bCs/>
                <w:color w:val="auto"/>
                <w:szCs w:val="21"/>
                <w:highlight w:val="none"/>
              </w:rPr>
            </w:pPr>
            <w:r>
              <w:rPr>
                <w:rFonts w:hint="eastAsia" w:ascii="宋体" w:hAnsi="宋体" w:cs="宋体"/>
                <w:bCs/>
                <w:color w:val="auto"/>
                <w:szCs w:val="21"/>
                <w:highlight w:val="none"/>
              </w:rPr>
              <w:t>约定内容</w:t>
            </w:r>
          </w:p>
        </w:tc>
      </w:tr>
      <w:tr w14:paraId="166BE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4" w:hRule="exact"/>
          <w:jc w:val="center"/>
        </w:trPr>
        <w:tc>
          <w:tcPr>
            <w:tcW w:w="633" w:type="pct"/>
            <w:tcBorders>
              <w:tl2br w:val="nil"/>
              <w:tr2bl w:val="nil"/>
            </w:tcBorders>
            <w:vAlign w:val="center"/>
          </w:tcPr>
          <w:p w14:paraId="399F4F4D">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1.3.2</w:t>
            </w:r>
          </w:p>
        </w:tc>
        <w:tc>
          <w:tcPr>
            <w:tcW w:w="4366" w:type="pct"/>
            <w:tcBorders>
              <w:tl2br w:val="nil"/>
              <w:tr2bl w:val="nil"/>
            </w:tcBorders>
            <w:vAlign w:val="center"/>
          </w:tcPr>
          <w:p w14:paraId="64924F93">
            <w:pPr>
              <w:keepLines/>
              <w:wordWrap w:val="0"/>
              <w:topLinePunct/>
              <w:adjustRightInd/>
              <w:ind w:left="105" w:leftChars="50" w:right="105" w:rightChars="50"/>
              <w:rPr>
                <w:rFonts w:ascii="宋体" w:hAnsi="宋体" w:cs="宋体"/>
                <w:color w:val="auto"/>
                <w:szCs w:val="21"/>
                <w:highlight w:val="none"/>
                <w:u w:val="single"/>
              </w:rPr>
            </w:pPr>
            <w:r>
              <w:rPr>
                <w:rFonts w:hint="eastAsia" w:ascii="宋体" w:hAnsi="宋体" w:cs="宋体"/>
                <w:color w:val="auto"/>
                <w:szCs w:val="21"/>
                <w:highlight w:val="none"/>
              </w:rPr>
              <w:t>服务工作量的计量方式：</w:t>
            </w:r>
          </w:p>
        </w:tc>
      </w:tr>
      <w:tr w14:paraId="0903BF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518A09AC">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1.4.2</w:t>
            </w:r>
          </w:p>
        </w:tc>
        <w:tc>
          <w:tcPr>
            <w:tcW w:w="4366" w:type="pct"/>
            <w:tcBorders>
              <w:tl2br w:val="nil"/>
              <w:tr2bl w:val="nil"/>
            </w:tcBorders>
            <w:vAlign w:val="center"/>
          </w:tcPr>
          <w:p w14:paraId="287931C9">
            <w:pPr>
              <w:keepLines/>
              <w:wordWrap w:val="0"/>
              <w:topLinePunct/>
              <w:adjustRightInd/>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履约保证金支付方式：</w:t>
            </w:r>
          </w:p>
        </w:tc>
      </w:tr>
      <w:tr w14:paraId="718229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13" w:hRule="exact"/>
          <w:jc w:val="center"/>
        </w:trPr>
        <w:tc>
          <w:tcPr>
            <w:tcW w:w="633" w:type="pct"/>
            <w:tcBorders>
              <w:tl2br w:val="nil"/>
              <w:tr2bl w:val="nil"/>
            </w:tcBorders>
            <w:vAlign w:val="center"/>
          </w:tcPr>
          <w:p w14:paraId="1818D8EF">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1.5.1</w:t>
            </w:r>
          </w:p>
        </w:tc>
        <w:tc>
          <w:tcPr>
            <w:tcW w:w="4366" w:type="pct"/>
            <w:tcBorders>
              <w:tl2br w:val="nil"/>
              <w:tr2bl w:val="nil"/>
            </w:tcBorders>
            <w:vAlign w:val="center"/>
          </w:tcPr>
          <w:p w14:paraId="3BA9ECC6">
            <w:pPr>
              <w:keepLines/>
              <w:wordWrap w:val="0"/>
              <w:topLinePunct/>
              <w:adjustRightInd/>
              <w:spacing w:line="360" w:lineRule="auto"/>
              <w:ind w:left="105" w:leftChars="50" w:right="105" w:rightChars="5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预付款比例：</w:t>
            </w:r>
          </w:p>
          <w:p w14:paraId="49F7F3C0">
            <w:pPr>
              <w:keepLines/>
              <w:wordWrap w:val="0"/>
              <w:topLinePunct/>
              <w:adjustRightInd/>
              <w:spacing w:line="360" w:lineRule="auto"/>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预付款支付方式：</w:t>
            </w:r>
          </w:p>
          <w:p w14:paraId="1F451703">
            <w:pPr>
              <w:keepLines/>
              <w:wordWrap w:val="0"/>
              <w:topLinePunct/>
              <w:adjustRightInd/>
              <w:spacing w:line="360" w:lineRule="auto"/>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预付款支付时间：</w:t>
            </w:r>
          </w:p>
        </w:tc>
      </w:tr>
      <w:tr w14:paraId="3CE552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5FE82B66">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1.5.2</w:t>
            </w:r>
          </w:p>
        </w:tc>
        <w:tc>
          <w:tcPr>
            <w:tcW w:w="4366" w:type="pct"/>
            <w:tcBorders>
              <w:tl2br w:val="nil"/>
              <w:tr2bl w:val="nil"/>
            </w:tcBorders>
            <w:vAlign w:val="center"/>
          </w:tcPr>
          <w:p w14:paraId="7200E65B">
            <w:pPr>
              <w:keepLines/>
              <w:wordWrap w:val="0"/>
              <w:topLinePunct/>
              <w:adjustRightInd/>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预付款的扣回方式：</w:t>
            </w:r>
          </w:p>
        </w:tc>
      </w:tr>
      <w:tr w14:paraId="3337F0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3" w:hRule="exact"/>
          <w:jc w:val="center"/>
        </w:trPr>
        <w:tc>
          <w:tcPr>
            <w:tcW w:w="633" w:type="pct"/>
            <w:tcBorders>
              <w:tl2br w:val="nil"/>
              <w:tr2bl w:val="nil"/>
            </w:tcBorders>
            <w:vAlign w:val="center"/>
          </w:tcPr>
          <w:p w14:paraId="3AC91C52">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1.5.3</w:t>
            </w:r>
          </w:p>
        </w:tc>
        <w:tc>
          <w:tcPr>
            <w:tcW w:w="4366" w:type="pct"/>
            <w:tcBorders>
              <w:tl2br w:val="nil"/>
              <w:tr2bl w:val="nil"/>
            </w:tcBorders>
            <w:vAlign w:val="center"/>
          </w:tcPr>
          <w:p w14:paraId="231DFF98">
            <w:pPr>
              <w:keepNext w:val="0"/>
              <w:keepLines/>
              <w:pageBreakBefore w:val="0"/>
              <w:widowControl w:val="0"/>
              <w:kinsoku/>
              <w:wordWrap w:val="0"/>
              <w:overflowPunct/>
              <w:topLinePunct/>
              <w:autoSpaceDE/>
              <w:autoSpaceDN/>
              <w:bidi w:val="0"/>
              <w:adjustRightInd/>
              <w:snapToGrid/>
              <w:spacing w:line="360" w:lineRule="auto"/>
              <w:ind w:left="105" w:leftChars="50" w:right="105" w:rightChars="50"/>
              <w:textAlignment w:val="auto"/>
              <w:rPr>
                <w:rFonts w:ascii="宋体" w:hAnsi="宋体" w:cs="宋体"/>
                <w:color w:val="auto"/>
                <w:szCs w:val="21"/>
                <w:highlight w:val="none"/>
              </w:rPr>
            </w:pPr>
            <w:r>
              <w:rPr>
                <w:rFonts w:hint="eastAsia" w:ascii="宋体" w:hAnsi="宋体" w:cs="宋体"/>
                <w:color w:val="auto"/>
                <w:szCs w:val="21"/>
                <w:highlight w:val="none"/>
              </w:rPr>
              <w:t>预付款的担保措施：</w:t>
            </w:r>
          </w:p>
        </w:tc>
      </w:tr>
      <w:tr w14:paraId="08307E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1" w:hRule="exact"/>
          <w:jc w:val="center"/>
        </w:trPr>
        <w:tc>
          <w:tcPr>
            <w:tcW w:w="633" w:type="pct"/>
            <w:tcBorders>
              <w:tl2br w:val="nil"/>
              <w:tr2bl w:val="nil"/>
            </w:tcBorders>
            <w:vAlign w:val="center"/>
          </w:tcPr>
          <w:p w14:paraId="643D0AAB">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1.6.2</w:t>
            </w:r>
          </w:p>
        </w:tc>
        <w:tc>
          <w:tcPr>
            <w:tcW w:w="4366" w:type="pct"/>
            <w:tcBorders>
              <w:tl2br w:val="nil"/>
              <w:tr2bl w:val="nil"/>
            </w:tcBorders>
            <w:vAlign w:val="center"/>
          </w:tcPr>
          <w:p w14:paraId="5AF17DF9">
            <w:pPr>
              <w:keepLines/>
              <w:wordWrap w:val="0"/>
              <w:topLinePunct/>
              <w:adjustRightInd/>
              <w:spacing w:line="360" w:lineRule="auto"/>
              <w:ind w:left="105" w:leftChars="50" w:right="105" w:rightChars="50"/>
              <w:rPr>
                <w:rFonts w:hint="default" w:ascii="宋体" w:hAnsi="宋体" w:cs="宋体"/>
                <w:color w:val="auto"/>
                <w:szCs w:val="21"/>
                <w:highlight w:val="none"/>
                <w:u w:val="single"/>
                <w:lang w:val="en-US"/>
              </w:rPr>
            </w:pPr>
            <w:r>
              <w:rPr>
                <w:rFonts w:hint="eastAsia" w:ascii="宋体" w:hAnsi="宋体" w:cs="宋体"/>
                <w:color w:val="auto"/>
                <w:szCs w:val="21"/>
                <w:highlight w:val="none"/>
              </w:rPr>
              <w:t>资金支付的方式、时间和条件：</w:t>
            </w:r>
          </w:p>
        </w:tc>
      </w:tr>
      <w:tr w14:paraId="222861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55" w:hRule="exact"/>
          <w:jc w:val="center"/>
        </w:trPr>
        <w:tc>
          <w:tcPr>
            <w:tcW w:w="633" w:type="pct"/>
            <w:tcBorders>
              <w:tl2br w:val="nil"/>
              <w:tr2bl w:val="nil"/>
            </w:tcBorders>
            <w:vAlign w:val="center"/>
          </w:tcPr>
          <w:p w14:paraId="46876E71">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1.7.1</w:t>
            </w:r>
          </w:p>
        </w:tc>
        <w:tc>
          <w:tcPr>
            <w:tcW w:w="4366" w:type="pct"/>
            <w:tcBorders>
              <w:tl2br w:val="nil"/>
              <w:tr2bl w:val="nil"/>
            </w:tcBorders>
            <w:vAlign w:val="center"/>
          </w:tcPr>
          <w:p w14:paraId="211396FF">
            <w:pPr>
              <w:keepNext w:val="0"/>
              <w:keepLines/>
              <w:pageBreakBefore w:val="0"/>
              <w:widowControl w:val="0"/>
              <w:kinsoku/>
              <w:wordWrap w:val="0"/>
              <w:overflowPunct/>
              <w:topLinePunct/>
              <w:autoSpaceDE/>
              <w:autoSpaceDN/>
              <w:bidi w:val="0"/>
              <w:adjustRightInd/>
              <w:snapToGrid/>
              <w:spacing w:line="360" w:lineRule="auto"/>
              <w:ind w:left="105" w:leftChars="50" w:right="105" w:rightChars="50"/>
              <w:textAlignment w:val="auto"/>
              <w:rPr>
                <w:rFonts w:hint="default" w:ascii="宋体" w:hAnsi="宋体" w:cs="宋体"/>
                <w:color w:val="auto"/>
                <w:szCs w:val="21"/>
                <w:highlight w:val="none"/>
                <w:lang w:val="en-US"/>
              </w:rPr>
            </w:pPr>
            <w:r>
              <w:rPr>
                <w:rFonts w:hint="eastAsia" w:ascii="宋体" w:hAnsi="宋体" w:cs="宋体"/>
                <w:color w:val="auto"/>
                <w:szCs w:val="21"/>
                <w:highlight w:val="none"/>
              </w:rPr>
              <w:t>服务交付（实施）的时间（期限）：</w:t>
            </w:r>
          </w:p>
        </w:tc>
      </w:tr>
      <w:tr w14:paraId="0F3D27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01F91FBB">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1.7.2</w:t>
            </w:r>
          </w:p>
        </w:tc>
        <w:tc>
          <w:tcPr>
            <w:tcW w:w="4366" w:type="pct"/>
            <w:tcBorders>
              <w:tl2br w:val="nil"/>
              <w:tr2bl w:val="nil"/>
            </w:tcBorders>
            <w:vAlign w:val="center"/>
          </w:tcPr>
          <w:p w14:paraId="1D67F0A3">
            <w:pPr>
              <w:keepLines/>
              <w:wordWrap w:val="0"/>
              <w:topLinePunct/>
              <w:adjustRightInd/>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服务交付（实施）的地点（地域范围）：</w:t>
            </w:r>
          </w:p>
        </w:tc>
      </w:tr>
      <w:tr w14:paraId="08EFDF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26" w:hRule="exact"/>
          <w:jc w:val="center"/>
        </w:trPr>
        <w:tc>
          <w:tcPr>
            <w:tcW w:w="633" w:type="pct"/>
            <w:tcBorders>
              <w:tl2br w:val="nil"/>
              <w:tr2bl w:val="nil"/>
            </w:tcBorders>
            <w:vAlign w:val="center"/>
          </w:tcPr>
          <w:p w14:paraId="5E71FCD9">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1.7.3</w:t>
            </w:r>
          </w:p>
        </w:tc>
        <w:tc>
          <w:tcPr>
            <w:tcW w:w="4366" w:type="pct"/>
            <w:tcBorders>
              <w:tl2br w:val="nil"/>
              <w:tr2bl w:val="nil"/>
            </w:tcBorders>
            <w:vAlign w:val="center"/>
          </w:tcPr>
          <w:p w14:paraId="0428CC70">
            <w:pPr>
              <w:keepLines/>
              <w:wordWrap w:val="0"/>
              <w:topLinePunct/>
              <w:adjustRightInd/>
              <w:spacing w:line="360" w:lineRule="auto"/>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服务交付（实施）的方式：</w:t>
            </w:r>
            <w:r>
              <w:rPr>
                <w:rFonts w:hint="eastAsia" w:ascii="宋体" w:hAnsi="宋体" w:cs="宋体"/>
                <w:color w:val="auto"/>
                <w:szCs w:val="21"/>
                <w:highlight w:val="none"/>
                <w:u w:val="single"/>
              </w:rPr>
              <w:t>采购标的的所有内容均由乙方负责，完成本项目各项服务可能发生的全部费用均包含在合同总价中。</w:t>
            </w:r>
          </w:p>
        </w:tc>
      </w:tr>
      <w:tr w14:paraId="791344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57AC4E68">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1.7.4.1</w:t>
            </w:r>
          </w:p>
        </w:tc>
        <w:tc>
          <w:tcPr>
            <w:tcW w:w="4366" w:type="pct"/>
            <w:tcBorders>
              <w:tl2br w:val="nil"/>
              <w:tr2bl w:val="nil"/>
            </w:tcBorders>
            <w:vAlign w:val="center"/>
          </w:tcPr>
          <w:p w14:paraId="2E32B012">
            <w:pPr>
              <w:keepLines/>
              <w:wordWrap w:val="0"/>
              <w:topLinePunct/>
              <w:adjustRightInd/>
              <w:ind w:left="105" w:leftChars="50" w:right="105" w:rightChars="50"/>
              <w:rPr>
                <w:rFonts w:ascii="宋体" w:hAnsi="宋体" w:cs="宋体"/>
                <w:color w:val="auto"/>
                <w:szCs w:val="21"/>
                <w:highlight w:val="none"/>
                <w:u w:val="single"/>
              </w:rPr>
            </w:pPr>
            <w:r>
              <w:rPr>
                <w:rFonts w:hint="eastAsia" w:ascii="宋体" w:hAnsi="宋体" w:cs="宋体"/>
                <w:color w:val="auto"/>
                <w:szCs w:val="21"/>
                <w:highlight w:val="none"/>
              </w:rPr>
              <w:t>交付期限：</w:t>
            </w:r>
            <w:r>
              <w:rPr>
                <w:rFonts w:hint="eastAsia" w:ascii="宋体" w:hAnsi="宋体" w:cs="宋体"/>
                <w:color w:val="auto"/>
                <w:szCs w:val="21"/>
                <w:highlight w:val="none"/>
                <w:u w:val="single"/>
              </w:rPr>
              <w:t>同1.7.1款</w:t>
            </w:r>
          </w:p>
        </w:tc>
      </w:tr>
      <w:tr w14:paraId="3B208F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5BBD1DA7">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1.7.4.2</w:t>
            </w:r>
          </w:p>
        </w:tc>
        <w:tc>
          <w:tcPr>
            <w:tcW w:w="4366" w:type="pct"/>
            <w:tcBorders>
              <w:tl2br w:val="nil"/>
              <w:tr2bl w:val="nil"/>
            </w:tcBorders>
            <w:vAlign w:val="center"/>
          </w:tcPr>
          <w:p w14:paraId="2C823602">
            <w:pPr>
              <w:keepLines/>
              <w:wordWrap w:val="0"/>
              <w:topLinePunct/>
              <w:adjustRightInd/>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交付地点：</w:t>
            </w:r>
            <w:r>
              <w:rPr>
                <w:rFonts w:hint="eastAsia" w:ascii="宋体" w:hAnsi="宋体" w:cs="宋体"/>
                <w:color w:val="auto"/>
                <w:szCs w:val="21"/>
                <w:highlight w:val="none"/>
                <w:u w:val="single"/>
              </w:rPr>
              <w:t>甲方指定地点</w:t>
            </w:r>
          </w:p>
        </w:tc>
      </w:tr>
      <w:tr w14:paraId="423B69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07664789">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1.7.4.3</w:t>
            </w:r>
          </w:p>
        </w:tc>
        <w:tc>
          <w:tcPr>
            <w:tcW w:w="4366" w:type="pct"/>
            <w:tcBorders>
              <w:tl2br w:val="nil"/>
              <w:tr2bl w:val="nil"/>
            </w:tcBorders>
            <w:vAlign w:val="center"/>
          </w:tcPr>
          <w:p w14:paraId="634F9DA0">
            <w:pPr>
              <w:keepLines/>
              <w:wordWrap w:val="0"/>
              <w:topLinePunct/>
              <w:adjustRightInd/>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交付方式：</w:t>
            </w:r>
            <w:r>
              <w:rPr>
                <w:rFonts w:hint="eastAsia" w:ascii="宋体" w:hAnsi="宋体" w:cs="宋体"/>
                <w:color w:val="auto"/>
                <w:szCs w:val="21"/>
                <w:highlight w:val="none"/>
                <w:u w:val="single"/>
              </w:rPr>
              <w:t>同1.7.3款</w:t>
            </w:r>
          </w:p>
        </w:tc>
      </w:tr>
      <w:tr w14:paraId="3C9A99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7FFC0832">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1.8.7</w:t>
            </w:r>
          </w:p>
        </w:tc>
        <w:tc>
          <w:tcPr>
            <w:tcW w:w="4366" w:type="pct"/>
            <w:tcBorders>
              <w:tl2br w:val="nil"/>
              <w:tr2bl w:val="nil"/>
            </w:tcBorders>
            <w:vAlign w:val="center"/>
          </w:tcPr>
          <w:p w14:paraId="6B5C2F95">
            <w:pPr>
              <w:keepLines/>
              <w:wordWrap w:val="0"/>
              <w:topLinePunct/>
              <w:adjustRightInd/>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违约责任特殊约定：</w:t>
            </w:r>
            <w:r>
              <w:rPr>
                <w:rFonts w:hint="eastAsia" w:ascii="宋体" w:hAnsi="宋体" w:cs="宋体"/>
                <w:color w:val="auto"/>
                <w:szCs w:val="21"/>
                <w:highlight w:val="none"/>
                <w:u w:val="single"/>
              </w:rPr>
              <w:t xml:space="preserve"> / </w:t>
            </w:r>
          </w:p>
        </w:tc>
      </w:tr>
      <w:tr w14:paraId="3DB27B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50751ECC">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1.9.1</w:t>
            </w:r>
          </w:p>
        </w:tc>
        <w:tc>
          <w:tcPr>
            <w:tcW w:w="4366" w:type="pct"/>
            <w:tcBorders>
              <w:tl2br w:val="nil"/>
              <w:tr2bl w:val="nil"/>
            </w:tcBorders>
            <w:vAlign w:val="center"/>
          </w:tcPr>
          <w:p w14:paraId="0675E3F0">
            <w:pPr>
              <w:keepLines/>
              <w:wordWrap w:val="0"/>
              <w:topLinePunct/>
              <w:adjustRightInd/>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仲裁委员会名称：</w:t>
            </w:r>
            <w:r>
              <w:rPr>
                <w:rFonts w:hint="eastAsia" w:ascii="宋体" w:hAnsi="宋体" w:cs="宋体"/>
                <w:color w:val="auto"/>
                <w:szCs w:val="21"/>
                <w:highlight w:val="none"/>
                <w:u w:val="single"/>
              </w:rPr>
              <w:t xml:space="preserve"> / </w:t>
            </w:r>
          </w:p>
        </w:tc>
      </w:tr>
      <w:tr w14:paraId="740BB8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4F601C72">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1.9.2</w:t>
            </w:r>
          </w:p>
        </w:tc>
        <w:tc>
          <w:tcPr>
            <w:tcW w:w="4366" w:type="pct"/>
            <w:tcBorders>
              <w:tl2br w:val="nil"/>
              <w:tr2bl w:val="nil"/>
            </w:tcBorders>
            <w:vAlign w:val="center"/>
          </w:tcPr>
          <w:p w14:paraId="04855E93">
            <w:pPr>
              <w:keepLines/>
              <w:wordWrap w:val="0"/>
              <w:topLinePunct/>
              <w:adjustRightInd/>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起诉机构：</w:t>
            </w:r>
            <w:r>
              <w:rPr>
                <w:rFonts w:hint="eastAsia" w:ascii="宋体" w:hAnsi="宋体" w:cs="宋体"/>
                <w:color w:val="auto"/>
                <w:szCs w:val="21"/>
                <w:highlight w:val="none"/>
                <w:u w:val="single"/>
              </w:rPr>
              <w:t>甲方所在地人民法院</w:t>
            </w:r>
          </w:p>
        </w:tc>
      </w:tr>
      <w:tr w14:paraId="3A6DA8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51" w:hRule="exact"/>
          <w:jc w:val="center"/>
        </w:trPr>
        <w:tc>
          <w:tcPr>
            <w:tcW w:w="633" w:type="pct"/>
            <w:tcBorders>
              <w:tl2br w:val="nil"/>
              <w:tr2bl w:val="nil"/>
            </w:tcBorders>
            <w:vAlign w:val="center"/>
          </w:tcPr>
          <w:p w14:paraId="64D7C8E6">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2.3.2</w:t>
            </w:r>
          </w:p>
        </w:tc>
        <w:tc>
          <w:tcPr>
            <w:tcW w:w="4366" w:type="pct"/>
            <w:tcBorders>
              <w:tl2br w:val="nil"/>
              <w:tr2bl w:val="nil"/>
            </w:tcBorders>
            <w:vAlign w:val="center"/>
          </w:tcPr>
          <w:p w14:paraId="46BCFA67">
            <w:pPr>
              <w:keepLines/>
              <w:wordWrap w:val="0"/>
              <w:topLinePunct/>
              <w:adjustRightInd/>
              <w:spacing w:line="360" w:lineRule="auto"/>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技术成果的归属和收益：</w:t>
            </w:r>
            <w:r>
              <w:rPr>
                <w:rFonts w:hint="eastAsia" w:ascii="宋体" w:hAnsi="宋体" w:cs="宋体"/>
                <w:color w:val="auto"/>
                <w:szCs w:val="21"/>
                <w:highlight w:val="none"/>
                <w:u w:val="single"/>
                <w:lang w:val="en-US" w:eastAsia="zh-CN"/>
              </w:rPr>
              <w:t>甲方所有</w:t>
            </w:r>
            <w:r>
              <w:rPr>
                <w:rFonts w:hint="eastAsia" w:ascii="宋体" w:hAnsi="宋体" w:cs="宋体"/>
                <w:color w:val="auto"/>
                <w:szCs w:val="21"/>
                <w:highlight w:val="none"/>
                <w:u w:val="single"/>
              </w:rPr>
              <w:t>，未经</w:t>
            </w:r>
            <w:r>
              <w:rPr>
                <w:rFonts w:hint="eastAsia" w:ascii="宋体" w:hAnsi="宋体" w:cs="宋体"/>
                <w:color w:val="auto"/>
                <w:szCs w:val="21"/>
                <w:highlight w:val="none"/>
                <w:u w:val="single"/>
                <w:lang w:val="en-US" w:eastAsia="zh-CN"/>
              </w:rPr>
              <w:t>甲</w:t>
            </w:r>
            <w:r>
              <w:rPr>
                <w:rFonts w:hint="eastAsia" w:ascii="宋体" w:hAnsi="宋体" w:cs="宋体"/>
                <w:color w:val="auto"/>
                <w:szCs w:val="21"/>
                <w:highlight w:val="none"/>
                <w:u w:val="single"/>
              </w:rPr>
              <w:t>方同意，</w:t>
            </w:r>
            <w:r>
              <w:rPr>
                <w:rFonts w:hint="eastAsia" w:ascii="宋体" w:hAnsi="宋体" w:cs="宋体"/>
                <w:color w:val="auto"/>
                <w:szCs w:val="21"/>
                <w:highlight w:val="none"/>
                <w:u w:val="single"/>
                <w:lang w:val="en-US" w:eastAsia="zh-CN"/>
              </w:rPr>
              <w:t>乙方</w:t>
            </w:r>
            <w:r>
              <w:rPr>
                <w:rFonts w:hint="eastAsia" w:ascii="宋体" w:hAnsi="宋体" w:cs="宋体"/>
                <w:color w:val="auto"/>
                <w:szCs w:val="21"/>
                <w:highlight w:val="none"/>
                <w:u w:val="single"/>
              </w:rPr>
              <w:t>不得将资料、文件提供给与本项目无关的第三方使用。</w:t>
            </w:r>
          </w:p>
        </w:tc>
      </w:tr>
      <w:tr w14:paraId="1477C9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0EBE9781">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2.5</w:t>
            </w:r>
          </w:p>
        </w:tc>
        <w:tc>
          <w:tcPr>
            <w:tcW w:w="4366" w:type="pct"/>
            <w:tcBorders>
              <w:tl2br w:val="nil"/>
              <w:tr2bl w:val="nil"/>
            </w:tcBorders>
            <w:vAlign w:val="center"/>
          </w:tcPr>
          <w:p w14:paraId="269AED91">
            <w:pPr>
              <w:keepLines/>
              <w:wordWrap w:val="0"/>
              <w:topLinePunct/>
              <w:adjustRightInd/>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同1.6.2款</w:t>
            </w:r>
          </w:p>
        </w:tc>
      </w:tr>
      <w:tr w14:paraId="755488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162CA606">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2.11.3</w:t>
            </w:r>
          </w:p>
        </w:tc>
        <w:tc>
          <w:tcPr>
            <w:tcW w:w="4366" w:type="pct"/>
            <w:tcBorders>
              <w:tl2br w:val="nil"/>
              <w:tr2bl w:val="nil"/>
            </w:tcBorders>
            <w:vAlign w:val="center"/>
          </w:tcPr>
          <w:p w14:paraId="1FCCE13F">
            <w:pPr>
              <w:keepLines/>
              <w:wordWrap w:val="0"/>
              <w:topLinePunct/>
              <w:adjustRightInd/>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因不可抗力致使合同有变更必要的，双方当事人应在3个工作日内以书面形式变更合同</w:t>
            </w:r>
          </w:p>
        </w:tc>
      </w:tr>
      <w:tr w14:paraId="3C0333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5" w:hRule="exact"/>
          <w:jc w:val="center"/>
        </w:trPr>
        <w:tc>
          <w:tcPr>
            <w:tcW w:w="633" w:type="pct"/>
            <w:tcBorders>
              <w:tl2br w:val="nil"/>
              <w:tr2bl w:val="nil"/>
            </w:tcBorders>
            <w:vAlign w:val="center"/>
          </w:tcPr>
          <w:p w14:paraId="5AF256BA">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2.11.4</w:t>
            </w:r>
          </w:p>
        </w:tc>
        <w:tc>
          <w:tcPr>
            <w:tcW w:w="4366" w:type="pct"/>
            <w:tcBorders>
              <w:tl2br w:val="nil"/>
              <w:tr2bl w:val="nil"/>
            </w:tcBorders>
            <w:vAlign w:val="center"/>
          </w:tcPr>
          <w:p w14:paraId="67950F25">
            <w:pPr>
              <w:keepLines/>
              <w:wordWrap w:val="0"/>
              <w:topLinePunct/>
              <w:adjustRightInd/>
              <w:spacing w:line="360" w:lineRule="auto"/>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受不可抗力影响的一方在不可抗力发生后，应在1个工作日内以书面形式通知对方当事人，并在3个工作日约定时间内，将有关部门出具的证明文件送达对方当事人</w:t>
            </w:r>
          </w:p>
        </w:tc>
      </w:tr>
      <w:tr w14:paraId="2CD587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33F35833">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2.15.1</w:t>
            </w:r>
          </w:p>
        </w:tc>
        <w:tc>
          <w:tcPr>
            <w:tcW w:w="4366" w:type="pct"/>
            <w:tcBorders>
              <w:tl2br w:val="nil"/>
              <w:tr2bl w:val="nil"/>
            </w:tcBorders>
            <w:vAlign w:val="center"/>
          </w:tcPr>
          <w:p w14:paraId="28F55331">
            <w:pPr>
              <w:keepLines/>
              <w:wordWrap w:val="0"/>
              <w:topLinePunct/>
              <w:adjustRightInd/>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乙方按合同要求提供服务，甲方每月根据相关要求及考核办法进行验收</w:t>
            </w:r>
          </w:p>
        </w:tc>
      </w:tr>
      <w:tr w14:paraId="5A8E1F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1" w:hRule="exact"/>
          <w:jc w:val="center"/>
        </w:trPr>
        <w:tc>
          <w:tcPr>
            <w:tcW w:w="633" w:type="pct"/>
            <w:tcBorders>
              <w:tl2br w:val="nil"/>
              <w:tr2bl w:val="nil"/>
            </w:tcBorders>
            <w:vAlign w:val="center"/>
          </w:tcPr>
          <w:p w14:paraId="62BC7B97">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2.15.3</w:t>
            </w:r>
          </w:p>
        </w:tc>
        <w:tc>
          <w:tcPr>
            <w:tcW w:w="4366" w:type="pct"/>
            <w:tcBorders>
              <w:tl2br w:val="nil"/>
              <w:tr2bl w:val="nil"/>
            </w:tcBorders>
            <w:vAlign w:val="center"/>
          </w:tcPr>
          <w:p w14:paraId="6BDE81DC">
            <w:pPr>
              <w:keepLines/>
              <w:wordWrap w:val="0"/>
              <w:topLinePunct/>
              <w:adjustRightInd/>
              <w:spacing w:line="360" w:lineRule="auto"/>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检验和验收标准、程序等具体内容以及前述验收书的效力：</w:t>
            </w:r>
            <w:r>
              <w:rPr>
                <w:rFonts w:hint="eastAsia" w:ascii="宋体" w:hAnsi="宋体" w:cs="宋体"/>
                <w:color w:val="auto"/>
                <w:szCs w:val="21"/>
                <w:highlight w:val="none"/>
                <w:u w:val="single"/>
              </w:rPr>
              <w:t>满足相关规范要求以及甲方制定的考核办法（如有）。</w:t>
            </w:r>
          </w:p>
        </w:tc>
      </w:tr>
      <w:tr w14:paraId="60321C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79519E39">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2.19</w:t>
            </w:r>
          </w:p>
        </w:tc>
        <w:tc>
          <w:tcPr>
            <w:tcW w:w="4366" w:type="pct"/>
            <w:tcBorders>
              <w:tl2br w:val="nil"/>
              <w:tr2bl w:val="nil"/>
            </w:tcBorders>
            <w:vAlign w:val="center"/>
          </w:tcPr>
          <w:p w14:paraId="23200A39">
            <w:pPr>
              <w:keepLines/>
              <w:wordWrap w:val="0"/>
              <w:topLinePunct/>
              <w:adjustRightInd/>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合同份数：</w:t>
            </w:r>
            <w:r>
              <w:rPr>
                <w:rFonts w:hint="eastAsia" w:ascii="宋体" w:hAnsi="宋体" w:cs="宋体"/>
                <w:color w:val="auto"/>
                <w:szCs w:val="21"/>
                <w:highlight w:val="none"/>
                <w:u w:val="single"/>
              </w:rPr>
              <w:t>一式肆份，双方各执贰份</w:t>
            </w:r>
          </w:p>
        </w:tc>
      </w:tr>
    </w:tbl>
    <w:p w14:paraId="1169753E">
      <w:pPr>
        <w:pStyle w:val="5"/>
        <w:snapToGrid w:val="0"/>
        <w:spacing w:before="120" w:after="120" w:line="360" w:lineRule="auto"/>
        <w:rPr>
          <w:rFonts w:hAnsi="宋体" w:cs="宋体"/>
          <w:color w:val="auto"/>
          <w:highlight w:val="none"/>
        </w:rPr>
      </w:pPr>
    </w:p>
    <w:p w14:paraId="3FBCDDA6">
      <w:pPr>
        <w:rPr>
          <w:color w:val="auto"/>
          <w:highlight w:val="none"/>
        </w:rPr>
      </w:pPr>
      <w:r>
        <w:rPr>
          <w:rFonts w:hint="eastAsia"/>
          <w:color w:val="auto"/>
          <w:highlight w:val="none"/>
        </w:rPr>
        <w:br w:type="page"/>
      </w:r>
    </w:p>
    <w:p w14:paraId="6F0D9830">
      <w:pPr>
        <w:keepNext w:val="0"/>
        <w:keepLines w:val="0"/>
        <w:pageBreakBefore/>
        <w:widowControl w:val="0"/>
        <w:kinsoku/>
        <w:wordWrap w:val="0"/>
        <w:overflowPunct/>
        <w:topLinePunct w:val="0"/>
        <w:autoSpaceDE/>
        <w:autoSpaceDN/>
        <w:bidi w:val="0"/>
        <w:adjustRightInd w:val="0"/>
        <w:snapToGrid/>
        <w:spacing w:before="320" w:beforeLines="100" w:after="320" w:afterLines="100" w:line="240" w:lineRule="auto"/>
        <w:jc w:val="center"/>
        <w:textAlignment w:val="auto"/>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bookmarkEnd w:id="396"/>
      <w:r>
        <w:rPr>
          <w:rFonts w:hint="eastAsia" w:ascii="宋体" w:hAnsi="宋体" w:cs="宋体"/>
          <w:b/>
          <w:color w:val="auto"/>
          <w:sz w:val="36"/>
          <w:szCs w:val="20"/>
          <w:highlight w:val="none"/>
        </w:rPr>
        <w:t xml:space="preserve"> 应提交的有关格式范例</w:t>
      </w:r>
    </w:p>
    <w:p w14:paraId="055447A7">
      <w:pPr>
        <w:spacing w:before="319" w:beforeLines="100" w:after="319" w:afterLines="100"/>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资格文件部分</w:t>
      </w:r>
    </w:p>
    <w:p w14:paraId="4866D346">
      <w:pPr>
        <w:spacing w:before="319" w:beforeLines="100" w:after="319" w:afterLines="100"/>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152A34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符合参加政府采购活动应当具备的一般条件的承诺函………………（页码）</w:t>
      </w:r>
    </w:p>
    <w:p w14:paraId="5353E55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联合协议…………………………………………………………………（页码）</w:t>
      </w:r>
    </w:p>
    <w:p w14:paraId="71C3BCE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落实政府采购政策需满足的资格要求…………………………………（页码）</w:t>
      </w:r>
    </w:p>
    <w:p w14:paraId="4CF654C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本项目的特定资格要求…………………………………………………（页码）</w:t>
      </w:r>
    </w:p>
    <w:p w14:paraId="344AEE76">
      <w:pPr>
        <w:snapToGrid w:val="0"/>
        <w:spacing w:line="360" w:lineRule="auto"/>
        <w:ind w:firstLine="480" w:firstLineChars="200"/>
        <w:rPr>
          <w:rFonts w:ascii="宋体" w:hAnsi="宋体" w:cs="宋体"/>
          <w:color w:val="auto"/>
          <w:sz w:val="24"/>
          <w:highlight w:val="none"/>
        </w:rPr>
      </w:pPr>
    </w:p>
    <w:p w14:paraId="49D2C90C">
      <w:pPr>
        <w:spacing w:line="360" w:lineRule="auto"/>
        <w:ind w:firstLine="480" w:firstLineChars="200"/>
        <w:rPr>
          <w:rFonts w:ascii="宋体" w:hAnsi="宋体" w:cs="宋体"/>
          <w:color w:val="auto"/>
          <w:sz w:val="24"/>
          <w:highlight w:val="none"/>
        </w:rPr>
      </w:pPr>
    </w:p>
    <w:p w14:paraId="66F80D06">
      <w:pPr>
        <w:jc w:val="center"/>
        <w:rPr>
          <w:rFonts w:ascii="宋体" w:hAnsi="宋体" w:cs="宋体"/>
          <w:color w:val="auto"/>
          <w:highlight w:val="none"/>
        </w:rPr>
      </w:pPr>
      <w:r>
        <w:rPr>
          <w:rFonts w:hint="eastAsia" w:ascii="宋体" w:hAnsi="宋体" w:cs="宋体"/>
          <w:color w:val="auto"/>
          <w:kern w:val="0"/>
          <w:sz w:val="24"/>
          <w:highlight w:val="none"/>
        </w:rPr>
        <w:br w:type="page"/>
      </w:r>
    </w:p>
    <w:p w14:paraId="7242D8E6">
      <w:pPr>
        <w:keepNext w:val="0"/>
        <w:keepLines w:val="0"/>
        <w:pageBreakBefore/>
        <w:widowControl w:val="0"/>
        <w:kinsoku/>
        <w:wordWrap/>
        <w:overflowPunct/>
        <w:topLinePunct w:val="0"/>
        <w:autoSpaceDE/>
        <w:autoSpaceDN/>
        <w:bidi w:val="0"/>
        <w:adjustRightInd w:val="0"/>
        <w:snapToGrid w:val="0"/>
        <w:spacing w:before="319" w:beforeLines="100" w:after="319" w:afterLines="100"/>
        <w:jc w:val="center"/>
        <w:textAlignment w:val="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一、 符合参加政府采购活动应当具备的一般条件的承诺函</w:t>
      </w:r>
    </w:p>
    <w:p w14:paraId="142F847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（采购人）、（采购代理机构）：</w:t>
      </w:r>
    </w:p>
    <w:p w14:paraId="4350EB1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我方参与（项目名称）【招标编号：（采购编号）】政府采购活动，郑重承诺：</w:t>
      </w:r>
    </w:p>
    <w:p w14:paraId="5EA4A25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（一）具备《中华人民共和国政府采购法》第二十二条第一款规定的条件：</w:t>
      </w:r>
    </w:p>
    <w:p w14:paraId="61B7D05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14:paraId="5B55A08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2、具有良好的商业信誉和健全的财务会计制度； </w:t>
      </w:r>
    </w:p>
    <w:p w14:paraId="77233D9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08E1D3A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6EAF259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119F3C0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6、具有法律、行政法规规定的其他条件。</w:t>
      </w:r>
    </w:p>
    <w:p w14:paraId="7620D17B">
      <w:pPr>
        <w:wordWrap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（二）未被信用中国（www.creditchina.gov.cn)、中国政府采购网（www.ccgp.gov.cn）列入失信被执行人、重大税收违法案件当事人名单、政府采购严重违法失信行为记录名单。</w:t>
      </w:r>
    </w:p>
    <w:p w14:paraId="07F8D8C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（三）不存在以下情况：</w:t>
      </w:r>
    </w:p>
    <w:p w14:paraId="56932E8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1、单位负责人为同一人或者存在直接控股、管理关系的不同供应商参加同一合同项下的政府采购活动的；</w:t>
      </w:r>
    </w:p>
    <w:p w14:paraId="3BD10A8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2、为采购项目提供整体设计、规范编制或者项目管理、监理、检测等服务后再参加该采购项目的其他采购活动的。</w:t>
      </w:r>
    </w:p>
    <w:p w14:paraId="4CE16E28">
      <w:pPr>
        <w:snapToGrid w:val="0"/>
        <w:spacing w:line="360" w:lineRule="auto"/>
        <w:ind w:firstLine="4830" w:firstLineChars="2300"/>
        <w:rPr>
          <w:rFonts w:ascii="宋体" w:hAnsi="宋体" w:cs="宋体"/>
          <w:color w:val="auto"/>
          <w:kern w:val="0"/>
          <w:szCs w:val="21"/>
          <w:highlight w:val="none"/>
          <w:lang w:val="zh-CN"/>
        </w:rPr>
      </w:pPr>
    </w:p>
    <w:p w14:paraId="7C8F0375">
      <w:pPr>
        <w:snapToGrid w:val="0"/>
        <w:spacing w:line="360" w:lineRule="auto"/>
        <w:ind w:firstLine="4620" w:firstLineChars="2200"/>
        <w:jc w:val="left"/>
        <w:rPr>
          <w:rFonts w:ascii="宋体" w:hAnsi="宋体" w:cs="宋体"/>
          <w:color w:val="auto"/>
          <w:kern w:val="0"/>
          <w:szCs w:val="21"/>
          <w:highlight w:val="none"/>
        </w:rPr>
      </w:pPr>
      <w:r>
        <w:rPr>
          <w:rFonts w:hint="eastAsia" w:ascii="宋体" w:hAnsi="宋体" w:cs="宋体"/>
          <w:color w:val="auto"/>
          <w:kern w:val="0"/>
          <w:szCs w:val="21"/>
          <w:highlight w:val="none"/>
          <w:lang w:val="zh-CN"/>
        </w:rPr>
        <w:t>投标人名称(电子签名)：</w:t>
      </w:r>
    </w:p>
    <w:p w14:paraId="5742D41C">
      <w:pPr>
        <w:snapToGrid w:val="0"/>
        <w:spacing w:line="360" w:lineRule="auto"/>
        <w:ind w:firstLine="4620" w:firstLineChars="2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31E95249">
      <w:pPr>
        <w:snapToGrid w:val="0"/>
        <w:spacing w:line="360" w:lineRule="auto"/>
        <w:ind w:firstLine="4620" w:firstLineChars="2200"/>
        <w:jc w:val="left"/>
        <w:rPr>
          <w:rFonts w:ascii="宋体" w:hAnsi="宋体" w:cs="宋体"/>
          <w:color w:val="auto"/>
          <w:kern w:val="0"/>
          <w:szCs w:val="21"/>
          <w:highlight w:val="none"/>
          <w:lang w:val="zh-CN"/>
        </w:rPr>
      </w:pPr>
    </w:p>
    <w:p w14:paraId="271A2968">
      <w:pPr>
        <w:snapToGrid w:val="0"/>
        <w:spacing w:line="360" w:lineRule="auto"/>
        <w:ind w:firstLine="4620" w:firstLineChars="2200"/>
        <w:jc w:val="left"/>
        <w:rPr>
          <w:rFonts w:ascii="宋体" w:hAnsi="宋体" w:cs="宋体"/>
          <w:color w:val="auto"/>
          <w:kern w:val="0"/>
          <w:szCs w:val="21"/>
          <w:highlight w:val="none"/>
          <w:lang w:val="zh-CN"/>
        </w:rPr>
      </w:pPr>
    </w:p>
    <w:p w14:paraId="768FA7AE">
      <w:pPr>
        <w:snapToGrid w:val="0"/>
        <w:spacing w:line="360" w:lineRule="auto"/>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
          <w:bCs/>
          <w:color w:val="auto"/>
          <w:kern w:val="0"/>
          <w:szCs w:val="21"/>
          <w:highlight w:val="none"/>
          <w:u w:val="single"/>
          <w:lang w:val="zh-CN"/>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7333B73">
      <w:pPr>
        <w:snapToGrid w:val="0"/>
        <w:spacing w:line="360" w:lineRule="auto"/>
        <w:ind w:right="480"/>
        <w:jc w:val="center"/>
        <w:rPr>
          <w:rFonts w:ascii="宋体" w:hAnsi="宋体" w:cs="宋体"/>
          <w:b/>
          <w:color w:val="auto"/>
          <w:kern w:val="0"/>
          <w:sz w:val="32"/>
          <w:szCs w:val="32"/>
          <w:highlight w:val="none"/>
        </w:rPr>
      </w:pPr>
    </w:p>
    <w:p w14:paraId="7EE595A0">
      <w:pPr>
        <w:pStyle w:val="3"/>
        <w:rPr>
          <w:rFonts w:ascii="宋体" w:hAnsi="宋体" w:eastAsia="宋体" w:cs="宋体"/>
          <w:color w:val="auto"/>
          <w:kern w:val="0"/>
          <w:highlight w:val="none"/>
        </w:rPr>
      </w:pPr>
    </w:p>
    <w:p w14:paraId="2237A20C">
      <w:pPr>
        <w:rPr>
          <w:rFonts w:ascii="宋体" w:hAnsi="宋体" w:cs="宋体"/>
          <w:b/>
          <w:color w:val="auto"/>
          <w:kern w:val="0"/>
          <w:sz w:val="32"/>
          <w:szCs w:val="32"/>
          <w:highlight w:val="none"/>
        </w:rPr>
      </w:pPr>
    </w:p>
    <w:p w14:paraId="5E500F60">
      <w:pPr>
        <w:keepNext w:val="0"/>
        <w:keepLines w:val="0"/>
        <w:pageBreakBefore/>
        <w:widowControl w:val="0"/>
        <w:kinsoku/>
        <w:wordWrap/>
        <w:overflowPunct/>
        <w:topLinePunct w:val="0"/>
        <w:autoSpaceDE/>
        <w:autoSpaceDN/>
        <w:bidi w:val="0"/>
        <w:adjustRightInd w:val="0"/>
        <w:snapToGrid w:val="0"/>
        <w:spacing w:before="319" w:beforeLines="100" w:after="319" w:afterLines="100"/>
        <w:jc w:val="center"/>
        <w:textAlignment w:val="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二、联合协议（如果有）</w:t>
      </w:r>
    </w:p>
    <w:p w14:paraId="7FDCDBAA">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[以联合体形式投标的，提供联合协议（附件5）；本项目不接受联合体投标或者投标人不以联合体形式投标的，则不需要提供。]</w:t>
      </w:r>
    </w:p>
    <w:p w14:paraId="7D582B35">
      <w:pPr>
        <w:snapToGrid w:val="0"/>
        <w:spacing w:before="319" w:beforeLines="100" w:after="319" w:afterLines="100"/>
        <w:jc w:val="center"/>
        <w:rPr>
          <w:rFonts w:ascii="宋体" w:hAnsi="宋体" w:cs="宋体"/>
          <w:b/>
          <w:color w:val="auto"/>
          <w:kern w:val="0"/>
          <w:sz w:val="28"/>
          <w:szCs w:val="28"/>
          <w:highlight w:val="none"/>
        </w:rPr>
      </w:pPr>
    </w:p>
    <w:p w14:paraId="4B537230">
      <w:pPr>
        <w:snapToGrid w:val="0"/>
        <w:spacing w:before="319" w:beforeLines="100" w:after="319" w:afterLines="100"/>
        <w:jc w:val="center"/>
        <w:rPr>
          <w:rFonts w:ascii="宋体" w:hAnsi="宋体" w:cs="宋体"/>
          <w:b/>
          <w:color w:val="auto"/>
          <w:kern w:val="0"/>
          <w:sz w:val="28"/>
          <w:szCs w:val="28"/>
          <w:highlight w:val="none"/>
        </w:rPr>
      </w:pPr>
    </w:p>
    <w:p w14:paraId="1EF91F35">
      <w:pPr>
        <w:snapToGrid w:val="0"/>
        <w:spacing w:before="319" w:beforeLines="100" w:after="319" w:afterLines="100"/>
        <w:jc w:val="center"/>
        <w:rPr>
          <w:rFonts w:ascii="宋体" w:hAnsi="宋体" w:cs="宋体"/>
          <w:b/>
          <w:color w:val="auto"/>
          <w:kern w:val="0"/>
          <w:sz w:val="28"/>
          <w:szCs w:val="28"/>
          <w:highlight w:val="none"/>
        </w:rPr>
      </w:pPr>
    </w:p>
    <w:p w14:paraId="591664D4">
      <w:pPr>
        <w:snapToGrid w:val="0"/>
        <w:spacing w:before="319" w:beforeLines="100" w:after="319" w:afterLines="100"/>
        <w:jc w:val="center"/>
        <w:rPr>
          <w:rFonts w:ascii="宋体" w:hAnsi="宋体" w:cs="宋体"/>
          <w:b/>
          <w:color w:val="auto"/>
          <w:kern w:val="0"/>
          <w:sz w:val="28"/>
          <w:szCs w:val="28"/>
          <w:highlight w:val="none"/>
        </w:rPr>
      </w:pPr>
    </w:p>
    <w:p w14:paraId="06F383E7">
      <w:pPr>
        <w:pStyle w:val="3"/>
        <w:rPr>
          <w:rFonts w:ascii="宋体" w:hAnsi="宋体" w:eastAsia="宋体" w:cs="宋体"/>
          <w:color w:val="auto"/>
          <w:kern w:val="0"/>
          <w:sz w:val="28"/>
          <w:szCs w:val="28"/>
          <w:highlight w:val="none"/>
        </w:rPr>
      </w:pPr>
    </w:p>
    <w:p w14:paraId="3B92B179">
      <w:pPr>
        <w:rPr>
          <w:rFonts w:ascii="宋体" w:hAnsi="宋体" w:cs="宋体"/>
          <w:b/>
          <w:color w:val="auto"/>
          <w:kern w:val="0"/>
          <w:sz w:val="28"/>
          <w:szCs w:val="28"/>
          <w:highlight w:val="none"/>
        </w:rPr>
      </w:pPr>
    </w:p>
    <w:p w14:paraId="0EB25780">
      <w:pPr>
        <w:pStyle w:val="3"/>
        <w:rPr>
          <w:rFonts w:ascii="宋体" w:hAnsi="宋体" w:eastAsia="宋体" w:cs="宋体"/>
          <w:color w:val="auto"/>
          <w:kern w:val="0"/>
          <w:sz w:val="28"/>
          <w:szCs w:val="28"/>
          <w:highlight w:val="none"/>
        </w:rPr>
      </w:pPr>
    </w:p>
    <w:p w14:paraId="406FECB6">
      <w:pPr>
        <w:rPr>
          <w:rFonts w:ascii="宋体" w:hAnsi="宋体" w:cs="宋体"/>
          <w:b/>
          <w:color w:val="auto"/>
          <w:kern w:val="0"/>
          <w:sz w:val="28"/>
          <w:szCs w:val="28"/>
          <w:highlight w:val="none"/>
        </w:rPr>
      </w:pPr>
    </w:p>
    <w:p w14:paraId="49FBC50A">
      <w:pPr>
        <w:pStyle w:val="3"/>
        <w:rPr>
          <w:rFonts w:ascii="宋体" w:hAnsi="宋体" w:eastAsia="宋体" w:cs="宋体"/>
          <w:color w:val="auto"/>
          <w:kern w:val="0"/>
          <w:sz w:val="28"/>
          <w:szCs w:val="28"/>
          <w:highlight w:val="none"/>
        </w:rPr>
      </w:pPr>
    </w:p>
    <w:p w14:paraId="6A963799">
      <w:pPr>
        <w:rPr>
          <w:rFonts w:ascii="宋体" w:hAnsi="宋体" w:cs="宋体"/>
          <w:b/>
          <w:color w:val="auto"/>
          <w:kern w:val="0"/>
          <w:sz w:val="28"/>
          <w:szCs w:val="28"/>
          <w:highlight w:val="none"/>
        </w:rPr>
      </w:pPr>
    </w:p>
    <w:p w14:paraId="455C6C0A">
      <w:pPr>
        <w:pStyle w:val="3"/>
        <w:rPr>
          <w:rFonts w:ascii="宋体" w:hAnsi="宋体" w:eastAsia="宋体" w:cs="宋体"/>
          <w:color w:val="auto"/>
          <w:kern w:val="0"/>
          <w:sz w:val="28"/>
          <w:szCs w:val="28"/>
          <w:highlight w:val="none"/>
        </w:rPr>
      </w:pPr>
    </w:p>
    <w:p w14:paraId="37C25FF2">
      <w:pPr>
        <w:rPr>
          <w:rFonts w:ascii="宋体" w:hAnsi="宋体" w:cs="宋体"/>
          <w:b/>
          <w:color w:val="auto"/>
          <w:kern w:val="0"/>
          <w:sz w:val="28"/>
          <w:szCs w:val="28"/>
          <w:highlight w:val="none"/>
        </w:rPr>
      </w:pPr>
    </w:p>
    <w:p w14:paraId="409A4407">
      <w:pPr>
        <w:pStyle w:val="3"/>
        <w:rPr>
          <w:rFonts w:ascii="宋体" w:hAnsi="宋体" w:eastAsia="宋体" w:cs="宋体"/>
          <w:color w:val="auto"/>
          <w:kern w:val="0"/>
          <w:sz w:val="28"/>
          <w:szCs w:val="28"/>
          <w:highlight w:val="none"/>
        </w:rPr>
      </w:pPr>
    </w:p>
    <w:p w14:paraId="7AF92520">
      <w:pPr>
        <w:rPr>
          <w:rFonts w:ascii="宋体" w:hAnsi="宋体" w:cs="宋体"/>
          <w:b/>
          <w:color w:val="auto"/>
          <w:kern w:val="0"/>
          <w:sz w:val="28"/>
          <w:szCs w:val="28"/>
          <w:highlight w:val="none"/>
        </w:rPr>
      </w:pPr>
    </w:p>
    <w:p w14:paraId="23D53861">
      <w:pPr>
        <w:pStyle w:val="3"/>
        <w:rPr>
          <w:rFonts w:ascii="宋体" w:hAnsi="宋体" w:eastAsia="宋体" w:cs="宋体"/>
          <w:color w:val="auto"/>
          <w:kern w:val="0"/>
          <w:sz w:val="28"/>
          <w:szCs w:val="28"/>
          <w:highlight w:val="none"/>
        </w:rPr>
      </w:pPr>
    </w:p>
    <w:p w14:paraId="620E8968">
      <w:pPr>
        <w:rPr>
          <w:rFonts w:ascii="宋体" w:hAnsi="宋体" w:cs="宋体"/>
          <w:b/>
          <w:color w:val="auto"/>
          <w:kern w:val="0"/>
          <w:sz w:val="28"/>
          <w:szCs w:val="28"/>
          <w:highlight w:val="none"/>
        </w:rPr>
      </w:pPr>
    </w:p>
    <w:p w14:paraId="70555227">
      <w:pPr>
        <w:pStyle w:val="3"/>
        <w:rPr>
          <w:rFonts w:ascii="宋体" w:hAnsi="宋体" w:eastAsia="宋体" w:cs="宋体"/>
          <w:color w:val="auto"/>
          <w:kern w:val="0"/>
          <w:sz w:val="28"/>
          <w:szCs w:val="28"/>
          <w:highlight w:val="none"/>
        </w:rPr>
      </w:pPr>
    </w:p>
    <w:p w14:paraId="5E4E9013">
      <w:pPr>
        <w:rPr>
          <w:rFonts w:ascii="宋体" w:hAnsi="宋体" w:cs="宋体"/>
          <w:b/>
          <w:color w:val="auto"/>
          <w:kern w:val="0"/>
          <w:sz w:val="28"/>
          <w:szCs w:val="28"/>
          <w:highlight w:val="none"/>
        </w:rPr>
      </w:pPr>
    </w:p>
    <w:p w14:paraId="482F8377">
      <w:pPr>
        <w:keepNext w:val="0"/>
        <w:keepLines w:val="0"/>
        <w:pageBreakBefore/>
        <w:widowControl w:val="0"/>
        <w:kinsoku/>
        <w:wordWrap/>
        <w:overflowPunct/>
        <w:topLinePunct w:val="0"/>
        <w:autoSpaceDE/>
        <w:autoSpaceDN/>
        <w:bidi w:val="0"/>
        <w:adjustRightInd w:val="0"/>
        <w:snapToGrid w:val="0"/>
        <w:spacing w:before="319" w:beforeLines="100" w:after="319" w:afterLines="100"/>
        <w:jc w:val="center"/>
        <w:textAlignment w:val="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三、落实政府采购政策需满足的资格要求</w:t>
      </w:r>
    </w:p>
    <w:p w14:paraId="502A2FA1">
      <w:pPr>
        <w:spacing w:line="360" w:lineRule="auto"/>
        <w:rPr>
          <w:rFonts w:ascii="宋体" w:hAnsi="宋体" w:cs="宋体"/>
          <w:color w:val="auto"/>
          <w:szCs w:val="21"/>
          <w:highlight w:val="none"/>
        </w:rPr>
      </w:pPr>
      <w:r>
        <w:rPr>
          <w:rFonts w:hint="eastAsia" w:ascii="宋体" w:hAnsi="宋体" w:cs="宋体"/>
          <w:color w:val="auto"/>
          <w:szCs w:val="21"/>
          <w:highlight w:val="none"/>
        </w:rPr>
        <w:t>[根据招标公告落实政府采购政策需满足的资格要求选择提供相应的材料；未要求的，无需提供。]</w:t>
      </w:r>
    </w:p>
    <w:p w14:paraId="3C1D1B98">
      <w:pPr>
        <w:snapToGrid w:val="0"/>
        <w:spacing w:line="360" w:lineRule="auto"/>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A</w:t>
      </w:r>
      <w:r>
        <w:rPr>
          <w:rFonts w:hint="eastAsia" w:ascii="宋体" w:hAnsi="宋体" w:cs="宋体"/>
          <w:color w:val="auto"/>
          <w:szCs w:val="21"/>
          <w:highlight w:val="none"/>
        </w:rPr>
        <w:t>.专门面向中小企业，服务全部由符合政策要求的中小企业（或小微企业）承接的，提供相应的中小企业声明函（附件7）。</w:t>
      </w:r>
    </w:p>
    <w:p w14:paraId="5B272FD2">
      <w:pPr>
        <w:widowControl/>
        <w:spacing w:line="360" w:lineRule="auto"/>
        <w:ind w:firstLine="420" w:firstLineChars="200"/>
        <w:jc w:val="left"/>
        <w:rPr>
          <w:rFonts w:ascii="宋体" w:hAnsi="宋体" w:cs="宋体"/>
          <w:color w:val="auto"/>
          <w:szCs w:val="21"/>
          <w:highlight w:val="none"/>
        </w:rPr>
      </w:pPr>
    </w:p>
    <w:p w14:paraId="79CD6D62">
      <w:pPr>
        <w:widowControl/>
        <w:spacing w:line="360" w:lineRule="auto"/>
        <w:ind w:firstLine="422" w:firstLineChars="200"/>
        <w:jc w:val="left"/>
        <w:rPr>
          <w:rFonts w:ascii="宋体" w:hAnsi="宋体" w:cs="宋体"/>
          <w:color w:val="auto"/>
          <w:sz w:val="24"/>
          <w:highlight w:val="none"/>
        </w:rPr>
      </w:pPr>
      <w:r>
        <w:rPr>
          <w:rFonts w:hint="eastAsia" w:ascii="宋体" w:hAnsi="宋体" w:cs="宋体"/>
          <w:b/>
          <w:color w:val="auto"/>
          <w:szCs w:val="21"/>
          <w:highlight w:val="none"/>
        </w:rPr>
        <w:t>B.</w:t>
      </w:r>
      <w:r>
        <w:rPr>
          <w:rFonts w:hint="eastAsia" w:ascii="宋体" w:hAnsi="宋体" w:cs="宋体"/>
          <w:color w:val="auto"/>
          <w:szCs w:val="21"/>
          <w:highlight w:val="none"/>
        </w:rPr>
        <w:t>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06D1213E">
      <w:pPr>
        <w:spacing w:line="360" w:lineRule="auto"/>
        <w:ind w:firstLine="422" w:firstLineChars="200"/>
        <w:rPr>
          <w:rFonts w:ascii="宋体" w:hAnsi="宋体" w:cs="宋体"/>
          <w:b/>
          <w:color w:val="auto"/>
          <w:szCs w:val="21"/>
          <w:highlight w:val="none"/>
        </w:rPr>
      </w:pPr>
    </w:p>
    <w:p w14:paraId="650151BF">
      <w:pPr>
        <w:spacing w:line="360" w:lineRule="auto"/>
        <w:ind w:firstLine="422" w:firstLineChars="200"/>
        <w:rPr>
          <w:rFonts w:ascii="宋体" w:hAnsi="宋体" w:cs="宋体"/>
          <w:color w:val="auto"/>
          <w:sz w:val="24"/>
          <w:highlight w:val="none"/>
        </w:rPr>
      </w:pPr>
      <w:r>
        <w:rPr>
          <w:rFonts w:hint="eastAsia" w:ascii="宋体" w:hAnsi="宋体" w:cs="宋体"/>
          <w:b/>
          <w:color w:val="auto"/>
          <w:szCs w:val="21"/>
          <w:highlight w:val="none"/>
        </w:rPr>
        <w:t>C.</w:t>
      </w:r>
      <w:r>
        <w:rPr>
          <w:rFonts w:hint="eastAsia" w:ascii="宋体" w:hAnsi="宋体" w:cs="宋体"/>
          <w:color w:val="auto"/>
          <w:szCs w:val="21"/>
          <w:highlight w:val="none"/>
        </w:rPr>
        <w:t>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108568E0">
      <w:pPr>
        <w:spacing w:line="360" w:lineRule="auto"/>
        <w:jc w:val="center"/>
        <w:rPr>
          <w:rFonts w:ascii="宋体" w:hAnsi="宋体" w:cs="宋体"/>
          <w:color w:val="auto"/>
          <w:kern w:val="0"/>
          <w:sz w:val="24"/>
          <w:highlight w:val="none"/>
          <w:lang w:val="zh-CN"/>
        </w:rPr>
      </w:pPr>
    </w:p>
    <w:p w14:paraId="6BC03FC1">
      <w:pPr>
        <w:widowControl/>
        <w:spacing w:line="360" w:lineRule="auto"/>
        <w:ind w:left="150"/>
        <w:jc w:val="center"/>
        <w:rPr>
          <w:rFonts w:ascii="宋体" w:hAnsi="宋体" w:cs="宋体"/>
          <w:b/>
          <w:color w:val="auto"/>
          <w:kern w:val="0"/>
          <w:sz w:val="32"/>
          <w:szCs w:val="32"/>
          <w:highlight w:val="none"/>
        </w:rPr>
      </w:pPr>
    </w:p>
    <w:p w14:paraId="06C3F4C7">
      <w:pPr>
        <w:widowControl/>
        <w:spacing w:line="360" w:lineRule="auto"/>
        <w:ind w:left="150"/>
        <w:jc w:val="center"/>
        <w:rPr>
          <w:rFonts w:ascii="宋体" w:hAnsi="宋体" w:cs="宋体"/>
          <w:b/>
          <w:color w:val="auto"/>
          <w:kern w:val="0"/>
          <w:sz w:val="32"/>
          <w:szCs w:val="32"/>
          <w:highlight w:val="none"/>
        </w:rPr>
      </w:pPr>
    </w:p>
    <w:p w14:paraId="4A503907">
      <w:pPr>
        <w:widowControl/>
        <w:spacing w:line="360" w:lineRule="auto"/>
        <w:ind w:left="150"/>
        <w:jc w:val="center"/>
        <w:rPr>
          <w:rFonts w:ascii="宋体" w:hAnsi="宋体" w:cs="宋体"/>
          <w:b/>
          <w:color w:val="auto"/>
          <w:kern w:val="0"/>
          <w:sz w:val="32"/>
          <w:szCs w:val="32"/>
          <w:highlight w:val="none"/>
        </w:rPr>
      </w:pPr>
    </w:p>
    <w:p w14:paraId="4A413A55">
      <w:pPr>
        <w:widowControl/>
        <w:spacing w:line="360" w:lineRule="auto"/>
        <w:ind w:left="150"/>
        <w:jc w:val="center"/>
        <w:rPr>
          <w:rFonts w:ascii="宋体" w:hAnsi="宋体" w:cs="宋体"/>
          <w:b/>
          <w:color w:val="auto"/>
          <w:kern w:val="0"/>
          <w:sz w:val="32"/>
          <w:szCs w:val="32"/>
          <w:highlight w:val="none"/>
        </w:rPr>
      </w:pPr>
    </w:p>
    <w:p w14:paraId="55B5BE43">
      <w:pPr>
        <w:widowControl/>
        <w:spacing w:line="360" w:lineRule="auto"/>
        <w:ind w:left="150"/>
        <w:jc w:val="center"/>
        <w:rPr>
          <w:rFonts w:ascii="宋体" w:hAnsi="宋体" w:cs="宋体"/>
          <w:b/>
          <w:color w:val="auto"/>
          <w:kern w:val="0"/>
          <w:sz w:val="32"/>
          <w:szCs w:val="32"/>
          <w:highlight w:val="none"/>
        </w:rPr>
      </w:pPr>
    </w:p>
    <w:p w14:paraId="2A44FC92">
      <w:pPr>
        <w:widowControl/>
        <w:spacing w:line="360" w:lineRule="auto"/>
        <w:ind w:left="150"/>
        <w:jc w:val="center"/>
        <w:rPr>
          <w:rFonts w:ascii="宋体" w:hAnsi="宋体" w:cs="宋体"/>
          <w:b/>
          <w:color w:val="auto"/>
          <w:kern w:val="0"/>
          <w:sz w:val="32"/>
          <w:szCs w:val="32"/>
          <w:highlight w:val="none"/>
        </w:rPr>
      </w:pPr>
    </w:p>
    <w:p w14:paraId="31052399">
      <w:pPr>
        <w:widowControl/>
        <w:spacing w:line="360" w:lineRule="auto"/>
        <w:ind w:left="150"/>
        <w:jc w:val="center"/>
        <w:rPr>
          <w:rFonts w:ascii="宋体" w:hAnsi="宋体" w:cs="宋体"/>
          <w:b/>
          <w:color w:val="auto"/>
          <w:kern w:val="0"/>
          <w:sz w:val="32"/>
          <w:szCs w:val="32"/>
          <w:highlight w:val="none"/>
        </w:rPr>
      </w:pPr>
    </w:p>
    <w:p w14:paraId="7A95EE3C">
      <w:pPr>
        <w:widowControl/>
        <w:spacing w:line="360" w:lineRule="auto"/>
        <w:ind w:left="150"/>
        <w:jc w:val="center"/>
        <w:rPr>
          <w:rFonts w:ascii="宋体" w:hAnsi="宋体" w:cs="宋体"/>
          <w:b/>
          <w:color w:val="auto"/>
          <w:kern w:val="0"/>
          <w:sz w:val="32"/>
          <w:szCs w:val="32"/>
          <w:highlight w:val="none"/>
        </w:rPr>
      </w:pPr>
    </w:p>
    <w:p w14:paraId="03456038">
      <w:pPr>
        <w:widowControl/>
        <w:spacing w:line="360" w:lineRule="auto"/>
        <w:ind w:left="150"/>
        <w:jc w:val="center"/>
        <w:rPr>
          <w:rFonts w:ascii="宋体" w:hAnsi="宋体" w:cs="宋体"/>
          <w:b/>
          <w:color w:val="auto"/>
          <w:kern w:val="0"/>
          <w:sz w:val="32"/>
          <w:szCs w:val="32"/>
          <w:highlight w:val="none"/>
        </w:rPr>
      </w:pPr>
    </w:p>
    <w:p w14:paraId="48D25DEB">
      <w:pPr>
        <w:widowControl/>
        <w:spacing w:line="360" w:lineRule="auto"/>
        <w:ind w:left="150"/>
        <w:jc w:val="center"/>
        <w:rPr>
          <w:rFonts w:ascii="宋体" w:hAnsi="宋体" w:cs="宋体"/>
          <w:b/>
          <w:color w:val="auto"/>
          <w:kern w:val="0"/>
          <w:sz w:val="32"/>
          <w:szCs w:val="32"/>
          <w:highlight w:val="none"/>
        </w:rPr>
      </w:pPr>
    </w:p>
    <w:p w14:paraId="302D371E">
      <w:pPr>
        <w:rPr>
          <w:color w:val="auto"/>
          <w:highlight w:val="none"/>
        </w:rPr>
      </w:pPr>
    </w:p>
    <w:p w14:paraId="209959F8">
      <w:pPr>
        <w:keepNext w:val="0"/>
        <w:keepLines w:val="0"/>
        <w:pageBreakBefore/>
        <w:widowControl w:val="0"/>
        <w:kinsoku/>
        <w:wordWrap w:val="0"/>
        <w:overflowPunct/>
        <w:topLinePunct w:val="0"/>
        <w:autoSpaceDE/>
        <w:autoSpaceDN/>
        <w:bidi w:val="0"/>
        <w:adjustRightInd w:val="0"/>
        <w:snapToGrid w:val="0"/>
        <w:spacing w:before="319" w:beforeLines="100" w:after="319" w:afterLines="100"/>
        <w:jc w:val="center"/>
        <w:textAlignment w:val="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四、本项目的特定资格要求</w:t>
      </w:r>
    </w:p>
    <w:p w14:paraId="56285BF5">
      <w:pPr>
        <w:spacing w:line="360" w:lineRule="auto"/>
        <w:rPr>
          <w:rFonts w:ascii="宋体" w:hAnsi="宋体" w:cs="宋体"/>
          <w:color w:val="auto"/>
          <w:szCs w:val="21"/>
          <w:highlight w:val="none"/>
        </w:rPr>
      </w:pPr>
      <w:r>
        <w:rPr>
          <w:rFonts w:hint="eastAsia" w:ascii="宋体" w:hAnsi="宋体" w:cs="宋体"/>
          <w:color w:val="auto"/>
          <w:szCs w:val="21"/>
          <w:highlight w:val="none"/>
        </w:rPr>
        <w:t>[根据招标公告本项目的特定资格要求提供相应的材料；未要求的，无需提供。]</w:t>
      </w:r>
    </w:p>
    <w:p w14:paraId="43AF8150">
      <w:pPr>
        <w:rPr>
          <w:rFonts w:ascii="宋体" w:hAnsi="宋体" w:cs="宋体"/>
          <w:color w:val="auto"/>
          <w:highlight w:val="none"/>
        </w:rPr>
      </w:pPr>
    </w:p>
    <w:p w14:paraId="171735F5">
      <w:pPr>
        <w:snapToGrid w:val="0"/>
        <w:spacing w:line="360" w:lineRule="auto"/>
        <w:ind w:right="480"/>
        <w:jc w:val="center"/>
        <w:rPr>
          <w:rFonts w:ascii="宋体" w:hAnsi="宋体" w:cs="宋体"/>
          <w:b/>
          <w:color w:val="auto"/>
          <w:kern w:val="0"/>
          <w:sz w:val="32"/>
          <w:szCs w:val="32"/>
          <w:highlight w:val="none"/>
        </w:rPr>
      </w:pPr>
    </w:p>
    <w:p w14:paraId="7784399F">
      <w:pPr>
        <w:snapToGrid w:val="0"/>
        <w:spacing w:line="360" w:lineRule="auto"/>
        <w:ind w:right="480"/>
        <w:jc w:val="center"/>
        <w:rPr>
          <w:rFonts w:ascii="宋体" w:hAnsi="宋体" w:cs="宋体"/>
          <w:b/>
          <w:color w:val="auto"/>
          <w:kern w:val="0"/>
          <w:sz w:val="32"/>
          <w:szCs w:val="32"/>
          <w:highlight w:val="none"/>
        </w:rPr>
      </w:pPr>
    </w:p>
    <w:p w14:paraId="252B395B">
      <w:pPr>
        <w:snapToGrid w:val="0"/>
        <w:spacing w:line="360" w:lineRule="auto"/>
        <w:ind w:right="480"/>
        <w:jc w:val="center"/>
        <w:rPr>
          <w:rFonts w:ascii="宋体" w:hAnsi="宋体" w:cs="宋体"/>
          <w:b/>
          <w:color w:val="auto"/>
          <w:kern w:val="0"/>
          <w:sz w:val="32"/>
          <w:szCs w:val="32"/>
          <w:highlight w:val="none"/>
        </w:rPr>
      </w:pPr>
    </w:p>
    <w:p w14:paraId="48A27768">
      <w:pPr>
        <w:snapToGrid w:val="0"/>
        <w:spacing w:line="360" w:lineRule="auto"/>
        <w:ind w:right="480"/>
        <w:jc w:val="center"/>
        <w:rPr>
          <w:rFonts w:ascii="宋体" w:hAnsi="宋体" w:cs="宋体"/>
          <w:b/>
          <w:color w:val="auto"/>
          <w:kern w:val="0"/>
          <w:sz w:val="32"/>
          <w:szCs w:val="32"/>
          <w:highlight w:val="none"/>
        </w:rPr>
      </w:pPr>
    </w:p>
    <w:p w14:paraId="43603F53">
      <w:pPr>
        <w:snapToGrid w:val="0"/>
        <w:spacing w:line="360" w:lineRule="auto"/>
        <w:ind w:right="480"/>
        <w:jc w:val="center"/>
        <w:rPr>
          <w:rFonts w:ascii="宋体" w:hAnsi="宋体" w:cs="宋体"/>
          <w:b/>
          <w:color w:val="auto"/>
          <w:kern w:val="0"/>
          <w:sz w:val="32"/>
          <w:szCs w:val="32"/>
          <w:highlight w:val="none"/>
        </w:rPr>
      </w:pPr>
    </w:p>
    <w:p w14:paraId="3426ADF7">
      <w:pPr>
        <w:snapToGrid w:val="0"/>
        <w:spacing w:line="360" w:lineRule="auto"/>
        <w:ind w:right="480"/>
        <w:jc w:val="center"/>
        <w:rPr>
          <w:rFonts w:ascii="宋体" w:hAnsi="宋体" w:cs="宋体"/>
          <w:b/>
          <w:color w:val="auto"/>
          <w:kern w:val="0"/>
          <w:sz w:val="32"/>
          <w:szCs w:val="32"/>
          <w:highlight w:val="none"/>
        </w:rPr>
      </w:pPr>
    </w:p>
    <w:p w14:paraId="4E5EEB53">
      <w:pPr>
        <w:spacing w:line="360" w:lineRule="auto"/>
        <w:jc w:val="center"/>
        <w:outlineLvl w:val="0"/>
        <w:rPr>
          <w:rFonts w:ascii="宋体" w:hAnsi="宋体" w:cs="宋体"/>
          <w:b/>
          <w:color w:val="auto"/>
          <w:kern w:val="0"/>
          <w:sz w:val="36"/>
          <w:szCs w:val="36"/>
          <w:highlight w:val="none"/>
        </w:rPr>
      </w:pPr>
    </w:p>
    <w:p w14:paraId="4E4D93BD">
      <w:pPr>
        <w:snapToGrid w:val="0"/>
        <w:spacing w:line="360" w:lineRule="auto"/>
        <w:ind w:right="480"/>
        <w:jc w:val="center"/>
        <w:rPr>
          <w:rFonts w:ascii="宋体" w:hAnsi="宋体" w:cs="宋体"/>
          <w:b/>
          <w:color w:val="auto"/>
          <w:kern w:val="0"/>
          <w:sz w:val="32"/>
          <w:szCs w:val="32"/>
          <w:highlight w:val="none"/>
        </w:rPr>
      </w:pPr>
    </w:p>
    <w:p w14:paraId="0525F2FD">
      <w:pPr>
        <w:spacing w:line="360" w:lineRule="auto"/>
        <w:jc w:val="center"/>
        <w:outlineLvl w:val="0"/>
        <w:rPr>
          <w:rFonts w:ascii="宋体" w:hAnsi="宋体" w:cs="宋体"/>
          <w:b/>
          <w:color w:val="auto"/>
          <w:kern w:val="0"/>
          <w:sz w:val="36"/>
          <w:szCs w:val="36"/>
          <w:highlight w:val="none"/>
        </w:rPr>
      </w:pPr>
    </w:p>
    <w:p w14:paraId="4E766A51">
      <w:pPr>
        <w:snapToGrid w:val="0"/>
        <w:spacing w:line="360" w:lineRule="auto"/>
        <w:ind w:right="480"/>
        <w:jc w:val="center"/>
        <w:rPr>
          <w:rFonts w:ascii="宋体" w:hAnsi="宋体" w:cs="宋体"/>
          <w:b/>
          <w:color w:val="auto"/>
          <w:kern w:val="0"/>
          <w:sz w:val="32"/>
          <w:szCs w:val="32"/>
          <w:highlight w:val="none"/>
        </w:rPr>
      </w:pPr>
    </w:p>
    <w:p w14:paraId="5838DE38">
      <w:pPr>
        <w:spacing w:line="360" w:lineRule="auto"/>
        <w:jc w:val="center"/>
        <w:outlineLvl w:val="0"/>
        <w:rPr>
          <w:rFonts w:ascii="宋体" w:hAnsi="宋体" w:cs="宋体"/>
          <w:b/>
          <w:color w:val="auto"/>
          <w:kern w:val="0"/>
          <w:sz w:val="36"/>
          <w:szCs w:val="36"/>
          <w:highlight w:val="none"/>
        </w:rPr>
      </w:pPr>
    </w:p>
    <w:p w14:paraId="3073A42A">
      <w:pPr>
        <w:adjustRightInd/>
        <w:spacing w:before="319" w:beforeLines="100" w:after="319" w:afterLines="10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r>
        <w:rPr>
          <w:rFonts w:hint="eastAsia" w:ascii="宋体" w:hAnsi="宋体" w:cs="宋体"/>
          <w:b/>
          <w:color w:val="auto"/>
          <w:kern w:val="0"/>
          <w:sz w:val="28"/>
          <w:szCs w:val="28"/>
          <w:highlight w:val="none"/>
        </w:rPr>
        <w:t>商务技术文件部分</w:t>
      </w:r>
    </w:p>
    <w:p w14:paraId="372232A4">
      <w:pPr>
        <w:widowControl/>
        <w:adjustRightInd/>
        <w:spacing w:before="319" w:beforeLines="100" w:after="319"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FF9D863">
      <w:pPr>
        <w:wordWrap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投标函…………………………………………………………………………（页码）</w:t>
      </w:r>
    </w:p>
    <w:p w14:paraId="3B783FCA">
      <w:pPr>
        <w:wordWrap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授权委托书或法定代表人（单位负责人、自然人本人）身份证明………（页码）</w:t>
      </w:r>
    </w:p>
    <w:p w14:paraId="4170EE38">
      <w:pPr>
        <w:wordWrap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分包意向协议…………………………………………………………………（页码）</w:t>
      </w:r>
    </w:p>
    <w:p w14:paraId="67D6C524">
      <w:pPr>
        <w:wordWrap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符合性审查资料………………………………………………………………（页码）</w:t>
      </w:r>
    </w:p>
    <w:p w14:paraId="4785B4E9">
      <w:pPr>
        <w:wordWrap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评标标准相应的商务技术资料………………………………………………（页码）</w:t>
      </w:r>
    </w:p>
    <w:p w14:paraId="4B5A5D17">
      <w:pPr>
        <w:wordWrap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商务技术偏离表………………………………………………………………（页码）</w:t>
      </w:r>
    </w:p>
    <w:p w14:paraId="69115FDA">
      <w:pPr>
        <w:wordWrap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val="zh-CN"/>
        </w:rPr>
        <w:t>政府采购供应商廉洁自律承诺书</w:t>
      </w:r>
      <w:r>
        <w:rPr>
          <w:rFonts w:hint="eastAsia" w:ascii="宋体" w:hAnsi="宋体" w:cs="宋体"/>
          <w:color w:val="auto"/>
          <w:szCs w:val="21"/>
          <w:highlight w:val="none"/>
        </w:rPr>
        <w:t>……………………………………………（页码）</w:t>
      </w:r>
    </w:p>
    <w:p w14:paraId="2F75A44B">
      <w:pPr>
        <w:widowControl/>
        <w:adjustRightInd/>
        <w:jc w:val="left"/>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018987B6">
      <w:pPr>
        <w:widowControl/>
        <w:adjustRightInd/>
        <w:spacing w:before="319" w:beforeLines="100" w:after="319"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一、投标函</w:t>
      </w:r>
    </w:p>
    <w:p w14:paraId="6383DD04">
      <w:pPr>
        <w:snapToGrid w:val="0"/>
        <w:spacing w:line="312" w:lineRule="auto"/>
        <w:rPr>
          <w:rFonts w:ascii="宋体" w:hAnsi="宋体" w:cs="宋体"/>
          <w:color w:val="auto"/>
          <w:szCs w:val="21"/>
          <w:highlight w:val="none"/>
        </w:rPr>
      </w:pPr>
      <w:r>
        <w:rPr>
          <w:rFonts w:hint="eastAsia" w:ascii="宋体" w:hAnsi="宋体" w:cs="宋体"/>
          <w:color w:val="auto"/>
          <w:szCs w:val="21"/>
          <w:highlight w:val="none"/>
        </w:rPr>
        <w:t>（采购人）、（采购代理机构）：</w:t>
      </w:r>
    </w:p>
    <w:p w14:paraId="2C004956">
      <w:pPr>
        <w:snapToGrid w:val="0"/>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我方参加你方组织的（项目名称）【招标编号：</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（采购编号）】招标的有关活动，并对此项目进行投标。为此：</w:t>
      </w:r>
    </w:p>
    <w:p w14:paraId="6A869510">
      <w:pPr>
        <w:snapToGrid w:val="0"/>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1、我方承诺投标有效期从提交投标文件的截止之日起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天（不少于90天），本投标文件在投标有效期满之前均具有约束力。</w:t>
      </w:r>
    </w:p>
    <w:p w14:paraId="0C9F77AA">
      <w:pPr>
        <w:snapToGrid w:val="0"/>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2、我方的投标文件包括以下内容：</w:t>
      </w:r>
    </w:p>
    <w:p w14:paraId="235641E0">
      <w:pPr>
        <w:snapToGrid w:val="0"/>
        <w:spacing w:line="312" w:lineRule="auto"/>
        <w:ind w:firstLine="630" w:firstLineChars="300"/>
        <w:rPr>
          <w:rFonts w:ascii="宋体" w:hAnsi="宋体" w:cs="宋体"/>
          <w:b/>
          <w:bCs/>
          <w:color w:val="auto"/>
          <w:szCs w:val="21"/>
          <w:highlight w:val="none"/>
        </w:rPr>
      </w:pPr>
      <w:r>
        <w:rPr>
          <w:rFonts w:hint="eastAsia" w:ascii="宋体" w:hAnsi="宋体" w:cs="宋体"/>
          <w:color w:val="auto"/>
          <w:szCs w:val="21"/>
          <w:highlight w:val="none"/>
        </w:rPr>
        <w:t>2.1 资格文件：</w:t>
      </w:r>
    </w:p>
    <w:p w14:paraId="2848DD24">
      <w:pPr>
        <w:snapToGrid w:val="0"/>
        <w:spacing w:line="312"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2.1.1 承诺函；</w:t>
      </w:r>
    </w:p>
    <w:p w14:paraId="2D4E9E96">
      <w:pPr>
        <w:snapToGrid w:val="0"/>
        <w:spacing w:line="312"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2.1.2 联合协议（如果有）；</w:t>
      </w:r>
    </w:p>
    <w:p w14:paraId="178A2BAC">
      <w:pPr>
        <w:snapToGrid w:val="0"/>
        <w:spacing w:line="312"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2.1.3 落实政府采购政策需满足的资格要求（如果有）；</w:t>
      </w:r>
    </w:p>
    <w:p w14:paraId="07E48C83">
      <w:pPr>
        <w:snapToGrid w:val="0"/>
        <w:spacing w:line="312"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2.1.4 本项目的特定资格要求（如果有）。</w:t>
      </w:r>
    </w:p>
    <w:p w14:paraId="043403A5">
      <w:pPr>
        <w:snapToGrid w:val="0"/>
        <w:spacing w:line="312" w:lineRule="auto"/>
        <w:ind w:firstLine="630" w:firstLineChars="3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 商务技术</w:t>
      </w:r>
      <w:r>
        <w:rPr>
          <w:rFonts w:hint="eastAsia" w:ascii="宋体" w:hAnsi="宋体" w:cs="宋体"/>
          <w:color w:val="auto"/>
          <w:szCs w:val="21"/>
          <w:highlight w:val="none"/>
          <w:lang w:val="zh-CN"/>
        </w:rPr>
        <w:t>文件：</w:t>
      </w:r>
    </w:p>
    <w:p w14:paraId="02CC0E01">
      <w:pPr>
        <w:snapToGrid w:val="0"/>
        <w:spacing w:line="312"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2.2.1 投标函；</w:t>
      </w:r>
    </w:p>
    <w:p w14:paraId="1AFBBE09">
      <w:pPr>
        <w:snapToGrid w:val="0"/>
        <w:spacing w:line="312"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2.2.2 授权委托书或法定代表人（单位负责人）身份证明；</w:t>
      </w:r>
    </w:p>
    <w:p w14:paraId="7AEE4287">
      <w:pPr>
        <w:snapToGrid w:val="0"/>
        <w:spacing w:line="312"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2.2.3 分包意向协议（如果有）；</w:t>
      </w:r>
    </w:p>
    <w:p w14:paraId="3ECD35D4">
      <w:pPr>
        <w:snapToGrid w:val="0"/>
        <w:spacing w:line="312"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2.2.4 符合性审查资料；</w:t>
      </w:r>
    </w:p>
    <w:p w14:paraId="4D111D87">
      <w:pPr>
        <w:snapToGrid w:val="0"/>
        <w:spacing w:line="312"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2.2.5 评标标准相应的商务技术资料；</w:t>
      </w:r>
    </w:p>
    <w:p w14:paraId="2B86A0A1">
      <w:pPr>
        <w:snapToGrid w:val="0"/>
        <w:spacing w:line="312"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 商务技术偏离表；</w:t>
      </w:r>
    </w:p>
    <w:p w14:paraId="5E99C87C">
      <w:pPr>
        <w:snapToGrid w:val="0"/>
        <w:spacing w:line="312"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政府采购供应商廉洁自律承诺书；</w:t>
      </w:r>
    </w:p>
    <w:p w14:paraId="7147A33A">
      <w:pPr>
        <w:snapToGrid w:val="0"/>
        <w:spacing w:line="312"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3 报价文件</w:t>
      </w:r>
    </w:p>
    <w:p w14:paraId="69334FFE">
      <w:pPr>
        <w:snapToGrid w:val="0"/>
        <w:spacing w:line="312"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2.3.1 开标一览表（报价表）；</w:t>
      </w:r>
    </w:p>
    <w:p w14:paraId="20B47F65">
      <w:pPr>
        <w:snapToGrid w:val="0"/>
        <w:spacing w:line="312"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2.3.2 报价明细表；</w:t>
      </w:r>
    </w:p>
    <w:p w14:paraId="6607C055">
      <w:pPr>
        <w:snapToGrid w:val="0"/>
        <w:spacing w:line="312"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2.3.3 报价情况说明（如有）；</w:t>
      </w:r>
    </w:p>
    <w:p w14:paraId="362976B0">
      <w:pPr>
        <w:snapToGrid w:val="0"/>
        <w:spacing w:line="312"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2.3.3 中小企业声明函（如果有，招标公告中明确本项目专门面向中小企业采购的，此处可不提供）。</w:t>
      </w:r>
    </w:p>
    <w:p w14:paraId="5BFA6A51">
      <w:pPr>
        <w:snapToGrid w:val="0"/>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3、我方承诺除商务技术偏离表列出的偏离外，我方响应招标文件的全部要求。</w:t>
      </w:r>
    </w:p>
    <w:p w14:paraId="1EE17BFD">
      <w:pPr>
        <w:snapToGrid w:val="0"/>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4、如我方中标，我方承诺：</w:t>
      </w:r>
    </w:p>
    <w:p w14:paraId="5897F9C9">
      <w:pPr>
        <w:snapToGrid w:val="0"/>
        <w:spacing w:line="312"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4.1 在收到中标通知书后，在中标通知书规定的期限内与你方签订合同； </w:t>
      </w:r>
    </w:p>
    <w:p w14:paraId="7EDE479E">
      <w:pPr>
        <w:snapToGrid w:val="0"/>
        <w:spacing w:line="312"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4.2 在签订合同时不向你方提出附加条件； </w:t>
      </w:r>
    </w:p>
    <w:p w14:paraId="5F2EAE77">
      <w:pPr>
        <w:snapToGrid w:val="0"/>
        <w:spacing w:line="312"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4.3 按照招标文件要求提交履约保证金； </w:t>
      </w:r>
    </w:p>
    <w:p w14:paraId="085C8CFA">
      <w:pPr>
        <w:snapToGrid w:val="0"/>
        <w:spacing w:line="312"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4.4 在合同约定的期限内完成合同规定的全部义务。 </w:t>
      </w:r>
    </w:p>
    <w:p w14:paraId="7B0557F0">
      <w:pPr>
        <w:snapToGrid w:val="0"/>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5、其他补充说明：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B1737DD">
      <w:pPr>
        <w:spacing w:line="360" w:lineRule="auto"/>
        <w:ind w:firstLine="4620" w:firstLineChars="2200"/>
        <w:rPr>
          <w:rFonts w:ascii="宋体" w:hAnsi="宋体" w:cs="宋体"/>
          <w:color w:val="auto"/>
          <w:szCs w:val="21"/>
          <w:highlight w:val="none"/>
        </w:rPr>
      </w:pPr>
      <w:r>
        <w:rPr>
          <w:rFonts w:hint="eastAsia" w:ascii="宋体" w:hAnsi="宋体" w:cs="宋体"/>
          <w:color w:val="auto"/>
          <w:szCs w:val="21"/>
          <w:highlight w:val="none"/>
        </w:rPr>
        <w:t>投标人名称（电子签名）：</w:t>
      </w:r>
    </w:p>
    <w:p w14:paraId="2166EBD8">
      <w:pPr>
        <w:spacing w:line="360" w:lineRule="auto"/>
        <w:ind w:firstLine="4620" w:firstLineChars="2200"/>
        <w:rPr>
          <w:rFonts w:ascii="宋体" w:hAnsi="宋体" w:cs="宋体"/>
          <w:color w:val="auto"/>
          <w:sz w:val="24"/>
          <w:highlight w:val="none"/>
        </w:rPr>
      </w:pPr>
      <w:r>
        <w:rPr>
          <w:rFonts w:hint="eastAsia" w:ascii="宋体" w:hAnsi="宋体" w:cs="宋体"/>
          <w:color w:val="auto"/>
          <w:szCs w:val="21"/>
          <w:highlight w:val="none"/>
        </w:rPr>
        <w:t>日期：  年   月   日</w:t>
      </w:r>
    </w:p>
    <w:p w14:paraId="0B043720">
      <w:pPr>
        <w:snapToGrid w:val="0"/>
        <w:rPr>
          <w:rFonts w:ascii="宋体" w:hAnsi="宋体" w:cs="宋体"/>
          <w:b/>
          <w:bCs/>
          <w:color w:val="auto"/>
          <w:szCs w:val="21"/>
          <w:highlight w:val="none"/>
        </w:rPr>
      </w:pPr>
      <w:r>
        <w:rPr>
          <w:rFonts w:hint="eastAsia" w:ascii="宋体" w:hAnsi="宋体" w:cs="宋体"/>
          <w:b/>
          <w:bCs/>
          <w:color w:val="auto"/>
          <w:szCs w:val="21"/>
          <w:highlight w:val="none"/>
          <w:lang w:val="zh-CN"/>
        </w:rPr>
        <w:t>注</w:t>
      </w:r>
      <w:r>
        <w:rPr>
          <w:rFonts w:hint="eastAsia" w:ascii="宋体" w:hAnsi="宋体" w:cs="宋体"/>
          <w:b/>
          <w:bCs/>
          <w:color w:val="auto"/>
          <w:szCs w:val="21"/>
          <w:highlight w:val="none"/>
        </w:rPr>
        <w:t>：</w:t>
      </w:r>
      <w:r>
        <w:rPr>
          <w:rFonts w:hint="eastAsia" w:ascii="宋体" w:hAnsi="宋体" w:cs="宋体"/>
          <w:b/>
          <w:bCs/>
          <w:color w:val="auto"/>
          <w:szCs w:val="21"/>
          <w:highlight w:val="none"/>
          <w:lang w:val="zh-CN"/>
        </w:rPr>
        <w:t>按本格式和要求提供。</w:t>
      </w:r>
    </w:p>
    <w:p w14:paraId="2EA8BD11">
      <w:pPr>
        <w:widowControl/>
        <w:adjustRightInd/>
        <w:spacing w:before="319" w:beforeLines="100" w:after="319" w:afterLines="100"/>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二、授权委托书或法定代表人（单位负责人、自然人本人）身份证明</w:t>
      </w:r>
    </w:p>
    <w:p w14:paraId="188AD5BC">
      <w:pPr>
        <w:widowControl/>
        <w:adjustRightInd/>
        <w:spacing w:before="319" w:beforeLines="100" w:after="319"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lang w:val="zh-CN"/>
        </w:rPr>
        <w:t>授权委托书（适用于非联合体投标）</w:t>
      </w:r>
    </w:p>
    <w:p w14:paraId="7C28113A">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（采购人）、（采购代理机构）</w:t>
      </w:r>
      <w:r>
        <w:rPr>
          <w:rFonts w:hint="eastAsia" w:ascii="宋体" w:hAnsi="宋体" w:cs="宋体"/>
          <w:color w:val="auto"/>
          <w:kern w:val="0"/>
          <w:szCs w:val="21"/>
          <w:highlight w:val="none"/>
          <w:lang w:val="zh-CN"/>
        </w:rPr>
        <w:t>：</w:t>
      </w:r>
    </w:p>
    <w:p w14:paraId="58AE9005">
      <w:pPr>
        <w:wordWrap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（姓名）为我方代理人（身份证号码：</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：），以我方名义处理</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（项目名称）【招标编号：</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（采购编号）】</w:t>
      </w:r>
      <w:r>
        <w:rPr>
          <w:rFonts w:hint="eastAsia" w:ascii="宋体" w:hAnsi="宋体" w:cs="宋体"/>
          <w:color w:val="auto"/>
          <w:kern w:val="0"/>
          <w:szCs w:val="21"/>
          <w:highlight w:val="none"/>
          <w:lang w:val="zh-CN"/>
        </w:rPr>
        <w:t>政府采购投标的一切事项，其法律后果由我方承担。</w:t>
      </w:r>
    </w:p>
    <w:p w14:paraId="614AA8A9">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日止。</w:t>
      </w:r>
    </w:p>
    <w:p w14:paraId="1D10BE5D">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特此告知。</w:t>
      </w:r>
    </w:p>
    <w:p w14:paraId="621C928D">
      <w:pPr>
        <w:snapToGrid w:val="0"/>
        <w:spacing w:line="360" w:lineRule="auto"/>
        <w:ind w:firstLine="4620" w:firstLineChars="2200"/>
        <w:rPr>
          <w:rFonts w:ascii="宋体" w:hAnsi="宋体" w:cs="宋体"/>
          <w:color w:val="auto"/>
          <w:kern w:val="0"/>
          <w:szCs w:val="21"/>
          <w:highlight w:val="none"/>
        </w:rPr>
      </w:pPr>
      <w:r>
        <w:rPr>
          <w:rFonts w:hint="eastAsia" w:ascii="宋体" w:hAnsi="宋体" w:cs="宋体"/>
          <w:color w:val="auto"/>
          <w:kern w:val="0"/>
          <w:szCs w:val="21"/>
          <w:highlight w:val="none"/>
          <w:lang w:val="zh-CN"/>
        </w:rPr>
        <w:t>投标人名称(电子签名)：</w:t>
      </w:r>
    </w:p>
    <w:p w14:paraId="33A3C61E">
      <w:pPr>
        <w:snapToGrid w:val="0"/>
        <w:spacing w:line="360" w:lineRule="auto"/>
        <w:ind w:firstLine="4620" w:firstLineChars="2200"/>
        <w:rPr>
          <w:rFonts w:ascii="宋体" w:hAnsi="宋体" w:cs="宋体"/>
          <w:color w:val="auto"/>
          <w:kern w:val="0"/>
          <w:sz w:val="24"/>
          <w:highlight w:val="none"/>
          <w:lang w:val="zh-CN"/>
        </w:rPr>
      </w:pPr>
      <w:r>
        <w:rPr>
          <w:rFonts w:hint="eastAsia" w:ascii="宋体" w:hAnsi="宋体" w:cs="宋体"/>
          <w:color w:val="auto"/>
          <w:kern w:val="0"/>
          <w:szCs w:val="21"/>
          <w:highlight w:val="none"/>
          <w:lang w:val="zh-CN"/>
        </w:rPr>
        <w:t>签发日期：</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3D85A4CB">
      <w:pPr>
        <w:snapToGrid w:val="0"/>
        <w:spacing w:line="360" w:lineRule="auto"/>
        <w:rPr>
          <w:rFonts w:ascii="宋体" w:hAnsi="宋体" w:cs="宋体"/>
          <w:color w:val="auto"/>
          <w:sz w:val="24"/>
          <w:highlight w:val="none"/>
        </w:rPr>
      </w:pPr>
    </w:p>
    <w:p w14:paraId="54B2C744">
      <w:pPr>
        <w:jc w:val="center"/>
        <w:rPr>
          <w:rFonts w:ascii="宋体" w:hAnsi="宋体" w:cs="宋体"/>
          <w:b/>
          <w:color w:val="auto"/>
          <w:kern w:val="0"/>
          <w:sz w:val="32"/>
          <w:szCs w:val="32"/>
          <w:highlight w:val="none"/>
          <w:lang w:val="zh-CN"/>
        </w:rPr>
      </w:pPr>
    </w:p>
    <w:p w14:paraId="0F02B7E9">
      <w:pPr>
        <w:widowControl/>
        <w:adjustRightInd/>
        <w:spacing w:before="319" w:beforeLines="100" w:after="319" w:afterLines="100"/>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授权委托书（适用于联合体投标）</w:t>
      </w:r>
    </w:p>
    <w:p w14:paraId="3BBCDECD">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（采购人）、（采购代理机构）</w:t>
      </w:r>
      <w:r>
        <w:rPr>
          <w:rFonts w:hint="eastAsia" w:ascii="宋体" w:hAnsi="宋体" w:cs="宋体"/>
          <w:color w:val="auto"/>
          <w:kern w:val="0"/>
          <w:szCs w:val="21"/>
          <w:highlight w:val="none"/>
          <w:lang w:val="zh-CN"/>
        </w:rPr>
        <w:t>：</w:t>
      </w:r>
    </w:p>
    <w:p w14:paraId="3EF2303A">
      <w:pPr>
        <w:wordWrap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（姓名）为我方代理人（身份证号码：</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），以我方名义处理</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（项目名称）【招标编号：</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（采购编号）】</w:t>
      </w:r>
      <w:r>
        <w:rPr>
          <w:rFonts w:hint="eastAsia" w:ascii="宋体" w:hAnsi="宋体" w:cs="宋体"/>
          <w:color w:val="auto"/>
          <w:kern w:val="0"/>
          <w:szCs w:val="21"/>
          <w:highlight w:val="none"/>
          <w:lang w:val="zh-CN"/>
        </w:rPr>
        <w:t>政府采购投标的一切事项，其法律后果由我方承担。</w:t>
      </w:r>
    </w:p>
    <w:p w14:paraId="23A16FB7">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日止。</w:t>
      </w:r>
    </w:p>
    <w:p w14:paraId="2686BA24">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特此告知。</w:t>
      </w:r>
    </w:p>
    <w:p w14:paraId="5AFD2933">
      <w:pPr>
        <w:spacing w:line="360" w:lineRule="auto"/>
        <w:jc w:val="center"/>
        <w:rPr>
          <w:rFonts w:ascii="宋体" w:hAnsi="宋体" w:cs="宋体"/>
          <w:b/>
          <w:color w:val="auto"/>
          <w:kern w:val="0"/>
          <w:szCs w:val="21"/>
          <w:highlight w:val="none"/>
        </w:rPr>
      </w:pPr>
    </w:p>
    <w:p w14:paraId="238D2428">
      <w:pPr>
        <w:spacing w:line="360" w:lineRule="auto"/>
        <w:rPr>
          <w:rFonts w:ascii="宋体" w:hAnsi="宋体" w:cs="宋体"/>
          <w:color w:val="auto"/>
          <w:szCs w:val="21"/>
          <w:highlight w:val="none"/>
        </w:rPr>
      </w:pPr>
    </w:p>
    <w:p w14:paraId="39F8E52C">
      <w:pPr>
        <w:snapToGrid w:val="0"/>
        <w:spacing w:line="360" w:lineRule="auto"/>
        <w:ind w:firstLine="4620" w:firstLineChars="2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0DCBB2AE">
      <w:pPr>
        <w:snapToGrid w:val="0"/>
        <w:spacing w:line="360" w:lineRule="auto"/>
        <w:ind w:firstLine="4620" w:firstLineChars="2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4D850088">
      <w:pPr>
        <w:snapToGrid w:val="0"/>
        <w:spacing w:line="360" w:lineRule="auto"/>
        <w:ind w:firstLine="4620" w:firstLineChars="2200"/>
        <w:rPr>
          <w:rFonts w:ascii="宋体" w:hAnsi="宋体" w:cs="宋体"/>
          <w:color w:val="auto"/>
          <w:szCs w:val="21"/>
          <w:highlight w:val="none"/>
        </w:rPr>
      </w:pPr>
      <w:r>
        <w:rPr>
          <w:rFonts w:hint="eastAsia" w:ascii="宋体" w:hAnsi="宋体" w:cs="宋体"/>
          <w:color w:val="auto"/>
          <w:kern w:val="0"/>
          <w:szCs w:val="21"/>
          <w:highlight w:val="none"/>
          <w:lang w:val="zh-CN"/>
        </w:rPr>
        <w:t>……</w:t>
      </w:r>
    </w:p>
    <w:p w14:paraId="788892CD">
      <w:pPr>
        <w:snapToGrid w:val="0"/>
        <w:spacing w:line="360" w:lineRule="auto"/>
        <w:ind w:firstLine="4620" w:firstLineChars="2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44986DEA">
      <w:pPr>
        <w:autoSpaceDE w:val="0"/>
        <w:autoSpaceDN w:val="0"/>
        <w:spacing w:line="360" w:lineRule="auto"/>
        <w:jc w:val="center"/>
        <w:rPr>
          <w:rFonts w:ascii="宋体" w:hAnsi="宋体" w:cs="宋体"/>
          <w:b/>
          <w:color w:val="auto"/>
          <w:kern w:val="0"/>
          <w:sz w:val="32"/>
          <w:szCs w:val="32"/>
          <w:highlight w:val="none"/>
          <w:lang w:val="zh-CN"/>
        </w:rPr>
      </w:pPr>
    </w:p>
    <w:p w14:paraId="374FF41C">
      <w:pPr>
        <w:widowControl/>
        <w:adjustRightInd/>
        <w:spacing w:before="319" w:beforeLines="100" w:after="319" w:afterLines="100"/>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法定代表人、单位负责人或自然人本人的身份证明（适用于法定代表人、单位负责人或者自然人本人代表投标人参加投标）</w:t>
      </w:r>
    </w:p>
    <w:p w14:paraId="11702A9C">
      <w:pPr>
        <w:pStyle w:val="153"/>
        <w:spacing w:line="360" w:lineRule="auto"/>
        <w:rPr>
          <w:rFonts w:hAnsi="宋体" w:cs="宋体"/>
          <w:bCs/>
          <w:color w:val="auto"/>
          <w:highlight w:val="none"/>
        </w:rPr>
      </w:pPr>
      <w:r>
        <w:rPr>
          <w:rFonts w:hint="eastAsia" w:hAnsi="宋体" w:cs="宋体"/>
          <w:bCs/>
          <w:color w:val="auto"/>
          <w:highlight w:val="none"/>
        </w:rPr>
        <w:t>身份证件扫描件：</w:t>
      </w:r>
    </w:p>
    <w:tbl>
      <w:tblPr>
        <w:tblStyle w:val="64"/>
        <w:tblW w:w="97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4902"/>
        <w:gridCol w:w="4829"/>
      </w:tblGrid>
      <w:tr w14:paraId="6D740A9E">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4812" w:hRule="atLeast"/>
          <w:jc w:val="center"/>
        </w:trPr>
        <w:tc>
          <w:tcPr>
            <w:tcW w:w="4902" w:type="dxa"/>
            <w:tcBorders>
              <w:tl2br w:val="nil"/>
              <w:tr2bl w:val="nil"/>
            </w:tcBorders>
          </w:tcPr>
          <w:p w14:paraId="60CBE676">
            <w:pPr>
              <w:pStyle w:val="153"/>
              <w:adjustRightInd w:val="0"/>
              <w:spacing w:line="360" w:lineRule="auto"/>
              <w:rPr>
                <w:rFonts w:hAnsi="宋体" w:cs="宋体"/>
                <w:bCs/>
                <w:color w:val="auto"/>
                <w:highlight w:val="none"/>
              </w:rPr>
            </w:pPr>
            <w:r>
              <w:rPr>
                <w:rFonts w:hint="eastAsia" w:hAnsi="宋体" w:cs="宋体"/>
                <w:bCs/>
                <w:color w:val="auto"/>
                <w:highlight w:val="none"/>
              </w:rPr>
              <w:t>正面：</w:t>
            </w:r>
          </w:p>
          <w:p w14:paraId="5D15628A">
            <w:pPr>
              <w:pStyle w:val="153"/>
              <w:adjustRightInd w:val="0"/>
              <w:spacing w:line="360" w:lineRule="auto"/>
              <w:rPr>
                <w:rFonts w:hAnsi="宋体" w:cs="宋体"/>
                <w:bCs/>
                <w:color w:val="auto"/>
                <w:highlight w:val="none"/>
              </w:rPr>
            </w:pPr>
          </w:p>
        </w:tc>
        <w:tc>
          <w:tcPr>
            <w:tcW w:w="4829" w:type="dxa"/>
            <w:tcBorders>
              <w:tl2br w:val="nil"/>
              <w:tr2bl w:val="nil"/>
            </w:tcBorders>
          </w:tcPr>
          <w:p w14:paraId="795C04FF">
            <w:pPr>
              <w:pStyle w:val="153"/>
              <w:adjustRightInd w:val="0"/>
              <w:spacing w:line="360" w:lineRule="auto"/>
              <w:rPr>
                <w:rFonts w:hAnsi="宋体" w:cs="宋体"/>
                <w:bCs/>
                <w:color w:val="auto"/>
                <w:highlight w:val="none"/>
              </w:rPr>
            </w:pPr>
            <w:r>
              <w:rPr>
                <w:rFonts w:hint="eastAsia" w:hAnsi="宋体" w:cs="宋体"/>
                <w:bCs/>
                <w:color w:val="auto"/>
                <w:highlight w:val="none"/>
              </w:rPr>
              <w:t>反面：</w:t>
            </w:r>
          </w:p>
        </w:tc>
      </w:tr>
    </w:tbl>
    <w:p w14:paraId="04210EEA">
      <w:pPr>
        <w:snapToGrid w:val="0"/>
        <w:spacing w:line="360" w:lineRule="auto"/>
        <w:ind w:firstLine="576"/>
        <w:jc w:val="center"/>
        <w:rPr>
          <w:rFonts w:ascii="宋体" w:hAnsi="宋体" w:cs="宋体"/>
          <w:color w:val="auto"/>
          <w:kern w:val="0"/>
          <w:szCs w:val="21"/>
          <w:highlight w:val="none"/>
          <w:lang w:val="zh-CN"/>
        </w:rPr>
      </w:pPr>
    </w:p>
    <w:p w14:paraId="36FCF0D9">
      <w:pPr>
        <w:spacing w:line="360" w:lineRule="auto"/>
        <w:ind w:firstLine="4620" w:firstLineChars="2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投标人名称(电子签名)：</w:t>
      </w:r>
    </w:p>
    <w:p w14:paraId="678AB721">
      <w:pPr>
        <w:spacing w:line="360" w:lineRule="auto"/>
        <w:ind w:firstLine="4620" w:firstLineChars="2200"/>
        <w:rPr>
          <w:rFonts w:ascii="宋体" w:hAnsi="宋体" w:cs="宋体"/>
          <w:color w:val="auto"/>
          <w:kern w:val="0"/>
          <w:sz w:val="24"/>
          <w:highlight w:val="none"/>
          <w:lang w:val="zh-CN"/>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32B6876E">
      <w:pPr>
        <w:jc w:val="center"/>
        <w:rPr>
          <w:rFonts w:ascii="宋体" w:hAnsi="宋体" w:cs="宋体"/>
          <w:b/>
          <w:color w:val="auto"/>
          <w:kern w:val="0"/>
          <w:sz w:val="32"/>
          <w:szCs w:val="32"/>
          <w:highlight w:val="none"/>
        </w:rPr>
      </w:pPr>
    </w:p>
    <w:p w14:paraId="40EF2883">
      <w:pPr>
        <w:jc w:val="center"/>
        <w:rPr>
          <w:rFonts w:ascii="宋体" w:hAnsi="宋体" w:cs="宋体"/>
          <w:b/>
          <w:color w:val="auto"/>
          <w:kern w:val="0"/>
          <w:sz w:val="32"/>
          <w:szCs w:val="32"/>
          <w:highlight w:val="none"/>
        </w:rPr>
      </w:pPr>
    </w:p>
    <w:p w14:paraId="58696E47">
      <w:pPr>
        <w:jc w:val="center"/>
        <w:rPr>
          <w:rFonts w:ascii="宋体" w:hAnsi="宋体" w:cs="宋体"/>
          <w:b/>
          <w:color w:val="auto"/>
          <w:kern w:val="0"/>
          <w:sz w:val="32"/>
          <w:szCs w:val="32"/>
          <w:highlight w:val="none"/>
        </w:rPr>
      </w:pPr>
    </w:p>
    <w:p w14:paraId="086A436D">
      <w:pPr>
        <w:jc w:val="center"/>
        <w:rPr>
          <w:rFonts w:ascii="宋体" w:hAnsi="宋体" w:cs="宋体"/>
          <w:b/>
          <w:color w:val="auto"/>
          <w:kern w:val="0"/>
          <w:sz w:val="32"/>
          <w:szCs w:val="32"/>
          <w:highlight w:val="none"/>
        </w:rPr>
      </w:pPr>
    </w:p>
    <w:p w14:paraId="602C1AC3">
      <w:pPr>
        <w:jc w:val="center"/>
        <w:rPr>
          <w:rFonts w:ascii="宋体" w:hAnsi="宋体" w:cs="宋体"/>
          <w:b/>
          <w:color w:val="auto"/>
          <w:kern w:val="0"/>
          <w:sz w:val="32"/>
          <w:szCs w:val="32"/>
          <w:highlight w:val="none"/>
        </w:rPr>
      </w:pPr>
    </w:p>
    <w:p w14:paraId="69DB3759">
      <w:pPr>
        <w:jc w:val="center"/>
        <w:rPr>
          <w:rFonts w:ascii="宋体" w:hAnsi="宋体" w:cs="宋体"/>
          <w:b/>
          <w:color w:val="auto"/>
          <w:kern w:val="0"/>
          <w:sz w:val="32"/>
          <w:szCs w:val="32"/>
          <w:highlight w:val="none"/>
        </w:rPr>
      </w:pPr>
    </w:p>
    <w:p w14:paraId="4263DC3D">
      <w:pPr>
        <w:jc w:val="center"/>
        <w:rPr>
          <w:rFonts w:ascii="宋体" w:hAnsi="宋体" w:cs="宋体"/>
          <w:b/>
          <w:color w:val="auto"/>
          <w:kern w:val="0"/>
          <w:sz w:val="32"/>
          <w:szCs w:val="32"/>
          <w:highlight w:val="none"/>
        </w:rPr>
      </w:pPr>
    </w:p>
    <w:p w14:paraId="339147BE">
      <w:pPr>
        <w:jc w:val="center"/>
        <w:rPr>
          <w:rFonts w:ascii="宋体" w:hAnsi="宋体" w:cs="宋体"/>
          <w:b/>
          <w:color w:val="auto"/>
          <w:kern w:val="0"/>
          <w:sz w:val="32"/>
          <w:szCs w:val="32"/>
          <w:highlight w:val="none"/>
        </w:rPr>
      </w:pPr>
    </w:p>
    <w:p w14:paraId="534F82B2">
      <w:pPr>
        <w:widowControl/>
        <w:adjustRightInd/>
        <w:spacing w:before="319" w:beforeLines="100" w:after="319" w:afterLines="100"/>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rPr>
        <w:t>三</w:t>
      </w:r>
      <w:r>
        <w:rPr>
          <w:rFonts w:hint="eastAsia" w:ascii="宋体" w:hAnsi="宋体" w:cs="宋体"/>
          <w:b/>
          <w:color w:val="auto"/>
          <w:kern w:val="0"/>
          <w:sz w:val="28"/>
          <w:szCs w:val="28"/>
          <w:highlight w:val="none"/>
          <w:lang w:val="zh-CN"/>
        </w:rPr>
        <w:t>、分包意向协议（</w:t>
      </w:r>
      <w:r>
        <w:rPr>
          <w:rFonts w:hint="eastAsia" w:ascii="宋体" w:hAnsi="宋体" w:cs="宋体"/>
          <w:b/>
          <w:color w:val="auto"/>
          <w:kern w:val="0"/>
          <w:sz w:val="28"/>
          <w:szCs w:val="28"/>
          <w:highlight w:val="none"/>
        </w:rPr>
        <w:t>如果有</w:t>
      </w:r>
      <w:r>
        <w:rPr>
          <w:rFonts w:hint="eastAsia" w:ascii="宋体" w:hAnsi="宋体" w:cs="宋体"/>
          <w:b/>
          <w:color w:val="auto"/>
          <w:kern w:val="0"/>
          <w:sz w:val="28"/>
          <w:szCs w:val="28"/>
          <w:highlight w:val="none"/>
          <w:lang w:val="zh-CN"/>
        </w:rPr>
        <w:t>）</w:t>
      </w:r>
    </w:p>
    <w:p w14:paraId="31A5AF95">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[中标后以分包方式履行合同的，提供分包意向协议（附件6）；采购人不同意分包或者投标人中标后不以分包方式履行合同的，则不需要提供。]</w:t>
      </w:r>
    </w:p>
    <w:p w14:paraId="503D4A92">
      <w:pPr>
        <w:snapToGrid w:val="0"/>
        <w:spacing w:line="360" w:lineRule="auto"/>
        <w:rPr>
          <w:rFonts w:ascii="宋体" w:hAnsi="宋体" w:cs="宋体"/>
          <w:color w:val="auto"/>
          <w:kern w:val="0"/>
          <w:sz w:val="24"/>
          <w:highlight w:val="none"/>
          <w:lang w:val="zh-CN"/>
        </w:rPr>
      </w:pPr>
    </w:p>
    <w:p w14:paraId="36E41B4E">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7B2398A">
      <w:pPr>
        <w:widowControl/>
        <w:adjustRightInd/>
        <w:spacing w:before="319" w:before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四、符合性审查资料</w:t>
      </w:r>
    </w:p>
    <w:tbl>
      <w:tblPr>
        <w:tblStyle w:val="64"/>
        <w:tblW w:w="96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3441"/>
        <w:gridCol w:w="3173"/>
        <w:gridCol w:w="2508"/>
      </w:tblGrid>
      <w:tr w14:paraId="69C500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555" w:type="dxa"/>
            <w:tcBorders>
              <w:tl2br w:val="nil"/>
              <w:tr2bl w:val="nil"/>
            </w:tcBorders>
            <w:vAlign w:val="center"/>
          </w:tcPr>
          <w:p w14:paraId="3932E1FD">
            <w:pPr>
              <w:snapToGrid w:val="0"/>
              <w:spacing w:line="240" w:lineRule="atLeast"/>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3441" w:type="dxa"/>
            <w:tcBorders>
              <w:tl2br w:val="nil"/>
              <w:tr2bl w:val="nil"/>
            </w:tcBorders>
            <w:vAlign w:val="center"/>
          </w:tcPr>
          <w:p w14:paraId="1E593D7E">
            <w:pPr>
              <w:snapToGrid w:val="0"/>
              <w:spacing w:line="240" w:lineRule="atLeast"/>
              <w:jc w:val="center"/>
              <w:rPr>
                <w:rFonts w:ascii="宋体" w:hAnsi="宋体" w:cs="宋体"/>
                <w:bCs/>
                <w:color w:val="auto"/>
                <w:szCs w:val="21"/>
                <w:highlight w:val="none"/>
              </w:rPr>
            </w:pPr>
            <w:r>
              <w:rPr>
                <w:rFonts w:hint="eastAsia" w:ascii="宋体" w:hAnsi="宋体" w:cs="宋体"/>
                <w:bCs/>
                <w:color w:val="auto"/>
                <w:szCs w:val="21"/>
                <w:highlight w:val="none"/>
              </w:rPr>
              <w:t>实质性要求</w:t>
            </w:r>
          </w:p>
        </w:tc>
        <w:tc>
          <w:tcPr>
            <w:tcW w:w="3173" w:type="dxa"/>
            <w:tcBorders>
              <w:tl2br w:val="nil"/>
              <w:tr2bl w:val="nil"/>
            </w:tcBorders>
            <w:vAlign w:val="center"/>
          </w:tcPr>
          <w:p w14:paraId="6E763461">
            <w:pPr>
              <w:snapToGrid w:val="0"/>
              <w:spacing w:line="240" w:lineRule="atLeast"/>
              <w:jc w:val="center"/>
              <w:rPr>
                <w:rFonts w:ascii="宋体" w:hAnsi="宋体" w:cs="宋体"/>
                <w:bCs/>
                <w:color w:val="auto"/>
                <w:szCs w:val="21"/>
                <w:highlight w:val="none"/>
              </w:rPr>
            </w:pPr>
            <w:r>
              <w:rPr>
                <w:rFonts w:hint="eastAsia" w:ascii="宋体" w:hAnsi="宋体" w:cs="宋体"/>
                <w:bCs/>
                <w:color w:val="auto"/>
                <w:szCs w:val="21"/>
                <w:highlight w:val="none"/>
              </w:rPr>
              <w:t>需要提供的符合性审查资料</w:t>
            </w:r>
          </w:p>
        </w:tc>
        <w:tc>
          <w:tcPr>
            <w:tcW w:w="2508" w:type="dxa"/>
            <w:tcBorders>
              <w:tl2br w:val="nil"/>
              <w:tr2bl w:val="nil"/>
            </w:tcBorders>
            <w:vAlign w:val="center"/>
          </w:tcPr>
          <w:p w14:paraId="0715BE9F">
            <w:pPr>
              <w:snapToGrid w:val="0"/>
              <w:spacing w:line="240" w:lineRule="atLeast"/>
              <w:jc w:val="center"/>
              <w:rPr>
                <w:rFonts w:ascii="宋体" w:hAnsi="宋体" w:cs="宋体"/>
                <w:bCs/>
                <w:color w:val="auto"/>
                <w:szCs w:val="21"/>
                <w:highlight w:val="none"/>
              </w:rPr>
            </w:pPr>
            <w:r>
              <w:rPr>
                <w:rFonts w:hint="eastAsia" w:ascii="宋体" w:hAnsi="宋体" w:cs="宋体"/>
                <w:bCs/>
                <w:color w:val="auto"/>
                <w:szCs w:val="21"/>
                <w:highlight w:val="none"/>
              </w:rPr>
              <w:t>投标文件中的</w:t>
            </w:r>
          </w:p>
          <w:p w14:paraId="4BD83A19">
            <w:pPr>
              <w:snapToGrid w:val="0"/>
              <w:spacing w:line="240" w:lineRule="atLeast"/>
              <w:jc w:val="center"/>
              <w:rPr>
                <w:rFonts w:ascii="宋体" w:hAnsi="宋体" w:cs="宋体"/>
                <w:bCs/>
                <w:color w:val="auto"/>
                <w:szCs w:val="21"/>
                <w:highlight w:val="none"/>
              </w:rPr>
            </w:pPr>
            <w:r>
              <w:rPr>
                <w:rFonts w:hint="eastAsia" w:ascii="宋体" w:hAnsi="宋体" w:cs="宋体"/>
                <w:bCs/>
                <w:color w:val="auto"/>
                <w:szCs w:val="21"/>
                <w:highlight w:val="none"/>
              </w:rPr>
              <w:t>页码位置</w:t>
            </w:r>
          </w:p>
        </w:tc>
      </w:tr>
      <w:tr w14:paraId="40764A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55" w:type="dxa"/>
            <w:tcBorders>
              <w:tl2br w:val="nil"/>
              <w:tr2bl w:val="nil"/>
            </w:tcBorders>
            <w:vAlign w:val="center"/>
          </w:tcPr>
          <w:p w14:paraId="5B294185">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3441" w:type="dxa"/>
            <w:tcBorders>
              <w:tl2br w:val="nil"/>
              <w:tr2bl w:val="nil"/>
            </w:tcBorders>
            <w:vAlign w:val="center"/>
          </w:tcPr>
          <w:p w14:paraId="5ED6FB29">
            <w:pPr>
              <w:rPr>
                <w:rFonts w:ascii="宋体" w:hAnsi="宋体" w:cs="宋体"/>
                <w:color w:val="auto"/>
                <w:szCs w:val="21"/>
                <w:highlight w:val="none"/>
              </w:rPr>
            </w:pPr>
            <w:r>
              <w:rPr>
                <w:rFonts w:hint="eastAsia" w:ascii="宋体" w:hAnsi="宋体" w:cs="宋体"/>
                <w:color w:val="auto"/>
                <w:szCs w:val="21"/>
                <w:highlight w:val="none"/>
              </w:rPr>
              <w:t>投标文件按照招标文件要求签署、盖章。</w:t>
            </w:r>
          </w:p>
        </w:tc>
        <w:tc>
          <w:tcPr>
            <w:tcW w:w="3173" w:type="dxa"/>
            <w:tcBorders>
              <w:tl2br w:val="nil"/>
              <w:tr2bl w:val="nil"/>
            </w:tcBorders>
            <w:vAlign w:val="center"/>
          </w:tcPr>
          <w:p w14:paraId="40DCFB6C">
            <w:pPr>
              <w:rPr>
                <w:rFonts w:ascii="宋体" w:hAnsi="宋体" w:cs="宋体"/>
                <w:color w:val="auto"/>
                <w:szCs w:val="21"/>
                <w:highlight w:val="none"/>
              </w:rPr>
            </w:pPr>
            <w:r>
              <w:rPr>
                <w:rFonts w:hint="eastAsia" w:ascii="宋体" w:hAnsi="宋体" w:cs="宋体"/>
                <w:color w:val="auto"/>
                <w:szCs w:val="21"/>
                <w:highlight w:val="none"/>
              </w:rPr>
              <w:t>需要使用电子签名或者签字盖章的投标文件的组成部分</w:t>
            </w:r>
          </w:p>
        </w:tc>
        <w:tc>
          <w:tcPr>
            <w:tcW w:w="2508" w:type="dxa"/>
            <w:tcBorders>
              <w:tl2br w:val="nil"/>
              <w:tr2bl w:val="nil"/>
            </w:tcBorders>
            <w:vAlign w:val="center"/>
          </w:tcPr>
          <w:p w14:paraId="523B5879">
            <w:pPr>
              <w:rPr>
                <w:rFonts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4CF2AC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55" w:type="dxa"/>
            <w:tcBorders>
              <w:tl2br w:val="nil"/>
              <w:tr2bl w:val="nil"/>
            </w:tcBorders>
            <w:vAlign w:val="center"/>
          </w:tcPr>
          <w:p w14:paraId="4D8C6809">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3441" w:type="dxa"/>
            <w:tcBorders>
              <w:tl2br w:val="nil"/>
              <w:tr2bl w:val="nil"/>
            </w:tcBorders>
            <w:vAlign w:val="center"/>
          </w:tcPr>
          <w:p w14:paraId="10FA5BA5">
            <w:pPr>
              <w:rPr>
                <w:rFonts w:ascii="宋体" w:hAnsi="宋体" w:cs="宋体"/>
                <w:color w:val="auto"/>
                <w:szCs w:val="21"/>
                <w:highlight w:val="none"/>
              </w:rPr>
            </w:pPr>
            <w:r>
              <w:rPr>
                <w:rFonts w:hint="eastAsia" w:ascii="宋体" w:hAnsi="宋体" w:cs="宋体"/>
                <w:color w:val="auto"/>
                <w:szCs w:val="21"/>
                <w:highlight w:val="none"/>
              </w:rPr>
              <w:t>投标文件中承诺的投标有效期不少于招标文件中载明的投标有效期。</w:t>
            </w:r>
          </w:p>
        </w:tc>
        <w:tc>
          <w:tcPr>
            <w:tcW w:w="3173" w:type="dxa"/>
            <w:tcBorders>
              <w:tl2br w:val="nil"/>
              <w:tr2bl w:val="nil"/>
            </w:tcBorders>
            <w:vAlign w:val="center"/>
          </w:tcPr>
          <w:p w14:paraId="1A735EF2">
            <w:pPr>
              <w:rPr>
                <w:rFonts w:ascii="宋体" w:hAnsi="宋体" w:cs="宋体"/>
                <w:color w:val="auto"/>
                <w:szCs w:val="21"/>
                <w:highlight w:val="none"/>
              </w:rPr>
            </w:pPr>
            <w:r>
              <w:rPr>
                <w:rFonts w:hint="eastAsia" w:ascii="宋体" w:hAnsi="宋体" w:cs="宋体"/>
                <w:color w:val="auto"/>
                <w:szCs w:val="21"/>
                <w:highlight w:val="none"/>
              </w:rPr>
              <w:t>投标函</w:t>
            </w:r>
          </w:p>
        </w:tc>
        <w:tc>
          <w:tcPr>
            <w:tcW w:w="2508" w:type="dxa"/>
            <w:tcBorders>
              <w:tl2br w:val="nil"/>
              <w:tr2bl w:val="nil"/>
            </w:tcBorders>
            <w:vAlign w:val="center"/>
          </w:tcPr>
          <w:p w14:paraId="0B77F21D">
            <w:pPr>
              <w:rPr>
                <w:rFonts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2DA4C5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55" w:type="dxa"/>
            <w:tcBorders>
              <w:tl2br w:val="nil"/>
              <w:tr2bl w:val="nil"/>
            </w:tcBorders>
            <w:vAlign w:val="center"/>
          </w:tcPr>
          <w:p w14:paraId="340477E9">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3441" w:type="dxa"/>
            <w:tcBorders>
              <w:tl2br w:val="nil"/>
              <w:tr2bl w:val="nil"/>
            </w:tcBorders>
            <w:vAlign w:val="center"/>
          </w:tcPr>
          <w:p w14:paraId="5E800D4F">
            <w:pPr>
              <w:rPr>
                <w:rFonts w:ascii="宋体" w:hAnsi="宋体" w:cs="宋体"/>
                <w:color w:val="auto"/>
                <w:szCs w:val="21"/>
                <w:highlight w:val="none"/>
              </w:rPr>
            </w:pPr>
            <w:r>
              <w:rPr>
                <w:rFonts w:hint="eastAsia" w:ascii="宋体" w:hAnsi="宋体" w:cs="宋体"/>
                <w:color w:val="auto"/>
                <w:szCs w:val="21"/>
                <w:highlight w:val="none"/>
              </w:rPr>
              <w:t>投标文件满足招标文件的其它实质性要求。</w:t>
            </w:r>
          </w:p>
        </w:tc>
        <w:tc>
          <w:tcPr>
            <w:tcW w:w="3173" w:type="dxa"/>
            <w:tcBorders>
              <w:tl2br w:val="nil"/>
              <w:tr2bl w:val="nil"/>
            </w:tcBorders>
            <w:vAlign w:val="center"/>
          </w:tcPr>
          <w:p w14:paraId="7BF4BB36">
            <w:pPr>
              <w:rPr>
                <w:rFonts w:ascii="宋体" w:hAnsi="宋体" w:cs="宋体"/>
                <w:color w:val="auto"/>
                <w:szCs w:val="21"/>
                <w:highlight w:val="none"/>
              </w:rPr>
            </w:pPr>
            <w:r>
              <w:rPr>
                <w:rFonts w:hint="eastAsia" w:ascii="宋体" w:hAnsi="宋体" w:cs="宋体"/>
                <w:color w:val="auto"/>
                <w:kern w:val="0"/>
                <w:szCs w:val="21"/>
                <w:highlight w:val="none"/>
              </w:rPr>
              <w:t>招标文件其它实质性要求相应的材料（“▲”系指实质性要求条款，招标文件无其它实质性要求的，无需提供）</w:t>
            </w:r>
          </w:p>
        </w:tc>
        <w:tc>
          <w:tcPr>
            <w:tcW w:w="2508" w:type="dxa"/>
            <w:tcBorders>
              <w:tl2br w:val="nil"/>
              <w:tr2bl w:val="nil"/>
            </w:tcBorders>
            <w:vAlign w:val="center"/>
          </w:tcPr>
          <w:p w14:paraId="7E33E80D">
            <w:pPr>
              <w:rPr>
                <w:rFonts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bl>
    <w:p w14:paraId="22C7E04D">
      <w:pPr>
        <w:rPr>
          <w:rFonts w:ascii="宋体" w:hAnsi="宋体" w:cs="宋体"/>
          <w:b/>
          <w:color w:val="auto"/>
          <w:kern w:val="0"/>
          <w:szCs w:val="21"/>
          <w:highlight w:val="none"/>
        </w:rPr>
      </w:pPr>
      <w:r>
        <w:rPr>
          <w:rFonts w:hint="eastAsia" w:ascii="宋体" w:hAnsi="宋体" w:cs="宋体"/>
          <w:b/>
          <w:color w:val="auto"/>
          <w:kern w:val="0"/>
          <w:szCs w:val="21"/>
          <w:highlight w:val="none"/>
        </w:rPr>
        <w:t>注：按本格式和要求提供。</w:t>
      </w:r>
    </w:p>
    <w:p w14:paraId="65004F43">
      <w:pPr>
        <w:rPr>
          <w:rFonts w:ascii="宋体" w:hAnsi="宋体" w:cs="宋体"/>
          <w:b/>
          <w:color w:val="auto"/>
          <w:kern w:val="0"/>
          <w:sz w:val="32"/>
          <w:szCs w:val="32"/>
          <w:highlight w:val="none"/>
        </w:rPr>
      </w:pPr>
    </w:p>
    <w:p w14:paraId="493D6C28">
      <w:pPr>
        <w:jc w:val="center"/>
        <w:rPr>
          <w:rFonts w:ascii="宋体" w:hAnsi="宋体" w:cs="宋体"/>
          <w:b/>
          <w:color w:val="auto"/>
          <w:kern w:val="0"/>
          <w:sz w:val="32"/>
          <w:szCs w:val="32"/>
          <w:highlight w:val="none"/>
        </w:rPr>
      </w:pPr>
    </w:p>
    <w:p w14:paraId="56566B51">
      <w:pPr>
        <w:jc w:val="center"/>
        <w:rPr>
          <w:rFonts w:ascii="宋体" w:hAnsi="宋体" w:cs="宋体"/>
          <w:b/>
          <w:color w:val="auto"/>
          <w:kern w:val="0"/>
          <w:sz w:val="32"/>
          <w:szCs w:val="32"/>
          <w:highlight w:val="none"/>
        </w:rPr>
      </w:pPr>
    </w:p>
    <w:p w14:paraId="546C76D6">
      <w:pPr>
        <w:jc w:val="center"/>
        <w:rPr>
          <w:rFonts w:ascii="宋体" w:hAnsi="宋体" w:cs="宋体"/>
          <w:b/>
          <w:color w:val="auto"/>
          <w:kern w:val="0"/>
          <w:sz w:val="32"/>
          <w:szCs w:val="32"/>
          <w:highlight w:val="none"/>
        </w:rPr>
      </w:pPr>
    </w:p>
    <w:p w14:paraId="006E1B6E">
      <w:pPr>
        <w:jc w:val="center"/>
        <w:rPr>
          <w:rFonts w:ascii="宋体" w:hAnsi="宋体" w:cs="宋体"/>
          <w:b/>
          <w:color w:val="auto"/>
          <w:kern w:val="0"/>
          <w:sz w:val="32"/>
          <w:szCs w:val="32"/>
          <w:highlight w:val="none"/>
        </w:rPr>
      </w:pPr>
    </w:p>
    <w:p w14:paraId="49A3D736">
      <w:pPr>
        <w:jc w:val="center"/>
        <w:rPr>
          <w:rFonts w:ascii="宋体" w:hAnsi="宋体" w:cs="宋体"/>
          <w:b/>
          <w:color w:val="auto"/>
          <w:kern w:val="0"/>
          <w:sz w:val="32"/>
          <w:szCs w:val="32"/>
          <w:highlight w:val="none"/>
        </w:rPr>
      </w:pPr>
    </w:p>
    <w:p w14:paraId="098734ED">
      <w:pPr>
        <w:jc w:val="center"/>
        <w:rPr>
          <w:rFonts w:ascii="宋体" w:hAnsi="宋体" w:cs="宋体"/>
          <w:b/>
          <w:color w:val="auto"/>
          <w:kern w:val="0"/>
          <w:sz w:val="32"/>
          <w:szCs w:val="32"/>
          <w:highlight w:val="none"/>
        </w:rPr>
      </w:pPr>
    </w:p>
    <w:p w14:paraId="23EC9AB3">
      <w:pPr>
        <w:jc w:val="center"/>
        <w:rPr>
          <w:rFonts w:ascii="宋体" w:hAnsi="宋体" w:cs="宋体"/>
          <w:b/>
          <w:color w:val="auto"/>
          <w:kern w:val="0"/>
          <w:sz w:val="32"/>
          <w:szCs w:val="32"/>
          <w:highlight w:val="none"/>
        </w:rPr>
      </w:pPr>
    </w:p>
    <w:p w14:paraId="4D7FF257">
      <w:pPr>
        <w:jc w:val="center"/>
        <w:rPr>
          <w:rFonts w:ascii="宋体" w:hAnsi="宋体" w:cs="宋体"/>
          <w:b/>
          <w:color w:val="auto"/>
          <w:kern w:val="0"/>
          <w:sz w:val="32"/>
          <w:szCs w:val="32"/>
          <w:highlight w:val="none"/>
        </w:rPr>
      </w:pPr>
    </w:p>
    <w:p w14:paraId="169A868A">
      <w:pPr>
        <w:jc w:val="center"/>
        <w:rPr>
          <w:rFonts w:ascii="宋体" w:hAnsi="宋体" w:cs="宋体"/>
          <w:b/>
          <w:color w:val="auto"/>
          <w:kern w:val="0"/>
          <w:sz w:val="32"/>
          <w:szCs w:val="32"/>
          <w:highlight w:val="none"/>
        </w:rPr>
      </w:pPr>
    </w:p>
    <w:p w14:paraId="3A820710">
      <w:pPr>
        <w:jc w:val="center"/>
        <w:rPr>
          <w:rFonts w:ascii="宋体" w:hAnsi="宋体" w:cs="宋体"/>
          <w:b/>
          <w:color w:val="auto"/>
          <w:kern w:val="0"/>
          <w:sz w:val="32"/>
          <w:szCs w:val="32"/>
          <w:highlight w:val="none"/>
        </w:rPr>
      </w:pPr>
    </w:p>
    <w:p w14:paraId="470DB9CA">
      <w:pPr>
        <w:jc w:val="center"/>
        <w:rPr>
          <w:rFonts w:ascii="宋体" w:hAnsi="宋体" w:cs="宋体"/>
          <w:b/>
          <w:color w:val="auto"/>
          <w:kern w:val="0"/>
          <w:sz w:val="32"/>
          <w:szCs w:val="32"/>
          <w:highlight w:val="none"/>
        </w:rPr>
      </w:pPr>
    </w:p>
    <w:p w14:paraId="70067692">
      <w:pPr>
        <w:jc w:val="center"/>
        <w:rPr>
          <w:rFonts w:ascii="宋体" w:hAnsi="宋体" w:cs="宋体"/>
          <w:b/>
          <w:color w:val="auto"/>
          <w:kern w:val="0"/>
          <w:sz w:val="32"/>
          <w:szCs w:val="32"/>
          <w:highlight w:val="none"/>
        </w:rPr>
      </w:pPr>
    </w:p>
    <w:p w14:paraId="71ACEB7E">
      <w:pPr>
        <w:widowControl/>
        <w:adjustRightInd/>
        <w:spacing w:before="319" w:beforeLines="100" w:after="319"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五、评标标准相应的商务技术资料</w:t>
      </w:r>
    </w:p>
    <w:p w14:paraId="29B72BE3">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[按招标文件第四部分评标办法前附表中“投标文件中评标标准相应的商务技术资料目录”提供资料。]</w:t>
      </w:r>
    </w:p>
    <w:p w14:paraId="1ED154B1">
      <w:pPr>
        <w:jc w:val="center"/>
        <w:rPr>
          <w:rFonts w:ascii="宋体" w:hAnsi="宋体" w:cs="宋体"/>
          <w:b/>
          <w:color w:val="auto"/>
          <w:kern w:val="0"/>
          <w:sz w:val="32"/>
          <w:szCs w:val="32"/>
          <w:highlight w:val="none"/>
        </w:rPr>
      </w:pPr>
    </w:p>
    <w:p w14:paraId="21163DBD">
      <w:pPr>
        <w:jc w:val="center"/>
        <w:rPr>
          <w:rFonts w:ascii="宋体" w:hAnsi="宋体" w:cs="宋体"/>
          <w:b/>
          <w:color w:val="auto"/>
          <w:kern w:val="0"/>
          <w:sz w:val="32"/>
          <w:szCs w:val="32"/>
          <w:highlight w:val="none"/>
        </w:rPr>
      </w:pPr>
    </w:p>
    <w:p w14:paraId="1DB0D2F9">
      <w:pPr>
        <w:pStyle w:val="5"/>
        <w:spacing w:line="360" w:lineRule="auto"/>
        <w:jc w:val="left"/>
        <w:rPr>
          <w:rFonts w:hAnsi="宋体" w:cs="宋体"/>
          <w:color w:val="auto"/>
          <w:sz w:val="24"/>
          <w:highlight w:val="none"/>
        </w:rPr>
      </w:pPr>
    </w:p>
    <w:p w14:paraId="33106014">
      <w:pPr>
        <w:jc w:val="center"/>
        <w:rPr>
          <w:rFonts w:ascii="宋体" w:hAnsi="宋体" w:cs="宋体"/>
          <w:b/>
          <w:color w:val="auto"/>
          <w:kern w:val="0"/>
          <w:sz w:val="32"/>
          <w:szCs w:val="32"/>
          <w:highlight w:val="none"/>
        </w:rPr>
      </w:pPr>
    </w:p>
    <w:p w14:paraId="72E954D1">
      <w:pPr>
        <w:jc w:val="center"/>
        <w:rPr>
          <w:rFonts w:ascii="宋体" w:hAnsi="宋体" w:cs="宋体"/>
          <w:b/>
          <w:color w:val="auto"/>
          <w:kern w:val="0"/>
          <w:sz w:val="32"/>
          <w:szCs w:val="32"/>
          <w:highlight w:val="none"/>
        </w:rPr>
      </w:pPr>
    </w:p>
    <w:p w14:paraId="3A818E3F">
      <w:pPr>
        <w:jc w:val="center"/>
        <w:rPr>
          <w:rFonts w:ascii="宋体" w:hAnsi="宋体" w:cs="宋体"/>
          <w:b/>
          <w:color w:val="auto"/>
          <w:kern w:val="0"/>
          <w:sz w:val="32"/>
          <w:szCs w:val="32"/>
          <w:highlight w:val="none"/>
        </w:rPr>
      </w:pPr>
    </w:p>
    <w:p w14:paraId="1AFDB541">
      <w:pPr>
        <w:jc w:val="center"/>
        <w:rPr>
          <w:rFonts w:ascii="宋体" w:hAnsi="宋体" w:cs="宋体"/>
          <w:b/>
          <w:color w:val="auto"/>
          <w:kern w:val="0"/>
          <w:sz w:val="32"/>
          <w:szCs w:val="32"/>
          <w:highlight w:val="none"/>
        </w:rPr>
      </w:pPr>
    </w:p>
    <w:p w14:paraId="5C47E8B5">
      <w:pPr>
        <w:jc w:val="center"/>
        <w:rPr>
          <w:rFonts w:ascii="宋体" w:hAnsi="宋体" w:cs="宋体"/>
          <w:b/>
          <w:color w:val="auto"/>
          <w:kern w:val="0"/>
          <w:sz w:val="32"/>
          <w:szCs w:val="32"/>
          <w:highlight w:val="none"/>
        </w:rPr>
      </w:pPr>
    </w:p>
    <w:p w14:paraId="5BD59BF0">
      <w:pPr>
        <w:jc w:val="center"/>
        <w:rPr>
          <w:rFonts w:ascii="宋体" w:hAnsi="宋体" w:cs="宋体"/>
          <w:b/>
          <w:color w:val="auto"/>
          <w:kern w:val="0"/>
          <w:sz w:val="32"/>
          <w:szCs w:val="32"/>
          <w:highlight w:val="none"/>
        </w:rPr>
      </w:pPr>
    </w:p>
    <w:p w14:paraId="5D9BE98A">
      <w:pPr>
        <w:jc w:val="center"/>
        <w:rPr>
          <w:rFonts w:ascii="宋体" w:hAnsi="宋体" w:cs="宋体"/>
          <w:b/>
          <w:color w:val="auto"/>
          <w:kern w:val="0"/>
          <w:sz w:val="32"/>
          <w:szCs w:val="32"/>
          <w:highlight w:val="none"/>
        </w:rPr>
      </w:pPr>
    </w:p>
    <w:p w14:paraId="39FE0BAE">
      <w:pPr>
        <w:jc w:val="center"/>
        <w:rPr>
          <w:rFonts w:ascii="宋体" w:hAnsi="宋体" w:cs="宋体"/>
          <w:b/>
          <w:color w:val="auto"/>
          <w:kern w:val="0"/>
          <w:sz w:val="32"/>
          <w:szCs w:val="32"/>
          <w:highlight w:val="none"/>
        </w:rPr>
      </w:pPr>
    </w:p>
    <w:p w14:paraId="2D2E0FCE">
      <w:pPr>
        <w:jc w:val="center"/>
        <w:rPr>
          <w:rFonts w:ascii="宋体" w:hAnsi="宋体" w:cs="宋体"/>
          <w:b/>
          <w:color w:val="auto"/>
          <w:kern w:val="0"/>
          <w:sz w:val="32"/>
          <w:szCs w:val="32"/>
          <w:highlight w:val="none"/>
        </w:rPr>
      </w:pPr>
    </w:p>
    <w:p w14:paraId="09A2ACB7">
      <w:pPr>
        <w:jc w:val="center"/>
        <w:rPr>
          <w:rFonts w:ascii="宋体" w:hAnsi="宋体" w:cs="宋体"/>
          <w:b/>
          <w:color w:val="auto"/>
          <w:kern w:val="0"/>
          <w:sz w:val="32"/>
          <w:szCs w:val="32"/>
          <w:highlight w:val="none"/>
        </w:rPr>
      </w:pPr>
    </w:p>
    <w:p w14:paraId="76F30B23">
      <w:pPr>
        <w:rPr>
          <w:rFonts w:ascii="宋体" w:hAnsi="宋体" w:cs="宋体"/>
          <w:b/>
          <w:color w:val="auto"/>
          <w:kern w:val="0"/>
          <w:sz w:val="32"/>
          <w:szCs w:val="32"/>
          <w:highlight w:val="none"/>
        </w:rPr>
      </w:pPr>
    </w:p>
    <w:p w14:paraId="26482407">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CE96E1F">
      <w:pPr>
        <w:widowControl/>
        <w:adjustRightInd/>
        <w:spacing w:before="319" w:before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六</w:t>
      </w:r>
      <w:r>
        <w:rPr>
          <w:rFonts w:hint="eastAsia" w:ascii="宋体" w:hAnsi="宋体" w:cs="宋体"/>
          <w:b/>
          <w:color w:val="auto"/>
          <w:kern w:val="0"/>
          <w:sz w:val="28"/>
          <w:szCs w:val="28"/>
          <w:highlight w:val="none"/>
        </w:rPr>
        <w:t>、商务技术偏离表</w:t>
      </w:r>
    </w:p>
    <w:tbl>
      <w:tblPr>
        <w:tblStyle w:val="65"/>
        <w:tblW w:w="97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3231"/>
        <w:gridCol w:w="2995"/>
        <w:gridCol w:w="2687"/>
      </w:tblGrid>
      <w:tr w14:paraId="6C924D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3" w:type="dxa"/>
            <w:tcBorders>
              <w:tl2br w:val="nil"/>
              <w:tr2bl w:val="nil"/>
            </w:tcBorders>
            <w:vAlign w:val="center"/>
          </w:tcPr>
          <w:p w14:paraId="35CE9623">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231" w:type="dxa"/>
            <w:tcBorders>
              <w:tl2br w:val="nil"/>
              <w:tr2bl w:val="nil"/>
            </w:tcBorders>
            <w:vAlign w:val="center"/>
          </w:tcPr>
          <w:p w14:paraId="1058CFB8">
            <w:pPr>
              <w:jc w:val="center"/>
              <w:rPr>
                <w:rFonts w:ascii="宋体" w:hAnsi="宋体" w:cs="宋体"/>
                <w:color w:val="auto"/>
                <w:szCs w:val="21"/>
                <w:highlight w:val="none"/>
              </w:rPr>
            </w:pPr>
            <w:r>
              <w:rPr>
                <w:rFonts w:hint="eastAsia" w:ascii="宋体" w:hAnsi="宋体" w:cs="宋体"/>
                <w:color w:val="auto"/>
                <w:szCs w:val="21"/>
                <w:highlight w:val="none"/>
              </w:rPr>
              <w:t>招标文件章节及具体内容</w:t>
            </w:r>
          </w:p>
        </w:tc>
        <w:tc>
          <w:tcPr>
            <w:tcW w:w="2995" w:type="dxa"/>
            <w:tcBorders>
              <w:tl2br w:val="nil"/>
              <w:tr2bl w:val="nil"/>
            </w:tcBorders>
            <w:vAlign w:val="center"/>
          </w:tcPr>
          <w:p w14:paraId="785A898F">
            <w:pPr>
              <w:jc w:val="center"/>
              <w:rPr>
                <w:rFonts w:ascii="宋体" w:hAnsi="宋体" w:cs="宋体"/>
                <w:color w:val="auto"/>
                <w:szCs w:val="21"/>
                <w:highlight w:val="none"/>
              </w:rPr>
            </w:pPr>
            <w:r>
              <w:rPr>
                <w:rFonts w:hint="eastAsia" w:ascii="宋体" w:hAnsi="宋体" w:cs="宋体"/>
                <w:color w:val="auto"/>
                <w:szCs w:val="21"/>
                <w:highlight w:val="none"/>
              </w:rPr>
              <w:t>投标文件章节及具体内容</w:t>
            </w:r>
          </w:p>
        </w:tc>
        <w:tc>
          <w:tcPr>
            <w:tcW w:w="2687" w:type="dxa"/>
            <w:tcBorders>
              <w:tl2br w:val="nil"/>
              <w:tr2bl w:val="nil"/>
            </w:tcBorders>
            <w:vAlign w:val="center"/>
          </w:tcPr>
          <w:p w14:paraId="4F6F2E98">
            <w:pPr>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12087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3" w:type="dxa"/>
            <w:tcBorders>
              <w:tl2br w:val="nil"/>
              <w:tr2bl w:val="nil"/>
            </w:tcBorders>
            <w:vAlign w:val="center"/>
          </w:tcPr>
          <w:p w14:paraId="04BC8A5C">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231" w:type="dxa"/>
            <w:tcBorders>
              <w:tl2br w:val="nil"/>
              <w:tr2bl w:val="nil"/>
            </w:tcBorders>
            <w:vAlign w:val="center"/>
          </w:tcPr>
          <w:p w14:paraId="7238871D">
            <w:pPr>
              <w:jc w:val="center"/>
              <w:rPr>
                <w:rFonts w:ascii="宋体" w:hAnsi="宋体" w:cs="宋体"/>
                <w:b/>
                <w:color w:val="auto"/>
                <w:kern w:val="0"/>
                <w:szCs w:val="21"/>
                <w:highlight w:val="none"/>
              </w:rPr>
            </w:pPr>
          </w:p>
        </w:tc>
        <w:tc>
          <w:tcPr>
            <w:tcW w:w="2995" w:type="dxa"/>
            <w:tcBorders>
              <w:tl2br w:val="nil"/>
              <w:tr2bl w:val="nil"/>
            </w:tcBorders>
            <w:vAlign w:val="center"/>
          </w:tcPr>
          <w:p w14:paraId="2B81E4EA">
            <w:pPr>
              <w:jc w:val="center"/>
              <w:rPr>
                <w:rFonts w:ascii="宋体" w:hAnsi="宋体" w:cs="宋体"/>
                <w:b/>
                <w:color w:val="auto"/>
                <w:kern w:val="0"/>
                <w:szCs w:val="21"/>
                <w:highlight w:val="none"/>
              </w:rPr>
            </w:pPr>
          </w:p>
        </w:tc>
        <w:tc>
          <w:tcPr>
            <w:tcW w:w="2687" w:type="dxa"/>
            <w:tcBorders>
              <w:tl2br w:val="nil"/>
              <w:tr2bl w:val="nil"/>
            </w:tcBorders>
            <w:vAlign w:val="center"/>
          </w:tcPr>
          <w:p w14:paraId="7D35B379">
            <w:pPr>
              <w:jc w:val="center"/>
              <w:rPr>
                <w:rFonts w:ascii="宋体" w:hAnsi="宋体" w:cs="宋体"/>
                <w:b/>
                <w:color w:val="auto"/>
                <w:kern w:val="0"/>
                <w:szCs w:val="21"/>
                <w:highlight w:val="none"/>
              </w:rPr>
            </w:pPr>
          </w:p>
        </w:tc>
      </w:tr>
      <w:tr w14:paraId="19162F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3" w:type="dxa"/>
            <w:tcBorders>
              <w:tl2br w:val="nil"/>
              <w:tr2bl w:val="nil"/>
            </w:tcBorders>
            <w:vAlign w:val="center"/>
          </w:tcPr>
          <w:p w14:paraId="00C0898B">
            <w:pPr>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231" w:type="dxa"/>
            <w:tcBorders>
              <w:tl2br w:val="nil"/>
              <w:tr2bl w:val="nil"/>
            </w:tcBorders>
            <w:vAlign w:val="center"/>
          </w:tcPr>
          <w:p w14:paraId="7DD49633">
            <w:pPr>
              <w:jc w:val="center"/>
              <w:rPr>
                <w:rFonts w:ascii="宋体" w:hAnsi="宋体" w:cs="宋体"/>
                <w:b/>
                <w:color w:val="auto"/>
                <w:kern w:val="0"/>
                <w:szCs w:val="21"/>
                <w:highlight w:val="none"/>
              </w:rPr>
            </w:pPr>
          </w:p>
        </w:tc>
        <w:tc>
          <w:tcPr>
            <w:tcW w:w="2995" w:type="dxa"/>
            <w:tcBorders>
              <w:tl2br w:val="nil"/>
              <w:tr2bl w:val="nil"/>
            </w:tcBorders>
            <w:vAlign w:val="center"/>
          </w:tcPr>
          <w:p w14:paraId="1CE4C036">
            <w:pPr>
              <w:jc w:val="center"/>
              <w:rPr>
                <w:rFonts w:ascii="宋体" w:hAnsi="宋体" w:cs="宋体"/>
                <w:b/>
                <w:color w:val="auto"/>
                <w:kern w:val="0"/>
                <w:szCs w:val="21"/>
                <w:highlight w:val="none"/>
              </w:rPr>
            </w:pPr>
          </w:p>
        </w:tc>
        <w:tc>
          <w:tcPr>
            <w:tcW w:w="2687" w:type="dxa"/>
            <w:tcBorders>
              <w:tl2br w:val="nil"/>
              <w:tr2bl w:val="nil"/>
            </w:tcBorders>
            <w:vAlign w:val="center"/>
          </w:tcPr>
          <w:p w14:paraId="2905F723">
            <w:pPr>
              <w:jc w:val="center"/>
              <w:rPr>
                <w:rFonts w:ascii="宋体" w:hAnsi="宋体" w:cs="宋体"/>
                <w:b/>
                <w:color w:val="auto"/>
                <w:kern w:val="0"/>
                <w:szCs w:val="21"/>
                <w:highlight w:val="none"/>
              </w:rPr>
            </w:pPr>
          </w:p>
        </w:tc>
      </w:tr>
      <w:tr w14:paraId="19AAB9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3" w:type="dxa"/>
            <w:tcBorders>
              <w:tl2br w:val="nil"/>
              <w:tr2bl w:val="nil"/>
            </w:tcBorders>
            <w:vAlign w:val="center"/>
          </w:tcPr>
          <w:p w14:paraId="7FF52240">
            <w:pPr>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231" w:type="dxa"/>
            <w:tcBorders>
              <w:tl2br w:val="nil"/>
              <w:tr2bl w:val="nil"/>
            </w:tcBorders>
            <w:vAlign w:val="center"/>
          </w:tcPr>
          <w:p w14:paraId="4BECB43C">
            <w:pPr>
              <w:jc w:val="center"/>
              <w:rPr>
                <w:rFonts w:ascii="宋体" w:hAnsi="宋体" w:cs="宋体"/>
                <w:b/>
                <w:color w:val="auto"/>
                <w:kern w:val="0"/>
                <w:szCs w:val="21"/>
                <w:highlight w:val="none"/>
              </w:rPr>
            </w:pPr>
          </w:p>
        </w:tc>
        <w:tc>
          <w:tcPr>
            <w:tcW w:w="2995" w:type="dxa"/>
            <w:tcBorders>
              <w:tl2br w:val="nil"/>
              <w:tr2bl w:val="nil"/>
            </w:tcBorders>
            <w:vAlign w:val="center"/>
          </w:tcPr>
          <w:p w14:paraId="3424F149">
            <w:pPr>
              <w:jc w:val="center"/>
              <w:rPr>
                <w:rFonts w:ascii="宋体" w:hAnsi="宋体" w:cs="宋体"/>
                <w:b/>
                <w:color w:val="auto"/>
                <w:kern w:val="0"/>
                <w:szCs w:val="21"/>
                <w:highlight w:val="none"/>
              </w:rPr>
            </w:pPr>
          </w:p>
        </w:tc>
        <w:tc>
          <w:tcPr>
            <w:tcW w:w="2687" w:type="dxa"/>
            <w:tcBorders>
              <w:tl2br w:val="nil"/>
              <w:tr2bl w:val="nil"/>
            </w:tcBorders>
            <w:vAlign w:val="center"/>
          </w:tcPr>
          <w:p w14:paraId="1ED9778B">
            <w:pPr>
              <w:jc w:val="center"/>
              <w:rPr>
                <w:rFonts w:ascii="宋体" w:hAnsi="宋体" w:cs="宋体"/>
                <w:b/>
                <w:color w:val="auto"/>
                <w:kern w:val="0"/>
                <w:szCs w:val="21"/>
                <w:highlight w:val="none"/>
              </w:rPr>
            </w:pPr>
          </w:p>
        </w:tc>
      </w:tr>
    </w:tbl>
    <w:p w14:paraId="6C5938DF">
      <w:pPr>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投标人保证：除商务技术偏离表列出的偏离外，投标人响应招标文件的全部要求。</w:t>
      </w:r>
    </w:p>
    <w:p w14:paraId="42126536">
      <w:pPr>
        <w:pStyle w:val="3"/>
        <w:rPr>
          <w:rFonts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注：按本格式和要求提供。</w:t>
      </w:r>
    </w:p>
    <w:p w14:paraId="3FC86620">
      <w:pPr>
        <w:pStyle w:val="3"/>
        <w:rPr>
          <w:rFonts w:ascii="宋体" w:hAnsi="宋体" w:eastAsia="宋体" w:cs="宋体"/>
          <w:color w:val="auto"/>
          <w:highlight w:val="none"/>
          <w:lang w:val="en-US"/>
        </w:rPr>
      </w:pPr>
    </w:p>
    <w:p w14:paraId="49EC581A">
      <w:pPr>
        <w:jc w:val="center"/>
        <w:rPr>
          <w:rFonts w:ascii="宋体" w:hAnsi="宋体" w:cs="宋体"/>
          <w:b/>
          <w:color w:val="auto"/>
          <w:kern w:val="0"/>
          <w:sz w:val="32"/>
          <w:szCs w:val="32"/>
          <w:highlight w:val="none"/>
        </w:rPr>
      </w:pPr>
    </w:p>
    <w:p w14:paraId="21390BDA">
      <w:pPr>
        <w:jc w:val="center"/>
        <w:rPr>
          <w:rFonts w:ascii="宋体" w:hAnsi="宋体" w:cs="宋体"/>
          <w:b/>
          <w:color w:val="auto"/>
          <w:kern w:val="0"/>
          <w:sz w:val="32"/>
          <w:szCs w:val="32"/>
          <w:highlight w:val="none"/>
        </w:rPr>
      </w:pPr>
    </w:p>
    <w:p w14:paraId="4673E159">
      <w:pPr>
        <w:jc w:val="center"/>
        <w:rPr>
          <w:rFonts w:ascii="宋体" w:hAnsi="宋体" w:cs="宋体"/>
          <w:b/>
          <w:color w:val="auto"/>
          <w:kern w:val="0"/>
          <w:sz w:val="32"/>
          <w:szCs w:val="32"/>
          <w:highlight w:val="none"/>
        </w:rPr>
      </w:pPr>
    </w:p>
    <w:p w14:paraId="775B5640">
      <w:pPr>
        <w:jc w:val="center"/>
        <w:rPr>
          <w:rFonts w:ascii="宋体" w:hAnsi="宋体" w:cs="宋体"/>
          <w:b/>
          <w:color w:val="auto"/>
          <w:kern w:val="0"/>
          <w:sz w:val="32"/>
          <w:szCs w:val="32"/>
          <w:highlight w:val="none"/>
        </w:rPr>
      </w:pPr>
    </w:p>
    <w:p w14:paraId="1392AF9B">
      <w:pPr>
        <w:jc w:val="center"/>
        <w:rPr>
          <w:rFonts w:ascii="宋体" w:hAnsi="宋体" w:cs="宋体"/>
          <w:b/>
          <w:color w:val="auto"/>
          <w:kern w:val="0"/>
          <w:sz w:val="32"/>
          <w:szCs w:val="32"/>
          <w:highlight w:val="none"/>
        </w:rPr>
      </w:pPr>
    </w:p>
    <w:p w14:paraId="10E30DB9">
      <w:pPr>
        <w:jc w:val="center"/>
        <w:rPr>
          <w:rFonts w:ascii="宋体" w:hAnsi="宋体" w:cs="宋体"/>
          <w:b/>
          <w:color w:val="auto"/>
          <w:kern w:val="0"/>
          <w:sz w:val="32"/>
          <w:szCs w:val="32"/>
          <w:highlight w:val="none"/>
        </w:rPr>
      </w:pPr>
    </w:p>
    <w:p w14:paraId="25E6634B">
      <w:pPr>
        <w:jc w:val="center"/>
        <w:rPr>
          <w:rFonts w:ascii="宋体" w:hAnsi="宋体" w:cs="宋体"/>
          <w:b/>
          <w:color w:val="auto"/>
          <w:kern w:val="0"/>
          <w:sz w:val="32"/>
          <w:szCs w:val="32"/>
          <w:highlight w:val="none"/>
        </w:rPr>
      </w:pPr>
    </w:p>
    <w:p w14:paraId="0167FE6B">
      <w:pPr>
        <w:jc w:val="center"/>
        <w:rPr>
          <w:rFonts w:ascii="宋体" w:hAnsi="宋体" w:cs="宋体"/>
          <w:b/>
          <w:color w:val="auto"/>
          <w:kern w:val="0"/>
          <w:sz w:val="32"/>
          <w:szCs w:val="32"/>
          <w:highlight w:val="none"/>
        </w:rPr>
      </w:pPr>
    </w:p>
    <w:p w14:paraId="17AFFC00">
      <w:pPr>
        <w:jc w:val="center"/>
        <w:rPr>
          <w:rFonts w:ascii="宋体" w:hAnsi="宋体" w:cs="宋体"/>
          <w:b/>
          <w:color w:val="auto"/>
          <w:kern w:val="0"/>
          <w:sz w:val="32"/>
          <w:szCs w:val="32"/>
          <w:highlight w:val="none"/>
        </w:rPr>
      </w:pPr>
    </w:p>
    <w:p w14:paraId="53FEF856">
      <w:pPr>
        <w:jc w:val="center"/>
        <w:rPr>
          <w:rFonts w:ascii="宋体" w:hAnsi="宋体" w:cs="宋体"/>
          <w:b/>
          <w:color w:val="auto"/>
          <w:kern w:val="0"/>
          <w:sz w:val="32"/>
          <w:szCs w:val="32"/>
          <w:highlight w:val="none"/>
        </w:rPr>
      </w:pPr>
    </w:p>
    <w:p w14:paraId="5BEE8C51">
      <w:pPr>
        <w:jc w:val="center"/>
        <w:rPr>
          <w:rFonts w:ascii="宋体" w:hAnsi="宋体" w:cs="宋体"/>
          <w:b/>
          <w:color w:val="auto"/>
          <w:kern w:val="0"/>
          <w:sz w:val="32"/>
          <w:szCs w:val="32"/>
          <w:highlight w:val="none"/>
        </w:rPr>
      </w:pPr>
    </w:p>
    <w:p w14:paraId="71318FBD">
      <w:pPr>
        <w:jc w:val="center"/>
        <w:rPr>
          <w:rFonts w:ascii="宋体" w:hAnsi="宋体" w:cs="宋体"/>
          <w:b/>
          <w:color w:val="auto"/>
          <w:kern w:val="0"/>
          <w:sz w:val="32"/>
          <w:szCs w:val="32"/>
          <w:highlight w:val="none"/>
        </w:rPr>
      </w:pPr>
    </w:p>
    <w:p w14:paraId="4C352E01">
      <w:pPr>
        <w:ind w:firstLine="2891" w:firstLineChars="900"/>
        <w:rPr>
          <w:rFonts w:ascii="宋体" w:hAnsi="宋体" w:cs="宋体"/>
          <w:b/>
          <w:bCs/>
          <w:color w:val="auto"/>
          <w:sz w:val="32"/>
          <w:szCs w:val="32"/>
          <w:highlight w:val="none"/>
        </w:rPr>
      </w:pPr>
    </w:p>
    <w:p w14:paraId="5F8BDBAF">
      <w:pPr>
        <w:ind w:firstLine="2891" w:firstLineChars="900"/>
        <w:rPr>
          <w:rFonts w:ascii="宋体" w:hAnsi="宋体" w:cs="宋体"/>
          <w:b/>
          <w:bCs/>
          <w:color w:val="auto"/>
          <w:sz w:val="32"/>
          <w:szCs w:val="32"/>
          <w:highlight w:val="none"/>
        </w:rPr>
      </w:pPr>
    </w:p>
    <w:p w14:paraId="6427CD36">
      <w:pPr>
        <w:widowControl/>
        <w:adjustRightInd/>
        <w:spacing w:before="319" w:beforeLines="100" w:after="319"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七</w:t>
      </w:r>
      <w:r>
        <w:rPr>
          <w:rFonts w:hint="eastAsia" w:ascii="宋体" w:hAnsi="宋体" w:cs="宋体"/>
          <w:b/>
          <w:color w:val="auto"/>
          <w:kern w:val="0"/>
          <w:sz w:val="28"/>
          <w:szCs w:val="28"/>
          <w:highlight w:val="none"/>
        </w:rPr>
        <w:t>、</w:t>
      </w:r>
      <w:r>
        <w:rPr>
          <w:rFonts w:hint="eastAsia" w:ascii="宋体" w:hAnsi="宋体" w:cs="宋体"/>
          <w:b/>
          <w:color w:val="auto"/>
          <w:kern w:val="0"/>
          <w:sz w:val="28"/>
          <w:szCs w:val="28"/>
          <w:highlight w:val="none"/>
          <w:lang w:val="zh-CN"/>
        </w:rPr>
        <w:t>政府采购供应商廉洁自律承诺书</w:t>
      </w:r>
    </w:p>
    <w:p w14:paraId="4B28BFA5">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（采购人）、（采购代理机构）：</w:t>
      </w:r>
    </w:p>
    <w:p w14:paraId="4AA9628D">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我单位响应你单位项目招标要求参加投标。在这次投标过程中和中标后，我们将严格遵守国家法律法规要求，并郑重承诺：</w:t>
      </w:r>
    </w:p>
    <w:p w14:paraId="77916BDF">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一、不向项目有关人员及部门赠送礼金礼物、有价证券、回扣以及中介费、介绍费、咨询费等好处费；</w:t>
      </w:r>
    </w:p>
    <w:p w14:paraId="64CA7675">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二、不为项目有关人员及部门报销应由你方单位或个人支付的费用；</w:t>
      </w:r>
    </w:p>
    <w:p w14:paraId="16A083C0">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三、不向项目有关人员及部门提供有可能影响公正的宴请和健身娱乐等活动；</w:t>
      </w:r>
    </w:p>
    <w:p w14:paraId="5188C9FE">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四、不为项目有关人员及部门出国（境）、旅游等提供方便；</w:t>
      </w:r>
    </w:p>
    <w:p w14:paraId="6104ECAF">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五、不为项目有关人员个人装修住房、婚丧嫁娶、配偶子女工作安排等提供好处；</w:t>
      </w:r>
    </w:p>
    <w:p w14:paraId="34A0F8B8">
      <w:pPr>
        <w:wordWrap w:val="0"/>
        <w:autoSpaceDE w:val="0"/>
        <w:autoSpaceDN w:val="0"/>
        <w:spacing w:line="360" w:lineRule="auto"/>
        <w:ind w:left="420" w:left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六、</w:t>
      </w:r>
      <w:r>
        <w:rPr>
          <w:rFonts w:hint="eastAsia" w:ascii="宋体" w:hAnsi="宋体" w:cs="宋体"/>
          <w:color w:val="auto"/>
          <w:kern w:val="0"/>
          <w:szCs w:val="21"/>
          <w:highlight w:val="none"/>
          <w:lang w:val="zh-CN"/>
        </w:rPr>
        <w:t>严格遵守《</w:t>
      </w:r>
      <w:r>
        <w:rPr>
          <w:rFonts w:hint="eastAsia" w:ascii="宋体" w:hAnsi="宋体" w:cs="宋体"/>
          <w:color w:val="auto"/>
          <w:szCs w:val="21"/>
          <w:highlight w:val="none"/>
          <w:lang w:val="zh-CN"/>
        </w:rPr>
        <w:t>中华人民共和国</w:t>
      </w:r>
      <w:r>
        <w:rPr>
          <w:rFonts w:hint="eastAsia" w:ascii="宋体" w:hAnsi="宋体" w:cs="宋体"/>
          <w:color w:val="auto"/>
          <w:kern w:val="0"/>
          <w:szCs w:val="21"/>
          <w:highlight w:val="none"/>
          <w:lang w:val="zh-CN"/>
        </w:rPr>
        <w:t>政府采购法》《</w:t>
      </w:r>
      <w:r>
        <w:rPr>
          <w:rFonts w:hint="eastAsia" w:ascii="宋体" w:hAnsi="宋体" w:cs="宋体"/>
          <w:color w:val="auto"/>
          <w:szCs w:val="21"/>
          <w:highlight w:val="none"/>
          <w:lang w:val="zh-CN"/>
        </w:rPr>
        <w:t>中华人民共和国</w:t>
      </w:r>
      <w:r>
        <w:rPr>
          <w:rFonts w:hint="eastAsia" w:ascii="宋体" w:hAnsi="宋体" w:cs="宋体"/>
          <w:color w:val="auto"/>
          <w:kern w:val="0"/>
          <w:szCs w:val="21"/>
          <w:highlight w:val="none"/>
          <w:lang w:val="zh-CN"/>
        </w:rPr>
        <w:t>招标投标法》</w:t>
      </w:r>
      <w:r>
        <w:rPr>
          <w:rFonts w:hint="eastAsia" w:ascii="宋体" w:hAnsi="宋体" w:cs="宋体"/>
          <w:color w:val="auto"/>
          <w:szCs w:val="21"/>
          <w:highlight w:val="none"/>
          <w:lang w:val="zh-CN"/>
        </w:rPr>
        <w:t>《中华人民共和国民法典》</w:t>
      </w:r>
      <w:r>
        <w:rPr>
          <w:rFonts w:hint="eastAsia" w:ascii="宋体" w:hAnsi="宋体" w:cs="宋体"/>
          <w:color w:val="auto"/>
          <w:kern w:val="0"/>
          <w:szCs w:val="21"/>
          <w:highlight w:val="none"/>
          <w:lang w:val="zh-CN"/>
        </w:rPr>
        <w:t>等法律法规，诚实守信，合法经营，坚决抵制各种违法违纪行为。</w:t>
      </w:r>
    </w:p>
    <w:p w14:paraId="052A54BE">
      <w:pPr>
        <w:wordWrap w:val="0"/>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如违反上述承诺，你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有权立即取消我单位投标、中标或在建项目的建设资格，有权拒绝我单位在一定时期内进入你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进行项目建设或其他经营活动，并通报市财政局。由此引起的相应损失均由我单位承担。</w:t>
      </w:r>
    </w:p>
    <w:p w14:paraId="7E9A62DD">
      <w:pPr>
        <w:autoSpaceDE w:val="0"/>
        <w:autoSpaceDN w:val="0"/>
        <w:spacing w:line="360" w:lineRule="auto"/>
        <w:ind w:firstLine="420" w:firstLineChars="200"/>
        <w:jc w:val="left"/>
        <w:rPr>
          <w:rFonts w:ascii="宋体" w:hAnsi="宋体" w:cs="宋体"/>
          <w:color w:val="auto"/>
          <w:kern w:val="0"/>
          <w:szCs w:val="21"/>
          <w:highlight w:val="none"/>
          <w:lang w:val="zh-CN"/>
        </w:rPr>
      </w:pPr>
    </w:p>
    <w:p w14:paraId="15ED0D7E">
      <w:pPr>
        <w:autoSpaceDE w:val="0"/>
        <w:autoSpaceDN w:val="0"/>
        <w:spacing w:line="360" w:lineRule="auto"/>
        <w:ind w:firstLine="4620" w:firstLineChars="2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w:t>
      </w:r>
      <w:r>
        <w:rPr>
          <w:rFonts w:hint="eastAsia" w:ascii="宋体" w:hAnsi="宋体" w:cs="宋体"/>
          <w:color w:val="auto"/>
          <w:szCs w:val="21"/>
          <w:highlight w:val="none"/>
        </w:rPr>
        <w:t>电子签名</w:t>
      </w:r>
      <w:r>
        <w:rPr>
          <w:rFonts w:hint="eastAsia" w:ascii="宋体" w:hAnsi="宋体" w:cs="宋体"/>
          <w:color w:val="auto"/>
          <w:kern w:val="0"/>
          <w:szCs w:val="21"/>
          <w:highlight w:val="none"/>
          <w:lang w:val="zh-CN"/>
        </w:rPr>
        <w:t>）：</w:t>
      </w:r>
    </w:p>
    <w:p w14:paraId="4B432BC1">
      <w:pPr>
        <w:spacing w:line="360" w:lineRule="auto"/>
        <w:ind w:firstLine="4620" w:firstLineChars="2200"/>
        <w:rPr>
          <w:rFonts w:ascii="宋体" w:hAnsi="宋体" w:cs="宋体"/>
          <w:color w:val="auto"/>
          <w:sz w:val="24"/>
          <w:highlight w:val="none"/>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162AF0D1">
      <w:pPr>
        <w:spacing w:line="360" w:lineRule="auto"/>
        <w:jc w:val="center"/>
        <w:rPr>
          <w:rFonts w:ascii="宋体" w:hAnsi="宋体" w:cs="宋体"/>
          <w:b/>
          <w:bCs/>
          <w:color w:val="auto"/>
          <w:sz w:val="24"/>
          <w:highlight w:val="none"/>
        </w:rPr>
      </w:pPr>
    </w:p>
    <w:p w14:paraId="4C2C882A">
      <w:pPr>
        <w:pStyle w:val="3"/>
        <w:rPr>
          <w:rFonts w:ascii="宋体" w:hAnsi="宋体" w:eastAsia="宋体" w:cs="宋体"/>
          <w:color w:val="auto"/>
          <w:sz w:val="24"/>
          <w:highlight w:val="none"/>
        </w:rPr>
      </w:pPr>
    </w:p>
    <w:p w14:paraId="212F89BC">
      <w:pPr>
        <w:rPr>
          <w:rFonts w:ascii="宋体" w:hAnsi="宋体" w:cs="宋体"/>
          <w:b/>
          <w:bCs/>
          <w:color w:val="auto"/>
          <w:szCs w:val="21"/>
          <w:highlight w:val="none"/>
        </w:rPr>
      </w:pPr>
      <w:r>
        <w:rPr>
          <w:rFonts w:hint="eastAsia" w:ascii="宋体" w:hAnsi="宋体" w:cs="宋体"/>
          <w:b/>
          <w:bCs/>
          <w:color w:val="auto"/>
          <w:szCs w:val="21"/>
          <w:highlight w:val="none"/>
        </w:rPr>
        <w:t>注：按本格式和要求提供。</w:t>
      </w:r>
    </w:p>
    <w:p w14:paraId="5C44A56F">
      <w:pPr>
        <w:spacing w:line="360" w:lineRule="auto"/>
        <w:jc w:val="center"/>
        <w:rPr>
          <w:rFonts w:ascii="宋体" w:hAnsi="宋体" w:cs="宋体"/>
          <w:b/>
          <w:bCs/>
          <w:color w:val="auto"/>
          <w:sz w:val="24"/>
          <w:highlight w:val="none"/>
        </w:rPr>
        <w:sectPr>
          <w:footerReference r:id="rId8" w:type="default"/>
          <w:pgSz w:w="11905" w:h="16838"/>
          <w:pgMar w:top="1440" w:right="1080" w:bottom="1440" w:left="1080" w:header="851" w:footer="992" w:gutter="0"/>
          <w:pgBorders>
            <w:top w:val="none" w:sz="0" w:space="0"/>
            <w:left w:val="none" w:sz="0" w:space="0"/>
            <w:bottom w:val="none" w:sz="0" w:space="0"/>
            <w:right w:val="none" w:sz="0" w:space="0"/>
          </w:pgBorders>
          <w:cols w:space="0" w:num="1"/>
          <w:docGrid w:type="lines" w:linePitch="319" w:charSpace="0"/>
        </w:sectPr>
      </w:pPr>
    </w:p>
    <w:p w14:paraId="73B30EEA">
      <w:pPr>
        <w:spacing w:before="319" w:beforeLines="100" w:after="319" w:afterLines="100"/>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报价文件部分</w:t>
      </w:r>
    </w:p>
    <w:p w14:paraId="5B017835">
      <w:pPr>
        <w:spacing w:before="319" w:beforeLines="100" w:after="319" w:afterLines="100"/>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027CFC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开标一览表（报价表）………………………………………………………（页码）</w:t>
      </w:r>
    </w:p>
    <w:p w14:paraId="21EB5A2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报价情况说明…………………………………………………………………（页码）</w:t>
      </w:r>
    </w:p>
    <w:p w14:paraId="4A3C226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中小企业声明函………………………………………………………………（页码）</w:t>
      </w:r>
    </w:p>
    <w:p w14:paraId="4E2E8E8F">
      <w:pPr>
        <w:snapToGrid w:val="0"/>
        <w:spacing w:line="360" w:lineRule="auto"/>
        <w:rPr>
          <w:rFonts w:ascii="宋体" w:hAnsi="宋体" w:cs="宋体"/>
          <w:color w:val="auto"/>
          <w:szCs w:val="21"/>
          <w:highlight w:val="none"/>
        </w:rPr>
        <w:sectPr>
          <w:headerReference r:id="rId10" w:type="first"/>
          <w:footerReference r:id="rId12" w:type="first"/>
          <w:headerReference r:id="rId9" w:type="default"/>
          <w:footerReference r:id="rId11" w:type="default"/>
          <w:pgSz w:w="11905" w:h="16838"/>
          <w:pgMar w:top="1440" w:right="1080" w:bottom="1440" w:left="1080" w:header="851" w:footer="992" w:gutter="0"/>
          <w:pgBorders>
            <w:top w:val="none" w:sz="0" w:space="0"/>
            <w:left w:val="none" w:sz="0" w:space="0"/>
            <w:bottom w:val="none" w:sz="0" w:space="0"/>
            <w:right w:val="none" w:sz="0" w:space="0"/>
          </w:pgBorders>
          <w:cols w:space="0" w:num="1"/>
          <w:docGrid w:type="lines" w:linePitch="319" w:charSpace="0"/>
        </w:sectPr>
      </w:pPr>
    </w:p>
    <w:p w14:paraId="36D7208E">
      <w:pPr>
        <w:pStyle w:val="695"/>
        <w:keepNext w:val="0"/>
        <w:pageBreakBefore w:val="0"/>
        <w:tabs>
          <w:tab w:val="clear" w:pos="720"/>
        </w:tabs>
        <w:snapToGrid w:val="0"/>
        <w:spacing w:before="319" w:beforeLines="100" w:after="319" w:afterLines="100" w:line="240" w:lineRule="auto"/>
        <w:outlineLvl w:val="9"/>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一、开标一览表（报价表）</w:t>
      </w:r>
    </w:p>
    <w:p w14:paraId="53C24892">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（采购人）、（采购代理机构）：</w:t>
      </w:r>
    </w:p>
    <w:p w14:paraId="18E934AA">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Cs w:val="21"/>
          <w:highlight w:val="none"/>
        </w:rPr>
        <w:t>（项目名称）</w:t>
      </w:r>
      <w:r>
        <w:rPr>
          <w:rFonts w:hint="eastAsia" w:ascii="宋体" w:hAnsi="宋体" w:cs="宋体"/>
          <w:color w:val="auto"/>
          <w:kern w:val="0"/>
          <w:szCs w:val="21"/>
          <w:highlight w:val="none"/>
          <w:lang w:val="zh-CN"/>
        </w:rPr>
        <w:t>【招标编号：</w:t>
      </w:r>
      <w:r>
        <w:rPr>
          <w:rFonts w:hint="eastAsia" w:ascii="宋体" w:hAnsi="宋体" w:cs="宋体"/>
          <w:color w:val="auto"/>
          <w:szCs w:val="21"/>
          <w:highlight w:val="none"/>
        </w:rPr>
        <w:t>（采购编号）】的实施</w:t>
      </w:r>
      <w:r>
        <w:rPr>
          <w:rFonts w:hint="eastAsia" w:ascii="宋体" w:hAnsi="宋体" w:cs="宋体"/>
          <w:color w:val="auto"/>
          <w:kern w:val="0"/>
          <w:szCs w:val="21"/>
          <w:highlight w:val="none"/>
          <w:lang w:val="zh-CN"/>
        </w:rPr>
        <w:t>。</w:t>
      </w:r>
    </w:p>
    <w:p w14:paraId="635065C5">
      <w:pPr>
        <w:spacing w:line="360" w:lineRule="auto"/>
        <w:jc w:val="center"/>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开标一览表（报价表）(单位均为人民币元)</w:t>
      </w:r>
    </w:p>
    <w:tbl>
      <w:tblPr>
        <w:tblStyle w:val="64"/>
        <w:tblW w:w="97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966"/>
        <w:gridCol w:w="1890"/>
        <w:gridCol w:w="1743"/>
        <w:gridCol w:w="1412"/>
      </w:tblGrid>
      <w:tr w14:paraId="763D03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5" w:type="dxa"/>
            <w:tcBorders>
              <w:tl2br w:val="nil"/>
              <w:tr2bl w:val="nil"/>
            </w:tcBorders>
            <w:vAlign w:val="center"/>
          </w:tcPr>
          <w:p w14:paraId="4CD7EB04">
            <w:pPr>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3966" w:type="dxa"/>
            <w:tcBorders>
              <w:tl2br w:val="nil"/>
              <w:tr2bl w:val="nil"/>
            </w:tcBorders>
            <w:vAlign w:val="center"/>
          </w:tcPr>
          <w:p w14:paraId="6BC5D6DF">
            <w:pPr>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项目名称</w:t>
            </w:r>
          </w:p>
        </w:tc>
        <w:tc>
          <w:tcPr>
            <w:tcW w:w="1890" w:type="dxa"/>
            <w:tcBorders>
              <w:tl2br w:val="nil"/>
              <w:tr2bl w:val="nil"/>
            </w:tcBorders>
            <w:vAlign w:val="center"/>
          </w:tcPr>
          <w:p w14:paraId="3BF3327D">
            <w:pPr>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数量</w:t>
            </w:r>
          </w:p>
        </w:tc>
        <w:tc>
          <w:tcPr>
            <w:tcW w:w="1743" w:type="dxa"/>
            <w:tcBorders>
              <w:tl2br w:val="nil"/>
              <w:tr2bl w:val="nil"/>
            </w:tcBorders>
            <w:vAlign w:val="center"/>
          </w:tcPr>
          <w:p w14:paraId="6D791D4B">
            <w:pPr>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投标报价</w:t>
            </w:r>
          </w:p>
        </w:tc>
        <w:tc>
          <w:tcPr>
            <w:tcW w:w="1412" w:type="dxa"/>
            <w:tcBorders>
              <w:tl2br w:val="nil"/>
              <w:tr2bl w:val="nil"/>
            </w:tcBorders>
            <w:vAlign w:val="center"/>
          </w:tcPr>
          <w:p w14:paraId="7711BF8B">
            <w:pPr>
              <w:jc w:val="center"/>
              <w:rPr>
                <w:rFonts w:hint="eastAsia" w:ascii="宋体" w:hAnsi="宋体" w:cs="宋体"/>
                <w:bCs/>
                <w:color w:val="auto"/>
                <w:szCs w:val="21"/>
                <w:highlight w:val="none"/>
              </w:rPr>
            </w:pPr>
            <w:r>
              <w:rPr>
                <w:rFonts w:hint="eastAsia" w:ascii="宋体" w:hAnsi="宋体" w:cs="宋体"/>
                <w:bCs/>
                <w:color w:val="auto"/>
                <w:szCs w:val="21"/>
                <w:highlight w:val="none"/>
              </w:rPr>
              <w:t>备注</w:t>
            </w:r>
          </w:p>
          <w:p w14:paraId="428C6CB9">
            <w:pPr>
              <w:jc w:val="center"/>
              <w:rPr>
                <w:rFonts w:ascii="宋体" w:hAnsi="宋体" w:cs="宋体"/>
                <w:bCs/>
                <w:color w:val="auto"/>
                <w:szCs w:val="21"/>
                <w:highlight w:val="none"/>
              </w:rPr>
            </w:pPr>
            <w:r>
              <w:rPr>
                <w:rFonts w:hint="eastAsia" w:ascii="宋体" w:hAnsi="宋体" w:cs="宋体"/>
                <w:bCs/>
                <w:color w:val="auto"/>
                <w:szCs w:val="21"/>
                <w:highlight w:val="none"/>
              </w:rPr>
              <w:t>（如果有）</w:t>
            </w:r>
          </w:p>
        </w:tc>
      </w:tr>
      <w:tr w14:paraId="0401DB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5" w:type="dxa"/>
            <w:tcBorders>
              <w:tl2br w:val="nil"/>
              <w:tr2bl w:val="nil"/>
            </w:tcBorders>
            <w:vAlign w:val="center"/>
          </w:tcPr>
          <w:p w14:paraId="03F47B54">
            <w:pPr>
              <w:jc w:val="center"/>
              <w:rPr>
                <w:rFonts w:ascii="宋体" w:hAnsi="宋体" w:cs="宋体"/>
                <w:color w:val="auto"/>
                <w:szCs w:val="21"/>
                <w:highlight w:val="none"/>
              </w:rPr>
            </w:pPr>
          </w:p>
        </w:tc>
        <w:tc>
          <w:tcPr>
            <w:tcW w:w="3966" w:type="dxa"/>
            <w:tcBorders>
              <w:tl2br w:val="nil"/>
              <w:tr2bl w:val="nil"/>
            </w:tcBorders>
            <w:vAlign w:val="center"/>
          </w:tcPr>
          <w:p w14:paraId="57449A1E">
            <w:pPr>
              <w:snapToGrid w:val="0"/>
              <w:jc w:val="center"/>
              <w:rPr>
                <w:rFonts w:hint="default" w:ascii="宋体" w:hAnsi="宋体" w:eastAsia="宋体" w:cs="宋体"/>
                <w:color w:val="auto"/>
                <w:szCs w:val="21"/>
                <w:highlight w:val="none"/>
                <w:lang w:val="en-US" w:eastAsia="zh-CN"/>
              </w:rPr>
            </w:pPr>
          </w:p>
        </w:tc>
        <w:tc>
          <w:tcPr>
            <w:tcW w:w="1890" w:type="dxa"/>
            <w:tcBorders>
              <w:tl2br w:val="nil"/>
              <w:tr2bl w:val="nil"/>
            </w:tcBorders>
            <w:vAlign w:val="center"/>
          </w:tcPr>
          <w:p w14:paraId="3E16110A">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1项</w:t>
            </w:r>
          </w:p>
        </w:tc>
        <w:tc>
          <w:tcPr>
            <w:tcW w:w="1743" w:type="dxa"/>
            <w:tcBorders>
              <w:tl2br w:val="nil"/>
              <w:tr2bl w:val="nil"/>
            </w:tcBorders>
            <w:vAlign w:val="center"/>
          </w:tcPr>
          <w:p w14:paraId="5F6C8213">
            <w:pPr>
              <w:jc w:val="center"/>
              <w:rPr>
                <w:rFonts w:ascii="宋体" w:hAnsi="宋体" w:cs="宋体"/>
                <w:color w:val="auto"/>
                <w:szCs w:val="21"/>
                <w:highlight w:val="none"/>
              </w:rPr>
            </w:pPr>
          </w:p>
        </w:tc>
        <w:tc>
          <w:tcPr>
            <w:tcW w:w="1412" w:type="dxa"/>
            <w:tcBorders>
              <w:tl2br w:val="nil"/>
              <w:tr2bl w:val="nil"/>
            </w:tcBorders>
            <w:vAlign w:val="center"/>
          </w:tcPr>
          <w:p w14:paraId="0F67C7C4">
            <w:pPr>
              <w:jc w:val="center"/>
              <w:rPr>
                <w:rFonts w:ascii="宋体" w:hAnsi="宋体" w:cs="宋体"/>
                <w:color w:val="auto"/>
                <w:szCs w:val="21"/>
                <w:highlight w:val="none"/>
              </w:rPr>
            </w:pPr>
          </w:p>
        </w:tc>
      </w:tr>
      <w:tr w14:paraId="713A2D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671" w:type="dxa"/>
            <w:gridSpan w:val="2"/>
            <w:tcBorders>
              <w:tl2br w:val="nil"/>
              <w:tr2bl w:val="nil"/>
            </w:tcBorders>
            <w:vAlign w:val="center"/>
          </w:tcPr>
          <w:p w14:paraId="7543188B">
            <w:pPr>
              <w:jc w:val="center"/>
              <w:rPr>
                <w:rFonts w:ascii="宋体" w:hAnsi="宋体" w:cs="宋体"/>
                <w:bCs/>
                <w:color w:val="auto"/>
                <w:szCs w:val="21"/>
                <w:highlight w:val="none"/>
              </w:rPr>
            </w:pPr>
            <w:r>
              <w:rPr>
                <w:rFonts w:hint="eastAsia" w:ascii="宋体" w:hAnsi="宋体" w:cs="宋体"/>
                <w:bCs/>
                <w:color w:val="auto"/>
                <w:szCs w:val="21"/>
                <w:highlight w:val="none"/>
              </w:rPr>
              <w:t>投标报价（大写）</w:t>
            </w:r>
          </w:p>
        </w:tc>
        <w:tc>
          <w:tcPr>
            <w:tcW w:w="5045" w:type="dxa"/>
            <w:gridSpan w:val="3"/>
            <w:tcBorders>
              <w:tl2br w:val="nil"/>
              <w:tr2bl w:val="nil"/>
            </w:tcBorders>
            <w:vAlign w:val="center"/>
          </w:tcPr>
          <w:p w14:paraId="260CD50E">
            <w:pPr>
              <w:jc w:val="center"/>
              <w:rPr>
                <w:rFonts w:ascii="宋体" w:hAnsi="宋体" w:cs="宋体"/>
                <w:color w:val="auto"/>
                <w:szCs w:val="21"/>
                <w:highlight w:val="none"/>
              </w:rPr>
            </w:pPr>
          </w:p>
        </w:tc>
      </w:tr>
    </w:tbl>
    <w:p w14:paraId="084853AB">
      <w:pPr>
        <w:snapToGrid w:val="0"/>
        <w:spacing w:line="360" w:lineRule="auto"/>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注：</w:t>
      </w:r>
    </w:p>
    <w:p w14:paraId="553EA1DF">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1、投标人需按本表格式填写，</w:t>
      </w:r>
      <w:r>
        <w:rPr>
          <w:rFonts w:hint="eastAsia" w:ascii="宋体" w:hAnsi="宋体" w:cs="宋体"/>
          <w:b/>
          <w:bCs/>
          <w:color w:val="auto"/>
          <w:kern w:val="0"/>
          <w:szCs w:val="21"/>
          <w:highlight w:val="none"/>
          <w:lang w:val="zh-CN"/>
        </w:rPr>
        <w:t>否则视为投标文件含有采购人不能接受的附加条件，投标无效。</w:t>
      </w:r>
    </w:p>
    <w:p w14:paraId="53EAF593">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2、有关本项目实施所涉及的一切费用均计入报价。</w:t>
      </w:r>
      <w:r>
        <w:rPr>
          <w:rFonts w:hint="eastAsia" w:ascii="宋体" w:hAnsi="宋体" w:cs="宋体"/>
          <w:b/>
          <w:color w:val="auto"/>
          <w:kern w:val="0"/>
          <w:szCs w:val="21"/>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不得出现“0元”“免费赠送”等形式的无偿报价，</w:t>
      </w:r>
      <w:r>
        <w:rPr>
          <w:rFonts w:hint="eastAsia" w:ascii="宋体" w:hAnsi="宋体" w:cs="宋体"/>
          <w:b/>
          <w:color w:val="auto"/>
          <w:kern w:val="0"/>
          <w:szCs w:val="21"/>
          <w:highlight w:val="none"/>
        </w:rPr>
        <w:t>否则视为</w:t>
      </w:r>
      <w:r>
        <w:rPr>
          <w:rFonts w:hint="eastAsia" w:ascii="宋体" w:hAnsi="宋体" w:cs="宋体"/>
          <w:b/>
          <w:color w:val="auto"/>
          <w:szCs w:val="21"/>
          <w:highlight w:val="none"/>
        </w:rPr>
        <w:t>投标文件含有采购人不能接受的附加条件的，投标无效</w:t>
      </w:r>
      <w:r>
        <w:rPr>
          <w:rFonts w:hint="eastAsia" w:ascii="宋体" w:hAnsi="宋体" w:cs="宋体"/>
          <w:b/>
          <w:color w:val="auto"/>
          <w:kern w:val="0"/>
          <w:szCs w:val="21"/>
          <w:highlight w:val="none"/>
          <w:lang w:val="zh-CN"/>
        </w:rPr>
        <w:t>。采购内容未包含在《开标一览表（报价表）》名称栏中，投标人不能作出合理解释的，视为投标文件含有采购人不能接受的附加条件的，投标无效。</w:t>
      </w:r>
    </w:p>
    <w:p w14:paraId="06BED5B1">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zh-CN"/>
        </w:rPr>
        <w:t>、特别提示：采购</w:t>
      </w:r>
      <w:r>
        <w:rPr>
          <w:rFonts w:hint="eastAsia" w:ascii="宋体" w:hAnsi="宋体" w:cs="宋体"/>
          <w:color w:val="auto"/>
          <w:kern w:val="0"/>
          <w:szCs w:val="21"/>
          <w:highlight w:val="none"/>
        </w:rPr>
        <w:t>代理</w:t>
      </w:r>
      <w:r>
        <w:rPr>
          <w:rFonts w:hint="eastAsia" w:ascii="宋体" w:hAnsi="宋体" w:cs="宋体"/>
          <w:color w:val="auto"/>
          <w:kern w:val="0"/>
          <w:szCs w:val="21"/>
          <w:highlight w:val="none"/>
          <w:lang w:val="zh-CN"/>
        </w:rPr>
        <w:t>机构将对项目名称和项目编号，中标供应商名称、地址和中标金额，主要中标标的名称、服务范围、服务要求、服务时间、服务标准等予以公示。</w:t>
      </w:r>
    </w:p>
    <w:p w14:paraId="5E9D7D1B">
      <w:pPr>
        <w:snapToGrid w:val="0"/>
        <w:spacing w:line="360" w:lineRule="auto"/>
        <w:ind w:firstLine="420" w:firstLineChars="200"/>
        <w:rPr>
          <w:rFonts w:ascii="宋体" w:hAnsi="宋体" w:cs="宋体"/>
          <w:color w:val="auto"/>
          <w:kern w:val="0"/>
          <w:szCs w:val="21"/>
          <w:highlight w:val="none"/>
          <w:lang w:val="zh-CN"/>
        </w:rPr>
        <w:sectPr>
          <w:pgSz w:w="11905" w:h="16838"/>
          <w:pgMar w:top="1440" w:right="1083" w:bottom="1440" w:left="1083" w:header="851" w:footer="992" w:gutter="0"/>
          <w:pgBorders>
            <w:top w:val="none" w:sz="0" w:space="0"/>
            <w:left w:val="none" w:sz="0" w:space="0"/>
            <w:bottom w:val="none" w:sz="0" w:space="0"/>
            <w:right w:val="none" w:sz="0" w:space="0"/>
          </w:pgBorders>
          <w:cols w:space="0" w:num="1"/>
          <w:docGrid w:type="lines" w:linePitch="319" w:charSpace="0"/>
        </w:sect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75070A1">
      <w:pPr>
        <w:pStyle w:val="695"/>
        <w:keepNext w:val="0"/>
        <w:pageBreakBefore w:val="0"/>
        <w:tabs>
          <w:tab w:val="clear" w:pos="720"/>
        </w:tabs>
        <w:snapToGrid w:val="0"/>
        <w:spacing w:before="319" w:beforeLines="100" w:after="319" w:afterLines="100" w:line="240" w:lineRule="auto"/>
        <w:outlineLvl w:val="9"/>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rPr>
        <w:t>二</w:t>
      </w:r>
      <w:r>
        <w:rPr>
          <w:rFonts w:hint="eastAsia" w:ascii="宋体" w:hAnsi="宋体" w:eastAsia="宋体" w:cs="宋体"/>
          <w:color w:val="auto"/>
          <w:kern w:val="2"/>
          <w:sz w:val="28"/>
          <w:szCs w:val="28"/>
          <w:highlight w:val="none"/>
        </w:rPr>
        <w:t>、报价情况说明（如果有）</w:t>
      </w:r>
    </w:p>
    <w:p w14:paraId="1CF72F92">
      <w:pPr>
        <w:widowControl/>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（如供应商报价低于项目预算50%的，应当提交本文档，详细阐述不影响产品质量或者诚信履约的具体原因，否则投标无效。）</w:t>
      </w:r>
    </w:p>
    <w:p w14:paraId="37A528B2">
      <w:pPr>
        <w:pStyle w:val="695"/>
        <w:keepNext w:val="0"/>
        <w:keepLines w:val="0"/>
        <w:pageBreakBefore/>
        <w:widowControl w:val="0"/>
        <w:tabs>
          <w:tab w:val="clear" w:pos="720"/>
        </w:tabs>
        <w:kinsoku/>
        <w:wordWrap/>
        <w:overflowPunct/>
        <w:topLinePunct w:val="0"/>
        <w:autoSpaceDE/>
        <w:autoSpaceDN/>
        <w:bidi w:val="0"/>
        <w:adjustRightInd w:val="0"/>
        <w:snapToGrid w:val="0"/>
        <w:spacing w:before="319" w:beforeLines="100" w:after="319" w:afterLines="100" w:line="240" w:lineRule="auto"/>
        <w:textAlignment w:val="auto"/>
        <w:outlineLvl w:val="9"/>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rPr>
        <w:t>三</w:t>
      </w:r>
      <w:r>
        <w:rPr>
          <w:rFonts w:hint="eastAsia" w:ascii="宋体" w:hAnsi="宋体" w:eastAsia="宋体" w:cs="宋体"/>
          <w:color w:val="auto"/>
          <w:kern w:val="2"/>
          <w:sz w:val="28"/>
          <w:szCs w:val="28"/>
          <w:highlight w:val="none"/>
        </w:rPr>
        <w:t>、中小企业声明函（如果有）</w:t>
      </w:r>
    </w:p>
    <w:p w14:paraId="5C2F1DEA">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8D46DD7">
      <w:pPr>
        <w:pStyle w:val="3"/>
        <w:rPr>
          <w:rFonts w:ascii="宋体" w:hAnsi="宋体" w:eastAsia="宋体" w:cs="宋体"/>
          <w:color w:val="auto"/>
          <w:highlight w:val="none"/>
        </w:rPr>
      </w:pPr>
      <w:r>
        <w:rPr>
          <w:rFonts w:hint="eastAsia" w:ascii="宋体" w:hAnsi="宋体" w:eastAsia="宋体" w:cs="宋体"/>
          <w:color w:val="auto"/>
          <w:highlight w:val="none"/>
        </w:rPr>
        <w:br w:type="page"/>
      </w:r>
    </w:p>
    <w:p w14:paraId="53D2F295">
      <w:pPr>
        <w:pStyle w:val="2"/>
        <w:keepNext w:val="0"/>
        <w:keepLines w:val="0"/>
        <w:pageBreakBefore/>
        <w:widowControl/>
        <w:spacing w:before="319" w:beforeLines="100" w:after="319" w:afterLines="100" w:line="240" w:lineRule="auto"/>
        <w:ind w:left="0" w:firstLine="0"/>
        <w:jc w:val="center"/>
        <w:rPr>
          <w:rFonts w:ascii="宋体" w:hAnsi="宋体" w:cs="宋体"/>
          <w:color w:val="auto"/>
          <w:highlight w:val="none"/>
        </w:rPr>
      </w:pPr>
      <w:bookmarkStart w:id="517" w:name="_Toc465665161"/>
      <w:r>
        <w:rPr>
          <w:rFonts w:hint="eastAsia" w:ascii="宋体" w:hAnsi="宋体" w:cs="宋体"/>
          <w:color w:val="auto"/>
          <w:highlight w:val="none"/>
        </w:rPr>
        <w:t>附件</w:t>
      </w:r>
      <w:bookmarkEnd w:id="517"/>
    </w:p>
    <w:p w14:paraId="2E100954">
      <w:pPr>
        <w:spacing w:before="319" w:beforeLines="100" w:after="319" w:afterLines="100"/>
        <w:rPr>
          <w:rFonts w:ascii="宋体" w:hAnsi="宋体" w:cs="宋体"/>
          <w:b/>
          <w:color w:val="auto"/>
          <w:sz w:val="28"/>
          <w:szCs w:val="28"/>
          <w:highlight w:val="none"/>
        </w:rPr>
      </w:pPr>
      <w:r>
        <w:rPr>
          <w:rFonts w:hint="eastAsia" w:ascii="宋体" w:hAnsi="宋体" w:cs="宋体"/>
          <w:b/>
          <w:color w:val="auto"/>
          <w:sz w:val="28"/>
          <w:szCs w:val="28"/>
          <w:highlight w:val="none"/>
        </w:rPr>
        <w:t>附件1：</w:t>
      </w:r>
    </w:p>
    <w:p w14:paraId="2C5A98AE">
      <w:pPr>
        <w:pStyle w:val="695"/>
        <w:keepNext w:val="0"/>
        <w:pageBreakBefore w:val="0"/>
        <w:tabs>
          <w:tab w:val="clear" w:pos="720"/>
        </w:tabs>
        <w:snapToGrid w:val="0"/>
        <w:spacing w:before="319" w:beforeLines="100" w:line="240" w:lineRule="auto"/>
        <w:outlineLvl w:val="9"/>
        <w:rPr>
          <w:rFonts w:ascii="宋体" w:hAnsi="宋体" w:eastAsia="宋体" w:cs="宋体"/>
          <w:color w:val="auto"/>
          <w:kern w:val="2"/>
          <w:sz w:val="28"/>
          <w:szCs w:val="28"/>
          <w:highlight w:val="none"/>
        </w:rPr>
      </w:pPr>
      <w:bookmarkStart w:id="518" w:name="OLE_LINK13"/>
      <w:bookmarkStart w:id="519" w:name="OLE_LINK14"/>
      <w:r>
        <w:rPr>
          <w:rFonts w:hint="eastAsia" w:ascii="宋体" w:hAnsi="宋体" w:eastAsia="宋体" w:cs="宋体"/>
          <w:color w:val="auto"/>
          <w:kern w:val="2"/>
          <w:sz w:val="28"/>
          <w:szCs w:val="28"/>
          <w:highlight w:val="none"/>
        </w:rPr>
        <w:t>残疾人福利性单位声明函</w:t>
      </w:r>
    </w:p>
    <w:bookmarkEnd w:id="518"/>
    <w:bookmarkEnd w:id="519"/>
    <w:p w14:paraId="6F7C12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szCs w:val="21"/>
          <w:highlight w:val="none"/>
          <w:u w:val="single"/>
        </w:rPr>
        <w:t xml:space="preserve">  （采购人）  </w:t>
      </w:r>
      <w:r>
        <w:rPr>
          <w:rFonts w:hint="eastAsia" w:ascii="宋体" w:hAnsi="宋体" w:cs="宋体"/>
          <w:color w:val="auto"/>
          <w:szCs w:val="21"/>
          <w:highlight w:val="none"/>
        </w:rPr>
        <w:t>单位的</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7DC1F7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2206AA11">
      <w:pPr>
        <w:spacing w:line="360" w:lineRule="auto"/>
        <w:ind w:firstLine="420" w:firstLineChars="200"/>
        <w:rPr>
          <w:rFonts w:ascii="宋体" w:hAnsi="宋体" w:cs="宋体"/>
          <w:color w:val="auto"/>
          <w:szCs w:val="21"/>
          <w:highlight w:val="none"/>
        </w:rPr>
      </w:pPr>
    </w:p>
    <w:p w14:paraId="7DB57AB4">
      <w:pPr>
        <w:spacing w:line="360" w:lineRule="auto"/>
        <w:ind w:firstLine="420" w:firstLineChars="200"/>
        <w:rPr>
          <w:rFonts w:ascii="宋体" w:hAnsi="宋体" w:cs="宋体"/>
          <w:color w:val="auto"/>
          <w:szCs w:val="21"/>
          <w:highlight w:val="none"/>
        </w:rPr>
      </w:pPr>
    </w:p>
    <w:p w14:paraId="7704EF9D">
      <w:pPr>
        <w:tabs>
          <w:tab w:val="left" w:pos="4860"/>
        </w:tabs>
        <w:spacing w:line="360" w:lineRule="auto"/>
        <w:ind w:firstLine="4620" w:firstLineChars="2200"/>
        <w:rPr>
          <w:rFonts w:ascii="宋体" w:hAnsi="宋体" w:cs="宋体"/>
          <w:color w:val="auto"/>
          <w:szCs w:val="21"/>
          <w:highlight w:val="none"/>
        </w:rPr>
      </w:pPr>
      <w:r>
        <w:rPr>
          <w:rFonts w:hint="eastAsia" w:ascii="宋体" w:hAnsi="宋体" w:cs="宋体"/>
          <w:color w:val="auto"/>
          <w:kern w:val="0"/>
          <w:szCs w:val="21"/>
          <w:highlight w:val="none"/>
          <w:lang w:val="zh-CN"/>
        </w:rPr>
        <w:t>投标人名称（电子签名）</w:t>
      </w:r>
      <w:r>
        <w:rPr>
          <w:rFonts w:hint="eastAsia" w:ascii="宋体" w:hAnsi="宋体" w:cs="宋体"/>
          <w:color w:val="auto"/>
          <w:szCs w:val="21"/>
          <w:highlight w:val="none"/>
        </w:rPr>
        <w:t>：</w:t>
      </w:r>
    </w:p>
    <w:p w14:paraId="7B948F25">
      <w:pPr>
        <w:tabs>
          <w:tab w:val="left" w:pos="4860"/>
        </w:tabs>
        <w:spacing w:line="360" w:lineRule="auto"/>
        <w:ind w:firstLine="4620" w:firstLineChars="2200"/>
        <w:rPr>
          <w:rFonts w:ascii="宋体" w:hAnsi="宋体" w:cs="宋体"/>
          <w:color w:val="auto"/>
          <w:szCs w:val="21"/>
          <w:highlight w:val="none"/>
        </w:rPr>
      </w:pPr>
      <w:r>
        <w:rPr>
          <w:rFonts w:hint="eastAsia" w:ascii="宋体" w:hAnsi="宋体" w:cs="宋体"/>
          <w:color w:val="auto"/>
          <w:szCs w:val="21"/>
          <w:highlight w:val="none"/>
        </w:rPr>
        <w:t>日期：   年   月   日</w:t>
      </w:r>
    </w:p>
    <w:p w14:paraId="2582DFB6">
      <w:pPr>
        <w:spacing w:line="360" w:lineRule="auto"/>
        <w:ind w:firstLine="480" w:firstLineChars="200"/>
        <w:rPr>
          <w:rFonts w:ascii="宋体" w:hAnsi="宋体" w:cs="宋体"/>
          <w:color w:val="auto"/>
          <w:sz w:val="24"/>
          <w:highlight w:val="none"/>
        </w:rPr>
      </w:pPr>
    </w:p>
    <w:p w14:paraId="3E8C7C29">
      <w:pPr>
        <w:spacing w:line="360" w:lineRule="auto"/>
        <w:ind w:firstLine="420" w:firstLineChars="200"/>
        <w:rPr>
          <w:rFonts w:ascii="宋体" w:hAnsi="宋体" w:cs="宋体"/>
          <w:color w:val="auto"/>
          <w:highlight w:val="none"/>
        </w:rPr>
      </w:pPr>
    </w:p>
    <w:p w14:paraId="31C4890D">
      <w:pPr>
        <w:spacing w:line="360" w:lineRule="auto"/>
        <w:ind w:firstLine="420" w:firstLineChars="200"/>
        <w:rPr>
          <w:rFonts w:ascii="宋体" w:hAnsi="宋体" w:cs="宋体"/>
          <w:color w:val="auto"/>
          <w:highlight w:val="none"/>
        </w:rPr>
      </w:pPr>
    </w:p>
    <w:p w14:paraId="1453A33A">
      <w:pPr>
        <w:spacing w:line="360" w:lineRule="auto"/>
        <w:ind w:firstLine="420" w:firstLineChars="200"/>
        <w:rPr>
          <w:rFonts w:ascii="宋体" w:hAnsi="宋体" w:cs="宋体"/>
          <w:color w:val="auto"/>
          <w:highlight w:val="none"/>
        </w:rPr>
      </w:pPr>
    </w:p>
    <w:p w14:paraId="1D6BBD9F">
      <w:pPr>
        <w:spacing w:line="360" w:lineRule="auto"/>
        <w:ind w:firstLine="420" w:firstLineChars="200"/>
        <w:rPr>
          <w:rFonts w:ascii="宋体" w:hAnsi="宋体" w:cs="宋体"/>
          <w:color w:val="auto"/>
          <w:highlight w:val="none"/>
        </w:rPr>
      </w:pPr>
    </w:p>
    <w:p w14:paraId="36EEF5ED">
      <w:pPr>
        <w:spacing w:line="360" w:lineRule="auto"/>
        <w:rPr>
          <w:rFonts w:ascii="宋体" w:hAnsi="宋体" w:cs="宋体"/>
          <w:b/>
          <w:color w:val="auto"/>
          <w:sz w:val="24"/>
          <w:highlight w:val="none"/>
        </w:rPr>
      </w:pPr>
    </w:p>
    <w:p w14:paraId="2139E5F3">
      <w:pPr>
        <w:spacing w:line="360" w:lineRule="auto"/>
        <w:rPr>
          <w:rFonts w:ascii="宋体" w:hAnsi="宋体" w:cs="宋体"/>
          <w:b/>
          <w:color w:val="auto"/>
          <w:sz w:val="24"/>
          <w:highlight w:val="none"/>
        </w:rPr>
      </w:pPr>
    </w:p>
    <w:p w14:paraId="489EA4DF">
      <w:pPr>
        <w:spacing w:line="360" w:lineRule="auto"/>
        <w:rPr>
          <w:rFonts w:ascii="宋体" w:hAnsi="宋体" w:cs="宋体"/>
          <w:b/>
          <w:color w:val="auto"/>
          <w:sz w:val="24"/>
          <w:highlight w:val="none"/>
        </w:rPr>
      </w:pPr>
    </w:p>
    <w:p w14:paraId="519FE659">
      <w:pPr>
        <w:spacing w:line="360" w:lineRule="auto"/>
        <w:rPr>
          <w:rFonts w:ascii="宋体" w:hAnsi="宋体" w:cs="宋体"/>
          <w:b/>
          <w:color w:val="auto"/>
          <w:sz w:val="24"/>
          <w:highlight w:val="none"/>
        </w:rPr>
      </w:pPr>
    </w:p>
    <w:p w14:paraId="738C73A5">
      <w:pPr>
        <w:spacing w:line="360" w:lineRule="auto"/>
        <w:rPr>
          <w:rFonts w:ascii="宋体" w:hAnsi="宋体" w:cs="宋体"/>
          <w:b/>
          <w:color w:val="auto"/>
          <w:sz w:val="24"/>
          <w:highlight w:val="none"/>
        </w:rPr>
      </w:pPr>
    </w:p>
    <w:p w14:paraId="43ED6FEE">
      <w:pPr>
        <w:spacing w:line="360" w:lineRule="auto"/>
        <w:rPr>
          <w:rFonts w:ascii="宋体" w:hAnsi="宋体" w:cs="宋体"/>
          <w:b/>
          <w:color w:val="auto"/>
          <w:sz w:val="24"/>
          <w:highlight w:val="none"/>
        </w:rPr>
      </w:pPr>
    </w:p>
    <w:p w14:paraId="41051CED">
      <w:pPr>
        <w:spacing w:line="360" w:lineRule="auto"/>
        <w:rPr>
          <w:rFonts w:ascii="宋体" w:hAnsi="宋体" w:cs="宋体"/>
          <w:b/>
          <w:color w:val="auto"/>
          <w:sz w:val="24"/>
          <w:highlight w:val="none"/>
        </w:rPr>
      </w:pPr>
    </w:p>
    <w:p w14:paraId="6B6A2B3C">
      <w:pPr>
        <w:spacing w:before="319" w:beforeLines="100" w:after="319" w:afterLines="100"/>
        <w:jc w:val="left"/>
        <w:rPr>
          <w:rFonts w:ascii="宋体" w:hAnsi="宋体" w:cs="宋体"/>
          <w:b/>
          <w:color w:val="auto"/>
          <w:sz w:val="28"/>
          <w:szCs w:val="28"/>
          <w:highlight w:val="none"/>
        </w:rPr>
      </w:pPr>
    </w:p>
    <w:p w14:paraId="5FFC63B6">
      <w:pPr>
        <w:spacing w:before="319" w:beforeLines="100" w:after="319" w:afterLines="100"/>
        <w:jc w:val="left"/>
        <w:rPr>
          <w:rFonts w:ascii="宋体" w:hAnsi="宋体" w:cs="宋体"/>
          <w:b/>
          <w:color w:val="auto"/>
          <w:sz w:val="28"/>
          <w:szCs w:val="28"/>
          <w:highlight w:val="none"/>
        </w:rPr>
      </w:pPr>
      <w:r>
        <w:rPr>
          <w:rFonts w:hint="eastAsia" w:ascii="宋体" w:hAnsi="宋体" w:cs="宋体"/>
          <w:b/>
          <w:color w:val="auto"/>
          <w:sz w:val="28"/>
          <w:szCs w:val="28"/>
          <w:highlight w:val="none"/>
        </w:rPr>
        <w:t>附件2：质疑函范本及制作说明</w:t>
      </w:r>
    </w:p>
    <w:p w14:paraId="66EDD0A5">
      <w:pPr>
        <w:spacing w:before="319" w:beforeLines="100" w:after="319" w:afterLines="100"/>
        <w:jc w:val="center"/>
        <w:rPr>
          <w:rFonts w:ascii="宋体" w:hAnsi="宋体" w:cs="宋体"/>
          <w:b/>
          <w:color w:val="auto"/>
          <w:sz w:val="28"/>
          <w:szCs w:val="28"/>
          <w:highlight w:val="none"/>
        </w:rPr>
      </w:pPr>
      <w:r>
        <w:rPr>
          <w:rFonts w:hint="eastAsia" w:ascii="宋体" w:hAnsi="宋体" w:cs="宋体"/>
          <w:b/>
          <w:color w:val="auto"/>
          <w:sz w:val="28"/>
          <w:szCs w:val="28"/>
          <w:highlight w:val="none"/>
        </w:rPr>
        <w:t>质疑函范本</w:t>
      </w:r>
    </w:p>
    <w:p w14:paraId="08CA5344">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一、质疑供应商基本信息</w:t>
      </w:r>
    </w:p>
    <w:p w14:paraId="37F86844">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质疑供应商：</w:t>
      </w:r>
    </w:p>
    <w:p w14:paraId="2AC3B7F3">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地址：邮编：</w:t>
      </w:r>
    </w:p>
    <w:p w14:paraId="2945D0A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联系人：联系电话：</w:t>
      </w:r>
    </w:p>
    <w:p w14:paraId="17998F1D">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授权代表：</w:t>
      </w:r>
    </w:p>
    <w:p w14:paraId="014FE19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w:t>
      </w:r>
    </w:p>
    <w:p w14:paraId="34A95E3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地址：邮编：</w:t>
      </w:r>
    </w:p>
    <w:p w14:paraId="6E2F887C">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二、质疑项目基本情况</w:t>
      </w:r>
    </w:p>
    <w:p w14:paraId="5144317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质疑项目的名称：</w:t>
      </w:r>
    </w:p>
    <w:p w14:paraId="509D304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质疑项目的编号：包号：</w:t>
      </w:r>
    </w:p>
    <w:p w14:paraId="064A6C4C">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采购人名称：</w:t>
      </w:r>
    </w:p>
    <w:p w14:paraId="1B0615E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采购文件获取日期：</w:t>
      </w:r>
    </w:p>
    <w:p w14:paraId="3431CAF7">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三、质疑事项具体内容</w:t>
      </w:r>
    </w:p>
    <w:p w14:paraId="08DFAE3A">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质疑事项1：</w:t>
      </w:r>
    </w:p>
    <w:p w14:paraId="1C6A549B">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事实依据：</w:t>
      </w:r>
    </w:p>
    <w:p w14:paraId="3EFE78B0">
      <w:pPr>
        <w:snapToGrid w:val="0"/>
        <w:spacing w:line="360" w:lineRule="auto"/>
        <w:rPr>
          <w:rFonts w:ascii="宋体" w:hAnsi="宋体" w:cs="宋体"/>
          <w:color w:val="auto"/>
          <w:szCs w:val="21"/>
          <w:highlight w:val="none"/>
        </w:rPr>
      </w:pPr>
    </w:p>
    <w:p w14:paraId="58FDDA80">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法律依据：</w:t>
      </w:r>
    </w:p>
    <w:p w14:paraId="2B4C8FBC">
      <w:pPr>
        <w:snapToGrid w:val="0"/>
        <w:spacing w:line="360" w:lineRule="auto"/>
        <w:rPr>
          <w:rFonts w:ascii="宋体" w:hAnsi="宋体" w:cs="宋体"/>
          <w:color w:val="auto"/>
          <w:szCs w:val="21"/>
          <w:highlight w:val="none"/>
          <w:u w:val="dotted"/>
        </w:rPr>
      </w:pPr>
    </w:p>
    <w:p w14:paraId="3AA4079C">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质疑事项2</w:t>
      </w:r>
    </w:p>
    <w:p w14:paraId="571944A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p>
    <w:p w14:paraId="6A092790">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四、与质疑事项相关的质疑请求</w:t>
      </w:r>
    </w:p>
    <w:p w14:paraId="3157541C">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请求：</w:t>
      </w:r>
    </w:p>
    <w:p w14:paraId="4D43ED50">
      <w:pPr>
        <w:spacing w:line="360" w:lineRule="auto"/>
        <w:ind w:firstLine="4620" w:firstLineChars="2200"/>
        <w:rPr>
          <w:rFonts w:ascii="宋体" w:hAnsi="宋体" w:cs="宋体"/>
          <w:color w:val="auto"/>
          <w:szCs w:val="21"/>
          <w:highlight w:val="none"/>
        </w:rPr>
      </w:pPr>
      <w:r>
        <w:rPr>
          <w:rFonts w:hint="eastAsia" w:ascii="宋体" w:hAnsi="宋体" w:cs="宋体"/>
          <w:color w:val="auto"/>
          <w:szCs w:val="21"/>
          <w:highlight w:val="none"/>
        </w:rPr>
        <w:t xml:space="preserve">签字(签章)：                   公章：                      </w:t>
      </w:r>
    </w:p>
    <w:p w14:paraId="32A0BA14">
      <w:pPr>
        <w:spacing w:line="360" w:lineRule="auto"/>
        <w:ind w:firstLine="4620" w:firstLineChars="2200"/>
        <w:rPr>
          <w:rFonts w:ascii="宋体" w:hAnsi="宋体" w:cs="宋体"/>
          <w:color w:val="auto"/>
          <w:szCs w:val="21"/>
          <w:highlight w:val="none"/>
        </w:rPr>
      </w:pPr>
      <w:r>
        <w:rPr>
          <w:rFonts w:hint="eastAsia" w:ascii="宋体" w:hAnsi="宋体" w:cs="宋体"/>
          <w:color w:val="auto"/>
          <w:szCs w:val="21"/>
          <w:highlight w:val="none"/>
        </w:rPr>
        <w:t>日期：   年   月   日</w:t>
      </w:r>
    </w:p>
    <w:p w14:paraId="435751B8">
      <w:pPr>
        <w:spacing w:line="360" w:lineRule="auto"/>
        <w:rPr>
          <w:rFonts w:ascii="宋体" w:hAnsi="宋体" w:cs="宋体"/>
          <w:b/>
          <w:color w:val="auto"/>
          <w:szCs w:val="21"/>
          <w:highlight w:val="none"/>
        </w:rPr>
      </w:pPr>
    </w:p>
    <w:p w14:paraId="51EB1341">
      <w:pPr>
        <w:spacing w:line="360" w:lineRule="auto"/>
        <w:rPr>
          <w:rFonts w:ascii="宋体" w:hAnsi="宋体" w:cs="宋体"/>
          <w:b/>
          <w:color w:val="auto"/>
          <w:szCs w:val="21"/>
          <w:highlight w:val="none"/>
        </w:rPr>
      </w:pPr>
    </w:p>
    <w:p w14:paraId="58D98992">
      <w:pPr>
        <w:spacing w:line="360" w:lineRule="auto"/>
        <w:rPr>
          <w:rFonts w:ascii="宋体" w:hAnsi="宋体" w:cs="宋体"/>
          <w:b/>
          <w:color w:val="auto"/>
          <w:szCs w:val="21"/>
          <w:highlight w:val="none"/>
        </w:rPr>
      </w:pPr>
    </w:p>
    <w:p w14:paraId="1F9496FC">
      <w:pPr>
        <w:spacing w:line="360" w:lineRule="auto"/>
        <w:rPr>
          <w:rFonts w:ascii="宋体" w:hAnsi="宋体" w:cs="宋体"/>
          <w:b/>
          <w:color w:val="auto"/>
          <w:szCs w:val="21"/>
          <w:highlight w:val="none"/>
        </w:rPr>
      </w:pPr>
    </w:p>
    <w:p w14:paraId="700279A8">
      <w:pPr>
        <w:spacing w:line="360" w:lineRule="auto"/>
        <w:rPr>
          <w:rFonts w:ascii="宋体" w:hAnsi="宋体" w:cs="宋体"/>
          <w:b/>
          <w:color w:val="auto"/>
          <w:szCs w:val="21"/>
          <w:highlight w:val="none"/>
        </w:rPr>
      </w:pPr>
      <w:r>
        <w:rPr>
          <w:rFonts w:hint="eastAsia" w:ascii="宋体" w:hAnsi="宋体" w:cs="宋体"/>
          <w:b/>
          <w:color w:val="auto"/>
          <w:szCs w:val="21"/>
          <w:highlight w:val="none"/>
        </w:rPr>
        <w:t>质疑函制作说明：</w:t>
      </w:r>
    </w:p>
    <w:p w14:paraId="7A3B9163">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14:paraId="6AB8980A">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C752198">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14:paraId="2553BE6D">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14:paraId="1A1BA80B">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14:paraId="2E5EB9EE">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76922912">
      <w:pPr>
        <w:widowControl/>
        <w:spacing w:line="360" w:lineRule="auto"/>
        <w:ind w:firstLine="600" w:firstLineChars="200"/>
        <w:jc w:val="left"/>
        <w:rPr>
          <w:rFonts w:ascii="宋体" w:hAnsi="宋体" w:cs="宋体"/>
          <w:color w:val="auto"/>
          <w:sz w:val="30"/>
          <w:szCs w:val="30"/>
          <w:highlight w:val="none"/>
        </w:rPr>
      </w:pPr>
    </w:p>
    <w:p w14:paraId="2EA45E2F">
      <w:pPr>
        <w:spacing w:line="360" w:lineRule="auto"/>
        <w:jc w:val="center"/>
        <w:rPr>
          <w:rFonts w:ascii="宋体" w:hAnsi="宋体" w:cs="宋体"/>
          <w:b/>
          <w:color w:val="auto"/>
          <w:spacing w:val="6"/>
          <w:sz w:val="32"/>
          <w:szCs w:val="32"/>
          <w:highlight w:val="none"/>
        </w:rPr>
      </w:pPr>
    </w:p>
    <w:p w14:paraId="3A402C30">
      <w:pPr>
        <w:spacing w:line="360" w:lineRule="auto"/>
        <w:jc w:val="center"/>
        <w:rPr>
          <w:rFonts w:ascii="宋体" w:hAnsi="宋体" w:cs="宋体"/>
          <w:b/>
          <w:color w:val="auto"/>
          <w:spacing w:val="6"/>
          <w:sz w:val="32"/>
          <w:szCs w:val="32"/>
          <w:highlight w:val="none"/>
        </w:rPr>
      </w:pPr>
    </w:p>
    <w:p w14:paraId="0055C423">
      <w:pPr>
        <w:spacing w:line="360" w:lineRule="auto"/>
        <w:jc w:val="center"/>
        <w:rPr>
          <w:rFonts w:ascii="宋体" w:hAnsi="宋体" w:cs="宋体"/>
          <w:b/>
          <w:color w:val="auto"/>
          <w:spacing w:val="6"/>
          <w:sz w:val="32"/>
          <w:szCs w:val="32"/>
          <w:highlight w:val="none"/>
        </w:rPr>
      </w:pPr>
    </w:p>
    <w:p w14:paraId="3DB82586">
      <w:pPr>
        <w:spacing w:line="360" w:lineRule="auto"/>
        <w:jc w:val="center"/>
        <w:rPr>
          <w:rFonts w:ascii="宋体" w:hAnsi="宋体" w:cs="宋体"/>
          <w:b/>
          <w:color w:val="auto"/>
          <w:spacing w:val="6"/>
          <w:sz w:val="32"/>
          <w:szCs w:val="32"/>
          <w:highlight w:val="none"/>
        </w:rPr>
      </w:pPr>
    </w:p>
    <w:p w14:paraId="2FE942D9">
      <w:pPr>
        <w:spacing w:line="360" w:lineRule="auto"/>
        <w:jc w:val="center"/>
        <w:rPr>
          <w:rFonts w:ascii="宋体" w:hAnsi="宋体" w:cs="宋体"/>
          <w:b/>
          <w:color w:val="auto"/>
          <w:spacing w:val="6"/>
          <w:sz w:val="32"/>
          <w:szCs w:val="32"/>
          <w:highlight w:val="none"/>
        </w:rPr>
      </w:pPr>
    </w:p>
    <w:p w14:paraId="7F78637E">
      <w:pPr>
        <w:spacing w:line="360" w:lineRule="auto"/>
        <w:jc w:val="center"/>
        <w:rPr>
          <w:rFonts w:ascii="宋体" w:hAnsi="宋体" w:cs="宋体"/>
          <w:b/>
          <w:color w:val="auto"/>
          <w:spacing w:val="6"/>
          <w:sz w:val="32"/>
          <w:szCs w:val="32"/>
          <w:highlight w:val="none"/>
        </w:rPr>
      </w:pPr>
    </w:p>
    <w:p w14:paraId="239ADD6A">
      <w:pPr>
        <w:spacing w:line="360" w:lineRule="auto"/>
        <w:jc w:val="center"/>
        <w:rPr>
          <w:rFonts w:ascii="宋体" w:hAnsi="宋体" w:cs="宋体"/>
          <w:b/>
          <w:color w:val="auto"/>
          <w:spacing w:val="6"/>
          <w:sz w:val="32"/>
          <w:szCs w:val="32"/>
          <w:highlight w:val="none"/>
        </w:rPr>
      </w:pPr>
    </w:p>
    <w:p w14:paraId="6FABF0EB">
      <w:pPr>
        <w:spacing w:line="360" w:lineRule="auto"/>
        <w:jc w:val="center"/>
        <w:rPr>
          <w:rFonts w:ascii="宋体" w:hAnsi="宋体" w:cs="宋体"/>
          <w:b/>
          <w:color w:val="auto"/>
          <w:spacing w:val="6"/>
          <w:sz w:val="32"/>
          <w:szCs w:val="32"/>
          <w:highlight w:val="none"/>
        </w:rPr>
      </w:pPr>
    </w:p>
    <w:p w14:paraId="075B119B">
      <w:pPr>
        <w:spacing w:line="360" w:lineRule="auto"/>
        <w:jc w:val="center"/>
        <w:rPr>
          <w:rFonts w:ascii="宋体" w:hAnsi="宋体" w:cs="宋体"/>
          <w:b/>
          <w:color w:val="auto"/>
          <w:spacing w:val="6"/>
          <w:sz w:val="32"/>
          <w:szCs w:val="32"/>
          <w:highlight w:val="none"/>
        </w:rPr>
      </w:pPr>
    </w:p>
    <w:p w14:paraId="551B761C">
      <w:pPr>
        <w:spacing w:line="360" w:lineRule="auto"/>
        <w:jc w:val="center"/>
        <w:rPr>
          <w:rFonts w:ascii="宋体" w:hAnsi="宋体" w:cs="宋体"/>
          <w:b/>
          <w:color w:val="auto"/>
          <w:spacing w:val="6"/>
          <w:sz w:val="32"/>
          <w:szCs w:val="32"/>
          <w:highlight w:val="none"/>
        </w:rPr>
      </w:pPr>
    </w:p>
    <w:p w14:paraId="4D020904">
      <w:pPr>
        <w:spacing w:line="360" w:lineRule="auto"/>
        <w:jc w:val="center"/>
        <w:rPr>
          <w:rFonts w:ascii="宋体" w:hAnsi="宋体" w:cs="宋体"/>
          <w:b/>
          <w:color w:val="auto"/>
          <w:spacing w:val="6"/>
          <w:sz w:val="32"/>
          <w:szCs w:val="32"/>
          <w:highlight w:val="none"/>
        </w:rPr>
      </w:pPr>
    </w:p>
    <w:p w14:paraId="452853D2">
      <w:pPr>
        <w:spacing w:line="360" w:lineRule="auto"/>
        <w:jc w:val="center"/>
        <w:rPr>
          <w:rFonts w:ascii="宋体" w:hAnsi="宋体" w:cs="宋体"/>
          <w:b/>
          <w:color w:val="auto"/>
          <w:spacing w:val="6"/>
          <w:sz w:val="32"/>
          <w:szCs w:val="32"/>
          <w:highlight w:val="none"/>
        </w:rPr>
      </w:pPr>
    </w:p>
    <w:p w14:paraId="32C5B922">
      <w:pPr>
        <w:spacing w:before="319" w:beforeLines="100" w:after="319" w:afterLines="100"/>
        <w:jc w:val="left"/>
        <w:rPr>
          <w:rFonts w:ascii="宋体" w:hAnsi="宋体" w:cs="宋体"/>
          <w:b/>
          <w:color w:val="auto"/>
          <w:spacing w:val="6"/>
          <w:sz w:val="28"/>
          <w:szCs w:val="28"/>
          <w:highlight w:val="none"/>
        </w:rPr>
      </w:pPr>
    </w:p>
    <w:p w14:paraId="2E4BCB23">
      <w:pPr>
        <w:spacing w:before="319" w:beforeLines="100" w:after="319" w:afterLines="100"/>
        <w:jc w:val="left"/>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t>附件3：投诉书范本及制作说明</w:t>
      </w:r>
    </w:p>
    <w:p w14:paraId="5FFF52C5">
      <w:pPr>
        <w:spacing w:before="319" w:beforeLines="100" w:after="319" w:afterLines="100"/>
        <w:jc w:val="center"/>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t>投诉书范本</w:t>
      </w:r>
    </w:p>
    <w:p w14:paraId="6393C033">
      <w:pPr>
        <w:spacing w:line="360" w:lineRule="auto"/>
        <w:rPr>
          <w:rFonts w:ascii="宋体" w:hAnsi="宋体" w:cs="宋体"/>
          <w:color w:val="auto"/>
          <w:szCs w:val="21"/>
          <w:highlight w:val="none"/>
        </w:rPr>
      </w:pPr>
      <w:r>
        <w:rPr>
          <w:rFonts w:hint="eastAsia" w:ascii="宋体" w:hAnsi="宋体" w:cs="宋体"/>
          <w:color w:val="auto"/>
          <w:szCs w:val="21"/>
          <w:highlight w:val="none"/>
        </w:rPr>
        <w:t>一、投诉相关主体基本情况</w:t>
      </w:r>
    </w:p>
    <w:p w14:paraId="19B43224">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投诉人：</w:t>
      </w:r>
    </w:p>
    <w:p w14:paraId="42248829">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地址：邮编：</w:t>
      </w:r>
    </w:p>
    <w:p w14:paraId="7494A5A1">
      <w:pPr>
        <w:tabs>
          <w:tab w:val="left" w:pos="6510"/>
        </w:tabs>
        <w:spacing w:line="360" w:lineRule="auto"/>
        <w:jc w:val="left"/>
        <w:rPr>
          <w:rFonts w:ascii="宋体" w:hAnsi="宋体" w:cs="宋体"/>
          <w:color w:val="auto"/>
          <w:szCs w:val="21"/>
          <w:highlight w:val="none"/>
        </w:rPr>
      </w:pPr>
      <w:r>
        <w:rPr>
          <w:rFonts w:hint="eastAsia" w:ascii="宋体" w:hAnsi="宋体" w:cs="宋体"/>
          <w:color w:val="auto"/>
          <w:szCs w:val="21"/>
          <w:highlight w:val="none"/>
        </w:rPr>
        <w:t>法定代表人/主要负责人：</w:t>
      </w:r>
    </w:p>
    <w:p w14:paraId="3A899DB9">
      <w:pPr>
        <w:tabs>
          <w:tab w:val="left" w:pos="6510"/>
        </w:tabs>
        <w:spacing w:line="360" w:lineRule="auto"/>
        <w:rPr>
          <w:rFonts w:ascii="宋体" w:hAnsi="宋体" w:cs="宋体"/>
          <w:color w:val="auto"/>
          <w:szCs w:val="21"/>
          <w:highlight w:val="none"/>
          <w:u w:val="dotted"/>
        </w:rPr>
      </w:pPr>
      <w:r>
        <w:rPr>
          <w:rFonts w:hint="eastAsia" w:ascii="宋体" w:hAnsi="宋体" w:cs="宋体"/>
          <w:color w:val="auto"/>
          <w:szCs w:val="21"/>
          <w:highlight w:val="none"/>
        </w:rPr>
        <w:t>联系电话：</w:t>
      </w:r>
    </w:p>
    <w:p w14:paraId="7BAF033D">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授权代表：联系电话：</w:t>
      </w:r>
    </w:p>
    <w:p w14:paraId="03B0F768">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地址：邮编：</w:t>
      </w:r>
    </w:p>
    <w:p w14:paraId="466B2438">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被投诉人1：</w:t>
      </w:r>
    </w:p>
    <w:p w14:paraId="2A41D5B0">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地址：邮编：</w:t>
      </w:r>
    </w:p>
    <w:p w14:paraId="34EDEF68">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联系人：联系电话：</w:t>
      </w:r>
    </w:p>
    <w:p w14:paraId="272EDD96">
      <w:pPr>
        <w:spacing w:line="360" w:lineRule="auto"/>
        <w:rPr>
          <w:rFonts w:ascii="宋体" w:hAnsi="宋体" w:cs="宋体"/>
          <w:color w:val="auto"/>
          <w:szCs w:val="21"/>
          <w:highlight w:val="none"/>
        </w:rPr>
      </w:pPr>
      <w:r>
        <w:rPr>
          <w:rFonts w:hint="eastAsia" w:ascii="宋体" w:hAnsi="宋体" w:cs="宋体"/>
          <w:color w:val="auto"/>
          <w:szCs w:val="21"/>
          <w:highlight w:val="none"/>
        </w:rPr>
        <w:t>被投诉人2</w:t>
      </w:r>
    </w:p>
    <w:p w14:paraId="2437610A">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w:t>
      </w:r>
    </w:p>
    <w:p w14:paraId="6C1C424F">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相关供应商：</w:t>
      </w:r>
    </w:p>
    <w:p w14:paraId="11D9E554">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地址：邮编：</w:t>
      </w:r>
    </w:p>
    <w:p w14:paraId="19B237DD">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联系人：联系电话：</w:t>
      </w:r>
    </w:p>
    <w:p w14:paraId="025E512F">
      <w:pPr>
        <w:spacing w:line="360" w:lineRule="auto"/>
        <w:rPr>
          <w:rFonts w:ascii="宋体" w:hAnsi="宋体" w:cs="宋体"/>
          <w:color w:val="auto"/>
          <w:szCs w:val="21"/>
          <w:highlight w:val="none"/>
        </w:rPr>
      </w:pPr>
      <w:r>
        <w:rPr>
          <w:rFonts w:hint="eastAsia" w:ascii="宋体" w:hAnsi="宋体" w:cs="宋体"/>
          <w:color w:val="auto"/>
          <w:szCs w:val="21"/>
          <w:highlight w:val="none"/>
        </w:rPr>
        <w:t>二、投诉项目基本情况</w:t>
      </w:r>
    </w:p>
    <w:p w14:paraId="2399CAD9">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采购项目名称：</w:t>
      </w:r>
    </w:p>
    <w:p w14:paraId="490C3DC8">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采购项目编号：包号：</w:t>
      </w:r>
    </w:p>
    <w:p w14:paraId="691CEC5A">
      <w:pPr>
        <w:spacing w:line="360" w:lineRule="auto"/>
        <w:rPr>
          <w:rFonts w:ascii="宋体" w:hAnsi="宋体" w:cs="宋体"/>
          <w:color w:val="auto"/>
          <w:szCs w:val="21"/>
          <w:highlight w:val="none"/>
        </w:rPr>
      </w:pPr>
      <w:r>
        <w:rPr>
          <w:rFonts w:hint="eastAsia" w:ascii="宋体" w:hAnsi="宋体" w:cs="宋体"/>
          <w:color w:val="auto"/>
          <w:szCs w:val="21"/>
          <w:highlight w:val="none"/>
        </w:rPr>
        <w:t>采购人名称：</w:t>
      </w:r>
    </w:p>
    <w:p w14:paraId="16E5EDFD">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代理机构名称：</w:t>
      </w:r>
    </w:p>
    <w:p w14:paraId="1FB6DF93">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采购文件公告：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p>
    <w:p w14:paraId="742FEB4E">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采购结果公告：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p>
    <w:p w14:paraId="26DFB7C3">
      <w:pPr>
        <w:spacing w:line="360" w:lineRule="auto"/>
        <w:rPr>
          <w:rFonts w:ascii="宋体" w:hAnsi="宋体" w:cs="宋体"/>
          <w:color w:val="auto"/>
          <w:szCs w:val="21"/>
          <w:highlight w:val="none"/>
        </w:rPr>
      </w:pPr>
      <w:r>
        <w:rPr>
          <w:rFonts w:hint="eastAsia" w:ascii="宋体" w:hAnsi="宋体" w:cs="宋体"/>
          <w:color w:val="auto"/>
          <w:szCs w:val="21"/>
          <w:highlight w:val="none"/>
        </w:rPr>
        <w:t>三、质疑基本情况</w:t>
      </w:r>
    </w:p>
    <w:p w14:paraId="4AB0B902">
      <w:pPr>
        <w:wordWrap w:val="0"/>
        <w:spacing w:line="360" w:lineRule="auto"/>
        <w:ind w:left="630" w:leftChars="200" w:hanging="210" w:hangingChars="100"/>
        <w:rPr>
          <w:rFonts w:ascii="宋体" w:hAnsi="宋体" w:cs="宋体"/>
          <w:color w:val="auto"/>
          <w:szCs w:val="21"/>
          <w:highlight w:val="none"/>
          <w:u w:val="dotted"/>
        </w:rPr>
      </w:pPr>
      <w:r>
        <w:rPr>
          <w:rFonts w:hint="eastAsia" w:ascii="宋体" w:hAnsi="宋体" w:cs="宋体"/>
          <w:color w:val="auto"/>
          <w:szCs w:val="21"/>
          <w:highlight w:val="none"/>
        </w:rPr>
        <w:t>投诉人于年月日,向提出质疑，质疑事项为：</w:t>
      </w:r>
    </w:p>
    <w:p w14:paraId="30D1CFEA">
      <w:pPr>
        <w:wordWrap w:val="0"/>
        <w:spacing w:line="360" w:lineRule="auto"/>
        <w:rPr>
          <w:rFonts w:ascii="宋体" w:hAnsi="宋体" w:cs="宋体"/>
          <w:color w:val="auto"/>
          <w:szCs w:val="21"/>
          <w:highlight w:val="none"/>
          <w:u w:val="dotted"/>
        </w:rPr>
      </w:pPr>
    </w:p>
    <w:p w14:paraId="2E94E4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dotted"/>
        </w:rPr>
        <w:t>采购人/代理机构</w:t>
      </w:r>
      <w:r>
        <w:rPr>
          <w:rFonts w:hint="eastAsia" w:ascii="宋体" w:hAnsi="宋体" w:cs="宋体"/>
          <w:color w:val="auto"/>
          <w:szCs w:val="21"/>
          <w:highlight w:val="none"/>
        </w:rPr>
        <w:t>于年月日,就质疑事项作出了答复/没有在法定期限内作出答复。</w:t>
      </w:r>
    </w:p>
    <w:p w14:paraId="46B4033F">
      <w:pPr>
        <w:spacing w:line="360" w:lineRule="auto"/>
        <w:rPr>
          <w:rFonts w:ascii="宋体" w:hAnsi="宋体" w:cs="宋体"/>
          <w:color w:val="auto"/>
          <w:szCs w:val="21"/>
          <w:highlight w:val="none"/>
        </w:rPr>
      </w:pPr>
      <w:r>
        <w:rPr>
          <w:rFonts w:hint="eastAsia" w:ascii="宋体" w:hAnsi="宋体" w:cs="宋体"/>
          <w:color w:val="auto"/>
          <w:szCs w:val="21"/>
          <w:highlight w:val="none"/>
        </w:rPr>
        <w:t>四、投诉事项具体内容</w:t>
      </w:r>
    </w:p>
    <w:p w14:paraId="5D8D92F9">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投诉事项1：</w:t>
      </w:r>
    </w:p>
    <w:p w14:paraId="147BC6EF">
      <w:pPr>
        <w:spacing w:line="360" w:lineRule="auto"/>
        <w:rPr>
          <w:rFonts w:ascii="宋体" w:hAnsi="宋体" w:cs="宋体"/>
          <w:color w:val="auto"/>
          <w:szCs w:val="21"/>
          <w:highlight w:val="none"/>
        </w:rPr>
      </w:pPr>
      <w:r>
        <w:rPr>
          <w:rFonts w:hint="eastAsia" w:ascii="宋体" w:hAnsi="宋体" w:cs="宋体"/>
          <w:color w:val="auto"/>
          <w:szCs w:val="21"/>
          <w:highlight w:val="none"/>
        </w:rPr>
        <w:t>事实依据：</w:t>
      </w:r>
    </w:p>
    <w:p w14:paraId="4DDC8D72">
      <w:pPr>
        <w:spacing w:line="360" w:lineRule="auto"/>
        <w:rPr>
          <w:rFonts w:ascii="宋体" w:hAnsi="宋体" w:cs="宋体"/>
          <w:color w:val="auto"/>
          <w:szCs w:val="21"/>
          <w:highlight w:val="none"/>
          <w:u w:val="dotted"/>
        </w:rPr>
      </w:pPr>
    </w:p>
    <w:p w14:paraId="542676D7">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法律依据：</w:t>
      </w:r>
    </w:p>
    <w:p w14:paraId="7A3C2B97">
      <w:pPr>
        <w:spacing w:line="360" w:lineRule="auto"/>
        <w:rPr>
          <w:rFonts w:ascii="宋体" w:hAnsi="宋体" w:cs="宋体"/>
          <w:color w:val="auto"/>
          <w:szCs w:val="21"/>
          <w:highlight w:val="none"/>
        </w:rPr>
      </w:pPr>
      <w:r>
        <w:rPr>
          <w:rFonts w:hint="eastAsia" w:ascii="宋体" w:hAnsi="宋体" w:cs="宋体"/>
          <w:color w:val="auto"/>
          <w:szCs w:val="21"/>
          <w:highlight w:val="none"/>
        </w:rPr>
        <w:t>投诉事项2</w:t>
      </w:r>
    </w:p>
    <w:p w14:paraId="6D8F7F31">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w:t>
      </w:r>
    </w:p>
    <w:p w14:paraId="7626896D">
      <w:pPr>
        <w:spacing w:line="360" w:lineRule="auto"/>
        <w:rPr>
          <w:rFonts w:ascii="宋体" w:hAnsi="宋体" w:cs="宋体"/>
          <w:color w:val="auto"/>
          <w:szCs w:val="21"/>
          <w:highlight w:val="none"/>
        </w:rPr>
      </w:pPr>
      <w:r>
        <w:rPr>
          <w:rFonts w:hint="eastAsia" w:ascii="宋体" w:hAnsi="宋体" w:cs="宋体"/>
          <w:color w:val="auto"/>
          <w:szCs w:val="21"/>
          <w:highlight w:val="none"/>
        </w:rPr>
        <w:t>五、与投诉事项相关的投诉请求</w:t>
      </w:r>
    </w:p>
    <w:p w14:paraId="00746E77">
      <w:pPr>
        <w:spacing w:line="360" w:lineRule="auto"/>
        <w:rPr>
          <w:rFonts w:ascii="宋体" w:hAnsi="宋体" w:cs="宋体"/>
          <w:color w:val="auto"/>
          <w:szCs w:val="21"/>
          <w:highlight w:val="none"/>
        </w:rPr>
      </w:pPr>
      <w:r>
        <w:rPr>
          <w:rFonts w:hint="eastAsia" w:ascii="宋体" w:hAnsi="宋体" w:cs="宋体"/>
          <w:color w:val="auto"/>
          <w:szCs w:val="21"/>
          <w:highlight w:val="none"/>
        </w:rPr>
        <w:t>请求：</w:t>
      </w:r>
    </w:p>
    <w:p w14:paraId="4C3F4E99">
      <w:pPr>
        <w:spacing w:line="360" w:lineRule="auto"/>
        <w:rPr>
          <w:rFonts w:ascii="宋体" w:hAnsi="宋体" w:cs="宋体"/>
          <w:color w:val="auto"/>
          <w:szCs w:val="21"/>
          <w:highlight w:val="none"/>
          <w:u w:val="single"/>
        </w:rPr>
      </w:pPr>
    </w:p>
    <w:p w14:paraId="3D8F13B3">
      <w:pPr>
        <w:spacing w:line="360" w:lineRule="auto"/>
        <w:ind w:firstLine="4620" w:firstLineChars="2200"/>
        <w:rPr>
          <w:rFonts w:ascii="宋体" w:hAnsi="宋体" w:cs="宋体"/>
          <w:color w:val="auto"/>
          <w:szCs w:val="21"/>
          <w:highlight w:val="none"/>
        </w:rPr>
      </w:pPr>
      <w:r>
        <w:rPr>
          <w:rFonts w:hint="eastAsia" w:ascii="宋体" w:hAnsi="宋体" w:cs="宋体"/>
          <w:color w:val="auto"/>
          <w:szCs w:val="21"/>
          <w:highlight w:val="none"/>
        </w:rPr>
        <w:t xml:space="preserve">签字(签章)：                   公章：                      </w:t>
      </w:r>
    </w:p>
    <w:p w14:paraId="5AE83A0E">
      <w:pPr>
        <w:spacing w:line="360" w:lineRule="auto"/>
        <w:ind w:firstLine="4620" w:firstLineChars="2200"/>
        <w:rPr>
          <w:rFonts w:ascii="宋体" w:hAnsi="宋体" w:cs="宋体"/>
          <w:color w:val="auto"/>
          <w:sz w:val="24"/>
          <w:highlight w:val="none"/>
        </w:rPr>
      </w:pPr>
      <w:r>
        <w:rPr>
          <w:rFonts w:hint="eastAsia" w:ascii="宋体" w:hAnsi="宋体" w:cs="宋体"/>
          <w:color w:val="auto"/>
          <w:szCs w:val="21"/>
          <w:highlight w:val="none"/>
        </w:rPr>
        <w:t>日期：</w:t>
      </w:r>
    </w:p>
    <w:p w14:paraId="4F6DB6C4">
      <w:pPr>
        <w:spacing w:line="360" w:lineRule="auto"/>
        <w:rPr>
          <w:rFonts w:ascii="宋体" w:hAnsi="宋体" w:cs="宋体"/>
          <w:b/>
          <w:color w:val="auto"/>
          <w:sz w:val="24"/>
          <w:highlight w:val="none"/>
        </w:rPr>
      </w:pPr>
    </w:p>
    <w:p w14:paraId="0F7F7C94">
      <w:pPr>
        <w:spacing w:line="360" w:lineRule="auto"/>
        <w:rPr>
          <w:rFonts w:ascii="宋体" w:hAnsi="宋体" w:cs="宋体"/>
          <w:b/>
          <w:color w:val="auto"/>
          <w:sz w:val="24"/>
          <w:highlight w:val="none"/>
        </w:rPr>
      </w:pPr>
    </w:p>
    <w:p w14:paraId="130E728E">
      <w:pPr>
        <w:spacing w:line="360" w:lineRule="auto"/>
        <w:rPr>
          <w:rFonts w:ascii="宋体" w:hAnsi="宋体" w:cs="宋体"/>
          <w:b/>
          <w:color w:val="auto"/>
          <w:szCs w:val="21"/>
          <w:highlight w:val="none"/>
        </w:rPr>
      </w:pPr>
      <w:r>
        <w:rPr>
          <w:rFonts w:hint="eastAsia" w:ascii="宋体" w:hAnsi="宋体" w:cs="宋体"/>
          <w:b/>
          <w:color w:val="auto"/>
          <w:szCs w:val="21"/>
          <w:highlight w:val="none"/>
        </w:rPr>
        <w:t>投诉书制作说明：</w:t>
      </w:r>
    </w:p>
    <w:p w14:paraId="36E88516">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1.投诉人提起投诉时，应当提交投诉书和必要的证明材料，并按照被投诉人和与投诉事项有关的供应商数量提供投诉书副本。</w:t>
      </w:r>
    </w:p>
    <w:p w14:paraId="3C6CDB78">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0060E32">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3.投诉人若对项目的某一分包进行投诉，投诉书应列明具体分包号。</w:t>
      </w:r>
    </w:p>
    <w:p w14:paraId="33EA8612">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4.投诉书应简要列明质疑事项，质疑函、质疑答复等作为附件材料提供。</w:t>
      </w:r>
    </w:p>
    <w:p w14:paraId="5058D264">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5.投诉书的投诉事项应具体、明确，并有必要的事实依据和法律依据。</w:t>
      </w:r>
    </w:p>
    <w:p w14:paraId="25D03091">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6.投诉书的投诉请求应与投诉事项相关。</w:t>
      </w:r>
    </w:p>
    <w:p w14:paraId="09592F2E">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7.投诉人为自然人的，投诉书应当由本人签字；投诉人为法人或者其他组织的，投诉书应当由法定代表人、主要负责人，或者其授权代表签字或者盖章，并加盖公章。</w:t>
      </w:r>
    </w:p>
    <w:p w14:paraId="49DC7961">
      <w:pPr>
        <w:spacing w:line="360" w:lineRule="auto"/>
        <w:rPr>
          <w:rFonts w:ascii="宋体" w:hAnsi="宋体" w:cs="宋体"/>
          <w:b/>
          <w:color w:val="auto"/>
          <w:sz w:val="24"/>
          <w:highlight w:val="none"/>
        </w:rPr>
      </w:pPr>
    </w:p>
    <w:p w14:paraId="58425B7A">
      <w:pPr>
        <w:autoSpaceDE w:val="0"/>
        <w:autoSpaceDN w:val="0"/>
        <w:spacing w:before="319" w:beforeLines="100" w:after="319" w:afterLines="10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777C4AD">
      <w:pPr>
        <w:spacing w:line="360" w:lineRule="auto"/>
        <w:rPr>
          <w:rFonts w:ascii="宋体" w:hAnsi="宋体" w:cs="宋体"/>
          <w:color w:val="auto"/>
          <w:szCs w:val="21"/>
          <w:highlight w:val="none"/>
        </w:rPr>
      </w:pPr>
      <w:r>
        <w:rPr>
          <w:rFonts w:hint="eastAsia" w:ascii="宋体" w:hAnsi="宋体" w:cs="宋体"/>
          <w:color w:val="auto"/>
          <w:szCs w:val="21"/>
          <w:highlight w:val="none"/>
        </w:rPr>
        <w:t>（采购人）、（采购代理机构）：</w:t>
      </w:r>
    </w:p>
    <w:p w14:paraId="70FE5356">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val="zh-CN"/>
        </w:rPr>
        <w:t>我方</w:t>
      </w:r>
      <w:r>
        <w:rPr>
          <w:rFonts w:hint="eastAsia" w:ascii="宋体" w:hAnsi="宋体" w:cs="宋体"/>
          <w:color w:val="auto"/>
          <w:szCs w:val="21"/>
          <w:highlight w:val="none"/>
        </w:rPr>
        <w:t>(投标人全称)是中华人民共和国依法登记注册的合法企业，</w:t>
      </w:r>
      <w:r>
        <w:rPr>
          <w:rFonts w:hint="eastAsia" w:ascii="宋体" w:hAnsi="宋体" w:cs="宋体"/>
          <w:bCs/>
          <w:color w:val="auto"/>
          <w:szCs w:val="21"/>
          <w:highlight w:val="none"/>
        </w:rPr>
        <w:t>在参加</w:t>
      </w:r>
      <w:r>
        <w:rPr>
          <w:rFonts w:hint="eastAsia" w:ascii="宋体" w:hAnsi="宋体" w:cs="宋体"/>
          <w:color w:val="auto"/>
          <w:szCs w:val="21"/>
          <w:highlight w:val="none"/>
        </w:rPr>
        <w:t>你方组织的（项目名称）项目【招标编号：（采购编号）】</w:t>
      </w:r>
      <w:r>
        <w:rPr>
          <w:rFonts w:hint="eastAsia" w:ascii="宋体" w:hAnsi="宋体" w:cs="宋体"/>
          <w:bCs/>
          <w:color w:val="auto"/>
          <w:szCs w:val="21"/>
          <w:highlight w:val="none"/>
        </w:rPr>
        <w:t>投标活动中作如下说明：</w:t>
      </w:r>
      <w:r>
        <w:rPr>
          <w:rFonts w:hint="eastAsia" w:ascii="宋体" w:hAnsi="宋体" w:cs="宋体"/>
          <w:color w:val="auto"/>
          <w:szCs w:val="21"/>
          <w:highlight w:val="none"/>
        </w:rPr>
        <w:t>我方所使用的“XX专用章”与法定名称章具有同等的法律效力，对使用“XX专用章”的行为予以完全承认，并愿意承担相应责任。</w:t>
      </w:r>
    </w:p>
    <w:p w14:paraId="119C35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特此说明。</w:t>
      </w:r>
    </w:p>
    <w:p w14:paraId="49C670A3">
      <w:pPr>
        <w:spacing w:line="360" w:lineRule="auto"/>
        <w:ind w:firstLine="494"/>
        <w:rPr>
          <w:rFonts w:ascii="宋体" w:hAnsi="宋体" w:cs="宋体"/>
          <w:color w:val="auto"/>
          <w:sz w:val="24"/>
          <w:highlight w:val="none"/>
        </w:rPr>
      </w:pPr>
    </w:p>
    <w:p w14:paraId="62A6C3C7">
      <w:pPr>
        <w:spacing w:line="360" w:lineRule="auto"/>
        <w:ind w:firstLine="494"/>
        <w:rPr>
          <w:rFonts w:ascii="宋体" w:hAnsi="宋体" w:cs="宋体"/>
          <w:color w:val="auto"/>
          <w:sz w:val="24"/>
          <w:highlight w:val="none"/>
        </w:rPr>
      </w:pPr>
    </w:p>
    <w:p w14:paraId="280DAD83">
      <w:pPr>
        <w:spacing w:line="360" w:lineRule="auto"/>
        <w:ind w:firstLine="494"/>
        <w:rPr>
          <w:rFonts w:ascii="宋体" w:hAnsi="宋体" w:cs="宋体"/>
          <w:color w:val="auto"/>
          <w:sz w:val="24"/>
          <w:highlight w:val="none"/>
        </w:rPr>
      </w:pPr>
    </w:p>
    <w:p w14:paraId="7DB02F48">
      <w:pPr>
        <w:spacing w:line="360" w:lineRule="auto"/>
        <w:ind w:firstLine="494"/>
        <w:rPr>
          <w:rFonts w:ascii="宋体" w:hAnsi="宋体" w:cs="宋体"/>
          <w:color w:val="auto"/>
          <w:sz w:val="24"/>
          <w:highlight w:val="none"/>
        </w:rPr>
      </w:pPr>
    </w:p>
    <w:p w14:paraId="66ADDDAD">
      <w:pPr>
        <w:spacing w:line="360" w:lineRule="auto"/>
        <w:ind w:firstLine="4620" w:firstLineChars="2200"/>
        <w:rPr>
          <w:rFonts w:ascii="宋体" w:hAnsi="宋体" w:cs="宋体"/>
          <w:color w:val="auto"/>
          <w:szCs w:val="21"/>
          <w:highlight w:val="none"/>
        </w:rPr>
      </w:pPr>
      <w:r>
        <w:rPr>
          <w:rFonts w:hint="eastAsia" w:ascii="宋体" w:hAnsi="宋体" w:cs="宋体"/>
          <w:color w:val="auto"/>
          <w:szCs w:val="21"/>
          <w:highlight w:val="none"/>
        </w:rPr>
        <w:t>投标单位（法定名称章）：</w:t>
      </w:r>
    </w:p>
    <w:p w14:paraId="38CD91BD">
      <w:pPr>
        <w:spacing w:line="360" w:lineRule="auto"/>
        <w:ind w:firstLine="4620" w:firstLineChars="2200"/>
        <w:rPr>
          <w:rFonts w:ascii="宋体" w:hAnsi="宋体" w:cs="宋体"/>
          <w:color w:val="auto"/>
          <w:szCs w:val="21"/>
          <w:highlight w:val="none"/>
        </w:rPr>
      </w:pPr>
      <w:r>
        <w:rPr>
          <w:rFonts w:hint="eastAsia" w:ascii="宋体" w:hAnsi="宋体" w:cs="宋体"/>
          <w:color w:val="auto"/>
          <w:szCs w:val="21"/>
          <w:highlight w:val="none"/>
        </w:rPr>
        <w:t>日期：   年   月   日</w:t>
      </w:r>
    </w:p>
    <w:p w14:paraId="25F0FD4C">
      <w:pPr>
        <w:rPr>
          <w:rFonts w:ascii="宋体" w:hAnsi="宋体" w:cs="宋体"/>
          <w:color w:val="auto"/>
          <w:szCs w:val="21"/>
          <w:highlight w:val="none"/>
        </w:rPr>
      </w:pPr>
      <w:r>
        <w:rPr>
          <w:rFonts w:hint="eastAsia" w:ascii="宋体" w:hAnsi="宋体" w:cs="宋体"/>
          <w:color w:val="auto"/>
          <w:szCs w:val="21"/>
          <w:highlight w:val="none"/>
        </w:rPr>
        <w:t>附：</w:t>
      </w:r>
    </w:p>
    <w:p w14:paraId="7490442F">
      <w:pPr>
        <w:spacing w:line="36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Cs w:val="21"/>
          <w:highlight w:val="none"/>
        </w:rPr>
        <w:t>投标单位法定名称章（印模）投标单位“XX专用章”（印模）</w:t>
      </w:r>
    </w:p>
    <w:p w14:paraId="0B9A6FF6">
      <w:pPr>
        <w:autoSpaceDE w:val="0"/>
        <w:autoSpaceDN w:val="0"/>
        <w:jc w:val="center"/>
        <w:rPr>
          <w:rFonts w:ascii="宋体" w:hAnsi="宋体" w:cs="宋体"/>
          <w:b/>
          <w:color w:val="auto"/>
          <w:spacing w:val="6"/>
          <w:sz w:val="32"/>
          <w:szCs w:val="32"/>
          <w:highlight w:val="none"/>
        </w:rPr>
      </w:pPr>
      <w:r>
        <w:rPr>
          <w:rFonts w:hint="eastAsia" w:ascii="宋体" w:hAnsi="宋体" w:cs="宋体"/>
          <w:color w:val="auto"/>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50800</wp:posOffset>
                </wp:positionV>
                <wp:extent cx="2704465" cy="2270760"/>
                <wp:effectExtent l="4445" t="4445" r="8890" b="10795"/>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70760"/>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4pt;height:178.8pt;width:212.95pt;z-index:-251657216;mso-width-relative:page;mso-height-relative:page;" fillcolor="#FFFFFF" filled="t" stroked="t" coordsize="21600,21600" o:gfxdata="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esEBbZAAAACQEAAA8AAAAAAAAAAQAgAAAAIgAAAGRycy9kb3ducmV2LnhtbFBL&#10;AQIUABQAAAAIAIdO4kAOYnMpLgIAAIIEAAAOAAAAAAAAAAEAIAAAACgBAABkcnMvZTJvRG9jLnht&#10;bFBLBQYAAAAABgAGAFkBAADIBQAAAAA=&#10;">
                <v:fill on="t" focussize="0,0"/>
                <v:stroke color="#000000" miterlimit="2" joinstyle="miter"/>
                <v:imagedata o:title=""/>
                <o:lock v:ext="edit" aspectratio="f"/>
              </v:rect>
            </w:pict>
          </mc:Fallback>
        </mc:AlternateContent>
      </w:r>
    </w:p>
    <w:p w14:paraId="4BAB79A9">
      <w:pPr>
        <w:autoSpaceDE w:val="0"/>
        <w:autoSpaceDN w:val="0"/>
        <w:jc w:val="center"/>
        <w:rPr>
          <w:rFonts w:ascii="宋体" w:hAnsi="宋体" w:cs="宋体"/>
          <w:b/>
          <w:color w:val="auto"/>
          <w:spacing w:val="6"/>
          <w:sz w:val="32"/>
          <w:szCs w:val="32"/>
          <w:highlight w:val="none"/>
        </w:rPr>
      </w:pPr>
    </w:p>
    <w:p w14:paraId="4AC179F2">
      <w:pPr>
        <w:autoSpaceDE w:val="0"/>
        <w:autoSpaceDN w:val="0"/>
        <w:jc w:val="center"/>
        <w:rPr>
          <w:rFonts w:ascii="宋体" w:hAnsi="宋体" w:cs="宋体"/>
          <w:b/>
          <w:color w:val="auto"/>
          <w:spacing w:val="6"/>
          <w:sz w:val="32"/>
          <w:szCs w:val="32"/>
          <w:highlight w:val="none"/>
        </w:rPr>
      </w:pPr>
    </w:p>
    <w:p w14:paraId="26A4A889">
      <w:pPr>
        <w:autoSpaceDE w:val="0"/>
        <w:autoSpaceDN w:val="0"/>
        <w:jc w:val="center"/>
        <w:rPr>
          <w:rFonts w:ascii="宋体" w:hAnsi="宋体" w:cs="宋体"/>
          <w:b/>
          <w:color w:val="auto"/>
          <w:spacing w:val="6"/>
          <w:sz w:val="32"/>
          <w:szCs w:val="32"/>
          <w:highlight w:val="none"/>
        </w:rPr>
      </w:pPr>
    </w:p>
    <w:p w14:paraId="23560FB8">
      <w:pPr>
        <w:autoSpaceDE w:val="0"/>
        <w:autoSpaceDN w:val="0"/>
        <w:jc w:val="center"/>
        <w:rPr>
          <w:rFonts w:ascii="宋体" w:hAnsi="宋体" w:cs="宋体"/>
          <w:b/>
          <w:color w:val="auto"/>
          <w:spacing w:val="6"/>
          <w:sz w:val="32"/>
          <w:szCs w:val="32"/>
          <w:highlight w:val="none"/>
        </w:rPr>
      </w:pPr>
    </w:p>
    <w:p w14:paraId="3D0B3C05">
      <w:pPr>
        <w:autoSpaceDE w:val="0"/>
        <w:autoSpaceDN w:val="0"/>
        <w:jc w:val="center"/>
        <w:rPr>
          <w:rFonts w:ascii="宋体" w:hAnsi="宋体" w:cs="宋体"/>
          <w:b/>
          <w:color w:val="auto"/>
          <w:spacing w:val="6"/>
          <w:sz w:val="32"/>
          <w:szCs w:val="32"/>
          <w:highlight w:val="none"/>
        </w:rPr>
      </w:pPr>
    </w:p>
    <w:p w14:paraId="6D7B7918">
      <w:pPr>
        <w:autoSpaceDE w:val="0"/>
        <w:autoSpaceDN w:val="0"/>
        <w:jc w:val="center"/>
        <w:rPr>
          <w:rFonts w:ascii="宋体" w:hAnsi="宋体" w:cs="宋体"/>
          <w:b/>
          <w:color w:val="auto"/>
          <w:spacing w:val="6"/>
          <w:sz w:val="32"/>
          <w:szCs w:val="32"/>
          <w:highlight w:val="none"/>
        </w:rPr>
      </w:pPr>
    </w:p>
    <w:p w14:paraId="377E21B3">
      <w:pPr>
        <w:autoSpaceDE w:val="0"/>
        <w:autoSpaceDN w:val="0"/>
        <w:jc w:val="center"/>
        <w:rPr>
          <w:rFonts w:ascii="宋体" w:hAnsi="宋体" w:cs="宋体"/>
          <w:b/>
          <w:color w:val="auto"/>
          <w:spacing w:val="6"/>
          <w:sz w:val="32"/>
          <w:szCs w:val="32"/>
          <w:highlight w:val="none"/>
        </w:rPr>
      </w:pPr>
    </w:p>
    <w:p w14:paraId="6CFA1EC9">
      <w:pPr>
        <w:autoSpaceDE w:val="0"/>
        <w:autoSpaceDN w:val="0"/>
        <w:jc w:val="center"/>
        <w:rPr>
          <w:rFonts w:ascii="宋体" w:hAnsi="宋体" w:cs="宋体"/>
          <w:b/>
          <w:color w:val="auto"/>
          <w:spacing w:val="6"/>
          <w:sz w:val="32"/>
          <w:szCs w:val="32"/>
          <w:highlight w:val="none"/>
        </w:rPr>
      </w:pPr>
    </w:p>
    <w:p w14:paraId="3921BAD0">
      <w:pPr>
        <w:autoSpaceDE w:val="0"/>
        <w:autoSpaceDN w:val="0"/>
        <w:jc w:val="center"/>
        <w:rPr>
          <w:rFonts w:ascii="宋体" w:hAnsi="宋体" w:cs="宋体"/>
          <w:b/>
          <w:color w:val="auto"/>
          <w:spacing w:val="6"/>
          <w:sz w:val="32"/>
          <w:szCs w:val="32"/>
          <w:highlight w:val="none"/>
        </w:rPr>
      </w:pPr>
    </w:p>
    <w:p w14:paraId="2B54CC35">
      <w:pPr>
        <w:autoSpaceDE w:val="0"/>
        <w:autoSpaceDN w:val="0"/>
        <w:spacing w:before="319" w:beforeLines="100" w:after="319" w:afterLines="10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附件5：</w:t>
      </w:r>
      <w:r>
        <w:rPr>
          <w:rFonts w:hint="eastAsia" w:ascii="宋体" w:hAnsi="宋体" w:cs="宋体"/>
          <w:b/>
          <w:color w:val="auto"/>
          <w:spacing w:val="6"/>
          <w:sz w:val="32"/>
          <w:szCs w:val="32"/>
          <w:highlight w:val="none"/>
          <w:lang w:val="zh-CN"/>
        </w:rPr>
        <w:t>联合协议</w:t>
      </w:r>
    </w:p>
    <w:p w14:paraId="5ED86F5F">
      <w:pPr>
        <w:widowControl/>
        <w:wordWrap w:val="0"/>
        <w:topLinePunct/>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[以联合体形式投标的，提供联合协议；本项目不接受联合体投标或者投标人不以联合体形式投标的，则不需要提供。]</w:t>
      </w:r>
    </w:p>
    <w:p w14:paraId="34C0B877">
      <w:pPr>
        <w:wordWrap w:val="0"/>
        <w:topLinePunct/>
        <w:snapToGrid w:val="0"/>
        <w:spacing w:line="360" w:lineRule="auto"/>
        <w:ind w:firstLine="420" w:firstLineChars="200"/>
        <w:rPr>
          <w:rFonts w:ascii="宋体" w:hAnsi="宋体" w:cs="宋体"/>
          <w:color w:val="auto"/>
          <w:kern w:val="0"/>
          <w:szCs w:val="21"/>
          <w:highlight w:val="none"/>
          <w:u w:val="single"/>
        </w:rPr>
      </w:pPr>
    </w:p>
    <w:p w14:paraId="65F16E6F">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（联合体所有成员名称）</w:t>
      </w:r>
      <w:r>
        <w:rPr>
          <w:rFonts w:hint="eastAsia" w:ascii="宋体" w:hAnsi="宋体" w:cs="宋体"/>
          <w:color w:val="auto"/>
          <w:kern w:val="0"/>
          <w:szCs w:val="21"/>
          <w:highlight w:val="none"/>
        </w:rPr>
        <w:t>自愿</w:t>
      </w:r>
      <w:r>
        <w:rPr>
          <w:rFonts w:hint="eastAsia" w:ascii="宋体" w:hAnsi="宋体" w:cs="宋体"/>
          <w:color w:val="auto"/>
          <w:kern w:val="0"/>
          <w:szCs w:val="21"/>
          <w:highlight w:val="none"/>
          <w:lang w:val="zh-CN"/>
        </w:rPr>
        <w:t>组成一个联合体，以一个投标人的身份</w:t>
      </w:r>
      <w:r>
        <w:rPr>
          <w:rFonts w:hint="eastAsia" w:ascii="宋体" w:hAnsi="宋体" w:cs="宋体"/>
          <w:color w:val="auto"/>
          <w:kern w:val="0"/>
          <w:szCs w:val="21"/>
          <w:highlight w:val="none"/>
        </w:rPr>
        <w:t>参加</w:t>
      </w:r>
      <w:r>
        <w:rPr>
          <w:rFonts w:hint="eastAsia" w:ascii="宋体" w:hAnsi="宋体" w:cs="宋体"/>
          <w:color w:val="auto"/>
          <w:szCs w:val="21"/>
          <w:highlight w:val="none"/>
        </w:rPr>
        <w:t>（项目名称）【招标编号：（采购编号）】</w:t>
      </w:r>
      <w:r>
        <w:rPr>
          <w:rFonts w:hint="eastAsia" w:ascii="宋体" w:hAnsi="宋体" w:cs="宋体"/>
          <w:color w:val="auto"/>
          <w:kern w:val="0"/>
          <w:szCs w:val="21"/>
          <w:highlight w:val="none"/>
          <w:lang w:val="zh-CN"/>
        </w:rPr>
        <w:t xml:space="preserve">投标。 </w:t>
      </w:r>
    </w:p>
    <w:p w14:paraId="3F273635">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一、各方一致决定，</w:t>
      </w:r>
      <w:r>
        <w:rPr>
          <w:rFonts w:hint="eastAsia" w:ascii="宋体" w:hAnsi="宋体" w:cs="宋体"/>
          <w:color w:val="auto"/>
          <w:kern w:val="0"/>
          <w:szCs w:val="21"/>
          <w:highlight w:val="none"/>
          <w:u w:val="single"/>
        </w:rPr>
        <w:t>（某联合体成员名称）</w:t>
      </w:r>
      <w:r>
        <w:rPr>
          <w:rFonts w:hint="eastAsia" w:ascii="宋体" w:hAnsi="宋体" w:cs="宋体"/>
          <w:color w:val="auto"/>
          <w:kern w:val="0"/>
          <w:szCs w:val="21"/>
          <w:highlight w:val="none"/>
        </w:rPr>
        <w:t>为联合体</w:t>
      </w:r>
      <w:r>
        <w:rPr>
          <w:rFonts w:hint="eastAsia" w:ascii="宋体" w:hAnsi="宋体" w:cs="宋体"/>
          <w:color w:val="auto"/>
          <w:kern w:val="0"/>
          <w:szCs w:val="21"/>
          <w:highlight w:val="none"/>
          <w:lang w:val="zh-CN"/>
        </w:rPr>
        <w:t>牵头人</w:t>
      </w:r>
      <w:r>
        <w:rPr>
          <w:rFonts w:hint="eastAsia" w:ascii="宋体" w:hAnsi="宋体" w:cs="宋体"/>
          <w:color w:val="auto"/>
          <w:szCs w:val="21"/>
          <w:highlight w:val="none"/>
        </w:rPr>
        <w:t>，代表所有联合体成员负责投标和合同实施阶段的主办、协调工作</w:t>
      </w:r>
      <w:r>
        <w:rPr>
          <w:rFonts w:hint="eastAsia" w:ascii="宋体" w:hAnsi="宋体" w:cs="宋体"/>
          <w:color w:val="auto"/>
          <w:kern w:val="0"/>
          <w:szCs w:val="21"/>
          <w:highlight w:val="none"/>
          <w:lang w:val="zh-CN"/>
        </w:rPr>
        <w:t>。</w:t>
      </w:r>
    </w:p>
    <w:p w14:paraId="21F784F7">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w:t>
      </w:r>
      <w:r>
        <w:rPr>
          <w:rFonts w:hint="eastAsia" w:ascii="宋体" w:hAnsi="宋体" w:cs="宋体"/>
          <w:color w:val="auto"/>
          <w:szCs w:val="21"/>
          <w:highlight w:val="none"/>
        </w:rPr>
        <w:t>所有联合体成员各方签署授权书，授权书载明的</w:t>
      </w:r>
      <w:r>
        <w:rPr>
          <w:rFonts w:hint="eastAsia" w:ascii="宋体" w:hAnsi="宋体" w:cs="宋体"/>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2FF6C80B">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三、本次联合投标中，分工如下：</w:t>
      </w:r>
    </w:p>
    <w:p w14:paraId="20CEBD47">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（联合体成员1）</w:t>
      </w:r>
      <w:r>
        <w:rPr>
          <w:rFonts w:hint="eastAsia" w:ascii="宋体" w:hAnsi="宋体" w:cs="宋体"/>
          <w:color w:val="auto"/>
          <w:kern w:val="0"/>
          <w:szCs w:val="21"/>
          <w:highlight w:val="none"/>
          <w:lang w:val="zh-CN"/>
        </w:rPr>
        <w:t>承担的工作和义务为：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w:t>
      </w:r>
    </w:p>
    <w:p w14:paraId="61463221">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（联合体成员2）</w:t>
      </w:r>
      <w:r>
        <w:rPr>
          <w:rFonts w:hint="eastAsia" w:ascii="宋体" w:hAnsi="宋体" w:cs="宋体"/>
          <w:color w:val="auto"/>
          <w:kern w:val="0"/>
          <w:szCs w:val="21"/>
          <w:highlight w:val="none"/>
          <w:lang w:val="zh-CN"/>
        </w:rPr>
        <w:t>承担的工作和义务为：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w:t>
      </w:r>
    </w:p>
    <w:p w14:paraId="6A796C98">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p w14:paraId="7F24EBA2">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四、联合体成员中小企业合同份额。</w:t>
      </w:r>
    </w:p>
    <w:p w14:paraId="4D99AB17">
      <w:pPr>
        <w:wordWrap w:val="0"/>
        <w:topLinePunct/>
        <w:snapToGrid w:val="0"/>
        <w:spacing w:line="360" w:lineRule="auto"/>
        <w:ind w:firstLine="420" w:firstLineChars="200"/>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u w:val="single"/>
        </w:rPr>
        <w:t>（</w:t>
      </w:r>
      <w:bookmarkStart w:id="520" w:name="_Hlk101131882"/>
      <w:r>
        <w:rPr>
          <w:rFonts w:hint="eastAsia" w:ascii="宋体" w:hAnsi="宋体" w:cs="宋体"/>
          <w:color w:val="auto"/>
          <w:kern w:val="0"/>
          <w:szCs w:val="21"/>
          <w:highlight w:val="none"/>
          <w:u w:val="single"/>
        </w:rPr>
        <w:t>联合体成员X，……</w:t>
      </w:r>
      <w:bookmarkEnd w:id="520"/>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提供的服务由小微企业承接，其合同份额占到合同总金额%以上</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w:t>
      </w:r>
      <w:bookmarkStart w:id="521" w:name="_Hlk101133598"/>
      <w:r>
        <w:rPr>
          <w:rFonts w:hint="eastAsia" w:ascii="宋体" w:hAnsi="宋体" w:cs="宋体"/>
          <w:b/>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Cs w:val="21"/>
          <w:highlight w:val="none"/>
        </w:rPr>
        <w:t>拟享受以上价格扣除政策的，填写有关内容。</w:t>
      </w:r>
      <w:bookmarkEnd w:id="521"/>
      <w:r>
        <w:rPr>
          <w:rFonts w:hint="eastAsia" w:ascii="宋体" w:hAnsi="宋体" w:cs="宋体"/>
          <w:b/>
          <w:color w:val="auto"/>
          <w:kern w:val="0"/>
          <w:szCs w:val="21"/>
          <w:highlight w:val="none"/>
          <w:lang w:val="zh-CN"/>
        </w:rPr>
        <w:t>）</w:t>
      </w:r>
    </w:p>
    <w:p w14:paraId="7E00A2EF">
      <w:pPr>
        <w:wordWrap w:val="0"/>
        <w:topLinePunct/>
        <w:snapToGrid w:val="0"/>
        <w:spacing w:line="360" w:lineRule="auto"/>
        <w:ind w:firstLine="420" w:firstLineChars="200"/>
        <w:rPr>
          <w:rFonts w:ascii="宋体" w:hAnsi="宋体" w:cs="宋体"/>
          <w:b/>
          <w:bCs/>
          <w:color w:val="auto"/>
          <w:kern w:val="0"/>
          <w:szCs w:val="21"/>
          <w:highlight w:val="none"/>
          <w:lang w:val="zh-CN"/>
        </w:rPr>
      </w:pPr>
      <w:r>
        <w:rPr>
          <w:rFonts w:hint="eastAsia" w:ascii="宋体" w:hAnsi="宋体" w:cs="宋体"/>
          <w:color w:val="auto"/>
          <w:szCs w:val="21"/>
          <w:highlight w:val="none"/>
        </w:rPr>
        <w:t>2、</w:t>
      </w:r>
      <w:bookmarkStart w:id="522" w:name="_Hlk101133173"/>
      <w:r>
        <w:rPr>
          <w:rFonts w:hint="eastAsia" w:ascii="宋体" w:hAnsi="宋体" w:cs="宋体"/>
          <w:color w:val="auto"/>
          <w:szCs w:val="21"/>
          <w:highlight w:val="none"/>
        </w:rPr>
        <w:t>中小企业合同金额达到%，小微企业合同金额达到%</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Cs w:val="21"/>
          <w:highlight w:val="none"/>
          <w:lang w:val="zh-CN"/>
        </w:rPr>
        <w:t>）</w:t>
      </w:r>
      <w:bookmarkEnd w:id="522"/>
    </w:p>
    <w:p w14:paraId="40B09500">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五、如果中标，</w:t>
      </w:r>
      <w:r>
        <w:rPr>
          <w:rFonts w:hint="eastAsia" w:ascii="宋体" w:hAnsi="宋体" w:cs="宋体"/>
          <w:color w:val="auto"/>
          <w:szCs w:val="21"/>
          <w:highlight w:val="none"/>
        </w:rPr>
        <w:t>联合体各成员方共同与采购人签订合同，并就采购合同约定的事项对采购人承担连带责任。</w:t>
      </w:r>
    </w:p>
    <w:p w14:paraId="4459387E">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六、有关本次联合投标的其他事宜：</w:t>
      </w:r>
    </w:p>
    <w:p w14:paraId="75FF1F13">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1、联合体各方不再单独参加或者与其他供应商另外组成联合体参加同一合同项下的政府采购活动。</w:t>
      </w:r>
    </w:p>
    <w:p w14:paraId="60A3DB3F">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2、联合体中有同类资质的各方按照联合体分工承担相同工作的，按照资质等级较低的供应商确定资质等级。</w:t>
      </w:r>
    </w:p>
    <w:p w14:paraId="77CEFC59">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3、本协议提交采购人、采购代理机构后，联合体各方不得以任何形式对上述内容进行修改或撤销。</w:t>
      </w:r>
    </w:p>
    <w:p w14:paraId="29033B9E">
      <w:pPr>
        <w:wordWrap w:val="0"/>
        <w:topLinePunct/>
        <w:snapToGrid w:val="0"/>
        <w:spacing w:line="360" w:lineRule="auto"/>
        <w:ind w:firstLine="4620" w:firstLineChars="2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63D4FA94">
      <w:pPr>
        <w:wordWrap w:val="0"/>
        <w:topLinePunct/>
        <w:snapToGrid w:val="0"/>
        <w:spacing w:line="360" w:lineRule="auto"/>
        <w:ind w:firstLine="4620" w:firstLineChars="2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58EECD68">
      <w:pPr>
        <w:wordWrap w:val="0"/>
        <w:topLinePunct/>
        <w:snapToGrid w:val="0"/>
        <w:spacing w:line="360" w:lineRule="auto"/>
        <w:ind w:firstLine="4620" w:firstLineChars="2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p w14:paraId="5AB38B12">
      <w:pPr>
        <w:wordWrap w:val="0"/>
        <w:topLinePunct/>
        <w:snapToGrid w:val="0"/>
        <w:spacing w:line="360" w:lineRule="auto"/>
        <w:ind w:firstLine="4620" w:firstLineChars="2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2167990C">
      <w:pPr>
        <w:wordWrap w:val="0"/>
        <w:topLinePunct/>
        <w:spacing w:line="312" w:lineRule="auto"/>
        <w:rPr>
          <w:rFonts w:ascii="宋体" w:hAnsi="宋体" w:cs="宋体"/>
          <w:b/>
          <w:bCs/>
          <w:color w:val="auto"/>
          <w:sz w:val="32"/>
          <w:szCs w:val="32"/>
          <w:highlight w:val="none"/>
        </w:rPr>
      </w:pPr>
      <w:r>
        <w:rPr>
          <w:rFonts w:hint="eastAsia" w:ascii="宋体" w:hAnsi="宋体" w:cs="宋体"/>
          <w:b/>
          <w:bCs/>
          <w:color w:val="auto"/>
          <w:szCs w:val="21"/>
          <w:highlight w:val="none"/>
        </w:rPr>
        <w:t>注：按本格式和要求提供。</w:t>
      </w:r>
    </w:p>
    <w:p w14:paraId="1EF64CBC">
      <w:pPr>
        <w:autoSpaceDE w:val="0"/>
        <w:autoSpaceDN w:val="0"/>
        <w:spacing w:before="319" w:beforeLines="100" w:after="319" w:afterLines="100"/>
        <w:jc w:val="center"/>
        <w:rPr>
          <w:rFonts w:ascii="宋体" w:hAnsi="宋体" w:cs="宋体"/>
          <w:b/>
          <w:color w:val="auto"/>
          <w:spacing w:val="6"/>
          <w:sz w:val="32"/>
          <w:szCs w:val="32"/>
          <w:highlight w:val="none"/>
        </w:rPr>
      </w:pPr>
    </w:p>
    <w:p w14:paraId="0585CFF0">
      <w:pPr>
        <w:autoSpaceDE w:val="0"/>
        <w:autoSpaceDN w:val="0"/>
        <w:spacing w:before="319" w:beforeLines="100" w:after="319" w:afterLines="100"/>
        <w:jc w:val="center"/>
        <w:rPr>
          <w:rFonts w:ascii="宋体" w:hAnsi="宋体" w:cs="宋体"/>
          <w:b/>
          <w:color w:val="auto"/>
          <w:spacing w:val="6"/>
          <w:sz w:val="32"/>
          <w:szCs w:val="32"/>
          <w:highlight w:val="none"/>
        </w:rPr>
      </w:pPr>
    </w:p>
    <w:p w14:paraId="5ECBAE3E">
      <w:pPr>
        <w:autoSpaceDE w:val="0"/>
        <w:autoSpaceDN w:val="0"/>
        <w:spacing w:before="319" w:beforeLines="100" w:after="319" w:afterLines="100"/>
        <w:jc w:val="center"/>
        <w:rPr>
          <w:rFonts w:ascii="宋体" w:hAnsi="宋体" w:cs="宋体"/>
          <w:b/>
          <w:color w:val="auto"/>
          <w:spacing w:val="6"/>
          <w:sz w:val="32"/>
          <w:szCs w:val="32"/>
          <w:highlight w:val="none"/>
        </w:rPr>
      </w:pPr>
    </w:p>
    <w:p w14:paraId="57EA2D26">
      <w:pPr>
        <w:autoSpaceDE w:val="0"/>
        <w:autoSpaceDN w:val="0"/>
        <w:spacing w:before="319" w:beforeLines="100" w:after="319" w:afterLines="100"/>
        <w:jc w:val="center"/>
        <w:rPr>
          <w:rFonts w:ascii="宋体" w:hAnsi="宋体" w:cs="宋体"/>
          <w:b/>
          <w:color w:val="auto"/>
          <w:spacing w:val="6"/>
          <w:sz w:val="32"/>
          <w:szCs w:val="32"/>
          <w:highlight w:val="none"/>
        </w:rPr>
      </w:pPr>
    </w:p>
    <w:p w14:paraId="6CF2AADE">
      <w:pPr>
        <w:autoSpaceDE w:val="0"/>
        <w:autoSpaceDN w:val="0"/>
        <w:spacing w:before="319" w:beforeLines="100" w:after="319" w:afterLines="100"/>
        <w:jc w:val="center"/>
        <w:rPr>
          <w:rFonts w:ascii="宋体" w:hAnsi="宋体" w:cs="宋体"/>
          <w:b/>
          <w:color w:val="auto"/>
          <w:spacing w:val="6"/>
          <w:sz w:val="32"/>
          <w:szCs w:val="32"/>
          <w:highlight w:val="none"/>
        </w:rPr>
      </w:pPr>
    </w:p>
    <w:p w14:paraId="582BE3CE">
      <w:pPr>
        <w:autoSpaceDE w:val="0"/>
        <w:autoSpaceDN w:val="0"/>
        <w:spacing w:before="319" w:beforeLines="100" w:after="319" w:afterLines="100"/>
        <w:jc w:val="center"/>
        <w:rPr>
          <w:rFonts w:ascii="宋体" w:hAnsi="宋体" w:cs="宋体"/>
          <w:b/>
          <w:color w:val="auto"/>
          <w:spacing w:val="6"/>
          <w:sz w:val="32"/>
          <w:szCs w:val="32"/>
          <w:highlight w:val="none"/>
        </w:rPr>
      </w:pPr>
    </w:p>
    <w:p w14:paraId="5E255D48">
      <w:pPr>
        <w:autoSpaceDE w:val="0"/>
        <w:autoSpaceDN w:val="0"/>
        <w:spacing w:before="319" w:beforeLines="100" w:after="319" w:afterLines="100"/>
        <w:jc w:val="center"/>
        <w:rPr>
          <w:rFonts w:ascii="宋体" w:hAnsi="宋体" w:cs="宋体"/>
          <w:b/>
          <w:color w:val="auto"/>
          <w:spacing w:val="6"/>
          <w:sz w:val="32"/>
          <w:szCs w:val="32"/>
          <w:highlight w:val="none"/>
        </w:rPr>
      </w:pPr>
    </w:p>
    <w:p w14:paraId="30E81216">
      <w:pPr>
        <w:autoSpaceDE w:val="0"/>
        <w:autoSpaceDN w:val="0"/>
        <w:spacing w:before="319" w:beforeLines="100" w:after="319" w:afterLines="100"/>
        <w:jc w:val="center"/>
        <w:rPr>
          <w:rFonts w:ascii="宋体" w:hAnsi="宋体" w:cs="宋体"/>
          <w:b/>
          <w:color w:val="auto"/>
          <w:spacing w:val="6"/>
          <w:sz w:val="32"/>
          <w:szCs w:val="32"/>
          <w:highlight w:val="none"/>
        </w:rPr>
      </w:pPr>
    </w:p>
    <w:p w14:paraId="2E495152">
      <w:pPr>
        <w:autoSpaceDE w:val="0"/>
        <w:autoSpaceDN w:val="0"/>
        <w:spacing w:before="319" w:beforeLines="100" w:after="319" w:afterLines="100"/>
        <w:jc w:val="center"/>
        <w:rPr>
          <w:rFonts w:ascii="宋体" w:hAnsi="宋体" w:cs="宋体"/>
          <w:b/>
          <w:color w:val="auto"/>
          <w:spacing w:val="6"/>
          <w:sz w:val="32"/>
          <w:szCs w:val="32"/>
          <w:highlight w:val="none"/>
        </w:rPr>
      </w:pPr>
    </w:p>
    <w:p w14:paraId="29126BA7">
      <w:pPr>
        <w:autoSpaceDE w:val="0"/>
        <w:autoSpaceDN w:val="0"/>
        <w:spacing w:before="319" w:beforeLines="100" w:after="319" w:afterLines="100"/>
        <w:jc w:val="center"/>
        <w:rPr>
          <w:rFonts w:ascii="宋体" w:hAnsi="宋体" w:cs="宋体"/>
          <w:b/>
          <w:color w:val="auto"/>
          <w:spacing w:val="6"/>
          <w:sz w:val="32"/>
          <w:szCs w:val="32"/>
          <w:highlight w:val="none"/>
        </w:rPr>
      </w:pPr>
    </w:p>
    <w:p w14:paraId="01ED57A6">
      <w:pPr>
        <w:autoSpaceDE w:val="0"/>
        <w:autoSpaceDN w:val="0"/>
        <w:spacing w:before="319" w:beforeLines="100" w:after="319" w:afterLines="100"/>
        <w:jc w:val="center"/>
        <w:rPr>
          <w:rFonts w:ascii="宋体" w:hAnsi="宋体" w:cs="宋体"/>
          <w:b/>
          <w:color w:val="auto"/>
          <w:spacing w:val="6"/>
          <w:sz w:val="32"/>
          <w:szCs w:val="32"/>
          <w:highlight w:val="none"/>
        </w:rPr>
      </w:pPr>
    </w:p>
    <w:p w14:paraId="4F5A05BE">
      <w:pPr>
        <w:autoSpaceDE w:val="0"/>
        <w:autoSpaceDN w:val="0"/>
        <w:spacing w:before="319" w:beforeLines="100" w:after="319" w:afterLines="100"/>
        <w:jc w:val="center"/>
        <w:rPr>
          <w:rFonts w:ascii="宋体" w:hAnsi="宋体" w:cs="宋体"/>
          <w:b/>
          <w:color w:val="auto"/>
          <w:spacing w:val="6"/>
          <w:sz w:val="32"/>
          <w:szCs w:val="32"/>
          <w:highlight w:val="none"/>
        </w:rPr>
      </w:pPr>
    </w:p>
    <w:p w14:paraId="475100A2">
      <w:pPr>
        <w:autoSpaceDE w:val="0"/>
        <w:autoSpaceDN w:val="0"/>
        <w:spacing w:before="319" w:beforeLines="100" w:after="319" w:afterLines="10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附件6：</w:t>
      </w:r>
      <w:r>
        <w:rPr>
          <w:rFonts w:hint="eastAsia" w:ascii="宋体" w:hAnsi="宋体" w:cs="宋体"/>
          <w:b/>
          <w:color w:val="auto"/>
          <w:spacing w:val="6"/>
          <w:sz w:val="32"/>
          <w:szCs w:val="32"/>
          <w:highlight w:val="none"/>
          <w:lang w:val="zh-CN"/>
        </w:rPr>
        <w:t>分包意向协议</w:t>
      </w:r>
    </w:p>
    <w:p w14:paraId="1E978949">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[中标后以分包方式履行合同的，提供分包意向协议；采购人不同意分包或者投标人中标后不以分包方式履行合同的，则不需要提供。]</w:t>
      </w:r>
    </w:p>
    <w:p w14:paraId="7F492EC4">
      <w:pPr>
        <w:wordWrap w:val="0"/>
        <w:snapToGrid w:val="0"/>
        <w:spacing w:line="312" w:lineRule="auto"/>
        <w:ind w:firstLine="420" w:firstLineChars="200"/>
        <w:rPr>
          <w:rFonts w:ascii="宋体" w:hAnsi="宋体" w:cs="宋体"/>
          <w:color w:val="auto"/>
          <w:kern w:val="0"/>
          <w:szCs w:val="21"/>
          <w:highlight w:val="none"/>
          <w:u w:val="single"/>
        </w:rPr>
      </w:pPr>
    </w:p>
    <w:p w14:paraId="3BE2F485">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若成为</w:t>
      </w:r>
      <w:r>
        <w:rPr>
          <w:rFonts w:hint="eastAsia" w:ascii="宋体" w:hAnsi="宋体" w:cs="宋体"/>
          <w:color w:val="auto"/>
          <w:szCs w:val="21"/>
          <w:highlight w:val="none"/>
        </w:rPr>
        <w:t>（项目名称）【招标编号：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（采购编号）】</w:t>
      </w:r>
      <w:r>
        <w:rPr>
          <w:rFonts w:hint="eastAsia" w:ascii="宋体" w:hAnsi="宋体" w:cs="宋体"/>
          <w:color w:val="auto"/>
          <w:kern w:val="0"/>
          <w:szCs w:val="21"/>
          <w:highlight w:val="none"/>
          <w:lang w:val="zh-CN"/>
        </w:rPr>
        <w:t>的中标供应商，将依法采取分包方式履行合同。</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（所有分包供应商名称）</w:t>
      </w:r>
      <w:r>
        <w:rPr>
          <w:rFonts w:hint="eastAsia" w:ascii="宋体" w:hAnsi="宋体" w:cs="宋体"/>
          <w:color w:val="auto"/>
          <w:kern w:val="0"/>
          <w:szCs w:val="21"/>
          <w:highlight w:val="none"/>
        </w:rPr>
        <w:t>达成分包意向协议</w:t>
      </w:r>
      <w:r>
        <w:rPr>
          <w:rFonts w:hint="eastAsia" w:ascii="宋体" w:hAnsi="宋体" w:cs="宋体"/>
          <w:color w:val="auto"/>
          <w:kern w:val="0"/>
          <w:szCs w:val="21"/>
          <w:highlight w:val="none"/>
          <w:lang w:val="zh-CN"/>
        </w:rPr>
        <w:t xml:space="preserve">。 </w:t>
      </w:r>
    </w:p>
    <w:p w14:paraId="1979B8AF">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一、分包标的及数量</w:t>
      </w:r>
    </w:p>
    <w:p w14:paraId="0D57F7FF">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将</w:t>
      </w:r>
      <w:r>
        <w:rPr>
          <w:rFonts w:hint="eastAsia" w:ascii="宋体" w:hAnsi="宋体" w:cs="宋体"/>
          <w:color w:val="auto"/>
          <w:kern w:val="0"/>
          <w:szCs w:val="21"/>
          <w:highlight w:val="none"/>
          <w:u w:val="single"/>
        </w:rPr>
        <w:t xml:space="preserve"> XX工作内容   </w:t>
      </w:r>
      <w:r>
        <w:rPr>
          <w:rFonts w:hint="eastAsia" w:ascii="宋体" w:hAnsi="宋体" w:cs="宋体"/>
          <w:color w:val="auto"/>
          <w:szCs w:val="21"/>
          <w:highlight w:val="none"/>
        </w:rPr>
        <w:t>分包给</w:t>
      </w:r>
      <w:r>
        <w:rPr>
          <w:rFonts w:hint="eastAsia" w:ascii="宋体" w:hAnsi="宋体" w:cs="宋体"/>
          <w:color w:val="auto"/>
          <w:kern w:val="0"/>
          <w:szCs w:val="21"/>
          <w:highlight w:val="none"/>
          <w:u w:val="single"/>
        </w:rPr>
        <w:t>（分包供应商1名称）</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u w:val="single"/>
        </w:rPr>
        <w:t>（分包供应商2名称），</w:t>
      </w:r>
      <w:r>
        <w:rPr>
          <w:rFonts w:hint="eastAsia" w:ascii="宋体" w:hAnsi="宋体" w:cs="宋体"/>
          <w:color w:val="auto"/>
          <w:kern w:val="0"/>
          <w:szCs w:val="21"/>
          <w:highlight w:val="none"/>
          <w:lang w:val="zh-CN"/>
        </w:rPr>
        <w:t>具备承</w:t>
      </w:r>
      <w:r>
        <w:rPr>
          <w:rFonts w:hint="eastAsia" w:ascii="宋体" w:hAnsi="宋体" w:cs="宋体"/>
          <w:color w:val="auto"/>
          <w:kern w:val="0"/>
          <w:szCs w:val="21"/>
          <w:highlight w:val="none"/>
        </w:rPr>
        <w:t>担</w:t>
      </w:r>
      <w:r>
        <w:rPr>
          <w:rFonts w:hint="eastAsia" w:ascii="宋体" w:hAnsi="宋体" w:cs="宋体"/>
          <w:color w:val="auto"/>
          <w:kern w:val="0"/>
          <w:szCs w:val="21"/>
          <w:highlight w:val="none"/>
          <w:u w:val="single"/>
          <w:lang w:val="zh-CN"/>
        </w:rPr>
        <w:t>XX工作内容</w:t>
      </w:r>
      <w:r>
        <w:rPr>
          <w:rFonts w:hint="eastAsia" w:ascii="宋体" w:hAnsi="宋体" w:cs="宋体"/>
          <w:color w:val="auto"/>
          <w:kern w:val="0"/>
          <w:szCs w:val="21"/>
          <w:highlight w:val="none"/>
          <w:lang w:val="zh-CN"/>
        </w:rPr>
        <w:t>相应资质条件且不得再次分包；</w:t>
      </w:r>
    </w:p>
    <w:p w14:paraId="17F9E1DD">
      <w:pPr>
        <w:tabs>
          <w:tab w:val="left" w:pos="432"/>
        </w:tabs>
        <w:wordWrap w:val="0"/>
        <w:topLinePunct/>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p>
    <w:p w14:paraId="4EFC1A79">
      <w:pPr>
        <w:wordWrap w:val="0"/>
        <w:topLinePunct/>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二、分包供应商中小企业合同份额</w:t>
      </w:r>
    </w:p>
    <w:p w14:paraId="22567135">
      <w:pPr>
        <w:wordWrap w:val="0"/>
        <w:topLinePunct/>
        <w:snapToGrid w:val="0"/>
        <w:spacing w:line="360" w:lineRule="auto"/>
        <w:ind w:firstLine="420" w:firstLineChars="200"/>
        <w:rPr>
          <w:rFonts w:ascii="宋体" w:hAnsi="宋体" w:cs="宋体"/>
          <w:b/>
          <w:color w:val="auto"/>
          <w:kern w:val="0"/>
          <w:szCs w:val="21"/>
          <w:highlight w:val="none"/>
          <w:lang w:val="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（分包供应商X，……）提供的服务全部由小微企业承接，</w:t>
      </w:r>
      <w:r>
        <w:rPr>
          <w:rFonts w:hint="eastAsia" w:ascii="宋体" w:hAnsi="宋体" w:cs="宋体"/>
          <w:color w:val="auto"/>
          <w:kern w:val="0"/>
          <w:szCs w:val="21"/>
          <w:highlight w:val="none"/>
        </w:rPr>
        <w:t>其合同份额占到合同总金额%以上</w:t>
      </w:r>
      <w:r>
        <w:rPr>
          <w:rFonts w:hint="eastAsia" w:ascii="宋体" w:hAnsi="宋体" w:cs="宋体"/>
          <w:color w:val="auto"/>
          <w:szCs w:val="21"/>
          <w:highlight w:val="none"/>
        </w:rPr>
        <w:t>。</w:t>
      </w:r>
      <w:r>
        <w:rPr>
          <w:rFonts w:hint="eastAsia" w:ascii="宋体" w:hAnsi="宋体" w:cs="宋体"/>
          <w:b/>
          <w:color w:val="auto"/>
          <w:kern w:val="0"/>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14:paraId="5C30E8ED">
      <w:pPr>
        <w:wordWrap w:val="0"/>
        <w:topLinePunct/>
        <w:snapToGrid w:val="0"/>
        <w:spacing w:line="360" w:lineRule="auto"/>
        <w:ind w:firstLine="420" w:firstLineChars="200"/>
        <w:rPr>
          <w:rFonts w:ascii="宋体" w:hAnsi="宋体" w:cs="宋体"/>
          <w:b/>
          <w:bCs/>
          <w:color w:val="auto"/>
          <w:kern w:val="0"/>
          <w:szCs w:val="21"/>
          <w:highlight w:val="none"/>
          <w:lang w:val="zh-CN"/>
        </w:rPr>
      </w:pPr>
      <w:r>
        <w:rPr>
          <w:rFonts w:hint="eastAsia" w:ascii="宋体" w:hAnsi="宋体" w:cs="宋体"/>
          <w:color w:val="auto"/>
          <w:szCs w:val="21"/>
          <w:highlight w:val="none"/>
        </w:rPr>
        <w:t>2、中小企业合同金额达到%，小微企业合同金额达到%</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要求合同分包形式参加的项目或采购包，供应商按招标文件第一部分招标公告申请人的资格要求中规定的</w:t>
      </w:r>
      <w:r>
        <w:rPr>
          <w:rFonts w:hint="eastAsia" w:ascii="宋体" w:hAnsi="宋体" w:cs="宋体"/>
          <w:b/>
          <w:color w:val="auto"/>
          <w:kern w:val="0"/>
          <w:szCs w:val="21"/>
          <w:highlight w:val="none"/>
          <w:lang w:val="zh-CN"/>
        </w:rPr>
        <w:t>分包意向协议</w:t>
      </w:r>
      <w:r>
        <w:rPr>
          <w:rFonts w:hint="eastAsia" w:ascii="宋体" w:hAnsi="宋体" w:cs="宋体"/>
          <w:b/>
          <w:bCs/>
          <w:color w:val="auto"/>
          <w:szCs w:val="21"/>
          <w:highlight w:val="none"/>
        </w:rPr>
        <w:t>中中小企业、小微企业合同金额应当达到的比例要求填写。</w:t>
      </w:r>
      <w:r>
        <w:rPr>
          <w:rFonts w:hint="eastAsia" w:ascii="宋体" w:hAnsi="宋体" w:cs="宋体"/>
          <w:b/>
          <w:bCs/>
          <w:color w:val="auto"/>
          <w:kern w:val="0"/>
          <w:szCs w:val="21"/>
          <w:highlight w:val="none"/>
          <w:lang w:val="zh-CN"/>
        </w:rPr>
        <w:t>）</w:t>
      </w:r>
    </w:p>
    <w:p w14:paraId="454F21D6">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三、分包工作履行期限、地点、方式</w:t>
      </w:r>
    </w:p>
    <w:p w14:paraId="0328ED48">
      <w:pPr>
        <w:wordWrap w:val="0"/>
        <w:snapToGrid w:val="0"/>
        <w:spacing w:line="312"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四、质量</w:t>
      </w:r>
    </w:p>
    <w:p w14:paraId="4313C115">
      <w:pPr>
        <w:wordWrap w:val="0"/>
        <w:snapToGrid w:val="0"/>
        <w:spacing w:line="312"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五、价款或者报酬</w:t>
      </w:r>
    </w:p>
    <w:p w14:paraId="06CD4D3A">
      <w:pPr>
        <w:wordWrap w:val="0"/>
        <w:snapToGrid w:val="0"/>
        <w:spacing w:line="312"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六、违约责任</w:t>
      </w:r>
    </w:p>
    <w:p w14:paraId="51AA978E">
      <w:pPr>
        <w:wordWrap w:val="0"/>
        <w:snapToGrid w:val="0"/>
        <w:spacing w:line="312"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七、争议解决的办法</w:t>
      </w:r>
    </w:p>
    <w:p w14:paraId="257B1E37">
      <w:pPr>
        <w:wordWrap w:val="0"/>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八、其他</w:t>
      </w:r>
    </w:p>
    <w:p w14:paraId="6AC16707">
      <w:pPr>
        <w:wordWrap w:val="0"/>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szCs w:val="21"/>
          <w:highlight w:val="none"/>
        </w:rPr>
        <w:t>中小企业合同金额达到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%，小微企业合同金额达到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w:t>
      </w:r>
    </w:p>
    <w:p w14:paraId="1A6EBE1A">
      <w:pPr>
        <w:wordWrap w:val="0"/>
        <w:snapToGrid w:val="0"/>
        <w:spacing w:line="360" w:lineRule="auto"/>
        <w:ind w:firstLine="4620" w:firstLineChars="2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投标人名称(电子签名)：</w:t>
      </w:r>
    </w:p>
    <w:p w14:paraId="64716281">
      <w:pPr>
        <w:snapToGrid w:val="0"/>
        <w:spacing w:line="360" w:lineRule="auto"/>
        <w:ind w:firstLine="4620" w:firstLineChars="2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分包供应商名称(电子签名/公章)：</w:t>
      </w:r>
    </w:p>
    <w:p w14:paraId="1C05C7C6">
      <w:pPr>
        <w:snapToGrid w:val="0"/>
        <w:spacing w:line="360" w:lineRule="auto"/>
        <w:ind w:firstLine="4620" w:firstLineChars="2200"/>
        <w:rPr>
          <w:rFonts w:ascii="宋体" w:hAnsi="宋体" w:cs="宋体"/>
          <w:color w:val="auto"/>
          <w:szCs w:val="21"/>
          <w:highlight w:val="none"/>
        </w:rPr>
      </w:pPr>
      <w:r>
        <w:rPr>
          <w:rFonts w:hint="eastAsia" w:ascii="宋体" w:hAnsi="宋体" w:cs="宋体"/>
          <w:color w:val="auto"/>
          <w:kern w:val="0"/>
          <w:szCs w:val="21"/>
          <w:highlight w:val="none"/>
          <w:lang w:val="zh-CN"/>
        </w:rPr>
        <w:t>……</w:t>
      </w:r>
    </w:p>
    <w:p w14:paraId="6D34A3C8">
      <w:pPr>
        <w:snapToGrid w:val="0"/>
        <w:spacing w:line="360" w:lineRule="auto"/>
        <w:ind w:firstLine="4620" w:firstLineChars="2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09719D48">
      <w:pPr>
        <w:spacing w:line="312" w:lineRule="auto"/>
        <w:rPr>
          <w:rFonts w:ascii="宋体" w:hAnsi="宋体" w:cs="宋体"/>
          <w:b/>
          <w:bCs/>
          <w:color w:val="auto"/>
          <w:sz w:val="32"/>
          <w:szCs w:val="32"/>
          <w:highlight w:val="none"/>
        </w:rPr>
      </w:pPr>
      <w:r>
        <w:rPr>
          <w:rFonts w:hint="eastAsia" w:ascii="宋体" w:hAnsi="宋体" w:cs="宋体"/>
          <w:b/>
          <w:bCs/>
          <w:color w:val="auto"/>
          <w:szCs w:val="21"/>
          <w:highlight w:val="none"/>
        </w:rPr>
        <w:t>注：按本格式和要求提供。</w:t>
      </w:r>
    </w:p>
    <w:p w14:paraId="3D8B78C5">
      <w:pPr>
        <w:spacing w:before="319" w:beforeLines="100" w:after="319" w:afterLines="100"/>
        <w:jc w:val="center"/>
        <w:rPr>
          <w:rFonts w:ascii="宋体" w:hAnsi="宋体" w:cs="宋体"/>
          <w:b/>
          <w:color w:val="auto"/>
          <w:sz w:val="32"/>
          <w:szCs w:val="32"/>
          <w:highlight w:val="none"/>
        </w:rPr>
      </w:pPr>
    </w:p>
    <w:p w14:paraId="77B78B7A">
      <w:pPr>
        <w:spacing w:before="319" w:beforeLines="100" w:after="319" w:afterLines="100"/>
        <w:jc w:val="center"/>
        <w:rPr>
          <w:rFonts w:ascii="宋体" w:hAnsi="宋体" w:cs="宋体"/>
          <w:b/>
          <w:color w:val="auto"/>
          <w:sz w:val="32"/>
          <w:szCs w:val="32"/>
          <w:highlight w:val="none"/>
        </w:rPr>
      </w:pPr>
      <w:r>
        <w:rPr>
          <w:rFonts w:hint="eastAsia" w:ascii="宋体" w:hAnsi="宋体" w:cs="宋体"/>
          <w:b/>
          <w:color w:val="auto"/>
          <w:sz w:val="32"/>
          <w:szCs w:val="32"/>
          <w:highlight w:val="none"/>
        </w:rPr>
        <w:t>附件7：中小企业声明函:</w:t>
      </w:r>
    </w:p>
    <w:p w14:paraId="2998E01A">
      <w:pPr>
        <w:spacing w:before="319" w:beforeLines="100"/>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中小企业声明函（工程、服务）</w:t>
      </w:r>
    </w:p>
    <w:p w14:paraId="7254B02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本公司（联合体）郑重声明，根据《政府采购促进中小企业发展管理办法》（财库﹝2020﹞46号）的规定，本公司（联合体）参加</w:t>
      </w:r>
      <w:r>
        <w:rPr>
          <w:rFonts w:hint="eastAsia" w:ascii="宋体" w:hAnsi="宋体" w:cs="宋体"/>
          <w:color w:val="auto"/>
          <w:szCs w:val="21"/>
          <w:highlight w:val="none"/>
          <w:u w:val="single"/>
        </w:rPr>
        <w:t>（采购人）</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9C58AE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 xml:space="preserve">；承建（承接）企业为 </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 xml:space="preserve"> ，从业人员人，营业收入为万元，资产总额为万元属于</w:t>
      </w:r>
      <w:r>
        <w:rPr>
          <w:rFonts w:hint="eastAsia" w:ascii="宋体" w:hAnsi="宋体" w:cs="宋体"/>
          <w:color w:val="auto"/>
          <w:szCs w:val="21"/>
          <w:highlight w:val="none"/>
          <w:u w:val="single"/>
        </w:rPr>
        <w:t xml:space="preserve"> （中型企业、小型企业、微型企业） </w:t>
      </w:r>
      <w:r>
        <w:rPr>
          <w:rFonts w:hint="eastAsia" w:ascii="宋体" w:hAnsi="宋体" w:cs="宋体"/>
          <w:color w:val="auto"/>
          <w:szCs w:val="21"/>
          <w:highlight w:val="none"/>
        </w:rPr>
        <w:t>；</w:t>
      </w:r>
    </w:p>
    <w:p w14:paraId="1BC3169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 xml:space="preserve">；承建（承接）企业为 </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 xml:space="preserve"> ，从业人员人，营业收入为万元，资产总额为万元属于</w:t>
      </w:r>
      <w:r>
        <w:rPr>
          <w:rFonts w:hint="eastAsia" w:ascii="宋体" w:hAnsi="宋体" w:cs="宋体"/>
          <w:color w:val="auto"/>
          <w:szCs w:val="21"/>
          <w:highlight w:val="none"/>
          <w:u w:val="single"/>
        </w:rPr>
        <w:t xml:space="preserve"> （中型企业、小型企业、微型企业） </w:t>
      </w:r>
      <w:r>
        <w:rPr>
          <w:rFonts w:hint="eastAsia" w:ascii="宋体" w:hAnsi="宋体" w:cs="宋体"/>
          <w:color w:val="auto"/>
          <w:szCs w:val="21"/>
          <w:highlight w:val="none"/>
        </w:rPr>
        <w:t>；</w:t>
      </w:r>
    </w:p>
    <w:p w14:paraId="56498C5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p>
    <w:p w14:paraId="7070F59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48BA32B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14F0F765">
      <w:pPr>
        <w:spacing w:line="360" w:lineRule="auto"/>
        <w:ind w:firstLine="4620" w:firstLineChars="2200"/>
        <w:rPr>
          <w:rFonts w:ascii="宋体" w:hAnsi="宋体" w:cs="宋体"/>
          <w:color w:val="auto"/>
          <w:szCs w:val="21"/>
          <w:highlight w:val="none"/>
        </w:rPr>
      </w:pPr>
      <w:r>
        <w:rPr>
          <w:rFonts w:hint="eastAsia" w:ascii="宋体" w:hAnsi="宋体" w:cs="宋体"/>
          <w:color w:val="auto"/>
          <w:szCs w:val="21"/>
          <w:highlight w:val="none"/>
        </w:rPr>
        <w:t>投标人名称（电子签名）：</w:t>
      </w:r>
    </w:p>
    <w:p w14:paraId="08292252">
      <w:pPr>
        <w:spacing w:line="360" w:lineRule="auto"/>
        <w:ind w:firstLine="4620" w:firstLineChars="2200"/>
        <w:rPr>
          <w:rFonts w:ascii="宋体" w:hAnsi="宋体" w:cs="宋体"/>
          <w:color w:val="auto"/>
          <w:szCs w:val="21"/>
          <w:highlight w:val="none"/>
        </w:rPr>
      </w:pPr>
      <w:r>
        <w:rPr>
          <w:rFonts w:hint="eastAsia" w:ascii="宋体" w:hAnsi="宋体" w:cs="宋体"/>
          <w:color w:val="auto"/>
          <w:szCs w:val="21"/>
          <w:highlight w:val="none"/>
        </w:rPr>
        <w:t>日期：   年   月   日</w:t>
      </w:r>
    </w:p>
    <w:p w14:paraId="3E820BA3">
      <w:pPr>
        <w:spacing w:line="360" w:lineRule="auto"/>
        <w:ind w:firstLine="422" w:firstLineChars="200"/>
        <w:jc w:val="left"/>
        <w:rPr>
          <w:rFonts w:ascii="宋体" w:hAnsi="宋体" w:cs="宋体"/>
          <w:b/>
          <w:color w:val="auto"/>
          <w:szCs w:val="21"/>
          <w:highlight w:val="none"/>
        </w:rPr>
      </w:pPr>
    </w:p>
    <w:p w14:paraId="0972CE71">
      <w:pPr>
        <w:spacing w:line="360" w:lineRule="auto"/>
        <w:ind w:firstLine="422" w:firstLineChars="200"/>
        <w:jc w:val="left"/>
        <w:rPr>
          <w:rFonts w:ascii="宋体" w:hAnsi="宋体" w:cs="宋体"/>
          <w:b/>
          <w:color w:val="auto"/>
          <w:szCs w:val="21"/>
          <w:highlight w:val="none"/>
        </w:rPr>
      </w:pPr>
    </w:p>
    <w:p w14:paraId="20662396">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从业人员、营业收入、资产总额填报上一年度数据，无上一年度数据的新成立企业可不填报。</w:t>
      </w:r>
    </w:p>
    <w:p w14:paraId="4CA4AA9B">
      <w:pPr>
        <w:spacing w:line="360" w:lineRule="auto"/>
        <w:ind w:firstLine="420" w:firstLineChars="200"/>
        <w:rPr>
          <w:rFonts w:ascii="宋体" w:hAnsi="宋体" w:cs="宋体"/>
          <w:color w:val="auto"/>
          <w:szCs w:val="21"/>
          <w:highlight w:val="none"/>
        </w:rPr>
      </w:pPr>
    </w:p>
    <w:p w14:paraId="6C23D8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25442E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A6B360D">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32A4510">
      <w:pPr>
        <w:spacing w:line="360" w:lineRule="auto"/>
        <w:ind w:right="420"/>
        <w:rPr>
          <w:rFonts w:ascii="宋体" w:hAnsi="宋体" w:cs="宋体"/>
          <w:color w:val="auto"/>
          <w:highlight w:val="none"/>
        </w:rPr>
      </w:pPr>
    </w:p>
    <w:p w14:paraId="33203278">
      <w:pPr>
        <w:spacing w:line="360" w:lineRule="auto"/>
        <w:rPr>
          <w:rFonts w:ascii="宋体" w:hAnsi="宋体" w:cs="宋体"/>
          <w:bCs/>
          <w:color w:val="auto"/>
          <w:sz w:val="24"/>
          <w:highlight w:val="none"/>
        </w:rPr>
      </w:pPr>
    </w:p>
    <w:sectPr>
      <w:headerReference r:id="rId13" w:type="first"/>
      <w:footerReference r:id="rId16" w:type="first"/>
      <w:footerReference r:id="rId14" w:type="default"/>
      <w:footerReference r:id="rId15" w:type="even"/>
      <w:pgSz w:w="11905" w:h="16838"/>
      <w:pgMar w:top="1440" w:right="1083" w:bottom="1440" w:left="1083" w:header="851" w:footer="992" w:gutter="0"/>
      <w:pgBorders>
        <w:top w:val="none" w:sz="0" w:space="0"/>
        <w:left w:val="none" w:sz="0" w:space="0"/>
        <w:bottom w:val="none" w:sz="0" w:space="0"/>
        <w:right w:val="none" w:sz="0" w:space="0"/>
      </w:pgBorders>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00AB8">
    <w:pPr>
      <w:pStyle w:val="41"/>
      <w:jc w:val="center"/>
      <w:rPr>
        <w:rFonts w:ascii="仿宋_GB2312" w:eastAsia="仿宋_GB2312"/>
      </w:rPr>
    </w:pPr>
    <w:r>
      <w:rPr>
        <w:rFonts w:hint="eastAsia" w:ascii="幼圆" w:hAnsi="幼圆" w:eastAsia="幼圆" w:cs="幼圆"/>
        <w:kern w:val="0"/>
      </w:rPr>
      <w:t xml:space="preserve">第 </w:t>
    </w:r>
    <w:r>
      <w:rPr>
        <w:rFonts w:hint="eastAsia" w:ascii="幼圆" w:hAnsi="幼圆" w:eastAsia="幼圆" w:cs="幼圆"/>
        <w:kern w:val="0"/>
      </w:rPr>
      <w:fldChar w:fldCharType="begin"/>
    </w:r>
    <w:r>
      <w:rPr>
        <w:rFonts w:hint="eastAsia" w:ascii="幼圆" w:hAnsi="幼圆" w:eastAsia="幼圆" w:cs="幼圆"/>
        <w:kern w:val="0"/>
      </w:rPr>
      <w:instrText xml:space="preserve"> PAGE </w:instrText>
    </w:r>
    <w:r>
      <w:rPr>
        <w:rFonts w:hint="eastAsia" w:ascii="幼圆" w:hAnsi="幼圆" w:eastAsia="幼圆" w:cs="幼圆"/>
        <w:kern w:val="0"/>
      </w:rPr>
      <w:fldChar w:fldCharType="separate"/>
    </w:r>
    <w:r>
      <w:rPr>
        <w:rFonts w:hint="eastAsia" w:ascii="幼圆" w:hAnsi="幼圆" w:eastAsia="幼圆" w:cs="幼圆"/>
        <w:kern w:val="0"/>
      </w:rPr>
      <w:t>22</w:t>
    </w:r>
    <w:r>
      <w:rPr>
        <w:rFonts w:hint="eastAsia" w:ascii="幼圆" w:hAnsi="幼圆" w:eastAsia="幼圆" w:cs="幼圆"/>
        <w:kern w:val="0"/>
      </w:rPr>
      <w:fldChar w:fldCharType="end"/>
    </w:r>
    <w:r>
      <w:rPr>
        <w:rFonts w:hint="eastAsia" w:ascii="幼圆" w:hAnsi="幼圆" w:eastAsia="幼圆" w:cs="幼圆"/>
        <w:kern w:val="0"/>
      </w:rPr>
      <w:t xml:space="preserve"> 页 共 </w:t>
    </w:r>
    <w:r>
      <w:rPr>
        <w:rFonts w:hint="eastAsia" w:ascii="幼圆" w:hAnsi="幼圆" w:eastAsia="幼圆" w:cs="幼圆"/>
        <w:kern w:val="0"/>
      </w:rPr>
      <w:fldChar w:fldCharType="begin"/>
    </w:r>
    <w:r>
      <w:rPr>
        <w:rFonts w:hint="eastAsia" w:ascii="幼圆" w:hAnsi="幼圆" w:eastAsia="幼圆" w:cs="幼圆"/>
        <w:kern w:val="0"/>
      </w:rPr>
      <w:instrText xml:space="preserve"> NUMPAGES </w:instrText>
    </w:r>
    <w:r>
      <w:rPr>
        <w:rFonts w:hint="eastAsia" w:ascii="幼圆" w:hAnsi="幼圆" w:eastAsia="幼圆" w:cs="幼圆"/>
        <w:kern w:val="0"/>
      </w:rPr>
      <w:fldChar w:fldCharType="separate"/>
    </w:r>
    <w:r>
      <w:rPr>
        <w:rFonts w:hint="eastAsia" w:ascii="幼圆" w:hAnsi="幼圆" w:eastAsia="幼圆" w:cs="幼圆"/>
        <w:kern w:val="0"/>
      </w:rPr>
      <w:t>78</w:t>
    </w:r>
    <w:r>
      <w:rPr>
        <w:rFonts w:hint="eastAsia" w:ascii="幼圆" w:hAnsi="幼圆" w:eastAsia="幼圆" w:cs="幼圆"/>
        <w:kern w:val="0"/>
      </w:rPr>
      <w:fldChar w:fldCharType="end"/>
    </w:r>
    <w:r>
      <w:rPr>
        <w:rFonts w:hint="eastAsia" w:ascii="幼圆" w:hAnsi="幼圆" w:eastAsia="幼圆" w:cs="幼圆"/>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52BB7">
    <w:pPr>
      <w:pStyle w:val="41"/>
      <w:framePr w:wrap="around" w:vAnchor="text" w:hAnchor="margin" w:xAlign="right" w:y="1"/>
      <w:rPr>
        <w:rStyle w:val="74"/>
      </w:rPr>
    </w:pPr>
    <w:r>
      <w:fldChar w:fldCharType="begin"/>
    </w:r>
    <w:r>
      <w:rPr>
        <w:rStyle w:val="74"/>
      </w:rPr>
      <w:instrText xml:space="preserve">PAGE  </w:instrText>
    </w:r>
    <w:r>
      <w:fldChar w:fldCharType="end"/>
    </w:r>
  </w:p>
  <w:p w14:paraId="090FE99A">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716A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C7C8A">
    <w:pPr>
      <w:pStyle w:val="41"/>
      <w:jc w:val="center"/>
      <w:rPr>
        <w:rFonts w:ascii="仿宋_GB2312" w:eastAsia="仿宋_GB2312"/>
      </w:rPr>
    </w:pPr>
    <w:r>
      <w:rPr>
        <w:rFonts w:hint="eastAsia" w:ascii="幼圆" w:hAnsi="幼圆" w:eastAsia="幼圆" w:cs="幼圆"/>
        <w:kern w:val="0"/>
      </w:rPr>
      <w:t xml:space="preserve">第 </w:t>
    </w:r>
    <w:r>
      <w:rPr>
        <w:rFonts w:hint="eastAsia" w:ascii="幼圆" w:hAnsi="幼圆" w:eastAsia="幼圆" w:cs="幼圆"/>
        <w:kern w:val="0"/>
      </w:rPr>
      <w:fldChar w:fldCharType="begin"/>
    </w:r>
    <w:r>
      <w:rPr>
        <w:rFonts w:hint="eastAsia" w:ascii="幼圆" w:hAnsi="幼圆" w:eastAsia="幼圆" w:cs="幼圆"/>
        <w:kern w:val="0"/>
      </w:rPr>
      <w:instrText xml:space="preserve"> PAGE </w:instrText>
    </w:r>
    <w:r>
      <w:rPr>
        <w:rFonts w:hint="eastAsia" w:ascii="幼圆" w:hAnsi="幼圆" w:eastAsia="幼圆" w:cs="幼圆"/>
        <w:kern w:val="0"/>
      </w:rPr>
      <w:fldChar w:fldCharType="separate"/>
    </w:r>
    <w:r>
      <w:rPr>
        <w:rFonts w:hint="eastAsia" w:ascii="幼圆" w:hAnsi="幼圆" w:eastAsia="幼圆" w:cs="幼圆"/>
        <w:kern w:val="0"/>
      </w:rPr>
      <w:t>31</w:t>
    </w:r>
    <w:r>
      <w:rPr>
        <w:rFonts w:hint="eastAsia" w:ascii="幼圆" w:hAnsi="幼圆" w:eastAsia="幼圆" w:cs="幼圆"/>
        <w:kern w:val="0"/>
      </w:rPr>
      <w:fldChar w:fldCharType="end"/>
    </w:r>
    <w:r>
      <w:rPr>
        <w:rFonts w:hint="eastAsia" w:ascii="幼圆" w:hAnsi="幼圆" w:eastAsia="幼圆" w:cs="幼圆"/>
        <w:kern w:val="0"/>
      </w:rPr>
      <w:t xml:space="preserve"> 页 共 </w:t>
    </w:r>
    <w:r>
      <w:rPr>
        <w:rFonts w:hint="eastAsia" w:ascii="幼圆" w:hAnsi="幼圆" w:eastAsia="幼圆" w:cs="幼圆"/>
        <w:kern w:val="0"/>
      </w:rPr>
      <w:fldChar w:fldCharType="begin"/>
    </w:r>
    <w:r>
      <w:rPr>
        <w:rFonts w:hint="eastAsia" w:ascii="幼圆" w:hAnsi="幼圆" w:eastAsia="幼圆" w:cs="幼圆"/>
        <w:kern w:val="0"/>
      </w:rPr>
      <w:instrText xml:space="preserve"> NUMPAGES </w:instrText>
    </w:r>
    <w:r>
      <w:rPr>
        <w:rFonts w:hint="eastAsia" w:ascii="幼圆" w:hAnsi="幼圆" w:eastAsia="幼圆" w:cs="幼圆"/>
        <w:kern w:val="0"/>
      </w:rPr>
      <w:fldChar w:fldCharType="separate"/>
    </w:r>
    <w:r>
      <w:rPr>
        <w:rFonts w:hint="eastAsia" w:ascii="幼圆" w:hAnsi="幼圆" w:eastAsia="幼圆" w:cs="幼圆"/>
        <w:kern w:val="0"/>
      </w:rPr>
      <w:t>78</w:t>
    </w:r>
    <w:r>
      <w:rPr>
        <w:rFonts w:hint="eastAsia" w:ascii="幼圆" w:hAnsi="幼圆" w:eastAsia="幼圆" w:cs="幼圆"/>
        <w:kern w:val="0"/>
      </w:rPr>
      <w:fldChar w:fldCharType="end"/>
    </w:r>
    <w:r>
      <w:rPr>
        <w:rFonts w:hint="eastAsia" w:ascii="幼圆" w:hAnsi="幼圆" w:eastAsia="幼圆" w:cs="幼圆"/>
        <w:kern w:val="0"/>
      </w:rPr>
      <w:t xml:space="preserve"> 页</w:t>
    </w:r>
  </w:p>
  <w:p w14:paraId="1EE1CAE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CF10D">
    <w:pPr>
      <w:pStyle w:val="41"/>
      <w:jc w:val="center"/>
      <w:rPr>
        <w:rFonts w:ascii="仿宋_GB2312" w:eastAsia="仿宋_GB2312"/>
      </w:rPr>
    </w:pPr>
    <w:r>
      <w:rPr>
        <w:rFonts w:hint="eastAsia" w:ascii="幼圆" w:hAnsi="幼圆" w:eastAsia="幼圆" w:cs="幼圆"/>
        <w:kern w:val="0"/>
      </w:rPr>
      <w:t xml:space="preserve">第 </w:t>
    </w:r>
    <w:r>
      <w:rPr>
        <w:rFonts w:hint="eastAsia" w:ascii="幼圆" w:hAnsi="幼圆" w:eastAsia="幼圆" w:cs="幼圆"/>
        <w:kern w:val="0"/>
      </w:rPr>
      <w:fldChar w:fldCharType="begin"/>
    </w:r>
    <w:r>
      <w:rPr>
        <w:rFonts w:hint="eastAsia" w:ascii="幼圆" w:hAnsi="幼圆" w:eastAsia="幼圆" w:cs="幼圆"/>
        <w:kern w:val="0"/>
      </w:rPr>
      <w:instrText xml:space="preserve"> PAGE </w:instrText>
    </w:r>
    <w:r>
      <w:rPr>
        <w:rFonts w:hint="eastAsia" w:ascii="幼圆" w:hAnsi="幼圆" w:eastAsia="幼圆" w:cs="幼圆"/>
        <w:kern w:val="0"/>
      </w:rPr>
      <w:fldChar w:fldCharType="separate"/>
    </w:r>
    <w:r>
      <w:rPr>
        <w:rFonts w:hint="eastAsia" w:ascii="幼圆" w:hAnsi="幼圆" w:eastAsia="幼圆" w:cs="幼圆"/>
        <w:kern w:val="0"/>
      </w:rPr>
      <w:t>66</w:t>
    </w:r>
    <w:r>
      <w:rPr>
        <w:rFonts w:hint="eastAsia" w:ascii="幼圆" w:hAnsi="幼圆" w:eastAsia="幼圆" w:cs="幼圆"/>
        <w:kern w:val="0"/>
      </w:rPr>
      <w:fldChar w:fldCharType="end"/>
    </w:r>
    <w:r>
      <w:rPr>
        <w:rFonts w:hint="eastAsia" w:ascii="幼圆" w:hAnsi="幼圆" w:eastAsia="幼圆" w:cs="幼圆"/>
        <w:kern w:val="0"/>
      </w:rPr>
      <w:t xml:space="preserve"> 页 共 </w:t>
    </w:r>
    <w:r>
      <w:rPr>
        <w:rFonts w:hint="eastAsia" w:ascii="幼圆" w:hAnsi="幼圆" w:eastAsia="幼圆" w:cs="幼圆"/>
        <w:kern w:val="0"/>
      </w:rPr>
      <w:fldChar w:fldCharType="begin"/>
    </w:r>
    <w:r>
      <w:rPr>
        <w:rFonts w:hint="eastAsia" w:ascii="幼圆" w:hAnsi="幼圆" w:eastAsia="幼圆" w:cs="幼圆"/>
        <w:kern w:val="0"/>
      </w:rPr>
      <w:instrText xml:space="preserve"> NUMPAGES </w:instrText>
    </w:r>
    <w:r>
      <w:rPr>
        <w:rFonts w:hint="eastAsia" w:ascii="幼圆" w:hAnsi="幼圆" w:eastAsia="幼圆" w:cs="幼圆"/>
        <w:kern w:val="0"/>
      </w:rPr>
      <w:fldChar w:fldCharType="separate"/>
    </w:r>
    <w:r>
      <w:rPr>
        <w:rFonts w:hint="eastAsia" w:ascii="幼圆" w:hAnsi="幼圆" w:eastAsia="幼圆" w:cs="幼圆"/>
        <w:kern w:val="0"/>
      </w:rPr>
      <w:t>78</w:t>
    </w:r>
    <w:r>
      <w:rPr>
        <w:rFonts w:hint="eastAsia" w:ascii="幼圆" w:hAnsi="幼圆" w:eastAsia="幼圆" w:cs="幼圆"/>
        <w:kern w:val="0"/>
      </w:rPr>
      <w:fldChar w:fldCharType="end"/>
    </w:r>
    <w:r>
      <w:rPr>
        <w:rFonts w:hint="eastAsia" w:ascii="幼圆" w:hAnsi="幼圆" w:eastAsia="幼圆" w:cs="幼圆"/>
        <w:kern w:val="0"/>
      </w:rPr>
      <w:t xml:space="preserve"> 页</w:t>
    </w:r>
  </w:p>
  <w:p w14:paraId="78E846A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2276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46C200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63E70">
    <w:pPr>
      <w:pStyle w:val="41"/>
      <w:jc w:val="center"/>
      <w:rPr>
        <w:rFonts w:hint="eastAsia" w:ascii="幼圆" w:hAnsi="幼圆" w:eastAsia="幼圆" w:cs="幼圆"/>
        <w:szCs w:val="24"/>
      </w:rPr>
    </w:pPr>
    <w:r>
      <w:rPr>
        <w:rFonts w:hint="eastAsia" w:ascii="幼圆" w:hAnsi="幼圆" w:eastAsia="幼圆" w:cs="幼圆"/>
        <w:kern w:val="0"/>
        <w:szCs w:val="21"/>
      </w:rPr>
      <w:t xml:space="preserve">第 </w:t>
    </w:r>
    <w:r>
      <w:rPr>
        <w:rFonts w:hint="eastAsia" w:ascii="幼圆" w:hAnsi="幼圆" w:eastAsia="幼圆" w:cs="幼圆"/>
        <w:kern w:val="0"/>
        <w:szCs w:val="21"/>
      </w:rPr>
      <w:fldChar w:fldCharType="begin"/>
    </w:r>
    <w:r>
      <w:rPr>
        <w:rFonts w:hint="eastAsia" w:ascii="幼圆" w:hAnsi="幼圆" w:eastAsia="幼圆" w:cs="幼圆"/>
        <w:kern w:val="0"/>
        <w:szCs w:val="21"/>
      </w:rPr>
      <w:instrText xml:space="preserve"> PAGE </w:instrText>
    </w:r>
    <w:r>
      <w:rPr>
        <w:rFonts w:hint="eastAsia" w:ascii="幼圆" w:hAnsi="幼圆" w:eastAsia="幼圆" w:cs="幼圆"/>
        <w:kern w:val="0"/>
        <w:szCs w:val="21"/>
      </w:rPr>
      <w:fldChar w:fldCharType="separate"/>
    </w:r>
    <w:r>
      <w:rPr>
        <w:rFonts w:hint="eastAsia" w:ascii="幼圆" w:hAnsi="幼圆" w:eastAsia="幼圆" w:cs="幼圆"/>
        <w:kern w:val="0"/>
        <w:szCs w:val="21"/>
      </w:rPr>
      <w:t>67</w:t>
    </w:r>
    <w:r>
      <w:rPr>
        <w:rFonts w:hint="eastAsia" w:ascii="幼圆" w:hAnsi="幼圆" w:eastAsia="幼圆" w:cs="幼圆"/>
        <w:kern w:val="0"/>
        <w:szCs w:val="21"/>
      </w:rPr>
      <w:fldChar w:fldCharType="end"/>
    </w:r>
    <w:r>
      <w:rPr>
        <w:rFonts w:hint="eastAsia" w:ascii="幼圆" w:hAnsi="幼圆" w:eastAsia="幼圆" w:cs="幼圆"/>
        <w:kern w:val="0"/>
        <w:szCs w:val="21"/>
      </w:rPr>
      <w:t xml:space="preserve"> 页 共 </w:t>
    </w:r>
    <w:r>
      <w:rPr>
        <w:rFonts w:hint="eastAsia" w:ascii="幼圆" w:hAnsi="幼圆" w:eastAsia="幼圆" w:cs="幼圆"/>
        <w:kern w:val="0"/>
        <w:szCs w:val="21"/>
      </w:rPr>
      <w:fldChar w:fldCharType="begin"/>
    </w:r>
    <w:r>
      <w:rPr>
        <w:rFonts w:hint="eastAsia" w:ascii="幼圆" w:hAnsi="幼圆" w:eastAsia="幼圆" w:cs="幼圆"/>
        <w:kern w:val="0"/>
        <w:szCs w:val="21"/>
      </w:rPr>
      <w:instrText xml:space="preserve"> NUMPAGES </w:instrText>
    </w:r>
    <w:r>
      <w:rPr>
        <w:rFonts w:hint="eastAsia" w:ascii="幼圆" w:hAnsi="幼圆" w:eastAsia="幼圆" w:cs="幼圆"/>
        <w:kern w:val="0"/>
        <w:szCs w:val="21"/>
      </w:rPr>
      <w:fldChar w:fldCharType="separate"/>
    </w:r>
    <w:r>
      <w:rPr>
        <w:rFonts w:hint="eastAsia" w:ascii="幼圆" w:hAnsi="幼圆" w:eastAsia="幼圆" w:cs="幼圆"/>
        <w:kern w:val="0"/>
        <w:szCs w:val="21"/>
      </w:rPr>
      <w:t>78</w:t>
    </w:r>
    <w:r>
      <w:rPr>
        <w:rFonts w:hint="eastAsia" w:ascii="幼圆" w:hAnsi="幼圆" w:eastAsia="幼圆" w:cs="幼圆"/>
        <w:kern w:val="0"/>
        <w:szCs w:val="21"/>
      </w:rPr>
      <w:fldChar w:fldCharType="end"/>
    </w:r>
    <w:r>
      <w:rPr>
        <w:rFonts w:hint="eastAsia" w:ascii="幼圆" w:hAnsi="幼圆" w:eastAsia="幼圆" w:cs="幼圆"/>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E1D34">
    <w:pPr>
      <w:pStyle w:val="41"/>
      <w:framePr w:wrap="around" w:vAnchor="text" w:hAnchor="margin" w:xAlign="right" w:y="1"/>
      <w:rPr>
        <w:rStyle w:val="74"/>
      </w:rPr>
    </w:pPr>
    <w:r>
      <w:fldChar w:fldCharType="begin"/>
    </w:r>
    <w:r>
      <w:rPr>
        <w:rStyle w:val="74"/>
      </w:rPr>
      <w:instrText xml:space="preserve">PAGE  </w:instrText>
    </w:r>
    <w:r>
      <w:fldChar w:fldCharType="end"/>
    </w:r>
  </w:p>
  <w:p w14:paraId="6A840775">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B88E6">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3" w:name="_Toc36110187"/>
    <w:bookmarkStart w:id="524" w:name="_Toc131845147"/>
    <w:bookmarkStart w:id="525" w:name="_Toc164085800"/>
    <w:bookmarkStart w:id="526" w:name="_Toc91899912"/>
    <w:r>
      <w:rPr>
        <w:rFonts w:hint="eastAsia" w:ascii="仿宋_GB2312" w:eastAsia="仿宋_GB2312"/>
        <w:kern w:val="0"/>
        <w:szCs w:val="21"/>
      </w:rPr>
      <w:t xml:space="preserve"> 页</w:t>
    </w:r>
    <w:bookmarkEnd w:id="523"/>
    <w:bookmarkEnd w:id="524"/>
    <w:bookmarkEnd w:id="525"/>
    <w:bookmarkEnd w:id="52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EECAE">
    <w:pPr>
      <w:pStyle w:val="61"/>
      <w:pBdr>
        <w:bottom w:val="thickThinLargeGap" w:color="auto" w:sz="4" w:space="0"/>
      </w:pBdr>
      <w:tabs>
        <w:tab w:val="center" w:pos="4535"/>
        <w:tab w:val="right" w:pos="9070"/>
      </w:tabs>
      <w:jc w:val="both"/>
      <w:rPr>
        <w:rFonts w:hint="default" w:ascii="仿宋_GB2312" w:eastAsia="黑体"/>
        <w:b w:val="0"/>
        <w:i/>
        <w:sz w:val="18"/>
        <w:u w:val="single"/>
        <w:lang w:val="en-US" w:eastAsia="zh-CN"/>
      </w:rPr>
    </w:pPr>
    <w:r>
      <w:rPr>
        <w:rFonts w:hint="eastAsia" w:ascii="幼圆" w:hAnsi="幼圆" w:eastAsia="幼圆" w:cs="幼圆"/>
        <w:b w:val="0"/>
        <w:kern w:val="2"/>
        <w:sz w:val="18"/>
        <w:szCs w:val="18"/>
        <w:lang w:val="en-US" w:eastAsia="zh-CN"/>
      </w:rPr>
      <w:t>2025-2026年度高新区（高照街道）人力资源市场运营服务项目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1BC1E">
    <w:pPr>
      <w:pStyle w:val="42"/>
      <w:pBdr>
        <w:bottom w:val="thickThinLargeGap" w:color="auto" w:sz="4" w:space="0"/>
      </w:pBdr>
      <w:tabs>
        <w:tab w:val="center" w:pos="4535"/>
        <w:tab w:val="right" w:pos="9070"/>
        <w:tab w:val="clear" w:pos="4153"/>
        <w:tab w:val="clear" w:pos="8306"/>
      </w:tabs>
      <w:jc w:val="both"/>
      <w:rPr>
        <w:rFonts w:hint="eastAsia" w:eastAsia="幼圆"/>
        <w:lang w:val="en-US" w:eastAsia="zh-CN"/>
      </w:rPr>
    </w:pPr>
    <w:r>
      <w:rPr>
        <w:rFonts w:hint="eastAsia" w:ascii="幼圆" w:hAnsi="幼圆" w:eastAsia="幼圆" w:cs="幼圆"/>
        <w:lang w:eastAsia="zh-CN"/>
      </w:rPr>
      <w:t>2025-2026年度高新区（高照街道）人力资源市场运营服务项目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B59EB">
    <w:pPr>
      <w:pStyle w:val="42"/>
      <w:pBdr>
        <w:bottom w:val="thickThinLargeGap" w:color="auto" w:sz="4" w:space="1"/>
      </w:pBdr>
      <w:jc w:val="both"/>
      <w:rPr>
        <w:rFonts w:hint="eastAsia" w:ascii="仿宋_GB2312" w:eastAsia="黑体"/>
        <w:b/>
        <w:i/>
        <w:u w:val="single"/>
        <w:lang w:eastAsia="zh-CN"/>
      </w:rPr>
    </w:pPr>
    <w:r>
      <w:rPr>
        <w:rFonts w:hint="eastAsia" w:ascii="幼圆" w:hAnsi="幼圆" w:eastAsia="幼圆" w:cs="幼圆"/>
        <w:lang w:eastAsia="zh-CN"/>
      </w:rPr>
      <w:t>2025-2026年度高新区（高照街道）人力资源市场运营服务项目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5EEA9">
    <w:pPr>
      <w:pStyle w:val="4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D4062">
    <w:pPr>
      <w:pStyle w:val="4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hideSpellingErrors/>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2NzMzYjdkMDc0MjVkNDkzYzJjNDkyMTkzODYzND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D29"/>
    <w:rsid w:val="0002207B"/>
    <w:rsid w:val="000232FD"/>
    <w:rsid w:val="00023323"/>
    <w:rsid w:val="000233E4"/>
    <w:rsid w:val="00023495"/>
    <w:rsid w:val="0002367D"/>
    <w:rsid w:val="00023777"/>
    <w:rsid w:val="00024130"/>
    <w:rsid w:val="00024584"/>
    <w:rsid w:val="00024962"/>
    <w:rsid w:val="000249AA"/>
    <w:rsid w:val="00024F94"/>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5AF"/>
    <w:rsid w:val="00034FA7"/>
    <w:rsid w:val="0003533D"/>
    <w:rsid w:val="000357E4"/>
    <w:rsid w:val="00035ACA"/>
    <w:rsid w:val="00040447"/>
    <w:rsid w:val="00040494"/>
    <w:rsid w:val="00040B70"/>
    <w:rsid w:val="00042441"/>
    <w:rsid w:val="00042533"/>
    <w:rsid w:val="00042DBB"/>
    <w:rsid w:val="00042E65"/>
    <w:rsid w:val="0004347C"/>
    <w:rsid w:val="00043907"/>
    <w:rsid w:val="00044C9E"/>
    <w:rsid w:val="00044F48"/>
    <w:rsid w:val="00045CE7"/>
    <w:rsid w:val="00047354"/>
    <w:rsid w:val="00050656"/>
    <w:rsid w:val="00050A19"/>
    <w:rsid w:val="000511B6"/>
    <w:rsid w:val="00051B00"/>
    <w:rsid w:val="00051C72"/>
    <w:rsid w:val="00052192"/>
    <w:rsid w:val="0005238F"/>
    <w:rsid w:val="00052787"/>
    <w:rsid w:val="00052BB8"/>
    <w:rsid w:val="00053732"/>
    <w:rsid w:val="00053806"/>
    <w:rsid w:val="0005417A"/>
    <w:rsid w:val="0005450A"/>
    <w:rsid w:val="00054D39"/>
    <w:rsid w:val="0005501B"/>
    <w:rsid w:val="000550F5"/>
    <w:rsid w:val="00055337"/>
    <w:rsid w:val="0005548F"/>
    <w:rsid w:val="000554C7"/>
    <w:rsid w:val="00056145"/>
    <w:rsid w:val="00056402"/>
    <w:rsid w:val="00056791"/>
    <w:rsid w:val="00056868"/>
    <w:rsid w:val="00056876"/>
    <w:rsid w:val="000568DF"/>
    <w:rsid w:val="00057087"/>
    <w:rsid w:val="000578A3"/>
    <w:rsid w:val="00057D4C"/>
    <w:rsid w:val="00060C48"/>
    <w:rsid w:val="00061A3C"/>
    <w:rsid w:val="00061C48"/>
    <w:rsid w:val="00064278"/>
    <w:rsid w:val="000646CA"/>
    <w:rsid w:val="000665C4"/>
    <w:rsid w:val="00067821"/>
    <w:rsid w:val="0006785E"/>
    <w:rsid w:val="00067DA9"/>
    <w:rsid w:val="00067F92"/>
    <w:rsid w:val="00067FA7"/>
    <w:rsid w:val="0007038E"/>
    <w:rsid w:val="00070701"/>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147"/>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1EF9"/>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3C2"/>
    <w:rsid w:val="000A1A52"/>
    <w:rsid w:val="000A1F98"/>
    <w:rsid w:val="000A3D58"/>
    <w:rsid w:val="000A3FE3"/>
    <w:rsid w:val="000A47B0"/>
    <w:rsid w:val="000A4851"/>
    <w:rsid w:val="000A49BB"/>
    <w:rsid w:val="000A4F22"/>
    <w:rsid w:val="000A5674"/>
    <w:rsid w:val="000A5A46"/>
    <w:rsid w:val="000A7299"/>
    <w:rsid w:val="000A752E"/>
    <w:rsid w:val="000B0624"/>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536"/>
    <w:rsid w:val="000D11E5"/>
    <w:rsid w:val="000D19E8"/>
    <w:rsid w:val="000D1FA1"/>
    <w:rsid w:val="000D2834"/>
    <w:rsid w:val="000D2CAC"/>
    <w:rsid w:val="000D34C8"/>
    <w:rsid w:val="000D34FD"/>
    <w:rsid w:val="000D39E2"/>
    <w:rsid w:val="000D3BE5"/>
    <w:rsid w:val="000D3C37"/>
    <w:rsid w:val="000D453A"/>
    <w:rsid w:val="000D4AFA"/>
    <w:rsid w:val="000D5EA6"/>
    <w:rsid w:val="000D5F00"/>
    <w:rsid w:val="000D6C9F"/>
    <w:rsid w:val="000D6E3B"/>
    <w:rsid w:val="000D6F30"/>
    <w:rsid w:val="000D74E4"/>
    <w:rsid w:val="000D7C9D"/>
    <w:rsid w:val="000D7CE0"/>
    <w:rsid w:val="000E07E7"/>
    <w:rsid w:val="000E19B2"/>
    <w:rsid w:val="000E2785"/>
    <w:rsid w:val="000E27BB"/>
    <w:rsid w:val="000E3153"/>
    <w:rsid w:val="000E3484"/>
    <w:rsid w:val="000E386F"/>
    <w:rsid w:val="000E4051"/>
    <w:rsid w:val="000E4139"/>
    <w:rsid w:val="000E4765"/>
    <w:rsid w:val="000E5B7E"/>
    <w:rsid w:val="000E5FF9"/>
    <w:rsid w:val="000E6AE1"/>
    <w:rsid w:val="000E6B69"/>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1C"/>
    <w:rsid w:val="000F4E67"/>
    <w:rsid w:val="000F505B"/>
    <w:rsid w:val="000F5677"/>
    <w:rsid w:val="000F5DDB"/>
    <w:rsid w:val="000F628E"/>
    <w:rsid w:val="000F68A0"/>
    <w:rsid w:val="000F6CC2"/>
    <w:rsid w:val="000F729C"/>
    <w:rsid w:val="000F7D4B"/>
    <w:rsid w:val="0010118C"/>
    <w:rsid w:val="001011C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BAD"/>
    <w:rsid w:val="00106E0E"/>
    <w:rsid w:val="001078A5"/>
    <w:rsid w:val="00107BBD"/>
    <w:rsid w:val="00107BC7"/>
    <w:rsid w:val="00110033"/>
    <w:rsid w:val="001102B5"/>
    <w:rsid w:val="0011052A"/>
    <w:rsid w:val="00110B86"/>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248"/>
    <w:rsid w:val="0012153F"/>
    <w:rsid w:val="0012159D"/>
    <w:rsid w:val="00121804"/>
    <w:rsid w:val="00121EC9"/>
    <w:rsid w:val="001224FE"/>
    <w:rsid w:val="001228EA"/>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716"/>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18D"/>
    <w:rsid w:val="00141D28"/>
    <w:rsid w:val="00141DFE"/>
    <w:rsid w:val="00142185"/>
    <w:rsid w:val="001422E2"/>
    <w:rsid w:val="00142E0A"/>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57DC8"/>
    <w:rsid w:val="00161185"/>
    <w:rsid w:val="001620BA"/>
    <w:rsid w:val="001623AC"/>
    <w:rsid w:val="00162956"/>
    <w:rsid w:val="00162BAA"/>
    <w:rsid w:val="00162DD5"/>
    <w:rsid w:val="00163C40"/>
    <w:rsid w:val="0016488B"/>
    <w:rsid w:val="00165758"/>
    <w:rsid w:val="00165A65"/>
    <w:rsid w:val="00166317"/>
    <w:rsid w:val="00166CC2"/>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D00"/>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AE5"/>
    <w:rsid w:val="001A473A"/>
    <w:rsid w:val="001A4ED9"/>
    <w:rsid w:val="001A5785"/>
    <w:rsid w:val="001A5FD7"/>
    <w:rsid w:val="001A66A6"/>
    <w:rsid w:val="001A6BAF"/>
    <w:rsid w:val="001A6BBB"/>
    <w:rsid w:val="001A79A2"/>
    <w:rsid w:val="001B06A6"/>
    <w:rsid w:val="001B13BF"/>
    <w:rsid w:val="001B16F5"/>
    <w:rsid w:val="001B1945"/>
    <w:rsid w:val="001B1C1F"/>
    <w:rsid w:val="001B219B"/>
    <w:rsid w:val="001B2703"/>
    <w:rsid w:val="001B285A"/>
    <w:rsid w:val="001B3DCD"/>
    <w:rsid w:val="001B45B9"/>
    <w:rsid w:val="001B46B2"/>
    <w:rsid w:val="001B4725"/>
    <w:rsid w:val="001B48B2"/>
    <w:rsid w:val="001B49DA"/>
    <w:rsid w:val="001B4CA8"/>
    <w:rsid w:val="001B56F2"/>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26B"/>
    <w:rsid w:val="001C3E45"/>
    <w:rsid w:val="001C6047"/>
    <w:rsid w:val="001C6698"/>
    <w:rsid w:val="001C6C5B"/>
    <w:rsid w:val="001C7399"/>
    <w:rsid w:val="001C7CE0"/>
    <w:rsid w:val="001D005B"/>
    <w:rsid w:val="001D0947"/>
    <w:rsid w:val="001D11A3"/>
    <w:rsid w:val="001D16F5"/>
    <w:rsid w:val="001D1970"/>
    <w:rsid w:val="001D1D55"/>
    <w:rsid w:val="001D21EF"/>
    <w:rsid w:val="001D29A4"/>
    <w:rsid w:val="001D2B73"/>
    <w:rsid w:val="001D3136"/>
    <w:rsid w:val="001D330D"/>
    <w:rsid w:val="001D3F15"/>
    <w:rsid w:val="001D4AB6"/>
    <w:rsid w:val="001D4AD3"/>
    <w:rsid w:val="001D517B"/>
    <w:rsid w:val="001D5281"/>
    <w:rsid w:val="001D6448"/>
    <w:rsid w:val="001E0B24"/>
    <w:rsid w:val="001E17E3"/>
    <w:rsid w:val="001E2052"/>
    <w:rsid w:val="001E22D8"/>
    <w:rsid w:val="001E22DE"/>
    <w:rsid w:val="001E2492"/>
    <w:rsid w:val="001E257C"/>
    <w:rsid w:val="001E286C"/>
    <w:rsid w:val="001E2E42"/>
    <w:rsid w:val="001E2F23"/>
    <w:rsid w:val="001E2F34"/>
    <w:rsid w:val="001E35EE"/>
    <w:rsid w:val="001E36B9"/>
    <w:rsid w:val="001E4B2C"/>
    <w:rsid w:val="001E507F"/>
    <w:rsid w:val="001E532A"/>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F00"/>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22A"/>
    <w:rsid w:val="0021636B"/>
    <w:rsid w:val="00216387"/>
    <w:rsid w:val="00216E7B"/>
    <w:rsid w:val="00216FEA"/>
    <w:rsid w:val="00217E1F"/>
    <w:rsid w:val="002204BC"/>
    <w:rsid w:val="00220966"/>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42B"/>
    <w:rsid w:val="00231B0B"/>
    <w:rsid w:val="00232171"/>
    <w:rsid w:val="00232555"/>
    <w:rsid w:val="00233538"/>
    <w:rsid w:val="00234248"/>
    <w:rsid w:val="0023449F"/>
    <w:rsid w:val="002344F5"/>
    <w:rsid w:val="0023454D"/>
    <w:rsid w:val="00234679"/>
    <w:rsid w:val="002356F8"/>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D0F"/>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1CAD"/>
    <w:rsid w:val="0028316D"/>
    <w:rsid w:val="00283296"/>
    <w:rsid w:val="0028583E"/>
    <w:rsid w:val="00285853"/>
    <w:rsid w:val="00285B1A"/>
    <w:rsid w:val="00285FF3"/>
    <w:rsid w:val="002866EC"/>
    <w:rsid w:val="0028744E"/>
    <w:rsid w:val="002876D2"/>
    <w:rsid w:val="00287936"/>
    <w:rsid w:val="00287BB7"/>
    <w:rsid w:val="002903C5"/>
    <w:rsid w:val="0029041B"/>
    <w:rsid w:val="00290638"/>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B76"/>
    <w:rsid w:val="002A4060"/>
    <w:rsid w:val="002A4868"/>
    <w:rsid w:val="002A4A05"/>
    <w:rsid w:val="002A4EB3"/>
    <w:rsid w:val="002A51D9"/>
    <w:rsid w:val="002A525A"/>
    <w:rsid w:val="002A5968"/>
    <w:rsid w:val="002A5CAB"/>
    <w:rsid w:val="002A5D40"/>
    <w:rsid w:val="002A5FCF"/>
    <w:rsid w:val="002A622E"/>
    <w:rsid w:val="002A6424"/>
    <w:rsid w:val="002A64E7"/>
    <w:rsid w:val="002A65FF"/>
    <w:rsid w:val="002A7748"/>
    <w:rsid w:val="002A7ED3"/>
    <w:rsid w:val="002A7FB1"/>
    <w:rsid w:val="002A7FC9"/>
    <w:rsid w:val="002B139C"/>
    <w:rsid w:val="002B1881"/>
    <w:rsid w:val="002B1F61"/>
    <w:rsid w:val="002B2070"/>
    <w:rsid w:val="002B2906"/>
    <w:rsid w:val="002B2C66"/>
    <w:rsid w:val="002B34E3"/>
    <w:rsid w:val="002B4550"/>
    <w:rsid w:val="002B51B6"/>
    <w:rsid w:val="002B5AEE"/>
    <w:rsid w:val="002B6177"/>
    <w:rsid w:val="002B650C"/>
    <w:rsid w:val="002B68E6"/>
    <w:rsid w:val="002B6985"/>
    <w:rsid w:val="002B6D7A"/>
    <w:rsid w:val="002B73A8"/>
    <w:rsid w:val="002C02BA"/>
    <w:rsid w:val="002C0301"/>
    <w:rsid w:val="002C0326"/>
    <w:rsid w:val="002C0392"/>
    <w:rsid w:val="002C0A9F"/>
    <w:rsid w:val="002C1AB3"/>
    <w:rsid w:val="002C1BB7"/>
    <w:rsid w:val="002C1FB3"/>
    <w:rsid w:val="002C2665"/>
    <w:rsid w:val="002C28E1"/>
    <w:rsid w:val="002C2EEB"/>
    <w:rsid w:val="002C327D"/>
    <w:rsid w:val="002C3890"/>
    <w:rsid w:val="002C3AD9"/>
    <w:rsid w:val="002C4286"/>
    <w:rsid w:val="002C43FC"/>
    <w:rsid w:val="002C453F"/>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3DA8"/>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EA8"/>
    <w:rsid w:val="002E201C"/>
    <w:rsid w:val="002E22CA"/>
    <w:rsid w:val="002E236F"/>
    <w:rsid w:val="002E306C"/>
    <w:rsid w:val="002E37C5"/>
    <w:rsid w:val="002E3956"/>
    <w:rsid w:val="002E3C08"/>
    <w:rsid w:val="002E3CF2"/>
    <w:rsid w:val="002E469E"/>
    <w:rsid w:val="002E4C01"/>
    <w:rsid w:val="002E4D50"/>
    <w:rsid w:val="002E55FF"/>
    <w:rsid w:val="002E587E"/>
    <w:rsid w:val="002E672A"/>
    <w:rsid w:val="002E6853"/>
    <w:rsid w:val="002E763C"/>
    <w:rsid w:val="002E7EC1"/>
    <w:rsid w:val="002E7EE5"/>
    <w:rsid w:val="002F0323"/>
    <w:rsid w:val="002F0DFB"/>
    <w:rsid w:val="002F134F"/>
    <w:rsid w:val="002F1D0B"/>
    <w:rsid w:val="002F1E1D"/>
    <w:rsid w:val="002F1F02"/>
    <w:rsid w:val="002F2736"/>
    <w:rsid w:val="002F27E5"/>
    <w:rsid w:val="002F2D81"/>
    <w:rsid w:val="002F2F66"/>
    <w:rsid w:val="002F39D4"/>
    <w:rsid w:val="002F4567"/>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8B3"/>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3F01"/>
    <w:rsid w:val="0031430C"/>
    <w:rsid w:val="00314919"/>
    <w:rsid w:val="00314C43"/>
    <w:rsid w:val="00314C5A"/>
    <w:rsid w:val="0031531A"/>
    <w:rsid w:val="00315394"/>
    <w:rsid w:val="00315D77"/>
    <w:rsid w:val="00315D8E"/>
    <w:rsid w:val="00316002"/>
    <w:rsid w:val="00316CDE"/>
    <w:rsid w:val="00316F93"/>
    <w:rsid w:val="0031752D"/>
    <w:rsid w:val="00317709"/>
    <w:rsid w:val="00320688"/>
    <w:rsid w:val="00320B75"/>
    <w:rsid w:val="00320D8E"/>
    <w:rsid w:val="0032190A"/>
    <w:rsid w:val="00321DB7"/>
    <w:rsid w:val="00321E7A"/>
    <w:rsid w:val="0032213A"/>
    <w:rsid w:val="0032226D"/>
    <w:rsid w:val="003235E6"/>
    <w:rsid w:val="003237BC"/>
    <w:rsid w:val="00324038"/>
    <w:rsid w:val="00324699"/>
    <w:rsid w:val="00324951"/>
    <w:rsid w:val="003249F6"/>
    <w:rsid w:val="00324B2F"/>
    <w:rsid w:val="00325FCC"/>
    <w:rsid w:val="00326106"/>
    <w:rsid w:val="00326805"/>
    <w:rsid w:val="003269B7"/>
    <w:rsid w:val="00326C0E"/>
    <w:rsid w:val="003272A3"/>
    <w:rsid w:val="003272E4"/>
    <w:rsid w:val="0032754D"/>
    <w:rsid w:val="00327B71"/>
    <w:rsid w:val="00330914"/>
    <w:rsid w:val="0033108B"/>
    <w:rsid w:val="00331461"/>
    <w:rsid w:val="003316A8"/>
    <w:rsid w:val="00331C80"/>
    <w:rsid w:val="00331CC9"/>
    <w:rsid w:val="003320D7"/>
    <w:rsid w:val="00332265"/>
    <w:rsid w:val="00332862"/>
    <w:rsid w:val="00332D52"/>
    <w:rsid w:val="00333337"/>
    <w:rsid w:val="00333A28"/>
    <w:rsid w:val="00333B6C"/>
    <w:rsid w:val="00334565"/>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12"/>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A7D"/>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095"/>
    <w:rsid w:val="003703BB"/>
    <w:rsid w:val="003705EA"/>
    <w:rsid w:val="00370A56"/>
    <w:rsid w:val="00371213"/>
    <w:rsid w:val="00372842"/>
    <w:rsid w:val="003729A5"/>
    <w:rsid w:val="00372C89"/>
    <w:rsid w:val="00372E9A"/>
    <w:rsid w:val="003735B9"/>
    <w:rsid w:val="00373634"/>
    <w:rsid w:val="00373AB1"/>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74C"/>
    <w:rsid w:val="00385B16"/>
    <w:rsid w:val="00385B96"/>
    <w:rsid w:val="0038637D"/>
    <w:rsid w:val="003868F6"/>
    <w:rsid w:val="003869DC"/>
    <w:rsid w:val="00386C07"/>
    <w:rsid w:val="00386F58"/>
    <w:rsid w:val="0038700D"/>
    <w:rsid w:val="003879CE"/>
    <w:rsid w:val="00387B88"/>
    <w:rsid w:val="00387D37"/>
    <w:rsid w:val="00390B8F"/>
    <w:rsid w:val="00390C0D"/>
    <w:rsid w:val="0039130A"/>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76B"/>
    <w:rsid w:val="003A7E2B"/>
    <w:rsid w:val="003A7E40"/>
    <w:rsid w:val="003A7F19"/>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4E1C"/>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0A7"/>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5FC5"/>
    <w:rsid w:val="00406745"/>
    <w:rsid w:val="0040674B"/>
    <w:rsid w:val="00406B32"/>
    <w:rsid w:val="004074FA"/>
    <w:rsid w:val="00407A56"/>
    <w:rsid w:val="00407FCC"/>
    <w:rsid w:val="0041035A"/>
    <w:rsid w:val="004103C1"/>
    <w:rsid w:val="00410DEF"/>
    <w:rsid w:val="00410E76"/>
    <w:rsid w:val="004112D1"/>
    <w:rsid w:val="00411320"/>
    <w:rsid w:val="004113C9"/>
    <w:rsid w:val="00411D1E"/>
    <w:rsid w:val="00411DF2"/>
    <w:rsid w:val="004120DF"/>
    <w:rsid w:val="00412635"/>
    <w:rsid w:val="004126B5"/>
    <w:rsid w:val="00413865"/>
    <w:rsid w:val="00414909"/>
    <w:rsid w:val="00415034"/>
    <w:rsid w:val="00415B1A"/>
    <w:rsid w:val="00415B1B"/>
    <w:rsid w:val="00415DFD"/>
    <w:rsid w:val="00416208"/>
    <w:rsid w:val="0041690F"/>
    <w:rsid w:val="004169D3"/>
    <w:rsid w:val="00416C2B"/>
    <w:rsid w:val="00416D41"/>
    <w:rsid w:val="00416E47"/>
    <w:rsid w:val="00416E70"/>
    <w:rsid w:val="00417264"/>
    <w:rsid w:val="00420D46"/>
    <w:rsid w:val="004210C0"/>
    <w:rsid w:val="004211DD"/>
    <w:rsid w:val="00421762"/>
    <w:rsid w:val="00421D4B"/>
    <w:rsid w:val="00421E50"/>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B7D"/>
    <w:rsid w:val="00431A2A"/>
    <w:rsid w:val="00432ECA"/>
    <w:rsid w:val="0043554E"/>
    <w:rsid w:val="004355D4"/>
    <w:rsid w:val="004357B1"/>
    <w:rsid w:val="00435821"/>
    <w:rsid w:val="0043583E"/>
    <w:rsid w:val="00436CCE"/>
    <w:rsid w:val="00436EAD"/>
    <w:rsid w:val="004375E1"/>
    <w:rsid w:val="00437A2F"/>
    <w:rsid w:val="00437BF8"/>
    <w:rsid w:val="00440262"/>
    <w:rsid w:val="004406BF"/>
    <w:rsid w:val="00440814"/>
    <w:rsid w:val="0044105D"/>
    <w:rsid w:val="00441424"/>
    <w:rsid w:val="00442421"/>
    <w:rsid w:val="00442731"/>
    <w:rsid w:val="00442C12"/>
    <w:rsid w:val="004434DF"/>
    <w:rsid w:val="0044354B"/>
    <w:rsid w:val="0044493E"/>
    <w:rsid w:val="00444A1F"/>
    <w:rsid w:val="00444FC6"/>
    <w:rsid w:val="00445874"/>
    <w:rsid w:val="00445C38"/>
    <w:rsid w:val="0044686B"/>
    <w:rsid w:val="004475F7"/>
    <w:rsid w:val="00447AE4"/>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154"/>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29C"/>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62C"/>
    <w:rsid w:val="00476AC1"/>
    <w:rsid w:val="00476F97"/>
    <w:rsid w:val="00477247"/>
    <w:rsid w:val="004776BB"/>
    <w:rsid w:val="004776FB"/>
    <w:rsid w:val="0048055E"/>
    <w:rsid w:val="00480C2B"/>
    <w:rsid w:val="00480DC5"/>
    <w:rsid w:val="00480FD9"/>
    <w:rsid w:val="0048131D"/>
    <w:rsid w:val="0048147B"/>
    <w:rsid w:val="00481D0B"/>
    <w:rsid w:val="004824A9"/>
    <w:rsid w:val="00483091"/>
    <w:rsid w:val="00483140"/>
    <w:rsid w:val="00483984"/>
    <w:rsid w:val="00483BC7"/>
    <w:rsid w:val="00483CF0"/>
    <w:rsid w:val="00484D4D"/>
    <w:rsid w:val="00486516"/>
    <w:rsid w:val="0048664F"/>
    <w:rsid w:val="004868AD"/>
    <w:rsid w:val="0048695F"/>
    <w:rsid w:val="00486D00"/>
    <w:rsid w:val="00487FE1"/>
    <w:rsid w:val="00490707"/>
    <w:rsid w:val="00490815"/>
    <w:rsid w:val="00490F38"/>
    <w:rsid w:val="0049117E"/>
    <w:rsid w:val="00492503"/>
    <w:rsid w:val="00492572"/>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099"/>
    <w:rsid w:val="004B23DA"/>
    <w:rsid w:val="004B2463"/>
    <w:rsid w:val="004B2B0A"/>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D39"/>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0DA"/>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EB"/>
    <w:rsid w:val="004E777F"/>
    <w:rsid w:val="004F07F2"/>
    <w:rsid w:val="004F07F9"/>
    <w:rsid w:val="004F0A50"/>
    <w:rsid w:val="004F0D1F"/>
    <w:rsid w:val="004F0E82"/>
    <w:rsid w:val="004F1120"/>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F1F"/>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416"/>
    <w:rsid w:val="005256D6"/>
    <w:rsid w:val="00525AD8"/>
    <w:rsid w:val="00525DD8"/>
    <w:rsid w:val="00526429"/>
    <w:rsid w:val="005266C1"/>
    <w:rsid w:val="005267F4"/>
    <w:rsid w:val="005269D3"/>
    <w:rsid w:val="00527317"/>
    <w:rsid w:val="00527ED6"/>
    <w:rsid w:val="0053024F"/>
    <w:rsid w:val="0053058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1F0F"/>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3FF"/>
    <w:rsid w:val="00547BA2"/>
    <w:rsid w:val="00550AC5"/>
    <w:rsid w:val="00550B7E"/>
    <w:rsid w:val="00551052"/>
    <w:rsid w:val="005524ED"/>
    <w:rsid w:val="0055396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C39"/>
    <w:rsid w:val="00561E54"/>
    <w:rsid w:val="00561F73"/>
    <w:rsid w:val="005621F7"/>
    <w:rsid w:val="0056278F"/>
    <w:rsid w:val="00562FB1"/>
    <w:rsid w:val="00563068"/>
    <w:rsid w:val="0056376A"/>
    <w:rsid w:val="00563B3C"/>
    <w:rsid w:val="0056419C"/>
    <w:rsid w:val="00564DA7"/>
    <w:rsid w:val="00565204"/>
    <w:rsid w:val="00565473"/>
    <w:rsid w:val="00565A69"/>
    <w:rsid w:val="00565DAC"/>
    <w:rsid w:val="00565F0D"/>
    <w:rsid w:val="005662DC"/>
    <w:rsid w:val="00566329"/>
    <w:rsid w:val="005668B9"/>
    <w:rsid w:val="00566E39"/>
    <w:rsid w:val="0056704E"/>
    <w:rsid w:val="00567623"/>
    <w:rsid w:val="005701C2"/>
    <w:rsid w:val="00570763"/>
    <w:rsid w:val="005716E0"/>
    <w:rsid w:val="0057200B"/>
    <w:rsid w:val="00572297"/>
    <w:rsid w:val="0057344A"/>
    <w:rsid w:val="0057345D"/>
    <w:rsid w:val="0057347D"/>
    <w:rsid w:val="00573560"/>
    <w:rsid w:val="00574549"/>
    <w:rsid w:val="00574B3F"/>
    <w:rsid w:val="00574E7B"/>
    <w:rsid w:val="00574F36"/>
    <w:rsid w:val="00575211"/>
    <w:rsid w:val="00576B5C"/>
    <w:rsid w:val="005770CC"/>
    <w:rsid w:val="005802F9"/>
    <w:rsid w:val="005806D5"/>
    <w:rsid w:val="00580DFC"/>
    <w:rsid w:val="00581113"/>
    <w:rsid w:val="0058134C"/>
    <w:rsid w:val="005815CD"/>
    <w:rsid w:val="005827A7"/>
    <w:rsid w:val="00583D43"/>
    <w:rsid w:val="005846C3"/>
    <w:rsid w:val="00584F04"/>
    <w:rsid w:val="0058544C"/>
    <w:rsid w:val="00585623"/>
    <w:rsid w:val="005857F7"/>
    <w:rsid w:val="00585A29"/>
    <w:rsid w:val="005865E9"/>
    <w:rsid w:val="005868FD"/>
    <w:rsid w:val="00587D7B"/>
    <w:rsid w:val="005904DB"/>
    <w:rsid w:val="005905ED"/>
    <w:rsid w:val="00590995"/>
    <w:rsid w:val="00590D11"/>
    <w:rsid w:val="00591883"/>
    <w:rsid w:val="00591BA6"/>
    <w:rsid w:val="00592825"/>
    <w:rsid w:val="0059376C"/>
    <w:rsid w:val="00594437"/>
    <w:rsid w:val="00594B70"/>
    <w:rsid w:val="00595290"/>
    <w:rsid w:val="00595CD5"/>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6F8"/>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028"/>
    <w:rsid w:val="005B58F7"/>
    <w:rsid w:val="005B5981"/>
    <w:rsid w:val="005B5994"/>
    <w:rsid w:val="005B6474"/>
    <w:rsid w:val="005B666D"/>
    <w:rsid w:val="005B667A"/>
    <w:rsid w:val="005B6865"/>
    <w:rsid w:val="005B7355"/>
    <w:rsid w:val="005C039B"/>
    <w:rsid w:val="005C059F"/>
    <w:rsid w:val="005C07CE"/>
    <w:rsid w:val="005C0B8F"/>
    <w:rsid w:val="005C1076"/>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BA0"/>
    <w:rsid w:val="005D01C3"/>
    <w:rsid w:val="005D05FF"/>
    <w:rsid w:val="005D0FB4"/>
    <w:rsid w:val="005D1176"/>
    <w:rsid w:val="005D1747"/>
    <w:rsid w:val="005D266D"/>
    <w:rsid w:val="005D306D"/>
    <w:rsid w:val="005D3327"/>
    <w:rsid w:val="005D3CBE"/>
    <w:rsid w:val="005D4854"/>
    <w:rsid w:val="005D5BCF"/>
    <w:rsid w:val="005D65BF"/>
    <w:rsid w:val="005D6CB0"/>
    <w:rsid w:val="005D6D84"/>
    <w:rsid w:val="005D70A1"/>
    <w:rsid w:val="005D7947"/>
    <w:rsid w:val="005D79F2"/>
    <w:rsid w:val="005D7CB1"/>
    <w:rsid w:val="005D7F57"/>
    <w:rsid w:val="005E0067"/>
    <w:rsid w:val="005E0141"/>
    <w:rsid w:val="005E09CA"/>
    <w:rsid w:val="005E1AB4"/>
    <w:rsid w:val="005E255B"/>
    <w:rsid w:val="005E2CF7"/>
    <w:rsid w:val="005E39D7"/>
    <w:rsid w:val="005E4543"/>
    <w:rsid w:val="005E4A1C"/>
    <w:rsid w:val="005E56C9"/>
    <w:rsid w:val="005E5CF7"/>
    <w:rsid w:val="005E5FF0"/>
    <w:rsid w:val="005E642A"/>
    <w:rsid w:val="005E65A7"/>
    <w:rsid w:val="005E6F0F"/>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0CC"/>
    <w:rsid w:val="00603373"/>
    <w:rsid w:val="006036D0"/>
    <w:rsid w:val="00603B1C"/>
    <w:rsid w:val="006042CD"/>
    <w:rsid w:val="00604BBE"/>
    <w:rsid w:val="00605217"/>
    <w:rsid w:val="006054A5"/>
    <w:rsid w:val="006059E4"/>
    <w:rsid w:val="00605D60"/>
    <w:rsid w:val="006062A0"/>
    <w:rsid w:val="00607015"/>
    <w:rsid w:val="0061098D"/>
    <w:rsid w:val="00610B78"/>
    <w:rsid w:val="00611290"/>
    <w:rsid w:val="0061146B"/>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26D"/>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2D4"/>
    <w:rsid w:val="00642C69"/>
    <w:rsid w:val="0064330A"/>
    <w:rsid w:val="00643E90"/>
    <w:rsid w:val="00643F89"/>
    <w:rsid w:val="00644334"/>
    <w:rsid w:val="0064487C"/>
    <w:rsid w:val="00644BED"/>
    <w:rsid w:val="00644E2E"/>
    <w:rsid w:val="006456C7"/>
    <w:rsid w:val="00645A3A"/>
    <w:rsid w:val="00645B87"/>
    <w:rsid w:val="00645CB4"/>
    <w:rsid w:val="00646084"/>
    <w:rsid w:val="006468ED"/>
    <w:rsid w:val="00647664"/>
    <w:rsid w:val="0064780A"/>
    <w:rsid w:val="00650D19"/>
    <w:rsid w:val="00652CF5"/>
    <w:rsid w:val="00653309"/>
    <w:rsid w:val="0065343E"/>
    <w:rsid w:val="006536BB"/>
    <w:rsid w:val="0065398F"/>
    <w:rsid w:val="00653C7C"/>
    <w:rsid w:val="00654252"/>
    <w:rsid w:val="006543B7"/>
    <w:rsid w:val="00654EA5"/>
    <w:rsid w:val="0065587E"/>
    <w:rsid w:val="006558CD"/>
    <w:rsid w:val="00655C26"/>
    <w:rsid w:val="0065637A"/>
    <w:rsid w:val="00656998"/>
    <w:rsid w:val="00656E4D"/>
    <w:rsid w:val="00657078"/>
    <w:rsid w:val="006576BA"/>
    <w:rsid w:val="006600BF"/>
    <w:rsid w:val="0066080F"/>
    <w:rsid w:val="00660AF7"/>
    <w:rsid w:val="00660D3E"/>
    <w:rsid w:val="00661691"/>
    <w:rsid w:val="00661DD9"/>
    <w:rsid w:val="00662D3D"/>
    <w:rsid w:val="00662F1F"/>
    <w:rsid w:val="00663D15"/>
    <w:rsid w:val="0066466C"/>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A2E"/>
    <w:rsid w:val="00686E80"/>
    <w:rsid w:val="0068790B"/>
    <w:rsid w:val="00687AF2"/>
    <w:rsid w:val="00687C55"/>
    <w:rsid w:val="006901AC"/>
    <w:rsid w:val="00690C8D"/>
    <w:rsid w:val="00691890"/>
    <w:rsid w:val="00691AAD"/>
    <w:rsid w:val="00692416"/>
    <w:rsid w:val="00692AFF"/>
    <w:rsid w:val="00692D2D"/>
    <w:rsid w:val="00693B73"/>
    <w:rsid w:val="006945A1"/>
    <w:rsid w:val="00694A53"/>
    <w:rsid w:val="00694D60"/>
    <w:rsid w:val="006951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92"/>
    <w:rsid w:val="006A0DC7"/>
    <w:rsid w:val="006A150D"/>
    <w:rsid w:val="006A1B00"/>
    <w:rsid w:val="006A2766"/>
    <w:rsid w:val="006A39D0"/>
    <w:rsid w:val="006A3E91"/>
    <w:rsid w:val="006A4321"/>
    <w:rsid w:val="006A4E20"/>
    <w:rsid w:val="006A4F11"/>
    <w:rsid w:val="006A563C"/>
    <w:rsid w:val="006A5797"/>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3E14"/>
    <w:rsid w:val="006B4CF8"/>
    <w:rsid w:val="006B506B"/>
    <w:rsid w:val="006B54E8"/>
    <w:rsid w:val="006B5FBC"/>
    <w:rsid w:val="006B6ED2"/>
    <w:rsid w:val="006B7F74"/>
    <w:rsid w:val="006C0230"/>
    <w:rsid w:val="006C05C7"/>
    <w:rsid w:val="006C0E4A"/>
    <w:rsid w:val="006C25AB"/>
    <w:rsid w:val="006C2DA6"/>
    <w:rsid w:val="006C3581"/>
    <w:rsid w:val="006C39A0"/>
    <w:rsid w:val="006C3D56"/>
    <w:rsid w:val="006C3EFE"/>
    <w:rsid w:val="006C46C7"/>
    <w:rsid w:val="006C4767"/>
    <w:rsid w:val="006C4A1A"/>
    <w:rsid w:val="006C4D02"/>
    <w:rsid w:val="006C53A4"/>
    <w:rsid w:val="006C54DF"/>
    <w:rsid w:val="006C5D5D"/>
    <w:rsid w:val="006C6171"/>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490"/>
    <w:rsid w:val="006E4667"/>
    <w:rsid w:val="006E46B7"/>
    <w:rsid w:val="006E475A"/>
    <w:rsid w:val="006E486D"/>
    <w:rsid w:val="006E4880"/>
    <w:rsid w:val="006E48BB"/>
    <w:rsid w:val="006E63E4"/>
    <w:rsid w:val="006E6E71"/>
    <w:rsid w:val="006E727B"/>
    <w:rsid w:val="006E76C8"/>
    <w:rsid w:val="006E7A92"/>
    <w:rsid w:val="006F01FF"/>
    <w:rsid w:val="006F0CB2"/>
    <w:rsid w:val="006F14EF"/>
    <w:rsid w:val="006F1DE9"/>
    <w:rsid w:val="006F2046"/>
    <w:rsid w:val="006F2C79"/>
    <w:rsid w:val="006F2F59"/>
    <w:rsid w:val="006F311E"/>
    <w:rsid w:val="006F3442"/>
    <w:rsid w:val="006F36A5"/>
    <w:rsid w:val="006F41F4"/>
    <w:rsid w:val="006F4576"/>
    <w:rsid w:val="006F5813"/>
    <w:rsid w:val="006F5873"/>
    <w:rsid w:val="006F59A8"/>
    <w:rsid w:val="006F5A1D"/>
    <w:rsid w:val="006F71A6"/>
    <w:rsid w:val="006F7974"/>
    <w:rsid w:val="006F7C2C"/>
    <w:rsid w:val="006F7FD5"/>
    <w:rsid w:val="0070018F"/>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A8A"/>
    <w:rsid w:val="00712BDD"/>
    <w:rsid w:val="00712E1E"/>
    <w:rsid w:val="00712F37"/>
    <w:rsid w:val="00713517"/>
    <w:rsid w:val="00713A6B"/>
    <w:rsid w:val="00713CB5"/>
    <w:rsid w:val="0071499C"/>
    <w:rsid w:val="00714F9D"/>
    <w:rsid w:val="007151FE"/>
    <w:rsid w:val="007154D8"/>
    <w:rsid w:val="00715577"/>
    <w:rsid w:val="0071604D"/>
    <w:rsid w:val="00716C67"/>
    <w:rsid w:val="007170AB"/>
    <w:rsid w:val="0071779C"/>
    <w:rsid w:val="00717808"/>
    <w:rsid w:val="007205DA"/>
    <w:rsid w:val="007208A7"/>
    <w:rsid w:val="00720ADF"/>
    <w:rsid w:val="00720B6A"/>
    <w:rsid w:val="007210F6"/>
    <w:rsid w:val="0072129A"/>
    <w:rsid w:val="0072139F"/>
    <w:rsid w:val="0072198A"/>
    <w:rsid w:val="00721AD9"/>
    <w:rsid w:val="00721FC3"/>
    <w:rsid w:val="00722072"/>
    <w:rsid w:val="00722A86"/>
    <w:rsid w:val="00722BC6"/>
    <w:rsid w:val="00722C69"/>
    <w:rsid w:val="0072311F"/>
    <w:rsid w:val="0072388C"/>
    <w:rsid w:val="0072454E"/>
    <w:rsid w:val="007249D1"/>
    <w:rsid w:val="00724FE4"/>
    <w:rsid w:val="00725829"/>
    <w:rsid w:val="00725D6A"/>
    <w:rsid w:val="007263A2"/>
    <w:rsid w:val="00726648"/>
    <w:rsid w:val="007266B9"/>
    <w:rsid w:val="00727351"/>
    <w:rsid w:val="00727AC5"/>
    <w:rsid w:val="00727C38"/>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136"/>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BC9"/>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C79"/>
    <w:rsid w:val="007660EC"/>
    <w:rsid w:val="007662C7"/>
    <w:rsid w:val="00766862"/>
    <w:rsid w:val="007675DD"/>
    <w:rsid w:val="007702BF"/>
    <w:rsid w:val="007705F0"/>
    <w:rsid w:val="00771C97"/>
    <w:rsid w:val="00771CAC"/>
    <w:rsid w:val="00772036"/>
    <w:rsid w:val="00773098"/>
    <w:rsid w:val="00773610"/>
    <w:rsid w:val="007739A3"/>
    <w:rsid w:val="00773BD9"/>
    <w:rsid w:val="00773CB0"/>
    <w:rsid w:val="00773D71"/>
    <w:rsid w:val="00775526"/>
    <w:rsid w:val="00775651"/>
    <w:rsid w:val="00775CBD"/>
    <w:rsid w:val="00775F3F"/>
    <w:rsid w:val="0077710B"/>
    <w:rsid w:val="00777198"/>
    <w:rsid w:val="0077765A"/>
    <w:rsid w:val="00780032"/>
    <w:rsid w:val="00780636"/>
    <w:rsid w:val="00780E86"/>
    <w:rsid w:val="0078108C"/>
    <w:rsid w:val="00781727"/>
    <w:rsid w:val="007823E8"/>
    <w:rsid w:val="00782CF3"/>
    <w:rsid w:val="00783959"/>
    <w:rsid w:val="00783BA5"/>
    <w:rsid w:val="007844A9"/>
    <w:rsid w:val="00784F28"/>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C2E"/>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B57"/>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3E"/>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E3D"/>
    <w:rsid w:val="007C60A8"/>
    <w:rsid w:val="007C660F"/>
    <w:rsid w:val="007C6664"/>
    <w:rsid w:val="007C66FF"/>
    <w:rsid w:val="007C69AE"/>
    <w:rsid w:val="007C6FE9"/>
    <w:rsid w:val="007C7688"/>
    <w:rsid w:val="007C76E3"/>
    <w:rsid w:val="007C76F3"/>
    <w:rsid w:val="007C7DD9"/>
    <w:rsid w:val="007D03BC"/>
    <w:rsid w:val="007D0DC9"/>
    <w:rsid w:val="007D0ECD"/>
    <w:rsid w:val="007D18D7"/>
    <w:rsid w:val="007D1CBC"/>
    <w:rsid w:val="007D2882"/>
    <w:rsid w:val="007D296C"/>
    <w:rsid w:val="007D2C31"/>
    <w:rsid w:val="007D2E50"/>
    <w:rsid w:val="007D3D74"/>
    <w:rsid w:val="007D445F"/>
    <w:rsid w:val="007D4DED"/>
    <w:rsid w:val="007D4EBC"/>
    <w:rsid w:val="007D57C3"/>
    <w:rsid w:val="007D5BA2"/>
    <w:rsid w:val="007D5ED3"/>
    <w:rsid w:val="007D682F"/>
    <w:rsid w:val="007D6FB9"/>
    <w:rsid w:val="007D7211"/>
    <w:rsid w:val="007E0395"/>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24C"/>
    <w:rsid w:val="007F4318"/>
    <w:rsid w:val="007F4709"/>
    <w:rsid w:val="007F47DA"/>
    <w:rsid w:val="007F4E52"/>
    <w:rsid w:val="007F4F84"/>
    <w:rsid w:val="007F5382"/>
    <w:rsid w:val="007F55A4"/>
    <w:rsid w:val="007F5D28"/>
    <w:rsid w:val="007F6260"/>
    <w:rsid w:val="007F682B"/>
    <w:rsid w:val="007F78E8"/>
    <w:rsid w:val="007F7F8F"/>
    <w:rsid w:val="008004EB"/>
    <w:rsid w:val="00800509"/>
    <w:rsid w:val="0080078E"/>
    <w:rsid w:val="00800B7F"/>
    <w:rsid w:val="008012B1"/>
    <w:rsid w:val="00801D63"/>
    <w:rsid w:val="00801DC9"/>
    <w:rsid w:val="008021E0"/>
    <w:rsid w:val="0080348B"/>
    <w:rsid w:val="00803A9F"/>
    <w:rsid w:val="00803D82"/>
    <w:rsid w:val="00803D98"/>
    <w:rsid w:val="00804A58"/>
    <w:rsid w:val="008052CE"/>
    <w:rsid w:val="008058D0"/>
    <w:rsid w:val="00806A4C"/>
    <w:rsid w:val="00806EFB"/>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2B2"/>
    <w:rsid w:val="00830052"/>
    <w:rsid w:val="008300D0"/>
    <w:rsid w:val="008308D8"/>
    <w:rsid w:val="0083097A"/>
    <w:rsid w:val="008320D2"/>
    <w:rsid w:val="008321CE"/>
    <w:rsid w:val="0083257C"/>
    <w:rsid w:val="0083261B"/>
    <w:rsid w:val="00832B44"/>
    <w:rsid w:val="00832EC9"/>
    <w:rsid w:val="00833307"/>
    <w:rsid w:val="00833583"/>
    <w:rsid w:val="00833B5B"/>
    <w:rsid w:val="00833E9A"/>
    <w:rsid w:val="00834FEF"/>
    <w:rsid w:val="00836323"/>
    <w:rsid w:val="00837420"/>
    <w:rsid w:val="00837BB1"/>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462"/>
    <w:rsid w:val="00852B21"/>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314"/>
    <w:rsid w:val="00861948"/>
    <w:rsid w:val="00862011"/>
    <w:rsid w:val="00862A15"/>
    <w:rsid w:val="00862CC9"/>
    <w:rsid w:val="00862D8E"/>
    <w:rsid w:val="00862EF2"/>
    <w:rsid w:val="0086310C"/>
    <w:rsid w:val="00863480"/>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2F1"/>
    <w:rsid w:val="0087677E"/>
    <w:rsid w:val="0087712C"/>
    <w:rsid w:val="008776E7"/>
    <w:rsid w:val="00877746"/>
    <w:rsid w:val="00877C5D"/>
    <w:rsid w:val="00880354"/>
    <w:rsid w:val="0088093C"/>
    <w:rsid w:val="00880BC0"/>
    <w:rsid w:val="0088127A"/>
    <w:rsid w:val="0088142B"/>
    <w:rsid w:val="00881B02"/>
    <w:rsid w:val="00881D59"/>
    <w:rsid w:val="00882991"/>
    <w:rsid w:val="00882D57"/>
    <w:rsid w:val="00882EC1"/>
    <w:rsid w:val="0088324E"/>
    <w:rsid w:val="0088434F"/>
    <w:rsid w:val="00884371"/>
    <w:rsid w:val="008848E2"/>
    <w:rsid w:val="00884B7A"/>
    <w:rsid w:val="00884D47"/>
    <w:rsid w:val="008856C5"/>
    <w:rsid w:val="00885BCB"/>
    <w:rsid w:val="00886112"/>
    <w:rsid w:val="008872B3"/>
    <w:rsid w:val="00887392"/>
    <w:rsid w:val="00890392"/>
    <w:rsid w:val="00890A64"/>
    <w:rsid w:val="00890C40"/>
    <w:rsid w:val="0089122E"/>
    <w:rsid w:val="008912A7"/>
    <w:rsid w:val="0089183A"/>
    <w:rsid w:val="008920B4"/>
    <w:rsid w:val="008925EB"/>
    <w:rsid w:val="0089275E"/>
    <w:rsid w:val="00892B43"/>
    <w:rsid w:val="00893432"/>
    <w:rsid w:val="00893936"/>
    <w:rsid w:val="00893CE2"/>
    <w:rsid w:val="00893F41"/>
    <w:rsid w:val="00894393"/>
    <w:rsid w:val="00895144"/>
    <w:rsid w:val="00895963"/>
    <w:rsid w:val="008972B6"/>
    <w:rsid w:val="00897339"/>
    <w:rsid w:val="00897697"/>
    <w:rsid w:val="008977E1"/>
    <w:rsid w:val="00897BFA"/>
    <w:rsid w:val="00897D19"/>
    <w:rsid w:val="008A0044"/>
    <w:rsid w:val="008A0BFE"/>
    <w:rsid w:val="008A1932"/>
    <w:rsid w:val="008A1BE9"/>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B83"/>
    <w:rsid w:val="008B111A"/>
    <w:rsid w:val="008B1463"/>
    <w:rsid w:val="008B16E6"/>
    <w:rsid w:val="008B1AB2"/>
    <w:rsid w:val="008B1D9B"/>
    <w:rsid w:val="008B2042"/>
    <w:rsid w:val="008B25F1"/>
    <w:rsid w:val="008B3567"/>
    <w:rsid w:val="008B36D0"/>
    <w:rsid w:val="008B38AF"/>
    <w:rsid w:val="008B3D7F"/>
    <w:rsid w:val="008B3E1B"/>
    <w:rsid w:val="008B3F4B"/>
    <w:rsid w:val="008B48EC"/>
    <w:rsid w:val="008B4AF0"/>
    <w:rsid w:val="008B4F74"/>
    <w:rsid w:val="008B518E"/>
    <w:rsid w:val="008B527B"/>
    <w:rsid w:val="008B5AB9"/>
    <w:rsid w:val="008B5ECA"/>
    <w:rsid w:val="008B625E"/>
    <w:rsid w:val="008B646F"/>
    <w:rsid w:val="008B67E6"/>
    <w:rsid w:val="008B69B8"/>
    <w:rsid w:val="008B7042"/>
    <w:rsid w:val="008B770C"/>
    <w:rsid w:val="008C0325"/>
    <w:rsid w:val="008C094A"/>
    <w:rsid w:val="008C13A0"/>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523"/>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7A"/>
    <w:rsid w:val="008D7247"/>
    <w:rsid w:val="008D7567"/>
    <w:rsid w:val="008E0EE4"/>
    <w:rsid w:val="008E12BE"/>
    <w:rsid w:val="008E13FD"/>
    <w:rsid w:val="008E1C24"/>
    <w:rsid w:val="008E2626"/>
    <w:rsid w:val="008E27A9"/>
    <w:rsid w:val="008E323C"/>
    <w:rsid w:val="008E32CE"/>
    <w:rsid w:val="008E32E0"/>
    <w:rsid w:val="008E35A6"/>
    <w:rsid w:val="008E36D9"/>
    <w:rsid w:val="008E3A5C"/>
    <w:rsid w:val="008E3A9A"/>
    <w:rsid w:val="008E429E"/>
    <w:rsid w:val="008E58A3"/>
    <w:rsid w:val="008E5938"/>
    <w:rsid w:val="008E6109"/>
    <w:rsid w:val="008E6A39"/>
    <w:rsid w:val="008E76BB"/>
    <w:rsid w:val="008F1764"/>
    <w:rsid w:val="008F184E"/>
    <w:rsid w:val="008F1E3D"/>
    <w:rsid w:val="008F235C"/>
    <w:rsid w:val="008F290B"/>
    <w:rsid w:val="008F2F11"/>
    <w:rsid w:val="008F3369"/>
    <w:rsid w:val="008F33A6"/>
    <w:rsid w:val="008F35EC"/>
    <w:rsid w:val="008F4FE8"/>
    <w:rsid w:val="008F4FED"/>
    <w:rsid w:val="008F5B47"/>
    <w:rsid w:val="008F5D5A"/>
    <w:rsid w:val="008F6200"/>
    <w:rsid w:val="008F62F8"/>
    <w:rsid w:val="008F6893"/>
    <w:rsid w:val="008F7292"/>
    <w:rsid w:val="008F76C0"/>
    <w:rsid w:val="009000F2"/>
    <w:rsid w:val="0090079D"/>
    <w:rsid w:val="0090086A"/>
    <w:rsid w:val="00900D2C"/>
    <w:rsid w:val="00901807"/>
    <w:rsid w:val="00901F0E"/>
    <w:rsid w:val="00901F9F"/>
    <w:rsid w:val="00902A26"/>
    <w:rsid w:val="00902A57"/>
    <w:rsid w:val="00902B29"/>
    <w:rsid w:val="00903C83"/>
    <w:rsid w:val="00903D77"/>
    <w:rsid w:val="0090408F"/>
    <w:rsid w:val="0090446A"/>
    <w:rsid w:val="00904537"/>
    <w:rsid w:val="00904DC3"/>
    <w:rsid w:val="0090534A"/>
    <w:rsid w:val="00905469"/>
    <w:rsid w:val="00905995"/>
    <w:rsid w:val="00905C5F"/>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29E4"/>
    <w:rsid w:val="00923643"/>
    <w:rsid w:val="00923E1A"/>
    <w:rsid w:val="009245CC"/>
    <w:rsid w:val="0092490A"/>
    <w:rsid w:val="00925A3E"/>
    <w:rsid w:val="009261DB"/>
    <w:rsid w:val="00926939"/>
    <w:rsid w:val="00926F4C"/>
    <w:rsid w:val="00927330"/>
    <w:rsid w:val="00927710"/>
    <w:rsid w:val="009307CA"/>
    <w:rsid w:val="009312F9"/>
    <w:rsid w:val="00931445"/>
    <w:rsid w:val="009315B3"/>
    <w:rsid w:val="00931AB8"/>
    <w:rsid w:val="00931C19"/>
    <w:rsid w:val="00931C63"/>
    <w:rsid w:val="00931D10"/>
    <w:rsid w:val="00931F66"/>
    <w:rsid w:val="0093218A"/>
    <w:rsid w:val="0093386D"/>
    <w:rsid w:val="00934C8E"/>
    <w:rsid w:val="00935194"/>
    <w:rsid w:val="00936EA5"/>
    <w:rsid w:val="00937114"/>
    <w:rsid w:val="0094015D"/>
    <w:rsid w:val="00940916"/>
    <w:rsid w:val="009412B7"/>
    <w:rsid w:val="00941B13"/>
    <w:rsid w:val="0094215C"/>
    <w:rsid w:val="00942F8E"/>
    <w:rsid w:val="00943543"/>
    <w:rsid w:val="0094385E"/>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F1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3B81"/>
    <w:rsid w:val="00964007"/>
    <w:rsid w:val="00964283"/>
    <w:rsid w:val="009642A4"/>
    <w:rsid w:val="009643F4"/>
    <w:rsid w:val="009645A6"/>
    <w:rsid w:val="00964F5A"/>
    <w:rsid w:val="0096527F"/>
    <w:rsid w:val="009653ED"/>
    <w:rsid w:val="00966A21"/>
    <w:rsid w:val="00966AD2"/>
    <w:rsid w:val="0096735D"/>
    <w:rsid w:val="00967A86"/>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8D"/>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C6"/>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2F71"/>
    <w:rsid w:val="009A347C"/>
    <w:rsid w:val="009A3688"/>
    <w:rsid w:val="009A3713"/>
    <w:rsid w:val="009A3C3E"/>
    <w:rsid w:val="009A4153"/>
    <w:rsid w:val="009A4C2C"/>
    <w:rsid w:val="009A59B3"/>
    <w:rsid w:val="009A5FAE"/>
    <w:rsid w:val="009A6B3A"/>
    <w:rsid w:val="009A70A3"/>
    <w:rsid w:val="009A7E7C"/>
    <w:rsid w:val="009B05D2"/>
    <w:rsid w:val="009B152B"/>
    <w:rsid w:val="009B2731"/>
    <w:rsid w:val="009B2BC0"/>
    <w:rsid w:val="009B2DCF"/>
    <w:rsid w:val="009B39D8"/>
    <w:rsid w:val="009B3D38"/>
    <w:rsid w:val="009B4368"/>
    <w:rsid w:val="009B4D4C"/>
    <w:rsid w:val="009B66F5"/>
    <w:rsid w:val="009B7505"/>
    <w:rsid w:val="009C0020"/>
    <w:rsid w:val="009C01F2"/>
    <w:rsid w:val="009C03F7"/>
    <w:rsid w:val="009C10DA"/>
    <w:rsid w:val="009C19FC"/>
    <w:rsid w:val="009C2269"/>
    <w:rsid w:val="009C27F7"/>
    <w:rsid w:val="009C3BC4"/>
    <w:rsid w:val="009C3C93"/>
    <w:rsid w:val="009C3E97"/>
    <w:rsid w:val="009C4017"/>
    <w:rsid w:val="009C424E"/>
    <w:rsid w:val="009C4708"/>
    <w:rsid w:val="009C4870"/>
    <w:rsid w:val="009C4C4E"/>
    <w:rsid w:val="009C4D37"/>
    <w:rsid w:val="009C545B"/>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B3"/>
    <w:rsid w:val="009E3DF1"/>
    <w:rsid w:val="009E3F88"/>
    <w:rsid w:val="009E3FB3"/>
    <w:rsid w:val="009E514A"/>
    <w:rsid w:val="009E5177"/>
    <w:rsid w:val="009E51C9"/>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D1E"/>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400"/>
    <w:rsid w:val="00A06BAC"/>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15"/>
    <w:rsid w:val="00A21169"/>
    <w:rsid w:val="00A21838"/>
    <w:rsid w:val="00A2223C"/>
    <w:rsid w:val="00A22C3E"/>
    <w:rsid w:val="00A22C4D"/>
    <w:rsid w:val="00A2334E"/>
    <w:rsid w:val="00A23442"/>
    <w:rsid w:val="00A249D2"/>
    <w:rsid w:val="00A24EC2"/>
    <w:rsid w:val="00A254AB"/>
    <w:rsid w:val="00A259F2"/>
    <w:rsid w:val="00A266CC"/>
    <w:rsid w:val="00A26DB4"/>
    <w:rsid w:val="00A27176"/>
    <w:rsid w:val="00A27425"/>
    <w:rsid w:val="00A3023E"/>
    <w:rsid w:val="00A305C5"/>
    <w:rsid w:val="00A30919"/>
    <w:rsid w:val="00A31F05"/>
    <w:rsid w:val="00A31FD2"/>
    <w:rsid w:val="00A3404D"/>
    <w:rsid w:val="00A341AB"/>
    <w:rsid w:val="00A34290"/>
    <w:rsid w:val="00A355F9"/>
    <w:rsid w:val="00A357D3"/>
    <w:rsid w:val="00A35AA9"/>
    <w:rsid w:val="00A35F3C"/>
    <w:rsid w:val="00A35F44"/>
    <w:rsid w:val="00A36CF6"/>
    <w:rsid w:val="00A37309"/>
    <w:rsid w:val="00A37329"/>
    <w:rsid w:val="00A37558"/>
    <w:rsid w:val="00A3786A"/>
    <w:rsid w:val="00A4008C"/>
    <w:rsid w:val="00A402A8"/>
    <w:rsid w:val="00A40685"/>
    <w:rsid w:val="00A408D4"/>
    <w:rsid w:val="00A40A53"/>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2EB"/>
    <w:rsid w:val="00A55410"/>
    <w:rsid w:val="00A55A04"/>
    <w:rsid w:val="00A564DE"/>
    <w:rsid w:val="00A6054E"/>
    <w:rsid w:val="00A60799"/>
    <w:rsid w:val="00A608AD"/>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33A"/>
    <w:rsid w:val="00A70590"/>
    <w:rsid w:val="00A7062E"/>
    <w:rsid w:val="00A70834"/>
    <w:rsid w:val="00A70DD9"/>
    <w:rsid w:val="00A71542"/>
    <w:rsid w:val="00A7171F"/>
    <w:rsid w:val="00A71FA0"/>
    <w:rsid w:val="00A71FBD"/>
    <w:rsid w:val="00A72727"/>
    <w:rsid w:val="00A727D8"/>
    <w:rsid w:val="00A72C1A"/>
    <w:rsid w:val="00A732FB"/>
    <w:rsid w:val="00A73C77"/>
    <w:rsid w:val="00A7463E"/>
    <w:rsid w:val="00A758E2"/>
    <w:rsid w:val="00A765B1"/>
    <w:rsid w:val="00A772F2"/>
    <w:rsid w:val="00A77828"/>
    <w:rsid w:val="00A77BAA"/>
    <w:rsid w:val="00A800F9"/>
    <w:rsid w:val="00A803A6"/>
    <w:rsid w:val="00A8073D"/>
    <w:rsid w:val="00A807A0"/>
    <w:rsid w:val="00A80D02"/>
    <w:rsid w:val="00A815FB"/>
    <w:rsid w:val="00A818BD"/>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2E"/>
    <w:rsid w:val="00AA238E"/>
    <w:rsid w:val="00AA2483"/>
    <w:rsid w:val="00AA253B"/>
    <w:rsid w:val="00AA29F8"/>
    <w:rsid w:val="00AA3243"/>
    <w:rsid w:val="00AA388F"/>
    <w:rsid w:val="00AA3C4C"/>
    <w:rsid w:val="00AA408E"/>
    <w:rsid w:val="00AA4DA9"/>
    <w:rsid w:val="00AA4EC7"/>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3C57"/>
    <w:rsid w:val="00AB408C"/>
    <w:rsid w:val="00AB43AF"/>
    <w:rsid w:val="00AB4E41"/>
    <w:rsid w:val="00AB5EB1"/>
    <w:rsid w:val="00AB6003"/>
    <w:rsid w:val="00AB759A"/>
    <w:rsid w:val="00AB7B06"/>
    <w:rsid w:val="00AB7EAA"/>
    <w:rsid w:val="00AC0432"/>
    <w:rsid w:val="00AC0770"/>
    <w:rsid w:val="00AC1683"/>
    <w:rsid w:val="00AC1D82"/>
    <w:rsid w:val="00AC2D5F"/>
    <w:rsid w:val="00AC3424"/>
    <w:rsid w:val="00AC4094"/>
    <w:rsid w:val="00AC42B6"/>
    <w:rsid w:val="00AC4AB7"/>
    <w:rsid w:val="00AC5070"/>
    <w:rsid w:val="00AC51E0"/>
    <w:rsid w:val="00AC5677"/>
    <w:rsid w:val="00AC6D24"/>
    <w:rsid w:val="00AC6D76"/>
    <w:rsid w:val="00AC6E18"/>
    <w:rsid w:val="00AC7F64"/>
    <w:rsid w:val="00AD1065"/>
    <w:rsid w:val="00AD159E"/>
    <w:rsid w:val="00AD2AB1"/>
    <w:rsid w:val="00AD3132"/>
    <w:rsid w:val="00AD3DA6"/>
    <w:rsid w:val="00AD3F3C"/>
    <w:rsid w:val="00AD447E"/>
    <w:rsid w:val="00AD44D3"/>
    <w:rsid w:val="00AD4B2F"/>
    <w:rsid w:val="00AD5F0A"/>
    <w:rsid w:val="00AD6A5B"/>
    <w:rsid w:val="00AD6B4F"/>
    <w:rsid w:val="00AD6D19"/>
    <w:rsid w:val="00AD74E9"/>
    <w:rsid w:val="00AD7812"/>
    <w:rsid w:val="00AD7C42"/>
    <w:rsid w:val="00AD7CFA"/>
    <w:rsid w:val="00AE06B0"/>
    <w:rsid w:val="00AE0BD6"/>
    <w:rsid w:val="00AE11C1"/>
    <w:rsid w:val="00AE163D"/>
    <w:rsid w:val="00AE17F0"/>
    <w:rsid w:val="00AE1A42"/>
    <w:rsid w:val="00AE1C5C"/>
    <w:rsid w:val="00AE315E"/>
    <w:rsid w:val="00AE319F"/>
    <w:rsid w:val="00AE31D9"/>
    <w:rsid w:val="00AE3CF0"/>
    <w:rsid w:val="00AE4546"/>
    <w:rsid w:val="00AE62B4"/>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21B"/>
    <w:rsid w:val="00AF7389"/>
    <w:rsid w:val="00AF79DF"/>
    <w:rsid w:val="00AF7C37"/>
    <w:rsid w:val="00B00378"/>
    <w:rsid w:val="00B0084B"/>
    <w:rsid w:val="00B00D91"/>
    <w:rsid w:val="00B00E84"/>
    <w:rsid w:val="00B01DD9"/>
    <w:rsid w:val="00B01F0E"/>
    <w:rsid w:val="00B038F1"/>
    <w:rsid w:val="00B03C1B"/>
    <w:rsid w:val="00B04678"/>
    <w:rsid w:val="00B047C9"/>
    <w:rsid w:val="00B04A04"/>
    <w:rsid w:val="00B04B78"/>
    <w:rsid w:val="00B04C37"/>
    <w:rsid w:val="00B04F00"/>
    <w:rsid w:val="00B05BA6"/>
    <w:rsid w:val="00B066BD"/>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F16"/>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2FF"/>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D65"/>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7F5"/>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9D6"/>
    <w:rsid w:val="00B81274"/>
    <w:rsid w:val="00B815D3"/>
    <w:rsid w:val="00B81742"/>
    <w:rsid w:val="00B817B5"/>
    <w:rsid w:val="00B823A6"/>
    <w:rsid w:val="00B83E76"/>
    <w:rsid w:val="00B83FA0"/>
    <w:rsid w:val="00B84156"/>
    <w:rsid w:val="00B846E6"/>
    <w:rsid w:val="00B8537B"/>
    <w:rsid w:val="00B85586"/>
    <w:rsid w:val="00B859C3"/>
    <w:rsid w:val="00B8614C"/>
    <w:rsid w:val="00B86289"/>
    <w:rsid w:val="00B863B3"/>
    <w:rsid w:val="00B869D3"/>
    <w:rsid w:val="00B86CF8"/>
    <w:rsid w:val="00B86E44"/>
    <w:rsid w:val="00B87359"/>
    <w:rsid w:val="00B87F1C"/>
    <w:rsid w:val="00B90D8D"/>
    <w:rsid w:val="00B91263"/>
    <w:rsid w:val="00B91B61"/>
    <w:rsid w:val="00B93849"/>
    <w:rsid w:val="00B938BD"/>
    <w:rsid w:val="00B93CF3"/>
    <w:rsid w:val="00B93DF1"/>
    <w:rsid w:val="00B9407F"/>
    <w:rsid w:val="00B944E9"/>
    <w:rsid w:val="00B945D7"/>
    <w:rsid w:val="00B94896"/>
    <w:rsid w:val="00B94CDD"/>
    <w:rsid w:val="00B94DA7"/>
    <w:rsid w:val="00B95163"/>
    <w:rsid w:val="00B954D0"/>
    <w:rsid w:val="00B9652A"/>
    <w:rsid w:val="00B96DD9"/>
    <w:rsid w:val="00B96EA6"/>
    <w:rsid w:val="00B9789D"/>
    <w:rsid w:val="00B97A4C"/>
    <w:rsid w:val="00BA050E"/>
    <w:rsid w:val="00BA1289"/>
    <w:rsid w:val="00BA14B2"/>
    <w:rsid w:val="00BA15DC"/>
    <w:rsid w:val="00BA1E2F"/>
    <w:rsid w:val="00BA1EB8"/>
    <w:rsid w:val="00BA2C82"/>
    <w:rsid w:val="00BA2D81"/>
    <w:rsid w:val="00BA3869"/>
    <w:rsid w:val="00BA4147"/>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46B"/>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2B7"/>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805"/>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3FD0"/>
    <w:rsid w:val="00BE4222"/>
    <w:rsid w:val="00BE472D"/>
    <w:rsid w:val="00BE4C03"/>
    <w:rsid w:val="00BE6067"/>
    <w:rsid w:val="00BE67D5"/>
    <w:rsid w:val="00BE7F4D"/>
    <w:rsid w:val="00BF03C0"/>
    <w:rsid w:val="00BF0EBF"/>
    <w:rsid w:val="00BF1534"/>
    <w:rsid w:val="00BF2021"/>
    <w:rsid w:val="00BF21D4"/>
    <w:rsid w:val="00BF2DDC"/>
    <w:rsid w:val="00BF32DE"/>
    <w:rsid w:val="00BF493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99E"/>
    <w:rsid w:val="00C0702A"/>
    <w:rsid w:val="00C070D3"/>
    <w:rsid w:val="00C0724C"/>
    <w:rsid w:val="00C07C11"/>
    <w:rsid w:val="00C07E10"/>
    <w:rsid w:val="00C10015"/>
    <w:rsid w:val="00C1110A"/>
    <w:rsid w:val="00C11689"/>
    <w:rsid w:val="00C12414"/>
    <w:rsid w:val="00C12ECB"/>
    <w:rsid w:val="00C136BF"/>
    <w:rsid w:val="00C138B0"/>
    <w:rsid w:val="00C144E0"/>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9C3"/>
    <w:rsid w:val="00C23A83"/>
    <w:rsid w:val="00C2403F"/>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CA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67D"/>
    <w:rsid w:val="00C50A02"/>
    <w:rsid w:val="00C51149"/>
    <w:rsid w:val="00C5117E"/>
    <w:rsid w:val="00C512D1"/>
    <w:rsid w:val="00C51856"/>
    <w:rsid w:val="00C51B04"/>
    <w:rsid w:val="00C51DB5"/>
    <w:rsid w:val="00C53CE9"/>
    <w:rsid w:val="00C5513B"/>
    <w:rsid w:val="00C5531B"/>
    <w:rsid w:val="00C55375"/>
    <w:rsid w:val="00C5570F"/>
    <w:rsid w:val="00C55B90"/>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4A2"/>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6C1"/>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902"/>
    <w:rsid w:val="00C76C0C"/>
    <w:rsid w:val="00C76E23"/>
    <w:rsid w:val="00C76FFC"/>
    <w:rsid w:val="00C774E0"/>
    <w:rsid w:val="00C776BA"/>
    <w:rsid w:val="00C7791E"/>
    <w:rsid w:val="00C81716"/>
    <w:rsid w:val="00C82B3B"/>
    <w:rsid w:val="00C832CB"/>
    <w:rsid w:val="00C84085"/>
    <w:rsid w:val="00C852DC"/>
    <w:rsid w:val="00C854A8"/>
    <w:rsid w:val="00C85677"/>
    <w:rsid w:val="00C85E17"/>
    <w:rsid w:val="00C868A7"/>
    <w:rsid w:val="00C86ABA"/>
    <w:rsid w:val="00C86BF7"/>
    <w:rsid w:val="00C87164"/>
    <w:rsid w:val="00C8786A"/>
    <w:rsid w:val="00C87BBA"/>
    <w:rsid w:val="00C87BD0"/>
    <w:rsid w:val="00C901F3"/>
    <w:rsid w:val="00C905E5"/>
    <w:rsid w:val="00C90754"/>
    <w:rsid w:val="00C90B95"/>
    <w:rsid w:val="00C90BC4"/>
    <w:rsid w:val="00C90CA9"/>
    <w:rsid w:val="00C91802"/>
    <w:rsid w:val="00C91A25"/>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C5F"/>
    <w:rsid w:val="00CA3CAB"/>
    <w:rsid w:val="00CA3FC0"/>
    <w:rsid w:val="00CA5685"/>
    <w:rsid w:val="00CA5A05"/>
    <w:rsid w:val="00CA6A2E"/>
    <w:rsid w:val="00CA6B56"/>
    <w:rsid w:val="00CA7D3E"/>
    <w:rsid w:val="00CB0231"/>
    <w:rsid w:val="00CB0317"/>
    <w:rsid w:val="00CB0662"/>
    <w:rsid w:val="00CB0A82"/>
    <w:rsid w:val="00CB0F2F"/>
    <w:rsid w:val="00CB1556"/>
    <w:rsid w:val="00CB2913"/>
    <w:rsid w:val="00CB2B60"/>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3CF"/>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D7C7F"/>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2CD"/>
    <w:rsid w:val="00CF7327"/>
    <w:rsid w:val="00CF7385"/>
    <w:rsid w:val="00CF7539"/>
    <w:rsid w:val="00CF75C6"/>
    <w:rsid w:val="00CF7B77"/>
    <w:rsid w:val="00CF7DF5"/>
    <w:rsid w:val="00D00141"/>
    <w:rsid w:val="00D001D2"/>
    <w:rsid w:val="00D01857"/>
    <w:rsid w:val="00D02A80"/>
    <w:rsid w:val="00D02D78"/>
    <w:rsid w:val="00D03264"/>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666"/>
    <w:rsid w:val="00D15AE3"/>
    <w:rsid w:val="00D160C4"/>
    <w:rsid w:val="00D165D8"/>
    <w:rsid w:val="00D1724E"/>
    <w:rsid w:val="00D1730C"/>
    <w:rsid w:val="00D1760C"/>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1D2"/>
    <w:rsid w:val="00D279E7"/>
    <w:rsid w:val="00D27F75"/>
    <w:rsid w:val="00D3046D"/>
    <w:rsid w:val="00D30497"/>
    <w:rsid w:val="00D30C4D"/>
    <w:rsid w:val="00D30F5F"/>
    <w:rsid w:val="00D31243"/>
    <w:rsid w:val="00D316D9"/>
    <w:rsid w:val="00D31B07"/>
    <w:rsid w:val="00D31B9D"/>
    <w:rsid w:val="00D3272E"/>
    <w:rsid w:val="00D32F51"/>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496"/>
    <w:rsid w:val="00D5064C"/>
    <w:rsid w:val="00D50C94"/>
    <w:rsid w:val="00D511E7"/>
    <w:rsid w:val="00D517ED"/>
    <w:rsid w:val="00D5251C"/>
    <w:rsid w:val="00D529AB"/>
    <w:rsid w:val="00D52F56"/>
    <w:rsid w:val="00D539DA"/>
    <w:rsid w:val="00D54A50"/>
    <w:rsid w:val="00D54FFD"/>
    <w:rsid w:val="00D5552C"/>
    <w:rsid w:val="00D5556D"/>
    <w:rsid w:val="00D55C34"/>
    <w:rsid w:val="00D55C81"/>
    <w:rsid w:val="00D5674B"/>
    <w:rsid w:val="00D56B56"/>
    <w:rsid w:val="00D56BF5"/>
    <w:rsid w:val="00D56F99"/>
    <w:rsid w:val="00D5713E"/>
    <w:rsid w:val="00D5743F"/>
    <w:rsid w:val="00D57DD7"/>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67E0B"/>
    <w:rsid w:val="00D70170"/>
    <w:rsid w:val="00D702E8"/>
    <w:rsid w:val="00D70552"/>
    <w:rsid w:val="00D7083C"/>
    <w:rsid w:val="00D70D42"/>
    <w:rsid w:val="00D71285"/>
    <w:rsid w:val="00D71ABC"/>
    <w:rsid w:val="00D71D05"/>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712"/>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60"/>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325"/>
    <w:rsid w:val="00DB3490"/>
    <w:rsid w:val="00DB3593"/>
    <w:rsid w:val="00DB440B"/>
    <w:rsid w:val="00DB4426"/>
    <w:rsid w:val="00DB4522"/>
    <w:rsid w:val="00DB4B40"/>
    <w:rsid w:val="00DB4D7B"/>
    <w:rsid w:val="00DB4F12"/>
    <w:rsid w:val="00DB4F21"/>
    <w:rsid w:val="00DB4F42"/>
    <w:rsid w:val="00DB540C"/>
    <w:rsid w:val="00DB6F96"/>
    <w:rsid w:val="00DB71B9"/>
    <w:rsid w:val="00DB7662"/>
    <w:rsid w:val="00DB7E46"/>
    <w:rsid w:val="00DB7FB6"/>
    <w:rsid w:val="00DC1395"/>
    <w:rsid w:val="00DC32FC"/>
    <w:rsid w:val="00DC3D89"/>
    <w:rsid w:val="00DC4567"/>
    <w:rsid w:val="00DC4D6C"/>
    <w:rsid w:val="00DC4F47"/>
    <w:rsid w:val="00DC5059"/>
    <w:rsid w:val="00DC5860"/>
    <w:rsid w:val="00DC5BD0"/>
    <w:rsid w:val="00DC5BE2"/>
    <w:rsid w:val="00DC5ED0"/>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2E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A5B"/>
    <w:rsid w:val="00DF5B33"/>
    <w:rsid w:val="00DF6E42"/>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531"/>
    <w:rsid w:val="00E06E97"/>
    <w:rsid w:val="00E075FF"/>
    <w:rsid w:val="00E07B8F"/>
    <w:rsid w:val="00E10712"/>
    <w:rsid w:val="00E10BF8"/>
    <w:rsid w:val="00E10DD1"/>
    <w:rsid w:val="00E1224C"/>
    <w:rsid w:val="00E1254C"/>
    <w:rsid w:val="00E1296E"/>
    <w:rsid w:val="00E12BDF"/>
    <w:rsid w:val="00E13326"/>
    <w:rsid w:val="00E13D07"/>
    <w:rsid w:val="00E14356"/>
    <w:rsid w:val="00E1447C"/>
    <w:rsid w:val="00E14961"/>
    <w:rsid w:val="00E14D76"/>
    <w:rsid w:val="00E15183"/>
    <w:rsid w:val="00E157E8"/>
    <w:rsid w:val="00E15D6C"/>
    <w:rsid w:val="00E1720B"/>
    <w:rsid w:val="00E203DE"/>
    <w:rsid w:val="00E20BD8"/>
    <w:rsid w:val="00E20CE7"/>
    <w:rsid w:val="00E217B1"/>
    <w:rsid w:val="00E21A01"/>
    <w:rsid w:val="00E222FA"/>
    <w:rsid w:val="00E229CE"/>
    <w:rsid w:val="00E22B4A"/>
    <w:rsid w:val="00E2449B"/>
    <w:rsid w:val="00E24A62"/>
    <w:rsid w:val="00E24BCA"/>
    <w:rsid w:val="00E24E5F"/>
    <w:rsid w:val="00E24F52"/>
    <w:rsid w:val="00E255CC"/>
    <w:rsid w:val="00E25636"/>
    <w:rsid w:val="00E25755"/>
    <w:rsid w:val="00E25A68"/>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E2A"/>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D86"/>
    <w:rsid w:val="00E5448E"/>
    <w:rsid w:val="00E547D7"/>
    <w:rsid w:val="00E54E0D"/>
    <w:rsid w:val="00E55247"/>
    <w:rsid w:val="00E558E5"/>
    <w:rsid w:val="00E55B3C"/>
    <w:rsid w:val="00E55D4D"/>
    <w:rsid w:val="00E56795"/>
    <w:rsid w:val="00E57932"/>
    <w:rsid w:val="00E606C4"/>
    <w:rsid w:val="00E60811"/>
    <w:rsid w:val="00E60AB8"/>
    <w:rsid w:val="00E6103E"/>
    <w:rsid w:val="00E610C3"/>
    <w:rsid w:val="00E6185F"/>
    <w:rsid w:val="00E61D32"/>
    <w:rsid w:val="00E63C60"/>
    <w:rsid w:val="00E64050"/>
    <w:rsid w:val="00E64B7B"/>
    <w:rsid w:val="00E6514D"/>
    <w:rsid w:val="00E65161"/>
    <w:rsid w:val="00E652C9"/>
    <w:rsid w:val="00E6593B"/>
    <w:rsid w:val="00E65B41"/>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F86"/>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9FB"/>
    <w:rsid w:val="00E87A37"/>
    <w:rsid w:val="00E87CF7"/>
    <w:rsid w:val="00E9036E"/>
    <w:rsid w:val="00E9078A"/>
    <w:rsid w:val="00E912FD"/>
    <w:rsid w:val="00E91430"/>
    <w:rsid w:val="00E91B26"/>
    <w:rsid w:val="00E92C6E"/>
    <w:rsid w:val="00E92D0B"/>
    <w:rsid w:val="00E92FFF"/>
    <w:rsid w:val="00E93195"/>
    <w:rsid w:val="00E9391C"/>
    <w:rsid w:val="00E93D05"/>
    <w:rsid w:val="00E94A48"/>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5B9"/>
    <w:rsid w:val="00EB763E"/>
    <w:rsid w:val="00EB7B67"/>
    <w:rsid w:val="00EC07F1"/>
    <w:rsid w:val="00EC1E8A"/>
    <w:rsid w:val="00EC328C"/>
    <w:rsid w:val="00EC32F5"/>
    <w:rsid w:val="00EC3852"/>
    <w:rsid w:val="00EC3A7B"/>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C7DFF"/>
    <w:rsid w:val="00ED0151"/>
    <w:rsid w:val="00ED0257"/>
    <w:rsid w:val="00ED071B"/>
    <w:rsid w:val="00ED1445"/>
    <w:rsid w:val="00ED18B1"/>
    <w:rsid w:val="00ED1ADE"/>
    <w:rsid w:val="00ED1B6C"/>
    <w:rsid w:val="00ED3692"/>
    <w:rsid w:val="00ED3763"/>
    <w:rsid w:val="00ED4483"/>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395"/>
    <w:rsid w:val="00EE56E2"/>
    <w:rsid w:val="00EE5FCD"/>
    <w:rsid w:val="00EE6192"/>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73C"/>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B59"/>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5F4D"/>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3F55"/>
    <w:rsid w:val="00F2420C"/>
    <w:rsid w:val="00F24C28"/>
    <w:rsid w:val="00F254C4"/>
    <w:rsid w:val="00F25641"/>
    <w:rsid w:val="00F256D8"/>
    <w:rsid w:val="00F25824"/>
    <w:rsid w:val="00F25E47"/>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1CDD"/>
    <w:rsid w:val="00F42856"/>
    <w:rsid w:val="00F42ED7"/>
    <w:rsid w:val="00F43777"/>
    <w:rsid w:val="00F4482B"/>
    <w:rsid w:val="00F44F02"/>
    <w:rsid w:val="00F45039"/>
    <w:rsid w:val="00F4526B"/>
    <w:rsid w:val="00F45298"/>
    <w:rsid w:val="00F45429"/>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CEE"/>
    <w:rsid w:val="00F67079"/>
    <w:rsid w:val="00F67B58"/>
    <w:rsid w:val="00F67E81"/>
    <w:rsid w:val="00F7044B"/>
    <w:rsid w:val="00F70598"/>
    <w:rsid w:val="00F70FD4"/>
    <w:rsid w:val="00F71342"/>
    <w:rsid w:val="00F71C68"/>
    <w:rsid w:val="00F724E2"/>
    <w:rsid w:val="00F73433"/>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00C"/>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67B"/>
    <w:rsid w:val="00FA27EB"/>
    <w:rsid w:val="00FA35B6"/>
    <w:rsid w:val="00FA3EBC"/>
    <w:rsid w:val="00FA423C"/>
    <w:rsid w:val="00FA44D0"/>
    <w:rsid w:val="00FA4590"/>
    <w:rsid w:val="00FA5126"/>
    <w:rsid w:val="00FA55A2"/>
    <w:rsid w:val="00FA643A"/>
    <w:rsid w:val="00FA672F"/>
    <w:rsid w:val="00FA6AD3"/>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B4B"/>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A8C"/>
    <w:rsid w:val="00FD54A8"/>
    <w:rsid w:val="00FD5AE4"/>
    <w:rsid w:val="00FD5F25"/>
    <w:rsid w:val="00FD60BE"/>
    <w:rsid w:val="00FD6894"/>
    <w:rsid w:val="00FD6AF0"/>
    <w:rsid w:val="00FD704D"/>
    <w:rsid w:val="00FD74EF"/>
    <w:rsid w:val="00FD7660"/>
    <w:rsid w:val="00FD79B8"/>
    <w:rsid w:val="00FD79F6"/>
    <w:rsid w:val="00FE033F"/>
    <w:rsid w:val="00FE0584"/>
    <w:rsid w:val="00FE07A8"/>
    <w:rsid w:val="00FE0AD1"/>
    <w:rsid w:val="00FE0CC0"/>
    <w:rsid w:val="00FE1852"/>
    <w:rsid w:val="00FE1963"/>
    <w:rsid w:val="00FE1981"/>
    <w:rsid w:val="00FE1BF1"/>
    <w:rsid w:val="00FE33DB"/>
    <w:rsid w:val="00FE33F5"/>
    <w:rsid w:val="00FE352A"/>
    <w:rsid w:val="00FE37DD"/>
    <w:rsid w:val="00FE3C31"/>
    <w:rsid w:val="00FE3C48"/>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9C4"/>
    <w:rsid w:val="00FF2A7B"/>
    <w:rsid w:val="00FF3D2B"/>
    <w:rsid w:val="00FF49B4"/>
    <w:rsid w:val="00FF49F4"/>
    <w:rsid w:val="00FF5C6A"/>
    <w:rsid w:val="00FF651D"/>
    <w:rsid w:val="00FF6843"/>
    <w:rsid w:val="00FF6C25"/>
    <w:rsid w:val="00FF6E6D"/>
    <w:rsid w:val="00FF7F00"/>
    <w:rsid w:val="010651D9"/>
    <w:rsid w:val="011F6449"/>
    <w:rsid w:val="01236AFB"/>
    <w:rsid w:val="019232C4"/>
    <w:rsid w:val="019F7441"/>
    <w:rsid w:val="01B37585"/>
    <w:rsid w:val="01C50AB2"/>
    <w:rsid w:val="01D55165"/>
    <w:rsid w:val="01DF6BF8"/>
    <w:rsid w:val="01EC2C57"/>
    <w:rsid w:val="02484633"/>
    <w:rsid w:val="026B2E25"/>
    <w:rsid w:val="02824D4D"/>
    <w:rsid w:val="02DC4B10"/>
    <w:rsid w:val="02DD76CE"/>
    <w:rsid w:val="02F208C2"/>
    <w:rsid w:val="02F36323"/>
    <w:rsid w:val="02F5619C"/>
    <w:rsid w:val="0326446A"/>
    <w:rsid w:val="032D5555"/>
    <w:rsid w:val="035703C5"/>
    <w:rsid w:val="036634D2"/>
    <w:rsid w:val="03DD35E4"/>
    <w:rsid w:val="04076900"/>
    <w:rsid w:val="041A5A3B"/>
    <w:rsid w:val="042311BA"/>
    <w:rsid w:val="042B157A"/>
    <w:rsid w:val="04325B30"/>
    <w:rsid w:val="04637523"/>
    <w:rsid w:val="048F763B"/>
    <w:rsid w:val="049F330E"/>
    <w:rsid w:val="04AA775C"/>
    <w:rsid w:val="04AF1889"/>
    <w:rsid w:val="04E7136E"/>
    <w:rsid w:val="04F66F48"/>
    <w:rsid w:val="05251E14"/>
    <w:rsid w:val="05524952"/>
    <w:rsid w:val="05A16594"/>
    <w:rsid w:val="05A7762D"/>
    <w:rsid w:val="060E5941"/>
    <w:rsid w:val="06110FAF"/>
    <w:rsid w:val="06493CA7"/>
    <w:rsid w:val="065A6178"/>
    <w:rsid w:val="066F1CF3"/>
    <w:rsid w:val="06925398"/>
    <w:rsid w:val="06930BB8"/>
    <w:rsid w:val="069B7C33"/>
    <w:rsid w:val="07064C57"/>
    <w:rsid w:val="07245D42"/>
    <w:rsid w:val="07264C62"/>
    <w:rsid w:val="0779354C"/>
    <w:rsid w:val="07F3387A"/>
    <w:rsid w:val="08061376"/>
    <w:rsid w:val="08452D77"/>
    <w:rsid w:val="086401F8"/>
    <w:rsid w:val="08751CAA"/>
    <w:rsid w:val="087E4C40"/>
    <w:rsid w:val="08865893"/>
    <w:rsid w:val="08D66AD6"/>
    <w:rsid w:val="08DA33A3"/>
    <w:rsid w:val="08E51639"/>
    <w:rsid w:val="08E80F13"/>
    <w:rsid w:val="08F460BB"/>
    <w:rsid w:val="09335624"/>
    <w:rsid w:val="0944690F"/>
    <w:rsid w:val="09535675"/>
    <w:rsid w:val="095F057D"/>
    <w:rsid w:val="09624DC1"/>
    <w:rsid w:val="09642282"/>
    <w:rsid w:val="09733572"/>
    <w:rsid w:val="09772C16"/>
    <w:rsid w:val="098353B5"/>
    <w:rsid w:val="09975825"/>
    <w:rsid w:val="09A92330"/>
    <w:rsid w:val="09B06B87"/>
    <w:rsid w:val="09C13146"/>
    <w:rsid w:val="09E04166"/>
    <w:rsid w:val="09F75AC8"/>
    <w:rsid w:val="0A0F2E11"/>
    <w:rsid w:val="0A1C0718"/>
    <w:rsid w:val="0A3E7710"/>
    <w:rsid w:val="0A402FCB"/>
    <w:rsid w:val="0A5B7E63"/>
    <w:rsid w:val="0AA374A5"/>
    <w:rsid w:val="0AAB7649"/>
    <w:rsid w:val="0ABC5606"/>
    <w:rsid w:val="0ADB7197"/>
    <w:rsid w:val="0B2C7471"/>
    <w:rsid w:val="0B30404E"/>
    <w:rsid w:val="0B4C6C14"/>
    <w:rsid w:val="0B631A88"/>
    <w:rsid w:val="0B683D45"/>
    <w:rsid w:val="0B7F3F11"/>
    <w:rsid w:val="0B884417"/>
    <w:rsid w:val="0BF6188C"/>
    <w:rsid w:val="0BF73C91"/>
    <w:rsid w:val="0C170175"/>
    <w:rsid w:val="0C571A41"/>
    <w:rsid w:val="0C5C1171"/>
    <w:rsid w:val="0C5E1CBC"/>
    <w:rsid w:val="0C615B50"/>
    <w:rsid w:val="0C7F7D0C"/>
    <w:rsid w:val="0C8445DA"/>
    <w:rsid w:val="0C87121B"/>
    <w:rsid w:val="0CBD5A60"/>
    <w:rsid w:val="0CC007F7"/>
    <w:rsid w:val="0CFE707A"/>
    <w:rsid w:val="0D063BDA"/>
    <w:rsid w:val="0D08375F"/>
    <w:rsid w:val="0D184CFB"/>
    <w:rsid w:val="0D40475F"/>
    <w:rsid w:val="0D4A7419"/>
    <w:rsid w:val="0D827401"/>
    <w:rsid w:val="0D84094E"/>
    <w:rsid w:val="0D8A00E9"/>
    <w:rsid w:val="0D8D589E"/>
    <w:rsid w:val="0DA01C73"/>
    <w:rsid w:val="0DD63300"/>
    <w:rsid w:val="0DF50604"/>
    <w:rsid w:val="0DF702FE"/>
    <w:rsid w:val="0E060E51"/>
    <w:rsid w:val="0E5604B2"/>
    <w:rsid w:val="0E6D5D79"/>
    <w:rsid w:val="0E9D0089"/>
    <w:rsid w:val="0EB803EE"/>
    <w:rsid w:val="0EEB74B8"/>
    <w:rsid w:val="0EF94D4B"/>
    <w:rsid w:val="0F1D4DCD"/>
    <w:rsid w:val="0F2436F8"/>
    <w:rsid w:val="0F4958DC"/>
    <w:rsid w:val="0F515DF7"/>
    <w:rsid w:val="0F596BA8"/>
    <w:rsid w:val="0F6248D2"/>
    <w:rsid w:val="0F693536"/>
    <w:rsid w:val="0F7B0511"/>
    <w:rsid w:val="0F7B76D9"/>
    <w:rsid w:val="0F816ACD"/>
    <w:rsid w:val="0F9832DB"/>
    <w:rsid w:val="0FBF3FD2"/>
    <w:rsid w:val="0FBF7FF3"/>
    <w:rsid w:val="0FE95CAF"/>
    <w:rsid w:val="10421E87"/>
    <w:rsid w:val="10646583"/>
    <w:rsid w:val="107D4B15"/>
    <w:rsid w:val="108A3C80"/>
    <w:rsid w:val="10C26171"/>
    <w:rsid w:val="10F33360"/>
    <w:rsid w:val="10FC16EA"/>
    <w:rsid w:val="110F1D40"/>
    <w:rsid w:val="11266F33"/>
    <w:rsid w:val="118963A1"/>
    <w:rsid w:val="119473D2"/>
    <w:rsid w:val="11C6522A"/>
    <w:rsid w:val="11E104CC"/>
    <w:rsid w:val="11E20309"/>
    <w:rsid w:val="12255233"/>
    <w:rsid w:val="12530213"/>
    <w:rsid w:val="127723A9"/>
    <w:rsid w:val="12862074"/>
    <w:rsid w:val="12883966"/>
    <w:rsid w:val="129E45B4"/>
    <w:rsid w:val="12B855CF"/>
    <w:rsid w:val="12D81596"/>
    <w:rsid w:val="13072A44"/>
    <w:rsid w:val="135F4BE2"/>
    <w:rsid w:val="139B1A0A"/>
    <w:rsid w:val="139D25C7"/>
    <w:rsid w:val="13B21070"/>
    <w:rsid w:val="13BF3CE4"/>
    <w:rsid w:val="13DF72EE"/>
    <w:rsid w:val="141008D8"/>
    <w:rsid w:val="14125FE6"/>
    <w:rsid w:val="146D271E"/>
    <w:rsid w:val="14982588"/>
    <w:rsid w:val="149A5AD9"/>
    <w:rsid w:val="14A7619D"/>
    <w:rsid w:val="14D70121"/>
    <w:rsid w:val="14E326F3"/>
    <w:rsid w:val="150536C3"/>
    <w:rsid w:val="150C1963"/>
    <w:rsid w:val="151447A0"/>
    <w:rsid w:val="154A6454"/>
    <w:rsid w:val="15762120"/>
    <w:rsid w:val="15D05B4B"/>
    <w:rsid w:val="15D27773"/>
    <w:rsid w:val="15D54F0F"/>
    <w:rsid w:val="15FB5702"/>
    <w:rsid w:val="16155B22"/>
    <w:rsid w:val="16A8729C"/>
    <w:rsid w:val="16B33777"/>
    <w:rsid w:val="16BC70A7"/>
    <w:rsid w:val="16C6339E"/>
    <w:rsid w:val="16F97B5B"/>
    <w:rsid w:val="16FC6A01"/>
    <w:rsid w:val="1705609A"/>
    <w:rsid w:val="170F1DAE"/>
    <w:rsid w:val="172E00FB"/>
    <w:rsid w:val="172F2D79"/>
    <w:rsid w:val="17557BEF"/>
    <w:rsid w:val="179A2834"/>
    <w:rsid w:val="17D349C1"/>
    <w:rsid w:val="1830729E"/>
    <w:rsid w:val="1870062C"/>
    <w:rsid w:val="18817102"/>
    <w:rsid w:val="18824C15"/>
    <w:rsid w:val="18830A15"/>
    <w:rsid w:val="18852B28"/>
    <w:rsid w:val="188B5321"/>
    <w:rsid w:val="18A63149"/>
    <w:rsid w:val="193F6FDA"/>
    <w:rsid w:val="19932372"/>
    <w:rsid w:val="19A20DD5"/>
    <w:rsid w:val="19AE03F1"/>
    <w:rsid w:val="1A071A03"/>
    <w:rsid w:val="1A1F16AE"/>
    <w:rsid w:val="1A3B5C77"/>
    <w:rsid w:val="1A984BAD"/>
    <w:rsid w:val="1A9C233C"/>
    <w:rsid w:val="1AB8220E"/>
    <w:rsid w:val="1AE4166C"/>
    <w:rsid w:val="1AF06CFB"/>
    <w:rsid w:val="1AF11B8D"/>
    <w:rsid w:val="1B11359C"/>
    <w:rsid w:val="1B2A271F"/>
    <w:rsid w:val="1B530544"/>
    <w:rsid w:val="1B713184"/>
    <w:rsid w:val="1B841FD5"/>
    <w:rsid w:val="1BA209CF"/>
    <w:rsid w:val="1BB4777D"/>
    <w:rsid w:val="1BD75AB8"/>
    <w:rsid w:val="1C0459C2"/>
    <w:rsid w:val="1C1B3B4A"/>
    <w:rsid w:val="1C88086E"/>
    <w:rsid w:val="1CF81355"/>
    <w:rsid w:val="1D266CE1"/>
    <w:rsid w:val="1D2D3883"/>
    <w:rsid w:val="1D3963AF"/>
    <w:rsid w:val="1D50293C"/>
    <w:rsid w:val="1D504EC1"/>
    <w:rsid w:val="1D6A673C"/>
    <w:rsid w:val="1D6E74F2"/>
    <w:rsid w:val="1D9247AE"/>
    <w:rsid w:val="1DAD4EB4"/>
    <w:rsid w:val="1DB567EC"/>
    <w:rsid w:val="1DF51A98"/>
    <w:rsid w:val="1E3D060F"/>
    <w:rsid w:val="1E3F7D2E"/>
    <w:rsid w:val="1E4134E4"/>
    <w:rsid w:val="1E5062B3"/>
    <w:rsid w:val="1E523514"/>
    <w:rsid w:val="1E714A66"/>
    <w:rsid w:val="1E802593"/>
    <w:rsid w:val="1EA703CC"/>
    <w:rsid w:val="1EA910FA"/>
    <w:rsid w:val="1EB7330C"/>
    <w:rsid w:val="1F0A0FF3"/>
    <w:rsid w:val="1F5771FF"/>
    <w:rsid w:val="1FE76643"/>
    <w:rsid w:val="1FE868A9"/>
    <w:rsid w:val="1FF92231"/>
    <w:rsid w:val="20034907"/>
    <w:rsid w:val="20173E4B"/>
    <w:rsid w:val="204E48BC"/>
    <w:rsid w:val="208921B3"/>
    <w:rsid w:val="20973DEB"/>
    <w:rsid w:val="20B26522"/>
    <w:rsid w:val="20B44310"/>
    <w:rsid w:val="20C80062"/>
    <w:rsid w:val="20C85AF0"/>
    <w:rsid w:val="211116EB"/>
    <w:rsid w:val="216133FC"/>
    <w:rsid w:val="21D56769"/>
    <w:rsid w:val="21DA281F"/>
    <w:rsid w:val="21DF070C"/>
    <w:rsid w:val="21DF6686"/>
    <w:rsid w:val="21E52EF3"/>
    <w:rsid w:val="21FB5D7B"/>
    <w:rsid w:val="220B1C3D"/>
    <w:rsid w:val="220D3C83"/>
    <w:rsid w:val="221D1D20"/>
    <w:rsid w:val="221D25B7"/>
    <w:rsid w:val="221F59EE"/>
    <w:rsid w:val="221F78FD"/>
    <w:rsid w:val="22334A87"/>
    <w:rsid w:val="22BE6801"/>
    <w:rsid w:val="233500BF"/>
    <w:rsid w:val="23377FF7"/>
    <w:rsid w:val="236B425F"/>
    <w:rsid w:val="23836192"/>
    <w:rsid w:val="23901F29"/>
    <w:rsid w:val="239C0061"/>
    <w:rsid w:val="23B908A4"/>
    <w:rsid w:val="23D41D37"/>
    <w:rsid w:val="23E95BEF"/>
    <w:rsid w:val="23FD0064"/>
    <w:rsid w:val="245375B0"/>
    <w:rsid w:val="24642C0A"/>
    <w:rsid w:val="24863BB4"/>
    <w:rsid w:val="24B22173"/>
    <w:rsid w:val="24B95AD9"/>
    <w:rsid w:val="24BE24DA"/>
    <w:rsid w:val="24CF5825"/>
    <w:rsid w:val="24D663E6"/>
    <w:rsid w:val="24D77F2B"/>
    <w:rsid w:val="25005CA4"/>
    <w:rsid w:val="251063F9"/>
    <w:rsid w:val="25684B40"/>
    <w:rsid w:val="257879A2"/>
    <w:rsid w:val="258B00E2"/>
    <w:rsid w:val="25A917A6"/>
    <w:rsid w:val="25BE27CC"/>
    <w:rsid w:val="25F74A5C"/>
    <w:rsid w:val="2628662C"/>
    <w:rsid w:val="262D45DE"/>
    <w:rsid w:val="26370614"/>
    <w:rsid w:val="266F000B"/>
    <w:rsid w:val="268B4D0A"/>
    <w:rsid w:val="26A53EF9"/>
    <w:rsid w:val="26A94201"/>
    <w:rsid w:val="26AC274F"/>
    <w:rsid w:val="27044A29"/>
    <w:rsid w:val="271D34C8"/>
    <w:rsid w:val="272717DA"/>
    <w:rsid w:val="27425763"/>
    <w:rsid w:val="276142BF"/>
    <w:rsid w:val="27783712"/>
    <w:rsid w:val="27907362"/>
    <w:rsid w:val="27CE49D7"/>
    <w:rsid w:val="28333E1D"/>
    <w:rsid w:val="28454BD6"/>
    <w:rsid w:val="28455253"/>
    <w:rsid w:val="28551971"/>
    <w:rsid w:val="285B1C53"/>
    <w:rsid w:val="289F7086"/>
    <w:rsid w:val="28C32028"/>
    <w:rsid w:val="28CC490F"/>
    <w:rsid w:val="28DE40AA"/>
    <w:rsid w:val="29345E77"/>
    <w:rsid w:val="294C65AD"/>
    <w:rsid w:val="2969358F"/>
    <w:rsid w:val="29781641"/>
    <w:rsid w:val="29806583"/>
    <w:rsid w:val="298B3C4C"/>
    <w:rsid w:val="29932CBF"/>
    <w:rsid w:val="29EB7F9B"/>
    <w:rsid w:val="29F26D24"/>
    <w:rsid w:val="2A15033F"/>
    <w:rsid w:val="2A1662C1"/>
    <w:rsid w:val="2A1C7367"/>
    <w:rsid w:val="2A2815FA"/>
    <w:rsid w:val="2A6D6092"/>
    <w:rsid w:val="2A7D76B4"/>
    <w:rsid w:val="2B2F1CAA"/>
    <w:rsid w:val="2B431325"/>
    <w:rsid w:val="2B437463"/>
    <w:rsid w:val="2B487D7C"/>
    <w:rsid w:val="2B7807EE"/>
    <w:rsid w:val="2BBE2C91"/>
    <w:rsid w:val="2BBF00EC"/>
    <w:rsid w:val="2BC37CFD"/>
    <w:rsid w:val="2BD5237F"/>
    <w:rsid w:val="2BE536CE"/>
    <w:rsid w:val="2BE758D9"/>
    <w:rsid w:val="2BEB1704"/>
    <w:rsid w:val="2C09049E"/>
    <w:rsid w:val="2C0A653C"/>
    <w:rsid w:val="2C191F85"/>
    <w:rsid w:val="2C212804"/>
    <w:rsid w:val="2C574D97"/>
    <w:rsid w:val="2C711F40"/>
    <w:rsid w:val="2CCD46A4"/>
    <w:rsid w:val="2CE82D6F"/>
    <w:rsid w:val="2D343236"/>
    <w:rsid w:val="2D7A60D5"/>
    <w:rsid w:val="2DD15014"/>
    <w:rsid w:val="2DE73489"/>
    <w:rsid w:val="2DF72DE4"/>
    <w:rsid w:val="2E0220AF"/>
    <w:rsid w:val="2E2D690F"/>
    <w:rsid w:val="2E4B082A"/>
    <w:rsid w:val="2E5D4E86"/>
    <w:rsid w:val="2E5D790B"/>
    <w:rsid w:val="2E907CAC"/>
    <w:rsid w:val="2E9A3C18"/>
    <w:rsid w:val="2EAE5EE7"/>
    <w:rsid w:val="2EB96E75"/>
    <w:rsid w:val="2EBB0FEE"/>
    <w:rsid w:val="2EC63002"/>
    <w:rsid w:val="2F0A6B38"/>
    <w:rsid w:val="2F427356"/>
    <w:rsid w:val="2F8310E0"/>
    <w:rsid w:val="2F946CCB"/>
    <w:rsid w:val="2FD25781"/>
    <w:rsid w:val="2FFD7934"/>
    <w:rsid w:val="3027350F"/>
    <w:rsid w:val="304229F7"/>
    <w:rsid w:val="30733ACD"/>
    <w:rsid w:val="308C3862"/>
    <w:rsid w:val="308D671A"/>
    <w:rsid w:val="309379D8"/>
    <w:rsid w:val="30A16923"/>
    <w:rsid w:val="30A270F7"/>
    <w:rsid w:val="30DF1478"/>
    <w:rsid w:val="30E40B8A"/>
    <w:rsid w:val="30EC586F"/>
    <w:rsid w:val="31590FFB"/>
    <w:rsid w:val="319C6071"/>
    <w:rsid w:val="31AC537E"/>
    <w:rsid w:val="31E3679B"/>
    <w:rsid w:val="31E732FD"/>
    <w:rsid w:val="32517576"/>
    <w:rsid w:val="32BE5C2C"/>
    <w:rsid w:val="32D43612"/>
    <w:rsid w:val="32FB6478"/>
    <w:rsid w:val="33026E1D"/>
    <w:rsid w:val="33263B3F"/>
    <w:rsid w:val="336963EB"/>
    <w:rsid w:val="33816EEB"/>
    <w:rsid w:val="338B4ADF"/>
    <w:rsid w:val="33AD49A1"/>
    <w:rsid w:val="33D83D04"/>
    <w:rsid w:val="33EB55CD"/>
    <w:rsid w:val="33EC4C02"/>
    <w:rsid w:val="33FB67AC"/>
    <w:rsid w:val="340D2360"/>
    <w:rsid w:val="3410665D"/>
    <w:rsid w:val="34211214"/>
    <w:rsid w:val="342E63AB"/>
    <w:rsid w:val="346769BB"/>
    <w:rsid w:val="34950E68"/>
    <w:rsid w:val="34986E94"/>
    <w:rsid w:val="34AF62C9"/>
    <w:rsid w:val="34CB4388"/>
    <w:rsid w:val="34FA6E12"/>
    <w:rsid w:val="358D5588"/>
    <w:rsid w:val="362B6302"/>
    <w:rsid w:val="3634593D"/>
    <w:rsid w:val="363A3B40"/>
    <w:rsid w:val="365302AE"/>
    <w:rsid w:val="36607A0A"/>
    <w:rsid w:val="366E227C"/>
    <w:rsid w:val="366F2E0D"/>
    <w:rsid w:val="367B6A5C"/>
    <w:rsid w:val="36A74ADA"/>
    <w:rsid w:val="36AD60D5"/>
    <w:rsid w:val="36B224F9"/>
    <w:rsid w:val="36EC0CC9"/>
    <w:rsid w:val="371C3C3F"/>
    <w:rsid w:val="373F410B"/>
    <w:rsid w:val="375D2779"/>
    <w:rsid w:val="3762240D"/>
    <w:rsid w:val="37EE7094"/>
    <w:rsid w:val="37F87D3F"/>
    <w:rsid w:val="38296C89"/>
    <w:rsid w:val="383002EB"/>
    <w:rsid w:val="383511CC"/>
    <w:rsid w:val="38586797"/>
    <w:rsid w:val="385C6928"/>
    <w:rsid w:val="38743CBC"/>
    <w:rsid w:val="38BC0149"/>
    <w:rsid w:val="38D417C5"/>
    <w:rsid w:val="38D87D1C"/>
    <w:rsid w:val="38E044AD"/>
    <w:rsid w:val="39636459"/>
    <w:rsid w:val="396B7F6C"/>
    <w:rsid w:val="39783C80"/>
    <w:rsid w:val="39B417A9"/>
    <w:rsid w:val="39FC5695"/>
    <w:rsid w:val="3A006D8E"/>
    <w:rsid w:val="3A3651E5"/>
    <w:rsid w:val="3A744481"/>
    <w:rsid w:val="3A8C7BEF"/>
    <w:rsid w:val="3A906246"/>
    <w:rsid w:val="3B2349B7"/>
    <w:rsid w:val="3B616CFF"/>
    <w:rsid w:val="3B6259F6"/>
    <w:rsid w:val="3B976654"/>
    <w:rsid w:val="3BC01EFC"/>
    <w:rsid w:val="3BCA786A"/>
    <w:rsid w:val="3BD31E2F"/>
    <w:rsid w:val="3BD90C92"/>
    <w:rsid w:val="3BDE3756"/>
    <w:rsid w:val="3BF15831"/>
    <w:rsid w:val="3C105946"/>
    <w:rsid w:val="3C471448"/>
    <w:rsid w:val="3C5F759A"/>
    <w:rsid w:val="3C6C525A"/>
    <w:rsid w:val="3C7347B7"/>
    <w:rsid w:val="3CCE23CB"/>
    <w:rsid w:val="3CCF3BB7"/>
    <w:rsid w:val="3CD17D17"/>
    <w:rsid w:val="3D2F666C"/>
    <w:rsid w:val="3D3C7F39"/>
    <w:rsid w:val="3D440F09"/>
    <w:rsid w:val="3D4504A0"/>
    <w:rsid w:val="3D8734BB"/>
    <w:rsid w:val="3D9A11D4"/>
    <w:rsid w:val="3DA16D89"/>
    <w:rsid w:val="3DA364BE"/>
    <w:rsid w:val="3DAF7496"/>
    <w:rsid w:val="3DE041CB"/>
    <w:rsid w:val="3E0D48F6"/>
    <w:rsid w:val="3E1868B4"/>
    <w:rsid w:val="3E377251"/>
    <w:rsid w:val="3E42664B"/>
    <w:rsid w:val="3E5A7334"/>
    <w:rsid w:val="3E7B5D6B"/>
    <w:rsid w:val="3E843E66"/>
    <w:rsid w:val="3E8F51FE"/>
    <w:rsid w:val="3E91236D"/>
    <w:rsid w:val="3E926F87"/>
    <w:rsid w:val="3E9A59DE"/>
    <w:rsid w:val="3EAF4836"/>
    <w:rsid w:val="3EC33DFA"/>
    <w:rsid w:val="3F060E16"/>
    <w:rsid w:val="3F1D1096"/>
    <w:rsid w:val="3F2E6D77"/>
    <w:rsid w:val="3F2F0234"/>
    <w:rsid w:val="3F6363FE"/>
    <w:rsid w:val="3F6E9E01"/>
    <w:rsid w:val="3F756B8F"/>
    <w:rsid w:val="3F95482B"/>
    <w:rsid w:val="3FAC23E3"/>
    <w:rsid w:val="4019356B"/>
    <w:rsid w:val="40592157"/>
    <w:rsid w:val="406E1CAE"/>
    <w:rsid w:val="40814F73"/>
    <w:rsid w:val="40A0133A"/>
    <w:rsid w:val="40B64990"/>
    <w:rsid w:val="40C31A53"/>
    <w:rsid w:val="40E01788"/>
    <w:rsid w:val="40FF2192"/>
    <w:rsid w:val="40FF545D"/>
    <w:rsid w:val="410067C8"/>
    <w:rsid w:val="4122312A"/>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C63DA"/>
    <w:rsid w:val="43977AB6"/>
    <w:rsid w:val="43A3342B"/>
    <w:rsid w:val="43C77C27"/>
    <w:rsid w:val="43CE30AE"/>
    <w:rsid w:val="43DE09EE"/>
    <w:rsid w:val="43FB3B18"/>
    <w:rsid w:val="44002FAD"/>
    <w:rsid w:val="44887711"/>
    <w:rsid w:val="449101DD"/>
    <w:rsid w:val="44B82185"/>
    <w:rsid w:val="44DE1391"/>
    <w:rsid w:val="451B225C"/>
    <w:rsid w:val="452410C9"/>
    <w:rsid w:val="45317DFB"/>
    <w:rsid w:val="456D3CE4"/>
    <w:rsid w:val="4579042C"/>
    <w:rsid w:val="457F0571"/>
    <w:rsid w:val="45851176"/>
    <w:rsid w:val="45AF18A8"/>
    <w:rsid w:val="45C63B94"/>
    <w:rsid w:val="460E7DA5"/>
    <w:rsid w:val="463C5764"/>
    <w:rsid w:val="46422483"/>
    <w:rsid w:val="4659254A"/>
    <w:rsid w:val="465B0637"/>
    <w:rsid w:val="465E3F0D"/>
    <w:rsid w:val="466A16E6"/>
    <w:rsid w:val="46795D0A"/>
    <w:rsid w:val="46893F2B"/>
    <w:rsid w:val="46C4686E"/>
    <w:rsid w:val="47282841"/>
    <w:rsid w:val="47477F6F"/>
    <w:rsid w:val="47583623"/>
    <w:rsid w:val="477B778F"/>
    <w:rsid w:val="478203EC"/>
    <w:rsid w:val="47B025FA"/>
    <w:rsid w:val="4809698F"/>
    <w:rsid w:val="4811697D"/>
    <w:rsid w:val="487A3E25"/>
    <w:rsid w:val="487B0469"/>
    <w:rsid w:val="488B5503"/>
    <w:rsid w:val="48937E21"/>
    <w:rsid w:val="489A0361"/>
    <w:rsid w:val="48B94FF3"/>
    <w:rsid w:val="48E37AAB"/>
    <w:rsid w:val="48FD4B4C"/>
    <w:rsid w:val="49016555"/>
    <w:rsid w:val="490A68E0"/>
    <w:rsid w:val="491055FE"/>
    <w:rsid w:val="49307104"/>
    <w:rsid w:val="495F5B3E"/>
    <w:rsid w:val="496F77D7"/>
    <w:rsid w:val="497654FD"/>
    <w:rsid w:val="49B64211"/>
    <w:rsid w:val="49F6167F"/>
    <w:rsid w:val="4A064FA0"/>
    <w:rsid w:val="4A16615C"/>
    <w:rsid w:val="4A4424D7"/>
    <w:rsid w:val="4A792E07"/>
    <w:rsid w:val="4AB82D0F"/>
    <w:rsid w:val="4ACB0D86"/>
    <w:rsid w:val="4ACC2F2D"/>
    <w:rsid w:val="4AEB7664"/>
    <w:rsid w:val="4AFD7C19"/>
    <w:rsid w:val="4B0567D1"/>
    <w:rsid w:val="4B1650A7"/>
    <w:rsid w:val="4B236AAE"/>
    <w:rsid w:val="4B707271"/>
    <w:rsid w:val="4B9739F7"/>
    <w:rsid w:val="4B9D56FF"/>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3481C"/>
    <w:rsid w:val="4F47354A"/>
    <w:rsid w:val="4F911C54"/>
    <w:rsid w:val="4FD23C92"/>
    <w:rsid w:val="4FE625E0"/>
    <w:rsid w:val="5021480F"/>
    <w:rsid w:val="50962ECB"/>
    <w:rsid w:val="50A42E38"/>
    <w:rsid w:val="50A4577F"/>
    <w:rsid w:val="50B73D1F"/>
    <w:rsid w:val="50BD5BC9"/>
    <w:rsid w:val="50C11EEE"/>
    <w:rsid w:val="50E227A9"/>
    <w:rsid w:val="50E772C9"/>
    <w:rsid w:val="50E97CFC"/>
    <w:rsid w:val="50FA4028"/>
    <w:rsid w:val="510D65B7"/>
    <w:rsid w:val="511157AB"/>
    <w:rsid w:val="5142540C"/>
    <w:rsid w:val="51883119"/>
    <w:rsid w:val="518832C8"/>
    <w:rsid w:val="51A0432A"/>
    <w:rsid w:val="51A85D4C"/>
    <w:rsid w:val="51A86090"/>
    <w:rsid w:val="51B7396D"/>
    <w:rsid w:val="522E4CC3"/>
    <w:rsid w:val="5244713B"/>
    <w:rsid w:val="52615633"/>
    <w:rsid w:val="52977FD4"/>
    <w:rsid w:val="52A25790"/>
    <w:rsid w:val="52A96B6F"/>
    <w:rsid w:val="52B45975"/>
    <w:rsid w:val="52D94AA4"/>
    <w:rsid w:val="52EA3A62"/>
    <w:rsid w:val="52F50BB8"/>
    <w:rsid w:val="53097272"/>
    <w:rsid w:val="53422A0F"/>
    <w:rsid w:val="53544462"/>
    <w:rsid w:val="536E566D"/>
    <w:rsid w:val="5397158E"/>
    <w:rsid w:val="53D53D51"/>
    <w:rsid w:val="54013861"/>
    <w:rsid w:val="54487265"/>
    <w:rsid w:val="544D6070"/>
    <w:rsid w:val="54605E1E"/>
    <w:rsid w:val="546A0AE5"/>
    <w:rsid w:val="54B3506A"/>
    <w:rsid w:val="54CA0D16"/>
    <w:rsid w:val="54DD4057"/>
    <w:rsid w:val="54E7490F"/>
    <w:rsid w:val="54F7464C"/>
    <w:rsid w:val="550764A4"/>
    <w:rsid w:val="550B2BF6"/>
    <w:rsid w:val="55214EB5"/>
    <w:rsid w:val="55364EFD"/>
    <w:rsid w:val="554F18ED"/>
    <w:rsid w:val="5555739E"/>
    <w:rsid w:val="555D4828"/>
    <w:rsid w:val="557A4C8B"/>
    <w:rsid w:val="558931E1"/>
    <w:rsid w:val="55923347"/>
    <w:rsid w:val="55925180"/>
    <w:rsid w:val="55983B1B"/>
    <w:rsid w:val="55A8376B"/>
    <w:rsid w:val="55DC29B6"/>
    <w:rsid w:val="55DD4241"/>
    <w:rsid w:val="566B6D1E"/>
    <w:rsid w:val="56A6554F"/>
    <w:rsid w:val="56B401A5"/>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00F8B"/>
    <w:rsid w:val="58E363A9"/>
    <w:rsid w:val="590621D0"/>
    <w:rsid w:val="595E1678"/>
    <w:rsid w:val="596D5BD4"/>
    <w:rsid w:val="597E3DD8"/>
    <w:rsid w:val="59D15549"/>
    <w:rsid w:val="59F80043"/>
    <w:rsid w:val="5A09252F"/>
    <w:rsid w:val="5A0B2778"/>
    <w:rsid w:val="5A2A7C7B"/>
    <w:rsid w:val="5A3E2560"/>
    <w:rsid w:val="5A4F343E"/>
    <w:rsid w:val="5A5D3B6E"/>
    <w:rsid w:val="5A637A76"/>
    <w:rsid w:val="5A6D33BA"/>
    <w:rsid w:val="5A792B1F"/>
    <w:rsid w:val="5A874767"/>
    <w:rsid w:val="5AAD6F28"/>
    <w:rsid w:val="5AD63A24"/>
    <w:rsid w:val="5B2E1A1D"/>
    <w:rsid w:val="5B695F75"/>
    <w:rsid w:val="5B843A1C"/>
    <w:rsid w:val="5B873E3F"/>
    <w:rsid w:val="5BAD7E77"/>
    <w:rsid w:val="5C02690E"/>
    <w:rsid w:val="5C196DA7"/>
    <w:rsid w:val="5C28123C"/>
    <w:rsid w:val="5C2A048C"/>
    <w:rsid w:val="5C332962"/>
    <w:rsid w:val="5C663AEC"/>
    <w:rsid w:val="5C80234E"/>
    <w:rsid w:val="5C8A680C"/>
    <w:rsid w:val="5CB17682"/>
    <w:rsid w:val="5CDA0FB4"/>
    <w:rsid w:val="5CEE378D"/>
    <w:rsid w:val="5D0C4701"/>
    <w:rsid w:val="5D0F0395"/>
    <w:rsid w:val="5D0F619A"/>
    <w:rsid w:val="5D221076"/>
    <w:rsid w:val="5D397964"/>
    <w:rsid w:val="5D5A391C"/>
    <w:rsid w:val="5D5F10C0"/>
    <w:rsid w:val="5D891B7B"/>
    <w:rsid w:val="5D9562FF"/>
    <w:rsid w:val="5DAD38EE"/>
    <w:rsid w:val="5E006862"/>
    <w:rsid w:val="5E0207B9"/>
    <w:rsid w:val="5E1834A1"/>
    <w:rsid w:val="5E261785"/>
    <w:rsid w:val="5E4A7017"/>
    <w:rsid w:val="5E552BBA"/>
    <w:rsid w:val="5E611C10"/>
    <w:rsid w:val="5E7F2C2E"/>
    <w:rsid w:val="5EFC7377"/>
    <w:rsid w:val="5F06174D"/>
    <w:rsid w:val="5F3A3602"/>
    <w:rsid w:val="5F6277C6"/>
    <w:rsid w:val="5F6D0B1D"/>
    <w:rsid w:val="5F8D0B82"/>
    <w:rsid w:val="5FACCEA0"/>
    <w:rsid w:val="5FCC5339"/>
    <w:rsid w:val="5FE34A5B"/>
    <w:rsid w:val="5FE7410A"/>
    <w:rsid w:val="5FFE1E36"/>
    <w:rsid w:val="60232584"/>
    <w:rsid w:val="607330CE"/>
    <w:rsid w:val="60753D8B"/>
    <w:rsid w:val="60825176"/>
    <w:rsid w:val="608C37ED"/>
    <w:rsid w:val="609F2AC4"/>
    <w:rsid w:val="60FA2EE8"/>
    <w:rsid w:val="61054A27"/>
    <w:rsid w:val="610A52BC"/>
    <w:rsid w:val="611D2366"/>
    <w:rsid w:val="612B0212"/>
    <w:rsid w:val="61421856"/>
    <w:rsid w:val="615227C4"/>
    <w:rsid w:val="61654E3F"/>
    <w:rsid w:val="6182292A"/>
    <w:rsid w:val="619F7F92"/>
    <w:rsid w:val="61F94C26"/>
    <w:rsid w:val="62000E56"/>
    <w:rsid w:val="624F3E49"/>
    <w:rsid w:val="62632286"/>
    <w:rsid w:val="62885958"/>
    <w:rsid w:val="62A170A1"/>
    <w:rsid w:val="62C3746A"/>
    <w:rsid w:val="62F40B65"/>
    <w:rsid w:val="62FC2CFE"/>
    <w:rsid w:val="63024505"/>
    <w:rsid w:val="63037672"/>
    <w:rsid w:val="63436839"/>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9336FC"/>
    <w:rsid w:val="660B715E"/>
    <w:rsid w:val="66195831"/>
    <w:rsid w:val="662B3D98"/>
    <w:rsid w:val="662E75B1"/>
    <w:rsid w:val="66342C2E"/>
    <w:rsid w:val="663E784C"/>
    <w:rsid w:val="668B6A45"/>
    <w:rsid w:val="672C3830"/>
    <w:rsid w:val="672F3F24"/>
    <w:rsid w:val="673E055F"/>
    <w:rsid w:val="67551CE3"/>
    <w:rsid w:val="67962066"/>
    <w:rsid w:val="67A22552"/>
    <w:rsid w:val="67B22DCC"/>
    <w:rsid w:val="67BE71AA"/>
    <w:rsid w:val="67D90273"/>
    <w:rsid w:val="67DE5875"/>
    <w:rsid w:val="67E55852"/>
    <w:rsid w:val="67EB1AB4"/>
    <w:rsid w:val="67FA1285"/>
    <w:rsid w:val="68201B7F"/>
    <w:rsid w:val="68551F4F"/>
    <w:rsid w:val="687C10C9"/>
    <w:rsid w:val="68840C16"/>
    <w:rsid w:val="68876EFB"/>
    <w:rsid w:val="68884654"/>
    <w:rsid w:val="689F444F"/>
    <w:rsid w:val="68B96DBB"/>
    <w:rsid w:val="68CA2805"/>
    <w:rsid w:val="68E937A3"/>
    <w:rsid w:val="693E15D3"/>
    <w:rsid w:val="69496731"/>
    <w:rsid w:val="69627681"/>
    <w:rsid w:val="6977531D"/>
    <w:rsid w:val="69BA1155"/>
    <w:rsid w:val="69CC2BFF"/>
    <w:rsid w:val="69FD55B8"/>
    <w:rsid w:val="6A0B1C62"/>
    <w:rsid w:val="6A2406C8"/>
    <w:rsid w:val="6A732DB2"/>
    <w:rsid w:val="6ADE0BD1"/>
    <w:rsid w:val="6AE96859"/>
    <w:rsid w:val="6B147746"/>
    <w:rsid w:val="6B24787C"/>
    <w:rsid w:val="6B573233"/>
    <w:rsid w:val="6B5B6274"/>
    <w:rsid w:val="6B935D53"/>
    <w:rsid w:val="6BFF57BE"/>
    <w:rsid w:val="6C196F71"/>
    <w:rsid w:val="6C1D047C"/>
    <w:rsid w:val="6C226FCB"/>
    <w:rsid w:val="6C31226F"/>
    <w:rsid w:val="6C552F0B"/>
    <w:rsid w:val="6C8C67B7"/>
    <w:rsid w:val="6C9360FF"/>
    <w:rsid w:val="6C9D744C"/>
    <w:rsid w:val="6CC12C6C"/>
    <w:rsid w:val="6D167928"/>
    <w:rsid w:val="6D26299B"/>
    <w:rsid w:val="6D4772EC"/>
    <w:rsid w:val="6D9078AF"/>
    <w:rsid w:val="6DAA3FEF"/>
    <w:rsid w:val="6DC0172B"/>
    <w:rsid w:val="6DCB690C"/>
    <w:rsid w:val="6DD41A5B"/>
    <w:rsid w:val="6DF43C2E"/>
    <w:rsid w:val="6DF51CA3"/>
    <w:rsid w:val="6E8335BD"/>
    <w:rsid w:val="6E8E12EF"/>
    <w:rsid w:val="6E972936"/>
    <w:rsid w:val="6EBEB0B9"/>
    <w:rsid w:val="6ED250CB"/>
    <w:rsid w:val="6ED446C5"/>
    <w:rsid w:val="6F2A7D94"/>
    <w:rsid w:val="6F8331F1"/>
    <w:rsid w:val="6FAE1A09"/>
    <w:rsid w:val="6FB67F93"/>
    <w:rsid w:val="6FD75BF8"/>
    <w:rsid w:val="707723D0"/>
    <w:rsid w:val="70E31AFB"/>
    <w:rsid w:val="70F5661B"/>
    <w:rsid w:val="71184396"/>
    <w:rsid w:val="71276082"/>
    <w:rsid w:val="71360107"/>
    <w:rsid w:val="713B688E"/>
    <w:rsid w:val="71D43752"/>
    <w:rsid w:val="71F1796A"/>
    <w:rsid w:val="72120343"/>
    <w:rsid w:val="72154626"/>
    <w:rsid w:val="72262B5D"/>
    <w:rsid w:val="72283FF7"/>
    <w:rsid w:val="722E7212"/>
    <w:rsid w:val="723A0474"/>
    <w:rsid w:val="724101BC"/>
    <w:rsid w:val="725923E4"/>
    <w:rsid w:val="72864BF7"/>
    <w:rsid w:val="729023FC"/>
    <w:rsid w:val="731A5A90"/>
    <w:rsid w:val="73C0646E"/>
    <w:rsid w:val="742222F5"/>
    <w:rsid w:val="74476126"/>
    <w:rsid w:val="7468752D"/>
    <w:rsid w:val="74706664"/>
    <w:rsid w:val="747F3682"/>
    <w:rsid w:val="749C4185"/>
    <w:rsid w:val="74B135C7"/>
    <w:rsid w:val="75067759"/>
    <w:rsid w:val="751A5B91"/>
    <w:rsid w:val="752E6DCD"/>
    <w:rsid w:val="7551380D"/>
    <w:rsid w:val="75600BE5"/>
    <w:rsid w:val="7564475C"/>
    <w:rsid w:val="7583797F"/>
    <w:rsid w:val="75D20F1D"/>
    <w:rsid w:val="75DA2C18"/>
    <w:rsid w:val="75F54412"/>
    <w:rsid w:val="761D08E0"/>
    <w:rsid w:val="764B7247"/>
    <w:rsid w:val="765D347C"/>
    <w:rsid w:val="766E23EF"/>
    <w:rsid w:val="76826699"/>
    <w:rsid w:val="76A31123"/>
    <w:rsid w:val="76C87133"/>
    <w:rsid w:val="76CD08D5"/>
    <w:rsid w:val="76DB4B92"/>
    <w:rsid w:val="76FFC109"/>
    <w:rsid w:val="77052AA4"/>
    <w:rsid w:val="77136511"/>
    <w:rsid w:val="77340A39"/>
    <w:rsid w:val="77351FD0"/>
    <w:rsid w:val="77472422"/>
    <w:rsid w:val="777F31F2"/>
    <w:rsid w:val="779A2A38"/>
    <w:rsid w:val="77D1700D"/>
    <w:rsid w:val="77EC04CC"/>
    <w:rsid w:val="77EC0AC8"/>
    <w:rsid w:val="78064B00"/>
    <w:rsid w:val="78775729"/>
    <w:rsid w:val="78836C56"/>
    <w:rsid w:val="78A42DB0"/>
    <w:rsid w:val="78A656AB"/>
    <w:rsid w:val="78B2245C"/>
    <w:rsid w:val="78E172CC"/>
    <w:rsid w:val="78EA1D1F"/>
    <w:rsid w:val="7904172F"/>
    <w:rsid w:val="790F7E27"/>
    <w:rsid w:val="792A231A"/>
    <w:rsid w:val="79316829"/>
    <w:rsid w:val="7977EA49"/>
    <w:rsid w:val="797E66A9"/>
    <w:rsid w:val="79A93A84"/>
    <w:rsid w:val="79A97383"/>
    <w:rsid w:val="79E27E8B"/>
    <w:rsid w:val="79EB4D7F"/>
    <w:rsid w:val="79F850CE"/>
    <w:rsid w:val="79FD443C"/>
    <w:rsid w:val="79FED13D"/>
    <w:rsid w:val="7A1D1975"/>
    <w:rsid w:val="7A3E5150"/>
    <w:rsid w:val="7A4670D6"/>
    <w:rsid w:val="7A534B63"/>
    <w:rsid w:val="7A615382"/>
    <w:rsid w:val="7A67303B"/>
    <w:rsid w:val="7AAB1D04"/>
    <w:rsid w:val="7ABA4368"/>
    <w:rsid w:val="7AD05746"/>
    <w:rsid w:val="7AEF2B8B"/>
    <w:rsid w:val="7B257FFD"/>
    <w:rsid w:val="7B343476"/>
    <w:rsid w:val="7B5A2978"/>
    <w:rsid w:val="7B5A7E4C"/>
    <w:rsid w:val="7B667AF9"/>
    <w:rsid w:val="7B7468F8"/>
    <w:rsid w:val="7BEC0580"/>
    <w:rsid w:val="7BEE0103"/>
    <w:rsid w:val="7BFFCC1E"/>
    <w:rsid w:val="7BFFF802"/>
    <w:rsid w:val="7C0A0FE4"/>
    <w:rsid w:val="7C254906"/>
    <w:rsid w:val="7C564D04"/>
    <w:rsid w:val="7C590818"/>
    <w:rsid w:val="7C7C10F6"/>
    <w:rsid w:val="7C853BEA"/>
    <w:rsid w:val="7C881368"/>
    <w:rsid w:val="7CDF94D1"/>
    <w:rsid w:val="7CE27788"/>
    <w:rsid w:val="7D0C32F1"/>
    <w:rsid w:val="7D0F408D"/>
    <w:rsid w:val="7D1A12F3"/>
    <w:rsid w:val="7D36B030"/>
    <w:rsid w:val="7D491C6C"/>
    <w:rsid w:val="7D5429C0"/>
    <w:rsid w:val="7D6E6D43"/>
    <w:rsid w:val="7DB1596A"/>
    <w:rsid w:val="7DB57A34"/>
    <w:rsid w:val="7DE60973"/>
    <w:rsid w:val="7DEF0916"/>
    <w:rsid w:val="7E1E5218"/>
    <w:rsid w:val="7E9A4E1F"/>
    <w:rsid w:val="7EA7723A"/>
    <w:rsid w:val="7ECA04D2"/>
    <w:rsid w:val="7EF56FBB"/>
    <w:rsid w:val="7F0768EB"/>
    <w:rsid w:val="7F0F7BEC"/>
    <w:rsid w:val="7F143BEC"/>
    <w:rsid w:val="7F310387"/>
    <w:rsid w:val="7F352A2A"/>
    <w:rsid w:val="7F3779D6"/>
    <w:rsid w:val="7F715AF2"/>
    <w:rsid w:val="7F886E69"/>
    <w:rsid w:val="7FBB51DD"/>
    <w:rsid w:val="7FBE655B"/>
    <w:rsid w:val="87FE36AB"/>
    <w:rsid w:val="BAFB0BF7"/>
    <w:rsid w:val="BAFFF6D6"/>
    <w:rsid w:val="BB7FA927"/>
    <w:rsid w:val="BBFF1826"/>
    <w:rsid w:val="CF7BB829"/>
    <w:rsid w:val="DE7168F2"/>
    <w:rsid w:val="DFB6AA09"/>
    <w:rsid w:val="E8F7693D"/>
    <w:rsid w:val="F19F5883"/>
    <w:rsid w:val="F5EFB1AA"/>
    <w:rsid w:val="F5FFD31F"/>
    <w:rsid w:val="F9FF4410"/>
    <w:rsid w:val="FB6E7303"/>
    <w:rsid w:val="FBBEFEB1"/>
    <w:rsid w:val="FBFEF1E0"/>
    <w:rsid w:val="FCF31AF3"/>
    <w:rsid w:val="FDEB657F"/>
    <w:rsid w:val="FF2773E3"/>
    <w:rsid w:val="FFE53874"/>
    <w:rsid w:val="FFE66B80"/>
    <w:rsid w:val="FFED6A97"/>
    <w:rsid w:val="FFFF6B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0"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Plain Text"/>
    <w:basedOn w:val="1"/>
    <w:next w:val="1"/>
    <w:link w:val="129"/>
    <w:qFormat/>
    <w:uiPriority w:val="0"/>
    <w:rPr>
      <w:rFonts w:ascii="宋体" w:hAnsi="Courier New" w:cs="Arial"/>
      <w:snapToGrid w:val="0"/>
      <w:szCs w:val="21"/>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link w:val="197"/>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8"/>
    <w:link w:val="269"/>
    <w:qFormat/>
    <w:uiPriority w:val="0"/>
    <w:pPr>
      <w:spacing w:line="480" w:lineRule="exact"/>
      <w:ind w:firstLine="480" w:firstLineChars="200"/>
    </w:pPr>
    <w:rPr>
      <w:rFonts w:ascii="宋体" w:hAnsi="宋体"/>
      <w:sz w:val="24"/>
    </w:rPr>
  </w:style>
  <w:style w:type="paragraph" w:styleId="18">
    <w:name w:val="envelope return"/>
    <w:basedOn w:val="1"/>
    <w:qFormat/>
    <w:uiPriority w:val="0"/>
    <w:pPr>
      <w:snapToGrid w:val="0"/>
    </w:pPr>
    <w:rPr>
      <w:rFonts w:ascii="Arial" w:hAnsi="Arial" w:eastAsia="仿宋_GB2312" w:cs="Arial"/>
      <w:sz w:val="32"/>
      <w:szCs w:val="32"/>
    </w:rPr>
  </w:style>
  <w:style w:type="paragraph" w:styleId="19">
    <w:name w:val="caption"/>
    <w:basedOn w:val="1"/>
    <w:next w:val="1"/>
    <w:link w:val="233"/>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6"/>
    <w:qFormat/>
    <w:uiPriority w:val="0"/>
    <w:pPr>
      <w:shd w:val="clear" w:color="auto" w:fill="000080"/>
    </w:pPr>
  </w:style>
  <w:style w:type="paragraph" w:styleId="22">
    <w:name w:val="annotation text"/>
    <w:basedOn w:val="1"/>
    <w:link w:val="348"/>
    <w:qFormat/>
    <w:uiPriority w:val="99"/>
    <w:pPr>
      <w:jc w:val="left"/>
    </w:pPr>
  </w:style>
  <w:style w:type="paragraph" w:styleId="23">
    <w:name w:val="Salutation"/>
    <w:basedOn w:val="1"/>
    <w:next w:val="1"/>
    <w:link w:val="302"/>
    <w:qFormat/>
    <w:uiPriority w:val="0"/>
    <w:rPr>
      <w:rFonts w:ascii="仿宋_GB2312" w:eastAsia="仿宋_GB2312"/>
      <w:sz w:val="28"/>
      <w:szCs w:val="20"/>
    </w:rPr>
  </w:style>
  <w:style w:type="paragraph" w:styleId="24">
    <w:name w:val="Body Text 3"/>
    <w:basedOn w:val="1"/>
    <w:link w:val="334"/>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3"/>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325"/>
    <w:qFormat/>
    <w:uiPriority w:val="0"/>
    <w:pPr>
      <w:ind w:firstLine="420"/>
    </w:pPr>
    <w:rPr>
      <w:rFonts w:hAnsi="Calibri" w:cs="Times New Roman"/>
      <w:snapToGrid/>
      <w:szCs w:val="20"/>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5"/>
    <w:qFormat/>
    <w:uiPriority w:val="0"/>
    <w:pPr>
      <w:ind w:left="100" w:leftChars="2500"/>
    </w:pPr>
    <w:rPr>
      <w:rFonts w:ascii="宋体"/>
      <w:sz w:val="24"/>
      <w:szCs w:val="21"/>
      <w:lang w:val="zh-CN"/>
    </w:rPr>
  </w:style>
  <w:style w:type="paragraph" w:styleId="38">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2"/>
    <w:qFormat/>
    <w:uiPriority w:val="0"/>
    <w:rPr>
      <w:sz w:val="18"/>
      <w:szCs w:val="18"/>
    </w:rPr>
  </w:style>
  <w:style w:type="paragraph" w:styleId="41">
    <w:name w:val="footer"/>
    <w:basedOn w:val="1"/>
    <w:link w:val="387"/>
    <w:qFormat/>
    <w:uiPriority w:val="99"/>
    <w:pPr>
      <w:tabs>
        <w:tab w:val="center" w:pos="4153"/>
        <w:tab w:val="right" w:pos="8306"/>
      </w:tabs>
      <w:snapToGrid w:val="0"/>
      <w:jc w:val="left"/>
    </w:pPr>
    <w:rPr>
      <w:sz w:val="18"/>
      <w:szCs w:val="18"/>
    </w:rPr>
  </w:style>
  <w:style w:type="paragraph" w:styleId="42">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basedOn w:val="1"/>
    <w:next w:val="1"/>
    <w:link w:val="137"/>
    <w:qFormat/>
    <w:uiPriority w:val="0"/>
    <w:pPr>
      <w:snapToGrid w:val="0"/>
      <w:spacing w:before="240" w:after="480"/>
      <w:jc w:val="center"/>
    </w:pPr>
    <w:rPr>
      <w:rFonts w:ascii="Arial" w:hAnsi="Arial" w:eastAsia="隶书"/>
      <w:b/>
      <w:bCs/>
      <w:kern w:val="28"/>
      <w:sz w:val="44"/>
      <w:szCs w:val="32"/>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4"/>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9"/>
    <w:qFormat/>
    <w:uiPriority w:val="0"/>
    <w:pPr>
      <w:spacing w:line="360" w:lineRule="auto"/>
      <w:ind w:firstLine="420"/>
    </w:pPr>
    <w:rPr>
      <w:sz w:val="24"/>
      <w:szCs w:val="20"/>
    </w:rPr>
  </w:style>
  <w:style w:type="paragraph" w:styleId="55">
    <w:name w:val="table of figures"/>
    <w:basedOn w:val="1"/>
    <w:next w:val="1"/>
    <w:unhideWhenUsed/>
    <w:qFormat/>
    <w:uiPriority w:val="0"/>
    <w:pPr>
      <w:tabs>
        <w:tab w:val="left" w:pos="1270"/>
      </w:tabs>
      <w:spacing w:line="360" w:lineRule="auto"/>
      <w:ind w:left="1270" w:hanging="420"/>
      <w:jc w:val="left"/>
    </w:pPr>
    <w:rPr>
      <w:smallCaps/>
      <w:sz w:val="20"/>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6"/>
    <w:qFormat/>
    <w:uiPriority w:val="0"/>
    <w:pPr>
      <w:spacing w:after="120" w:line="480" w:lineRule="auto"/>
    </w:pPr>
  </w:style>
  <w:style w:type="paragraph" w:styleId="59">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90"/>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100"/>
    <w:qFormat/>
    <w:uiPriority w:val="0"/>
    <w:rPr>
      <w:b/>
      <w:bCs/>
    </w:rPr>
  </w:style>
  <w:style w:type="paragraph" w:styleId="63">
    <w:name w:val="Body Text First Indent 2"/>
    <w:basedOn w:val="17"/>
    <w:link w:val="125"/>
    <w:qFormat/>
    <w:uiPriority w:val="0"/>
    <w:pPr>
      <w:adjustRightInd/>
      <w:spacing w:after="120" w:line="240" w:lineRule="auto"/>
      <w:ind w:left="420" w:leftChars="200" w:firstLine="210"/>
    </w:pPr>
    <w:rPr>
      <w:sz w:val="21"/>
    </w:rPr>
  </w:style>
  <w:style w:type="table" w:styleId="65">
    <w:name w:val="Table Grid"/>
    <w:basedOn w:val="6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缩进）"/>
    <w:basedOn w:val="1"/>
    <w:qFormat/>
    <w:uiPriority w:val="0"/>
    <w:pPr>
      <w:spacing w:beforeLines="50" w:afterLines="50" w:line="360" w:lineRule="auto"/>
      <w:ind w:firstLine="480" w:firstLineChars="200"/>
    </w:pPr>
    <w:rPr>
      <w:rFonts w:ascii="Times New Roman" w:hAnsi="Times New Roman" w:eastAsia="宋体" w:cs="Times New Roman"/>
      <w:kern w:val="0"/>
      <w:sz w:val="24"/>
    </w:rPr>
  </w:style>
  <w:style w:type="paragraph" w:customStyle="1" w:styleId="82">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3">
    <w:name w:val="标题 1 字符"/>
    <w:qFormat/>
    <w:uiPriority w:val="9"/>
    <w:rPr>
      <w:rFonts w:ascii="Arial" w:hAnsi="Arial" w:eastAsia="黑体" w:cs="Arial"/>
      <w:b/>
      <w:bCs/>
      <w:snapToGrid w:val="0"/>
      <w:kern w:val="44"/>
      <w:sz w:val="44"/>
      <w:szCs w:val="44"/>
    </w:rPr>
  </w:style>
  <w:style w:type="paragraph" w:customStyle="1" w:styleId="84">
    <w:name w:val="表格文字"/>
    <w:basedOn w:val="85"/>
    <w:qFormat/>
    <w:uiPriority w:val="0"/>
    <w:pPr>
      <w:adjustRightInd/>
      <w:ind w:firstLine="200" w:firstLineChars="200"/>
    </w:pPr>
    <w:rPr>
      <w:rFonts w:ascii="Arial" w:hAnsi="Arial"/>
      <w:spacing w:val="-5"/>
      <w:kern w:val="0"/>
      <w:sz w:val="24"/>
      <w:szCs w:val="20"/>
    </w:rPr>
  </w:style>
  <w:style w:type="paragraph" w:customStyle="1" w:styleId="85">
    <w:name w:val="表格文字（两侧对齐）"/>
    <w:basedOn w:val="1"/>
    <w:qFormat/>
    <w:uiPriority w:val="0"/>
    <w:pPr>
      <w:snapToGrid w:val="0"/>
    </w:pPr>
    <w:rPr>
      <w:sz w:val="20"/>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2"/>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3"/>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1"/>
    <w:qFormat/>
    <w:uiPriority w:val="0"/>
    <w:rPr>
      <w:rFonts w:ascii="Arial" w:hAnsi="Arial" w:eastAsia="黑体" w:cs="Arial"/>
      <w:snapToGrid w:val="0"/>
      <w:kern w:val="0"/>
      <w:szCs w:val="21"/>
    </w:rPr>
  </w:style>
  <w:style w:type="character" w:customStyle="1" w:styleId="129">
    <w:name w:val="纯文本 字符1"/>
    <w:link w:val="5"/>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48"/>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7"/>
    <w:qFormat/>
    <w:uiPriority w:val="0"/>
    <w:rPr>
      <w:rFonts w:ascii="宋体"/>
      <w:kern w:val="2"/>
      <w:sz w:val="24"/>
      <w:szCs w:val="21"/>
      <w:lang w:val="zh-CN"/>
    </w:rPr>
  </w:style>
  <w:style w:type="character" w:customStyle="1" w:styleId="186">
    <w:name w:val="标题 9 字符"/>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40"/>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6"/>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21"/>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1"/>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2"/>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9"/>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字符1"/>
    <w:link w:val="17"/>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字符1"/>
    <w:link w:val="2"/>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字符"/>
    <w:link w:val="61"/>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字符"/>
    <w:link w:val="7"/>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字符"/>
    <w:link w:val="23"/>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字符"/>
    <w:link w:val="59"/>
    <w:qFormat/>
    <w:uiPriority w:val="0"/>
    <w:rPr>
      <w:rFonts w:ascii="黑体" w:hAnsi="Courier New" w:eastAsia="黑体"/>
    </w:rPr>
  </w:style>
  <w:style w:type="character" w:customStyle="1" w:styleId="306">
    <w:name w:val="正文文本 2 字符1"/>
    <w:link w:val="58"/>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字符"/>
    <w:link w:val="9"/>
    <w:qFormat/>
    <w:uiPriority w:val="0"/>
    <w:rPr>
      <w:b/>
      <w:bCs/>
      <w:kern w:val="2"/>
      <w:sz w:val="24"/>
      <w:szCs w:val="24"/>
    </w:rPr>
  </w:style>
  <w:style w:type="character" w:customStyle="1" w:styleId="312">
    <w:name w:val="正文文本缩进 2 字符"/>
    <w:link w:val="38"/>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字符"/>
    <w:link w:val="51"/>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文本首行缩进 字符"/>
    <w:link w:val="27"/>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6"/>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4"/>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22"/>
    <w:qFormat/>
    <w:uiPriority w:val="0"/>
    <w:rPr>
      <w:kern w:val="2"/>
      <w:sz w:val="21"/>
      <w:szCs w:val="24"/>
    </w:rPr>
  </w:style>
  <w:style w:type="character" w:customStyle="1" w:styleId="349">
    <w:name w:val="签名 字符"/>
    <w:link w:val="43"/>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字符"/>
    <w:link w:val="54"/>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字符2"/>
    <w:link w:val="41"/>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字符2"/>
    <w:link w:val="42"/>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99"/>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style36"/>
    <w:basedOn w:val="71"/>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34">
    <w:name w:val="gray6"/>
    <w:basedOn w:val="71"/>
    <w:qFormat/>
    <w:uiPriority w:val="0"/>
    <w:rPr>
      <w:rFonts w:ascii="Arial" w:hAnsi="Arial" w:eastAsia="黑体" w:cs="Arial"/>
      <w:snapToGrid w:val="0"/>
      <w:kern w:val="0"/>
      <w:szCs w:val="21"/>
    </w:rPr>
  </w:style>
  <w:style w:type="character" w:customStyle="1" w:styleId="435">
    <w:name w:val="hui"/>
    <w:basedOn w:val="71"/>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1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9"/>
    <w:next w:val="239"/>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9"/>
    <w:next w:val="239"/>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1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5"/>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1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1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17"/>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1"/>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字符"/>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character" w:customStyle="1" w:styleId="965">
    <w:name w:val="search_content1"/>
    <w:qFormat/>
    <w:uiPriority w:val="0"/>
    <w:rPr>
      <w:sz w:val="20"/>
      <w:szCs w:val="20"/>
    </w:rPr>
  </w:style>
  <w:style w:type="paragraph" w:customStyle="1" w:styleId="966">
    <w:name w:val="防指正文"/>
    <w:basedOn w:val="1"/>
    <w:qFormat/>
    <w:uiPriority w:val="0"/>
    <w:pPr>
      <w:tabs>
        <w:tab w:val="left" w:pos="540"/>
      </w:tabs>
      <w:snapToGrid w:val="0"/>
      <w:spacing w:line="360" w:lineRule="auto"/>
    </w:pPr>
    <w:rPr>
      <w:rFonts w:ascii="宋体" w:hAnsi="宋体"/>
      <w:bCs/>
      <w:sz w:val="24"/>
    </w:rPr>
  </w:style>
  <w:style w:type="character" w:customStyle="1" w:styleId="967">
    <w:name w:val="未处理的提及2"/>
    <w:basedOn w:val="71"/>
    <w:semiHidden/>
    <w:unhideWhenUsed/>
    <w:qFormat/>
    <w:uiPriority w:val="99"/>
    <w:rPr>
      <w:color w:val="605E5C"/>
      <w:shd w:val="clear" w:color="auto" w:fill="E1DFDD"/>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纯文本 字符2"/>
    <w:qFormat/>
    <w:uiPriority w:val="0"/>
    <w:rPr>
      <w:rFonts w:ascii="宋体" w:hAnsi="Courier New" w:eastAsia="宋体"/>
      <w:kern w:val="2"/>
      <w:sz w:val="21"/>
      <w:lang w:val="en-US" w:eastAsia="zh-CN" w:bidi="ar-SA"/>
    </w:rPr>
  </w:style>
  <w:style w:type="paragraph" w:customStyle="1" w:styleId="970">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971">
    <w:name w:val="bookmark-item"/>
    <w:basedOn w:val="71"/>
    <w:qFormat/>
    <w:uiPriority w:val="0"/>
  </w:style>
  <w:style w:type="table" w:customStyle="1" w:styleId="97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71</Pages>
  <Words>17204</Words>
  <Characters>18557</Characters>
  <Lines>413</Lines>
  <Paragraphs>116</Paragraphs>
  <TotalTime>22</TotalTime>
  <ScaleCrop>false</ScaleCrop>
  <LinksUpToDate>false</LinksUpToDate>
  <CharactersWithSpaces>18890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2024-07-07T02:05:00Z</dcterms:created>
  <dc:creator>Mx.</dc:creator>
  <cp:lastModifiedBy>沈勤伟</cp:lastModifiedBy>
  <cp:lastPrinted>2022-03-05T06:10:00Z</cp:lastPrinted>
  <dcterms:modified xsi:type="dcterms:W3CDTF">2025-07-02T06:22:55Z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3CBB4E6BFE284EBDBB2881693113ADCD_13</vt:lpwstr>
  </property>
  <property fmtid="{D5CDD505-2E9C-101B-9397-08002B2CF9AE}" pid="5" name="KSOTemplateDocerSaveRecord">
    <vt:lpwstr>eyJoZGlkIjoiYmU2NzMzYjdkMDc0MjVkNDkzYzJjNDkyMTkzODYzNDQiLCJ1c2VySWQiOiIyNzExNDM3MzYifQ==</vt:lpwstr>
  </property>
</Properties>
</file>