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B65F4">
      <w:pPr>
        <w:tabs>
          <w:tab w:val="left" w:pos="3834"/>
        </w:tabs>
        <w:jc w:val="left"/>
        <w:rPr>
          <w:rFonts w:hint="eastAsia" w:ascii="宋体" w:hAnsi="宋体" w:eastAsia="宋体" w:cs="宋体"/>
          <w:color w:val="auto"/>
          <w:highlight w:val="none"/>
        </w:rPr>
      </w:pPr>
      <w:r>
        <w:rPr>
          <w:rFonts w:hint="eastAsia" w:ascii="宋体" w:hAnsi="宋体" w:eastAsia="宋体" w:cs="宋体"/>
          <w:color w:val="auto"/>
          <w:highlight w:val="none"/>
        </w:rPr>
        <w:tab/>
      </w:r>
    </w:p>
    <w:p w14:paraId="65EC6FF1">
      <w:pPr>
        <w:widowControl/>
        <w:ind w:right="-2"/>
        <w:jc w:val="center"/>
        <w:rPr>
          <w:rFonts w:hint="eastAsia" w:ascii="宋体" w:hAnsi="宋体" w:eastAsia="宋体" w:cs="宋体"/>
          <w:b/>
          <w:color w:val="auto"/>
          <w:sz w:val="24"/>
          <w:highlight w:val="none"/>
        </w:rPr>
      </w:pPr>
    </w:p>
    <w:p w14:paraId="0F52AAA0">
      <w:pPr>
        <w:pStyle w:val="47"/>
        <w:jc w:val="center"/>
        <w:rPr>
          <w:rFonts w:hint="eastAsia" w:ascii="宋体" w:hAnsi="宋体" w:eastAsia="宋体" w:cs="宋体"/>
          <w:b/>
          <w:bCs/>
          <w:color w:val="auto"/>
          <w:sz w:val="72"/>
          <w:szCs w:val="72"/>
          <w:highlight w:val="none"/>
        </w:rPr>
      </w:pPr>
    </w:p>
    <w:p w14:paraId="7CB95A2D">
      <w:pPr>
        <w:pStyle w:val="47"/>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政府采购项目招标文件</w:t>
      </w:r>
    </w:p>
    <w:p w14:paraId="05D41D8C">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（电子招投标）</w:t>
      </w:r>
    </w:p>
    <w:p w14:paraId="7549C512">
      <w:pPr>
        <w:rPr>
          <w:rFonts w:hint="eastAsia" w:ascii="宋体" w:hAnsi="宋体" w:eastAsia="宋体" w:cs="宋体"/>
          <w:b/>
          <w:color w:val="auto"/>
          <w:sz w:val="24"/>
          <w:highlight w:val="none"/>
        </w:rPr>
      </w:pPr>
    </w:p>
    <w:p w14:paraId="4BABA0D1">
      <w:pPr>
        <w:pStyle w:val="47"/>
        <w:rPr>
          <w:rFonts w:hint="eastAsia" w:ascii="宋体" w:hAnsi="宋体" w:eastAsia="宋体" w:cs="宋体"/>
          <w:b/>
          <w:color w:val="auto"/>
          <w:sz w:val="24"/>
          <w:highlight w:val="none"/>
        </w:rPr>
      </w:pPr>
    </w:p>
    <w:p w14:paraId="55B7C819">
      <w:pPr>
        <w:rPr>
          <w:rFonts w:hint="eastAsia" w:ascii="宋体" w:hAnsi="宋体" w:eastAsia="宋体" w:cs="宋体"/>
          <w:b/>
          <w:color w:val="auto"/>
          <w:sz w:val="24"/>
          <w:highlight w:val="none"/>
        </w:rPr>
      </w:pPr>
    </w:p>
    <w:p w14:paraId="16583DE9">
      <w:pPr>
        <w:pStyle w:val="4"/>
        <w:rPr>
          <w:rFonts w:hint="eastAsia" w:ascii="宋体" w:hAnsi="宋体" w:eastAsia="宋体" w:cs="宋体"/>
          <w:color w:val="auto"/>
          <w:sz w:val="24"/>
          <w:highlight w:val="none"/>
        </w:rPr>
      </w:pPr>
    </w:p>
    <w:p w14:paraId="4FA14AC1">
      <w:pPr>
        <w:rPr>
          <w:rFonts w:hint="eastAsia" w:ascii="宋体" w:hAnsi="宋体" w:eastAsia="宋体" w:cs="宋体"/>
          <w:b/>
          <w:color w:val="auto"/>
          <w:sz w:val="24"/>
          <w:highlight w:val="none"/>
        </w:rPr>
      </w:pPr>
    </w:p>
    <w:p w14:paraId="1057D89A">
      <w:pPr>
        <w:pStyle w:val="4"/>
        <w:rPr>
          <w:rFonts w:hint="eastAsia" w:ascii="宋体" w:hAnsi="宋体" w:eastAsia="宋体" w:cs="宋体"/>
          <w:color w:val="auto"/>
          <w:sz w:val="24"/>
          <w:highlight w:val="none"/>
        </w:rPr>
      </w:pPr>
    </w:p>
    <w:p w14:paraId="3FB69A08">
      <w:pPr>
        <w:rPr>
          <w:rFonts w:hint="eastAsia" w:ascii="宋体" w:hAnsi="宋体" w:eastAsia="宋体" w:cs="宋体"/>
          <w:b/>
          <w:color w:val="auto"/>
          <w:sz w:val="24"/>
          <w:highlight w:val="none"/>
        </w:rPr>
      </w:pPr>
    </w:p>
    <w:p w14:paraId="06E562FF">
      <w:pPr>
        <w:pStyle w:val="4"/>
        <w:rPr>
          <w:rFonts w:hint="eastAsia" w:ascii="宋体" w:hAnsi="宋体" w:eastAsia="宋体" w:cs="宋体"/>
          <w:color w:val="auto"/>
          <w:highlight w:val="none"/>
        </w:rPr>
      </w:pPr>
    </w:p>
    <w:p w14:paraId="0DAFFBF7">
      <w:pPr>
        <w:pStyle w:val="47"/>
        <w:rPr>
          <w:rFonts w:hint="eastAsia" w:ascii="宋体" w:hAnsi="宋体" w:eastAsia="宋体" w:cs="宋体"/>
          <w:b/>
          <w:color w:val="auto"/>
          <w:sz w:val="24"/>
          <w:highlight w:val="none"/>
        </w:rPr>
      </w:pPr>
    </w:p>
    <w:p w14:paraId="2627FD3A">
      <w:pPr>
        <w:rPr>
          <w:rFonts w:hint="eastAsia" w:ascii="宋体" w:hAnsi="宋体" w:eastAsia="宋体" w:cs="宋体"/>
          <w:color w:val="auto"/>
          <w:highlight w:val="none"/>
        </w:rPr>
      </w:pPr>
    </w:p>
    <w:p w14:paraId="34E095BE">
      <w:pPr>
        <w:rPr>
          <w:rFonts w:hint="eastAsia" w:ascii="宋体" w:hAnsi="宋体" w:eastAsia="宋体" w:cs="宋体"/>
          <w:color w:val="auto"/>
          <w:highlight w:val="none"/>
        </w:rPr>
      </w:pPr>
    </w:p>
    <w:tbl>
      <w:tblPr>
        <w:tblStyle w:val="6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10F8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49A593D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7088" w:type="dxa"/>
            <w:vAlign w:val="center"/>
          </w:tcPr>
          <w:p w14:paraId="38460061">
            <w:pPr>
              <w:ind w:hanging="1"/>
              <w:rPr>
                <w:rFonts w:hint="eastAsia" w:ascii="宋体" w:hAnsi="宋体" w:eastAsia="宋体" w:cs="宋体"/>
                <w:bCs/>
                <w:color w:val="auto"/>
                <w:kern w:val="0"/>
                <w:sz w:val="28"/>
                <w:szCs w:val="28"/>
                <w:highlight w:val="none"/>
                <w:lang w:eastAsia="zh-CN"/>
              </w:rPr>
            </w:pPr>
            <w:r>
              <w:rPr>
                <w:rFonts w:hint="eastAsia" w:ascii="宋体" w:hAnsi="宋体" w:cs="宋体"/>
                <w:bCs/>
                <w:color w:val="auto"/>
                <w:kern w:val="0"/>
                <w:sz w:val="28"/>
                <w:szCs w:val="28"/>
                <w:highlight w:val="none"/>
                <w:lang w:eastAsia="zh-CN"/>
              </w:rPr>
              <w:t>嘉兴市秀洲区油车港镇镇区环境保洁项目</w:t>
            </w:r>
          </w:p>
        </w:tc>
      </w:tr>
      <w:tr w14:paraId="2C8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449E996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7088" w:type="dxa"/>
            <w:vAlign w:val="center"/>
          </w:tcPr>
          <w:p w14:paraId="1BCFB4B9">
            <w:pPr>
              <w:ind w:hanging="1"/>
              <w:rPr>
                <w:rFonts w:hint="eastAsia" w:ascii="宋体" w:hAnsi="宋体" w:eastAsia="宋体" w:cs="宋体"/>
                <w:bCs/>
                <w:color w:val="auto"/>
                <w:kern w:val="0"/>
                <w:sz w:val="28"/>
                <w:szCs w:val="28"/>
                <w:highlight w:val="none"/>
                <w:lang w:eastAsia="zh-CN"/>
              </w:rPr>
            </w:pPr>
            <w:r>
              <w:rPr>
                <w:rFonts w:hint="eastAsia" w:ascii="宋体" w:hAnsi="宋体" w:cs="宋体"/>
                <w:bCs/>
                <w:color w:val="auto"/>
                <w:kern w:val="0"/>
                <w:sz w:val="28"/>
                <w:szCs w:val="28"/>
                <w:highlight w:val="none"/>
                <w:lang w:eastAsia="zh-CN"/>
              </w:rPr>
              <w:t>ZJJYZFCG-2025-011</w:t>
            </w:r>
          </w:p>
        </w:tc>
      </w:tr>
      <w:tr w14:paraId="1AB4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520B271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7088" w:type="dxa"/>
            <w:vAlign w:val="center"/>
          </w:tcPr>
          <w:p w14:paraId="5A246336">
            <w:pPr>
              <w:ind w:hanging="1"/>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公开招标</w:t>
            </w:r>
          </w:p>
        </w:tc>
      </w:tr>
      <w:tr w14:paraId="622A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540C183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交易方式</w:t>
            </w:r>
          </w:p>
        </w:tc>
        <w:tc>
          <w:tcPr>
            <w:tcW w:w="7088" w:type="dxa"/>
            <w:vAlign w:val="center"/>
          </w:tcPr>
          <w:p w14:paraId="550FA2BC">
            <w:pPr>
              <w:ind w:hanging="1"/>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电子交易（政府采购云平台）</w:t>
            </w:r>
          </w:p>
        </w:tc>
      </w:tr>
      <w:tr w14:paraId="2196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0243998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p>
        </w:tc>
        <w:tc>
          <w:tcPr>
            <w:tcW w:w="7088" w:type="dxa"/>
            <w:vAlign w:val="center"/>
          </w:tcPr>
          <w:p w14:paraId="633EFFD1">
            <w:pPr>
              <w:ind w:hanging="1"/>
              <w:jc w:val="left"/>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 w:val="28"/>
                <w:szCs w:val="28"/>
                <w:highlight w:val="none"/>
                <w:lang w:eastAsia="zh-CN"/>
              </w:rPr>
              <w:t>嘉兴市秀洲区油车港镇人民政府</w:t>
            </w:r>
          </w:p>
        </w:tc>
      </w:tr>
      <w:tr w14:paraId="3850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2FF2F64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w:t>
            </w:r>
          </w:p>
        </w:tc>
        <w:tc>
          <w:tcPr>
            <w:tcW w:w="7088" w:type="dxa"/>
            <w:vAlign w:val="center"/>
          </w:tcPr>
          <w:p w14:paraId="38ACA200">
            <w:pPr>
              <w:ind w:hanging="1"/>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浙江槿阳建设管理有限公司</w:t>
            </w:r>
          </w:p>
        </w:tc>
      </w:tr>
      <w:tr w14:paraId="1D1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1532BBE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tc>
        <w:tc>
          <w:tcPr>
            <w:tcW w:w="7088" w:type="dxa"/>
            <w:vAlign w:val="center"/>
          </w:tcPr>
          <w:p w14:paraId="761E25E2">
            <w:pPr>
              <w:ind w:hanging="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二○二五年</w:t>
            </w:r>
            <w:r>
              <w:rPr>
                <w:rFonts w:hint="eastAsia" w:ascii="宋体" w:hAnsi="宋体" w:eastAsia="宋体" w:cs="宋体"/>
                <w:color w:val="auto"/>
                <w:kern w:val="0"/>
                <w:sz w:val="28"/>
                <w:szCs w:val="28"/>
                <w:highlight w:val="none"/>
                <w:lang w:val="en-US" w:eastAsia="zh-CN"/>
              </w:rPr>
              <w:t>七</w:t>
            </w:r>
            <w:r>
              <w:rPr>
                <w:rFonts w:hint="eastAsia" w:ascii="宋体" w:hAnsi="宋体" w:eastAsia="宋体" w:cs="宋体"/>
                <w:color w:val="auto"/>
                <w:kern w:val="0"/>
                <w:sz w:val="28"/>
                <w:szCs w:val="28"/>
                <w:highlight w:val="none"/>
              </w:rPr>
              <w:t>月</w:t>
            </w:r>
          </w:p>
        </w:tc>
      </w:tr>
    </w:tbl>
    <w:p w14:paraId="49AE9528">
      <w:pPr>
        <w:snapToGrid w:val="0"/>
        <w:spacing w:line="360" w:lineRule="auto"/>
        <w:jc w:val="center"/>
        <w:rPr>
          <w:rFonts w:hint="eastAsia" w:ascii="宋体" w:hAnsi="宋体" w:eastAsia="宋体" w:cs="宋体"/>
          <w:color w:val="auto"/>
          <w:sz w:val="30"/>
          <w:highlight w:val="none"/>
        </w:rPr>
      </w:pPr>
    </w:p>
    <w:p w14:paraId="44496A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25A26D7">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578CE61">
      <w:pPr>
        <w:spacing w:line="360" w:lineRule="auto"/>
        <w:rPr>
          <w:rFonts w:hint="eastAsia" w:ascii="宋体" w:hAnsi="宋体" w:eastAsia="宋体" w:cs="宋体"/>
          <w:color w:val="auto"/>
          <w:sz w:val="32"/>
          <w:szCs w:val="32"/>
          <w:highlight w:val="none"/>
        </w:rPr>
      </w:pPr>
    </w:p>
    <w:p w14:paraId="62D7F213">
      <w:pPr>
        <w:spacing w:line="360" w:lineRule="auto"/>
        <w:rPr>
          <w:rFonts w:hint="eastAsia" w:ascii="宋体" w:hAnsi="宋体" w:eastAsia="宋体" w:cs="宋体"/>
          <w:color w:val="auto"/>
          <w:sz w:val="32"/>
          <w:szCs w:val="32"/>
          <w:highlight w:val="none"/>
        </w:rPr>
      </w:pPr>
    </w:p>
    <w:p w14:paraId="02E7715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3760C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98E89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B2CE1D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D038C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7E79A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099CE4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C52391B">
      <w:pPr>
        <w:spacing w:line="360" w:lineRule="auto"/>
        <w:ind w:firstLine="549" w:firstLineChars="229"/>
        <w:rPr>
          <w:rFonts w:hint="eastAsia" w:ascii="宋体" w:hAnsi="宋体" w:eastAsia="宋体" w:cs="宋体"/>
          <w:color w:val="auto"/>
          <w:sz w:val="24"/>
          <w:highlight w:val="none"/>
        </w:rPr>
      </w:pPr>
    </w:p>
    <w:p w14:paraId="1DE195A7">
      <w:pPr>
        <w:spacing w:line="360" w:lineRule="auto"/>
        <w:ind w:firstLine="549" w:firstLineChars="229"/>
        <w:rPr>
          <w:rFonts w:hint="eastAsia" w:ascii="宋体" w:hAnsi="宋体" w:eastAsia="宋体" w:cs="宋体"/>
          <w:color w:val="auto"/>
          <w:sz w:val="24"/>
          <w:highlight w:val="none"/>
        </w:rPr>
      </w:pPr>
    </w:p>
    <w:p w14:paraId="78E34003">
      <w:pPr>
        <w:spacing w:line="360" w:lineRule="auto"/>
        <w:ind w:firstLine="549" w:firstLineChars="229"/>
        <w:rPr>
          <w:rFonts w:hint="eastAsia" w:ascii="宋体" w:hAnsi="宋体" w:eastAsia="宋体" w:cs="宋体"/>
          <w:color w:val="auto"/>
          <w:sz w:val="24"/>
          <w:highlight w:val="none"/>
        </w:rPr>
      </w:pPr>
    </w:p>
    <w:p w14:paraId="62CBC698">
      <w:pPr>
        <w:spacing w:line="360" w:lineRule="auto"/>
        <w:ind w:firstLine="549" w:firstLineChars="229"/>
        <w:rPr>
          <w:rFonts w:hint="eastAsia" w:ascii="宋体" w:hAnsi="宋体" w:eastAsia="宋体" w:cs="宋体"/>
          <w:color w:val="auto"/>
          <w:sz w:val="24"/>
          <w:highlight w:val="none"/>
        </w:rPr>
      </w:pPr>
    </w:p>
    <w:p w14:paraId="195C5631">
      <w:pPr>
        <w:spacing w:line="360" w:lineRule="auto"/>
        <w:ind w:firstLine="549" w:firstLineChars="229"/>
        <w:rPr>
          <w:rFonts w:hint="eastAsia" w:ascii="宋体" w:hAnsi="宋体" w:eastAsia="宋体" w:cs="宋体"/>
          <w:color w:val="auto"/>
          <w:sz w:val="24"/>
          <w:highlight w:val="none"/>
        </w:rPr>
      </w:pPr>
    </w:p>
    <w:p w14:paraId="21C58AAC">
      <w:pPr>
        <w:spacing w:line="360" w:lineRule="auto"/>
        <w:ind w:firstLine="549" w:firstLineChars="229"/>
        <w:rPr>
          <w:rFonts w:hint="eastAsia" w:ascii="宋体" w:hAnsi="宋体" w:eastAsia="宋体" w:cs="宋体"/>
          <w:color w:val="auto"/>
          <w:sz w:val="24"/>
          <w:highlight w:val="none"/>
        </w:rPr>
      </w:pPr>
    </w:p>
    <w:p w14:paraId="67A99A0D">
      <w:pPr>
        <w:spacing w:line="360" w:lineRule="auto"/>
        <w:ind w:firstLine="549" w:firstLineChars="229"/>
        <w:rPr>
          <w:rFonts w:hint="eastAsia" w:ascii="宋体" w:hAnsi="宋体" w:eastAsia="宋体" w:cs="宋体"/>
          <w:color w:val="auto"/>
          <w:sz w:val="24"/>
          <w:highlight w:val="none"/>
        </w:rPr>
      </w:pPr>
    </w:p>
    <w:p w14:paraId="75FB51CF">
      <w:pPr>
        <w:spacing w:line="360" w:lineRule="auto"/>
        <w:ind w:firstLine="549" w:firstLineChars="229"/>
        <w:rPr>
          <w:rFonts w:hint="eastAsia" w:ascii="宋体" w:hAnsi="宋体" w:eastAsia="宋体" w:cs="宋体"/>
          <w:color w:val="auto"/>
          <w:sz w:val="24"/>
          <w:highlight w:val="none"/>
        </w:rPr>
      </w:pPr>
    </w:p>
    <w:p w14:paraId="29FE17DD">
      <w:pPr>
        <w:spacing w:line="360" w:lineRule="auto"/>
        <w:ind w:firstLine="549" w:firstLineChars="229"/>
        <w:rPr>
          <w:rFonts w:hint="eastAsia" w:ascii="宋体" w:hAnsi="宋体" w:eastAsia="宋体" w:cs="宋体"/>
          <w:color w:val="auto"/>
          <w:sz w:val="24"/>
          <w:highlight w:val="none"/>
        </w:rPr>
      </w:pPr>
    </w:p>
    <w:p w14:paraId="27736E5E">
      <w:pPr>
        <w:spacing w:line="360" w:lineRule="auto"/>
        <w:ind w:firstLine="549" w:firstLineChars="229"/>
        <w:rPr>
          <w:rFonts w:hint="eastAsia" w:ascii="宋体" w:hAnsi="宋体" w:eastAsia="宋体" w:cs="宋体"/>
          <w:color w:val="auto"/>
          <w:sz w:val="24"/>
          <w:highlight w:val="none"/>
        </w:rPr>
      </w:pPr>
    </w:p>
    <w:p w14:paraId="4DD936DC">
      <w:pPr>
        <w:spacing w:line="360" w:lineRule="auto"/>
        <w:ind w:firstLine="549" w:firstLineChars="229"/>
        <w:rPr>
          <w:rFonts w:hint="eastAsia" w:ascii="宋体" w:hAnsi="宋体" w:eastAsia="宋体" w:cs="宋体"/>
          <w:color w:val="auto"/>
          <w:sz w:val="24"/>
          <w:highlight w:val="none"/>
        </w:rPr>
      </w:pPr>
    </w:p>
    <w:p w14:paraId="59FD4A03">
      <w:pPr>
        <w:spacing w:line="360" w:lineRule="auto"/>
        <w:ind w:firstLine="549" w:firstLineChars="229"/>
        <w:rPr>
          <w:rFonts w:hint="eastAsia" w:ascii="宋体" w:hAnsi="宋体" w:eastAsia="宋体" w:cs="宋体"/>
          <w:color w:val="auto"/>
          <w:sz w:val="24"/>
          <w:highlight w:val="none"/>
        </w:rPr>
      </w:pPr>
    </w:p>
    <w:p w14:paraId="55FCABA5">
      <w:pPr>
        <w:spacing w:line="360" w:lineRule="auto"/>
        <w:rPr>
          <w:rFonts w:hint="eastAsia" w:ascii="宋体" w:hAnsi="宋体" w:eastAsia="宋体" w:cs="宋体"/>
          <w:color w:val="auto"/>
          <w:sz w:val="24"/>
          <w:highlight w:val="none"/>
        </w:rPr>
      </w:pPr>
    </w:p>
    <w:p w14:paraId="6BE5AE15">
      <w:pPr>
        <w:adjustRightInd/>
        <w:spacing w:before="240" w:beforeLines="100" w:after="240" w:afterLines="100"/>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36"/>
          <w:highlight w:val="none"/>
        </w:rPr>
        <w:t>第一部分招标公告</w:t>
      </w:r>
    </w:p>
    <w:p w14:paraId="56382DC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97C3092">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0000FF"/>
          <w:szCs w:val="21"/>
          <w:highlight w:val="none"/>
          <w:u w:val="single"/>
          <w:lang w:eastAsia="zh-CN"/>
        </w:rPr>
        <w:t>嘉兴市秀洲区油车港镇镇区环境保洁项目</w:t>
      </w:r>
      <w:r>
        <w:rPr>
          <w:rFonts w:hint="eastAsia" w:ascii="宋体" w:hAnsi="宋体" w:eastAsia="宋体" w:cs="宋体"/>
          <w:color w:val="auto"/>
          <w:szCs w:val="21"/>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eastAsia="宋体" w:cs="宋体"/>
          <w:bCs/>
          <w:color w:val="0000FF"/>
          <w:szCs w:val="21"/>
          <w:highlight w:val="none"/>
          <w:u w:val="single"/>
          <w:lang w:eastAsia="zh-CN"/>
        </w:rPr>
        <w:t>2025年</w:t>
      </w:r>
      <w:r>
        <w:rPr>
          <w:rFonts w:hint="eastAsia" w:ascii="宋体" w:hAnsi="宋体" w:cs="宋体"/>
          <w:bCs/>
          <w:color w:val="0000FF"/>
          <w:szCs w:val="21"/>
          <w:highlight w:val="none"/>
          <w:u w:val="single"/>
          <w:lang w:val="en-US" w:eastAsia="zh-CN"/>
        </w:rPr>
        <w:t>07</w:t>
      </w:r>
      <w:r>
        <w:rPr>
          <w:rFonts w:hint="eastAsia" w:ascii="宋体" w:hAnsi="宋体" w:eastAsia="宋体" w:cs="宋体"/>
          <w:bCs/>
          <w:color w:val="0000FF"/>
          <w:szCs w:val="21"/>
          <w:highlight w:val="none"/>
          <w:u w:val="single"/>
          <w:lang w:eastAsia="zh-CN"/>
        </w:rPr>
        <w:t>月</w:t>
      </w:r>
      <w:r>
        <w:rPr>
          <w:rFonts w:hint="eastAsia" w:ascii="宋体" w:hAnsi="宋体" w:cs="宋体"/>
          <w:bCs/>
          <w:color w:val="0000FF"/>
          <w:szCs w:val="21"/>
          <w:highlight w:val="none"/>
          <w:u w:val="single"/>
          <w:lang w:val="en-US" w:eastAsia="zh-CN"/>
        </w:rPr>
        <w:t>30</w:t>
      </w:r>
      <w:r>
        <w:rPr>
          <w:rFonts w:hint="eastAsia" w:ascii="宋体" w:hAnsi="宋体" w:eastAsia="宋体" w:cs="宋体"/>
          <w:bCs/>
          <w:color w:val="0000FF"/>
          <w:szCs w:val="21"/>
          <w:highlight w:val="none"/>
          <w:u w:val="single"/>
          <w:lang w:eastAsia="zh-CN"/>
        </w:rPr>
        <w:t>日14点</w:t>
      </w:r>
      <w:r>
        <w:rPr>
          <w:rFonts w:hint="eastAsia" w:ascii="宋体" w:hAnsi="宋体" w:eastAsia="宋体" w:cs="宋体"/>
          <w:bCs/>
          <w:color w:val="0000FF"/>
          <w:szCs w:val="21"/>
          <w:highlight w:val="none"/>
          <w:u w:val="single"/>
          <w:lang w:val="en-US" w:eastAsia="zh-CN"/>
        </w:rPr>
        <w:t>0</w:t>
      </w:r>
      <w:r>
        <w:rPr>
          <w:rFonts w:hint="eastAsia" w:ascii="宋体" w:hAnsi="宋体" w:eastAsia="宋体" w:cs="宋体"/>
          <w:bCs/>
          <w:color w:val="0000FF"/>
          <w:szCs w:val="21"/>
          <w:highlight w:val="none"/>
          <w:u w:val="single"/>
          <w:lang w:eastAsia="zh-CN"/>
        </w:rPr>
        <w:t>0分00秒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41316C3C">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2B4EAE4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项目编号：</w:t>
      </w:r>
      <w:r>
        <w:rPr>
          <w:rFonts w:hint="eastAsia" w:ascii="宋体" w:hAnsi="宋体" w:cs="宋体"/>
          <w:bCs/>
          <w:color w:val="0000FF"/>
          <w:szCs w:val="21"/>
          <w:highlight w:val="none"/>
          <w:u w:val="single"/>
          <w:lang w:eastAsia="zh-CN"/>
        </w:rPr>
        <w:t>ZJJYZFCG-2025-011</w:t>
      </w:r>
    </w:p>
    <w:p w14:paraId="37B49EEB">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cs="宋体"/>
          <w:bCs/>
          <w:color w:val="0000FF"/>
          <w:szCs w:val="21"/>
          <w:highlight w:val="none"/>
          <w:u w:val="single"/>
          <w:lang w:eastAsia="zh-CN"/>
        </w:rPr>
        <w:t>嘉兴市秀洲区油车港镇镇区环境保洁项目</w:t>
      </w:r>
    </w:p>
    <w:p w14:paraId="321FE96D">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预算金额（元）：</w:t>
      </w:r>
      <w:r>
        <w:rPr>
          <w:rFonts w:hint="eastAsia" w:ascii="宋体" w:hAnsi="宋体" w:eastAsia="宋体" w:cs="宋体"/>
          <w:bCs/>
          <w:color w:val="0000FF"/>
          <w:szCs w:val="21"/>
          <w:highlight w:val="none"/>
          <w:u w:val="single"/>
          <w:lang w:val="en-US" w:eastAsia="zh-CN"/>
        </w:rPr>
        <w:t>7072000</w:t>
      </w:r>
    </w:p>
    <w:p w14:paraId="3114799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最高限价（元）：</w:t>
      </w:r>
      <w:r>
        <w:rPr>
          <w:rFonts w:hint="eastAsia" w:ascii="宋体" w:hAnsi="宋体" w:eastAsia="宋体" w:cs="宋体"/>
          <w:bCs/>
          <w:color w:val="0000FF"/>
          <w:szCs w:val="21"/>
          <w:highlight w:val="none"/>
          <w:u w:val="single"/>
          <w:lang w:val="en-US" w:eastAsia="zh-CN"/>
        </w:rPr>
        <w:t>7072000</w:t>
      </w:r>
    </w:p>
    <w:p w14:paraId="19375E1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采购需求：</w:t>
      </w:r>
    </w:p>
    <w:p w14:paraId="4DF279B0">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标项名称：</w:t>
      </w:r>
      <w:r>
        <w:rPr>
          <w:rFonts w:hint="eastAsia" w:ascii="宋体" w:hAnsi="宋体" w:cs="宋体"/>
          <w:bCs/>
          <w:color w:val="0000FF"/>
          <w:szCs w:val="21"/>
          <w:highlight w:val="none"/>
          <w:u w:val="single"/>
          <w:lang w:eastAsia="zh-CN"/>
        </w:rPr>
        <w:t>嘉兴市秀洲区油车港镇镇区环境保洁项目</w:t>
      </w:r>
    </w:p>
    <w:p w14:paraId="3D708531">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数量：</w:t>
      </w:r>
      <w:r>
        <w:rPr>
          <w:rFonts w:hint="eastAsia" w:ascii="宋体" w:hAnsi="宋体" w:eastAsia="宋体" w:cs="宋体"/>
          <w:bCs/>
          <w:color w:val="auto"/>
          <w:szCs w:val="21"/>
          <w:highlight w:val="none"/>
          <w:lang w:val="en-US" w:eastAsia="zh-CN"/>
        </w:rPr>
        <w:t>不限</w:t>
      </w:r>
    </w:p>
    <w:p w14:paraId="381219C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预算金额（元）：</w:t>
      </w:r>
      <w:r>
        <w:rPr>
          <w:rFonts w:hint="eastAsia" w:ascii="宋体" w:hAnsi="宋体" w:eastAsia="宋体" w:cs="宋体"/>
          <w:bCs/>
          <w:color w:val="0000FF"/>
          <w:szCs w:val="21"/>
          <w:highlight w:val="none"/>
          <w:u w:val="single"/>
          <w:lang w:val="en-US" w:eastAsia="zh-CN"/>
        </w:rPr>
        <w:t>7072000</w:t>
      </w:r>
    </w:p>
    <w:p w14:paraId="108FD87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简要规格描述或项目基本概况介绍、用途：</w:t>
      </w:r>
      <w:r>
        <w:rPr>
          <w:rFonts w:hint="eastAsia" w:ascii="宋体" w:hAnsi="宋体" w:cs="宋体"/>
          <w:color w:val="0000FF"/>
          <w:szCs w:val="21"/>
          <w:highlight w:val="none"/>
          <w:u w:val="single"/>
          <w:lang w:eastAsia="zh-CN"/>
        </w:rPr>
        <w:t>嘉兴市秀洲区油车港镇镇区环境保洁</w:t>
      </w:r>
      <w:r>
        <w:rPr>
          <w:rFonts w:hint="eastAsia" w:ascii="宋体" w:hAnsi="宋体" w:eastAsia="宋体" w:cs="宋体"/>
          <w:color w:val="0000FF"/>
          <w:szCs w:val="21"/>
          <w:highlight w:val="none"/>
          <w:u w:val="single"/>
          <w:lang w:eastAsia="zh-CN"/>
        </w:rPr>
        <w:t>服务</w:t>
      </w:r>
      <w:r>
        <w:rPr>
          <w:rFonts w:hint="eastAsia" w:ascii="宋体" w:hAnsi="宋体" w:eastAsia="宋体" w:cs="宋体"/>
          <w:bCs/>
          <w:color w:val="auto"/>
          <w:szCs w:val="21"/>
          <w:highlight w:val="none"/>
        </w:rPr>
        <w:t>，具体以招标文件第三部分采购需求为准，供应商可点击本公告下方“浏览采购文件”查看采购需求。</w:t>
      </w:r>
    </w:p>
    <w:p w14:paraId="534F88CB">
      <w:pPr>
        <w:spacing w:line="360" w:lineRule="auto"/>
        <w:ind w:firstLine="420" w:firstLineChars="200"/>
        <w:rPr>
          <w:rFonts w:hint="eastAsia" w:ascii="宋体" w:hAnsi="宋体" w:eastAsia="宋体" w:cs="宋体"/>
          <w:bCs/>
          <w:color w:val="0000FF"/>
          <w:szCs w:val="21"/>
          <w:highlight w:val="none"/>
        </w:rPr>
      </w:pPr>
      <w:r>
        <w:rPr>
          <w:rFonts w:hint="eastAsia" w:ascii="宋体" w:hAnsi="宋体" w:eastAsia="宋体" w:cs="宋体"/>
          <w:bCs/>
          <w:color w:val="auto"/>
          <w:szCs w:val="21"/>
          <w:highlight w:val="none"/>
        </w:rPr>
        <w:t>合同履约期限：</w:t>
      </w:r>
      <w:r>
        <w:rPr>
          <w:rFonts w:hint="eastAsia" w:ascii="宋体" w:hAnsi="宋体" w:eastAsia="宋体" w:cs="宋体"/>
          <w:bCs/>
          <w:color w:val="0000FF"/>
          <w:szCs w:val="21"/>
          <w:highlight w:val="none"/>
          <w:lang w:eastAsia="zh-CN"/>
        </w:rPr>
        <w:t>一年（自合同签订之日起算）</w:t>
      </w:r>
      <w:r>
        <w:rPr>
          <w:rFonts w:hint="eastAsia" w:ascii="宋体" w:hAnsi="宋体" w:eastAsia="宋体" w:cs="宋体"/>
          <w:bCs/>
          <w:color w:val="0000FF"/>
          <w:szCs w:val="21"/>
          <w:highlight w:val="none"/>
        </w:rPr>
        <w:t>。</w:t>
      </w:r>
    </w:p>
    <w:p w14:paraId="37C69576">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本项目接受联合体投标：</w:t>
      </w:r>
      <w:sdt>
        <w:sdtPr>
          <w:rPr>
            <w:rFonts w:hint="eastAsia" w:ascii="宋体" w:hAnsi="宋体" w:eastAsia="宋体" w:cs="宋体"/>
            <w:bCs/>
            <w:color w:val="auto"/>
            <w:kern w:val="0"/>
            <w:szCs w:val="21"/>
            <w:highlight w:val="none"/>
          </w:rPr>
          <w:id w:val="2035453831"/>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t xml:space="preserve"> </w:t>
          </w:r>
          <w:sdt>
            <w:sdtPr>
              <w:rPr>
                <w:rFonts w:hint="eastAsia" w:ascii="宋体" w:hAnsi="宋体" w:eastAsia="宋体" w:cs="宋体"/>
                <w:bCs/>
                <w:color w:val="auto"/>
                <w:kern w:val="0"/>
                <w:szCs w:val="21"/>
                <w:highlight w:val="none"/>
              </w:rPr>
              <w:id w:val="-1890335429"/>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A8"/>
              </w:r>
            </w:sdtContent>
          </w:sdt>
        </w:sdtContent>
      </w:sdt>
      <w:r>
        <w:rPr>
          <w:rFonts w:hint="eastAsia" w:ascii="宋体" w:hAnsi="宋体" w:eastAsia="宋体" w:cs="宋体"/>
          <w:bCs/>
          <w:color w:val="auto"/>
          <w:szCs w:val="21"/>
          <w:highlight w:val="none"/>
        </w:rPr>
        <w:t>是，</w:t>
      </w:r>
      <w:sdt>
        <w:sdtPr>
          <w:rPr>
            <w:rFonts w:hint="eastAsia" w:ascii="宋体" w:hAnsi="宋体" w:eastAsia="宋体" w:cs="宋体"/>
            <w:bCs/>
            <w:color w:val="auto"/>
            <w:kern w:val="0"/>
            <w:szCs w:val="21"/>
            <w:highlight w:val="none"/>
          </w:rPr>
          <w:id w:val="-1765526721"/>
        </w:sdtPr>
        <w:sdtEndPr>
          <w:rPr>
            <w:rFonts w:hint="eastAsia" w:ascii="宋体" w:hAnsi="宋体" w:eastAsia="宋体" w:cs="宋体"/>
            <w:bCs/>
            <w:color w:val="auto"/>
            <w:kern w:val="0"/>
            <w:szCs w:val="21"/>
            <w:highlight w:val="none"/>
          </w:rPr>
        </w:sdtEndPr>
        <w:sdtContent>
          <w:sdt>
            <w:sdtPr>
              <w:rPr>
                <w:rFonts w:hint="eastAsia" w:ascii="宋体" w:hAnsi="宋体" w:eastAsia="宋体" w:cs="宋体"/>
                <w:bCs/>
                <w:color w:val="auto"/>
                <w:kern w:val="0"/>
                <w:szCs w:val="21"/>
                <w:highlight w:val="none"/>
              </w:rPr>
              <w:id w:val="1928616923"/>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FE"/>
              </w:r>
            </w:sdtContent>
          </w:sdt>
        </w:sdtContent>
      </w:sdt>
      <w:r>
        <w:rPr>
          <w:rFonts w:hint="eastAsia" w:ascii="宋体" w:hAnsi="宋体" w:eastAsia="宋体" w:cs="宋体"/>
          <w:bCs/>
          <w:color w:val="auto"/>
          <w:szCs w:val="21"/>
          <w:highlight w:val="none"/>
        </w:rPr>
        <w:t>否</w:t>
      </w:r>
      <w:r>
        <w:rPr>
          <w:rFonts w:hint="eastAsia" w:ascii="宋体" w:hAnsi="宋体" w:eastAsia="宋体" w:cs="宋体"/>
          <w:bCs/>
          <w:color w:val="auto"/>
          <w:kern w:val="0"/>
          <w:szCs w:val="21"/>
          <w:highlight w:val="none"/>
        </w:rPr>
        <w:t>。</w:t>
      </w:r>
    </w:p>
    <w:p w14:paraId="337FA4AF">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3A17BF84">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884615D">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2.以联合体形式投标的，提供联合协议(本项目不接受联合体投标或者投标人不以联合体形式投标的，则不需要提供) ；</w:t>
      </w:r>
    </w:p>
    <w:p w14:paraId="19A1441D">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3.落实政府采购政策需满足的资格要求：</w:t>
      </w:r>
    </w:p>
    <w:sdt>
      <w:sdtPr>
        <w:rPr>
          <w:rFonts w:hint="eastAsia" w:ascii="宋体" w:hAnsi="宋体" w:eastAsia="宋体" w:cs="宋体"/>
          <w:color w:val="auto"/>
          <w:kern w:val="0"/>
          <w:szCs w:val="21"/>
          <w:highlight w:val="none"/>
        </w:rPr>
        <w:id w:val="-1361431184"/>
      </w:sdtPr>
      <w:sdtEndPr>
        <w:rPr>
          <w:rFonts w:hint="eastAsia" w:ascii="宋体" w:hAnsi="宋体" w:eastAsia="宋体" w:cs="宋体"/>
          <w:color w:val="auto"/>
          <w:kern w:val="0"/>
          <w:szCs w:val="21"/>
          <w:highlight w:val="none"/>
        </w:rPr>
      </w:sdtEndPr>
      <w:sdtContent>
        <w:p w14:paraId="364DC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szCs w:val="21"/>
              <w:highlight w:val="none"/>
            </w:rPr>
            <w:t xml:space="preserve">无； </w:t>
          </w:r>
        </w:p>
        <w:p w14:paraId="4021C1F8">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0000FF"/>
                <w:kern w:val="0"/>
                <w:szCs w:val="21"/>
                <w:highlight w:val="none"/>
              </w:rPr>
              <w:id w:val="-1024704304"/>
            </w:sdtPr>
            <w:sdtEndPr>
              <w:rPr>
                <w:rFonts w:hint="eastAsia" w:ascii="宋体" w:hAnsi="宋体" w:eastAsia="宋体" w:cs="宋体"/>
                <w:color w:val="auto"/>
                <w:kern w:val="0"/>
                <w:szCs w:val="21"/>
                <w:highlight w:val="none"/>
                <w:u w:val="single"/>
              </w:rPr>
            </w:sdtEndPr>
            <w:sdtContent>
              <w:r>
                <w:rPr>
                  <w:rFonts w:hint="eastAsia" w:ascii="宋体" w:hAnsi="宋体" w:eastAsia="宋体" w:cs="宋体"/>
                  <w:color w:val="0000FF"/>
                  <w:kern w:val="0"/>
                  <w:szCs w:val="21"/>
                  <w:highlight w:val="none"/>
                  <w:u w:val="single"/>
                </w:rPr>
                <w:sym w:font="Wingdings" w:char="00FE"/>
              </w:r>
            </w:sdtContent>
          </w:sdt>
          <w:r>
            <w:rPr>
              <w:rFonts w:hint="eastAsia" w:ascii="宋体" w:hAnsi="宋体" w:eastAsia="宋体" w:cs="宋体"/>
              <w:color w:val="auto"/>
              <w:kern w:val="0"/>
              <w:szCs w:val="21"/>
              <w:highlight w:val="none"/>
              <w:u w:val="single"/>
            </w:rPr>
            <w:t>专</w:t>
          </w:r>
          <w:r>
            <w:rPr>
              <w:rFonts w:hint="eastAsia" w:ascii="宋体" w:hAnsi="宋体" w:eastAsia="宋体" w:cs="宋体"/>
              <w:color w:val="auto"/>
              <w:szCs w:val="21"/>
              <w:highlight w:val="none"/>
              <w:u w:val="single"/>
            </w:rPr>
            <w:t>门面向中小企业</w:t>
          </w:r>
        </w:p>
        <w:p w14:paraId="27D10372">
          <w:pPr>
            <w:spacing w:line="360" w:lineRule="auto"/>
            <w:ind w:firstLine="840" w:firstLineChars="400"/>
            <w:rPr>
              <w:rFonts w:hint="eastAsia" w:ascii="宋体" w:hAnsi="宋体" w:eastAsia="宋体" w:cs="宋体"/>
              <w:color w:val="auto"/>
              <w:szCs w:val="21"/>
              <w:highlight w:val="none"/>
              <w:u w:val="single"/>
            </w:rPr>
          </w:pPr>
          <w:sdt>
            <w:sdtPr>
              <w:rPr>
                <w:rFonts w:hint="eastAsia" w:ascii="宋体" w:hAnsi="宋体" w:eastAsia="宋体" w:cs="宋体"/>
                <w:color w:val="auto"/>
                <w:kern w:val="0"/>
                <w:szCs w:val="21"/>
                <w:highlight w:val="none"/>
                <w:u w:val="single"/>
              </w:rPr>
              <w:id w:val="-333685401"/>
            </w:sdtPr>
            <w:sdtEndPr>
              <w:rPr>
                <w:rFonts w:hint="eastAsia" w:ascii="宋体" w:hAnsi="宋体" w:eastAsia="宋体" w:cs="宋体"/>
                <w:color w:val="auto"/>
                <w:kern w:val="0"/>
                <w:szCs w:val="21"/>
                <w:highlight w:val="none"/>
                <w:u w:val="single"/>
              </w:rPr>
            </w:sdtEndPr>
            <w:sdtContent>
              <w:sdt>
                <w:sdtPr>
                  <w:rPr>
                    <w:rFonts w:hint="eastAsia" w:ascii="宋体" w:hAnsi="宋体" w:eastAsia="宋体" w:cs="宋体"/>
                    <w:color w:val="auto"/>
                    <w:kern w:val="0"/>
                    <w:szCs w:val="21"/>
                    <w:highlight w:val="none"/>
                    <w:u w:val="single"/>
                  </w:rPr>
                  <w:id w:val="-1202788315"/>
                </w:sdtPr>
                <w:sdtEndPr>
                  <w:rPr>
                    <w:rFonts w:hint="eastAsia" w:ascii="宋体" w:hAnsi="宋体" w:eastAsia="宋体" w:cs="宋体"/>
                    <w:color w:val="auto"/>
                    <w:kern w:val="0"/>
                    <w:szCs w:val="21"/>
                    <w:highlight w:val="none"/>
                    <w:u w:val="single"/>
                  </w:rPr>
                </w:sdtEndPr>
                <w:sdtContent>
                  <w:r>
                    <w:rPr>
                      <w:rFonts w:hint="eastAsia" w:ascii="宋体" w:hAnsi="宋体" w:eastAsia="宋体" w:cs="宋体"/>
                      <w:color w:val="0000FF"/>
                      <w:kern w:val="0"/>
                      <w:szCs w:val="21"/>
                      <w:highlight w:val="none"/>
                      <w:u w:val="single"/>
                    </w:rPr>
                    <w:sym w:font="Wingdings" w:char="00FE"/>
                  </w:r>
                </w:sdtContent>
              </w:sdt>
            </w:sdtContent>
          </w:sdt>
          <w:r>
            <w:rPr>
              <w:rFonts w:hint="eastAsia" w:ascii="宋体" w:hAnsi="宋体" w:eastAsia="宋体" w:cs="宋体"/>
              <w:color w:val="auto"/>
              <w:szCs w:val="21"/>
              <w:highlight w:val="none"/>
              <w:u w:val="single"/>
            </w:rPr>
            <w:t>服务全部由符合政策要求的中小企业承接，提供中小企业声明函；</w:t>
          </w:r>
        </w:p>
        <w:p w14:paraId="59102C1D">
          <w:pPr>
            <w:spacing w:line="360" w:lineRule="auto"/>
            <w:ind w:firstLine="840" w:firstLineChars="4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29960444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2141025358"/>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szCs w:val="21"/>
              <w:highlight w:val="none"/>
            </w:rPr>
            <w:t>服务全部由符合政策要求的小微企业承接，提供中小企业声明函；</w:t>
          </w:r>
        </w:p>
      </w:sdtContent>
    </w:sdt>
    <w:p w14:paraId="409FFAEA">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25238814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szCs w:val="21"/>
          <w:highlight w:val="none"/>
        </w:rPr>
        <w:t>要求以联合体形式参加，提供联合协议和中小企业声明函，联合协议中中小企业合同金额应当达到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7322CAD5">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167755400"/>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szCs w:val="21"/>
          <w:highlight w:val="none"/>
        </w:rPr>
        <w:t>要求合同分包，提供分包意向协议和中小企业声明函，分包意向协议中中小企业合同金额应当达到达到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%；如果供应商本身提供所有标的均由中小企业制造、承建或承接，视同符合了资格条件，无需再向中小企业分包，无需提供分包意向协议；</w:t>
      </w:r>
    </w:p>
    <w:p w14:paraId="130FBF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4.本项目的特定资格要求：</w:t>
      </w:r>
    </w:p>
    <w:p w14:paraId="6E17275C">
      <w:pPr>
        <w:spacing w:line="360" w:lineRule="auto"/>
        <w:ind w:firstLine="420" w:firstLineChars="2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33081449"/>
        </w:sdtPr>
        <w:sdtEndPr>
          <w:rPr>
            <w:rFonts w:hint="eastAsia" w:ascii="宋体" w:hAnsi="宋体" w:eastAsia="宋体" w:cs="宋体"/>
            <w:color w:val="0000FF"/>
            <w:kern w:val="0"/>
            <w:szCs w:val="21"/>
            <w:highlight w:val="none"/>
          </w:rPr>
        </w:sdtEndPr>
        <w:sdtContent>
          <w:r>
            <w:rPr>
              <w:rFonts w:hint="eastAsia" w:ascii="宋体" w:hAnsi="宋体" w:eastAsia="宋体" w:cs="宋体"/>
              <w:color w:val="0000FF"/>
              <w:kern w:val="0"/>
              <w:szCs w:val="21"/>
              <w:highlight w:val="none"/>
            </w:rPr>
            <w:sym w:font="Wingdings" w:char="00FE"/>
          </w:r>
        </w:sdtContent>
      </w:sdt>
      <w:r>
        <w:rPr>
          <w:rFonts w:hint="eastAsia" w:ascii="宋体" w:hAnsi="宋体" w:eastAsia="宋体" w:cs="宋体"/>
          <w:color w:val="0000FF"/>
          <w:kern w:val="0"/>
          <w:szCs w:val="21"/>
          <w:highlight w:val="none"/>
        </w:rPr>
        <w:t>无</w:t>
      </w:r>
      <w:r>
        <w:rPr>
          <w:rFonts w:hint="eastAsia" w:ascii="宋体" w:hAnsi="宋体" w:eastAsia="宋体" w:cs="宋体"/>
          <w:color w:val="auto"/>
          <w:kern w:val="0"/>
          <w:szCs w:val="21"/>
          <w:highlight w:val="none"/>
        </w:rPr>
        <w:t>。</w:t>
      </w:r>
    </w:p>
    <w:p w14:paraId="0161E562">
      <w:pPr>
        <w:spacing w:line="360" w:lineRule="auto"/>
        <w:ind w:firstLine="420" w:firstLineChars="2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76126335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有特定资格要求：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，该特定条件的法律法规依据：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F087FE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BC1133">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65E641D0">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时间：</w:t>
      </w:r>
      <w:r>
        <w:rPr>
          <w:rFonts w:hint="eastAsia" w:ascii="宋体" w:hAnsi="宋体" w:eastAsia="宋体" w:cs="宋体"/>
          <w:color w:val="auto"/>
          <w:szCs w:val="21"/>
          <w:highlight w:val="none"/>
        </w:rPr>
        <w:t>/至</w:t>
      </w:r>
      <w:r>
        <w:rPr>
          <w:rFonts w:hint="eastAsia" w:ascii="宋体" w:hAnsi="宋体" w:eastAsia="宋体" w:cs="宋体"/>
          <w:color w:val="0000FF"/>
          <w:szCs w:val="21"/>
          <w:highlight w:val="none"/>
          <w:u w:val="single"/>
        </w:rPr>
        <w:t>2025年</w:t>
      </w:r>
      <w:r>
        <w:rPr>
          <w:rFonts w:hint="eastAsia" w:ascii="宋体" w:hAnsi="宋体" w:eastAsia="宋体" w:cs="宋体"/>
          <w:color w:val="0000FF"/>
          <w:szCs w:val="21"/>
          <w:highlight w:val="none"/>
          <w:u w:val="single"/>
          <w:lang w:val="en-US" w:eastAsia="zh-CN"/>
        </w:rPr>
        <w:t>07</w:t>
      </w:r>
      <w:r>
        <w:rPr>
          <w:rFonts w:hint="eastAsia" w:ascii="宋体" w:hAnsi="宋体" w:eastAsia="宋体" w:cs="宋体"/>
          <w:color w:val="0000FF"/>
          <w:szCs w:val="21"/>
          <w:highlight w:val="none"/>
          <w:u w:val="single"/>
        </w:rPr>
        <w:t>月</w:t>
      </w:r>
      <w:r>
        <w:rPr>
          <w:rFonts w:hint="eastAsia" w:ascii="宋体" w:hAnsi="宋体" w:cs="宋体"/>
          <w:color w:val="0000FF"/>
          <w:szCs w:val="21"/>
          <w:highlight w:val="none"/>
          <w:u w:val="single"/>
          <w:lang w:val="en-US" w:eastAsia="zh-CN"/>
        </w:rPr>
        <w:t>30</w:t>
      </w:r>
      <w:r>
        <w:rPr>
          <w:rFonts w:hint="eastAsia" w:ascii="宋体" w:hAnsi="宋体" w:eastAsia="宋体" w:cs="宋体"/>
          <w:color w:val="0000FF"/>
          <w:szCs w:val="21"/>
          <w:highlight w:val="none"/>
          <w:u w:val="single"/>
        </w:rPr>
        <w:t>日</w:t>
      </w:r>
      <w:r>
        <w:rPr>
          <w:rFonts w:hint="eastAsia" w:ascii="宋体" w:hAnsi="宋体" w:eastAsia="宋体" w:cs="宋体"/>
          <w:color w:val="auto"/>
          <w:szCs w:val="21"/>
          <w:highlight w:val="none"/>
        </w:rPr>
        <w:t>，每天上午00:00至12:00 ，下午12:00至23:59（北京时间，线上获取法定节假日均可，线下获取文件法定节假日除外）</w:t>
      </w:r>
    </w:p>
    <w:p w14:paraId="2EA575B8">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地点（网址）：</w:t>
      </w:r>
      <w:r>
        <w:rPr>
          <w:rFonts w:hint="eastAsia" w:ascii="宋体" w:hAnsi="宋体" w:eastAsia="宋体" w:cs="宋体"/>
          <w:color w:val="auto"/>
          <w:szCs w:val="21"/>
          <w:highlight w:val="none"/>
        </w:rPr>
        <w:t xml:space="preserve">政采云平台（https://www.zcygov.cn/） </w:t>
      </w:r>
    </w:p>
    <w:p w14:paraId="622CC50F">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方式：</w:t>
      </w:r>
      <w:r>
        <w:rPr>
          <w:rFonts w:hint="eastAsia" w:ascii="宋体" w:hAnsi="宋体" w:eastAsia="宋体" w:cs="宋体"/>
          <w:color w:val="auto"/>
          <w:szCs w:val="21"/>
          <w:highlight w:val="none"/>
        </w:rPr>
        <w:t>供应商登录政采云平台https://www.zcygov.cn/在线申请获取采购文件（进入“项目采购”应用，在获取采购文件菜单中选择项目，申请获取采购文件）。</w:t>
      </w:r>
    </w:p>
    <w:p w14:paraId="4709FF7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售价（元）：</w:t>
      </w:r>
      <w:r>
        <w:rPr>
          <w:rFonts w:hint="eastAsia" w:ascii="宋体" w:hAnsi="宋体" w:eastAsia="宋体" w:cs="宋体"/>
          <w:color w:val="auto"/>
          <w:szCs w:val="21"/>
          <w:highlight w:val="none"/>
        </w:rPr>
        <w:t xml:space="preserve">0 </w:t>
      </w:r>
      <w:bookmarkStart w:id="530" w:name="_GoBack"/>
      <w:bookmarkEnd w:id="530"/>
    </w:p>
    <w:p w14:paraId="55761D41">
      <w:pPr>
        <w:wordWrap w:val="0"/>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四、提交投标文件截止时间、开标时间和地点</w:t>
      </w:r>
    </w:p>
    <w:p w14:paraId="344D2E46">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提交投标文件截止时间：</w:t>
      </w:r>
      <w:r>
        <w:rPr>
          <w:rFonts w:hint="eastAsia" w:ascii="宋体" w:hAnsi="宋体" w:eastAsia="宋体" w:cs="宋体"/>
          <w:color w:val="0000FF"/>
          <w:szCs w:val="21"/>
          <w:highlight w:val="none"/>
          <w:u w:val="single"/>
        </w:rPr>
        <w:t>2025年</w:t>
      </w:r>
      <w:r>
        <w:rPr>
          <w:rFonts w:hint="eastAsia" w:ascii="宋体" w:hAnsi="宋体" w:eastAsia="宋体" w:cs="宋体"/>
          <w:color w:val="0000FF"/>
          <w:szCs w:val="21"/>
          <w:highlight w:val="none"/>
          <w:u w:val="single"/>
          <w:lang w:val="en-US" w:eastAsia="zh-CN"/>
        </w:rPr>
        <w:t>07</w:t>
      </w:r>
      <w:r>
        <w:rPr>
          <w:rFonts w:hint="eastAsia" w:ascii="宋体" w:hAnsi="宋体" w:eastAsia="宋体" w:cs="宋体"/>
          <w:color w:val="0000FF"/>
          <w:szCs w:val="21"/>
          <w:highlight w:val="none"/>
          <w:u w:val="single"/>
        </w:rPr>
        <w:t>月</w:t>
      </w:r>
      <w:r>
        <w:rPr>
          <w:rFonts w:hint="eastAsia" w:ascii="宋体" w:hAnsi="宋体" w:cs="宋体"/>
          <w:color w:val="0000FF"/>
          <w:szCs w:val="21"/>
          <w:highlight w:val="none"/>
          <w:u w:val="single"/>
          <w:lang w:val="en-US" w:eastAsia="zh-CN"/>
        </w:rPr>
        <w:t>30</w:t>
      </w:r>
      <w:r>
        <w:rPr>
          <w:rFonts w:hint="eastAsia" w:ascii="宋体" w:hAnsi="宋体" w:eastAsia="宋体" w:cs="宋体"/>
          <w:color w:val="0000FF"/>
          <w:szCs w:val="21"/>
          <w:highlight w:val="none"/>
          <w:u w:val="single"/>
        </w:rPr>
        <w:t>日14点</w:t>
      </w:r>
      <w:r>
        <w:rPr>
          <w:rFonts w:hint="eastAsia" w:ascii="宋体" w:hAnsi="宋体" w:eastAsia="宋体" w:cs="宋体"/>
          <w:color w:val="0000FF"/>
          <w:szCs w:val="21"/>
          <w:highlight w:val="none"/>
          <w:u w:val="single"/>
          <w:lang w:val="en-US" w:eastAsia="zh-CN"/>
        </w:rPr>
        <w:t>00</w:t>
      </w:r>
      <w:r>
        <w:rPr>
          <w:rFonts w:hint="eastAsia" w:ascii="宋体" w:hAnsi="宋体" w:eastAsia="宋体" w:cs="宋体"/>
          <w:color w:val="0000FF"/>
          <w:szCs w:val="21"/>
          <w:highlight w:val="none"/>
          <w:u w:val="single"/>
        </w:rPr>
        <w:t>分</w:t>
      </w:r>
      <w:r>
        <w:rPr>
          <w:rFonts w:hint="eastAsia" w:ascii="宋体" w:hAnsi="宋体" w:eastAsia="宋体" w:cs="宋体"/>
          <w:color w:val="auto"/>
          <w:szCs w:val="21"/>
          <w:highlight w:val="none"/>
        </w:rPr>
        <w:t>（北京时间）</w:t>
      </w:r>
    </w:p>
    <w:p w14:paraId="4B0AE08E">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投标地点（网址）：</w:t>
      </w:r>
      <w:r>
        <w:rPr>
          <w:rFonts w:hint="eastAsia" w:ascii="宋体" w:hAnsi="宋体" w:eastAsia="宋体" w:cs="宋体"/>
          <w:color w:val="auto"/>
          <w:szCs w:val="21"/>
          <w:highlight w:val="none"/>
        </w:rPr>
        <w:t xml:space="preserve">政采云平台（https://www.zcygov.cn/） </w:t>
      </w:r>
    </w:p>
    <w:p w14:paraId="527D4067">
      <w:pPr>
        <w:wordWrap w:val="0"/>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开标时间：</w:t>
      </w:r>
      <w:r>
        <w:rPr>
          <w:rFonts w:hint="eastAsia" w:ascii="宋体" w:hAnsi="宋体" w:eastAsia="宋体" w:cs="宋体"/>
          <w:color w:val="0000FF"/>
          <w:szCs w:val="21"/>
          <w:highlight w:val="none"/>
          <w:u w:val="single"/>
        </w:rPr>
        <w:t>2025年</w:t>
      </w:r>
      <w:r>
        <w:rPr>
          <w:rFonts w:hint="eastAsia" w:ascii="宋体" w:hAnsi="宋体" w:eastAsia="宋体" w:cs="宋体"/>
          <w:color w:val="0000FF"/>
          <w:szCs w:val="21"/>
          <w:highlight w:val="none"/>
          <w:u w:val="single"/>
          <w:lang w:val="en-US" w:eastAsia="zh-CN"/>
        </w:rPr>
        <w:t>07</w:t>
      </w:r>
      <w:r>
        <w:rPr>
          <w:rFonts w:hint="eastAsia" w:ascii="宋体" w:hAnsi="宋体" w:eastAsia="宋体" w:cs="宋体"/>
          <w:color w:val="0000FF"/>
          <w:szCs w:val="21"/>
          <w:highlight w:val="none"/>
          <w:u w:val="single"/>
        </w:rPr>
        <w:t>月</w:t>
      </w:r>
      <w:r>
        <w:rPr>
          <w:rFonts w:hint="eastAsia" w:ascii="宋体" w:hAnsi="宋体" w:cs="宋体"/>
          <w:color w:val="0000FF"/>
          <w:szCs w:val="21"/>
          <w:highlight w:val="none"/>
          <w:u w:val="single"/>
          <w:lang w:val="en-US" w:eastAsia="zh-CN"/>
        </w:rPr>
        <w:t>30</w:t>
      </w:r>
      <w:r>
        <w:rPr>
          <w:rFonts w:hint="eastAsia" w:ascii="宋体" w:hAnsi="宋体" w:eastAsia="宋体" w:cs="宋体"/>
          <w:color w:val="0000FF"/>
          <w:szCs w:val="21"/>
          <w:highlight w:val="none"/>
          <w:u w:val="single"/>
        </w:rPr>
        <w:t>日14点</w:t>
      </w:r>
      <w:r>
        <w:rPr>
          <w:rFonts w:hint="eastAsia" w:ascii="宋体" w:hAnsi="宋体" w:eastAsia="宋体" w:cs="宋体"/>
          <w:color w:val="0000FF"/>
          <w:szCs w:val="21"/>
          <w:highlight w:val="none"/>
          <w:u w:val="single"/>
          <w:lang w:val="en-US" w:eastAsia="zh-CN"/>
        </w:rPr>
        <w:t>00</w:t>
      </w:r>
      <w:r>
        <w:rPr>
          <w:rFonts w:hint="eastAsia" w:ascii="宋体" w:hAnsi="宋体" w:eastAsia="宋体" w:cs="宋体"/>
          <w:color w:val="0000FF"/>
          <w:szCs w:val="21"/>
          <w:highlight w:val="none"/>
          <w:u w:val="single"/>
        </w:rPr>
        <w:t>分</w:t>
      </w:r>
    </w:p>
    <w:p w14:paraId="672CFEDD">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开标地点（网址）：</w:t>
      </w:r>
      <w:r>
        <w:rPr>
          <w:rFonts w:hint="eastAsia" w:ascii="宋体" w:hAnsi="宋体" w:eastAsia="宋体" w:cs="宋体"/>
          <w:color w:val="auto"/>
          <w:szCs w:val="21"/>
          <w:highlight w:val="none"/>
        </w:rPr>
        <w:t>政采云平台（https://www.zcygov.cn/）</w:t>
      </w:r>
    </w:p>
    <w:p w14:paraId="0019A081">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五、采购意向公开</w:t>
      </w:r>
    </w:p>
    <w:p w14:paraId="5DB0B55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采购意向公开链接：https://zfcg.czt.zj.gov.cn/luban/detail?parentId=600007&amp;articleId=PRH5fU1oxCM1zuni9fjjWQ==</w:t>
      </w:r>
    </w:p>
    <w:p w14:paraId="24FA66F8">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发布时间：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 xml:space="preserve">06 </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 xml:space="preserve">26 </w:t>
      </w:r>
      <w:r>
        <w:rPr>
          <w:rFonts w:hint="eastAsia" w:ascii="宋体" w:hAnsi="宋体" w:eastAsia="宋体" w:cs="宋体"/>
          <w:color w:val="auto"/>
          <w:szCs w:val="21"/>
          <w:highlight w:val="none"/>
          <w:u w:val="single"/>
        </w:rPr>
        <w:t>日</w:t>
      </w:r>
    </w:p>
    <w:p w14:paraId="7CEF0CAD">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六、公告期限</w:t>
      </w:r>
    </w:p>
    <w:p w14:paraId="7C7F626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17776461">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七、其他补充事宜</w:t>
      </w:r>
    </w:p>
    <w:p w14:paraId="2B5A64B8">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14:paraId="4088884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9BA5E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62641C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1049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5.其他事项：</w:t>
      </w:r>
    </w:p>
    <w:p w14:paraId="66783D6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(1)需要落实的政府采购政策：包括节约资源、保护环境、支持创新、促进中小企业发展等。详见招标文件的第二部分总则。</w:t>
      </w:r>
    </w:p>
    <w:p w14:paraId="4686AC7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(2)电子招投标的说明：</w:t>
      </w:r>
    </w:p>
    <w:p w14:paraId="19A70BF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①电子招投标：本项目以数据电文形式，依托“政府采购云平台（www.zcygov.cn）”进行招投标活动，不接受纸质投标文件；</w:t>
      </w:r>
    </w:p>
    <w:p w14:paraId="41E9143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72630A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③招标文件的获取：使用账号登录或者使用CA登录政采云平台；进入“项目采购”应用，在获取采购文件菜单中选择项目，获取招标文件；</w:t>
      </w:r>
    </w:p>
    <w:p w14:paraId="750933D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④投标文件的制作：在“政采云电子交易客户端”中完成“填写基本信息”、“导入投标文件”、“标书关联”、“标书检查”、“电子签名”、“生成电子标书”等操作；</w:t>
      </w:r>
    </w:p>
    <w:p w14:paraId="141474A7">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⑤采购人、采购代理机构将依托政采云平台完成本项目的电子交易活动，平台不接受未按上述方式获取招标文件的供应商进行投标活动；</w:t>
      </w:r>
    </w:p>
    <w:p w14:paraId="474CBA6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⑥对未按上述方式获取招标文件的供应商对该文件提出的质疑，采购人或采购代理机构将不予处理；</w:t>
      </w:r>
    </w:p>
    <w:p w14:paraId="1592710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⑦不提供招标文件纸质版；</w:t>
      </w:r>
    </w:p>
    <w:p w14:paraId="64FD86E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07C965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FC9BBC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⑩具体操作指南：详见政采云平台“服务中心-帮助文档-项目采购-操作流程-电子招投标-政府采购项目电子交易管理操作指南-供应商”。</w:t>
      </w:r>
    </w:p>
    <w:p w14:paraId="26DBACE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(3)招标文件公告期限与招标公告的公告期限一致。</w:t>
      </w:r>
    </w:p>
    <w:p w14:paraId="587DF972">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八、对本次采购提出询问、质疑、投诉，请按以下方式联系</w:t>
      </w:r>
    </w:p>
    <w:p w14:paraId="5D075A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68B9D34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嘉兴市秀洲区油车港镇人民政府</w:t>
      </w:r>
    </w:p>
    <w:p w14:paraId="2246AF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址：嘉兴市秀洲区奥星路251号</w:t>
      </w:r>
    </w:p>
    <w:p w14:paraId="168D9B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w:t>
      </w:r>
    </w:p>
    <w:p w14:paraId="0099447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谢先生</w:t>
      </w:r>
    </w:p>
    <w:p w14:paraId="4CA5C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项目联系方式（询问）：0573-83623559</w:t>
      </w:r>
    </w:p>
    <w:p w14:paraId="3A0401E4">
      <w:pPr>
        <w:tabs>
          <w:tab w:val="left" w:pos="324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质疑联系人：翁先生</w:t>
      </w:r>
    </w:p>
    <w:p w14:paraId="00ECAD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质疑联系方式：0573-83381782</w:t>
      </w:r>
    </w:p>
    <w:p w14:paraId="15FD57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3BD2140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浙江槿阳建设管理有限公司</w:t>
      </w:r>
    </w:p>
    <w:p w14:paraId="7C8EE4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地址：嘉兴市秀洲区成秀路205号鼎盛大厦4楼409室</w:t>
      </w:r>
    </w:p>
    <w:p w14:paraId="0F4380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60F2E5E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王先生</w:t>
      </w:r>
    </w:p>
    <w:p w14:paraId="0E97FC7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0573-83807672</w:t>
      </w:r>
    </w:p>
    <w:p w14:paraId="19ECA0F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薛玉来</w:t>
      </w:r>
    </w:p>
    <w:p w14:paraId="1466E58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0573-83807672</w:t>
      </w:r>
    </w:p>
    <w:p w14:paraId="7E578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3.同级政府采购监督管理部门            </w:t>
      </w:r>
    </w:p>
    <w:p w14:paraId="0AE2BA1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嘉兴市秀洲区财政局</w:t>
      </w:r>
    </w:p>
    <w:p w14:paraId="72F9968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嘉兴市洪兴路1765号</w:t>
      </w:r>
    </w:p>
    <w:p w14:paraId="7A929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709BD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方</w:t>
      </w:r>
      <w:r>
        <w:rPr>
          <w:rFonts w:hint="eastAsia" w:ascii="宋体" w:hAnsi="宋体" w:eastAsia="宋体" w:cs="宋体"/>
          <w:color w:val="auto"/>
          <w:szCs w:val="21"/>
          <w:highlight w:val="none"/>
        </w:rPr>
        <w:t>先生</w:t>
      </w:r>
    </w:p>
    <w:p w14:paraId="004D7CC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监督投诉电话：</w:t>
      </w:r>
      <w:r>
        <w:rPr>
          <w:rFonts w:hint="eastAsia" w:ascii="宋体" w:hAnsi="宋体" w:eastAsia="宋体" w:cs="宋体"/>
          <w:color w:val="auto"/>
          <w:szCs w:val="21"/>
          <w:highlight w:val="none"/>
          <w:lang w:eastAsia="zh-CN"/>
        </w:rPr>
        <w:t>0573-82720085</w:t>
      </w:r>
    </w:p>
    <w:p w14:paraId="0CED325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1374916">
      <w:pPr>
        <w:wordWrap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CA问题联系电话（人工）：汇信CA 400-888-4636；天谷CA 400-087-8198。</w:t>
      </w:r>
    </w:p>
    <w:p w14:paraId="062AAA92">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7EA47F4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E6BA906">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68BE6FD">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40B81AC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D1138E6">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2CFE297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7F84B701">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13ED75F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3CE0E39">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725107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6F5F03F">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8BD938A">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40A8BA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08849E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3C3BFE72">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04C985B">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89F5C49">
      <w:pPr>
        <w:adjustRightInd/>
        <w:spacing w:before="240" w:beforeLines="1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9B93F86">
      <w:pPr>
        <w:snapToGrid w:val="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14:paraId="52AF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shd w:val="clear" w:color="auto" w:fill="DCE6F2" w:themeFill="accent1" w:themeFillTint="32"/>
            <w:vAlign w:val="center"/>
          </w:tcPr>
          <w:p w14:paraId="1A2F96C2">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序号</w:t>
            </w:r>
          </w:p>
        </w:tc>
        <w:tc>
          <w:tcPr>
            <w:tcW w:w="1907" w:type="dxa"/>
            <w:shd w:val="clear" w:color="auto" w:fill="DCE6F2" w:themeFill="accent1" w:themeFillTint="32"/>
            <w:vAlign w:val="center"/>
          </w:tcPr>
          <w:p w14:paraId="52EF5F1C">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事项</w:t>
            </w:r>
          </w:p>
        </w:tc>
        <w:tc>
          <w:tcPr>
            <w:tcW w:w="6366" w:type="dxa"/>
            <w:shd w:val="clear" w:color="auto" w:fill="DCE6F2" w:themeFill="accent1" w:themeFillTint="32"/>
            <w:vAlign w:val="center"/>
          </w:tcPr>
          <w:p w14:paraId="460250F5">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本项目的特别规定</w:t>
            </w:r>
          </w:p>
        </w:tc>
      </w:tr>
      <w:tr w14:paraId="62E9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729" w:type="dxa"/>
            <w:shd w:val="clear" w:color="auto" w:fill="FFFFFF" w:themeFill="background1"/>
            <w:vAlign w:val="center"/>
          </w:tcPr>
          <w:p w14:paraId="1A1EF2E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07" w:type="dxa"/>
            <w:shd w:val="clear" w:color="auto" w:fill="FFFFFF" w:themeFill="background1"/>
            <w:vAlign w:val="center"/>
          </w:tcPr>
          <w:p w14:paraId="7DCB095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w:t>
            </w:r>
          </w:p>
        </w:tc>
        <w:tc>
          <w:tcPr>
            <w:tcW w:w="6366" w:type="dxa"/>
            <w:shd w:val="clear" w:color="auto" w:fill="FFFFFF" w:themeFill="background1"/>
            <w:vAlign w:val="center"/>
          </w:tcPr>
          <w:p w14:paraId="30C5980E">
            <w:pPr>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服务类</w:t>
            </w:r>
          </w:p>
        </w:tc>
      </w:tr>
      <w:tr w14:paraId="7EC9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1FBD0D2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shd w:val="clear" w:color="auto" w:fill="FFFFFF" w:themeFill="background1"/>
            <w:vAlign w:val="center"/>
          </w:tcPr>
          <w:p w14:paraId="71A0EF7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采购标的及其对应的中小企业划分标准所属行业</w:t>
            </w:r>
          </w:p>
        </w:tc>
        <w:tc>
          <w:tcPr>
            <w:tcW w:w="6366" w:type="dxa"/>
            <w:shd w:val="clear" w:color="auto" w:fill="FFFFFF" w:themeFill="background1"/>
            <w:vAlign w:val="center"/>
          </w:tcPr>
          <w:p w14:paraId="2EDF8088">
            <w:pPr>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标的：</w:t>
            </w:r>
            <w:r>
              <w:rPr>
                <w:rFonts w:hint="eastAsia" w:ascii="宋体" w:hAnsi="宋体" w:eastAsia="宋体" w:cs="宋体"/>
                <w:b/>
                <w:color w:val="0000FF"/>
                <w:kern w:val="0"/>
                <w:szCs w:val="21"/>
                <w:highlight w:val="none"/>
                <w:u w:val="single"/>
                <w:lang w:eastAsia="zh-CN"/>
              </w:rPr>
              <w:t>保洁</w:t>
            </w:r>
            <w:r>
              <w:rPr>
                <w:rFonts w:hint="eastAsia" w:ascii="宋体" w:hAnsi="宋体" w:eastAsia="宋体" w:cs="宋体"/>
                <w:b/>
                <w:color w:val="0000FF"/>
                <w:kern w:val="0"/>
                <w:szCs w:val="21"/>
                <w:highlight w:val="none"/>
                <w:u w:val="single"/>
                <w:lang w:val="en-US" w:eastAsia="zh-CN"/>
              </w:rPr>
              <w:t>服务</w:t>
            </w:r>
            <w:r>
              <w:rPr>
                <w:rFonts w:hint="eastAsia" w:ascii="宋体" w:hAnsi="宋体" w:eastAsia="宋体" w:cs="宋体"/>
                <w:b/>
                <w:color w:val="auto"/>
                <w:kern w:val="0"/>
                <w:szCs w:val="21"/>
                <w:highlight w:val="none"/>
              </w:rPr>
              <w:t>，属于</w:t>
            </w:r>
            <w:r>
              <w:rPr>
                <w:rFonts w:hint="eastAsia" w:ascii="宋体" w:hAnsi="宋体" w:eastAsia="宋体" w:cs="宋体"/>
                <w:b/>
                <w:color w:val="auto"/>
                <w:kern w:val="0"/>
                <w:szCs w:val="21"/>
                <w:highlight w:val="none"/>
                <w:u w:val="single"/>
              </w:rPr>
              <w:t>其</w:t>
            </w:r>
            <w:r>
              <w:rPr>
                <w:rFonts w:hint="eastAsia" w:ascii="宋体" w:hAnsi="宋体" w:eastAsia="宋体" w:cs="宋体"/>
                <w:b/>
                <w:color w:val="0000FF"/>
                <w:kern w:val="0"/>
                <w:szCs w:val="21"/>
                <w:highlight w:val="none"/>
                <w:u w:val="single"/>
              </w:rPr>
              <w:t>他未列明行业</w:t>
            </w:r>
            <w:r>
              <w:rPr>
                <w:rFonts w:hint="eastAsia" w:ascii="宋体" w:hAnsi="宋体" w:eastAsia="宋体" w:cs="宋体"/>
                <w:b/>
                <w:color w:val="auto"/>
                <w:kern w:val="0"/>
                <w:szCs w:val="21"/>
                <w:highlight w:val="none"/>
              </w:rPr>
              <w:t>；</w:t>
            </w:r>
          </w:p>
        </w:tc>
      </w:tr>
      <w:tr w14:paraId="77D4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1A3B4C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shd w:val="clear" w:color="auto" w:fill="FFFFFF" w:themeFill="background1"/>
            <w:vAlign w:val="center"/>
          </w:tcPr>
          <w:p w14:paraId="47C8A6F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是否允许采购进口产品</w:t>
            </w:r>
          </w:p>
        </w:tc>
        <w:tc>
          <w:tcPr>
            <w:tcW w:w="6366" w:type="dxa"/>
            <w:shd w:val="clear" w:color="auto" w:fill="FFFFFF" w:themeFill="background1"/>
            <w:vAlign w:val="center"/>
          </w:tcPr>
          <w:p w14:paraId="6D9E596E">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bCs/>
                <w:color w:val="auto"/>
                <w:kern w:val="0"/>
                <w:szCs w:val="21"/>
                <w:highlight w:val="none"/>
              </w:rPr>
              <w:t>本项目不允许采购进口产品。</w:t>
            </w:r>
          </w:p>
          <w:p w14:paraId="5119B724">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bCs/>
                <w:color w:val="auto"/>
                <w:kern w:val="0"/>
                <w:szCs w:val="21"/>
                <w:highlight w:val="none"/>
              </w:rPr>
              <w:t>可以就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采购进口产品。优先采购向我国企业转让技术、与我国企业签订消化吸收再创新方案的供应商的进口产品，详见</w:t>
            </w:r>
            <w:r>
              <w:rPr>
                <w:rFonts w:hint="eastAsia" w:ascii="宋体" w:hAnsi="宋体" w:eastAsia="宋体" w:cs="宋体"/>
                <w:bCs/>
                <w:color w:val="auto"/>
                <w:kern w:val="0"/>
                <w:szCs w:val="21"/>
                <w:highlight w:val="none"/>
                <w:u w:val="single"/>
              </w:rPr>
              <w:t>评分标准</w:t>
            </w:r>
            <w:r>
              <w:rPr>
                <w:rFonts w:hint="eastAsia" w:ascii="宋体" w:hAnsi="宋体" w:eastAsia="宋体" w:cs="宋体"/>
                <w:bCs/>
                <w:color w:val="auto"/>
                <w:kern w:val="0"/>
                <w:szCs w:val="21"/>
                <w:highlight w:val="none"/>
              </w:rPr>
              <w:t>。</w:t>
            </w:r>
          </w:p>
        </w:tc>
      </w:tr>
      <w:tr w14:paraId="57DC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68BAC2F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shd w:val="clear" w:color="auto" w:fill="FFFFFF" w:themeFill="background1"/>
            <w:vAlign w:val="center"/>
          </w:tcPr>
          <w:p w14:paraId="6FDCE26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366" w:type="dxa"/>
            <w:shd w:val="clear" w:color="auto" w:fill="FFFFFF" w:themeFill="background1"/>
            <w:vAlign w:val="center"/>
          </w:tcPr>
          <w:p w14:paraId="09EC19F6">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A同意将非主体、非关键性的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工作分包。</w:t>
            </w:r>
          </w:p>
          <w:p w14:paraId="1FF5D770">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B不同意分包。</w:t>
            </w:r>
          </w:p>
          <w:p w14:paraId="1E922323">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注：不得限制大中型企业向小微企业合理分包。</w:t>
            </w:r>
          </w:p>
        </w:tc>
      </w:tr>
      <w:tr w14:paraId="10A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14D946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07" w:type="dxa"/>
            <w:shd w:val="clear" w:color="auto" w:fill="FFFFFF" w:themeFill="background1"/>
            <w:vAlign w:val="center"/>
          </w:tcPr>
          <w:p w14:paraId="71435F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开标前答疑会或现场考察</w:t>
            </w:r>
          </w:p>
        </w:tc>
        <w:tc>
          <w:tcPr>
            <w:tcW w:w="6366" w:type="dxa"/>
            <w:shd w:val="clear" w:color="auto" w:fill="FFFFFF" w:themeFill="background1"/>
            <w:vAlign w:val="center"/>
          </w:tcPr>
          <w:p w14:paraId="27E668EF">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A不组织。</w:t>
            </w:r>
          </w:p>
          <w:p w14:paraId="5B2F583A">
            <w:pPr>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777057702"/>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B组织，时间：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tc>
      </w:tr>
      <w:tr w14:paraId="74E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0C665DF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07" w:type="dxa"/>
            <w:shd w:val="clear" w:color="auto" w:fill="FFFFFF" w:themeFill="background1"/>
            <w:vAlign w:val="center"/>
          </w:tcPr>
          <w:p w14:paraId="70F8F60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样品提供</w:t>
            </w:r>
          </w:p>
        </w:tc>
        <w:tc>
          <w:tcPr>
            <w:tcW w:w="6366" w:type="dxa"/>
            <w:shd w:val="clear" w:color="auto" w:fill="FFFFFF" w:themeFill="background1"/>
            <w:vAlign w:val="center"/>
          </w:tcPr>
          <w:p w14:paraId="47E8C8AB">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BE9B8C3">
            <w:pPr>
              <w:wordWrap w:val="0"/>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26831988"/>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B要求提供，</w:t>
            </w:r>
          </w:p>
          <w:p w14:paraId="478B1AD8">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snapToGrid w:val="0"/>
                <w:color w:val="auto"/>
                <w:kern w:val="28"/>
                <w:szCs w:val="21"/>
                <w:highlight w:val="none"/>
              </w:rPr>
              <w:t>样品：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57EC2CF1">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snapToGrid w:val="0"/>
                <w:color w:val="auto"/>
                <w:kern w:val="28"/>
                <w:szCs w:val="21"/>
                <w:highlight w:val="none"/>
              </w:rPr>
              <w:t>（2）样品制作的标准和要求：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04C7B196">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（3）样品的评审方法以及评审标准</w:t>
            </w:r>
            <w:r>
              <w:rPr>
                <w:rFonts w:hint="eastAsia" w:ascii="宋体" w:hAnsi="宋体" w:eastAsia="宋体" w:cs="宋体"/>
                <w:snapToGrid w:val="0"/>
                <w:color w:val="auto"/>
                <w:kern w:val="28"/>
                <w:szCs w:val="21"/>
                <w:highlight w:val="none"/>
              </w:rPr>
              <w:t>：详见</w:t>
            </w:r>
            <w:r>
              <w:rPr>
                <w:rFonts w:hint="eastAsia" w:ascii="宋体" w:hAnsi="宋体" w:eastAsia="宋体" w:cs="宋体"/>
                <w:color w:val="auto"/>
                <w:szCs w:val="21"/>
                <w:highlight w:val="none"/>
                <w:u w:val="single"/>
              </w:rPr>
              <w:t>评标办法</w:t>
            </w:r>
            <w:r>
              <w:rPr>
                <w:rFonts w:hint="eastAsia" w:ascii="宋体" w:hAnsi="宋体" w:eastAsia="宋体" w:cs="宋体"/>
                <w:color w:val="auto"/>
                <w:kern w:val="0"/>
                <w:szCs w:val="21"/>
                <w:highlight w:val="none"/>
              </w:rPr>
              <w:t>；</w:t>
            </w:r>
          </w:p>
          <w:p w14:paraId="05C858AA">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（4）是否需要随样品提交检测报告：</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否；</w:t>
            </w:r>
            <w:sdt>
              <w:sdtPr>
                <w:rPr>
                  <w:rFonts w:hint="eastAsia" w:ascii="宋体" w:hAnsi="宋体" w:eastAsia="宋体" w:cs="宋体"/>
                  <w:color w:val="auto"/>
                  <w:kern w:val="0"/>
                  <w:szCs w:val="21"/>
                  <w:highlight w:val="none"/>
                </w:rPr>
                <w:id w:val="1621728433"/>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303421454"/>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kern w:val="0"/>
                <w:szCs w:val="21"/>
                <w:highlight w:val="none"/>
              </w:rPr>
              <w:t>是，检测机构的要求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；检测内容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4B2B10EB">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（5）提供样品的时间：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28"/>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。请投标人在上述时间内提供样品并按规定位置安装完毕。超过截止时间的，采购人或采购代理机构将不予接收，并将清场并封闭样品现场。</w:t>
            </w:r>
          </w:p>
          <w:p w14:paraId="5982205D">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AD27D5">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（7）制作、运输、安装和保管样品所发生的一切费用由投标人自理。</w:t>
            </w:r>
          </w:p>
        </w:tc>
      </w:tr>
      <w:tr w14:paraId="3663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33ED07A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07" w:type="dxa"/>
            <w:shd w:val="clear" w:color="auto" w:fill="FFFFFF" w:themeFill="background1"/>
            <w:vAlign w:val="center"/>
          </w:tcPr>
          <w:p w14:paraId="050FBEF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方案讲解演示</w:t>
            </w:r>
          </w:p>
        </w:tc>
        <w:tc>
          <w:tcPr>
            <w:tcW w:w="6366" w:type="dxa"/>
            <w:shd w:val="clear" w:color="auto" w:fill="FFFFFF" w:themeFill="background1"/>
            <w:vAlign w:val="center"/>
          </w:tcPr>
          <w:p w14:paraId="49CB94C5">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bCs/>
                <w:color w:val="auto"/>
                <w:kern w:val="0"/>
                <w:szCs w:val="21"/>
                <w:highlight w:val="none"/>
              </w:rPr>
              <w:t>A不组织。</w:t>
            </w:r>
          </w:p>
          <w:p w14:paraId="0E7C8589">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bCs/>
                <w:color w:val="auto"/>
                <w:kern w:val="0"/>
                <w:szCs w:val="21"/>
                <w:highlight w:val="none"/>
              </w:rPr>
              <w:t>B组织。</w:t>
            </w:r>
          </w:p>
          <w:p w14:paraId="2C30DC92">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32775D1">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（2）方案讲解演示可选择以下其中一种方式：</w:t>
            </w:r>
          </w:p>
          <w:p w14:paraId="33BFA30B">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方式一：政采云平台在线讲解演示。政采云平台在线讲解需投标人根据政采云平台操作要求做好准备工作，提前完善软硬件配置环境。</w:t>
            </w:r>
          </w:p>
          <w:p w14:paraId="75634C94">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方式二：采购代理机构现场讲解演示。现场讲解地点为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，讲解演示所用电脑等设备由投标人自备。现场讲解演示人员进场时提供讲解人员名单（加盖公章或授权代表签名）及身份证明，否则不得讲解演示。</w:t>
            </w:r>
          </w:p>
          <w:p w14:paraId="78D516F6">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14DE5411">
            <w:pPr>
              <w:spacing w:line="400" w:lineRule="exact"/>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83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restart"/>
            <w:shd w:val="clear" w:color="auto" w:fill="FFFFFF" w:themeFill="background1"/>
            <w:vAlign w:val="center"/>
          </w:tcPr>
          <w:p w14:paraId="27964AD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07" w:type="dxa"/>
            <w:vMerge w:val="restart"/>
            <w:shd w:val="clear" w:color="auto" w:fill="FFFFFF" w:themeFill="background1"/>
            <w:vAlign w:val="center"/>
          </w:tcPr>
          <w:p w14:paraId="02794F3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投标人应当提供的资格、资信证明文件</w:t>
            </w:r>
          </w:p>
        </w:tc>
        <w:tc>
          <w:tcPr>
            <w:tcW w:w="6366" w:type="dxa"/>
            <w:shd w:val="clear" w:color="auto" w:fill="FFFFFF" w:themeFill="background1"/>
            <w:vAlign w:val="center"/>
          </w:tcPr>
          <w:p w14:paraId="0AE868D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（1）资格证明文件：见招标文件第二部分11.1。</w:t>
            </w:r>
          </w:p>
          <w:p w14:paraId="4ACADE90">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投标人未提供有效的资格证明文件的，视为投标人不具备招标文件中规定的资格要求，投标无效。</w:t>
            </w:r>
          </w:p>
        </w:tc>
      </w:tr>
      <w:tr w14:paraId="3E2C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6" w:hRule="atLeast"/>
          <w:jc w:val="center"/>
        </w:trPr>
        <w:tc>
          <w:tcPr>
            <w:tcW w:w="729" w:type="dxa"/>
            <w:vMerge w:val="continue"/>
            <w:shd w:val="clear" w:color="auto" w:fill="FFFFFF" w:themeFill="background1"/>
            <w:vAlign w:val="center"/>
          </w:tcPr>
          <w:p w14:paraId="73BD4B75">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1FC04414">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0B32C4D2">
            <w:pPr>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（2）资信证明文件：根据招标文件第四部分评标标准提供。</w:t>
            </w:r>
          </w:p>
        </w:tc>
      </w:tr>
      <w:tr w14:paraId="5DF3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3A1CA82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07" w:type="dxa"/>
            <w:shd w:val="clear" w:color="auto" w:fill="FFFFFF" w:themeFill="background1"/>
            <w:vAlign w:val="center"/>
          </w:tcPr>
          <w:p w14:paraId="0CEE381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节能产品、环境标志产品政府优先采购或强制采购</w:t>
            </w:r>
          </w:p>
        </w:tc>
        <w:tc>
          <w:tcPr>
            <w:tcW w:w="6366" w:type="dxa"/>
            <w:shd w:val="clear" w:color="auto" w:fill="FFFFFF" w:themeFill="background1"/>
            <w:vAlign w:val="center"/>
          </w:tcPr>
          <w:p w14:paraId="148F5308">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依据国家确定的认证机构出具的、处于有效期之内的节能产品认证证书，对获得证书的产品实施政府优先采购或强制采购；其中，对</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实施政府优先采购，详见</w:t>
            </w:r>
            <w:r>
              <w:rPr>
                <w:rFonts w:hint="eastAsia" w:ascii="宋体" w:hAnsi="宋体" w:eastAsia="宋体" w:cs="宋体"/>
                <w:color w:val="auto"/>
                <w:kern w:val="0"/>
                <w:szCs w:val="21"/>
                <w:highlight w:val="none"/>
                <w:u w:val="single"/>
              </w:rPr>
              <w:t>评分标准</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实施政府强制采购，</w:t>
            </w:r>
            <w:r>
              <w:rPr>
                <w:rFonts w:hint="eastAsia" w:ascii="宋体" w:hAnsi="宋体" w:eastAsia="宋体" w:cs="宋体"/>
                <w:b/>
                <w:bCs/>
                <w:color w:val="auto"/>
                <w:kern w:val="0"/>
                <w:szCs w:val="21"/>
                <w:highlight w:val="none"/>
              </w:rPr>
              <w:t>投标人就相应的投标产品未提供国家确定的认证机构出具的、处于有效期之内的节能产品认证证书的，投标无效。</w:t>
            </w:r>
          </w:p>
          <w:p w14:paraId="1B9391A4">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依据国家确定的认证机构出具的、处于有效期之内的环境标志产品认证证书，对获得证书的</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实施政府优先采购，详见</w:t>
            </w:r>
            <w:r>
              <w:rPr>
                <w:rFonts w:hint="eastAsia" w:ascii="宋体" w:hAnsi="宋体" w:eastAsia="宋体" w:cs="宋体"/>
                <w:color w:val="auto"/>
                <w:kern w:val="0"/>
                <w:szCs w:val="21"/>
                <w:highlight w:val="none"/>
                <w:u w:val="single"/>
              </w:rPr>
              <w:t>评分标准</w:t>
            </w:r>
            <w:r>
              <w:rPr>
                <w:rFonts w:hint="eastAsia" w:ascii="宋体" w:hAnsi="宋体" w:eastAsia="宋体" w:cs="宋体"/>
                <w:color w:val="auto"/>
                <w:kern w:val="0"/>
                <w:szCs w:val="21"/>
                <w:highlight w:val="none"/>
              </w:rPr>
              <w:t>。</w:t>
            </w:r>
          </w:p>
          <w:p w14:paraId="7768ED0E">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无。</w:t>
            </w:r>
          </w:p>
        </w:tc>
      </w:tr>
      <w:tr w14:paraId="3F5B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B343AF1">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10</w:t>
            </w:r>
          </w:p>
        </w:tc>
        <w:tc>
          <w:tcPr>
            <w:tcW w:w="1907" w:type="dxa"/>
            <w:shd w:val="clear" w:color="auto" w:fill="FFFFFF" w:themeFill="background1"/>
            <w:vAlign w:val="center"/>
          </w:tcPr>
          <w:p w14:paraId="00D0E01C">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报价要求</w:t>
            </w:r>
          </w:p>
        </w:tc>
        <w:tc>
          <w:tcPr>
            <w:tcW w:w="6366" w:type="dxa"/>
            <w:shd w:val="clear" w:color="auto" w:fill="FFFFFF" w:themeFill="background1"/>
            <w:vAlign w:val="center"/>
          </w:tcPr>
          <w:p w14:paraId="23162D5F">
            <w:pPr>
              <w:snapToGrid w:val="0"/>
              <w:spacing w:line="400" w:lineRule="exact"/>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有关本项目实施</w:t>
            </w:r>
            <w:r>
              <w:rPr>
                <w:rFonts w:hint="eastAsia" w:ascii="宋体" w:hAnsi="宋体" w:eastAsia="宋体" w:cs="宋体"/>
                <w:color w:val="auto"/>
                <w:szCs w:val="21"/>
                <w:highlight w:val="none"/>
              </w:rPr>
              <w:t>所需的所有费用（含税费）均计入报价。</w:t>
            </w:r>
            <w:r>
              <w:rPr>
                <w:rFonts w:hint="eastAsia" w:ascii="宋体" w:hAnsi="宋体" w:eastAsia="宋体" w:cs="宋体"/>
                <w:b/>
                <w:bCs/>
                <w:color w:val="auto"/>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Cs w:val="21"/>
                <w:highlight w:val="none"/>
              </w:rPr>
              <w:t>提醒：验收时检测费用由采购人承担，不包含在投标总价中。</w:t>
            </w:r>
          </w:p>
          <w:p w14:paraId="06D61FA0">
            <w:pPr>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投标报价出现下列情形的，投标无效：</w:t>
            </w:r>
          </w:p>
          <w:p w14:paraId="63C9EDE5">
            <w:pPr>
              <w:snapToGrid w:val="0"/>
              <w:spacing w:line="400" w:lineRule="exact"/>
              <w:ind w:firstLine="211" w:firstLineChars="10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投标文件出现不是唯一的、有选择性投标报价的；</w:t>
            </w:r>
          </w:p>
          <w:p w14:paraId="57758857">
            <w:pPr>
              <w:snapToGrid w:val="0"/>
              <w:spacing w:line="400" w:lineRule="exact"/>
              <w:ind w:firstLine="211" w:firstLineChars="100"/>
              <w:jc w:val="left"/>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lang w:val="zh-CN"/>
              </w:rPr>
              <w:t>投标报价超过招标文件中规定的预算金额或者最高限价的；</w:t>
            </w:r>
          </w:p>
          <w:p w14:paraId="2FA56EDB">
            <w:pPr>
              <w:spacing w:line="400" w:lineRule="exact"/>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Cs w:val="21"/>
                <w:highlight w:val="none"/>
              </w:rPr>
              <w:t>；</w:t>
            </w:r>
          </w:p>
          <w:p w14:paraId="359578DE">
            <w:pPr>
              <w:spacing w:line="400" w:lineRule="exact"/>
              <w:ind w:firstLine="211" w:firstLineChars="100"/>
              <w:rPr>
                <w:rFonts w:hint="eastAsia" w:ascii="宋体" w:hAnsi="宋体" w:eastAsia="宋体" w:cs="宋体"/>
                <w:color w:val="auto"/>
                <w:highlight w:val="none"/>
              </w:rPr>
            </w:pPr>
            <w:r>
              <w:rPr>
                <w:rFonts w:hint="eastAsia" w:ascii="宋体" w:hAnsi="宋体" w:eastAsia="宋体" w:cs="宋体"/>
                <w:b/>
                <w:color w:val="auto"/>
                <w:kern w:val="0"/>
                <w:szCs w:val="21"/>
                <w:highlight w:val="none"/>
              </w:rPr>
              <w:t>投标人对根据修正原则修正后的报价不确认的</w:t>
            </w:r>
            <w:r>
              <w:rPr>
                <w:rFonts w:hint="eastAsia" w:ascii="宋体" w:hAnsi="宋体" w:eastAsia="宋体" w:cs="宋体"/>
                <w:b/>
                <w:color w:val="auto"/>
                <w:szCs w:val="21"/>
                <w:highlight w:val="none"/>
              </w:rPr>
              <w:t>。</w:t>
            </w:r>
          </w:p>
        </w:tc>
      </w:tr>
      <w:tr w14:paraId="2696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CA6B10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07" w:type="dxa"/>
            <w:shd w:val="clear" w:color="auto" w:fill="FFFFFF" w:themeFill="background1"/>
            <w:vAlign w:val="center"/>
          </w:tcPr>
          <w:p w14:paraId="156F03D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中小企业信用融资</w:t>
            </w:r>
          </w:p>
        </w:tc>
        <w:tc>
          <w:tcPr>
            <w:tcW w:w="6366" w:type="dxa"/>
            <w:shd w:val="clear" w:color="auto" w:fill="FFFFFF" w:themeFill="background1"/>
            <w:vAlign w:val="center"/>
          </w:tcPr>
          <w:p w14:paraId="46BAB9FF">
            <w:pPr>
              <w:pStyle w:val="7"/>
              <w:wordWrap w:val="0"/>
              <w:spacing w:line="400" w:lineRule="exact"/>
              <w:rPr>
                <w:rFonts w:hint="eastAsia" w:ascii="宋体" w:hAnsi="宋体" w:eastAsia="宋体" w:cs="宋体"/>
                <w:b/>
                <w:color w:val="auto"/>
                <w:highlight w:val="none"/>
              </w:rPr>
            </w:pPr>
            <w:r>
              <w:rPr>
                <w:rFonts w:hint="eastAsia" w:ascii="宋体" w:hAnsi="宋体" w:eastAsia="宋体" w:cs="宋体"/>
                <w:snapToGrid/>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A78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481F309D">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12</w:t>
            </w:r>
          </w:p>
        </w:tc>
        <w:tc>
          <w:tcPr>
            <w:tcW w:w="1907" w:type="dxa"/>
            <w:shd w:val="clear" w:color="auto" w:fill="FFFFFF" w:themeFill="background1"/>
            <w:vAlign w:val="center"/>
          </w:tcPr>
          <w:p w14:paraId="45D79CB5">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备份投标文件送达地点和签收人员</w:t>
            </w:r>
          </w:p>
        </w:tc>
        <w:tc>
          <w:tcPr>
            <w:tcW w:w="6366" w:type="dxa"/>
            <w:shd w:val="clear" w:color="auto" w:fill="FFFFFF" w:themeFill="background1"/>
            <w:vAlign w:val="center"/>
          </w:tcPr>
          <w:p w14:paraId="70A5D468">
            <w:pPr>
              <w:pStyle w:val="7"/>
              <w:spacing w:line="400" w:lineRule="exact"/>
              <w:rPr>
                <w:rFonts w:hint="eastAsia" w:ascii="宋体" w:hAnsi="宋体" w:eastAsia="宋体" w:cs="宋体"/>
                <w:color w:val="auto"/>
                <w:highlight w:val="none"/>
              </w:rPr>
            </w:pPr>
            <w:r>
              <w:rPr>
                <w:rFonts w:hint="eastAsia" w:ascii="宋体" w:hAnsi="宋体" w:eastAsia="宋体" w:cs="宋体"/>
                <w:color w:val="auto"/>
                <w:kern w:val="28"/>
                <w:highlight w:val="none"/>
              </w:rPr>
              <w:t>备份投标文件送达地点：</w:t>
            </w:r>
            <w:r>
              <w:rPr>
                <w:rFonts w:hint="eastAsia" w:ascii="宋体" w:hAnsi="宋体" w:eastAsia="宋体" w:cs="宋体"/>
                <w:color w:val="auto"/>
                <w:kern w:val="28"/>
                <w:highlight w:val="none"/>
                <w:u w:val="single"/>
              </w:rPr>
              <w:t>嘉兴市秀洲区成秀路205号鼎盛大厦4楼409招标代理部</w:t>
            </w:r>
            <w:r>
              <w:rPr>
                <w:rFonts w:hint="eastAsia" w:ascii="宋体" w:hAnsi="宋体" w:eastAsia="宋体" w:cs="宋体"/>
                <w:color w:val="auto"/>
                <w:kern w:val="28"/>
                <w:highlight w:val="none"/>
              </w:rPr>
              <w:t>；备份投标文件签收人员联系电话：</w:t>
            </w:r>
            <w:r>
              <w:rPr>
                <w:rFonts w:hint="eastAsia" w:ascii="宋体" w:hAnsi="宋体" w:eastAsia="宋体" w:cs="宋体"/>
                <w:color w:val="auto"/>
                <w:kern w:val="28"/>
                <w:highlight w:val="none"/>
                <w:u w:val="single"/>
              </w:rPr>
              <w:t>18667388226</w:t>
            </w:r>
            <w:r>
              <w:rPr>
                <w:rFonts w:hint="eastAsia" w:ascii="宋体" w:hAnsi="宋体" w:eastAsia="宋体" w:cs="宋体"/>
                <w:color w:val="auto"/>
                <w:kern w:val="28"/>
                <w:highlight w:val="none"/>
              </w:rPr>
              <w:t>。</w:t>
            </w:r>
            <w:r>
              <w:rPr>
                <w:rFonts w:hint="eastAsia" w:ascii="宋体" w:hAnsi="宋体" w:eastAsia="宋体" w:cs="宋体"/>
                <w:b/>
                <w:color w:val="auto"/>
                <w:highlight w:val="none"/>
              </w:rPr>
              <w:t>采购人、采购代理机构不强制或变相强制投标人提交备份投标文件。</w:t>
            </w:r>
          </w:p>
        </w:tc>
      </w:tr>
      <w:tr w14:paraId="4F9B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CF9FEC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07" w:type="dxa"/>
            <w:shd w:val="clear" w:color="auto" w:fill="FFFFFF" w:themeFill="background1"/>
            <w:vAlign w:val="center"/>
          </w:tcPr>
          <w:p w14:paraId="03B3F1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采购代理机构代理服务费用</w:t>
            </w:r>
          </w:p>
        </w:tc>
        <w:tc>
          <w:tcPr>
            <w:tcW w:w="6366" w:type="dxa"/>
            <w:shd w:val="clear" w:color="auto" w:fill="FFFFFF" w:themeFill="background1"/>
            <w:vAlign w:val="center"/>
          </w:tcPr>
          <w:p w14:paraId="4D55D212">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1.根据“国家发展和改革委员会办公厅《关于招标代理服务收费有关问题的通知》（发改办价格【2003】857号、财库【2018】2号第十五条）”规定，招标代理机构向中标人收取招标代理服务费；</w:t>
            </w:r>
          </w:p>
          <w:p w14:paraId="677EE2C5">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2.中标人应在收取《中标通知书》时向采购代理机构交纳招标代理服务费，服务费的收费标准按计价【2002】1980号文规定计算；</w:t>
            </w:r>
          </w:p>
          <w:p w14:paraId="41F0CDCA">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3.本项目以</w:t>
            </w:r>
            <w:r>
              <w:rPr>
                <w:rFonts w:hint="eastAsia" w:ascii="宋体" w:hAnsi="宋体" w:eastAsia="宋体" w:cs="宋体"/>
                <w:color w:val="auto"/>
                <w:highlight w:val="none"/>
                <w:u w:val="single"/>
              </w:rPr>
              <w:t xml:space="preserve"> 服务类 </w:t>
            </w:r>
            <w:r>
              <w:rPr>
                <w:rFonts w:hint="eastAsia" w:ascii="宋体" w:hAnsi="宋体" w:eastAsia="宋体" w:cs="宋体"/>
                <w:color w:val="auto"/>
                <w:highlight w:val="none"/>
              </w:rPr>
              <w:t>招标收费标准收取中标服务费，对于招标代理服务费不足6000元的按6000元计取招标代理服务费；</w:t>
            </w:r>
          </w:p>
          <w:p w14:paraId="766EFE25">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4.服务费的货币为人民币；</w:t>
            </w:r>
          </w:p>
          <w:p w14:paraId="05153647">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5.服务费支付方式：一次性以银行划账、电汇、汇票或支票的形式支付；</w:t>
            </w:r>
          </w:p>
          <w:p w14:paraId="19F1FEDB">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6.服务费以银行划账方式按下列要求提交：</w:t>
            </w:r>
          </w:p>
          <w:p w14:paraId="6A989A07">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收款人：浙江槿阳建设管理有限公司</w:t>
            </w:r>
          </w:p>
          <w:p w14:paraId="27F9C561">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户名：浙江槿阳建设管理有限公司</w:t>
            </w:r>
          </w:p>
          <w:p w14:paraId="7F9CB317">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开户银行：中国建设银行股份有限公司嘉兴秀洲支行</w:t>
            </w:r>
          </w:p>
          <w:p w14:paraId="4A2899FF">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账号：33050163803500001451</w:t>
            </w:r>
          </w:p>
          <w:p w14:paraId="4E145D53">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p>
          <w:p w14:paraId="4918FE25">
            <w:pPr>
              <w:pStyle w:val="7"/>
              <w:spacing w:line="400" w:lineRule="exact"/>
              <w:contextualSpacing/>
              <w:rPr>
                <w:rFonts w:hint="eastAsia" w:ascii="宋体" w:hAnsi="宋体" w:eastAsia="宋体" w:cs="宋体"/>
                <w:color w:val="auto"/>
                <w:kern w:val="28"/>
                <w:highlight w:val="none"/>
              </w:rPr>
            </w:pPr>
            <w:r>
              <w:rPr>
                <w:rFonts w:hint="eastAsia" w:ascii="宋体" w:hAnsi="宋体" w:eastAsia="宋体" w:cs="宋体"/>
                <w:color w:val="auto"/>
                <w:highlight w:val="none"/>
              </w:rPr>
              <w:t>8.服务费不在投标报价中单列。</w:t>
            </w:r>
          </w:p>
        </w:tc>
      </w:tr>
      <w:tr w14:paraId="179B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39" w:hRule="exact"/>
          <w:jc w:val="center"/>
        </w:trPr>
        <w:tc>
          <w:tcPr>
            <w:tcW w:w="729" w:type="dxa"/>
            <w:vMerge w:val="restart"/>
            <w:shd w:val="clear" w:color="auto" w:fill="FFFFFF" w:themeFill="background1"/>
            <w:vAlign w:val="center"/>
          </w:tcPr>
          <w:p w14:paraId="7987CA8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907" w:type="dxa"/>
            <w:vMerge w:val="restart"/>
            <w:shd w:val="clear" w:color="auto" w:fill="FFFFFF" w:themeFill="background1"/>
            <w:vAlign w:val="center"/>
          </w:tcPr>
          <w:p w14:paraId="73E2EEB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tc>
        <w:tc>
          <w:tcPr>
            <w:tcW w:w="6366" w:type="dxa"/>
            <w:shd w:val="clear" w:color="auto" w:fill="FFFFFF" w:themeFill="background1"/>
            <w:vAlign w:val="center"/>
          </w:tcPr>
          <w:p w14:paraId="40E424DE">
            <w:pPr>
              <w:spacing w:line="400" w:lineRule="exac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644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04" w:hRule="exact"/>
          <w:jc w:val="center"/>
        </w:trPr>
        <w:tc>
          <w:tcPr>
            <w:tcW w:w="729" w:type="dxa"/>
            <w:vMerge w:val="continue"/>
            <w:shd w:val="clear" w:color="auto" w:fill="FFFFFF" w:themeFill="background1"/>
            <w:vAlign w:val="center"/>
          </w:tcPr>
          <w:p w14:paraId="41A0E768">
            <w:pPr>
              <w:snapToGrid w:val="0"/>
              <w:jc w:val="center"/>
              <w:rPr>
                <w:rFonts w:hint="eastAsia" w:ascii="宋体" w:hAnsi="宋体" w:eastAsia="宋体" w:cs="宋体"/>
                <w:color w:val="auto"/>
                <w:szCs w:val="21"/>
                <w:highlight w:val="none"/>
              </w:rPr>
            </w:pPr>
            <w:bookmarkStart w:id="11" w:name="_Toc164416483"/>
            <w:bookmarkStart w:id="12" w:name="第三部分"/>
          </w:p>
        </w:tc>
        <w:tc>
          <w:tcPr>
            <w:tcW w:w="1907" w:type="dxa"/>
            <w:vMerge w:val="continue"/>
            <w:shd w:val="clear" w:color="auto" w:fill="FFFFFF" w:themeFill="background1"/>
            <w:vAlign w:val="center"/>
          </w:tcPr>
          <w:p w14:paraId="3B914E56">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66666C10">
            <w:pPr>
              <w:spacing w:line="400" w:lineRule="exact"/>
              <w:rPr>
                <w:rFonts w:hint="eastAsia" w:ascii="宋体" w:hAnsi="宋体" w:eastAsia="宋体" w:cs="宋体"/>
                <w:color w:val="auto"/>
                <w:kern w:val="28"/>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28"/>
                <w:szCs w:val="21"/>
                <w:highlight w:val="none"/>
              </w:rPr>
              <w:t>联合体投标的，联合体各方均需按招标文件第四部分评标标准要求提供资信证明文件，否则视为不符合相关要求。招标文件第四部分评分标准有其他规定的，从其规定。</w:t>
            </w:r>
          </w:p>
          <w:p w14:paraId="396784C2">
            <w:pPr>
              <w:spacing w:line="400" w:lineRule="exact"/>
              <w:rPr>
                <w:rFonts w:hint="eastAsia" w:ascii="宋体" w:hAnsi="宋体" w:eastAsia="宋体" w:cs="宋体"/>
                <w:color w:val="auto"/>
                <w:kern w:val="28"/>
                <w:szCs w:val="21"/>
                <w:highlight w:val="none"/>
              </w:rPr>
            </w:pPr>
            <w:sdt>
              <w:sdtPr>
                <w:rPr>
                  <w:rFonts w:hint="eastAsia" w:ascii="宋体" w:hAnsi="宋体" w:eastAsia="宋体" w:cs="宋体"/>
                  <w:color w:val="auto"/>
                  <w:kern w:val="0"/>
                  <w:szCs w:val="21"/>
                  <w:highlight w:val="none"/>
                </w:rPr>
                <w:id w:val="-163994648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28"/>
                <w:szCs w:val="21"/>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603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22" w:hRule="exact"/>
          <w:jc w:val="center"/>
        </w:trPr>
        <w:tc>
          <w:tcPr>
            <w:tcW w:w="729" w:type="dxa"/>
            <w:vMerge w:val="continue"/>
            <w:shd w:val="clear" w:color="auto" w:fill="FFFFFF" w:themeFill="background1"/>
            <w:vAlign w:val="center"/>
          </w:tcPr>
          <w:p w14:paraId="49288F82">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51A5407D">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3073AC05">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325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67" w:hRule="exact"/>
          <w:jc w:val="center"/>
        </w:trPr>
        <w:tc>
          <w:tcPr>
            <w:tcW w:w="729" w:type="dxa"/>
            <w:vMerge w:val="continue"/>
            <w:shd w:val="clear" w:color="auto" w:fill="FFFFFF" w:themeFill="background1"/>
            <w:vAlign w:val="center"/>
          </w:tcPr>
          <w:p w14:paraId="4193AFEC">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04202472">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264DE622">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本项目评审报告推荐的中标候选人数量：</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w:t>
            </w:r>
          </w:p>
          <w:p w14:paraId="24200DB6">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排名第一的中标候选人放弃中标、因不可抗力不能履行合同、不按照招标文件要求提交履约保证金担保，或者被查实存在影响中标结果的违法行为等情形，不符合中标条件的，招标人将：</w:t>
            </w:r>
          </w:p>
          <w:p w14:paraId="7C0A25B2">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重新招标</w:t>
            </w:r>
          </w:p>
          <w:p w14:paraId="64388269">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按中标候选人名单排序依次确定其他中标候选人为中标人</w:t>
            </w:r>
          </w:p>
        </w:tc>
      </w:tr>
      <w:bookmarkEnd w:id="10"/>
    </w:tbl>
    <w:p w14:paraId="0387582C">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049880D9">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5E0D58EE">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7CB419D6">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6974B293">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1E942A72">
      <w:pPr>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br w:type="page"/>
      </w:r>
    </w:p>
    <w:p w14:paraId="277BF99C">
      <w:pPr>
        <w:pStyle w:val="4"/>
        <w:rPr>
          <w:rFonts w:hint="eastAsia" w:ascii="宋体" w:hAnsi="宋体" w:eastAsia="宋体" w:cs="宋体"/>
        </w:rPr>
      </w:pPr>
    </w:p>
    <w:p w14:paraId="4AF69947">
      <w:pPr>
        <w:adjustRightInd/>
        <w:spacing w:before="240" w:beforeLines="100" w:after="240" w:afterLines="100"/>
        <w:jc w:val="center"/>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一、总则</w:t>
      </w:r>
    </w:p>
    <w:p w14:paraId="3F6E6251">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71ADEA8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本招标文件适用于该项目的招标、投标、开标、资格审查及信用信息查询、评标、定标、合同、验收等行为（法律、法规另有规定的，从其规定）。</w:t>
      </w:r>
    </w:p>
    <w:p w14:paraId="2C0D872D">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2EEAC5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“采购人”系指招标公告中载明的本项目的采购人。</w:t>
      </w:r>
    </w:p>
    <w:p w14:paraId="3BC2A1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“采购代理机构”系指招标公告中载明的本项目的采购代理机构。</w:t>
      </w:r>
    </w:p>
    <w:p w14:paraId="1CBCA0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“投标人”系指是指响应招标、参加投标竞争的法人、其他组织或者自然人。</w:t>
      </w:r>
    </w:p>
    <w:p w14:paraId="3E8FD0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“负责人”系指法人企业的法定负责人，或其他组织为法律、行政法规规定代表单位行使职权的主要负责人，或自然人本人。</w:t>
      </w:r>
    </w:p>
    <w:p w14:paraId="09CF78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EF569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“电子交易平台”是指本项目政府采购活动所依托的政府采购云平台（https://www.zcygov.cn/）。</w:t>
      </w:r>
    </w:p>
    <w:p w14:paraId="250A66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“▲”系指实质性要求条款，“</w:t>
      </w: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szCs w:val="21"/>
          <w:highlight w:val="none"/>
        </w:rPr>
        <w:t>”系指适用本项目的要求，“</w:t>
      </w:r>
      <w:sdt>
        <w:sdtPr>
          <w:rPr>
            <w:rFonts w:hint="eastAsia" w:ascii="宋体" w:hAnsi="宋体" w:eastAsia="宋体" w:cs="宋体"/>
            <w:color w:val="auto"/>
            <w:kern w:val="0"/>
            <w:szCs w:val="21"/>
            <w:highlight w:val="none"/>
          </w:rPr>
          <w:id w:val="40488885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51297023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szCs w:val="21"/>
          <w:highlight w:val="none"/>
        </w:rPr>
        <w:t>”系指不适用本项目的要求。</w:t>
      </w:r>
    </w:p>
    <w:p w14:paraId="283C7A70">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3.采购项目需要落实的政府采购政策</w:t>
      </w:r>
    </w:p>
    <w:p w14:paraId="7293E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进口产品采购管理</w:t>
      </w:r>
    </w:p>
    <w:p w14:paraId="57F03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6E54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支持绿色发展</w:t>
      </w:r>
    </w:p>
    <w:p w14:paraId="46D77FDC">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39C88D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修缮、装修类项目采购建材的，采购人应将绿色建筑和绿色建材性能、指标等作为实质性条件纳入招标文件和合同。</w:t>
      </w:r>
    </w:p>
    <w:p w14:paraId="107DAD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4AE3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77FF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支持中小企业发展</w:t>
      </w:r>
    </w:p>
    <w:p w14:paraId="688A87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506DBD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212F4483">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 xml:space="preserve">3.3.2 </w:t>
      </w:r>
      <w:r>
        <w:rPr>
          <w:rFonts w:hint="eastAsia" w:ascii="宋体" w:hAnsi="宋体" w:eastAsia="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AB875F4">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0D7AF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C687A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 符合《关于促进残疾人就业政府采购政策的通知》（财库〔2017〕141号）规定的条件并提供《残疾人福利性单位声明函》（附件1）的残疾人福利性单位视同小型、微型企业；</w:t>
      </w:r>
    </w:p>
    <w:p w14:paraId="5D6C77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6BB28A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4DB7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3.3.7 中小企业享受扶持政策获得政府采购合同的，小微企业不得将合同分包给大中型企业，中型企业不得将合同分包给大型企业。</w:t>
      </w:r>
    </w:p>
    <w:p w14:paraId="7D754D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支持创新发展</w:t>
      </w:r>
    </w:p>
    <w:p w14:paraId="02EF84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采购人优先采购被认定为首台套产品和“制造精品”的自主创新产品。</w:t>
      </w:r>
    </w:p>
    <w:p w14:paraId="4BA443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5815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平等对待内外资企业和符合条件的破产重整企业</w:t>
      </w:r>
    </w:p>
    <w:p w14:paraId="541D2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5C50FA1B">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4.询问、质疑、投诉</w:t>
      </w:r>
    </w:p>
    <w:p w14:paraId="42A3DECC">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 在线询问、质疑、投诉。</w:t>
      </w:r>
    </w:p>
    <w:p w14:paraId="3A2BB568">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根据《浙江省财政厅关于进一步促进政府采购公平竞争打造最优营商环境的通知》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浙财采监2021</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9E0341">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zh-CN"/>
        </w:rPr>
        <w:t>供应商询问</w:t>
      </w:r>
    </w:p>
    <w:p w14:paraId="74AF9A2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50B147">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val="zh-CN"/>
        </w:rPr>
        <w:t>供应商质疑</w:t>
      </w:r>
    </w:p>
    <w:p w14:paraId="32BA99C5">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highlight w:val="none"/>
        </w:rPr>
        <w:t>.1 提出质疑的供应商应当是参与所质疑项目采购活动的供应商。潜在供应商已依法获取其可质疑的招标文件的，可以对该文件提出质疑。</w:t>
      </w:r>
    </w:p>
    <w:p w14:paraId="70BBFBCB">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highlight w:val="none"/>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614AF8">
      <w:pPr>
        <w:pStyle w:val="18"/>
        <w:spacing w:line="360" w:lineRule="auto"/>
        <w:ind w:firstLine="840" w:firstLineChars="40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 对招标文件提出质疑的，质疑期限为供应商获得招标文件之日或者招标文件公告期限届满之日起计算。</w:t>
      </w:r>
    </w:p>
    <w:p w14:paraId="07C3260C">
      <w:pPr>
        <w:pStyle w:val="7"/>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4.3.2.2 对采购过程提出质疑的，质疑期限为各采购程序环节结束之日起计算。</w:t>
      </w:r>
    </w:p>
    <w:p w14:paraId="779ED1FB">
      <w:pPr>
        <w:pStyle w:val="7"/>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4.3.2.3 对采购结果提出质疑的，质疑期限自采购结果公告期限届满之日起计算。</w:t>
      </w:r>
    </w:p>
    <w:p w14:paraId="04807BC1">
      <w:pPr>
        <w:pStyle w:val="7"/>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w:t>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供应商提出质疑应当提交质疑函和必要的证明材料。质疑函应当包括下列内容：</w:t>
      </w:r>
    </w:p>
    <w:p w14:paraId="4E312A41">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.3.1</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供应商的姓名或者名称、地址、邮编、联系人及联系电话；</w:t>
      </w:r>
    </w:p>
    <w:p w14:paraId="058BA853">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.3.2</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质疑项目的名称、编号；</w:t>
      </w:r>
    </w:p>
    <w:p w14:paraId="00410F95">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.3.3</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具体、明确的质疑事项和与质疑事项相关的请求；</w:t>
      </w:r>
    </w:p>
    <w:p w14:paraId="06E3D9B6">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.3.4</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事实依据；</w:t>
      </w:r>
    </w:p>
    <w:p w14:paraId="44655742">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.3.5</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必要的法律依据；</w:t>
      </w:r>
    </w:p>
    <w:p w14:paraId="66923A6E">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.3.6</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提出质疑的日期。</w:t>
      </w:r>
    </w:p>
    <w:p w14:paraId="1B36ABA1">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35C75B3">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28ECD7B0">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对同一采购程序环节的质疑，供应商须在法定质疑期内一次性提出。</w:t>
      </w:r>
    </w:p>
    <w:p w14:paraId="4E93EADE">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w:t>
      </w:r>
    </w:p>
    <w:p w14:paraId="7A681CCD">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rPr>
        <w:t>3.6 询问或者质疑事项可能影响采购结果的，采购人应当暂停签订合同，已经签订合同的，应当中止履行合同。</w:t>
      </w:r>
    </w:p>
    <w:p w14:paraId="04BA03D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4 </w:t>
      </w:r>
      <w:r>
        <w:rPr>
          <w:rFonts w:hint="eastAsia" w:ascii="宋体" w:hAnsi="宋体" w:eastAsia="宋体" w:cs="宋体"/>
          <w:color w:val="auto"/>
          <w:kern w:val="0"/>
          <w:szCs w:val="21"/>
          <w:highlight w:val="none"/>
          <w:lang w:val="zh-CN"/>
        </w:rPr>
        <w:t>供应商投诉</w:t>
      </w:r>
    </w:p>
    <w:p w14:paraId="3421E591">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 质疑供应商对采购人、采购代理机构的答复不满意或者采购人、采购代理机构未在规定的时间内作出答复的，可以在答复期满后十五个工作日内向同级政府采购监督管理部门提出投诉。</w:t>
      </w:r>
    </w:p>
    <w:p w14:paraId="6692D931">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 供应商投诉的事项不得超出已质疑事项的范围，基于质疑答复内容提出的投诉事项除外。</w:t>
      </w:r>
    </w:p>
    <w:p w14:paraId="6D26B7CC">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 供应商投诉应当有明确的请求和必要的证明材料。</w:t>
      </w:r>
    </w:p>
    <w:p w14:paraId="60CB01CE">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以联合体形式参加政府采购活动的，其投诉应当由组成联合体的所有供应商共同提出。</w:t>
      </w:r>
    </w:p>
    <w:p w14:paraId="414E18C6">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投诉书范本及制作说明详见附件3。</w:t>
      </w:r>
    </w:p>
    <w:p w14:paraId="2EE68676">
      <w:pPr>
        <w:adjustRightInd/>
        <w:spacing w:before="240" w:beforeLines="100" w:after="240" w:afterLines="100"/>
        <w:jc w:val="center"/>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二、招标文件的构成、澄清、修改</w:t>
      </w:r>
    </w:p>
    <w:p w14:paraId="1882DBFC">
      <w:pPr>
        <w:pStyle w:val="7"/>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5.招标文件的构成</w:t>
      </w:r>
    </w:p>
    <w:p w14:paraId="50FF9523">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招标文件包括下列文件及附件：</w:t>
      </w:r>
    </w:p>
    <w:p w14:paraId="0F0DD979">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5.1.1 招标公告；</w:t>
      </w:r>
    </w:p>
    <w:p w14:paraId="5AD3A2A3">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5.1.2 投标人须知；</w:t>
      </w:r>
    </w:p>
    <w:p w14:paraId="08901684">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5.1.3 采购需求；</w:t>
      </w:r>
    </w:p>
    <w:p w14:paraId="185A2E07">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5.1.4 评标办法；</w:t>
      </w:r>
    </w:p>
    <w:p w14:paraId="0BD6E196">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5.1.5 拟签订的合同文本；</w:t>
      </w:r>
    </w:p>
    <w:p w14:paraId="3FD7B2DC">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5.1.6 应提交的有关格式范例。</w:t>
      </w:r>
    </w:p>
    <w:p w14:paraId="0635D9C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与本项目有关的</w:t>
      </w:r>
      <w:r>
        <w:rPr>
          <w:rFonts w:hint="eastAsia" w:ascii="宋体" w:hAnsi="宋体" w:eastAsia="宋体" w:cs="宋体"/>
          <w:bCs/>
          <w:color w:val="auto"/>
          <w:szCs w:val="21"/>
          <w:highlight w:val="none"/>
        </w:rPr>
        <w:t>澄清或者修改的内容为招标文件的组成部分</w:t>
      </w:r>
      <w:r>
        <w:rPr>
          <w:rFonts w:hint="eastAsia" w:ascii="宋体" w:hAnsi="宋体" w:eastAsia="宋体" w:cs="宋体"/>
          <w:color w:val="auto"/>
          <w:szCs w:val="21"/>
          <w:highlight w:val="none"/>
        </w:rPr>
        <w:t>。</w:t>
      </w:r>
    </w:p>
    <w:p w14:paraId="293E6C01">
      <w:pPr>
        <w:pStyle w:val="7"/>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6.招标文件的澄清、修改</w:t>
      </w:r>
    </w:p>
    <w:p w14:paraId="347580FF">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已获取招标文件的潜在投标人，若有问题需要澄清，应于投标截止时间前，以书面形式向采购代理机构提出。</w:t>
      </w:r>
    </w:p>
    <w:p w14:paraId="35B63FAE">
      <w:pPr>
        <w:pStyle w:val="135"/>
        <w:snapToGrid w:val="0"/>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1558A5">
      <w:pPr>
        <w:adjustRightInd/>
        <w:spacing w:before="240" w:beforeLines="100" w:after="240" w:afterLines="100"/>
        <w:jc w:val="center"/>
        <w:outlineLvl w:val="0"/>
        <w:rPr>
          <w:rFonts w:hint="eastAsia" w:ascii="宋体" w:hAnsi="宋体" w:eastAsia="宋体" w:cs="宋体"/>
          <w:b/>
          <w:color w:val="auto"/>
          <w:sz w:val="36"/>
          <w:szCs w:val="22"/>
          <w:highlight w:val="none"/>
        </w:rPr>
      </w:pPr>
      <w:r>
        <w:rPr>
          <w:rFonts w:hint="eastAsia" w:ascii="宋体" w:hAnsi="宋体" w:eastAsia="宋体" w:cs="宋体"/>
          <w:b/>
          <w:color w:val="auto"/>
          <w:sz w:val="36"/>
          <w:szCs w:val="22"/>
          <w:highlight w:val="none"/>
        </w:rPr>
        <w:t>三、投标</w:t>
      </w:r>
    </w:p>
    <w:p w14:paraId="4D7B5D3F">
      <w:pPr>
        <w:pStyle w:val="7"/>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7.招标文件的获取</w:t>
      </w:r>
    </w:p>
    <w:p w14:paraId="6031EEDE">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详见招标公告中获取招标文件的时间期限、地点、方式及招标文件售价。</w:t>
      </w:r>
    </w:p>
    <w:p w14:paraId="61966F6A">
      <w:pPr>
        <w:spacing w:line="360" w:lineRule="auto"/>
        <w:ind w:firstLine="422" w:firstLineChars="200"/>
        <w:rPr>
          <w:rFonts w:hint="eastAsia" w:ascii="宋体" w:hAnsi="宋体" w:eastAsia="宋体" w:cs="宋体"/>
          <w:snapToGrid w:val="0"/>
          <w:color w:val="auto"/>
          <w:kern w:val="28"/>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7FBC4106">
      <w:pPr>
        <w:pStyle w:val="7"/>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8. 开标前答疑会或现场考察</w:t>
      </w:r>
    </w:p>
    <w:p w14:paraId="0651B39E">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采购人组织潜在投标人现场考察或者召开开标前答疑会的，潜在投标人按第二部分投标人须知前附表的规定参加现场考察或者开标前答疑会。</w:t>
      </w:r>
    </w:p>
    <w:p w14:paraId="0E1B7D71">
      <w:pPr>
        <w:pStyle w:val="7"/>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9.投标保证金</w:t>
      </w:r>
    </w:p>
    <w:p w14:paraId="2935032F">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548F3667">
      <w:pPr>
        <w:pStyle w:val="7"/>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10.投标文件的语言</w:t>
      </w:r>
    </w:p>
    <w:p w14:paraId="0A0F77BF">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投标文件及投标人与采购有关的来往通知、函件和文件均应使用中文。</w:t>
      </w:r>
    </w:p>
    <w:p w14:paraId="4BA5F7B3">
      <w:pPr>
        <w:pStyle w:val="7"/>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11.投标文件的组成</w:t>
      </w:r>
    </w:p>
    <w:p w14:paraId="3174B69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11.1 </w:t>
      </w:r>
      <w:r>
        <w:rPr>
          <w:rFonts w:hint="eastAsia" w:ascii="宋体" w:hAnsi="宋体" w:eastAsia="宋体" w:cs="宋体"/>
          <w:b/>
          <w:color w:val="auto"/>
          <w:szCs w:val="21"/>
          <w:highlight w:val="none"/>
        </w:rPr>
        <w:t>资格文件</w:t>
      </w:r>
      <w:r>
        <w:rPr>
          <w:rFonts w:hint="eastAsia" w:ascii="宋体" w:hAnsi="宋体" w:eastAsia="宋体" w:cs="宋体"/>
          <w:color w:val="auto"/>
          <w:szCs w:val="21"/>
          <w:highlight w:val="none"/>
        </w:rPr>
        <w:t>：</w:t>
      </w:r>
    </w:p>
    <w:p w14:paraId="68806CB4">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符合参加政府采购活动应当具备的一般条件的承诺函；</w:t>
      </w:r>
    </w:p>
    <w:p w14:paraId="226C9EF5">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联合协议（如果有）；</w:t>
      </w:r>
    </w:p>
    <w:p w14:paraId="6FAC930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 落实政府采购政策需满足的资格要求（如果有）；</w:t>
      </w:r>
    </w:p>
    <w:p w14:paraId="5A3CB3B0">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本项目的特定资格要求（如果有）。</w:t>
      </w:r>
    </w:p>
    <w:p w14:paraId="1AB0C5F0">
      <w:pPr>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11.</w:t>
      </w:r>
      <w:r>
        <w:rPr>
          <w:rFonts w:hint="eastAsia" w:ascii="宋体" w:hAnsi="宋体" w:eastAsia="宋体" w:cs="宋体"/>
          <w:b/>
          <w:bCs/>
          <w:color w:val="auto"/>
          <w:szCs w:val="21"/>
          <w:highlight w:val="none"/>
        </w:rPr>
        <w:t>2 商务技术</w:t>
      </w:r>
      <w:r>
        <w:rPr>
          <w:rFonts w:hint="eastAsia" w:ascii="宋体" w:hAnsi="宋体" w:eastAsia="宋体" w:cs="宋体"/>
          <w:b/>
          <w:bCs/>
          <w:color w:val="auto"/>
          <w:szCs w:val="21"/>
          <w:highlight w:val="none"/>
          <w:lang w:val="zh-CN"/>
        </w:rPr>
        <w:t>文件：</w:t>
      </w:r>
    </w:p>
    <w:p w14:paraId="7A9D722B">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 投标函；</w:t>
      </w:r>
    </w:p>
    <w:p w14:paraId="3705BDDF">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 授权委托书或法定代表人（单位负责人、自然人本人）身份证明；</w:t>
      </w:r>
    </w:p>
    <w:p w14:paraId="1BAA09C2">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 分包意向协议（如果有）；</w:t>
      </w:r>
    </w:p>
    <w:p w14:paraId="486F281D">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 符合性审查资料；</w:t>
      </w:r>
    </w:p>
    <w:p w14:paraId="5C656B6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评标标准相应的商务技术资料；</w:t>
      </w:r>
    </w:p>
    <w:p w14:paraId="466B3748">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 商务技术偏离表；</w:t>
      </w:r>
    </w:p>
    <w:p w14:paraId="59F1FD1C">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7 </w:t>
      </w:r>
      <w:r>
        <w:rPr>
          <w:rFonts w:hint="eastAsia" w:ascii="宋体" w:hAnsi="宋体" w:eastAsia="宋体" w:cs="宋体"/>
          <w:color w:val="auto"/>
          <w:szCs w:val="21"/>
          <w:highlight w:val="none"/>
          <w:lang w:val="zh-CN"/>
        </w:rPr>
        <w:t>政府采购供应商廉洁自律承诺书；</w:t>
      </w:r>
    </w:p>
    <w:p w14:paraId="3B4FE087">
      <w:pPr>
        <w:snapToGrid w:val="0"/>
        <w:spacing w:line="360" w:lineRule="auto"/>
        <w:ind w:firstLine="422" w:firstLineChars="200"/>
        <w:rPr>
          <w:rFonts w:hint="eastAsia" w:ascii="宋体" w:hAnsi="宋体" w:eastAsia="宋体" w:cs="宋体"/>
          <w:color w:val="auto"/>
          <w:szCs w:val="21"/>
          <w:highlight w:val="none"/>
          <w:u w:val="single"/>
          <w:lang w:val="zh-CN"/>
        </w:rPr>
      </w:pPr>
      <w:r>
        <w:rPr>
          <w:rFonts w:hint="eastAsia" w:ascii="宋体" w:hAnsi="宋体" w:eastAsia="宋体" w:cs="宋体"/>
          <w:b/>
          <w:bCs/>
          <w:color w:val="auto"/>
          <w:kern w:val="0"/>
          <w:szCs w:val="21"/>
          <w:highlight w:val="none"/>
          <w:lang w:val="zh-CN"/>
        </w:rPr>
        <w:t>11.</w:t>
      </w:r>
      <w:r>
        <w:rPr>
          <w:rFonts w:hint="eastAsia" w:ascii="宋体" w:hAnsi="宋体" w:eastAsia="宋体" w:cs="宋体"/>
          <w:b/>
          <w:bCs/>
          <w:color w:val="auto"/>
          <w:kern w:val="0"/>
          <w:szCs w:val="21"/>
          <w:highlight w:val="none"/>
        </w:rPr>
        <w:t xml:space="preserve">3 </w:t>
      </w:r>
      <w:r>
        <w:rPr>
          <w:rFonts w:hint="eastAsia" w:ascii="宋体" w:hAnsi="宋体" w:eastAsia="宋体" w:cs="宋体"/>
          <w:b/>
          <w:color w:val="auto"/>
          <w:szCs w:val="21"/>
          <w:highlight w:val="none"/>
        </w:rPr>
        <w:t>报价文件：</w:t>
      </w:r>
    </w:p>
    <w:p w14:paraId="349AF238">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 开标一览表（报价表）；</w:t>
      </w:r>
    </w:p>
    <w:p w14:paraId="589AAA9A">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 报价情况说明（如供应商报价低于项目预算50%的，应当提交本文档，详细阐述不影响产品质量或者诚信履约的具体原因）；</w:t>
      </w:r>
    </w:p>
    <w:p w14:paraId="1A2F5FFD">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 中小企业声明函（如本项目专门面向中小企业采购，此处可不提供）。</w:t>
      </w:r>
    </w:p>
    <w:p w14:paraId="7C794485">
      <w:pPr>
        <w:spacing w:line="360" w:lineRule="auto"/>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投标文件含有采购人不能接受的附加条件的，投标无效；</w:t>
      </w:r>
    </w:p>
    <w:p w14:paraId="16BA3E89">
      <w:pPr>
        <w:spacing w:line="360" w:lineRule="auto"/>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投标人提供虚假材料投标的，投标无效。</w:t>
      </w:r>
    </w:p>
    <w:p w14:paraId="3E60DA59">
      <w:pPr>
        <w:pStyle w:val="135"/>
        <w:snapToGrid w:val="0"/>
        <w:spacing w:before="240" w:beforeLines="100" w:after="240" w:afterLines="100" w:line="24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rPr>
        <w:t>投标文件的编制</w:t>
      </w:r>
    </w:p>
    <w:p w14:paraId="1B104BAC">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zh-CN"/>
        </w:rPr>
        <w:t>12.1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B4256E">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D8267E8">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12.3</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679EED02">
      <w:pPr>
        <w:pStyle w:val="135"/>
        <w:snapToGrid w:val="0"/>
        <w:spacing w:before="240" w:beforeLines="100" w:after="240" w:afterLines="100" w:line="24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0505FAE4">
      <w:pPr>
        <w:pStyle w:val="135"/>
        <w:snapToGrid w:val="0"/>
        <w:spacing w:before="0"/>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 投标文件按照招标文件第六部分格式要求进行签署、盖章。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投标人的投标文件未按照招标文件要求签署、盖章的，其投标无效</w:t>
      </w:r>
      <w:r>
        <w:rPr>
          <w:rFonts w:hint="eastAsia" w:ascii="宋体" w:hAnsi="宋体" w:eastAsia="宋体" w:cs="宋体"/>
          <w:color w:val="auto"/>
          <w:sz w:val="21"/>
          <w:szCs w:val="21"/>
          <w:highlight w:val="none"/>
          <w:u w:val="single"/>
        </w:rPr>
        <w:t>。</w:t>
      </w:r>
    </w:p>
    <w:p w14:paraId="6A2C49CB">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为确保网上操作合法、有效和安全，投标人应当在投标截止时间前完成在“政府采购云平台”的身份认证，确保在电子投标过程中能够对相关数据电文进行加密和使用电子签名。</w:t>
      </w:r>
    </w:p>
    <w:p w14:paraId="2A860AA1">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招标文件对投标文件签署、盖章的要求适用于电子签名。</w:t>
      </w:r>
    </w:p>
    <w:p w14:paraId="22136AA9">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14.投标文件的提交、补充、修改、撤回</w:t>
      </w:r>
    </w:p>
    <w:p w14:paraId="1ABF286B">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b/>
          <w:bCs/>
          <w:color w:val="auto"/>
          <w:sz w:val="21"/>
          <w:szCs w:val="21"/>
          <w:highlight w:val="none"/>
          <w:u w:val="single"/>
        </w:rPr>
        <w:t>供应商撤回投标不得损害国家利益、社会公共利益、采购人利益、代理机构利益、其他供应商利益，否则，供应商撤销（撤回）投标无效。</w:t>
      </w:r>
      <w:r>
        <w:rPr>
          <w:rFonts w:hint="eastAsia" w:ascii="宋体" w:hAnsi="宋体" w:eastAsia="宋体" w:cs="宋体"/>
          <w:color w:val="auto"/>
          <w:sz w:val="21"/>
          <w:szCs w:val="21"/>
          <w:highlight w:val="none"/>
        </w:rPr>
        <w:t>投标截止时间前未完成传输的，视为撤回投标文件。投标截止时间后递交的投标文件，电子交易平台将拒收。</w:t>
      </w:r>
    </w:p>
    <w:p w14:paraId="38DDD016">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电子交易平台收到投标文件，将妥善保存并即时向供应商发出确认回执通知。在投标截止时间前，除供应商补充、修改或者撤回投标文件外，任何单位和个人不得解密或提取投标文件。</w:t>
      </w:r>
    </w:p>
    <w:p w14:paraId="68C0C77B">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5C73E129">
      <w:pPr>
        <w:pStyle w:val="7"/>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15.备份投标文件</w:t>
      </w:r>
    </w:p>
    <w:p w14:paraId="4C34CA7A">
      <w:pPr>
        <w:pStyle w:val="7"/>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15.1 投标人在电子交易平台传输递交投标文件后，还可以在投标截止时间前直接提交或者以邮政快递方式递交备份投标文件1份，</w:t>
      </w:r>
      <w:r>
        <w:rPr>
          <w:rFonts w:hint="eastAsia" w:ascii="宋体" w:hAnsi="宋体" w:eastAsia="宋体" w:cs="宋体"/>
          <w:b/>
          <w:color w:val="auto"/>
          <w:highlight w:val="none"/>
          <w:u w:val="single"/>
        </w:rPr>
        <w:t>但采购人、采购代理机构不强制或变相强制投标人提交备份投标文件。</w:t>
      </w:r>
    </w:p>
    <w:p w14:paraId="71E275D3">
      <w:pPr>
        <w:pStyle w:val="7"/>
        <w:spacing w:line="360" w:lineRule="auto"/>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15.2 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highlight w:val="none"/>
          <w:u w:val="single"/>
        </w:rPr>
        <w:t>不符合上述制作、存储、密封规定的备份投标文件将被视为无效或者被拒绝接收。</w:t>
      </w:r>
    </w:p>
    <w:p w14:paraId="68BC9615">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直接提交备份投标文件的，投标人应于投标截止时间前在投标人须知前附表规定的地点将备份投标文件提交给采购代理机构，采购代理机构将拒绝接受逾期送达的备份投标文件。</w:t>
      </w:r>
    </w:p>
    <w:p w14:paraId="40FD1757">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 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highlight w:val="none"/>
        </w:rPr>
        <w:t>招标文件第二部分投标人须知前附表规定的备份投标文件送达地点；</w:t>
      </w:r>
      <w:r>
        <w:rPr>
          <w:rFonts w:hint="eastAsia" w:ascii="宋体" w:hAnsi="宋体" w:eastAsia="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552A68BF">
      <w:pPr>
        <w:pStyle w:val="7"/>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 xml:space="preserve">15.5 </w:t>
      </w:r>
      <w:r>
        <w:rPr>
          <w:rFonts w:hint="eastAsia" w:ascii="宋体" w:hAnsi="宋体" w:eastAsia="宋体" w:cs="宋体"/>
          <w:b/>
          <w:color w:val="auto"/>
          <w:highlight w:val="none"/>
          <w:u w:val="single"/>
        </w:rPr>
        <w:t>投标人仅提交备份投标文件，没有在电子交易平台传输递交投标文件的，投标无效。</w:t>
      </w:r>
    </w:p>
    <w:p w14:paraId="091789A6">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74F50F5F">
      <w:pPr>
        <w:pStyle w:val="19"/>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有招标文件第四部分第4.2项规定的情形之一的，投标无效：</w:t>
      </w:r>
    </w:p>
    <w:p w14:paraId="502C4A86">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526AB62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17.1 投标有效期为从提交投标文件的截止之日起90天。▲</w:t>
      </w:r>
      <w:r>
        <w:rPr>
          <w:rFonts w:hint="eastAsia" w:ascii="宋体" w:hAnsi="宋体" w:eastAsia="宋体" w:cs="宋体"/>
          <w:b/>
          <w:color w:val="auto"/>
          <w:szCs w:val="21"/>
          <w:highlight w:val="none"/>
          <w:u w:val="single"/>
        </w:rPr>
        <w:t>投标人的投标文件中承诺的投标有效期少于招标文件中载明的投标有效期的，投标无效。</w:t>
      </w:r>
    </w:p>
    <w:p w14:paraId="7A676137">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投标文件合格投递后，自投标截止日期起，在投标有效期内有效。</w:t>
      </w:r>
    </w:p>
    <w:p w14:paraId="132FB078">
      <w:pPr>
        <w:pStyle w:val="135"/>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531A2268">
      <w:pPr>
        <w:pStyle w:val="135"/>
        <w:spacing w:before="240" w:beforeLines="100" w:after="240" w:afterLines="100" w:line="240" w:lineRule="auto"/>
        <w:ind w:firstLine="0" w:firstLineChars="0"/>
        <w:jc w:val="center"/>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四、开标、资格审查与信用信息查询</w:t>
      </w:r>
    </w:p>
    <w:p w14:paraId="39E201CD">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18.开标</w:t>
      </w:r>
    </w:p>
    <w:p w14:paraId="4D1DD36A">
      <w:pPr>
        <w:pStyle w:val="559"/>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采购代理机构按照招标文件规定的时间通过电子交易平台组织开标，所有投标人均应当准时在线参加。投标人不足3家的，不得开标。</w:t>
      </w:r>
    </w:p>
    <w:p w14:paraId="7DE45B6E">
      <w:pPr>
        <w:pStyle w:val="559"/>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开标时，电子交易平台按开标时间自动提取所有投标文件。采购代理机构依托电子交易平台发起开始解密指令，投标人按照平台提示和招标文件的规定在半小时内完成在线解密。</w:t>
      </w:r>
    </w:p>
    <w:p w14:paraId="7E1E301A">
      <w:pPr>
        <w:pStyle w:val="559"/>
        <w:wordWrap w:val="0"/>
        <w:spacing w:before="0" w:line="360" w:lineRule="auto"/>
        <w:ind w:left="0" w:firstLine="420" w:firstLineChars="200"/>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18.3 </w:t>
      </w:r>
      <w:r>
        <w:rPr>
          <w:rFonts w:hint="eastAsia" w:ascii="宋体" w:hAnsi="宋体" w:eastAsia="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27D85CF5">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19.资格审查</w:t>
      </w:r>
    </w:p>
    <w:p w14:paraId="1DDED5AE">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 开标后，采购人将依据法律法规和招标文件的规定，对投标人的资格进行审查。</w:t>
      </w:r>
    </w:p>
    <w:p w14:paraId="5569F12D">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 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4836113C">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3 对未通过资格审查的投标人，告知其未通过的原因。</w:t>
      </w:r>
    </w:p>
    <w:p w14:paraId="734D93AD">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 合格投标人不足3家的，不再评标。</w:t>
      </w:r>
    </w:p>
    <w:p w14:paraId="5C64E53B">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AA34C2">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3C267D72">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 信用信息查询渠道及截止时间：</w:t>
      </w:r>
      <w:r>
        <w:rPr>
          <w:rFonts w:hint="eastAsia" w:ascii="宋体" w:hAnsi="宋体" w:eastAsia="宋体" w:cs="宋体"/>
          <w:color w:val="auto"/>
          <w:kern w:val="0"/>
          <w:sz w:val="21"/>
          <w:szCs w:val="21"/>
          <w:highlight w:val="none"/>
          <w:u w:val="single"/>
        </w:rPr>
        <w:t>采购代理机构将在资格审查时通过“信用中国”网站(www.creditchina.gov.cn)、中国政府采购网(www.ccgp.gov.cn)渠道查询投标人接受资格时的信用记录。</w:t>
      </w:r>
    </w:p>
    <w:p w14:paraId="7A805EB1">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 信用信息查询记录和证据留存的具体方式：</w:t>
      </w:r>
      <w:r>
        <w:rPr>
          <w:rFonts w:hint="eastAsia" w:ascii="宋体" w:hAnsi="宋体" w:eastAsia="宋体" w:cs="宋体"/>
          <w:color w:val="auto"/>
          <w:kern w:val="0"/>
          <w:sz w:val="21"/>
          <w:szCs w:val="21"/>
          <w:highlight w:val="none"/>
          <w:u w:val="single"/>
        </w:rPr>
        <w:t>现场查询的投标人的信用记录、查询结果经确认后将与采购文件一起存档。</w:t>
      </w:r>
    </w:p>
    <w:p w14:paraId="330D1519">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 信用信息的使用规则：</w:t>
      </w:r>
      <w:r>
        <w:rPr>
          <w:rFonts w:hint="eastAsia" w:ascii="宋体" w:hAnsi="宋体" w:eastAsia="宋体" w:cs="宋体"/>
          <w:color w:val="auto"/>
          <w:kern w:val="0"/>
          <w:sz w:val="21"/>
          <w:szCs w:val="21"/>
          <w:highlight w:val="none"/>
          <w:u w:val="single"/>
        </w:rPr>
        <w:t>经查询列入失信被执行人名单、重大税收违法案件当事人名单、政府采购严重违法失信行为记录名单的投标人将被拒绝参与政府采购活动。</w:t>
      </w:r>
    </w:p>
    <w:p w14:paraId="03B4C0C5">
      <w:pPr>
        <w:pStyle w:val="135"/>
        <w:wordWrap w:val="0"/>
        <w:spacing w:before="0"/>
        <w:ind w:firstLine="42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rPr>
        <w:t>20.4 联合体信用信息查询：</w:t>
      </w:r>
      <w:r>
        <w:rPr>
          <w:rFonts w:hint="eastAsia" w:ascii="宋体" w:hAnsi="宋体" w:eastAsia="宋体" w:cs="宋体"/>
          <w:color w:val="auto"/>
          <w:kern w:val="0"/>
          <w:sz w:val="21"/>
          <w:szCs w:val="21"/>
          <w:highlight w:val="none"/>
          <w:u w:val="singl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u w:val="single"/>
        </w:rPr>
        <w:t>。</w:t>
      </w:r>
    </w:p>
    <w:p w14:paraId="7B3AB60E">
      <w:pPr>
        <w:snapToGrid w:val="0"/>
        <w:spacing w:before="240" w:beforeLines="100" w:after="240"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1D4915E">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21.评标</w:t>
      </w:r>
    </w:p>
    <w:p w14:paraId="318FF1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委员会由政府采购评审专家4人和采购人代表1人，共5人组成。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F64B73B">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详见招标文件第四部分评标办法。</w:t>
      </w:r>
    </w:p>
    <w:p w14:paraId="2F04E267">
      <w:pPr>
        <w:snapToGrid w:val="0"/>
        <w:spacing w:before="240" w:beforeLines="100" w:after="240"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E672CE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22.确定中标供应商</w:t>
      </w:r>
    </w:p>
    <w:p w14:paraId="7CC0F611">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评审报告推荐的中标候选人中按顺序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230BB1D7">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23.中标通知与中标结果公告</w:t>
      </w:r>
    </w:p>
    <w:p w14:paraId="4B90F56A">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自中标人确定之日起2个工作日内，采购代理机构通过电子交易平台向中标人发出中标通知书，同时编制发布采购结果公告。采购代理机构也可以以纸质形式进行中标通知。</w:t>
      </w:r>
    </w:p>
    <w:p w14:paraId="16DF317C">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B208AF">
      <w:pPr>
        <w:widowControl/>
        <w:shd w:val="clear" w:color="auto" w:fill="FFFFFF"/>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23.3 公告期限为1个工作日。</w:t>
      </w:r>
    </w:p>
    <w:p w14:paraId="6C0D1F16">
      <w:pPr>
        <w:snapToGrid w:val="0"/>
        <w:spacing w:before="240" w:beforeLines="100" w:after="240" w:afterLines="100"/>
        <w:jc w:val="center"/>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rPr>
        <w:t>七、合同授予</w:t>
      </w:r>
    </w:p>
    <w:p w14:paraId="4D24A144">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24.合同主要条款</w:t>
      </w:r>
    </w:p>
    <w:p w14:paraId="36C4682F">
      <w:pPr>
        <w:pStyle w:val="19"/>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合同主要条款详见第五部分拟签订的合同文本。</w:t>
      </w:r>
    </w:p>
    <w:p w14:paraId="58307E31">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25.合同的签订</w:t>
      </w:r>
    </w:p>
    <w:p w14:paraId="13F988B5">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E360CB">
      <w:pPr>
        <w:pStyle w:val="135"/>
        <w:snapToGrid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DE19094">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如签订合同并生效后，供应商无故拒绝或延期，除按照合同条款处理外，列入不良行为记录一次，并给予通报。</w:t>
      </w:r>
    </w:p>
    <w:p w14:paraId="10A5925E">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 中标供应商拒绝与采购人签订合同的，采购人可以按照评审报告推荐的中标或者成交候选人名单排序，确定下一候选人为中标供应商，也可以重新开展政府采购活动。</w:t>
      </w:r>
    </w:p>
    <w:p w14:paraId="4B0498F6">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 采购合同由采购人与中标供应商根据招标文件、投标文件等内容通过政府采购电子交易平台在线签订，自动备案。</w:t>
      </w:r>
    </w:p>
    <w:p w14:paraId="73F86C9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26.履约保证金</w:t>
      </w:r>
    </w:p>
    <w:p w14:paraId="2C654FB1">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D713853">
      <w:pPr>
        <w:pStyle w:val="135"/>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供应商可登录政采云平台-【金融服务】—【我的项目】—【已备案合同】以保函形式提供：</w:t>
      </w:r>
    </w:p>
    <w:p w14:paraId="2BFF12ED">
      <w:pPr>
        <w:pStyle w:val="135"/>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）供应商在合同列表选择需要投保的合同，点击[保函推荐]；</w:t>
      </w:r>
    </w:p>
    <w:p w14:paraId="4AB15437">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）在弹框里查看推荐的保函产品，供应商自行选择保函产品，点击[立即申请]；</w:t>
      </w:r>
    </w:p>
    <w:p w14:paraId="53BC77AB">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）在弹框里填写保函申请信息。</w:t>
      </w:r>
    </w:p>
    <w:p w14:paraId="73648639">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具体步骤：选择产品—填写供应商信息—选择中标项目—确认信息—等待保险/保函受理—确认保单—支付保费—成功出单。政采云金融专线400-903-9583。</w:t>
      </w:r>
    </w:p>
    <w:p w14:paraId="6DE58204">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 xml:space="preserve">27. </w:t>
      </w:r>
      <w:r>
        <w:rPr>
          <w:rFonts w:hint="eastAsia" w:ascii="宋体" w:hAnsi="宋体" w:eastAsia="宋体" w:cs="宋体"/>
          <w:b/>
          <w:color w:val="auto"/>
          <w:sz w:val="21"/>
          <w:szCs w:val="21"/>
          <w:highlight w:val="none"/>
          <w:lang w:val="zh-CN"/>
        </w:rPr>
        <w:t>预付款</w:t>
      </w:r>
    </w:p>
    <w:p w14:paraId="795FC1AB">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7CD6DDBD">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1E3842DD">
      <w:pPr>
        <w:snapToGrid w:val="0"/>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14:paraId="5E2FAF4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 电子交易活动的中止</w:t>
      </w:r>
    </w:p>
    <w:p w14:paraId="480AA289">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31B247E9">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28.1 电子交易平台发生故障而无法登录访问的； </w:t>
      </w:r>
    </w:p>
    <w:p w14:paraId="46A2C737">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28.2 电子交易平台应用或数据库出现错误，不能进行正常操作的；</w:t>
      </w:r>
    </w:p>
    <w:p w14:paraId="294E5333">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28.3 电子交易平台发现严重安全漏洞，有潜在泄密危险的；</w:t>
      </w:r>
    </w:p>
    <w:p w14:paraId="1569AA58">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28.4 病毒发作导致不能进行正常操作的； </w:t>
      </w:r>
    </w:p>
    <w:p w14:paraId="195672E4">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28.5 其他无法保证电子交易的公平、公正和安全的情况。</w:t>
      </w:r>
    </w:p>
    <w:p w14:paraId="0429A0FC">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 电子交易活动异常的处理</w:t>
      </w:r>
    </w:p>
    <w:p w14:paraId="749FCDA5">
      <w:pPr>
        <w:pStyle w:val="135"/>
        <w:snapToGrid w:val="0"/>
        <w:spacing w:before="0"/>
        <w:ind w:firstLine="422"/>
        <w:rPr>
          <w:rFonts w:hint="eastAsia" w:ascii="宋体" w:hAnsi="宋体" w:eastAsia="宋体" w:cs="宋体"/>
          <w:b/>
          <w:bCs/>
          <w:color w:val="auto"/>
          <w:highlight w:val="none"/>
          <w:u w:val="single"/>
        </w:rPr>
      </w:pPr>
      <w:r>
        <w:rPr>
          <w:rFonts w:hint="eastAsia" w:ascii="宋体" w:hAnsi="宋体" w:eastAsia="宋体" w:cs="宋体"/>
          <w:b/>
          <w:bCs/>
          <w:color w:val="auto"/>
          <w:sz w:val="21"/>
          <w:szCs w:val="16"/>
          <w:highlight w:val="none"/>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14:paraId="43A01264">
      <w:pPr>
        <w:snapToGrid w:val="0"/>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14:paraId="02928C4D">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 验收</w:t>
      </w:r>
    </w:p>
    <w:p w14:paraId="4ABAE0CB">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8931A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 采购人可以邀请参加本项目的其他投标人或者第三方机构参与验收。参与验收的投标人或者第三方机构的意见作为验收书的参考资料一并存档。</w:t>
      </w:r>
    </w:p>
    <w:p w14:paraId="3A62BDC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47B562">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CE86D8C">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284"/>
          <w:cols w:space="720" w:num="1"/>
          <w:titlePg/>
          <w:docGrid w:linePitch="312" w:charSpace="0"/>
        </w:sectPr>
      </w:pPr>
      <w:bookmarkStart w:id="14" w:name="_Hlt75236011"/>
      <w:bookmarkEnd w:id="14"/>
      <w:bookmarkStart w:id="15" w:name="_Hlt68057669"/>
      <w:bookmarkEnd w:id="15"/>
      <w:bookmarkStart w:id="16" w:name="_Hlt74707468"/>
      <w:bookmarkEnd w:id="16"/>
      <w:bookmarkStart w:id="17" w:name="_Hlt75236101"/>
      <w:bookmarkEnd w:id="17"/>
      <w:bookmarkStart w:id="18" w:name="_Hlt68072990"/>
      <w:bookmarkEnd w:id="18"/>
      <w:bookmarkStart w:id="19" w:name="_Hlt75236290"/>
      <w:bookmarkEnd w:id="19"/>
      <w:bookmarkStart w:id="20" w:name="_Hlt68403820"/>
      <w:bookmarkEnd w:id="20"/>
      <w:bookmarkStart w:id="21" w:name="_Hlt68072998"/>
      <w:bookmarkEnd w:id="21"/>
      <w:bookmarkStart w:id="22" w:name="_Hlt74730295"/>
      <w:bookmarkEnd w:id="22"/>
      <w:bookmarkStart w:id="23" w:name="_Hlt68073093"/>
      <w:bookmarkEnd w:id="23"/>
      <w:bookmarkStart w:id="24" w:name="_Hlt74714665"/>
      <w:bookmarkEnd w:id="24"/>
      <w:bookmarkStart w:id="25" w:name="_Hlt74729768"/>
      <w:bookmarkEnd w:id="25"/>
    </w:p>
    <w:bookmarkEnd w:id="11"/>
    <w:bookmarkEnd w:id="12"/>
    <w:p w14:paraId="35AD4F39">
      <w:pPr>
        <w:spacing w:before="319" w:beforeLines="100" w:after="319" w:afterLines="100"/>
        <w:contextualSpacing/>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02238136">
      <w:pPr>
        <w:pStyle w:val="8"/>
        <w:spacing w:line="360" w:lineRule="auto"/>
        <w:rPr>
          <w:rFonts w:hint="eastAsia" w:ascii="宋体" w:hAnsi="宋体" w:eastAsia="宋体" w:cs="宋体"/>
          <w:sz w:val="24"/>
          <w:szCs w:val="24"/>
        </w:rPr>
      </w:pPr>
      <w:r>
        <w:rPr>
          <w:rFonts w:hint="eastAsia" w:ascii="宋体" w:hAnsi="宋体" w:eastAsia="宋体" w:cs="宋体"/>
          <w:sz w:val="24"/>
          <w:szCs w:val="24"/>
        </w:rPr>
        <w:t>一、项目概况</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189"/>
        <w:gridCol w:w="789"/>
        <w:gridCol w:w="789"/>
        <w:gridCol w:w="1966"/>
      </w:tblGrid>
      <w:tr w14:paraId="147F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38" w:type="dxa"/>
            <w:noWrap w:val="0"/>
            <w:vAlign w:val="center"/>
          </w:tcPr>
          <w:p w14:paraId="053884C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标项</w:t>
            </w:r>
          </w:p>
        </w:tc>
        <w:tc>
          <w:tcPr>
            <w:tcW w:w="4189" w:type="dxa"/>
            <w:noWrap w:val="0"/>
            <w:vAlign w:val="center"/>
          </w:tcPr>
          <w:p w14:paraId="6BA5529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789" w:type="dxa"/>
            <w:noWrap w:val="0"/>
            <w:vAlign w:val="center"/>
          </w:tcPr>
          <w:p w14:paraId="1E91046F">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单位</w:t>
            </w:r>
          </w:p>
        </w:tc>
        <w:tc>
          <w:tcPr>
            <w:tcW w:w="789" w:type="dxa"/>
            <w:noWrap w:val="0"/>
            <w:vAlign w:val="center"/>
          </w:tcPr>
          <w:p w14:paraId="6AC09D9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966" w:type="dxa"/>
            <w:noWrap w:val="0"/>
            <w:vAlign w:val="top"/>
          </w:tcPr>
          <w:p w14:paraId="07C6D59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预算金额</w:t>
            </w:r>
          </w:p>
        </w:tc>
      </w:tr>
      <w:tr w14:paraId="6CFD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8" w:type="dxa"/>
            <w:noWrap w:val="0"/>
            <w:vAlign w:val="center"/>
          </w:tcPr>
          <w:p w14:paraId="14FF3422">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一</w:t>
            </w:r>
          </w:p>
        </w:tc>
        <w:tc>
          <w:tcPr>
            <w:tcW w:w="4189" w:type="dxa"/>
            <w:noWrap w:val="0"/>
            <w:vAlign w:val="center"/>
          </w:tcPr>
          <w:p w14:paraId="0B7DF985">
            <w:pPr>
              <w:spacing w:line="360" w:lineRule="auto"/>
              <w:jc w:val="center"/>
              <w:rPr>
                <w:rFonts w:hint="eastAsia" w:ascii="宋体" w:hAnsi="宋体" w:eastAsia="宋体" w:cs="宋体"/>
                <w:kern w:val="0"/>
                <w:szCs w:val="21"/>
                <w:highlight w:val="none"/>
              </w:rPr>
            </w:pPr>
            <w:r>
              <w:rPr>
                <w:rFonts w:hint="eastAsia" w:ascii="宋体" w:hAnsi="宋体" w:cs="宋体"/>
                <w:kern w:val="0"/>
                <w:szCs w:val="21"/>
                <w:highlight w:val="none"/>
                <w:lang w:eastAsia="zh-CN"/>
              </w:rPr>
              <w:t>嘉兴市秀洲区油车港镇镇区环境保洁项目</w:t>
            </w:r>
          </w:p>
        </w:tc>
        <w:tc>
          <w:tcPr>
            <w:tcW w:w="789" w:type="dxa"/>
            <w:noWrap w:val="0"/>
            <w:vAlign w:val="center"/>
          </w:tcPr>
          <w:p w14:paraId="2625438C">
            <w:pPr>
              <w:widowControl/>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项</w:t>
            </w:r>
          </w:p>
        </w:tc>
        <w:tc>
          <w:tcPr>
            <w:tcW w:w="789" w:type="dxa"/>
            <w:noWrap w:val="0"/>
            <w:vAlign w:val="center"/>
          </w:tcPr>
          <w:p w14:paraId="304263D9">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966" w:type="dxa"/>
            <w:noWrap w:val="0"/>
            <w:vAlign w:val="center"/>
          </w:tcPr>
          <w:p w14:paraId="6068FEE6">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7072000</w:t>
            </w:r>
            <w:r>
              <w:rPr>
                <w:rFonts w:hint="eastAsia" w:ascii="宋体" w:hAnsi="宋体" w:eastAsia="宋体" w:cs="宋体"/>
                <w:kern w:val="0"/>
                <w:szCs w:val="21"/>
                <w:highlight w:val="none"/>
              </w:rPr>
              <w:t>元</w:t>
            </w:r>
          </w:p>
        </w:tc>
      </w:tr>
    </w:tbl>
    <w:p w14:paraId="10B252FA">
      <w:pPr>
        <w:numPr>
          <w:ilvl w:val="0"/>
          <w:numId w:val="0"/>
        </w:numPr>
        <w:spacing w:line="460" w:lineRule="exact"/>
        <w:rPr>
          <w:rFonts w:hint="eastAsia" w:ascii="宋体" w:hAnsi="宋体" w:eastAsia="宋体" w:cs="宋体"/>
          <w:szCs w:val="21"/>
        </w:rPr>
      </w:pPr>
      <w:r>
        <w:rPr>
          <w:rFonts w:hint="eastAsia" w:ascii="宋体" w:hAnsi="宋体" w:cs="宋体"/>
          <w:b/>
          <w:bCs/>
          <w:szCs w:val="21"/>
          <w:lang w:val="en-US" w:eastAsia="zh-CN"/>
        </w:rPr>
        <w:t>二、</w:t>
      </w:r>
      <w:r>
        <w:rPr>
          <w:rFonts w:hint="eastAsia" w:ascii="宋体" w:hAnsi="宋体" w:eastAsia="宋体" w:cs="宋体"/>
          <w:b/>
          <w:bCs/>
          <w:szCs w:val="21"/>
        </w:rPr>
        <w:t>本次招标范围及要求</w:t>
      </w:r>
      <w:r>
        <w:rPr>
          <w:rFonts w:hint="eastAsia" w:ascii="宋体" w:hAnsi="宋体" w:eastAsia="宋体" w:cs="宋体"/>
          <w:szCs w:val="21"/>
        </w:rPr>
        <w:t>：秀洲区油车港镇镇区内道路、河道、公厕、菜场、公园等公共区域的保洁。</w:t>
      </w:r>
    </w:p>
    <w:p w14:paraId="4D2F106E">
      <w:pPr>
        <w:numPr>
          <w:ilvl w:val="0"/>
          <w:numId w:val="1"/>
        </w:numPr>
        <w:spacing w:line="460" w:lineRule="exact"/>
        <w:ind w:firstLine="420" w:firstLineChars="200"/>
        <w:rPr>
          <w:rFonts w:hint="eastAsia" w:ascii="宋体" w:hAnsi="宋体" w:eastAsia="宋体" w:cs="宋体"/>
          <w:szCs w:val="21"/>
        </w:rPr>
      </w:pPr>
      <w:r>
        <w:rPr>
          <w:rFonts w:hint="eastAsia" w:ascii="宋体" w:hAnsi="宋体" w:eastAsia="宋体" w:cs="宋体"/>
          <w:szCs w:val="21"/>
        </w:rPr>
        <w:t>道路保洁明细及保洁标准</w:t>
      </w:r>
    </w:p>
    <w:tbl>
      <w:tblPr>
        <w:tblStyle w:val="65"/>
        <w:tblW w:w="8654" w:type="dxa"/>
        <w:tblInd w:w="170" w:type="dxa"/>
        <w:tblLayout w:type="autofit"/>
        <w:tblCellMar>
          <w:top w:w="0" w:type="dxa"/>
          <w:left w:w="108" w:type="dxa"/>
          <w:bottom w:w="0" w:type="dxa"/>
          <w:right w:w="108" w:type="dxa"/>
        </w:tblCellMar>
      </w:tblPr>
      <w:tblGrid>
        <w:gridCol w:w="855"/>
        <w:gridCol w:w="2685"/>
        <w:gridCol w:w="2865"/>
        <w:gridCol w:w="2249"/>
      </w:tblGrid>
      <w:tr w14:paraId="632436F6">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A88870A">
            <w:pPr>
              <w:widowControl/>
              <w:spacing w:line="320" w:lineRule="exact"/>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35FA30B">
            <w:pPr>
              <w:widowControl/>
              <w:spacing w:line="320" w:lineRule="exact"/>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bidi="ar"/>
              </w:rPr>
              <w:t>保洁等级</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6C1587F">
            <w:pPr>
              <w:widowControl/>
              <w:spacing w:line="320" w:lineRule="exact"/>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bidi="ar"/>
              </w:rPr>
              <w:t>道路名称</w:t>
            </w:r>
          </w:p>
        </w:tc>
        <w:tc>
          <w:tcPr>
            <w:tcW w:w="224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D5A82FF">
            <w:pPr>
              <w:widowControl/>
              <w:spacing w:line="320" w:lineRule="exact"/>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bidi="ar"/>
              </w:rPr>
              <w:t>面积（㎡）</w:t>
            </w:r>
          </w:p>
        </w:tc>
      </w:tr>
      <w:tr w14:paraId="3456CCE1">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6867FD8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D0518EC">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13E26B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正原北路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10766F4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22160</w:t>
            </w:r>
          </w:p>
        </w:tc>
      </w:tr>
      <w:tr w14:paraId="112759D5">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61F05C1A">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011BCC0">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ED94F64">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正阳路（东方路-正原路）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0A1938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10000</w:t>
            </w:r>
          </w:p>
        </w:tc>
      </w:tr>
      <w:tr w14:paraId="18BF40F7">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3F3F9EEC">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3D7DE580">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一级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E658C00">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奥星路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01318A7">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26400</w:t>
            </w:r>
          </w:p>
        </w:tc>
      </w:tr>
      <w:tr w14:paraId="0AD0660A">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24D3B177">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4</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3845B62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E81A8A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天星路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7B77F8A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47550</w:t>
            </w:r>
          </w:p>
        </w:tc>
      </w:tr>
      <w:tr w14:paraId="0700FBBC">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29D4B20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5</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3FC100B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887D44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马厍路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70193D3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12320</w:t>
            </w:r>
          </w:p>
        </w:tc>
      </w:tr>
      <w:tr w14:paraId="59C1EC9C">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4D1B81E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6</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6790E42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DF6752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广福路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6925DFC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9800</w:t>
            </w:r>
          </w:p>
        </w:tc>
      </w:tr>
      <w:tr w14:paraId="1FF85341">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4359F227">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7</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B9064AB">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D776B2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北兴港路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7A6BFE3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14100</w:t>
            </w:r>
          </w:p>
        </w:tc>
      </w:tr>
      <w:tr w14:paraId="3F3D6A5C">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409E6FB3">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8</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325A851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D35DAF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菜场一圈</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2EDFDC6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10000</w:t>
            </w:r>
          </w:p>
        </w:tc>
      </w:tr>
      <w:tr w14:paraId="4A005B8D">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1E17DE03">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9</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3955C6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CA505F2">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蜀香楼前</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3B6366A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1800</w:t>
            </w:r>
          </w:p>
        </w:tc>
      </w:tr>
      <w:tr w14:paraId="0590D837">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4FA45E8B">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42EA03C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C91E5C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公交枢纽站</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BEAB4E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3000</w:t>
            </w:r>
          </w:p>
        </w:tc>
      </w:tr>
      <w:tr w14:paraId="2F109777">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1B97028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11</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4F2CA4F">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48C2BC">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麟湖公园（含水域）</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6709B23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50000</w:t>
            </w:r>
          </w:p>
        </w:tc>
      </w:tr>
      <w:tr w14:paraId="6632456D">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2463EAE4">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12</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0339C43">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一级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BF5EBE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麟栖公园</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58BCAEA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96000</w:t>
            </w:r>
          </w:p>
        </w:tc>
      </w:tr>
      <w:tr w14:paraId="36F880AE">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A6AE63C">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13</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3811FBE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F1C1D6F">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环湖路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5C2F9A33">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15190</w:t>
            </w:r>
          </w:p>
        </w:tc>
      </w:tr>
      <w:tr w14:paraId="339BA3C2">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412F73F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14</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C6A435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F1521E3">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陈家坝路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13EC156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7000</w:t>
            </w:r>
          </w:p>
        </w:tc>
      </w:tr>
      <w:tr w14:paraId="7E268055">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9F2ABD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15</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E66095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42CAA2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星原广场</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54F4680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6000</w:t>
            </w:r>
          </w:p>
        </w:tc>
      </w:tr>
      <w:tr w14:paraId="67CA541B">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6160AFD2">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16</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68FC9C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852E905">
            <w:pPr>
              <w:widowControl/>
              <w:spacing w:line="320" w:lineRule="exact"/>
              <w:ind w:firstLine="880" w:firstLineChars="400"/>
              <w:textAlignment w:val="center"/>
              <w:rPr>
                <w:rFonts w:hint="eastAsia" w:ascii="宋体" w:hAnsi="宋体" w:eastAsia="宋体" w:cs="宋体"/>
                <w:sz w:val="22"/>
                <w:szCs w:val="22"/>
              </w:rPr>
            </w:pPr>
            <w:r>
              <w:rPr>
                <w:rFonts w:hint="eastAsia" w:ascii="宋体" w:hAnsi="宋体" w:eastAsia="宋体" w:cs="宋体"/>
                <w:kern w:val="0"/>
                <w:sz w:val="22"/>
                <w:szCs w:val="22"/>
                <w:lang w:bidi="ar"/>
              </w:rPr>
              <w:t>竖头港绿道</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232BFBBC">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3600</w:t>
            </w:r>
          </w:p>
        </w:tc>
      </w:tr>
      <w:tr w14:paraId="3CC4252C">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58A7AC3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17</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9A62D2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2DF7D9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马厍港绿道</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2A38846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4500</w:t>
            </w:r>
          </w:p>
        </w:tc>
      </w:tr>
      <w:tr w14:paraId="5D07AE5A">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294C4D4">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18</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2DA2B8A">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580777F">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车家路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BDC7DB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1900</w:t>
            </w:r>
          </w:p>
        </w:tc>
      </w:tr>
      <w:tr w14:paraId="0A05A2D4">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61324B7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19</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C07D97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B1C414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吉祥桥下东西道路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62C062D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1600</w:t>
            </w:r>
          </w:p>
        </w:tc>
      </w:tr>
      <w:tr w14:paraId="78F02B72">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3B5CC637">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724BEBC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D2DAF3A">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恒大广场</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31BB155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10000</w:t>
            </w:r>
          </w:p>
        </w:tc>
      </w:tr>
      <w:tr w14:paraId="4584FE2B">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3DE83E2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21</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2437A5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56DB437">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残创园</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30409FC7">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17800</w:t>
            </w:r>
          </w:p>
        </w:tc>
      </w:tr>
      <w:tr w14:paraId="6413D396">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15401EA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22</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6D80625">
            <w:pPr>
              <w:widowControl/>
              <w:spacing w:line="320" w:lineRule="exact"/>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三级</w:t>
            </w:r>
          </w:p>
          <w:p w14:paraId="02C962E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（官荡大桥-奥星路二级）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2D9BBA0">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东方路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05AAB3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152000</w:t>
            </w:r>
          </w:p>
        </w:tc>
      </w:tr>
      <w:tr w14:paraId="3AB18A49">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25BD5F2C">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23</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43CDBA1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4EA2F5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茶园路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AE506A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36900</w:t>
            </w:r>
          </w:p>
        </w:tc>
      </w:tr>
      <w:tr w14:paraId="31E932E7">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1CE821F4">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24</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D3591F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9FCAFA4">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菱坊路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26180B24">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20000</w:t>
            </w:r>
          </w:p>
        </w:tc>
      </w:tr>
      <w:tr w14:paraId="51452461">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5FE57DB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25</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6DAB435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8FC298F">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乐源路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57D2FE9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9000</w:t>
            </w:r>
          </w:p>
        </w:tc>
      </w:tr>
      <w:tr w14:paraId="626ABC43">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16C6FE5B">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26</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60B24C7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46A9CAA">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将军路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51B50490">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7800</w:t>
            </w:r>
          </w:p>
        </w:tc>
      </w:tr>
      <w:tr w14:paraId="0A885756">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B3590E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27</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E029F42">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AECBF6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怡纺路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0BD9C794">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8040</w:t>
            </w:r>
          </w:p>
        </w:tc>
      </w:tr>
      <w:tr w14:paraId="114FDB8F">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5553EA7">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28</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5E2192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9479F4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南兴港路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5CCC652B">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14400</w:t>
            </w:r>
          </w:p>
        </w:tc>
      </w:tr>
      <w:tr w14:paraId="523C9FF4">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7D6BE479">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29</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7E31AFE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220601B">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汇源路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24AC738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7000</w:t>
            </w:r>
          </w:p>
        </w:tc>
      </w:tr>
      <w:tr w14:paraId="65504178">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5DD9904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30</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42908A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DE1C95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正龙路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74D8197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6300</w:t>
            </w:r>
          </w:p>
        </w:tc>
      </w:tr>
      <w:tr w14:paraId="1CB7E105">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40DD1540">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31</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DBBA6C6">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757A94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王字圩</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03718B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3000</w:t>
            </w:r>
          </w:p>
        </w:tc>
      </w:tr>
      <w:tr w14:paraId="76040FC9">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7616279C">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32</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6025C921">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7C019AB">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北阳路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56101FB">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9800</w:t>
            </w:r>
          </w:p>
        </w:tc>
      </w:tr>
      <w:tr w14:paraId="24D9758F">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5D2AFB10">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33</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CA71C3A">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6FF684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濮家湾路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3215C47D">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3250</w:t>
            </w:r>
          </w:p>
        </w:tc>
      </w:tr>
      <w:tr w14:paraId="26B9A8D2">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3ED78732">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34</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1E9210A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EB8D23B">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将军路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3D72C40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2000</w:t>
            </w:r>
          </w:p>
        </w:tc>
      </w:tr>
      <w:tr w14:paraId="42A3E2D2">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1CE73792">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35</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DD2810A">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E7083D8">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正阳路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1452AD23">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60800</w:t>
            </w:r>
          </w:p>
        </w:tc>
      </w:tr>
      <w:tr w14:paraId="0EDF1EA5">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4D9ADF05">
            <w:pPr>
              <w:widowControl/>
              <w:spacing w:line="320" w:lineRule="exact"/>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36</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2C197EA5">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097071C">
            <w:pPr>
              <w:widowControl/>
              <w:spacing w:line="320" w:lineRule="exact"/>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怡坊路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46BC6C35">
            <w:pPr>
              <w:widowControl/>
              <w:spacing w:line="320" w:lineRule="exact"/>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3840</w:t>
            </w:r>
          </w:p>
        </w:tc>
      </w:tr>
      <w:tr w14:paraId="3BD8AFBD">
        <w:tblPrEx>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2FA0C9FC">
            <w:pPr>
              <w:widowControl/>
              <w:spacing w:line="320" w:lineRule="exact"/>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37</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3D734DAE">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sz w:val="22"/>
                <w:szCs w:val="22"/>
              </w:rPr>
              <w:t>三级</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71C9656">
            <w:pPr>
              <w:widowControl/>
              <w:spacing w:line="320" w:lineRule="exact"/>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绍忠路</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1467B546">
            <w:pPr>
              <w:widowControl/>
              <w:spacing w:line="320" w:lineRule="exact"/>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2940</w:t>
            </w:r>
          </w:p>
        </w:tc>
      </w:tr>
      <w:tr w14:paraId="29C6FAA3">
        <w:tblPrEx>
          <w:tblCellMar>
            <w:top w:w="0" w:type="dxa"/>
            <w:left w:w="108" w:type="dxa"/>
            <w:bottom w:w="0" w:type="dxa"/>
            <w:right w:w="108" w:type="dxa"/>
          </w:tblCellMar>
        </w:tblPrEx>
        <w:trPr>
          <w:trHeight w:val="397" w:hRule="atLeast"/>
        </w:trPr>
        <w:tc>
          <w:tcPr>
            <w:tcW w:w="6405" w:type="dxa"/>
            <w:gridSpan w:val="3"/>
            <w:tcBorders>
              <w:top w:val="single" w:color="000000" w:sz="4" w:space="0"/>
              <w:left w:val="single" w:color="000000" w:sz="4" w:space="0"/>
              <w:bottom w:val="single" w:color="000000" w:sz="4" w:space="0"/>
              <w:right w:val="single" w:color="000000" w:sz="4" w:space="0"/>
            </w:tcBorders>
            <w:noWrap/>
            <w:vAlign w:val="center"/>
          </w:tcPr>
          <w:p w14:paraId="72E31B5C">
            <w:pPr>
              <w:widowControl/>
              <w:spacing w:line="320" w:lineRule="exact"/>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bidi="ar"/>
              </w:rPr>
              <w:t>合计</w:t>
            </w:r>
          </w:p>
        </w:tc>
        <w:tc>
          <w:tcPr>
            <w:tcW w:w="2249" w:type="dxa"/>
            <w:tcBorders>
              <w:top w:val="single" w:color="000000" w:sz="4" w:space="0"/>
              <w:left w:val="single" w:color="000000" w:sz="4" w:space="0"/>
              <w:bottom w:val="single" w:color="000000" w:sz="4" w:space="0"/>
              <w:right w:val="single" w:color="000000" w:sz="4" w:space="0"/>
            </w:tcBorders>
            <w:noWrap/>
            <w:vAlign w:val="center"/>
          </w:tcPr>
          <w:p w14:paraId="6A487B94">
            <w:pPr>
              <w:widowControl/>
              <w:spacing w:line="320" w:lineRule="exact"/>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717790</w:t>
            </w:r>
          </w:p>
        </w:tc>
      </w:tr>
    </w:tbl>
    <w:p w14:paraId="5B770170">
      <w:pPr>
        <w:numPr>
          <w:ilvl w:val="0"/>
          <w:numId w:val="1"/>
        </w:numPr>
        <w:spacing w:line="460" w:lineRule="exact"/>
        <w:ind w:firstLine="420" w:firstLineChars="200"/>
        <w:rPr>
          <w:rFonts w:hint="eastAsia" w:ascii="宋体" w:hAnsi="宋体" w:eastAsia="宋体" w:cs="宋体"/>
          <w:szCs w:val="21"/>
        </w:rPr>
      </w:pPr>
      <w:r>
        <w:rPr>
          <w:rFonts w:hint="eastAsia" w:ascii="宋体" w:hAnsi="宋体" w:eastAsia="宋体" w:cs="宋体"/>
          <w:szCs w:val="21"/>
        </w:rPr>
        <w:t>河道保洁明细</w:t>
      </w:r>
    </w:p>
    <w:tbl>
      <w:tblPr>
        <w:tblStyle w:val="65"/>
        <w:tblW w:w="866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87"/>
        <w:gridCol w:w="2866"/>
        <w:gridCol w:w="2267"/>
      </w:tblGrid>
      <w:tr w14:paraId="7E47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shd w:val="clear" w:color="auto" w:fill="F1F1F1"/>
            <w:noWrap/>
            <w:vAlign w:val="center"/>
          </w:tcPr>
          <w:p w14:paraId="09252E33">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序号</w:t>
            </w:r>
          </w:p>
        </w:tc>
        <w:tc>
          <w:tcPr>
            <w:tcW w:w="2687" w:type="dxa"/>
            <w:shd w:val="clear" w:color="auto" w:fill="F1F1F1"/>
            <w:noWrap/>
            <w:vAlign w:val="center"/>
          </w:tcPr>
          <w:p w14:paraId="00E3AEF4">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河道名称</w:t>
            </w:r>
          </w:p>
        </w:tc>
        <w:tc>
          <w:tcPr>
            <w:tcW w:w="2866" w:type="dxa"/>
            <w:shd w:val="clear" w:color="auto" w:fill="F1F1F1"/>
            <w:noWrap/>
            <w:vAlign w:val="center"/>
          </w:tcPr>
          <w:p w14:paraId="64F476E4">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起终点</w:t>
            </w:r>
          </w:p>
        </w:tc>
        <w:tc>
          <w:tcPr>
            <w:tcW w:w="2267" w:type="dxa"/>
            <w:shd w:val="clear" w:color="auto" w:fill="F1F1F1"/>
            <w:noWrap/>
            <w:vAlign w:val="center"/>
          </w:tcPr>
          <w:p w14:paraId="670A1C1F">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河道面积（㎡）</w:t>
            </w:r>
          </w:p>
        </w:tc>
      </w:tr>
      <w:tr w14:paraId="34AB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noWrap/>
            <w:vAlign w:val="center"/>
          </w:tcPr>
          <w:p w14:paraId="2FA01E81">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1</w:t>
            </w:r>
          </w:p>
        </w:tc>
        <w:tc>
          <w:tcPr>
            <w:tcW w:w="2687" w:type="dxa"/>
            <w:noWrap/>
            <w:vAlign w:val="center"/>
          </w:tcPr>
          <w:p w14:paraId="36209D9F">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毛家港</w:t>
            </w:r>
          </w:p>
        </w:tc>
        <w:tc>
          <w:tcPr>
            <w:tcW w:w="2866" w:type="dxa"/>
            <w:noWrap/>
            <w:vAlign w:val="center"/>
          </w:tcPr>
          <w:p w14:paraId="26A7E10E">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马厍港、南官荡</w:t>
            </w:r>
          </w:p>
        </w:tc>
        <w:tc>
          <w:tcPr>
            <w:tcW w:w="2267" w:type="dxa"/>
            <w:noWrap/>
            <w:vAlign w:val="center"/>
          </w:tcPr>
          <w:p w14:paraId="0D5684E4">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9700</w:t>
            </w:r>
          </w:p>
        </w:tc>
      </w:tr>
      <w:tr w14:paraId="128B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noWrap/>
            <w:vAlign w:val="center"/>
          </w:tcPr>
          <w:p w14:paraId="652DEEDA">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2</w:t>
            </w:r>
          </w:p>
        </w:tc>
        <w:tc>
          <w:tcPr>
            <w:tcW w:w="2687" w:type="dxa"/>
            <w:noWrap/>
            <w:vAlign w:val="center"/>
          </w:tcPr>
          <w:p w14:paraId="3B3DD845">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马厍港、杨家埭港</w:t>
            </w:r>
          </w:p>
        </w:tc>
        <w:tc>
          <w:tcPr>
            <w:tcW w:w="2866" w:type="dxa"/>
            <w:noWrap/>
            <w:vAlign w:val="center"/>
          </w:tcPr>
          <w:p w14:paraId="77E064AE">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长荡、杨家埭东浜口</w:t>
            </w:r>
          </w:p>
        </w:tc>
        <w:tc>
          <w:tcPr>
            <w:tcW w:w="2267" w:type="dxa"/>
            <w:noWrap/>
            <w:vAlign w:val="center"/>
          </w:tcPr>
          <w:p w14:paraId="0F082E5B">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14200</w:t>
            </w:r>
          </w:p>
        </w:tc>
      </w:tr>
      <w:tr w14:paraId="2FA4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noWrap/>
            <w:vAlign w:val="center"/>
          </w:tcPr>
          <w:p w14:paraId="5E568024">
            <w:pPr>
              <w:widowControl/>
              <w:spacing w:line="320" w:lineRule="exact"/>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w:t>
            </w:r>
          </w:p>
        </w:tc>
        <w:tc>
          <w:tcPr>
            <w:tcW w:w="2687" w:type="dxa"/>
            <w:noWrap/>
            <w:vAlign w:val="center"/>
          </w:tcPr>
          <w:p w14:paraId="33E42192">
            <w:pPr>
              <w:widowControl/>
              <w:spacing w:line="320" w:lineRule="exact"/>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车家港</w:t>
            </w:r>
          </w:p>
        </w:tc>
        <w:tc>
          <w:tcPr>
            <w:tcW w:w="2866" w:type="dxa"/>
            <w:noWrap/>
            <w:vAlign w:val="center"/>
          </w:tcPr>
          <w:p w14:paraId="67397E0E">
            <w:pPr>
              <w:widowControl/>
              <w:spacing w:line="320" w:lineRule="exact"/>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长荡、车家路桥</w:t>
            </w:r>
          </w:p>
        </w:tc>
        <w:tc>
          <w:tcPr>
            <w:tcW w:w="2267" w:type="dxa"/>
            <w:noWrap/>
            <w:vAlign w:val="center"/>
          </w:tcPr>
          <w:p w14:paraId="3E3784D3">
            <w:pPr>
              <w:widowControl/>
              <w:spacing w:line="320" w:lineRule="exact"/>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8400</w:t>
            </w:r>
          </w:p>
        </w:tc>
      </w:tr>
      <w:tr w14:paraId="2894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noWrap/>
            <w:vAlign w:val="center"/>
          </w:tcPr>
          <w:p w14:paraId="159FD667">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3</w:t>
            </w:r>
          </w:p>
        </w:tc>
        <w:tc>
          <w:tcPr>
            <w:tcW w:w="2687" w:type="dxa"/>
            <w:noWrap/>
            <w:vAlign w:val="center"/>
          </w:tcPr>
          <w:p w14:paraId="683278C3">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欢喜港</w:t>
            </w:r>
          </w:p>
        </w:tc>
        <w:tc>
          <w:tcPr>
            <w:tcW w:w="2866" w:type="dxa"/>
            <w:noWrap/>
            <w:vAlign w:val="center"/>
          </w:tcPr>
          <w:p w14:paraId="5EF25727">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长纤路港、百丈港</w:t>
            </w:r>
          </w:p>
        </w:tc>
        <w:tc>
          <w:tcPr>
            <w:tcW w:w="2267" w:type="dxa"/>
            <w:noWrap/>
            <w:vAlign w:val="center"/>
          </w:tcPr>
          <w:p w14:paraId="703E59A8">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10900</w:t>
            </w:r>
          </w:p>
        </w:tc>
      </w:tr>
      <w:tr w14:paraId="2805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3" w:type="dxa"/>
            <w:gridSpan w:val="3"/>
            <w:noWrap/>
            <w:vAlign w:val="center"/>
          </w:tcPr>
          <w:p w14:paraId="39B4F53E">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合计</w:t>
            </w:r>
          </w:p>
        </w:tc>
        <w:tc>
          <w:tcPr>
            <w:tcW w:w="2267" w:type="dxa"/>
            <w:noWrap/>
            <w:vAlign w:val="center"/>
          </w:tcPr>
          <w:p w14:paraId="00E9A1A6">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lang w:val="en-US" w:eastAsia="zh-CN"/>
              </w:rPr>
              <w:t>432</w:t>
            </w:r>
            <w:r>
              <w:rPr>
                <w:rFonts w:hint="eastAsia" w:ascii="宋体" w:hAnsi="宋体" w:eastAsia="宋体" w:cs="宋体"/>
                <w:kern w:val="0"/>
                <w:sz w:val="22"/>
              </w:rPr>
              <w:t>00</w:t>
            </w:r>
          </w:p>
        </w:tc>
      </w:tr>
    </w:tbl>
    <w:p w14:paraId="064E00D7">
      <w:pPr>
        <w:numPr>
          <w:ilvl w:val="0"/>
          <w:numId w:val="1"/>
        </w:numPr>
        <w:spacing w:line="460" w:lineRule="exact"/>
        <w:ind w:firstLine="420" w:firstLineChars="200"/>
        <w:rPr>
          <w:rFonts w:hint="eastAsia" w:ascii="宋体" w:hAnsi="宋体" w:eastAsia="宋体" w:cs="宋体"/>
          <w:szCs w:val="21"/>
        </w:rPr>
      </w:pPr>
      <w:r>
        <w:rPr>
          <w:rFonts w:hint="eastAsia" w:ascii="宋体" w:hAnsi="宋体" w:eastAsia="宋体" w:cs="宋体"/>
          <w:szCs w:val="21"/>
        </w:rPr>
        <w:t>公厕保洁明细</w:t>
      </w:r>
      <w:r>
        <w:rPr>
          <w:rFonts w:hint="eastAsia" w:ascii="宋体" w:hAnsi="宋体" w:eastAsia="宋体" w:cs="宋体"/>
          <w:szCs w:val="21"/>
          <w:lang w:val="en-US" w:eastAsia="zh-CN"/>
        </w:rPr>
        <w:t>及类别</w:t>
      </w:r>
    </w:p>
    <w:tbl>
      <w:tblPr>
        <w:tblStyle w:val="65"/>
        <w:tblpPr w:leftFromText="181" w:rightFromText="181" w:vertAnchor="text" w:horzAnchor="margin" w:tblpXSpec="center" w:tblpY="232"/>
        <w:tblW w:w="8576" w:type="dxa"/>
        <w:jc w:val="center"/>
        <w:tblLayout w:type="fixed"/>
        <w:tblCellMar>
          <w:top w:w="0" w:type="dxa"/>
          <w:left w:w="108" w:type="dxa"/>
          <w:bottom w:w="0" w:type="dxa"/>
          <w:right w:w="108" w:type="dxa"/>
        </w:tblCellMar>
      </w:tblPr>
      <w:tblGrid>
        <w:gridCol w:w="778"/>
        <w:gridCol w:w="2707"/>
        <w:gridCol w:w="2873"/>
        <w:gridCol w:w="2218"/>
      </w:tblGrid>
      <w:tr w14:paraId="5886501F">
        <w:tblPrEx>
          <w:tblCellMar>
            <w:top w:w="0" w:type="dxa"/>
            <w:left w:w="108" w:type="dxa"/>
            <w:bottom w:w="0" w:type="dxa"/>
            <w:right w:w="108" w:type="dxa"/>
          </w:tblCellMar>
        </w:tblPrEx>
        <w:trPr>
          <w:trHeight w:val="397"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57C66215">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707"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7EDD2FA5">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公厕地址</w:t>
            </w:r>
          </w:p>
        </w:tc>
        <w:tc>
          <w:tcPr>
            <w:tcW w:w="2873"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5AEE3727">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数量（座）</w:t>
            </w:r>
          </w:p>
        </w:tc>
        <w:tc>
          <w:tcPr>
            <w:tcW w:w="2218"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1202C0D7">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类别</w:t>
            </w:r>
          </w:p>
        </w:tc>
      </w:tr>
      <w:tr w14:paraId="2ED7664C">
        <w:tblPrEx>
          <w:tblCellMar>
            <w:top w:w="0" w:type="dxa"/>
            <w:left w:w="108" w:type="dxa"/>
            <w:bottom w:w="0" w:type="dxa"/>
            <w:right w:w="108" w:type="dxa"/>
          </w:tblCellMar>
        </w:tblPrEx>
        <w:trPr>
          <w:trHeight w:val="397" w:hRule="atLeast"/>
          <w:jc w:val="center"/>
        </w:trPr>
        <w:tc>
          <w:tcPr>
            <w:tcW w:w="778" w:type="dxa"/>
            <w:tcBorders>
              <w:top w:val="single" w:color="auto" w:sz="4" w:space="0"/>
              <w:left w:val="single" w:color="auto" w:sz="4" w:space="0"/>
              <w:bottom w:val="single" w:color="auto" w:sz="4" w:space="0"/>
              <w:right w:val="single" w:color="auto" w:sz="4" w:space="0"/>
            </w:tcBorders>
            <w:noWrap/>
            <w:vAlign w:val="center"/>
          </w:tcPr>
          <w:p w14:paraId="7ED0D24A">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707" w:type="dxa"/>
            <w:tcBorders>
              <w:top w:val="single" w:color="auto" w:sz="4" w:space="0"/>
              <w:left w:val="single" w:color="auto" w:sz="4" w:space="0"/>
              <w:bottom w:val="single" w:color="auto" w:sz="4" w:space="0"/>
              <w:right w:val="single" w:color="auto" w:sz="4" w:space="0"/>
            </w:tcBorders>
            <w:noWrap/>
            <w:vAlign w:val="center"/>
          </w:tcPr>
          <w:p w14:paraId="2068C8FF">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麟湖湿地公园</w:t>
            </w:r>
          </w:p>
        </w:tc>
        <w:tc>
          <w:tcPr>
            <w:tcW w:w="2873" w:type="dxa"/>
            <w:tcBorders>
              <w:top w:val="single" w:color="auto" w:sz="4" w:space="0"/>
              <w:left w:val="single" w:color="auto" w:sz="4" w:space="0"/>
              <w:bottom w:val="single" w:color="auto" w:sz="4" w:space="0"/>
              <w:right w:val="single" w:color="auto" w:sz="4" w:space="0"/>
            </w:tcBorders>
            <w:noWrap/>
            <w:vAlign w:val="center"/>
          </w:tcPr>
          <w:p w14:paraId="0272C970">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218" w:type="dxa"/>
            <w:tcBorders>
              <w:top w:val="single" w:color="auto" w:sz="4" w:space="0"/>
              <w:left w:val="single" w:color="auto" w:sz="4" w:space="0"/>
              <w:bottom w:val="single" w:color="auto" w:sz="4" w:space="0"/>
              <w:right w:val="single" w:color="auto" w:sz="4" w:space="0"/>
            </w:tcBorders>
            <w:noWrap/>
            <w:vAlign w:val="center"/>
          </w:tcPr>
          <w:p w14:paraId="3E15DF72">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二星</w:t>
            </w:r>
          </w:p>
        </w:tc>
      </w:tr>
      <w:tr w14:paraId="26374B0B">
        <w:tblPrEx>
          <w:tblCellMar>
            <w:top w:w="0" w:type="dxa"/>
            <w:left w:w="108" w:type="dxa"/>
            <w:bottom w:w="0" w:type="dxa"/>
            <w:right w:w="108" w:type="dxa"/>
          </w:tblCellMar>
        </w:tblPrEx>
        <w:trPr>
          <w:trHeight w:val="397" w:hRule="atLeast"/>
          <w:jc w:val="center"/>
        </w:trPr>
        <w:tc>
          <w:tcPr>
            <w:tcW w:w="778" w:type="dxa"/>
            <w:tcBorders>
              <w:top w:val="single" w:color="auto" w:sz="4" w:space="0"/>
              <w:left w:val="single" w:color="auto" w:sz="4" w:space="0"/>
              <w:bottom w:val="single" w:color="auto" w:sz="4" w:space="0"/>
              <w:right w:val="single" w:color="auto" w:sz="4" w:space="0"/>
            </w:tcBorders>
            <w:noWrap/>
            <w:vAlign w:val="center"/>
          </w:tcPr>
          <w:p w14:paraId="54FB58D8">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2707" w:type="dxa"/>
            <w:tcBorders>
              <w:top w:val="single" w:color="auto" w:sz="4" w:space="0"/>
              <w:left w:val="single" w:color="auto" w:sz="4" w:space="0"/>
              <w:bottom w:val="single" w:color="auto" w:sz="4" w:space="0"/>
              <w:right w:val="single" w:color="auto" w:sz="4" w:space="0"/>
            </w:tcBorders>
            <w:noWrap/>
            <w:vAlign w:val="center"/>
          </w:tcPr>
          <w:p w14:paraId="5F5C2CFD">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马厍农贸市场南</w:t>
            </w:r>
          </w:p>
        </w:tc>
        <w:tc>
          <w:tcPr>
            <w:tcW w:w="2873" w:type="dxa"/>
            <w:tcBorders>
              <w:top w:val="single" w:color="auto" w:sz="4" w:space="0"/>
              <w:left w:val="single" w:color="auto" w:sz="4" w:space="0"/>
              <w:bottom w:val="single" w:color="auto" w:sz="4" w:space="0"/>
              <w:right w:val="single" w:color="auto" w:sz="4" w:space="0"/>
            </w:tcBorders>
            <w:noWrap/>
            <w:vAlign w:val="center"/>
          </w:tcPr>
          <w:p w14:paraId="3D075D4E">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218" w:type="dxa"/>
            <w:tcBorders>
              <w:top w:val="single" w:color="auto" w:sz="4" w:space="0"/>
              <w:left w:val="single" w:color="auto" w:sz="4" w:space="0"/>
              <w:bottom w:val="single" w:color="auto" w:sz="4" w:space="0"/>
              <w:right w:val="single" w:color="auto" w:sz="4" w:space="0"/>
            </w:tcBorders>
            <w:noWrap/>
            <w:vAlign w:val="center"/>
          </w:tcPr>
          <w:p w14:paraId="5EC3C033">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三星</w:t>
            </w:r>
          </w:p>
        </w:tc>
      </w:tr>
      <w:tr w14:paraId="14DAEFCD">
        <w:tblPrEx>
          <w:tblCellMar>
            <w:top w:w="0" w:type="dxa"/>
            <w:left w:w="108" w:type="dxa"/>
            <w:bottom w:w="0" w:type="dxa"/>
            <w:right w:w="108" w:type="dxa"/>
          </w:tblCellMar>
        </w:tblPrEx>
        <w:trPr>
          <w:trHeight w:val="397" w:hRule="atLeast"/>
          <w:jc w:val="center"/>
        </w:trPr>
        <w:tc>
          <w:tcPr>
            <w:tcW w:w="778" w:type="dxa"/>
            <w:tcBorders>
              <w:top w:val="single" w:color="auto" w:sz="4" w:space="0"/>
              <w:left w:val="single" w:color="auto" w:sz="4" w:space="0"/>
              <w:bottom w:val="single" w:color="auto" w:sz="4" w:space="0"/>
              <w:right w:val="single" w:color="auto" w:sz="4" w:space="0"/>
            </w:tcBorders>
            <w:noWrap/>
            <w:vAlign w:val="center"/>
          </w:tcPr>
          <w:p w14:paraId="3AC0E54D">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2707" w:type="dxa"/>
            <w:tcBorders>
              <w:top w:val="single" w:color="auto" w:sz="4" w:space="0"/>
              <w:left w:val="single" w:color="auto" w:sz="4" w:space="0"/>
              <w:bottom w:val="single" w:color="auto" w:sz="4" w:space="0"/>
              <w:right w:val="single" w:color="auto" w:sz="4" w:space="0"/>
            </w:tcBorders>
            <w:noWrap/>
            <w:vAlign w:val="center"/>
          </w:tcPr>
          <w:p w14:paraId="7F5B77A6">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恒大广场</w:t>
            </w:r>
          </w:p>
        </w:tc>
        <w:tc>
          <w:tcPr>
            <w:tcW w:w="2873" w:type="dxa"/>
            <w:tcBorders>
              <w:top w:val="single" w:color="auto" w:sz="4" w:space="0"/>
              <w:left w:val="single" w:color="auto" w:sz="4" w:space="0"/>
              <w:bottom w:val="single" w:color="auto" w:sz="4" w:space="0"/>
              <w:right w:val="single" w:color="auto" w:sz="4" w:space="0"/>
            </w:tcBorders>
            <w:noWrap/>
            <w:vAlign w:val="center"/>
          </w:tcPr>
          <w:p w14:paraId="7C83C449">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218" w:type="dxa"/>
            <w:tcBorders>
              <w:top w:val="single" w:color="auto" w:sz="4" w:space="0"/>
              <w:left w:val="single" w:color="auto" w:sz="4" w:space="0"/>
              <w:bottom w:val="single" w:color="auto" w:sz="4" w:space="0"/>
              <w:right w:val="single" w:color="auto" w:sz="4" w:space="0"/>
            </w:tcBorders>
            <w:noWrap/>
            <w:vAlign w:val="center"/>
          </w:tcPr>
          <w:p w14:paraId="73474D6E">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三星</w:t>
            </w:r>
          </w:p>
        </w:tc>
      </w:tr>
      <w:tr w14:paraId="5F7171A6">
        <w:tblPrEx>
          <w:tblCellMar>
            <w:top w:w="0" w:type="dxa"/>
            <w:left w:w="108" w:type="dxa"/>
            <w:bottom w:w="0" w:type="dxa"/>
            <w:right w:w="108" w:type="dxa"/>
          </w:tblCellMar>
        </w:tblPrEx>
        <w:trPr>
          <w:trHeight w:val="397" w:hRule="atLeast"/>
          <w:jc w:val="center"/>
        </w:trPr>
        <w:tc>
          <w:tcPr>
            <w:tcW w:w="778" w:type="dxa"/>
            <w:tcBorders>
              <w:top w:val="single" w:color="auto" w:sz="4" w:space="0"/>
              <w:left w:val="single" w:color="auto" w:sz="4" w:space="0"/>
              <w:bottom w:val="single" w:color="auto" w:sz="4" w:space="0"/>
              <w:right w:val="single" w:color="auto" w:sz="4" w:space="0"/>
            </w:tcBorders>
            <w:noWrap/>
            <w:vAlign w:val="center"/>
          </w:tcPr>
          <w:p w14:paraId="20458EF9">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2707" w:type="dxa"/>
            <w:tcBorders>
              <w:top w:val="single" w:color="auto" w:sz="4" w:space="0"/>
              <w:left w:val="single" w:color="auto" w:sz="4" w:space="0"/>
              <w:bottom w:val="single" w:color="auto" w:sz="4" w:space="0"/>
              <w:right w:val="single" w:color="auto" w:sz="4" w:space="0"/>
            </w:tcBorders>
            <w:noWrap/>
            <w:vAlign w:val="center"/>
          </w:tcPr>
          <w:p w14:paraId="6FF9605C">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陈家坝路</w:t>
            </w:r>
          </w:p>
        </w:tc>
        <w:tc>
          <w:tcPr>
            <w:tcW w:w="2873" w:type="dxa"/>
            <w:tcBorders>
              <w:top w:val="single" w:color="auto" w:sz="4" w:space="0"/>
              <w:left w:val="single" w:color="auto" w:sz="4" w:space="0"/>
              <w:bottom w:val="single" w:color="auto" w:sz="4" w:space="0"/>
              <w:right w:val="single" w:color="auto" w:sz="4" w:space="0"/>
            </w:tcBorders>
            <w:noWrap/>
            <w:vAlign w:val="center"/>
          </w:tcPr>
          <w:p w14:paraId="1FAD6F6D">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218" w:type="dxa"/>
            <w:tcBorders>
              <w:top w:val="single" w:color="auto" w:sz="4" w:space="0"/>
              <w:left w:val="single" w:color="auto" w:sz="4" w:space="0"/>
              <w:bottom w:val="single" w:color="auto" w:sz="4" w:space="0"/>
              <w:right w:val="single" w:color="auto" w:sz="4" w:space="0"/>
            </w:tcBorders>
            <w:noWrap/>
            <w:vAlign w:val="center"/>
          </w:tcPr>
          <w:p w14:paraId="3AF4AFCB">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三星</w:t>
            </w:r>
          </w:p>
        </w:tc>
      </w:tr>
      <w:tr w14:paraId="4499ECD4">
        <w:tblPrEx>
          <w:tblCellMar>
            <w:top w:w="0" w:type="dxa"/>
            <w:left w:w="108" w:type="dxa"/>
            <w:bottom w:w="0" w:type="dxa"/>
            <w:right w:w="108" w:type="dxa"/>
          </w:tblCellMar>
        </w:tblPrEx>
        <w:trPr>
          <w:trHeight w:val="397" w:hRule="atLeast"/>
          <w:jc w:val="center"/>
        </w:trPr>
        <w:tc>
          <w:tcPr>
            <w:tcW w:w="778" w:type="dxa"/>
            <w:tcBorders>
              <w:top w:val="single" w:color="auto" w:sz="4" w:space="0"/>
              <w:left w:val="single" w:color="auto" w:sz="4" w:space="0"/>
              <w:bottom w:val="single" w:color="auto" w:sz="4" w:space="0"/>
              <w:right w:val="single" w:color="auto" w:sz="4" w:space="0"/>
            </w:tcBorders>
            <w:noWrap/>
            <w:vAlign w:val="center"/>
          </w:tcPr>
          <w:p w14:paraId="757A1C13">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2707" w:type="dxa"/>
            <w:tcBorders>
              <w:top w:val="single" w:color="auto" w:sz="4" w:space="0"/>
              <w:left w:val="single" w:color="auto" w:sz="4" w:space="0"/>
              <w:bottom w:val="single" w:color="auto" w:sz="4" w:space="0"/>
              <w:right w:val="single" w:color="auto" w:sz="4" w:space="0"/>
            </w:tcBorders>
            <w:noWrap/>
            <w:vAlign w:val="center"/>
          </w:tcPr>
          <w:p w14:paraId="1AD5D152">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麟栖公园</w:t>
            </w:r>
          </w:p>
        </w:tc>
        <w:tc>
          <w:tcPr>
            <w:tcW w:w="2873" w:type="dxa"/>
            <w:tcBorders>
              <w:top w:val="single" w:color="auto" w:sz="4" w:space="0"/>
              <w:left w:val="single" w:color="auto" w:sz="4" w:space="0"/>
              <w:bottom w:val="single" w:color="auto" w:sz="4" w:space="0"/>
              <w:right w:val="single" w:color="auto" w:sz="4" w:space="0"/>
            </w:tcBorders>
            <w:noWrap/>
            <w:vAlign w:val="center"/>
          </w:tcPr>
          <w:p w14:paraId="4897D16A">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218" w:type="dxa"/>
            <w:tcBorders>
              <w:top w:val="single" w:color="auto" w:sz="4" w:space="0"/>
              <w:left w:val="single" w:color="auto" w:sz="4" w:space="0"/>
              <w:bottom w:val="single" w:color="auto" w:sz="4" w:space="0"/>
              <w:right w:val="single" w:color="auto" w:sz="4" w:space="0"/>
            </w:tcBorders>
            <w:noWrap/>
            <w:vAlign w:val="center"/>
          </w:tcPr>
          <w:p w14:paraId="2D50B9A3">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二星</w:t>
            </w:r>
          </w:p>
        </w:tc>
      </w:tr>
      <w:tr w14:paraId="5495EEB3">
        <w:tblPrEx>
          <w:tblCellMar>
            <w:top w:w="0" w:type="dxa"/>
            <w:left w:w="108" w:type="dxa"/>
            <w:bottom w:w="0" w:type="dxa"/>
            <w:right w:w="108" w:type="dxa"/>
          </w:tblCellMar>
        </w:tblPrEx>
        <w:trPr>
          <w:trHeight w:val="397" w:hRule="atLeast"/>
          <w:jc w:val="center"/>
        </w:trPr>
        <w:tc>
          <w:tcPr>
            <w:tcW w:w="778" w:type="dxa"/>
            <w:tcBorders>
              <w:top w:val="single" w:color="auto" w:sz="4" w:space="0"/>
              <w:left w:val="single" w:color="auto" w:sz="4" w:space="0"/>
              <w:bottom w:val="single" w:color="auto" w:sz="4" w:space="0"/>
              <w:right w:val="single" w:color="auto" w:sz="4" w:space="0"/>
            </w:tcBorders>
            <w:noWrap/>
            <w:vAlign w:val="center"/>
          </w:tcPr>
          <w:p w14:paraId="6C6D817D">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2707" w:type="dxa"/>
            <w:tcBorders>
              <w:top w:val="single" w:color="auto" w:sz="4" w:space="0"/>
              <w:left w:val="single" w:color="auto" w:sz="4" w:space="0"/>
              <w:bottom w:val="single" w:color="auto" w:sz="4" w:space="0"/>
              <w:right w:val="single" w:color="auto" w:sz="4" w:space="0"/>
            </w:tcBorders>
            <w:noWrap/>
            <w:vAlign w:val="center"/>
          </w:tcPr>
          <w:p w14:paraId="4CF324D9">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兴港路（小学旁）</w:t>
            </w:r>
          </w:p>
        </w:tc>
        <w:tc>
          <w:tcPr>
            <w:tcW w:w="2873" w:type="dxa"/>
            <w:tcBorders>
              <w:top w:val="single" w:color="auto" w:sz="4" w:space="0"/>
              <w:left w:val="single" w:color="auto" w:sz="4" w:space="0"/>
              <w:bottom w:val="single" w:color="auto" w:sz="4" w:space="0"/>
              <w:right w:val="single" w:color="auto" w:sz="4" w:space="0"/>
            </w:tcBorders>
            <w:noWrap/>
            <w:vAlign w:val="center"/>
          </w:tcPr>
          <w:p w14:paraId="26A97BFC">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218" w:type="dxa"/>
            <w:tcBorders>
              <w:top w:val="single" w:color="auto" w:sz="4" w:space="0"/>
              <w:left w:val="single" w:color="auto" w:sz="4" w:space="0"/>
              <w:bottom w:val="single" w:color="auto" w:sz="4" w:space="0"/>
              <w:right w:val="single" w:color="auto" w:sz="4" w:space="0"/>
            </w:tcBorders>
            <w:noWrap/>
            <w:vAlign w:val="center"/>
          </w:tcPr>
          <w:p w14:paraId="37822BCA">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三星</w:t>
            </w:r>
          </w:p>
        </w:tc>
      </w:tr>
      <w:tr w14:paraId="70B15587">
        <w:tblPrEx>
          <w:tblCellMar>
            <w:top w:w="0" w:type="dxa"/>
            <w:left w:w="108" w:type="dxa"/>
            <w:bottom w:w="0" w:type="dxa"/>
            <w:right w:w="108" w:type="dxa"/>
          </w:tblCellMar>
        </w:tblPrEx>
        <w:trPr>
          <w:trHeight w:val="397" w:hRule="atLeast"/>
          <w:jc w:val="center"/>
        </w:trPr>
        <w:tc>
          <w:tcPr>
            <w:tcW w:w="3485" w:type="dxa"/>
            <w:gridSpan w:val="2"/>
            <w:tcBorders>
              <w:top w:val="single" w:color="auto" w:sz="4" w:space="0"/>
              <w:left w:val="single" w:color="auto" w:sz="4" w:space="0"/>
              <w:bottom w:val="single" w:color="auto" w:sz="4" w:space="0"/>
              <w:right w:val="single" w:color="auto" w:sz="4" w:space="0"/>
            </w:tcBorders>
            <w:noWrap/>
            <w:vAlign w:val="center"/>
          </w:tcPr>
          <w:p w14:paraId="39AA5613">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2873" w:type="dxa"/>
            <w:tcBorders>
              <w:top w:val="single" w:color="auto" w:sz="4" w:space="0"/>
              <w:left w:val="single" w:color="auto" w:sz="4" w:space="0"/>
              <w:bottom w:val="single" w:color="auto" w:sz="4" w:space="0"/>
              <w:right w:val="single" w:color="auto" w:sz="4" w:space="0"/>
            </w:tcBorders>
            <w:noWrap/>
            <w:vAlign w:val="center"/>
          </w:tcPr>
          <w:p w14:paraId="68A7C08C">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6</w:t>
            </w:r>
          </w:p>
        </w:tc>
        <w:tc>
          <w:tcPr>
            <w:tcW w:w="2218" w:type="dxa"/>
            <w:tcBorders>
              <w:top w:val="single" w:color="auto" w:sz="4" w:space="0"/>
              <w:left w:val="single" w:color="auto" w:sz="4" w:space="0"/>
              <w:bottom w:val="single" w:color="auto" w:sz="4" w:space="0"/>
              <w:right w:val="single" w:color="auto" w:sz="4" w:space="0"/>
            </w:tcBorders>
            <w:noWrap/>
            <w:vAlign w:val="center"/>
          </w:tcPr>
          <w:p w14:paraId="768DBAFD">
            <w:pPr>
              <w:widowControl/>
              <w:spacing w:line="320" w:lineRule="exact"/>
              <w:jc w:val="center"/>
              <w:rPr>
                <w:rFonts w:hint="eastAsia" w:ascii="宋体" w:hAnsi="宋体" w:eastAsia="宋体" w:cs="宋体"/>
                <w:kern w:val="0"/>
                <w:szCs w:val="21"/>
              </w:rPr>
            </w:pPr>
          </w:p>
        </w:tc>
      </w:tr>
    </w:tbl>
    <w:p w14:paraId="68492E4F">
      <w:pPr>
        <w:pStyle w:val="5"/>
        <w:spacing w:line="460" w:lineRule="exact"/>
        <w:ind w:firstLine="0" w:firstLineChars="0"/>
        <w:rPr>
          <w:rFonts w:hint="eastAsia" w:ascii="宋体" w:hAnsi="宋体" w:eastAsia="宋体" w:cs="宋体"/>
          <w:b/>
          <w:bCs/>
        </w:rPr>
      </w:pPr>
    </w:p>
    <w:p w14:paraId="3342E4FC">
      <w:pPr>
        <w:pStyle w:val="5"/>
        <w:spacing w:line="460" w:lineRule="exact"/>
        <w:ind w:firstLine="0" w:firstLineChars="0"/>
        <w:rPr>
          <w:rFonts w:hint="eastAsia" w:ascii="宋体" w:hAnsi="宋体" w:eastAsia="宋体" w:cs="宋体"/>
          <w:b/>
          <w:bCs/>
        </w:rPr>
      </w:pPr>
    </w:p>
    <w:p w14:paraId="6AD812A7">
      <w:pPr>
        <w:pStyle w:val="5"/>
        <w:spacing w:line="460" w:lineRule="exact"/>
        <w:ind w:firstLine="0" w:firstLineChars="0"/>
        <w:rPr>
          <w:rFonts w:hint="eastAsia" w:ascii="宋体" w:hAnsi="宋体" w:eastAsia="宋体" w:cs="宋体"/>
          <w:b/>
          <w:bCs/>
        </w:rPr>
      </w:pPr>
    </w:p>
    <w:p w14:paraId="374784ED">
      <w:pPr>
        <w:pStyle w:val="5"/>
        <w:spacing w:line="460" w:lineRule="exact"/>
        <w:ind w:firstLine="0" w:firstLineChars="0"/>
        <w:rPr>
          <w:rFonts w:hint="eastAsia" w:ascii="宋体" w:hAnsi="宋体" w:eastAsia="宋体" w:cs="宋体"/>
          <w:b/>
          <w:bCs/>
        </w:rPr>
      </w:pPr>
    </w:p>
    <w:p w14:paraId="05C43AB1">
      <w:pPr>
        <w:pStyle w:val="5"/>
        <w:spacing w:line="460" w:lineRule="exact"/>
        <w:ind w:firstLine="0" w:firstLineChars="0"/>
        <w:rPr>
          <w:rFonts w:hint="eastAsia" w:ascii="宋体" w:hAnsi="宋体" w:eastAsia="宋体" w:cs="宋体"/>
          <w:b/>
          <w:bCs/>
        </w:rPr>
      </w:pPr>
    </w:p>
    <w:p w14:paraId="4B1DCE2F">
      <w:pPr>
        <w:pStyle w:val="5"/>
        <w:spacing w:line="460" w:lineRule="exact"/>
        <w:ind w:firstLine="0" w:firstLineChars="0"/>
        <w:rPr>
          <w:rFonts w:hint="eastAsia" w:ascii="宋体" w:hAnsi="宋体" w:eastAsia="宋体" w:cs="宋体"/>
          <w:b/>
          <w:bCs/>
        </w:rPr>
      </w:pPr>
    </w:p>
    <w:p w14:paraId="6773949E">
      <w:pPr>
        <w:pStyle w:val="5"/>
        <w:spacing w:line="460" w:lineRule="exact"/>
        <w:ind w:firstLine="0" w:firstLineChars="0"/>
        <w:rPr>
          <w:rFonts w:hint="eastAsia" w:ascii="宋体" w:hAnsi="宋体" w:eastAsia="宋体" w:cs="宋体"/>
          <w:b/>
          <w:bCs/>
        </w:rPr>
      </w:pPr>
    </w:p>
    <w:p w14:paraId="5726391C">
      <w:pPr>
        <w:pStyle w:val="5"/>
        <w:spacing w:line="460" w:lineRule="exact"/>
        <w:ind w:firstLine="0" w:firstLineChars="0"/>
        <w:rPr>
          <w:rFonts w:hint="eastAsia" w:ascii="宋体" w:hAnsi="宋体" w:eastAsia="宋体" w:cs="宋体"/>
          <w:b/>
          <w:bCs/>
        </w:rPr>
      </w:pPr>
    </w:p>
    <w:p w14:paraId="0BCEC3E5">
      <w:pPr>
        <w:pStyle w:val="5"/>
        <w:spacing w:line="460" w:lineRule="exact"/>
        <w:ind w:firstLine="0" w:firstLineChars="0"/>
        <w:rPr>
          <w:rFonts w:hint="eastAsia" w:ascii="宋体" w:hAnsi="宋体" w:eastAsia="宋体" w:cs="宋体"/>
          <w:b/>
          <w:bCs/>
          <w:lang w:eastAsia="zh-CN"/>
        </w:rPr>
      </w:pPr>
      <w:r>
        <w:rPr>
          <w:rFonts w:hint="eastAsia" w:ascii="宋体" w:hAnsi="宋体" w:eastAsia="宋体" w:cs="宋体"/>
          <w:b/>
          <w:bCs/>
        </w:rPr>
        <w:t>注：</w:t>
      </w:r>
      <w:r>
        <w:rPr>
          <w:rFonts w:hint="eastAsia" w:ascii="宋体" w:hAnsi="宋体" w:eastAsia="宋体" w:cs="宋体"/>
          <w:b/>
          <w:bCs/>
          <w:lang w:val="en-US" w:eastAsia="zh-CN"/>
        </w:rPr>
        <w:t>以上范围在服务期内</w:t>
      </w:r>
      <w:r>
        <w:rPr>
          <w:rFonts w:hint="eastAsia" w:ascii="宋体" w:hAnsi="宋体" w:eastAsia="宋体" w:cs="宋体"/>
          <w:b/>
          <w:bCs/>
        </w:rPr>
        <w:t>根据镇区规划</w:t>
      </w:r>
      <w:r>
        <w:rPr>
          <w:rFonts w:hint="eastAsia" w:ascii="宋体" w:hAnsi="宋体" w:eastAsia="宋体" w:cs="宋体"/>
          <w:b/>
          <w:bCs/>
          <w:lang w:eastAsia="zh-CN"/>
        </w:rPr>
        <w:t>，</w:t>
      </w:r>
      <w:r>
        <w:rPr>
          <w:rFonts w:hint="eastAsia" w:ascii="宋体" w:hAnsi="宋体" w:eastAsia="宋体" w:cs="宋体"/>
          <w:b/>
          <w:bCs/>
          <w:lang w:val="en-US" w:eastAsia="zh-CN"/>
        </w:rPr>
        <w:t>面积、保洁等级及类别如发生变化但费用不变，</w:t>
      </w:r>
      <w:r>
        <w:rPr>
          <w:rFonts w:hint="eastAsia" w:ascii="宋体" w:hAnsi="宋体" w:eastAsia="宋体" w:cs="宋体"/>
          <w:b/>
          <w:bCs/>
        </w:rPr>
        <w:t>投标单位自行考虑相关报价风险</w:t>
      </w:r>
      <w:r>
        <w:rPr>
          <w:rFonts w:hint="eastAsia" w:ascii="宋体" w:hAnsi="宋体" w:eastAsia="宋体" w:cs="宋体"/>
          <w:b/>
          <w:bCs/>
          <w:lang w:eastAsia="zh-CN"/>
        </w:rPr>
        <w:t>。</w:t>
      </w:r>
    </w:p>
    <w:p w14:paraId="7127041E">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4、其它</w:t>
      </w:r>
    </w:p>
    <w:p w14:paraId="2279AD72">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1）道路（包括所有主干线、次干道、绿道、镇区道路及两旁人行道）、河道、辖区所有绿化区域（含公园）到墙为止；</w:t>
      </w:r>
    </w:p>
    <w:p w14:paraId="5933D849">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2）沿街商铺、背街小巷、菜场周围及房前屋后、街面店面弄堂到墙为止的卫生保洁、垃圾清运；</w:t>
      </w:r>
    </w:p>
    <w:p w14:paraId="6B564A13">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3）范围内所有公厕保洁；</w:t>
      </w:r>
    </w:p>
    <w:p w14:paraId="46CE8876">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4）清理乱张贴、乱涂写；</w:t>
      </w:r>
    </w:p>
    <w:p w14:paraId="13643419">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5）道路中央护栏及两边非机动车道护栏清洗，人行道实行高压冲洗；</w:t>
      </w:r>
    </w:p>
    <w:p w14:paraId="0096A107">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6）根据上级要求，做好垃圾分类收集、清运、处理工作；</w:t>
      </w:r>
    </w:p>
    <w:p w14:paraId="185B9B36">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7）绿化带及所有公园、公共区域保洁；</w:t>
      </w:r>
    </w:p>
    <w:p w14:paraId="73DB8B3E">
      <w:pPr>
        <w:pStyle w:val="5"/>
        <w:spacing w:line="460" w:lineRule="exact"/>
        <w:ind w:left="420" w:leftChars="200" w:firstLine="0" w:firstLineChars="0"/>
        <w:rPr>
          <w:rFonts w:hint="eastAsia" w:ascii="宋体" w:hAnsi="宋体" w:eastAsia="宋体" w:cs="宋体"/>
        </w:rPr>
      </w:pPr>
      <w:r>
        <w:rPr>
          <w:rFonts w:hint="eastAsia" w:ascii="宋体" w:hAnsi="宋体" w:eastAsia="宋体" w:cs="宋体"/>
        </w:rPr>
        <w:t>8）残创园保洁</w:t>
      </w:r>
    </w:p>
    <w:p w14:paraId="5306039C">
      <w:pPr>
        <w:pStyle w:val="5"/>
        <w:spacing w:line="460" w:lineRule="exact"/>
        <w:ind w:firstLine="480"/>
        <w:rPr>
          <w:rFonts w:hint="eastAsia" w:ascii="宋体" w:hAnsi="宋体" w:eastAsia="宋体" w:cs="宋体"/>
        </w:rPr>
      </w:pPr>
      <w:r>
        <w:rPr>
          <w:rFonts w:hint="eastAsia" w:ascii="宋体" w:hAnsi="宋体" w:eastAsia="宋体" w:cs="宋体"/>
        </w:rPr>
        <w:t>注：保洁范围按招标文件规定的全部区域，本招标文件仅提供保洁区域范围，投标人的投标报价应包括上述范围内所有的工作内容及要求，投标人应实地踏勘以充分了解保洁区域位置、情况、道路及任何其他足以影响承包的情况，任何因忽视或误解保洁区域情况而导致的报价遗漏、资金不作调整，索赔申请将不予批准。</w:t>
      </w:r>
    </w:p>
    <w:p w14:paraId="65E7CFB1">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5、人员设备及其他要求：</w:t>
      </w:r>
    </w:p>
    <w:tbl>
      <w:tblPr>
        <w:tblStyle w:val="65"/>
        <w:tblW w:w="8698" w:type="dxa"/>
        <w:tblInd w:w="159" w:type="dxa"/>
        <w:tblLayout w:type="fixed"/>
        <w:tblCellMar>
          <w:top w:w="0" w:type="dxa"/>
          <w:left w:w="108" w:type="dxa"/>
          <w:bottom w:w="0" w:type="dxa"/>
          <w:right w:w="108" w:type="dxa"/>
        </w:tblCellMar>
      </w:tblPr>
      <w:tblGrid>
        <w:gridCol w:w="780"/>
        <w:gridCol w:w="2520"/>
        <w:gridCol w:w="1193"/>
        <w:gridCol w:w="1214"/>
        <w:gridCol w:w="2991"/>
      </w:tblGrid>
      <w:tr w14:paraId="6E4F9C35">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58BDCFDF">
            <w:pPr>
              <w:spacing w:line="320" w:lineRule="exact"/>
              <w:jc w:val="center"/>
              <w:rPr>
                <w:rFonts w:hint="eastAsia" w:ascii="宋体" w:hAnsi="宋体" w:eastAsia="宋体" w:cs="宋体"/>
                <w:szCs w:val="21"/>
              </w:rPr>
            </w:pPr>
            <w:r>
              <w:rPr>
                <w:rFonts w:hint="eastAsia" w:ascii="宋体" w:hAnsi="宋体" w:eastAsia="宋体" w:cs="宋体"/>
                <w:szCs w:val="21"/>
              </w:rPr>
              <w:t>序号</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68BFD3D1">
            <w:pPr>
              <w:spacing w:line="320" w:lineRule="exact"/>
              <w:jc w:val="center"/>
              <w:rPr>
                <w:rFonts w:hint="eastAsia" w:ascii="宋体" w:hAnsi="宋体" w:eastAsia="宋体" w:cs="宋体"/>
                <w:szCs w:val="21"/>
              </w:rPr>
            </w:pPr>
            <w:r>
              <w:rPr>
                <w:rFonts w:hint="eastAsia" w:ascii="宋体" w:hAnsi="宋体" w:eastAsia="宋体" w:cs="宋体"/>
                <w:szCs w:val="21"/>
              </w:rPr>
              <w:t>项目名称</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55A96EEC">
            <w:pPr>
              <w:spacing w:line="320" w:lineRule="exact"/>
              <w:jc w:val="center"/>
              <w:rPr>
                <w:rFonts w:hint="eastAsia" w:ascii="宋体" w:hAnsi="宋体" w:eastAsia="宋体" w:cs="宋体"/>
                <w:szCs w:val="21"/>
              </w:rPr>
            </w:pPr>
            <w:r>
              <w:rPr>
                <w:rFonts w:hint="eastAsia" w:ascii="宋体" w:hAnsi="宋体" w:eastAsia="宋体" w:cs="宋体"/>
                <w:szCs w:val="21"/>
              </w:rPr>
              <w:t>单位</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5A59FFBC">
            <w:pPr>
              <w:spacing w:line="320" w:lineRule="exact"/>
              <w:jc w:val="center"/>
              <w:rPr>
                <w:rFonts w:hint="eastAsia" w:ascii="宋体" w:hAnsi="宋体" w:eastAsia="宋体" w:cs="宋体"/>
                <w:szCs w:val="21"/>
              </w:rPr>
            </w:pPr>
            <w:r>
              <w:rPr>
                <w:rFonts w:hint="eastAsia" w:ascii="宋体" w:hAnsi="宋体" w:eastAsia="宋体" w:cs="宋体"/>
                <w:szCs w:val="21"/>
              </w:rPr>
              <w:t>数量</w:t>
            </w:r>
          </w:p>
        </w:tc>
        <w:tc>
          <w:tcPr>
            <w:tcW w:w="2991" w:type="dxa"/>
            <w:tcBorders>
              <w:top w:val="single" w:color="000000" w:sz="4" w:space="0"/>
              <w:left w:val="single" w:color="000000" w:sz="4" w:space="0"/>
              <w:bottom w:val="single" w:color="000000" w:sz="4" w:space="0"/>
              <w:right w:val="single" w:color="000000" w:sz="4" w:space="0"/>
            </w:tcBorders>
            <w:noWrap/>
            <w:vAlign w:val="center"/>
          </w:tcPr>
          <w:p w14:paraId="177ED403">
            <w:pPr>
              <w:spacing w:line="320" w:lineRule="exact"/>
              <w:jc w:val="center"/>
              <w:rPr>
                <w:rFonts w:hint="eastAsia" w:ascii="宋体" w:hAnsi="宋体" w:eastAsia="宋体" w:cs="宋体"/>
                <w:szCs w:val="21"/>
              </w:rPr>
            </w:pPr>
            <w:r>
              <w:rPr>
                <w:rFonts w:hint="eastAsia" w:ascii="宋体" w:hAnsi="宋体" w:eastAsia="宋体" w:cs="宋体"/>
                <w:szCs w:val="21"/>
              </w:rPr>
              <w:t>备注</w:t>
            </w:r>
          </w:p>
        </w:tc>
      </w:tr>
      <w:tr w14:paraId="2EA199F4">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3393">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343F0">
            <w:pPr>
              <w:spacing w:line="320" w:lineRule="exact"/>
              <w:jc w:val="center"/>
              <w:rPr>
                <w:rFonts w:hint="eastAsia" w:ascii="宋体" w:hAnsi="宋体" w:eastAsia="宋体" w:cs="宋体"/>
                <w:szCs w:val="21"/>
              </w:rPr>
            </w:pPr>
            <w:r>
              <w:rPr>
                <w:rFonts w:hint="eastAsia" w:ascii="宋体" w:hAnsi="宋体" w:eastAsia="宋体" w:cs="宋体"/>
                <w:szCs w:val="21"/>
              </w:rPr>
              <w:t>保洁人员</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BA58">
            <w:pPr>
              <w:spacing w:line="320" w:lineRule="exact"/>
              <w:jc w:val="center"/>
              <w:rPr>
                <w:rFonts w:hint="eastAsia" w:ascii="宋体" w:hAnsi="宋体" w:eastAsia="宋体" w:cs="宋体"/>
                <w:szCs w:val="21"/>
              </w:rPr>
            </w:pPr>
            <w:r>
              <w:rPr>
                <w:rFonts w:hint="eastAsia" w:ascii="宋体" w:hAnsi="宋体" w:eastAsia="宋体" w:cs="宋体"/>
                <w:szCs w:val="21"/>
              </w:rPr>
              <w:t>人</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B9BA">
            <w:pPr>
              <w:spacing w:line="32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95</w:t>
            </w:r>
          </w:p>
        </w:tc>
        <w:tc>
          <w:tcPr>
            <w:tcW w:w="2991" w:type="dxa"/>
            <w:tcBorders>
              <w:top w:val="single" w:color="000000" w:sz="4" w:space="0"/>
              <w:left w:val="single" w:color="000000" w:sz="4" w:space="0"/>
              <w:bottom w:val="single" w:color="000000" w:sz="4" w:space="0"/>
              <w:right w:val="single" w:color="000000" w:sz="4" w:space="0"/>
            </w:tcBorders>
            <w:noWrap w:val="0"/>
            <w:vAlign w:val="center"/>
          </w:tcPr>
          <w:p w14:paraId="26466F71">
            <w:pPr>
              <w:spacing w:line="320" w:lineRule="exact"/>
              <w:jc w:val="center"/>
              <w:rPr>
                <w:rFonts w:hint="eastAsia" w:ascii="宋体" w:hAnsi="宋体" w:eastAsia="宋体" w:cs="宋体"/>
                <w:szCs w:val="21"/>
              </w:rPr>
            </w:pPr>
            <w:r>
              <w:rPr>
                <w:rFonts w:hint="eastAsia" w:ascii="宋体" w:hAnsi="宋体" w:eastAsia="宋体" w:cs="宋体"/>
                <w:szCs w:val="21"/>
              </w:rPr>
              <w:t>含道路、公厕、河道等</w:t>
            </w:r>
          </w:p>
        </w:tc>
      </w:tr>
      <w:tr w14:paraId="5D588E67">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6074">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BDCB3">
            <w:pPr>
              <w:spacing w:line="320" w:lineRule="exact"/>
              <w:jc w:val="center"/>
              <w:rPr>
                <w:rFonts w:hint="eastAsia" w:ascii="宋体" w:hAnsi="宋体" w:eastAsia="宋体" w:cs="宋体"/>
                <w:szCs w:val="21"/>
              </w:rPr>
            </w:pPr>
            <w:r>
              <w:rPr>
                <w:rFonts w:hint="eastAsia" w:ascii="宋体" w:hAnsi="宋体" w:eastAsia="宋体" w:cs="宋体"/>
                <w:szCs w:val="21"/>
              </w:rPr>
              <w:t>雾炮车</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65E19">
            <w:pPr>
              <w:spacing w:line="320" w:lineRule="exact"/>
              <w:jc w:val="center"/>
              <w:rPr>
                <w:rFonts w:hint="eastAsia" w:ascii="宋体" w:hAnsi="宋体" w:eastAsia="宋体" w:cs="宋体"/>
                <w:szCs w:val="21"/>
              </w:rPr>
            </w:pPr>
            <w:r>
              <w:rPr>
                <w:rFonts w:hint="eastAsia" w:ascii="宋体" w:hAnsi="宋体" w:eastAsia="宋体" w:cs="宋体"/>
                <w:szCs w:val="21"/>
              </w:rPr>
              <w:t>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BE24">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1AA40">
            <w:pPr>
              <w:spacing w:line="320" w:lineRule="exact"/>
              <w:jc w:val="center"/>
              <w:rPr>
                <w:rFonts w:hint="eastAsia" w:ascii="宋体" w:hAnsi="宋体" w:eastAsia="宋体" w:cs="宋体"/>
                <w:szCs w:val="21"/>
              </w:rPr>
            </w:pPr>
            <w:r>
              <w:rPr>
                <w:rFonts w:hint="eastAsia" w:ascii="宋体" w:hAnsi="宋体" w:eastAsia="宋体" w:cs="宋体"/>
                <w:szCs w:val="21"/>
              </w:rPr>
              <w:t>柴油</w:t>
            </w:r>
          </w:p>
        </w:tc>
      </w:tr>
      <w:tr w14:paraId="232B2044">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2EA5">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5330D">
            <w:pPr>
              <w:spacing w:line="320" w:lineRule="exact"/>
              <w:jc w:val="center"/>
              <w:rPr>
                <w:rFonts w:hint="eastAsia" w:ascii="宋体" w:hAnsi="宋体" w:eastAsia="宋体" w:cs="宋体"/>
                <w:szCs w:val="21"/>
              </w:rPr>
            </w:pPr>
            <w:r>
              <w:rPr>
                <w:rFonts w:hint="eastAsia" w:ascii="宋体" w:hAnsi="宋体" w:eastAsia="宋体" w:cs="宋体"/>
                <w:szCs w:val="21"/>
              </w:rPr>
              <w:t>洒水车</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56B29">
            <w:pPr>
              <w:spacing w:line="320" w:lineRule="exact"/>
              <w:jc w:val="center"/>
              <w:rPr>
                <w:rFonts w:hint="eastAsia" w:ascii="宋体" w:hAnsi="宋体" w:eastAsia="宋体" w:cs="宋体"/>
                <w:szCs w:val="21"/>
              </w:rPr>
            </w:pPr>
            <w:r>
              <w:rPr>
                <w:rFonts w:hint="eastAsia" w:ascii="宋体" w:hAnsi="宋体" w:eastAsia="宋体" w:cs="宋体"/>
                <w:szCs w:val="21"/>
              </w:rPr>
              <w:t>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AA7E5">
            <w:pPr>
              <w:spacing w:line="32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B652C">
            <w:pPr>
              <w:spacing w:line="320" w:lineRule="exact"/>
              <w:jc w:val="center"/>
              <w:rPr>
                <w:rFonts w:hint="eastAsia" w:ascii="宋体" w:hAnsi="宋体" w:eastAsia="宋体" w:cs="宋体"/>
                <w:szCs w:val="21"/>
              </w:rPr>
            </w:pPr>
            <w:r>
              <w:rPr>
                <w:rFonts w:hint="eastAsia" w:ascii="宋体" w:hAnsi="宋体" w:eastAsia="宋体" w:cs="宋体"/>
                <w:szCs w:val="21"/>
              </w:rPr>
              <w:t>柴油</w:t>
            </w:r>
          </w:p>
        </w:tc>
      </w:tr>
      <w:tr w14:paraId="0F525255">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196F">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E378">
            <w:pPr>
              <w:spacing w:line="320" w:lineRule="exact"/>
              <w:jc w:val="center"/>
              <w:rPr>
                <w:rFonts w:hint="eastAsia" w:ascii="宋体" w:hAnsi="宋体" w:eastAsia="宋体" w:cs="宋体"/>
                <w:szCs w:val="21"/>
              </w:rPr>
            </w:pPr>
            <w:r>
              <w:rPr>
                <w:rFonts w:hint="eastAsia" w:ascii="宋体" w:hAnsi="宋体" w:eastAsia="宋体" w:cs="宋体"/>
                <w:szCs w:val="21"/>
              </w:rPr>
              <w:t>机扫车</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0091D">
            <w:pPr>
              <w:spacing w:line="320" w:lineRule="exact"/>
              <w:jc w:val="center"/>
              <w:rPr>
                <w:rFonts w:hint="eastAsia" w:ascii="宋体" w:hAnsi="宋体" w:eastAsia="宋体" w:cs="宋体"/>
                <w:szCs w:val="21"/>
              </w:rPr>
            </w:pPr>
            <w:r>
              <w:rPr>
                <w:rFonts w:hint="eastAsia" w:ascii="宋体" w:hAnsi="宋体" w:eastAsia="宋体" w:cs="宋体"/>
                <w:szCs w:val="21"/>
              </w:rPr>
              <w:t>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97DD1">
            <w:pPr>
              <w:spacing w:line="32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991" w:type="dxa"/>
            <w:tcBorders>
              <w:top w:val="single" w:color="000000" w:sz="4" w:space="0"/>
              <w:left w:val="single" w:color="000000" w:sz="4" w:space="0"/>
              <w:bottom w:val="single" w:color="000000" w:sz="4" w:space="0"/>
              <w:right w:val="single" w:color="000000" w:sz="4" w:space="0"/>
            </w:tcBorders>
            <w:noWrap w:val="0"/>
            <w:vAlign w:val="center"/>
          </w:tcPr>
          <w:p w14:paraId="2F9C993F">
            <w:pPr>
              <w:spacing w:line="320" w:lineRule="exact"/>
              <w:jc w:val="center"/>
              <w:rPr>
                <w:rFonts w:hint="eastAsia" w:ascii="宋体" w:hAnsi="宋体" w:eastAsia="宋体" w:cs="宋体"/>
                <w:szCs w:val="21"/>
              </w:rPr>
            </w:pPr>
            <w:r>
              <w:rPr>
                <w:rFonts w:hint="eastAsia" w:ascii="宋体" w:hAnsi="宋体" w:eastAsia="宋体" w:cs="宋体"/>
                <w:szCs w:val="21"/>
              </w:rPr>
              <w:t>柴油</w:t>
            </w:r>
          </w:p>
        </w:tc>
      </w:tr>
      <w:tr w14:paraId="46DF916B">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482B">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6F298">
            <w:pPr>
              <w:spacing w:line="320" w:lineRule="exact"/>
              <w:jc w:val="center"/>
              <w:rPr>
                <w:rFonts w:hint="eastAsia" w:ascii="宋体" w:hAnsi="宋体" w:eastAsia="宋体" w:cs="宋体"/>
                <w:szCs w:val="21"/>
              </w:rPr>
            </w:pPr>
            <w:r>
              <w:rPr>
                <w:rFonts w:hint="eastAsia" w:ascii="宋体" w:hAnsi="宋体" w:eastAsia="宋体" w:cs="宋体"/>
                <w:szCs w:val="21"/>
              </w:rPr>
              <w:t>洗扫一体车（18吨）</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87248">
            <w:pPr>
              <w:spacing w:line="320" w:lineRule="exact"/>
              <w:jc w:val="center"/>
              <w:rPr>
                <w:rFonts w:hint="eastAsia" w:ascii="宋体" w:hAnsi="宋体" w:eastAsia="宋体" w:cs="宋体"/>
                <w:szCs w:val="21"/>
              </w:rPr>
            </w:pPr>
            <w:r>
              <w:rPr>
                <w:rFonts w:hint="eastAsia" w:ascii="宋体" w:hAnsi="宋体" w:eastAsia="宋体" w:cs="宋体"/>
                <w:szCs w:val="21"/>
              </w:rPr>
              <w:t>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0C7ED">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F86F4">
            <w:pPr>
              <w:spacing w:line="320" w:lineRule="exact"/>
              <w:jc w:val="center"/>
              <w:rPr>
                <w:rFonts w:hint="eastAsia" w:ascii="宋体" w:hAnsi="宋体" w:eastAsia="宋体" w:cs="宋体"/>
                <w:szCs w:val="21"/>
              </w:rPr>
            </w:pPr>
            <w:r>
              <w:rPr>
                <w:rFonts w:hint="eastAsia" w:ascii="宋体" w:hAnsi="宋体" w:eastAsia="宋体" w:cs="宋体"/>
                <w:szCs w:val="21"/>
              </w:rPr>
              <w:t>柴油</w:t>
            </w:r>
          </w:p>
        </w:tc>
      </w:tr>
      <w:tr w14:paraId="3A262546">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407F">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9ED34">
            <w:pPr>
              <w:spacing w:line="320" w:lineRule="exact"/>
              <w:jc w:val="center"/>
              <w:rPr>
                <w:rFonts w:hint="eastAsia" w:ascii="宋体" w:hAnsi="宋体" w:eastAsia="宋体" w:cs="宋体"/>
                <w:szCs w:val="21"/>
              </w:rPr>
            </w:pPr>
            <w:r>
              <w:rPr>
                <w:rFonts w:hint="eastAsia" w:ascii="宋体" w:hAnsi="宋体" w:eastAsia="宋体" w:cs="宋体"/>
                <w:szCs w:val="21"/>
              </w:rPr>
              <w:t>高压冲洗车</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4F6DD">
            <w:pPr>
              <w:spacing w:line="320" w:lineRule="exact"/>
              <w:jc w:val="center"/>
              <w:rPr>
                <w:rFonts w:hint="eastAsia" w:ascii="宋体" w:hAnsi="宋体" w:eastAsia="宋体" w:cs="宋体"/>
                <w:szCs w:val="21"/>
              </w:rPr>
            </w:pPr>
            <w:r>
              <w:rPr>
                <w:rFonts w:hint="eastAsia" w:ascii="宋体" w:hAnsi="宋体" w:eastAsia="宋体" w:cs="宋体"/>
                <w:szCs w:val="21"/>
              </w:rPr>
              <w:t>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86E17">
            <w:pPr>
              <w:spacing w:line="32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ABDE1">
            <w:pPr>
              <w:spacing w:line="320" w:lineRule="exact"/>
              <w:jc w:val="center"/>
              <w:rPr>
                <w:rFonts w:hint="eastAsia" w:ascii="宋体" w:hAnsi="宋体" w:eastAsia="宋体" w:cs="宋体"/>
                <w:szCs w:val="21"/>
              </w:rPr>
            </w:pPr>
            <w:r>
              <w:rPr>
                <w:rFonts w:hint="eastAsia" w:ascii="宋体" w:hAnsi="宋体" w:eastAsia="宋体" w:cs="宋体"/>
                <w:szCs w:val="21"/>
              </w:rPr>
              <w:t>纯电</w:t>
            </w:r>
          </w:p>
        </w:tc>
      </w:tr>
      <w:tr w14:paraId="2D2D635C">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1816">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2E7B">
            <w:pPr>
              <w:spacing w:line="320" w:lineRule="exact"/>
              <w:jc w:val="center"/>
              <w:rPr>
                <w:rFonts w:hint="eastAsia" w:ascii="宋体" w:hAnsi="宋体" w:eastAsia="宋体" w:cs="宋体"/>
                <w:szCs w:val="21"/>
              </w:rPr>
            </w:pPr>
            <w:r>
              <w:rPr>
                <w:rFonts w:hint="eastAsia" w:ascii="宋体" w:hAnsi="宋体" w:eastAsia="宋体" w:cs="宋体"/>
                <w:szCs w:val="21"/>
              </w:rPr>
              <w:t>大型纯电扫路机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4C956">
            <w:pPr>
              <w:spacing w:line="320" w:lineRule="exact"/>
              <w:jc w:val="center"/>
              <w:rPr>
                <w:rFonts w:hint="eastAsia" w:ascii="宋体" w:hAnsi="宋体" w:eastAsia="宋体" w:cs="宋体"/>
                <w:szCs w:val="21"/>
              </w:rPr>
            </w:pPr>
            <w:r>
              <w:rPr>
                <w:rFonts w:hint="eastAsia" w:ascii="宋体" w:hAnsi="宋体" w:eastAsia="宋体" w:cs="宋体"/>
                <w:szCs w:val="21"/>
              </w:rPr>
              <w:t>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C561F">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F8A41">
            <w:pPr>
              <w:spacing w:line="320" w:lineRule="exact"/>
              <w:jc w:val="center"/>
              <w:rPr>
                <w:rFonts w:hint="eastAsia" w:ascii="宋体" w:hAnsi="宋体" w:eastAsia="宋体" w:cs="宋体"/>
                <w:szCs w:val="21"/>
              </w:rPr>
            </w:pPr>
            <w:r>
              <w:rPr>
                <w:rFonts w:hint="eastAsia" w:ascii="宋体" w:hAnsi="宋体" w:eastAsia="宋体" w:cs="宋体"/>
                <w:szCs w:val="21"/>
              </w:rPr>
              <w:t>纯电</w:t>
            </w:r>
          </w:p>
        </w:tc>
      </w:tr>
      <w:tr w14:paraId="60AC0F09">
        <w:tblPrEx>
          <w:tblCellMar>
            <w:top w:w="0" w:type="dxa"/>
            <w:left w:w="108" w:type="dxa"/>
            <w:bottom w:w="0" w:type="dxa"/>
            <w:right w:w="108" w:type="dxa"/>
          </w:tblCellMar>
        </w:tblPrEx>
        <w:trPr>
          <w:trHeight w:val="3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2D4D">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514D4">
            <w:pPr>
              <w:spacing w:line="320" w:lineRule="exact"/>
              <w:jc w:val="center"/>
              <w:rPr>
                <w:rFonts w:hint="eastAsia" w:ascii="宋体" w:hAnsi="宋体" w:eastAsia="宋体" w:cs="宋体"/>
                <w:szCs w:val="21"/>
              </w:rPr>
            </w:pPr>
            <w:r>
              <w:rPr>
                <w:rFonts w:hint="eastAsia" w:ascii="宋体" w:hAnsi="宋体" w:eastAsia="宋体" w:cs="宋体"/>
                <w:szCs w:val="21"/>
              </w:rPr>
              <w:t>电瓶收集车</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5B4D">
            <w:pPr>
              <w:spacing w:line="320" w:lineRule="exact"/>
              <w:jc w:val="center"/>
              <w:rPr>
                <w:rFonts w:hint="eastAsia" w:ascii="宋体" w:hAnsi="宋体" w:eastAsia="宋体" w:cs="宋体"/>
                <w:szCs w:val="21"/>
              </w:rPr>
            </w:pPr>
            <w:r>
              <w:rPr>
                <w:rFonts w:hint="eastAsia" w:ascii="宋体" w:hAnsi="宋体" w:eastAsia="宋体" w:cs="宋体"/>
                <w:szCs w:val="21"/>
              </w:rPr>
              <w:t>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246B7">
            <w:pPr>
              <w:spacing w:line="32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C1AA0">
            <w:pPr>
              <w:spacing w:line="320" w:lineRule="exact"/>
              <w:jc w:val="center"/>
              <w:rPr>
                <w:rFonts w:hint="eastAsia" w:ascii="宋体" w:hAnsi="宋体" w:eastAsia="宋体" w:cs="宋体"/>
                <w:szCs w:val="21"/>
              </w:rPr>
            </w:pPr>
            <w:r>
              <w:rPr>
                <w:rFonts w:hint="eastAsia" w:ascii="宋体" w:hAnsi="宋体" w:eastAsia="宋体" w:cs="宋体"/>
                <w:szCs w:val="21"/>
              </w:rPr>
              <w:t>纯电</w:t>
            </w:r>
          </w:p>
        </w:tc>
      </w:tr>
      <w:tr w14:paraId="06F7AD58">
        <w:tblPrEx>
          <w:tblCellMar>
            <w:top w:w="0" w:type="dxa"/>
            <w:left w:w="108" w:type="dxa"/>
            <w:bottom w:w="0" w:type="dxa"/>
            <w:right w:w="108" w:type="dxa"/>
          </w:tblCellMar>
        </w:tblPrEx>
        <w:trPr>
          <w:trHeight w:val="386"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075A986">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1BA7D801">
            <w:pPr>
              <w:spacing w:line="320" w:lineRule="exact"/>
              <w:jc w:val="center"/>
              <w:rPr>
                <w:rFonts w:hint="eastAsia" w:ascii="宋体" w:hAnsi="宋体" w:eastAsia="宋体" w:cs="宋体"/>
                <w:szCs w:val="21"/>
              </w:rPr>
            </w:pPr>
            <w:r>
              <w:rPr>
                <w:rFonts w:hint="eastAsia" w:ascii="宋体" w:hAnsi="宋体" w:eastAsia="宋体" w:cs="宋体"/>
                <w:szCs w:val="21"/>
              </w:rPr>
              <w:t>护栏清洗车</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74F4EFF2">
            <w:pPr>
              <w:spacing w:line="320" w:lineRule="exact"/>
              <w:jc w:val="center"/>
              <w:rPr>
                <w:rFonts w:hint="eastAsia" w:ascii="宋体" w:hAnsi="宋体" w:eastAsia="宋体" w:cs="宋体"/>
                <w:szCs w:val="21"/>
              </w:rPr>
            </w:pPr>
            <w:r>
              <w:rPr>
                <w:rFonts w:hint="eastAsia" w:ascii="宋体" w:hAnsi="宋体" w:eastAsia="宋体" w:cs="宋体"/>
                <w:szCs w:val="21"/>
              </w:rPr>
              <w:t>辆</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130E211F">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2991" w:type="dxa"/>
            <w:tcBorders>
              <w:top w:val="single" w:color="000000" w:sz="4" w:space="0"/>
              <w:left w:val="single" w:color="000000" w:sz="4" w:space="0"/>
              <w:bottom w:val="single" w:color="000000" w:sz="4" w:space="0"/>
              <w:right w:val="single" w:color="000000" w:sz="4" w:space="0"/>
            </w:tcBorders>
            <w:noWrap w:val="0"/>
            <w:vAlign w:val="center"/>
          </w:tcPr>
          <w:p w14:paraId="22BB1D19">
            <w:pPr>
              <w:spacing w:line="320" w:lineRule="exact"/>
              <w:jc w:val="center"/>
              <w:rPr>
                <w:rFonts w:hint="eastAsia" w:ascii="宋体" w:hAnsi="宋体" w:eastAsia="宋体" w:cs="宋体"/>
                <w:szCs w:val="21"/>
              </w:rPr>
            </w:pPr>
            <w:r>
              <w:rPr>
                <w:rFonts w:hint="eastAsia" w:ascii="宋体" w:hAnsi="宋体" w:eastAsia="宋体" w:cs="宋体"/>
                <w:szCs w:val="21"/>
              </w:rPr>
              <w:t>柴油</w:t>
            </w:r>
          </w:p>
        </w:tc>
      </w:tr>
    </w:tbl>
    <w:p w14:paraId="413BAEB8">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▲5.1人员：路面（含道路）保洁人员</w:t>
      </w:r>
      <w:r>
        <w:rPr>
          <w:rFonts w:hint="eastAsia" w:ascii="宋体" w:hAnsi="宋体" w:eastAsia="宋体" w:cs="宋体"/>
          <w:szCs w:val="21"/>
          <w:lang w:val="en-US" w:eastAsia="zh-CN"/>
        </w:rPr>
        <w:t>8</w:t>
      </w:r>
      <w:r>
        <w:rPr>
          <w:rFonts w:hint="eastAsia" w:ascii="宋体" w:hAnsi="宋体" w:eastAsia="宋体" w:cs="宋体"/>
          <w:szCs w:val="21"/>
        </w:rPr>
        <w:t>7人，公厕保洁人员6人，河道保洁人员2人，以及所有设备正常运行工作所需配备的各类人员。</w:t>
      </w:r>
    </w:p>
    <w:p w14:paraId="2DA689D8">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▲5.2设备：共配置雾炮车1辆、洒水车</w:t>
      </w:r>
      <w:r>
        <w:rPr>
          <w:rFonts w:hint="eastAsia" w:ascii="宋体" w:hAnsi="宋体" w:eastAsia="宋体" w:cs="宋体"/>
          <w:szCs w:val="21"/>
          <w:lang w:val="en-US" w:eastAsia="zh-CN"/>
        </w:rPr>
        <w:t>1</w:t>
      </w:r>
      <w:r>
        <w:rPr>
          <w:rFonts w:hint="eastAsia" w:ascii="宋体" w:hAnsi="宋体" w:eastAsia="宋体" w:cs="宋体"/>
          <w:szCs w:val="21"/>
        </w:rPr>
        <w:t>辆，机扫车</w:t>
      </w:r>
      <w:r>
        <w:rPr>
          <w:rFonts w:hint="eastAsia" w:ascii="宋体" w:hAnsi="宋体" w:eastAsia="宋体" w:cs="宋体"/>
          <w:szCs w:val="21"/>
          <w:lang w:val="en-US" w:eastAsia="zh-CN"/>
        </w:rPr>
        <w:t>1</w:t>
      </w:r>
      <w:r>
        <w:rPr>
          <w:rFonts w:hint="eastAsia" w:ascii="宋体" w:hAnsi="宋体" w:eastAsia="宋体" w:cs="宋体"/>
          <w:szCs w:val="21"/>
        </w:rPr>
        <w:t>辆、洗扫一体车（18吨）1辆、高压冲洗车</w:t>
      </w:r>
      <w:r>
        <w:rPr>
          <w:rFonts w:hint="eastAsia" w:ascii="宋体" w:hAnsi="宋体" w:eastAsia="宋体" w:cs="宋体"/>
          <w:szCs w:val="21"/>
          <w:lang w:val="en-US" w:eastAsia="zh-CN"/>
        </w:rPr>
        <w:t>3</w:t>
      </w:r>
      <w:r>
        <w:rPr>
          <w:rFonts w:hint="eastAsia" w:ascii="宋体" w:hAnsi="宋体" w:eastAsia="宋体" w:cs="宋体"/>
          <w:szCs w:val="21"/>
        </w:rPr>
        <w:t>辆、大型纯电扫路机1辆、电瓶收集车</w:t>
      </w:r>
      <w:r>
        <w:rPr>
          <w:rFonts w:hint="eastAsia" w:ascii="宋体" w:hAnsi="宋体" w:eastAsia="宋体" w:cs="宋体"/>
          <w:szCs w:val="21"/>
          <w:lang w:val="en-US" w:eastAsia="zh-CN"/>
        </w:rPr>
        <w:t>6</w:t>
      </w:r>
      <w:r>
        <w:rPr>
          <w:rFonts w:hint="eastAsia" w:ascii="宋体" w:hAnsi="宋体" w:eastAsia="宋体" w:cs="宋体"/>
          <w:szCs w:val="21"/>
        </w:rPr>
        <w:t>辆、护栏清洗车1辆（一周清洗一次）。所有机械、车辆均需配备驾驶员（按规定持证上岗）、辅助工及其它操作人员。</w:t>
      </w:r>
    </w:p>
    <w:p w14:paraId="06A3C338">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▲5.3上述人员、设备是采购人为保证完成本项目所设置的最低要求，所有机械、车辆配备</w:t>
      </w:r>
      <w:r>
        <w:rPr>
          <w:rFonts w:hint="eastAsia" w:ascii="宋体" w:hAnsi="宋体" w:eastAsia="宋体" w:cs="宋体"/>
          <w:szCs w:val="21"/>
          <w:lang w:val="en-US" w:eastAsia="zh-CN"/>
        </w:rPr>
        <w:t>的</w:t>
      </w:r>
      <w:r>
        <w:rPr>
          <w:rFonts w:hint="eastAsia" w:ascii="宋体" w:hAnsi="宋体" w:eastAsia="宋体" w:cs="宋体"/>
          <w:szCs w:val="21"/>
        </w:rPr>
        <w:t>驾驶员（按规定持证上岗）、辅助工及其它操作人员</w:t>
      </w:r>
      <w:r>
        <w:rPr>
          <w:rFonts w:hint="eastAsia" w:ascii="宋体" w:hAnsi="宋体" w:eastAsia="宋体" w:cs="宋体"/>
          <w:szCs w:val="21"/>
          <w:lang w:val="en-US" w:eastAsia="zh-CN"/>
        </w:rPr>
        <w:t>均需满足要求</w:t>
      </w:r>
      <w:r>
        <w:rPr>
          <w:rFonts w:hint="eastAsia" w:ascii="宋体" w:hAnsi="宋体" w:eastAsia="宋体" w:cs="宋体"/>
          <w:szCs w:val="21"/>
        </w:rPr>
        <w:t>。投标单位应根据服务需求拟定</w:t>
      </w:r>
      <w:r>
        <w:rPr>
          <w:rFonts w:hint="eastAsia" w:ascii="宋体" w:hAnsi="宋体" w:eastAsia="宋体" w:cs="宋体"/>
          <w:szCs w:val="21"/>
          <w:lang w:val="en-US" w:eastAsia="zh-CN"/>
        </w:rPr>
        <w:t>人员及设备配置</w:t>
      </w:r>
      <w:r>
        <w:rPr>
          <w:rFonts w:hint="eastAsia" w:ascii="宋体" w:hAnsi="宋体" w:eastAsia="宋体" w:cs="宋体"/>
          <w:szCs w:val="21"/>
        </w:rPr>
        <w:t>方案并在投标文件中明确，总数不能低于采购文件的要求。投标单位须承诺一旦中标，</w:t>
      </w:r>
      <w:r>
        <w:rPr>
          <w:rFonts w:hint="eastAsia" w:ascii="宋体" w:hAnsi="宋体" w:eastAsia="宋体" w:cs="宋体"/>
          <w:b/>
          <w:bCs/>
          <w:szCs w:val="21"/>
        </w:rPr>
        <w:t>所有人员、机械设备车辆均在领取中标通知书后签订合同前到位</w:t>
      </w:r>
      <w:r>
        <w:rPr>
          <w:rFonts w:hint="eastAsia" w:ascii="宋体" w:hAnsi="宋体" w:eastAsia="宋体" w:cs="宋体"/>
          <w:szCs w:val="21"/>
        </w:rPr>
        <w:t>，且已经按相关规定购买各类保险，并且承诺在项目服务期内按照实际需要配足满足工作要求的人员及机械设备车辆，不限于招标文件要求的数量。承诺书（格式自拟）做在投标文件中。</w:t>
      </w:r>
    </w:p>
    <w:p w14:paraId="316AD436">
      <w:pPr>
        <w:numPr>
          <w:ilvl w:val="0"/>
          <w:numId w:val="0"/>
        </w:numPr>
        <w:spacing w:line="460" w:lineRule="exact"/>
        <w:rPr>
          <w:rFonts w:hint="eastAsia" w:ascii="宋体" w:hAnsi="宋体" w:eastAsia="宋体" w:cs="宋体"/>
          <w:b/>
          <w:bCs/>
          <w:szCs w:val="21"/>
        </w:rPr>
      </w:pPr>
      <w:r>
        <w:rPr>
          <w:rFonts w:hint="eastAsia" w:ascii="宋体" w:hAnsi="宋体" w:cs="宋体"/>
          <w:b/>
          <w:bCs/>
          <w:szCs w:val="21"/>
          <w:lang w:val="en-US" w:eastAsia="zh-CN"/>
        </w:rPr>
        <w:t>三、</w:t>
      </w:r>
      <w:r>
        <w:rPr>
          <w:rFonts w:hint="eastAsia" w:ascii="宋体" w:hAnsi="宋体" w:eastAsia="宋体" w:cs="宋体"/>
          <w:b/>
          <w:bCs/>
          <w:szCs w:val="21"/>
        </w:rPr>
        <w:t>项目质量要求及考核标准</w:t>
      </w:r>
    </w:p>
    <w:p w14:paraId="27A9B3DC">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3.1环境卫生保洁基本要求：</w:t>
      </w:r>
    </w:p>
    <w:p w14:paraId="09EF4F25">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3.1.1应做到文明、清洁、安全和有序，最大限度地减少对环境的污染和对公众生活的影响。工作期间应穿工作服（含鞋、帽），佩戴工号牌或工作证,着装整洁。</w:t>
      </w:r>
    </w:p>
    <w:p w14:paraId="32EC2642">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3.1.2环卫作业车辆出车前应进行检查，确保车况良好，车容整洁。当日作业结束后，应对车辆进行清洗，保持车辆外观整洁，并做好车辆维护和保养工作。</w:t>
      </w:r>
    </w:p>
    <w:p w14:paraId="4915543B">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3.1.3合理安排作业计划，组织机械化清扫、洒水、清洗作业应避开交通高峰时段（7:00-8:30，17:00-18:30）。</w:t>
      </w:r>
    </w:p>
    <w:p w14:paraId="38811665">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 xml:space="preserve">3.2道路应按等级分级保洁，等级划分条件见《嘉兴市地方标准城市管理规范DB </w:t>
      </w:r>
      <w:bookmarkStart w:id="27" w:name="StdNo0"/>
      <w:r>
        <w:rPr>
          <w:rFonts w:hint="eastAsia" w:ascii="宋体" w:hAnsi="宋体" w:eastAsia="宋体" w:cs="宋体"/>
          <w:b/>
          <w:bCs/>
          <w:szCs w:val="21"/>
        </w:rPr>
        <w:fldChar w:fldCharType="begin">
          <w:ffData>
            <w:name w:val="StdNo0"/>
            <w:enabled/>
            <w:calcOnExit w:val="0"/>
            <w:textInput>
              <w:default w:val="3304"/>
              <w:maxLength w:val="4"/>
            </w:textInput>
          </w:ffData>
        </w:fldChar>
      </w:r>
      <w:r>
        <w:rPr>
          <w:rFonts w:hint="eastAsia" w:ascii="宋体" w:hAnsi="宋体" w:eastAsia="宋体" w:cs="宋体"/>
          <w:b/>
          <w:bCs/>
          <w:szCs w:val="21"/>
        </w:rPr>
        <w:instrText xml:space="preserve"> FORMTEXT </w:instrText>
      </w:r>
      <w:r>
        <w:rPr>
          <w:rFonts w:hint="eastAsia" w:ascii="宋体" w:hAnsi="宋体" w:eastAsia="宋体" w:cs="宋体"/>
          <w:b/>
          <w:bCs/>
          <w:szCs w:val="21"/>
        </w:rPr>
        <w:fldChar w:fldCharType="separate"/>
      </w:r>
      <w:r>
        <w:rPr>
          <w:rFonts w:hint="eastAsia" w:ascii="宋体" w:hAnsi="宋体" w:eastAsia="宋体" w:cs="宋体"/>
          <w:b/>
          <w:bCs/>
          <w:szCs w:val="21"/>
        </w:rPr>
        <w:t>3304</w:t>
      </w:r>
      <w:r>
        <w:rPr>
          <w:rFonts w:hint="eastAsia" w:ascii="宋体" w:hAnsi="宋体" w:eastAsia="宋体" w:cs="宋体"/>
          <w:b/>
          <w:bCs/>
          <w:szCs w:val="21"/>
        </w:rPr>
        <w:fldChar w:fldCharType="end"/>
      </w:r>
      <w:bookmarkEnd w:id="27"/>
      <w:r>
        <w:rPr>
          <w:rFonts w:hint="eastAsia" w:ascii="宋体" w:hAnsi="宋体" w:eastAsia="宋体" w:cs="宋体"/>
          <w:b/>
          <w:bCs/>
          <w:szCs w:val="21"/>
        </w:rPr>
        <w:t xml:space="preserve">/ </w:t>
      </w:r>
      <w:bookmarkStart w:id="28" w:name="StdNo1"/>
      <w:r>
        <w:rPr>
          <w:rFonts w:hint="eastAsia" w:ascii="宋体" w:hAnsi="宋体" w:eastAsia="宋体" w:cs="宋体"/>
          <w:b/>
          <w:bCs/>
          <w:szCs w:val="21"/>
        </w:rPr>
        <w:fldChar w:fldCharType="begin">
          <w:ffData>
            <w:name w:val="StdNo1"/>
            <w:enabled/>
            <w:calcOnExit w:val="0"/>
            <w:textInput>
              <w:default w:val="T 048"/>
            </w:textInput>
          </w:ffData>
        </w:fldChar>
      </w:r>
      <w:r>
        <w:rPr>
          <w:rFonts w:hint="eastAsia" w:ascii="宋体" w:hAnsi="宋体" w:eastAsia="宋体" w:cs="宋体"/>
          <w:b/>
          <w:bCs/>
          <w:szCs w:val="21"/>
        </w:rPr>
        <w:instrText xml:space="preserve"> FORMTEXT </w:instrText>
      </w:r>
      <w:r>
        <w:rPr>
          <w:rFonts w:hint="eastAsia" w:ascii="宋体" w:hAnsi="宋体" w:eastAsia="宋体" w:cs="宋体"/>
          <w:b/>
          <w:bCs/>
          <w:szCs w:val="21"/>
        </w:rPr>
        <w:fldChar w:fldCharType="separate"/>
      </w:r>
      <w:r>
        <w:rPr>
          <w:rFonts w:hint="eastAsia" w:ascii="宋体" w:hAnsi="宋体" w:eastAsia="宋体" w:cs="宋体"/>
          <w:b/>
          <w:bCs/>
          <w:szCs w:val="21"/>
        </w:rPr>
        <w:t>T 048</w:t>
      </w:r>
      <w:r>
        <w:rPr>
          <w:rFonts w:hint="eastAsia" w:ascii="宋体" w:hAnsi="宋体" w:eastAsia="宋体" w:cs="宋体"/>
          <w:b/>
          <w:bCs/>
          <w:szCs w:val="21"/>
        </w:rPr>
        <w:fldChar w:fldCharType="end"/>
      </w:r>
      <w:bookmarkEnd w:id="28"/>
      <w:r>
        <w:rPr>
          <w:rFonts w:hint="eastAsia" w:ascii="宋体" w:hAnsi="宋体" w:eastAsia="宋体" w:cs="宋体"/>
          <w:b/>
          <w:bCs/>
          <w:szCs w:val="21"/>
        </w:rPr>
        <w:t>—</w:t>
      </w:r>
      <w:bookmarkStart w:id="29" w:name="StdNo2"/>
      <w:r>
        <w:rPr>
          <w:rFonts w:hint="eastAsia" w:ascii="宋体" w:hAnsi="宋体" w:eastAsia="宋体" w:cs="宋体"/>
          <w:b/>
          <w:bCs/>
          <w:szCs w:val="21"/>
        </w:rPr>
        <w:fldChar w:fldCharType="begin">
          <w:ffData>
            <w:name w:val="StdNo2"/>
            <w:enabled/>
            <w:calcOnExit w:val="0"/>
            <w:textInput>
              <w:default w:val="2020"/>
              <w:maxLength w:val="4"/>
            </w:textInput>
          </w:ffData>
        </w:fldChar>
      </w:r>
      <w:r>
        <w:rPr>
          <w:rFonts w:hint="eastAsia" w:ascii="宋体" w:hAnsi="宋体" w:eastAsia="宋体" w:cs="宋体"/>
          <w:b/>
          <w:bCs/>
          <w:szCs w:val="21"/>
        </w:rPr>
        <w:instrText xml:space="preserve"> FORMTEXT </w:instrText>
      </w:r>
      <w:r>
        <w:rPr>
          <w:rFonts w:hint="eastAsia" w:ascii="宋体" w:hAnsi="宋体" w:eastAsia="宋体" w:cs="宋体"/>
          <w:b/>
          <w:bCs/>
          <w:szCs w:val="21"/>
        </w:rPr>
        <w:fldChar w:fldCharType="separate"/>
      </w:r>
      <w:r>
        <w:rPr>
          <w:rFonts w:hint="eastAsia" w:ascii="宋体" w:hAnsi="宋体" w:eastAsia="宋体" w:cs="宋体"/>
          <w:b/>
          <w:bCs/>
          <w:szCs w:val="21"/>
        </w:rPr>
        <w:t>2020</w:t>
      </w:r>
      <w:r>
        <w:rPr>
          <w:rFonts w:hint="eastAsia" w:ascii="宋体" w:hAnsi="宋体" w:eastAsia="宋体" w:cs="宋体"/>
          <w:b/>
          <w:bCs/>
          <w:szCs w:val="21"/>
        </w:rPr>
        <w:fldChar w:fldCharType="end"/>
      </w:r>
      <w:bookmarkEnd w:id="29"/>
      <w:r>
        <w:rPr>
          <w:rFonts w:hint="eastAsia" w:ascii="宋体" w:hAnsi="宋体" w:eastAsia="宋体" w:cs="宋体"/>
          <w:b/>
          <w:bCs/>
          <w:szCs w:val="21"/>
        </w:rPr>
        <w:t>》。各级道路保洁频次、相关作业规范及达到标准：</w:t>
      </w:r>
    </w:p>
    <w:p w14:paraId="7BFFC1C9">
      <w:pPr>
        <w:spacing w:line="460" w:lineRule="exact"/>
        <w:ind w:firstLine="422" w:firstLineChars="200"/>
        <w:rPr>
          <w:rFonts w:hint="eastAsia" w:ascii="宋体" w:hAnsi="宋体" w:eastAsia="宋体" w:cs="宋体"/>
          <w:szCs w:val="21"/>
        </w:rPr>
      </w:pPr>
      <w:r>
        <w:rPr>
          <w:rFonts w:hint="eastAsia" w:ascii="宋体" w:hAnsi="宋体" w:eastAsia="宋体" w:cs="宋体"/>
          <w:b/>
          <w:bCs/>
          <w:szCs w:val="21"/>
        </w:rPr>
        <w:t>3.2.1一级道路（区域）：</w:t>
      </w:r>
    </w:p>
    <w:p w14:paraId="585841E5">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①每日实行18小时保洁,每日普扫≥2次、机扫≥3次,洒水6-8次，机械化率达到96%以上。</w:t>
      </w:r>
    </w:p>
    <w:p w14:paraId="40BB163D">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②垃圾滞留时间不超过10分钟，果壳箱每日清理4次、清洗2次,垃圾上门清理≥3次,路面清洗每周≥2次、机械冲洗每日≥2次。</w:t>
      </w:r>
    </w:p>
    <w:p w14:paraId="08668463">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③城市家具(可坐)每日清洁3次,其他家具(不坐）每月清洁4次。</w:t>
      </w:r>
    </w:p>
    <w:p w14:paraId="1D8C9ACC">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3.2.2二级道路（区域）：</w:t>
      </w:r>
    </w:p>
    <w:p w14:paraId="1F1BE37E">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①每日实行16小时保洁，每日普扫≥2次、机扫≥2次，洒水6次，机械化率达到96%以上。</w:t>
      </w:r>
    </w:p>
    <w:p w14:paraId="352AC34A">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②垃圾滞留时间不超过15分钟，果壳箱每日清理3次、清洗1次,垃圾上门清理≥3次，路面清洗每周1次、机械冲洗每日≥2次。</w:t>
      </w:r>
    </w:p>
    <w:p w14:paraId="00094B41">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③城市家具(可坐)每日清洁2次，其他家具(不坐)每月清洁3次。</w:t>
      </w:r>
    </w:p>
    <w:p w14:paraId="4E0CD2D4">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3.2.3三级道路（区域）：</w:t>
      </w:r>
    </w:p>
    <w:p w14:paraId="525649B7">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①每日实行14小时保洁，每日普扫≥2次、机扫≥2次，洒水6次，机械化率达到96%以上。</w:t>
      </w:r>
    </w:p>
    <w:p w14:paraId="06AE6041">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②垃圾滞留时间不超过20分钟,果壳箱每日清理3次、清洗1次，垃圾上门清理≥2次，路面清洗每周1次、机械冲洗每日&gt;1次。</w:t>
      </w:r>
    </w:p>
    <w:p w14:paraId="1EB6250F">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③城市家具(可坐)每日清洁2次其他家具(不坐)每月清洁2次。</w:t>
      </w:r>
    </w:p>
    <w:p w14:paraId="090F32B1">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3.2.4道路洒水（清洗）作业：</w:t>
      </w:r>
      <w:r>
        <w:rPr>
          <w:rFonts w:hint="eastAsia" w:ascii="宋体" w:hAnsi="宋体" w:eastAsia="宋体" w:cs="宋体"/>
          <w:szCs w:val="21"/>
        </w:rPr>
        <w:t>每日普扫作业前，应先对车行道路面进行洒水。洒水车应在指定的环卫取水栓加足水，并按照规定的时间和路线进行洒水作业。洒水时，洒水车车速不得超过25Km/h；清洗时，高压清洗车车速不得超过10Km/h。洒水时，应调整好洒水车水压和水幅，保持车行道全路段路面湿润。途经地铁站、公交站、交叉路口、人行横道等人流量集中的地点应注意放慢车速，避让行人，调整启闭装置，避免将水洒到行人身上。</w:t>
      </w:r>
      <w:r>
        <w:rPr>
          <w:rFonts w:hint="eastAsia" w:ascii="宋体" w:hAnsi="宋体" w:eastAsia="宋体" w:cs="宋体"/>
          <w:b/>
          <w:bCs/>
          <w:szCs w:val="21"/>
        </w:rPr>
        <w:t>最低温度为2℃及以下时暂停洒水作业。小雨及以下雨量时，按计划保持洒水作业；中雨及以上雨量或雷阵雨期间，暂停洒水作业。</w:t>
      </w:r>
    </w:p>
    <w:p w14:paraId="3D04D750">
      <w:pPr>
        <w:spacing w:line="460" w:lineRule="exact"/>
        <w:ind w:firstLine="422" w:firstLineChars="200"/>
        <w:rPr>
          <w:rFonts w:hint="eastAsia" w:ascii="宋体" w:hAnsi="宋体" w:eastAsia="宋体" w:cs="宋体"/>
          <w:szCs w:val="21"/>
        </w:rPr>
      </w:pPr>
      <w:r>
        <w:rPr>
          <w:rFonts w:hint="eastAsia" w:ascii="宋体" w:hAnsi="宋体" w:eastAsia="宋体" w:cs="宋体"/>
          <w:b/>
          <w:bCs/>
          <w:szCs w:val="21"/>
        </w:rPr>
        <w:t>3.2.5普扫作业：</w:t>
      </w:r>
      <w:r>
        <w:rPr>
          <w:rFonts w:hint="eastAsia" w:ascii="宋体" w:hAnsi="宋体" w:eastAsia="宋体" w:cs="宋体"/>
          <w:szCs w:val="21"/>
        </w:rPr>
        <w:t>每日首次普扫，夏季（6月-8月）在上午6时30分以前完成，春、秋、冬季（9月-次年5月）在上午7时完成。应根据重大活动保障、落叶旺季等因素适时增加每日普扫频次。每日普扫时，应按照规定的时间、人数、路线进行集中清扫作业。清扫时，避免扬尘，清扫不留空白点。清扫时不得将垃圾扫入雨水井、绿地、绿化带、河道、道路红线外待建地块，并清理雨水井口的积泥、嵌石，保持雨水井口畅通。清扫后归拢的垃圾应靠边堆放，及时清运不漏收。对路面口香糖污渍、路面乱涂写招贴，应使用铲刀或高压清洗机具予以清除。清扫的街面垃圾、沿街果皮箱中的垃圾应密闭化运至指定地点，运输过程不得抛洒滴漏。</w:t>
      </w:r>
      <w:r>
        <w:rPr>
          <w:rFonts w:hint="eastAsia" w:ascii="宋体" w:hAnsi="宋体" w:eastAsia="宋体" w:cs="宋体"/>
          <w:b/>
          <w:bCs/>
          <w:szCs w:val="21"/>
        </w:rPr>
        <w:t>普扫结束后，应按照规定的责任保洁区域、保洁时间组织巡回保洁。</w:t>
      </w:r>
    </w:p>
    <w:p w14:paraId="13E529E3">
      <w:pPr>
        <w:spacing w:line="460" w:lineRule="exact"/>
        <w:ind w:firstLine="422" w:firstLineChars="200"/>
        <w:rPr>
          <w:rFonts w:hint="eastAsia" w:ascii="宋体" w:hAnsi="宋体" w:eastAsia="宋体" w:cs="宋体"/>
          <w:szCs w:val="21"/>
        </w:rPr>
      </w:pPr>
      <w:r>
        <w:rPr>
          <w:rFonts w:hint="eastAsia" w:ascii="宋体" w:hAnsi="宋体" w:eastAsia="宋体" w:cs="宋体"/>
          <w:b/>
          <w:bCs/>
          <w:szCs w:val="21"/>
        </w:rPr>
        <w:t>3.2.6机械化清扫：</w:t>
      </w:r>
      <w:r>
        <w:rPr>
          <w:rFonts w:hint="eastAsia" w:ascii="宋体" w:hAnsi="宋体" w:eastAsia="宋体" w:cs="宋体"/>
          <w:szCs w:val="21"/>
        </w:rPr>
        <w:t>机械化清扫范围主要为机动车道， 湿扫车或洗扫车应加足水，根据路面状况调整好扫路车侧刷和吸口，喷雾清扫无扬尘，在规定时间和路线进行机械化清扫作业。机械化清扫作业时，扫路车或洗扫车车速不得超过10Km/h。机械化清扫作业时，应沿着车行道侧石进行全路段清扫，做到不漏扫，保持路面清洁。机械化清扫车辆所用的扫把丝等消耗品应根据使用状况及时更换。</w:t>
      </w:r>
    </w:p>
    <w:p w14:paraId="254ABD52">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3.2.7道路保洁达到标准（即呈现效果）：</w:t>
      </w:r>
    </w:p>
    <w:p w14:paraId="6AC39F70">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3.2.7.1一级道路（区域）：</w:t>
      </w:r>
    </w:p>
    <w:p w14:paraId="59FEBC7E">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①道路深度清扫冲洗,实现路见本色,打造一批席地而坐区域。</w:t>
      </w:r>
    </w:p>
    <w:p w14:paraId="1D8757F4">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②路面无垃圾杂物、无积尘积水、无烟蒂痰渍污渍。</w:t>
      </w:r>
    </w:p>
    <w:p w14:paraId="29C884C1">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③公交站亭、街头小品等城市家具保洁及时,无乱张贴、乱涂画等现象，手摸无尘，洁净如新。</w:t>
      </w:r>
    </w:p>
    <w:p w14:paraId="7A76B344">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3.2.7.2二级道路（区域）：</w:t>
      </w:r>
    </w:p>
    <w:p w14:paraId="7A26E355">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①道路清扫彻底、冲洗及时，路面基本见本色。</w:t>
      </w:r>
    </w:p>
    <w:p w14:paraId="3C074C6C">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②100米路面中，垃圾杂物、积尘积水、烟蒂痰渍污渍等问题，少于4处。</w:t>
      </w:r>
    </w:p>
    <w:p w14:paraId="71776FB4">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③城市家具长效保洁,无乱张贴、乱涂画等现象，基本无尘。</w:t>
      </w:r>
    </w:p>
    <w:p w14:paraId="552023E7">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3.2.7.3三级道路（区域）：</w:t>
      </w:r>
    </w:p>
    <w:p w14:paraId="4C4841D5">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①道路清扫冲洗全覆盖、干净整洁，路面基本见本色。</w:t>
      </w:r>
    </w:p>
    <w:p w14:paraId="54C4F20B">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②100米路面中，垃圾杂物、积尘积水、烟蒂痰渍污渍等问题，少于6处。</w:t>
      </w:r>
    </w:p>
    <w:p w14:paraId="330FB5D5">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③城市家具长效保洁,无乱张贴、乱涂画等现象，基本无尘。</w:t>
      </w:r>
    </w:p>
    <w:p w14:paraId="4C4B2B5A">
      <w:pPr>
        <w:spacing w:line="460" w:lineRule="exact"/>
        <w:ind w:firstLine="422" w:firstLineChars="200"/>
        <w:rPr>
          <w:rFonts w:hint="eastAsia" w:ascii="宋体" w:hAnsi="宋体" w:eastAsia="宋体" w:cs="宋体"/>
          <w:szCs w:val="21"/>
        </w:rPr>
      </w:pPr>
      <w:r>
        <w:rPr>
          <w:rFonts w:hint="eastAsia" w:ascii="宋体" w:hAnsi="宋体" w:eastAsia="宋体" w:cs="宋体"/>
          <w:b/>
          <w:bCs/>
          <w:szCs w:val="21"/>
        </w:rPr>
        <w:t>3.2.8普扫作业质量：</w:t>
      </w:r>
      <w:r>
        <w:rPr>
          <w:rFonts w:hint="eastAsia" w:ascii="宋体" w:hAnsi="宋体" w:eastAsia="宋体" w:cs="宋体"/>
          <w:szCs w:val="21"/>
        </w:rPr>
        <w:t>清扫应做到“五无五净”：即无垃圾杂物，无积水积泥，无痰迹烟蒂，无果皮纸屑，无土石杂草；路面干净，绿地、绿化带和树圈干净，边角侧石干净，雨水井盖沟眼畅通干净，果皮箱等环卫设施干净。路面见本色。</w:t>
      </w:r>
    </w:p>
    <w:p w14:paraId="67650BD6">
      <w:pPr>
        <w:spacing w:line="460" w:lineRule="exact"/>
        <w:ind w:firstLine="422" w:firstLineChars="200"/>
        <w:rPr>
          <w:rFonts w:hint="eastAsia" w:ascii="宋体" w:hAnsi="宋体" w:eastAsia="宋体" w:cs="宋体"/>
          <w:szCs w:val="21"/>
        </w:rPr>
      </w:pPr>
      <w:r>
        <w:rPr>
          <w:rFonts w:hint="eastAsia" w:ascii="宋体" w:hAnsi="宋体" w:eastAsia="宋体" w:cs="宋体"/>
          <w:b/>
          <w:bCs/>
          <w:szCs w:val="21"/>
        </w:rPr>
        <w:t>3.2.9整体保洁作业质量：</w:t>
      </w:r>
      <w:r>
        <w:rPr>
          <w:rFonts w:hint="eastAsia" w:ascii="宋体" w:hAnsi="宋体" w:eastAsia="宋体" w:cs="宋体"/>
          <w:szCs w:val="21"/>
        </w:rPr>
        <w:t>在“五无五净”基础上，保持交通隔离栏、路灯杆、交通信号灯杆等城市家具清洁。保洁时段内，各类道路和街巷清扫保洁区域的路面废弃物总数应符合：</w:t>
      </w:r>
    </w:p>
    <w:p w14:paraId="4827553C">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①果皮、纸屑、塑料袋及零星垃圾每500m少于等于2个；</w:t>
      </w:r>
    </w:p>
    <w:p w14:paraId="50C6AB87">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②无生活污水积水；</w:t>
      </w:r>
    </w:p>
    <w:p w14:paraId="6B8FB77A">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③烟蒂每500m少于等于4个；</w:t>
      </w:r>
    </w:p>
    <w:p w14:paraId="64564801">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④痰迹每500m少于等于3个；</w:t>
      </w:r>
    </w:p>
    <w:p w14:paraId="42F86431">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⑤尘土量量每平方少于等于10克；</w:t>
      </w:r>
    </w:p>
    <w:p w14:paraId="6ECA287B">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⑥路面见本色。</w:t>
      </w:r>
    </w:p>
    <w:p w14:paraId="20548168">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3.2.10道路两侧公交站台、果壳箱、垃圾箱、城市家具保洁标准与所处道路保洁质量标准相同。</w:t>
      </w:r>
    </w:p>
    <w:p w14:paraId="663DDD52">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3.3公厕保洁要求</w:t>
      </w:r>
    </w:p>
    <w:p w14:paraId="78694440">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本次招标范围内共6座公厕（，其中三星公厕2座，二星公厕4座。日常维护上班时间：上午6:00时至晚上22:00时。公厕内采光、照明和通风良好，三星公厕无异味，可视范围内无蚊蝇；二星公厕无明显异味，蚊蝇不超过3只。</w:t>
      </w:r>
    </w:p>
    <w:p w14:paraId="4F027685">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墙面洁净：公厕内、外墙整洁，墙面光洁无破损、污蚀渗漏；隔板、窗栅、门窗玻璃无破损；内墙面、天花板，门窗和隔离板无积灰、污迹、蛛网，无乱涂乱画，无破损。公厕内洗漱器具整洁。</w:t>
      </w:r>
    </w:p>
    <w:p w14:paraId="4BD21B98">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地面洁净：公厕内地面光洁，无积水。</w:t>
      </w:r>
    </w:p>
    <w:p w14:paraId="45AF2BD5">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厕位洁净：蹲位整洁，大便槽两侧无粪便污物，槽内无粪迹，无堵塞，洁净见底；小便槽(斗)无水锈、尿垢、烟蒂，无明显臭味；沟眼、管道保持畅通。</w:t>
      </w:r>
    </w:p>
    <w:p w14:paraId="5E682617">
      <w:pPr>
        <w:spacing w:line="460" w:lineRule="exact"/>
        <w:ind w:firstLine="420" w:firstLineChars="200"/>
        <w:rPr>
          <w:rFonts w:hint="eastAsia" w:ascii="宋体" w:hAnsi="宋体" w:eastAsia="宋体" w:cs="宋体"/>
        </w:rPr>
      </w:pPr>
      <w:r>
        <w:rPr>
          <w:rFonts w:hint="eastAsia" w:ascii="宋体" w:hAnsi="宋体" w:eastAsia="宋体" w:cs="宋体"/>
          <w:szCs w:val="21"/>
        </w:rPr>
        <w:t>设施有序：公厕内照明灯具、洗手器具、镜子挂衣钩、烘手器、冲水设备等设施设备完好有序，无缺亮渗漏，无积灰、污物；管理房（工具间）物品摆放有序，整洁无杂物，不得挪作他用；无障碍公厕通道畅通。其他参见《公共厕所保洁与服务规范》（DB3301/T74）的规定。</w:t>
      </w:r>
    </w:p>
    <w:p w14:paraId="5EC37E23">
      <w:pPr>
        <w:tabs>
          <w:tab w:val="left" w:pos="395"/>
        </w:tabs>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3.4公交站台及城市家具的保洁要求</w:t>
      </w:r>
    </w:p>
    <w:p w14:paraId="5E17B440">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3.4.1公交站台：要求每天至少清洗一次。对公交站台内的大小玻璃、支架、座椅、顶棚、指路牌、站台地面需每天做好擦拭、清洗及清扫等保洁工作，保持候车座位、玻璃等站台设施清洁，干净明亮，无污渍、灰尘、牛皮癣及其它脏物，确保站台周围环境卫生干净整洁，候车环境良好。</w:t>
      </w:r>
    </w:p>
    <w:p w14:paraId="4E8B069A">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3.4.2城市家具：要求每天至少清洗一次。对区域范围内的道路主干道的交安设施、标志标牌、护栏进行冲洗，采用机械冲洗的方式，主干道中间及两边护栏要求每周冲洗一次，交安设施及标志标牌做到每月一次冲洗，无法采用机械清洗的其他城市家具则用人工清洗的方式清洗。以保障城市市容市貌卫生、干净、整洁。</w:t>
      </w:r>
    </w:p>
    <w:p w14:paraId="7549772F">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3.5沿街店面（商铺）垃圾分类上门收集</w:t>
      </w:r>
    </w:p>
    <w:p w14:paraId="6C0A5FEE">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3.5.1上门收集时间：</w:t>
      </w:r>
    </w:p>
    <w:p w14:paraId="732DD519">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一天三次，原则上上午、下午、晚上各一次。厨余垃圾应定时一天一次。</w:t>
      </w:r>
    </w:p>
    <w:p w14:paraId="770E070A">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3.5.2上门收集区域：</w:t>
      </w:r>
    </w:p>
    <w:p w14:paraId="0870FE8A">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辖区范围内的所有沿街店铺产生的除绿能环保科技有限公司协议内的各类垃圾。</w:t>
      </w:r>
    </w:p>
    <w:p w14:paraId="6E7316A2">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3.5.3工作要求：</w:t>
      </w:r>
    </w:p>
    <w:p w14:paraId="0F81F5CD">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保洁员根据沿街商铺工作时间，上午、下午、晚上三次上门收集垃圾，日常垃圾分类收集车辆应装有称重设备并创建智能管理平台、根据需要接入市、区数字平台，分为其他垃圾收集车和易腐垃圾收集车，进行分类收集。</w:t>
      </w:r>
      <w:r>
        <w:rPr>
          <w:rFonts w:hint="eastAsia" w:ascii="宋体" w:hAnsi="宋体" w:eastAsia="宋体" w:cs="宋体"/>
          <w:szCs w:val="21"/>
          <w:lang w:val="en-US" w:eastAsia="zh-CN"/>
        </w:rPr>
        <w:t>保洁服务</w:t>
      </w:r>
      <w:r>
        <w:rPr>
          <w:rFonts w:hint="eastAsia" w:ascii="宋体" w:hAnsi="宋体" w:eastAsia="宋体" w:cs="宋体"/>
          <w:szCs w:val="21"/>
        </w:rPr>
        <w:t>单位应引导各沿街店铺经营户积极配合环卫工作，实行垃圾袋装化或桶装化后将垃圾袋（桶）摆放在店内，由保洁员上门收集清运，保洁人员凡驾驶电瓶车的，必须按照道路交通安全法规定佩戴头盔。</w:t>
      </w:r>
    </w:p>
    <w:p w14:paraId="55010E30">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3.6其他要求</w:t>
      </w:r>
    </w:p>
    <w:p w14:paraId="05DB585D">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3.6.1农贸市场四周、休闲广场、停车场、保洁等公共区域，包括全区域内新增加道路，要求无杂物、生活垃圾、建筑垃圾等污物。</w:t>
      </w:r>
    </w:p>
    <w:p w14:paraId="47FAA8D6">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3.6.2区域范围内发现乱偷倒生活垃圾、建筑垃圾、工业垃圾等应及时发现上报或处置。</w:t>
      </w:r>
    </w:p>
    <w:p w14:paraId="708D171E">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3.6.3保洁人员应文明作业，禁止将垃圾堆入或留在窨井盖上，禁止将垃圾扫入或倒入窨井、道路绿地、河道等处，所有垃圾必须清运到指定地点，不得随意倾倒、不得随意焚烧。垃圾运输途中没有沿路抛洒现象，造成二次环境污染。</w:t>
      </w:r>
    </w:p>
    <w:p w14:paraId="2BF7B1D2">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3.6.4遇雨雪天气根据清雪作业应急保障需要，可使用洒水车、清洗车冲刷路面积雪，并使用清雪车、扫路车等专业车辆或人工辅助，及时清除路面积水、积雪。</w:t>
      </w:r>
    </w:p>
    <w:p w14:paraId="513F863E">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3.6.5本项目配备的所有机动车辆设备均应装载GPS、车载监控，数据需接入秀洲区智慧城管平台，接入及日常运行费用应包含在投标报价内，不再另行支付。</w:t>
      </w:r>
    </w:p>
    <w:p w14:paraId="432F66F9">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3.6.6如遇卫生、文明城市创建检查须无条件服从采购单位要求，加大机械设备频率、增加人员、延长维护时间。</w:t>
      </w:r>
    </w:p>
    <w:p w14:paraId="4B23AE0D">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3.7垃圾分类管理工作要求</w:t>
      </w:r>
    </w:p>
    <w:p w14:paraId="3B3FB09A">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垃圾分类投放管理应当做到以下几点：</w:t>
      </w:r>
    </w:p>
    <w:p w14:paraId="2ABDC315">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3.7.1建立生活垃圾分类投放责任制和日常管理制度；</w:t>
      </w:r>
    </w:p>
    <w:p w14:paraId="21FCB9D6">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3.7.2开展生活垃圾分类知识宣传，指导、监督单位和个人分类投放垃圾；</w:t>
      </w:r>
    </w:p>
    <w:p w14:paraId="5A5B96F1">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3.7.3按照有关规定清洁和维护生活垃圾收集容器；</w:t>
      </w:r>
    </w:p>
    <w:p w14:paraId="212846D3">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3.7.4将分类投放的垃圾实行中转收集、运输的，分类运送至指定收集站（点）；</w:t>
      </w:r>
    </w:p>
    <w:p w14:paraId="175E5B3E">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3.7.5督促垃圾收集、运输单位分类收集、运输生活垃圾。对不按照规定分类投放垃圾的单位和个人，应当予以劝导，并督促改正。</w:t>
      </w:r>
    </w:p>
    <w:p w14:paraId="5C61323B">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3.7.6有害垃圾经过分类后属于危险废物的，运输过程应当遵守危险废物运输管理有关规定。可回收物可以由回收经营者优先回收。</w:t>
      </w:r>
    </w:p>
    <w:p w14:paraId="4CCB292D">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3.7.7垃圾收集、运输应当将分类收集的生活垃圾及时运输至规定的地点，不得将分类投放的垃圾混合收集、运输；确因缺乏处置设施或者处置能力不足，暂时需要混合收集、运输的，应当明确期限并向社会公告。居民装修垃圾、大件垃圾实行定时定点收集、运输。</w:t>
      </w:r>
    </w:p>
    <w:p w14:paraId="3A96258E">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3.8牛皮癣清理</w:t>
      </w:r>
    </w:p>
    <w:p w14:paraId="09475201">
      <w:pPr>
        <w:spacing w:line="460" w:lineRule="exact"/>
        <w:ind w:firstLine="420" w:firstLineChars="200"/>
        <w:rPr>
          <w:rFonts w:hint="eastAsia" w:ascii="宋体" w:hAnsi="宋体" w:eastAsia="宋体" w:cs="宋体"/>
        </w:rPr>
      </w:pPr>
      <w:r>
        <w:rPr>
          <w:rFonts w:hint="eastAsia" w:ascii="宋体" w:hAnsi="宋体" w:eastAsia="宋体" w:cs="宋体"/>
          <w:szCs w:val="21"/>
        </w:rPr>
        <w:t>区域内建筑物外墙、各类电线杆及各类公共设施上的乱张贴、乱涂写、乱刻画、乱吊挂和过时破损标语及非法广告应及时涂刷（涂刷时颜色大致与后墙体相同），清理时尽可能不破坏原基础，达到美观的效果。</w:t>
      </w:r>
    </w:p>
    <w:p w14:paraId="10B53786">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3.9河道保洁要求</w:t>
      </w:r>
    </w:p>
    <w:p w14:paraId="7FA33CC9">
      <w:pPr>
        <w:spacing w:line="460" w:lineRule="exact"/>
        <w:ind w:firstLine="420" w:firstLineChars="200"/>
        <w:rPr>
          <w:rFonts w:hint="eastAsia" w:ascii="宋体" w:hAnsi="宋体" w:eastAsia="宋体" w:cs="宋体"/>
          <w:bCs/>
          <w:szCs w:val="21"/>
        </w:rPr>
      </w:pPr>
      <w:r>
        <w:rPr>
          <w:rFonts w:hint="eastAsia" w:ascii="宋体" w:hAnsi="宋体" w:eastAsia="宋体" w:cs="宋体"/>
          <w:bCs/>
          <w:szCs w:val="21"/>
        </w:rPr>
        <w:t>3.9.1列入保洁范围的河道水面均实施全日制巡回保洁。</w:t>
      </w:r>
    </w:p>
    <w:p w14:paraId="4A57AE1D">
      <w:pPr>
        <w:spacing w:line="460" w:lineRule="exact"/>
        <w:ind w:firstLine="420" w:firstLineChars="200"/>
        <w:rPr>
          <w:rFonts w:hint="eastAsia" w:ascii="宋体" w:hAnsi="宋体" w:eastAsia="宋体" w:cs="宋体"/>
          <w:bCs/>
          <w:szCs w:val="21"/>
        </w:rPr>
      </w:pPr>
      <w:r>
        <w:rPr>
          <w:rFonts w:hint="eastAsia" w:ascii="宋体" w:hAnsi="宋体" w:eastAsia="宋体" w:cs="宋体"/>
          <w:bCs/>
          <w:szCs w:val="21"/>
        </w:rPr>
        <w:t>3.9.2河道每天打捞不少于八小时，对重点河段水面要全日制巡回保洁，原则上达到洁净即可，重大节日或上级部门有要求须增加打捞次数。</w:t>
      </w:r>
    </w:p>
    <w:p w14:paraId="4314A6F0">
      <w:pPr>
        <w:spacing w:line="460" w:lineRule="exact"/>
        <w:ind w:firstLine="420" w:firstLineChars="200"/>
        <w:rPr>
          <w:rFonts w:hint="eastAsia" w:ascii="宋体" w:hAnsi="宋体" w:eastAsia="宋体" w:cs="宋体"/>
          <w:bCs/>
          <w:szCs w:val="21"/>
        </w:rPr>
      </w:pPr>
      <w:r>
        <w:rPr>
          <w:rFonts w:hint="eastAsia" w:ascii="宋体" w:hAnsi="宋体" w:eastAsia="宋体" w:cs="宋体"/>
          <w:bCs/>
          <w:szCs w:val="21"/>
        </w:rPr>
        <w:t>3.9.3水面保洁质量要求达到“三无三净”。“三无”即：河面无漂浮物、岸边无水生植物、河边无暴露垃圾；“三净”即：水面干净、浅滩干净、堤岸干净。</w:t>
      </w:r>
    </w:p>
    <w:p w14:paraId="65AEAF8A">
      <w:pPr>
        <w:spacing w:line="460" w:lineRule="exact"/>
        <w:ind w:firstLine="420" w:firstLineChars="200"/>
        <w:rPr>
          <w:rFonts w:hint="eastAsia" w:ascii="宋体" w:hAnsi="宋体" w:eastAsia="宋体" w:cs="宋体"/>
          <w:bCs/>
          <w:szCs w:val="21"/>
        </w:rPr>
      </w:pPr>
      <w:r>
        <w:rPr>
          <w:rFonts w:hint="eastAsia" w:ascii="宋体" w:hAnsi="宋体" w:eastAsia="宋体" w:cs="宋体"/>
          <w:bCs/>
          <w:szCs w:val="21"/>
        </w:rPr>
        <w:t>3.9.4发现死亡动物及时汇报有关部门。</w:t>
      </w:r>
    </w:p>
    <w:p w14:paraId="6235DD35">
      <w:pPr>
        <w:spacing w:line="460" w:lineRule="exact"/>
        <w:ind w:firstLine="420" w:firstLineChars="200"/>
        <w:rPr>
          <w:rFonts w:hint="eastAsia" w:ascii="宋体" w:hAnsi="宋体" w:eastAsia="宋体" w:cs="宋体"/>
          <w:bCs/>
          <w:szCs w:val="21"/>
        </w:rPr>
      </w:pPr>
      <w:r>
        <w:rPr>
          <w:rFonts w:hint="eastAsia" w:ascii="宋体" w:hAnsi="宋体" w:eastAsia="宋体" w:cs="宋体"/>
          <w:bCs/>
          <w:szCs w:val="21"/>
        </w:rPr>
        <w:t>3.9.5保持河道两岸、桥堍两侧10米内干净。</w:t>
      </w:r>
    </w:p>
    <w:p w14:paraId="090AB915">
      <w:pPr>
        <w:spacing w:line="460" w:lineRule="exact"/>
        <w:ind w:firstLine="420" w:firstLineChars="200"/>
        <w:rPr>
          <w:rFonts w:hint="eastAsia" w:ascii="宋体" w:hAnsi="宋体" w:eastAsia="宋体" w:cs="宋体"/>
          <w:bCs/>
          <w:szCs w:val="21"/>
        </w:rPr>
      </w:pPr>
      <w:r>
        <w:rPr>
          <w:rFonts w:hint="eastAsia" w:ascii="宋体" w:hAnsi="宋体" w:eastAsia="宋体" w:cs="宋体"/>
          <w:bCs/>
          <w:szCs w:val="21"/>
        </w:rPr>
        <w:t>3.9.6每月三次定期清理河岸的枯枝杂草（特别是有护岸的河道）。</w:t>
      </w:r>
    </w:p>
    <w:p w14:paraId="6DB7D865">
      <w:pPr>
        <w:spacing w:line="460" w:lineRule="exact"/>
        <w:ind w:firstLine="420" w:firstLineChars="200"/>
        <w:rPr>
          <w:rFonts w:hint="eastAsia" w:ascii="宋体" w:hAnsi="宋体" w:eastAsia="宋体" w:cs="宋体"/>
          <w:bCs/>
          <w:szCs w:val="21"/>
        </w:rPr>
      </w:pPr>
      <w:r>
        <w:rPr>
          <w:rFonts w:hint="eastAsia" w:ascii="宋体" w:hAnsi="宋体" w:eastAsia="宋体" w:cs="宋体"/>
          <w:bCs/>
          <w:szCs w:val="21"/>
        </w:rPr>
        <w:t>3.9.7保洁河道中没有拦污栅的，需由中标方自行建设，已有拦污栅的，中标方需做好养护工作，费用含在投标报价中。</w:t>
      </w:r>
    </w:p>
    <w:p w14:paraId="65DF0471">
      <w:pPr>
        <w:spacing w:line="460" w:lineRule="exact"/>
        <w:ind w:firstLine="420" w:firstLineChars="200"/>
        <w:rPr>
          <w:rFonts w:hint="eastAsia" w:ascii="宋体" w:hAnsi="宋体" w:eastAsia="宋体" w:cs="宋体"/>
          <w:bCs/>
          <w:szCs w:val="21"/>
        </w:rPr>
      </w:pPr>
      <w:r>
        <w:rPr>
          <w:rFonts w:hint="eastAsia" w:ascii="宋体" w:hAnsi="宋体" w:eastAsia="宋体" w:cs="宋体"/>
          <w:bCs/>
          <w:szCs w:val="21"/>
        </w:rPr>
        <w:t>3.9.8保洁船上配有分类桶或分类设施，捞后的垃圾、杂草、水生植物等进行分类，不可腐烂垃圾（其他垃圾）送到垃圾中转房转运处置，杂草、水生植物可腐烂物装运到镇有机垃圾处理中心进行集中处置。</w:t>
      </w:r>
    </w:p>
    <w:p w14:paraId="20180659">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3.10其他要求</w:t>
      </w:r>
    </w:p>
    <w:p w14:paraId="20D7761C">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1、要求服务期内所有保洁车辆均应保持车貌整洁，无渗漏。服务期内所有机械设备根据采购单位要求进行统一标识。</w:t>
      </w:r>
    </w:p>
    <w:p w14:paraId="127E5A89">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2、有配套的保洁措施和与招标相融合的定期督查机制。</w:t>
      </w:r>
    </w:p>
    <w:p w14:paraId="68C0F790">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3、根据招标要求配置的所有人员的吃住等生活问题的解决，由</w:t>
      </w:r>
      <w:r>
        <w:rPr>
          <w:rFonts w:hint="eastAsia" w:ascii="宋体" w:hAnsi="宋体" w:eastAsia="宋体" w:cs="宋体"/>
          <w:szCs w:val="21"/>
          <w:lang w:val="en-US" w:eastAsia="zh-CN"/>
        </w:rPr>
        <w:t>保洁服务</w:t>
      </w:r>
      <w:r>
        <w:rPr>
          <w:rFonts w:hint="eastAsia" w:ascii="宋体" w:hAnsi="宋体" w:eastAsia="宋体" w:cs="宋体"/>
          <w:szCs w:val="21"/>
        </w:rPr>
        <w:t>单位自行解决。</w:t>
      </w:r>
    </w:p>
    <w:p w14:paraId="6568AE80">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保洁服务</w:t>
      </w:r>
      <w:r>
        <w:rPr>
          <w:rFonts w:hint="eastAsia" w:ascii="宋体" w:hAnsi="宋体" w:eastAsia="宋体" w:cs="宋体"/>
          <w:szCs w:val="21"/>
        </w:rPr>
        <w:t>单位要制订用工计划和加强劳动用工管理，必须符合劳动法等法律法规的要求，与员工签订正规的劳动合同，负责支付上岗人员的工资、津贴、社会保险、工伤意外保险及根据国家规定应支付的各项费用。承担体检、培训费用，并负责办理上岗人员的居住证、计划生育证明等有关证件。如果采购单位根据实际情况需要增加或减少人员，则按投标文件的标准支付或扣除相应费用。</w:t>
      </w:r>
    </w:p>
    <w:p w14:paraId="7E6CC197">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保洁服务</w:t>
      </w:r>
      <w:r>
        <w:rPr>
          <w:rFonts w:hint="eastAsia" w:ascii="宋体" w:hAnsi="宋体" w:eastAsia="宋体" w:cs="宋体"/>
          <w:szCs w:val="21"/>
        </w:rPr>
        <w:t>单位在整个保洁过程中，发生安全事故的，包括人员伤亡、职业危害、设备损坏、经济损失等，其发生的一切费用均由</w:t>
      </w:r>
      <w:r>
        <w:rPr>
          <w:rFonts w:hint="eastAsia" w:ascii="宋体" w:hAnsi="宋体" w:eastAsia="宋体" w:cs="宋体"/>
          <w:szCs w:val="21"/>
          <w:lang w:val="en-US" w:eastAsia="zh-CN"/>
        </w:rPr>
        <w:t>保洁服务</w:t>
      </w:r>
      <w:r>
        <w:rPr>
          <w:rFonts w:hint="eastAsia" w:ascii="宋体" w:hAnsi="宋体" w:eastAsia="宋体" w:cs="宋体"/>
          <w:szCs w:val="21"/>
        </w:rPr>
        <w:t>单位负责，与采购单位无关。</w:t>
      </w:r>
    </w:p>
    <w:p w14:paraId="59863837">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6、所有岗位作业人员所需要的工器具、保洁工具等均由投标人负责，使用和发放管理由投标人自行管理。</w:t>
      </w:r>
    </w:p>
    <w:p w14:paraId="24E55A77">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7、本项目现场条件以各投标单位现场路勘情况为准。由</w:t>
      </w:r>
      <w:r>
        <w:rPr>
          <w:rFonts w:hint="eastAsia" w:ascii="宋体" w:hAnsi="宋体" w:eastAsia="宋体" w:cs="宋体"/>
          <w:szCs w:val="21"/>
          <w:lang w:val="en-US" w:eastAsia="zh-CN"/>
        </w:rPr>
        <w:t>保洁服务</w:t>
      </w:r>
      <w:r>
        <w:rPr>
          <w:rFonts w:hint="eastAsia" w:ascii="宋体" w:hAnsi="宋体" w:eastAsia="宋体" w:cs="宋体"/>
          <w:szCs w:val="21"/>
        </w:rPr>
        <w:t>单位以包工、包料、包质量、包安全等方式总承包。</w:t>
      </w:r>
      <w:r>
        <w:rPr>
          <w:rFonts w:hint="eastAsia" w:ascii="宋体" w:hAnsi="宋体" w:eastAsia="宋体" w:cs="宋体"/>
          <w:szCs w:val="21"/>
          <w:lang w:val="en-US" w:eastAsia="zh-CN"/>
        </w:rPr>
        <w:t>保洁服务</w:t>
      </w:r>
      <w:r>
        <w:rPr>
          <w:rFonts w:hint="eastAsia" w:ascii="宋体" w:hAnsi="宋体" w:eastAsia="宋体" w:cs="宋体"/>
          <w:szCs w:val="21"/>
        </w:rPr>
        <w:t>单位中标以后不得分包、转包。如一经发现上述行为，招标单位单方有权立即将终止合同并没收履约保证金，由此产生一切法律责任和经济损失均由承包单位承担。</w:t>
      </w:r>
    </w:p>
    <w:p w14:paraId="28B7210B">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四、保洁管理要求</w:t>
      </w:r>
    </w:p>
    <w:p w14:paraId="28344AFC">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保洁服务</w:t>
      </w:r>
      <w:r>
        <w:rPr>
          <w:rFonts w:hint="eastAsia" w:ascii="宋体" w:hAnsi="宋体" w:eastAsia="宋体" w:cs="宋体"/>
          <w:szCs w:val="21"/>
        </w:rPr>
        <w:t>单位要有专门的检查管理组，要每天对镇里指定的重点路段和点位进行检查考核。</w:t>
      </w:r>
    </w:p>
    <w:p w14:paraId="15FF6633">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2、接受市、区部门的考核、监督和上级交办的临时任务，听从镇主管部门及时落实应急任务。</w:t>
      </w:r>
    </w:p>
    <w:p w14:paraId="1A00E2DC">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3、要对区级以上检查考核指出的问题进行及时整改并重点督查，确保下次检查不出问题。</w:t>
      </w:r>
    </w:p>
    <w:p w14:paraId="70D1DD34">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五、项目考核</w:t>
      </w:r>
    </w:p>
    <w:p w14:paraId="71B8E84B">
      <w:pPr>
        <w:spacing w:line="460" w:lineRule="exact"/>
        <w:ind w:firstLine="422" w:firstLineChars="200"/>
        <w:rPr>
          <w:rFonts w:hint="eastAsia" w:ascii="宋体" w:hAnsi="宋体" w:eastAsia="宋体" w:cs="宋体"/>
          <w:szCs w:val="21"/>
        </w:rPr>
      </w:pPr>
      <w:r>
        <w:rPr>
          <w:rFonts w:hint="eastAsia" w:ascii="宋体" w:hAnsi="宋体" w:eastAsia="宋体" w:cs="宋体"/>
          <w:b/>
          <w:szCs w:val="21"/>
        </w:rPr>
        <w:t>1、考核评分细则</w:t>
      </w:r>
    </w:p>
    <w:p w14:paraId="595C1743">
      <w:pPr>
        <w:spacing w:line="460" w:lineRule="exact"/>
        <w:ind w:firstLine="2520" w:firstLineChars="1200"/>
        <w:rPr>
          <w:rFonts w:hint="eastAsia" w:ascii="宋体" w:hAnsi="宋体" w:eastAsia="宋体" w:cs="宋体"/>
          <w:szCs w:val="21"/>
        </w:rPr>
      </w:pPr>
      <w:r>
        <w:rPr>
          <w:rFonts w:hint="eastAsia" w:ascii="宋体" w:hAnsi="宋体" w:eastAsia="宋体" w:cs="宋体"/>
          <w:szCs w:val="21"/>
        </w:rPr>
        <w:t>油车港镇人民政府镇区保洁考核评分细则</w:t>
      </w:r>
    </w:p>
    <w:tbl>
      <w:tblPr>
        <w:tblStyle w:val="65"/>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485"/>
        <w:gridCol w:w="5235"/>
      </w:tblGrid>
      <w:tr w14:paraId="6988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1" w:type="dxa"/>
            <w:vMerge w:val="restart"/>
            <w:noWrap w:val="0"/>
            <w:vAlign w:val="center"/>
          </w:tcPr>
          <w:p w14:paraId="6CFDCE63">
            <w:pPr>
              <w:rPr>
                <w:rFonts w:hint="eastAsia" w:ascii="宋体" w:hAnsi="宋体" w:eastAsia="宋体" w:cs="宋体"/>
                <w:szCs w:val="21"/>
              </w:rPr>
            </w:pPr>
            <w:r>
              <w:rPr>
                <w:rFonts w:hint="eastAsia" w:ascii="宋体" w:hAnsi="宋体" w:eastAsia="宋体" w:cs="宋体"/>
                <w:szCs w:val="21"/>
              </w:rPr>
              <w:t>保洁、垃圾</w:t>
            </w:r>
          </w:p>
          <w:p w14:paraId="4D49A9E7">
            <w:pPr>
              <w:rPr>
                <w:rFonts w:hint="eastAsia" w:ascii="宋体" w:hAnsi="宋体" w:eastAsia="宋体" w:cs="宋体"/>
                <w:szCs w:val="21"/>
              </w:rPr>
            </w:pPr>
            <w:r>
              <w:rPr>
                <w:rFonts w:hint="eastAsia" w:ascii="宋体" w:hAnsi="宋体" w:eastAsia="宋体" w:cs="宋体"/>
                <w:szCs w:val="21"/>
              </w:rPr>
              <w:t>收集等</w:t>
            </w:r>
          </w:p>
          <w:p w14:paraId="77D7521A">
            <w:pPr>
              <w:ind w:firstLine="420" w:firstLineChars="200"/>
              <w:rPr>
                <w:rFonts w:hint="eastAsia" w:ascii="宋体" w:hAnsi="宋体" w:eastAsia="宋体" w:cs="宋体"/>
                <w:szCs w:val="21"/>
              </w:rPr>
            </w:pPr>
          </w:p>
        </w:tc>
        <w:tc>
          <w:tcPr>
            <w:tcW w:w="3485" w:type="dxa"/>
            <w:noWrap w:val="0"/>
            <w:vAlign w:val="center"/>
          </w:tcPr>
          <w:p w14:paraId="4895A307">
            <w:pPr>
              <w:jc w:val="left"/>
              <w:rPr>
                <w:rFonts w:hint="eastAsia" w:ascii="宋体" w:hAnsi="宋体" w:eastAsia="宋体" w:cs="宋体"/>
                <w:szCs w:val="21"/>
              </w:rPr>
            </w:pPr>
            <w:r>
              <w:rPr>
                <w:rFonts w:hint="eastAsia" w:ascii="宋体" w:hAnsi="宋体" w:eastAsia="宋体" w:cs="宋体"/>
                <w:szCs w:val="21"/>
              </w:rPr>
              <w:t>建成区保洁时间 5:</w:t>
            </w:r>
            <w:r>
              <w:rPr>
                <w:rFonts w:hint="eastAsia" w:ascii="宋体" w:hAnsi="宋体" w:eastAsia="宋体" w:cs="宋体"/>
                <w:szCs w:val="21"/>
                <w:lang w:val="en-US" w:eastAsia="zh-CN"/>
              </w:rPr>
              <w:t>3</w:t>
            </w:r>
            <w:r>
              <w:rPr>
                <w:rFonts w:hint="eastAsia" w:ascii="宋体" w:hAnsi="宋体" w:eastAsia="宋体" w:cs="宋体"/>
                <w:szCs w:val="21"/>
              </w:rPr>
              <w:t>0-21:30 ,其他区域5：</w:t>
            </w:r>
            <w:r>
              <w:rPr>
                <w:rFonts w:hint="eastAsia" w:ascii="宋体" w:hAnsi="宋体" w:eastAsia="宋体" w:cs="宋体"/>
                <w:szCs w:val="21"/>
                <w:lang w:val="en-US" w:eastAsia="zh-CN"/>
              </w:rPr>
              <w:t>3</w:t>
            </w:r>
            <w:r>
              <w:rPr>
                <w:rFonts w:hint="eastAsia" w:ascii="宋体" w:hAnsi="宋体" w:eastAsia="宋体" w:cs="宋体"/>
                <w:szCs w:val="21"/>
              </w:rPr>
              <w:t>0-19：30按规定时间路段到岗（具体在岗时间随季节、保洁要求适当调整）。首次普遍清扫夏季（6月-8月）在上午6时30分以前完成，春、秋、冬季（9月-次年5月）在上午7时完成</w:t>
            </w:r>
          </w:p>
        </w:tc>
        <w:tc>
          <w:tcPr>
            <w:tcW w:w="5235" w:type="dxa"/>
            <w:noWrap w:val="0"/>
            <w:vAlign w:val="center"/>
          </w:tcPr>
          <w:p w14:paraId="23DE6346">
            <w:pPr>
              <w:rPr>
                <w:rFonts w:hint="eastAsia" w:ascii="宋体" w:hAnsi="宋体" w:eastAsia="宋体" w:cs="宋体"/>
                <w:szCs w:val="21"/>
              </w:rPr>
            </w:pPr>
            <w:r>
              <w:rPr>
                <w:rFonts w:hint="eastAsia" w:ascii="宋体" w:hAnsi="宋体" w:eastAsia="宋体" w:cs="宋体"/>
                <w:szCs w:val="21"/>
              </w:rPr>
              <w:t xml:space="preserve">未按规定到岗每1人扣100元，计0.5分。 </w:t>
            </w:r>
          </w:p>
        </w:tc>
      </w:tr>
      <w:tr w14:paraId="7F3A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3E1838DF">
            <w:pPr>
              <w:ind w:firstLine="420" w:firstLineChars="200"/>
              <w:rPr>
                <w:rFonts w:hint="eastAsia" w:ascii="宋体" w:hAnsi="宋体" w:eastAsia="宋体" w:cs="宋体"/>
                <w:szCs w:val="21"/>
              </w:rPr>
            </w:pPr>
          </w:p>
        </w:tc>
        <w:tc>
          <w:tcPr>
            <w:tcW w:w="3485" w:type="dxa"/>
            <w:noWrap w:val="0"/>
            <w:vAlign w:val="center"/>
          </w:tcPr>
          <w:p w14:paraId="17C45221">
            <w:pPr>
              <w:rPr>
                <w:rFonts w:hint="eastAsia" w:ascii="宋体" w:hAnsi="宋体" w:eastAsia="宋体" w:cs="宋体"/>
                <w:szCs w:val="21"/>
              </w:rPr>
            </w:pPr>
            <w:r>
              <w:rPr>
                <w:rFonts w:hint="eastAsia" w:ascii="宋体" w:hAnsi="宋体" w:eastAsia="宋体" w:cs="宋体"/>
                <w:szCs w:val="21"/>
              </w:rPr>
              <w:t>道路保洁质量应达到“六无五净”，即无果皮纸屑、无土石杂草、无积水积泥、无痰迹烟蒂、无堆积物、无乱张贴（乱涂写），路面干净、行道树穴干净、边角侧石干净、窨井沟眼畅通干净。垃圾滞留时间：一级道路（区域）不超过10分钟，二级道路（区域）不超过15分钟，三级道路（区域）不超过20分钟。</w:t>
            </w:r>
          </w:p>
        </w:tc>
        <w:tc>
          <w:tcPr>
            <w:tcW w:w="5235" w:type="dxa"/>
            <w:noWrap w:val="0"/>
            <w:vAlign w:val="center"/>
          </w:tcPr>
          <w:p w14:paraId="27587D69">
            <w:pPr>
              <w:rPr>
                <w:rFonts w:hint="eastAsia" w:ascii="宋体" w:hAnsi="宋体" w:eastAsia="宋体" w:cs="宋体"/>
                <w:szCs w:val="21"/>
              </w:rPr>
            </w:pPr>
            <w:r>
              <w:rPr>
                <w:rFonts w:hint="eastAsia" w:ascii="宋体" w:hAnsi="宋体" w:eastAsia="宋体" w:cs="宋体"/>
                <w:szCs w:val="21"/>
              </w:rPr>
              <w:t>发现一次未按规定完成扣100-200元，计0.2-0.4分；</w:t>
            </w:r>
          </w:p>
        </w:tc>
      </w:tr>
      <w:tr w14:paraId="25AA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shd w:val="clear" w:color="auto" w:fill="auto"/>
            <w:noWrap w:val="0"/>
            <w:vAlign w:val="center"/>
          </w:tcPr>
          <w:p w14:paraId="1CAEC5D4">
            <w:pPr>
              <w:ind w:firstLine="420" w:firstLineChars="200"/>
              <w:rPr>
                <w:rFonts w:hint="eastAsia" w:ascii="宋体" w:hAnsi="宋体" w:eastAsia="宋体" w:cs="宋体"/>
                <w:szCs w:val="21"/>
              </w:rPr>
            </w:pPr>
          </w:p>
        </w:tc>
        <w:tc>
          <w:tcPr>
            <w:tcW w:w="3485" w:type="dxa"/>
            <w:shd w:val="clear" w:color="auto" w:fill="FFFFFF"/>
            <w:noWrap w:val="0"/>
            <w:vAlign w:val="center"/>
          </w:tcPr>
          <w:p w14:paraId="423802E8">
            <w:pPr>
              <w:rPr>
                <w:rFonts w:hint="eastAsia" w:ascii="宋体" w:hAnsi="宋体" w:eastAsia="宋体" w:cs="宋体"/>
                <w:szCs w:val="21"/>
              </w:rPr>
            </w:pPr>
            <w:r>
              <w:rPr>
                <w:rFonts w:hint="eastAsia" w:ascii="宋体" w:hAnsi="宋体" w:eastAsia="宋体" w:cs="宋体"/>
                <w:szCs w:val="21"/>
              </w:rPr>
              <w:t>道路路面、桥梁两侧没有积尘、沙土等，道路需路面冲洗，每天应不少于2次，或视路实际情况而定。冲洗时间一般应在晚上或清晨</w:t>
            </w:r>
          </w:p>
        </w:tc>
        <w:tc>
          <w:tcPr>
            <w:tcW w:w="5235" w:type="dxa"/>
            <w:shd w:val="clear" w:color="auto" w:fill="FFFFFF"/>
            <w:noWrap w:val="0"/>
            <w:vAlign w:val="center"/>
          </w:tcPr>
          <w:p w14:paraId="628AA512">
            <w:pPr>
              <w:rPr>
                <w:rFonts w:hint="eastAsia" w:ascii="宋体" w:hAnsi="宋体" w:eastAsia="宋体" w:cs="宋体"/>
                <w:szCs w:val="21"/>
              </w:rPr>
            </w:pPr>
            <w:r>
              <w:rPr>
                <w:rFonts w:hint="eastAsia" w:ascii="宋体" w:hAnsi="宋体" w:eastAsia="宋体" w:cs="宋体"/>
                <w:szCs w:val="21"/>
              </w:rPr>
              <w:t>发现一次未按规定完成扣500元，计1分；</w:t>
            </w:r>
          </w:p>
        </w:tc>
      </w:tr>
      <w:tr w14:paraId="5126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1" w:type="dxa"/>
            <w:vMerge w:val="continue"/>
            <w:shd w:val="clear" w:color="auto" w:fill="auto"/>
            <w:noWrap w:val="0"/>
            <w:vAlign w:val="center"/>
          </w:tcPr>
          <w:p w14:paraId="68B2F6E1">
            <w:pPr>
              <w:ind w:firstLine="420" w:firstLineChars="200"/>
              <w:rPr>
                <w:rFonts w:hint="eastAsia" w:ascii="宋体" w:hAnsi="宋体" w:eastAsia="宋体" w:cs="宋体"/>
                <w:szCs w:val="21"/>
              </w:rPr>
            </w:pPr>
          </w:p>
        </w:tc>
        <w:tc>
          <w:tcPr>
            <w:tcW w:w="3485" w:type="dxa"/>
            <w:shd w:val="clear" w:color="auto" w:fill="FFFFFF"/>
            <w:noWrap w:val="0"/>
            <w:vAlign w:val="center"/>
          </w:tcPr>
          <w:p w14:paraId="1C143555">
            <w:pPr>
              <w:rPr>
                <w:rFonts w:hint="eastAsia" w:ascii="宋体" w:hAnsi="宋体" w:eastAsia="宋体" w:cs="宋体"/>
                <w:szCs w:val="21"/>
              </w:rPr>
            </w:pPr>
            <w:r>
              <w:rPr>
                <w:rFonts w:hint="eastAsia" w:ascii="宋体" w:hAnsi="宋体" w:eastAsia="宋体" w:cs="宋体"/>
                <w:szCs w:val="21"/>
              </w:rPr>
              <w:t>绿道、休闲公园广场、停车场、公交站台及其他公共场所等保洁，按照 “六无五净”要求落实。</w:t>
            </w:r>
          </w:p>
        </w:tc>
        <w:tc>
          <w:tcPr>
            <w:tcW w:w="5235" w:type="dxa"/>
            <w:shd w:val="clear" w:color="auto" w:fill="FFFFFF"/>
            <w:noWrap w:val="0"/>
            <w:vAlign w:val="center"/>
          </w:tcPr>
          <w:p w14:paraId="7261A879">
            <w:pPr>
              <w:rPr>
                <w:rFonts w:hint="eastAsia" w:ascii="宋体" w:hAnsi="宋体" w:eastAsia="宋体" w:cs="宋体"/>
                <w:szCs w:val="21"/>
              </w:rPr>
            </w:pPr>
            <w:r>
              <w:rPr>
                <w:rFonts w:hint="eastAsia" w:ascii="宋体" w:hAnsi="宋体" w:eastAsia="宋体" w:cs="宋体"/>
                <w:szCs w:val="21"/>
              </w:rPr>
              <w:t>成堆成片垃圾0.5M2以上每处扣2000-10000元，计3分；0.5M2以下每处扣1000元，计2分；零星垃圾，每处扣500元，计1分；路（硬地）面积泥、污水每处扣300元，计0.5分</w:t>
            </w:r>
          </w:p>
        </w:tc>
      </w:tr>
      <w:tr w14:paraId="28DB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51" w:type="dxa"/>
            <w:vMerge w:val="continue"/>
            <w:shd w:val="clear" w:color="auto" w:fill="auto"/>
            <w:noWrap w:val="0"/>
            <w:vAlign w:val="center"/>
          </w:tcPr>
          <w:p w14:paraId="0C9DA39B">
            <w:pPr>
              <w:ind w:firstLine="420" w:firstLineChars="200"/>
              <w:rPr>
                <w:rFonts w:hint="eastAsia" w:ascii="宋体" w:hAnsi="宋体" w:eastAsia="宋体" w:cs="宋体"/>
                <w:szCs w:val="21"/>
              </w:rPr>
            </w:pPr>
          </w:p>
        </w:tc>
        <w:tc>
          <w:tcPr>
            <w:tcW w:w="3485" w:type="dxa"/>
            <w:shd w:val="clear" w:color="auto" w:fill="FFFFFF"/>
            <w:noWrap w:val="0"/>
            <w:vAlign w:val="center"/>
          </w:tcPr>
          <w:p w14:paraId="4D2B2EA0">
            <w:pPr>
              <w:rPr>
                <w:rFonts w:hint="eastAsia" w:ascii="宋体" w:hAnsi="宋体" w:eastAsia="宋体" w:cs="宋体"/>
                <w:szCs w:val="21"/>
              </w:rPr>
            </w:pPr>
            <w:r>
              <w:rPr>
                <w:rFonts w:hint="eastAsia" w:ascii="宋体" w:hAnsi="宋体" w:eastAsia="宋体" w:cs="宋体"/>
                <w:szCs w:val="21"/>
              </w:rPr>
              <w:t>发包区域范围内乱偷到生活垃圾、建筑垃圾、工业垃圾及时处置</w:t>
            </w:r>
          </w:p>
        </w:tc>
        <w:tc>
          <w:tcPr>
            <w:tcW w:w="5235" w:type="dxa"/>
            <w:shd w:val="clear" w:color="auto" w:fill="FFFFFF"/>
            <w:noWrap w:val="0"/>
            <w:vAlign w:val="center"/>
          </w:tcPr>
          <w:p w14:paraId="37942CD5">
            <w:pPr>
              <w:rPr>
                <w:rFonts w:hint="eastAsia" w:ascii="宋体" w:hAnsi="宋体" w:eastAsia="宋体" w:cs="宋体"/>
                <w:szCs w:val="21"/>
              </w:rPr>
            </w:pPr>
            <w:r>
              <w:rPr>
                <w:rFonts w:hint="eastAsia" w:ascii="宋体" w:hAnsi="宋体" w:eastAsia="宋体" w:cs="宋体"/>
                <w:szCs w:val="21"/>
              </w:rPr>
              <w:t>发现一次未按规定完成扣2000-5000元，计3分；</w:t>
            </w:r>
          </w:p>
        </w:tc>
      </w:tr>
      <w:tr w14:paraId="755C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vMerge w:val="continue"/>
            <w:shd w:val="clear" w:color="auto" w:fill="auto"/>
            <w:noWrap w:val="0"/>
            <w:vAlign w:val="center"/>
          </w:tcPr>
          <w:p w14:paraId="7E3D8E1D">
            <w:pPr>
              <w:ind w:firstLine="420" w:firstLineChars="200"/>
              <w:rPr>
                <w:rFonts w:hint="eastAsia" w:ascii="宋体" w:hAnsi="宋体" w:eastAsia="宋体" w:cs="宋体"/>
                <w:szCs w:val="21"/>
              </w:rPr>
            </w:pPr>
          </w:p>
        </w:tc>
        <w:tc>
          <w:tcPr>
            <w:tcW w:w="3485" w:type="dxa"/>
            <w:shd w:val="clear" w:color="auto" w:fill="FFFFFF"/>
            <w:noWrap w:val="0"/>
            <w:vAlign w:val="center"/>
          </w:tcPr>
          <w:p w14:paraId="4C5FB428">
            <w:pPr>
              <w:rPr>
                <w:rFonts w:hint="eastAsia" w:ascii="宋体" w:hAnsi="宋体" w:eastAsia="宋体" w:cs="宋体"/>
                <w:szCs w:val="21"/>
              </w:rPr>
            </w:pPr>
            <w:r>
              <w:rPr>
                <w:rFonts w:hint="eastAsia" w:ascii="宋体" w:hAnsi="宋体" w:eastAsia="宋体" w:cs="宋体"/>
                <w:szCs w:val="21"/>
              </w:rPr>
              <w:t>承包范围所有垃圾桶、垃圾箱垃圾做到日产日清，无陈旧垃圾过夜；主要道路沿街店铺垃圾上门分类收集。</w:t>
            </w:r>
          </w:p>
        </w:tc>
        <w:tc>
          <w:tcPr>
            <w:tcW w:w="5235" w:type="dxa"/>
            <w:shd w:val="clear" w:color="auto" w:fill="FFFFFF"/>
            <w:noWrap w:val="0"/>
            <w:vAlign w:val="center"/>
          </w:tcPr>
          <w:p w14:paraId="03B460C6">
            <w:pPr>
              <w:rPr>
                <w:rFonts w:hint="eastAsia" w:ascii="宋体" w:hAnsi="宋体" w:eastAsia="宋体" w:cs="宋体"/>
                <w:szCs w:val="21"/>
              </w:rPr>
            </w:pPr>
            <w:r>
              <w:rPr>
                <w:rFonts w:hint="eastAsia" w:ascii="宋体" w:hAnsi="宋体" w:eastAsia="宋体" w:cs="宋体"/>
                <w:szCs w:val="21"/>
              </w:rPr>
              <w:t>发现一次未按规定完成扣50-100元，计0.1至0.2分；发现垃圾房周围有垃圾堆的扣100－500，每次计0</w:t>
            </w:r>
            <w:r>
              <w:rPr>
                <w:rFonts w:hint="eastAsia" w:ascii="宋体" w:hAnsi="宋体" w:eastAsia="宋体" w:cs="宋体"/>
                <w:szCs w:val="21"/>
                <w:lang w:val="en-US" w:eastAsia="zh-CN"/>
              </w:rPr>
              <w:t>.5</w:t>
            </w:r>
            <w:r>
              <w:rPr>
                <w:rFonts w:hint="eastAsia" w:ascii="宋体" w:hAnsi="宋体" w:eastAsia="宋体" w:cs="宋体"/>
                <w:szCs w:val="21"/>
              </w:rPr>
              <w:t>－1分。发现垃圾</w:t>
            </w:r>
            <w:r>
              <w:rPr>
                <w:rFonts w:hint="eastAsia" w:ascii="宋体" w:hAnsi="宋体" w:eastAsia="宋体" w:cs="宋体"/>
                <w:szCs w:val="21"/>
                <w:lang w:eastAsia="zh-CN"/>
              </w:rPr>
              <w:t>果壳箱</w:t>
            </w:r>
            <w:r>
              <w:rPr>
                <w:rFonts w:hint="eastAsia" w:ascii="宋体" w:hAnsi="宋体" w:eastAsia="宋体" w:cs="宋体"/>
                <w:szCs w:val="21"/>
              </w:rPr>
              <w:t>垃圾外溢、不及时清运的，每次扣500－1000元，计2－3分；</w:t>
            </w:r>
          </w:p>
        </w:tc>
      </w:tr>
      <w:tr w14:paraId="12C1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51" w:type="dxa"/>
            <w:vMerge w:val="continue"/>
            <w:shd w:val="clear" w:color="auto" w:fill="auto"/>
            <w:noWrap w:val="0"/>
            <w:vAlign w:val="center"/>
          </w:tcPr>
          <w:p w14:paraId="00FA0C31">
            <w:pPr>
              <w:ind w:firstLine="420" w:firstLineChars="200"/>
              <w:rPr>
                <w:rFonts w:hint="eastAsia" w:ascii="宋体" w:hAnsi="宋体" w:eastAsia="宋体" w:cs="宋体"/>
                <w:szCs w:val="21"/>
              </w:rPr>
            </w:pPr>
          </w:p>
        </w:tc>
        <w:tc>
          <w:tcPr>
            <w:tcW w:w="3485" w:type="dxa"/>
            <w:shd w:val="clear" w:color="auto" w:fill="FFFFFF"/>
            <w:noWrap w:val="0"/>
            <w:vAlign w:val="center"/>
          </w:tcPr>
          <w:p w14:paraId="5F270A29">
            <w:pPr>
              <w:rPr>
                <w:rFonts w:hint="eastAsia" w:ascii="宋体" w:hAnsi="宋体" w:eastAsia="宋体" w:cs="宋体"/>
                <w:szCs w:val="21"/>
              </w:rPr>
            </w:pPr>
            <w:r>
              <w:rPr>
                <w:rFonts w:hint="eastAsia" w:ascii="宋体" w:hAnsi="宋体" w:eastAsia="宋体" w:cs="宋体"/>
                <w:szCs w:val="21"/>
              </w:rPr>
              <w:t>垃圾必须清运到指定地点，不得随意倾倒、不得随意焚烧。</w:t>
            </w:r>
          </w:p>
        </w:tc>
        <w:tc>
          <w:tcPr>
            <w:tcW w:w="5235" w:type="dxa"/>
            <w:shd w:val="clear" w:color="auto" w:fill="FFFFFF"/>
            <w:noWrap w:val="0"/>
            <w:vAlign w:val="center"/>
          </w:tcPr>
          <w:p w14:paraId="39563A87">
            <w:pPr>
              <w:rPr>
                <w:rFonts w:hint="eastAsia" w:ascii="宋体" w:hAnsi="宋体" w:eastAsia="宋体" w:cs="宋体"/>
                <w:szCs w:val="21"/>
              </w:rPr>
            </w:pPr>
            <w:r>
              <w:rPr>
                <w:rFonts w:hint="eastAsia" w:ascii="宋体" w:hAnsi="宋体" w:eastAsia="宋体" w:cs="宋体"/>
                <w:szCs w:val="21"/>
              </w:rPr>
              <w:t>发现随意倾倒扣500-2000元/次，计2-4分，发现随意焚烧扣2000元-5000元/次，计4-10分，</w:t>
            </w:r>
          </w:p>
        </w:tc>
      </w:tr>
      <w:tr w14:paraId="2915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1" w:type="dxa"/>
            <w:vMerge w:val="continue"/>
            <w:noWrap w:val="0"/>
            <w:vAlign w:val="center"/>
          </w:tcPr>
          <w:p w14:paraId="4A92946D">
            <w:pPr>
              <w:ind w:firstLine="420" w:firstLineChars="200"/>
              <w:rPr>
                <w:rFonts w:hint="eastAsia" w:ascii="宋体" w:hAnsi="宋体" w:eastAsia="宋体" w:cs="宋体"/>
                <w:szCs w:val="21"/>
              </w:rPr>
            </w:pPr>
          </w:p>
        </w:tc>
        <w:tc>
          <w:tcPr>
            <w:tcW w:w="3485" w:type="dxa"/>
            <w:noWrap w:val="0"/>
            <w:vAlign w:val="center"/>
          </w:tcPr>
          <w:p w14:paraId="364BFB38">
            <w:pPr>
              <w:rPr>
                <w:rFonts w:hint="eastAsia" w:ascii="宋体" w:hAnsi="宋体" w:eastAsia="宋体" w:cs="宋体"/>
                <w:szCs w:val="21"/>
              </w:rPr>
            </w:pPr>
            <w:r>
              <w:rPr>
                <w:rFonts w:hint="eastAsia" w:ascii="宋体" w:hAnsi="宋体" w:eastAsia="宋体" w:cs="宋体"/>
                <w:szCs w:val="21"/>
              </w:rPr>
              <w:t>夏、秋季定期对垃圾箱、垃圾桶消杀, 防止蚊蝇产生。果壳箱等设备按所在道路（区域）等级清理及清洗。</w:t>
            </w:r>
          </w:p>
        </w:tc>
        <w:tc>
          <w:tcPr>
            <w:tcW w:w="5235" w:type="dxa"/>
            <w:noWrap w:val="0"/>
            <w:vAlign w:val="center"/>
          </w:tcPr>
          <w:p w14:paraId="52A657B8">
            <w:pPr>
              <w:rPr>
                <w:rFonts w:hint="eastAsia" w:ascii="宋体" w:hAnsi="宋体" w:eastAsia="宋体" w:cs="宋体"/>
                <w:szCs w:val="21"/>
              </w:rPr>
            </w:pPr>
            <w:r>
              <w:rPr>
                <w:rFonts w:hint="eastAsia" w:ascii="宋体" w:hAnsi="宋体" w:eastAsia="宋体" w:cs="宋体"/>
                <w:szCs w:val="21"/>
              </w:rPr>
              <w:t>发现一次违规操作扣50-100元，计0.1-0.2分。</w:t>
            </w:r>
          </w:p>
        </w:tc>
      </w:tr>
      <w:tr w14:paraId="0753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1" w:type="dxa"/>
            <w:vMerge w:val="continue"/>
            <w:noWrap w:val="0"/>
            <w:vAlign w:val="center"/>
          </w:tcPr>
          <w:p w14:paraId="6127E145">
            <w:pPr>
              <w:ind w:firstLine="420" w:firstLineChars="200"/>
              <w:rPr>
                <w:rFonts w:hint="eastAsia" w:ascii="宋体" w:hAnsi="宋体" w:eastAsia="宋体" w:cs="宋体"/>
                <w:szCs w:val="21"/>
              </w:rPr>
            </w:pPr>
          </w:p>
        </w:tc>
        <w:tc>
          <w:tcPr>
            <w:tcW w:w="3485" w:type="dxa"/>
            <w:noWrap w:val="0"/>
            <w:vAlign w:val="center"/>
          </w:tcPr>
          <w:p w14:paraId="43354054">
            <w:pPr>
              <w:rPr>
                <w:rFonts w:hint="eastAsia" w:ascii="宋体" w:hAnsi="宋体" w:eastAsia="宋体" w:cs="宋体"/>
                <w:szCs w:val="21"/>
              </w:rPr>
            </w:pPr>
            <w:r>
              <w:rPr>
                <w:rFonts w:hint="eastAsia" w:ascii="宋体" w:hAnsi="宋体" w:eastAsia="宋体" w:cs="宋体"/>
                <w:szCs w:val="21"/>
              </w:rPr>
              <w:t>垃圾运输途中没有沿路抛洒滴漏现象，造成二次环境污染</w:t>
            </w:r>
          </w:p>
        </w:tc>
        <w:tc>
          <w:tcPr>
            <w:tcW w:w="5235" w:type="dxa"/>
            <w:noWrap w:val="0"/>
            <w:vAlign w:val="center"/>
          </w:tcPr>
          <w:p w14:paraId="7F2C0976">
            <w:pPr>
              <w:rPr>
                <w:rFonts w:hint="eastAsia" w:ascii="宋体" w:hAnsi="宋体" w:eastAsia="宋体" w:cs="宋体"/>
                <w:szCs w:val="21"/>
              </w:rPr>
            </w:pPr>
            <w:r>
              <w:rPr>
                <w:rFonts w:hint="eastAsia" w:ascii="宋体" w:hAnsi="宋体" w:eastAsia="宋体" w:cs="宋体"/>
                <w:szCs w:val="21"/>
              </w:rPr>
              <w:t>发现一次违规操作扣500-1000元，计1-2分。</w:t>
            </w:r>
          </w:p>
        </w:tc>
      </w:tr>
      <w:tr w14:paraId="35A6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1" w:type="dxa"/>
            <w:vMerge w:val="continue"/>
            <w:shd w:val="clear" w:color="auto" w:fill="auto"/>
            <w:noWrap w:val="0"/>
            <w:vAlign w:val="center"/>
          </w:tcPr>
          <w:p w14:paraId="5CEB9391">
            <w:pPr>
              <w:ind w:firstLine="420" w:firstLineChars="200"/>
              <w:rPr>
                <w:rFonts w:hint="eastAsia" w:ascii="宋体" w:hAnsi="宋体" w:eastAsia="宋体" w:cs="宋体"/>
                <w:szCs w:val="21"/>
              </w:rPr>
            </w:pPr>
          </w:p>
        </w:tc>
        <w:tc>
          <w:tcPr>
            <w:tcW w:w="3485" w:type="dxa"/>
            <w:shd w:val="clear" w:color="auto" w:fill="FFFFFF"/>
            <w:noWrap w:val="0"/>
            <w:vAlign w:val="center"/>
          </w:tcPr>
          <w:p w14:paraId="786DB903">
            <w:pPr>
              <w:rPr>
                <w:rFonts w:hint="eastAsia" w:ascii="宋体" w:hAnsi="宋体" w:eastAsia="宋体" w:cs="宋体"/>
                <w:szCs w:val="21"/>
              </w:rPr>
            </w:pPr>
            <w:r>
              <w:rPr>
                <w:rFonts w:hint="eastAsia" w:ascii="宋体" w:hAnsi="宋体" w:eastAsia="宋体" w:cs="宋体"/>
                <w:szCs w:val="21"/>
              </w:rPr>
              <w:t>清扫工人必须着统一带反光标记的安全服装作业，人工清扫必须做到遵章守纪讲安全，操作工具统一存放指定地点</w:t>
            </w:r>
          </w:p>
        </w:tc>
        <w:tc>
          <w:tcPr>
            <w:tcW w:w="5235" w:type="dxa"/>
            <w:shd w:val="clear" w:color="auto" w:fill="FFFFFF"/>
            <w:noWrap w:val="0"/>
            <w:vAlign w:val="center"/>
          </w:tcPr>
          <w:p w14:paraId="11D3E5A9">
            <w:pPr>
              <w:rPr>
                <w:rFonts w:hint="eastAsia" w:ascii="宋体" w:hAnsi="宋体" w:eastAsia="宋体" w:cs="宋体"/>
                <w:szCs w:val="21"/>
              </w:rPr>
            </w:pPr>
            <w:r>
              <w:rPr>
                <w:rFonts w:hint="eastAsia" w:ascii="宋体" w:hAnsi="宋体" w:eastAsia="宋体" w:cs="宋体"/>
                <w:szCs w:val="21"/>
              </w:rPr>
              <w:t>发现一次未按规定着装扣50元/人，计0.1分/人；违反规定，每发现1人扣50元/人，计0.1分/人；</w:t>
            </w:r>
          </w:p>
        </w:tc>
      </w:tr>
      <w:tr w14:paraId="7E45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1" w:type="dxa"/>
            <w:vMerge w:val="restart"/>
            <w:shd w:val="clear" w:color="auto" w:fill="auto"/>
            <w:noWrap w:val="0"/>
            <w:vAlign w:val="center"/>
          </w:tcPr>
          <w:p w14:paraId="3444C0C0">
            <w:pPr>
              <w:rPr>
                <w:rFonts w:hint="eastAsia" w:ascii="宋体" w:hAnsi="宋体" w:eastAsia="宋体" w:cs="宋体"/>
                <w:szCs w:val="21"/>
              </w:rPr>
            </w:pPr>
            <w:r>
              <w:rPr>
                <w:rFonts w:hint="eastAsia" w:ascii="宋体" w:hAnsi="宋体" w:eastAsia="宋体" w:cs="宋体"/>
                <w:szCs w:val="21"/>
              </w:rPr>
              <w:t>车辆设施、设备</w:t>
            </w:r>
          </w:p>
        </w:tc>
        <w:tc>
          <w:tcPr>
            <w:tcW w:w="3485" w:type="dxa"/>
            <w:shd w:val="clear" w:color="auto" w:fill="FFFFFF"/>
            <w:noWrap w:val="0"/>
            <w:vAlign w:val="center"/>
          </w:tcPr>
          <w:p w14:paraId="4D294BE2">
            <w:pPr>
              <w:rPr>
                <w:rFonts w:hint="eastAsia" w:ascii="宋体" w:hAnsi="宋体" w:eastAsia="宋体" w:cs="宋体"/>
                <w:szCs w:val="21"/>
              </w:rPr>
            </w:pPr>
            <w:r>
              <w:rPr>
                <w:rFonts w:hint="eastAsia" w:ascii="宋体" w:hAnsi="宋体" w:eastAsia="宋体" w:cs="宋体"/>
                <w:szCs w:val="21"/>
              </w:rPr>
              <w:t>全区域内环卫设施、设备不得擅自拆除，定期维护及检修，正常使用。</w:t>
            </w:r>
          </w:p>
        </w:tc>
        <w:tc>
          <w:tcPr>
            <w:tcW w:w="5235" w:type="dxa"/>
            <w:shd w:val="clear" w:color="auto" w:fill="FFFFFF"/>
            <w:noWrap w:val="0"/>
            <w:vAlign w:val="center"/>
          </w:tcPr>
          <w:p w14:paraId="2D07E0E5">
            <w:pPr>
              <w:rPr>
                <w:rFonts w:hint="eastAsia" w:ascii="宋体" w:hAnsi="宋体" w:eastAsia="宋体" w:cs="宋体"/>
                <w:szCs w:val="21"/>
              </w:rPr>
            </w:pPr>
            <w:r>
              <w:rPr>
                <w:rFonts w:hint="eastAsia" w:ascii="宋体" w:hAnsi="宋体" w:eastAsia="宋体" w:cs="宋体"/>
                <w:szCs w:val="21"/>
              </w:rPr>
              <w:t>发现一次未按规定完成扣50-100元，计0.1-0.2分。</w:t>
            </w:r>
          </w:p>
        </w:tc>
      </w:tr>
      <w:tr w14:paraId="49A7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1" w:type="dxa"/>
            <w:vMerge w:val="continue"/>
            <w:shd w:val="clear" w:color="auto" w:fill="auto"/>
            <w:noWrap w:val="0"/>
            <w:vAlign w:val="center"/>
          </w:tcPr>
          <w:p w14:paraId="28C6C8AD">
            <w:pPr>
              <w:ind w:firstLine="420" w:firstLineChars="200"/>
              <w:rPr>
                <w:rFonts w:hint="eastAsia" w:ascii="宋体" w:hAnsi="宋体" w:eastAsia="宋体" w:cs="宋体"/>
                <w:szCs w:val="21"/>
              </w:rPr>
            </w:pPr>
          </w:p>
        </w:tc>
        <w:tc>
          <w:tcPr>
            <w:tcW w:w="3485" w:type="dxa"/>
            <w:shd w:val="clear" w:color="auto" w:fill="FFFFFF"/>
            <w:noWrap w:val="0"/>
            <w:vAlign w:val="center"/>
          </w:tcPr>
          <w:p w14:paraId="50158D78">
            <w:pPr>
              <w:rPr>
                <w:rFonts w:hint="eastAsia" w:ascii="宋体" w:hAnsi="宋体" w:eastAsia="宋体" w:cs="宋体"/>
                <w:szCs w:val="21"/>
              </w:rPr>
            </w:pPr>
            <w:r>
              <w:rPr>
                <w:rFonts w:hint="eastAsia" w:ascii="宋体" w:hAnsi="宋体" w:eastAsia="宋体" w:cs="宋体"/>
                <w:szCs w:val="21"/>
              </w:rPr>
              <w:t>垃圾运输车辆要密闭并保持外表整洁，并符合垃圾分类运输要求。</w:t>
            </w:r>
          </w:p>
        </w:tc>
        <w:tc>
          <w:tcPr>
            <w:tcW w:w="5235" w:type="dxa"/>
            <w:shd w:val="clear" w:color="auto" w:fill="FFFFFF"/>
            <w:noWrap w:val="0"/>
            <w:vAlign w:val="center"/>
          </w:tcPr>
          <w:p w14:paraId="7E625227">
            <w:pPr>
              <w:rPr>
                <w:rFonts w:hint="eastAsia" w:ascii="宋体" w:hAnsi="宋体" w:eastAsia="宋体" w:cs="宋体"/>
                <w:szCs w:val="21"/>
              </w:rPr>
            </w:pPr>
            <w:r>
              <w:rPr>
                <w:rFonts w:hint="eastAsia" w:ascii="宋体" w:hAnsi="宋体" w:eastAsia="宋体" w:cs="宋体"/>
                <w:szCs w:val="21"/>
              </w:rPr>
              <w:t>发现一次未按规定完成扣500-1000元，计1-2分。</w:t>
            </w:r>
          </w:p>
        </w:tc>
      </w:tr>
      <w:tr w14:paraId="51FA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1" w:type="dxa"/>
            <w:vMerge w:val="continue"/>
            <w:shd w:val="clear" w:color="auto" w:fill="auto"/>
            <w:noWrap w:val="0"/>
            <w:vAlign w:val="center"/>
          </w:tcPr>
          <w:p w14:paraId="0579BBDD">
            <w:pPr>
              <w:ind w:firstLine="420" w:firstLineChars="200"/>
              <w:rPr>
                <w:rFonts w:hint="eastAsia" w:ascii="宋体" w:hAnsi="宋体" w:eastAsia="宋体" w:cs="宋体"/>
                <w:szCs w:val="21"/>
              </w:rPr>
            </w:pPr>
          </w:p>
        </w:tc>
        <w:tc>
          <w:tcPr>
            <w:tcW w:w="3485" w:type="dxa"/>
            <w:shd w:val="clear" w:color="auto" w:fill="FFFFFF"/>
            <w:noWrap w:val="0"/>
            <w:vAlign w:val="top"/>
          </w:tcPr>
          <w:p w14:paraId="05D6DED7">
            <w:pPr>
              <w:rPr>
                <w:rFonts w:hint="eastAsia" w:ascii="宋体" w:hAnsi="宋体" w:eastAsia="宋体" w:cs="宋体"/>
                <w:szCs w:val="21"/>
              </w:rPr>
            </w:pPr>
            <w:r>
              <w:rPr>
                <w:rFonts w:hint="eastAsia" w:ascii="宋体" w:hAnsi="宋体" w:eastAsia="宋体" w:cs="宋体"/>
                <w:szCs w:val="21"/>
              </w:rPr>
              <w:t>车辆GPS定位及视频监控运行正常；</w:t>
            </w:r>
          </w:p>
        </w:tc>
        <w:tc>
          <w:tcPr>
            <w:tcW w:w="5235" w:type="dxa"/>
            <w:shd w:val="clear" w:color="auto" w:fill="FFFFFF"/>
            <w:noWrap w:val="0"/>
            <w:vAlign w:val="top"/>
          </w:tcPr>
          <w:p w14:paraId="23E2B542">
            <w:pPr>
              <w:rPr>
                <w:rFonts w:hint="eastAsia" w:ascii="宋体" w:hAnsi="宋体" w:eastAsia="宋体" w:cs="宋体"/>
                <w:szCs w:val="21"/>
              </w:rPr>
            </w:pPr>
            <w:r>
              <w:rPr>
                <w:rFonts w:hint="eastAsia" w:ascii="宋体" w:hAnsi="宋体" w:eastAsia="宋体" w:cs="宋体"/>
                <w:szCs w:val="21"/>
              </w:rPr>
              <w:t>发现一辆车辆运行工作无故不正常超过3天的，每次扣5分，计3000元；</w:t>
            </w:r>
          </w:p>
        </w:tc>
      </w:tr>
      <w:tr w14:paraId="4108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1" w:type="dxa"/>
            <w:vMerge w:val="continue"/>
            <w:shd w:val="clear" w:color="auto" w:fill="auto"/>
            <w:noWrap w:val="0"/>
            <w:vAlign w:val="center"/>
          </w:tcPr>
          <w:p w14:paraId="00FC7F12">
            <w:pPr>
              <w:ind w:firstLine="420" w:firstLineChars="200"/>
              <w:rPr>
                <w:rFonts w:hint="eastAsia" w:ascii="宋体" w:hAnsi="宋体" w:eastAsia="宋体" w:cs="宋体"/>
                <w:szCs w:val="21"/>
              </w:rPr>
            </w:pPr>
          </w:p>
        </w:tc>
        <w:tc>
          <w:tcPr>
            <w:tcW w:w="3485" w:type="dxa"/>
            <w:shd w:val="clear" w:color="auto" w:fill="FFFFFF"/>
            <w:noWrap w:val="0"/>
            <w:vAlign w:val="center"/>
          </w:tcPr>
          <w:p w14:paraId="7FD0FDE3">
            <w:pPr>
              <w:rPr>
                <w:rFonts w:hint="eastAsia" w:ascii="宋体" w:hAnsi="宋体" w:eastAsia="宋体" w:cs="宋体"/>
                <w:szCs w:val="21"/>
              </w:rPr>
            </w:pPr>
            <w:r>
              <w:rPr>
                <w:rFonts w:hint="eastAsia" w:ascii="宋体" w:hAnsi="宋体" w:eastAsia="宋体" w:cs="宋体"/>
                <w:szCs w:val="21"/>
              </w:rPr>
              <w:t>环卫专业车辆完成当天任务完成后必须回场，按规定地方停放，车辆严禁外借他人驾驶，驾驶员必须严格遵守《道路交通管理条例》，不得违章乱楟车。</w:t>
            </w:r>
          </w:p>
        </w:tc>
        <w:tc>
          <w:tcPr>
            <w:tcW w:w="5235" w:type="dxa"/>
            <w:shd w:val="clear" w:color="auto" w:fill="FFFFFF"/>
            <w:noWrap w:val="0"/>
            <w:vAlign w:val="center"/>
          </w:tcPr>
          <w:p w14:paraId="0FC6566B">
            <w:pPr>
              <w:rPr>
                <w:rFonts w:hint="eastAsia" w:ascii="宋体" w:hAnsi="宋体" w:eastAsia="宋体" w:cs="宋体"/>
                <w:szCs w:val="21"/>
              </w:rPr>
            </w:pPr>
            <w:r>
              <w:rPr>
                <w:rFonts w:hint="eastAsia" w:ascii="宋体" w:hAnsi="宋体" w:eastAsia="宋体" w:cs="宋体"/>
                <w:szCs w:val="21"/>
              </w:rPr>
              <w:t>发现一次未按规定完成扣50-100元，计0.1-0.2分。</w:t>
            </w:r>
          </w:p>
        </w:tc>
      </w:tr>
      <w:tr w14:paraId="71B1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restart"/>
            <w:noWrap w:val="0"/>
            <w:vAlign w:val="center"/>
          </w:tcPr>
          <w:p w14:paraId="1DC09626">
            <w:pPr>
              <w:rPr>
                <w:rFonts w:hint="eastAsia" w:ascii="宋体" w:hAnsi="宋体" w:eastAsia="宋体" w:cs="宋体"/>
                <w:szCs w:val="21"/>
              </w:rPr>
            </w:pPr>
            <w:r>
              <w:rPr>
                <w:rFonts w:hint="eastAsia" w:ascii="宋体" w:hAnsi="宋体" w:eastAsia="宋体" w:cs="宋体"/>
                <w:szCs w:val="21"/>
              </w:rPr>
              <w:t>公厕</w:t>
            </w:r>
          </w:p>
          <w:p w14:paraId="44104661">
            <w:pPr>
              <w:ind w:firstLine="420" w:firstLineChars="200"/>
              <w:rPr>
                <w:rFonts w:hint="eastAsia" w:ascii="宋体" w:hAnsi="宋体" w:eastAsia="宋体" w:cs="宋体"/>
                <w:szCs w:val="21"/>
              </w:rPr>
            </w:pPr>
          </w:p>
        </w:tc>
        <w:tc>
          <w:tcPr>
            <w:tcW w:w="3485" w:type="dxa"/>
            <w:noWrap w:val="0"/>
            <w:vAlign w:val="center"/>
          </w:tcPr>
          <w:p w14:paraId="2B3429F8">
            <w:pPr>
              <w:rPr>
                <w:rFonts w:hint="eastAsia" w:ascii="宋体" w:hAnsi="宋体" w:eastAsia="宋体" w:cs="宋体"/>
                <w:szCs w:val="21"/>
              </w:rPr>
            </w:pPr>
            <w:r>
              <w:rPr>
                <w:rFonts w:hint="eastAsia" w:ascii="宋体" w:hAnsi="宋体" w:eastAsia="宋体" w:cs="宋体"/>
                <w:szCs w:val="21"/>
              </w:rPr>
              <w:t>承包范围所有公厕四周，做到无臭无蝇，四周地面无粪便污物、无乱涂乱画、无杂物等</w:t>
            </w:r>
          </w:p>
        </w:tc>
        <w:tc>
          <w:tcPr>
            <w:tcW w:w="5235" w:type="dxa"/>
            <w:noWrap w:val="0"/>
            <w:vAlign w:val="center"/>
          </w:tcPr>
          <w:p w14:paraId="3B0474B7">
            <w:pPr>
              <w:rPr>
                <w:rFonts w:hint="eastAsia" w:ascii="宋体" w:hAnsi="宋体" w:eastAsia="宋体" w:cs="宋体"/>
                <w:szCs w:val="21"/>
              </w:rPr>
            </w:pPr>
            <w:r>
              <w:rPr>
                <w:rFonts w:hint="eastAsia" w:ascii="宋体" w:hAnsi="宋体" w:eastAsia="宋体" w:cs="宋体"/>
                <w:szCs w:val="21"/>
              </w:rPr>
              <w:t>发现一次未按规定完成扣50-100元，计0.1-0.2分。</w:t>
            </w:r>
          </w:p>
        </w:tc>
      </w:tr>
      <w:tr w14:paraId="03A6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0AEE3072">
            <w:pPr>
              <w:ind w:firstLine="420" w:firstLineChars="200"/>
              <w:rPr>
                <w:rFonts w:hint="eastAsia" w:ascii="宋体" w:hAnsi="宋体" w:eastAsia="宋体" w:cs="宋体"/>
                <w:szCs w:val="21"/>
              </w:rPr>
            </w:pPr>
          </w:p>
        </w:tc>
        <w:tc>
          <w:tcPr>
            <w:tcW w:w="3485" w:type="dxa"/>
            <w:noWrap w:val="0"/>
            <w:vAlign w:val="center"/>
          </w:tcPr>
          <w:p w14:paraId="72C75B49">
            <w:pPr>
              <w:rPr>
                <w:rFonts w:hint="eastAsia" w:ascii="宋体" w:hAnsi="宋体" w:eastAsia="宋体" w:cs="宋体"/>
                <w:szCs w:val="21"/>
              </w:rPr>
            </w:pPr>
            <w:r>
              <w:rPr>
                <w:rFonts w:hint="eastAsia" w:ascii="宋体" w:hAnsi="宋体" w:eastAsia="宋体" w:cs="宋体"/>
                <w:szCs w:val="21"/>
              </w:rPr>
              <w:t>负责公厕的小型维修，如有发现损坏情况应及时进行维修。</w:t>
            </w:r>
          </w:p>
          <w:p w14:paraId="17723313">
            <w:pPr>
              <w:rPr>
                <w:rFonts w:hint="eastAsia" w:ascii="宋体" w:hAnsi="宋体" w:eastAsia="宋体" w:cs="宋体"/>
                <w:szCs w:val="21"/>
              </w:rPr>
            </w:pPr>
          </w:p>
        </w:tc>
        <w:tc>
          <w:tcPr>
            <w:tcW w:w="5235" w:type="dxa"/>
            <w:noWrap w:val="0"/>
            <w:vAlign w:val="center"/>
          </w:tcPr>
          <w:p w14:paraId="70C43987">
            <w:pPr>
              <w:rPr>
                <w:rFonts w:hint="eastAsia" w:ascii="宋体" w:hAnsi="宋体" w:eastAsia="宋体" w:cs="宋体"/>
                <w:szCs w:val="21"/>
              </w:rPr>
            </w:pPr>
            <w:r>
              <w:rPr>
                <w:rFonts w:hint="eastAsia" w:ascii="宋体" w:hAnsi="宋体" w:eastAsia="宋体" w:cs="宋体"/>
                <w:szCs w:val="21"/>
              </w:rPr>
              <w:t>发现一次未及时维修，扣100元，计0.5分</w:t>
            </w:r>
          </w:p>
        </w:tc>
      </w:tr>
      <w:tr w14:paraId="1AF4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7CE79A4D">
            <w:pPr>
              <w:ind w:firstLine="420" w:firstLineChars="200"/>
              <w:rPr>
                <w:rFonts w:hint="eastAsia" w:ascii="宋体" w:hAnsi="宋体" w:eastAsia="宋体" w:cs="宋体"/>
                <w:szCs w:val="21"/>
              </w:rPr>
            </w:pPr>
          </w:p>
        </w:tc>
        <w:tc>
          <w:tcPr>
            <w:tcW w:w="3485" w:type="dxa"/>
            <w:noWrap w:val="0"/>
            <w:vAlign w:val="center"/>
          </w:tcPr>
          <w:p w14:paraId="718A88C9">
            <w:pPr>
              <w:rPr>
                <w:rFonts w:hint="eastAsia" w:ascii="宋体" w:hAnsi="宋体" w:eastAsia="宋体" w:cs="宋体"/>
                <w:szCs w:val="21"/>
              </w:rPr>
            </w:pPr>
            <w:r>
              <w:rPr>
                <w:rFonts w:hint="eastAsia" w:ascii="宋体" w:hAnsi="宋体" w:eastAsia="宋体" w:cs="宋体"/>
                <w:szCs w:val="21"/>
              </w:rPr>
              <w:t>公厕每天冲洗不少于一次，纸篓每天清理不少于2次（上午、下午各1次）保持公厕内整洁，定期药物消杀。</w:t>
            </w:r>
          </w:p>
        </w:tc>
        <w:tc>
          <w:tcPr>
            <w:tcW w:w="5235" w:type="dxa"/>
            <w:noWrap w:val="0"/>
            <w:vAlign w:val="center"/>
          </w:tcPr>
          <w:p w14:paraId="7D364782">
            <w:pPr>
              <w:rPr>
                <w:rFonts w:hint="eastAsia" w:ascii="宋体" w:hAnsi="宋体" w:eastAsia="宋体" w:cs="宋体"/>
                <w:szCs w:val="21"/>
              </w:rPr>
            </w:pPr>
            <w:r>
              <w:rPr>
                <w:rFonts w:hint="eastAsia" w:ascii="宋体" w:hAnsi="宋体" w:eastAsia="宋体" w:cs="宋体"/>
                <w:szCs w:val="21"/>
              </w:rPr>
              <w:t>臭味重、冲洗不及时每座扣50元，计0.1分；发现蝇咀每座扣200元，计0.5分；无故不开放扣500元/座，计1分；</w:t>
            </w:r>
          </w:p>
        </w:tc>
      </w:tr>
      <w:tr w14:paraId="705E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4778E6D1">
            <w:pPr>
              <w:ind w:firstLine="420" w:firstLineChars="200"/>
              <w:rPr>
                <w:rFonts w:hint="eastAsia" w:ascii="宋体" w:hAnsi="宋体" w:eastAsia="宋体" w:cs="宋体"/>
                <w:szCs w:val="21"/>
              </w:rPr>
            </w:pPr>
          </w:p>
        </w:tc>
        <w:tc>
          <w:tcPr>
            <w:tcW w:w="3485" w:type="dxa"/>
            <w:noWrap w:val="0"/>
            <w:vAlign w:val="center"/>
          </w:tcPr>
          <w:p w14:paraId="02ED40EC">
            <w:pPr>
              <w:rPr>
                <w:rFonts w:hint="eastAsia" w:ascii="宋体" w:hAnsi="宋体" w:eastAsia="宋体" w:cs="宋体"/>
                <w:szCs w:val="21"/>
              </w:rPr>
            </w:pPr>
            <w:r>
              <w:rPr>
                <w:rFonts w:hint="eastAsia" w:ascii="宋体" w:hAnsi="宋体" w:eastAsia="宋体" w:cs="宋体"/>
                <w:szCs w:val="21"/>
              </w:rPr>
              <w:t>定期清理储粪池，盖完好，做好储粪池不满溢。</w:t>
            </w:r>
          </w:p>
        </w:tc>
        <w:tc>
          <w:tcPr>
            <w:tcW w:w="5235" w:type="dxa"/>
            <w:noWrap w:val="0"/>
            <w:vAlign w:val="center"/>
          </w:tcPr>
          <w:p w14:paraId="122FFCB7">
            <w:pPr>
              <w:rPr>
                <w:rFonts w:hint="eastAsia" w:ascii="宋体" w:hAnsi="宋体" w:eastAsia="宋体" w:cs="宋体"/>
                <w:szCs w:val="21"/>
              </w:rPr>
            </w:pPr>
            <w:r>
              <w:rPr>
                <w:rFonts w:hint="eastAsia" w:ascii="宋体" w:hAnsi="宋体" w:eastAsia="宋体" w:cs="宋体"/>
                <w:szCs w:val="21"/>
              </w:rPr>
              <w:t>发现一次未按规定完成扣200元-500元，计0.5-1分。</w:t>
            </w:r>
          </w:p>
        </w:tc>
      </w:tr>
      <w:tr w14:paraId="4F9E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restart"/>
            <w:noWrap w:val="0"/>
            <w:vAlign w:val="center"/>
          </w:tcPr>
          <w:p w14:paraId="51898511">
            <w:pPr>
              <w:rPr>
                <w:rFonts w:hint="eastAsia" w:ascii="宋体" w:hAnsi="宋体" w:eastAsia="宋体" w:cs="宋体"/>
                <w:szCs w:val="21"/>
              </w:rPr>
            </w:pPr>
            <w:r>
              <w:rPr>
                <w:rFonts w:hint="eastAsia" w:ascii="宋体" w:hAnsi="宋体" w:eastAsia="宋体" w:cs="宋体"/>
                <w:szCs w:val="21"/>
              </w:rPr>
              <w:t>乱张</w:t>
            </w:r>
          </w:p>
          <w:p w14:paraId="5B6025ED">
            <w:pPr>
              <w:rPr>
                <w:rFonts w:hint="eastAsia" w:ascii="宋体" w:hAnsi="宋体" w:eastAsia="宋体" w:cs="宋体"/>
                <w:szCs w:val="21"/>
              </w:rPr>
            </w:pPr>
            <w:r>
              <w:rPr>
                <w:rFonts w:hint="eastAsia" w:ascii="宋体" w:hAnsi="宋体" w:eastAsia="宋体" w:cs="宋体"/>
                <w:szCs w:val="21"/>
              </w:rPr>
              <w:t>贴</w:t>
            </w:r>
          </w:p>
          <w:p w14:paraId="28CA7E8C">
            <w:pPr>
              <w:ind w:firstLine="420" w:firstLineChars="200"/>
              <w:rPr>
                <w:rFonts w:hint="eastAsia" w:ascii="宋体" w:hAnsi="宋体" w:eastAsia="宋体" w:cs="宋体"/>
                <w:szCs w:val="21"/>
              </w:rPr>
            </w:pPr>
          </w:p>
        </w:tc>
        <w:tc>
          <w:tcPr>
            <w:tcW w:w="3485" w:type="dxa"/>
            <w:noWrap w:val="0"/>
            <w:vAlign w:val="center"/>
          </w:tcPr>
          <w:p w14:paraId="3A6EAA0D">
            <w:pPr>
              <w:rPr>
                <w:rFonts w:hint="eastAsia" w:ascii="宋体" w:hAnsi="宋体" w:eastAsia="宋体" w:cs="宋体"/>
                <w:szCs w:val="21"/>
              </w:rPr>
            </w:pPr>
            <w:r>
              <w:rPr>
                <w:rFonts w:hint="eastAsia" w:ascii="宋体" w:hAnsi="宋体" w:eastAsia="宋体" w:cs="宋体"/>
                <w:szCs w:val="21"/>
              </w:rPr>
              <w:t>清理主干道（桥梁）、次干道（桥梁）及店铺、小弄、小区周边的乱张贴、乱涂写。</w:t>
            </w:r>
          </w:p>
        </w:tc>
        <w:tc>
          <w:tcPr>
            <w:tcW w:w="5235" w:type="dxa"/>
            <w:noWrap w:val="0"/>
            <w:vAlign w:val="center"/>
          </w:tcPr>
          <w:p w14:paraId="5B4E83C6">
            <w:pPr>
              <w:rPr>
                <w:rFonts w:hint="eastAsia" w:ascii="宋体" w:hAnsi="宋体" w:eastAsia="宋体" w:cs="宋体"/>
                <w:szCs w:val="21"/>
              </w:rPr>
            </w:pPr>
            <w:r>
              <w:rPr>
                <w:rFonts w:hint="eastAsia" w:ascii="宋体" w:hAnsi="宋体" w:eastAsia="宋体" w:cs="宋体"/>
                <w:szCs w:val="21"/>
              </w:rPr>
              <w:t>主干道（桥梁）乱张贴、乱涂写在5处以上每处扣10元，次干道（桥梁）8处以上每处扣10元，其余地方包括小弄及小区内10处以上扣10元；清理不干净留下痕迹每一处扣5元，落地纸屑等杂物没有清扫的每一处扣5元，计1分。</w:t>
            </w:r>
          </w:p>
        </w:tc>
      </w:tr>
      <w:tr w14:paraId="5BEC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51" w:type="dxa"/>
            <w:vMerge w:val="continue"/>
            <w:noWrap w:val="0"/>
            <w:vAlign w:val="center"/>
          </w:tcPr>
          <w:p w14:paraId="291AFB61">
            <w:pPr>
              <w:ind w:firstLine="420" w:firstLineChars="200"/>
              <w:rPr>
                <w:rFonts w:hint="eastAsia" w:ascii="宋体" w:hAnsi="宋体" w:eastAsia="宋体" w:cs="宋体"/>
                <w:szCs w:val="21"/>
              </w:rPr>
            </w:pPr>
          </w:p>
        </w:tc>
        <w:tc>
          <w:tcPr>
            <w:tcW w:w="3485" w:type="dxa"/>
            <w:noWrap w:val="0"/>
            <w:vAlign w:val="center"/>
          </w:tcPr>
          <w:p w14:paraId="0BC7A08F">
            <w:pPr>
              <w:rPr>
                <w:rFonts w:hint="eastAsia" w:ascii="宋体" w:hAnsi="宋体" w:eastAsia="宋体" w:cs="宋体"/>
                <w:szCs w:val="21"/>
              </w:rPr>
            </w:pPr>
            <w:r>
              <w:rPr>
                <w:rFonts w:hint="eastAsia" w:ascii="宋体" w:hAnsi="宋体" w:eastAsia="宋体" w:cs="宋体"/>
                <w:szCs w:val="21"/>
              </w:rPr>
              <w:t>清理乱张贴、乱涂写时要按规范操作</w:t>
            </w:r>
          </w:p>
        </w:tc>
        <w:tc>
          <w:tcPr>
            <w:tcW w:w="5235" w:type="dxa"/>
            <w:noWrap w:val="0"/>
            <w:vAlign w:val="center"/>
          </w:tcPr>
          <w:p w14:paraId="1AADF28E">
            <w:pPr>
              <w:rPr>
                <w:rFonts w:hint="eastAsia" w:ascii="宋体" w:hAnsi="宋体" w:eastAsia="宋体" w:cs="宋体"/>
                <w:szCs w:val="21"/>
              </w:rPr>
            </w:pPr>
            <w:r>
              <w:rPr>
                <w:rFonts w:hint="eastAsia" w:ascii="宋体" w:hAnsi="宋体" w:eastAsia="宋体" w:cs="宋体"/>
                <w:szCs w:val="21"/>
              </w:rPr>
              <w:t>在清理乱张贴、乱涂写时因方法不当或操作不规范造成所清理的墙壁、地面、桥面等被污染、损坏的，由保洁单位承担所有修补清洁费用，每发现一处扣100元；计1分。</w:t>
            </w:r>
          </w:p>
        </w:tc>
      </w:tr>
      <w:tr w14:paraId="03FC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51" w:type="dxa"/>
            <w:vMerge w:val="continue"/>
            <w:noWrap w:val="0"/>
            <w:vAlign w:val="center"/>
          </w:tcPr>
          <w:p w14:paraId="20075B70">
            <w:pPr>
              <w:ind w:firstLine="420" w:firstLineChars="200"/>
              <w:rPr>
                <w:rFonts w:hint="eastAsia" w:ascii="宋体" w:hAnsi="宋体" w:eastAsia="宋体" w:cs="宋体"/>
                <w:szCs w:val="21"/>
              </w:rPr>
            </w:pPr>
          </w:p>
        </w:tc>
        <w:tc>
          <w:tcPr>
            <w:tcW w:w="3485" w:type="dxa"/>
            <w:noWrap w:val="0"/>
            <w:vAlign w:val="center"/>
          </w:tcPr>
          <w:p w14:paraId="50006C41">
            <w:pPr>
              <w:rPr>
                <w:rFonts w:hint="eastAsia" w:ascii="宋体" w:hAnsi="宋体" w:eastAsia="宋体" w:cs="宋体"/>
                <w:szCs w:val="21"/>
              </w:rPr>
            </w:pPr>
            <w:r>
              <w:rPr>
                <w:rFonts w:hint="eastAsia" w:ascii="宋体" w:hAnsi="宋体" w:eastAsia="宋体" w:cs="宋体"/>
                <w:szCs w:val="21"/>
              </w:rPr>
              <w:t>对乱张贴、乱涂写的日常检查</w:t>
            </w:r>
          </w:p>
        </w:tc>
        <w:tc>
          <w:tcPr>
            <w:tcW w:w="5235" w:type="dxa"/>
            <w:noWrap w:val="0"/>
            <w:vAlign w:val="center"/>
          </w:tcPr>
          <w:p w14:paraId="62BBDA91">
            <w:pPr>
              <w:rPr>
                <w:rFonts w:hint="eastAsia" w:ascii="宋体" w:hAnsi="宋体" w:eastAsia="宋体" w:cs="宋体"/>
                <w:szCs w:val="21"/>
              </w:rPr>
            </w:pPr>
            <w:r>
              <w:rPr>
                <w:rFonts w:hint="eastAsia" w:ascii="宋体" w:hAnsi="宋体" w:eastAsia="宋体" w:cs="宋体"/>
                <w:szCs w:val="21"/>
              </w:rPr>
              <w:t>日常巡逻中连续3天每天发现主干道及次干道发现 “乱张贴、乱涂写”的，每处扣1000元，计3－5分。</w:t>
            </w:r>
          </w:p>
        </w:tc>
      </w:tr>
      <w:tr w14:paraId="1C94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restart"/>
            <w:noWrap w:val="0"/>
            <w:vAlign w:val="center"/>
          </w:tcPr>
          <w:p w14:paraId="5383DC32">
            <w:pPr>
              <w:rPr>
                <w:rFonts w:hint="eastAsia" w:ascii="宋体" w:hAnsi="宋体" w:eastAsia="宋体" w:cs="宋体"/>
                <w:szCs w:val="21"/>
              </w:rPr>
            </w:pPr>
            <w:r>
              <w:rPr>
                <w:rFonts w:hint="eastAsia" w:ascii="宋体" w:hAnsi="宋体" w:eastAsia="宋体" w:cs="宋体"/>
                <w:szCs w:val="21"/>
              </w:rPr>
              <w:t>河道</w:t>
            </w:r>
          </w:p>
          <w:p w14:paraId="722A8795">
            <w:pPr>
              <w:rPr>
                <w:rFonts w:hint="eastAsia" w:ascii="宋体" w:hAnsi="宋体" w:eastAsia="宋体" w:cs="宋体"/>
                <w:szCs w:val="21"/>
              </w:rPr>
            </w:pPr>
            <w:r>
              <w:rPr>
                <w:rFonts w:hint="eastAsia" w:ascii="宋体" w:hAnsi="宋体" w:eastAsia="宋体" w:cs="宋体"/>
                <w:szCs w:val="21"/>
              </w:rPr>
              <w:t>保洁</w:t>
            </w:r>
          </w:p>
          <w:p w14:paraId="22DFDD32">
            <w:pPr>
              <w:ind w:firstLine="420" w:firstLineChars="200"/>
              <w:rPr>
                <w:rFonts w:hint="eastAsia" w:ascii="宋体" w:hAnsi="宋体" w:eastAsia="宋体" w:cs="宋体"/>
                <w:szCs w:val="21"/>
              </w:rPr>
            </w:pPr>
          </w:p>
        </w:tc>
        <w:tc>
          <w:tcPr>
            <w:tcW w:w="3485" w:type="dxa"/>
            <w:noWrap w:val="0"/>
            <w:vAlign w:val="center"/>
          </w:tcPr>
          <w:p w14:paraId="78EB1518">
            <w:pPr>
              <w:rPr>
                <w:rFonts w:hint="eastAsia" w:ascii="宋体" w:hAnsi="宋体" w:eastAsia="宋体" w:cs="宋体"/>
                <w:szCs w:val="21"/>
              </w:rPr>
            </w:pPr>
            <w:r>
              <w:rPr>
                <w:rFonts w:hint="eastAsia" w:ascii="宋体" w:hAnsi="宋体" w:eastAsia="宋体" w:cs="宋体"/>
                <w:szCs w:val="21"/>
              </w:rPr>
              <w:t>保洁人员应统一着救生衣</w:t>
            </w:r>
          </w:p>
        </w:tc>
        <w:tc>
          <w:tcPr>
            <w:tcW w:w="5235" w:type="dxa"/>
            <w:noWrap w:val="0"/>
            <w:vAlign w:val="center"/>
          </w:tcPr>
          <w:p w14:paraId="0B0A2399">
            <w:pPr>
              <w:rPr>
                <w:rFonts w:hint="eastAsia" w:ascii="宋体" w:hAnsi="宋体" w:eastAsia="宋体" w:cs="宋体"/>
                <w:szCs w:val="21"/>
              </w:rPr>
            </w:pPr>
            <w:r>
              <w:rPr>
                <w:rFonts w:hint="eastAsia" w:ascii="宋体" w:hAnsi="宋体" w:eastAsia="宋体" w:cs="宋体"/>
                <w:szCs w:val="21"/>
              </w:rPr>
              <w:t>发现一次未按规定穿着扣100元/人，计0.2分。</w:t>
            </w:r>
          </w:p>
        </w:tc>
      </w:tr>
      <w:tr w14:paraId="5F20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593D7132">
            <w:pPr>
              <w:ind w:firstLine="420" w:firstLineChars="200"/>
              <w:rPr>
                <w:rFonts w:hint="eastAsia" w:ascii="宋体" w:hAnsi="宋体" w:eastAsia="宋体" w:cs="宋体"/>
                <w:szCs w:val="21"/>
              </w:rPr>
            </w:pPr>
          </w:p>
        </w:tc>
        <w:tc>
          <w:tcPr>
            <w:tcW w:w="3485" w:type="dxa"/>
            <w:noWrap w:val="0"/>
            <w:vAlign w:val="center"/>
          </w:tcPr>
          <w:p w14:paraId="6CC26AEA">
            <w:pPr>
              <w:rPr>
                <w:rFonts w:hint="eastAsia" w:ascii="宋体" w:hAnsi="宋体" w:eastAsia="宋体" w:cs="宋体"/>
                <w:szCs w:val="21"/>
              </w:rPr>
            </w:pPr>
            <w:r>
              <w:rPr>
                <w:rFonts w:hint="eastAsia" w:ascii="宋体" w:hAnsi="宋体" w:eastAsia="宋体" w:cs="宋体"/>
                <w:szCs w:val="21"/>
              </w:rPr>
              <w:t>水面保洁船应有醒目标志</w:t>
            </w:r>
          </w:p>
        </w:tc>
        <w:tc>
          <w:tcPr>
            <w:tcW w:w="5235" w:type="dxa"/>
            <w:noWrap w:val="0"/>
            <w:vAlign w:val="center"/>
          </w:tcPr>
          <w:p w14:paraId="7B589AF5">
            <w:pPr>
              <w:rPr>
                <w:rFonts w:hint="eastAsia" w:ascii="宋体" w:hAnsi="宋体" w:eastAsia="宋体" w:cs="宋体"/>
                <w:szCs w:val="21"/>
              </w:rPr>
            </w:pPr>
            <w:r>
              <w:rPr>
                <w:rFonts w:hint="eastAsia" w:ascii="宋体" w:hAnsi="宋体" w:eastAsia="宋体" w:cs="宋体"/>
                <w:szCs w:val="21"/>
              </w:rPr>
              <w:t>发现一次未按规定标志扣100元，计0.2分。</w:t>
            </w:r>
          </w:p>
        </w:tc>
      </w:tr>
      <w:tr w14:paraId="3EC2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Merge w:val="continue"/>
            <w:noWrap w:val="0"/>
            <w:vAlign w:val="center"/>
          </w:tcPr>
          <w:p w14:paraId="3CF75742">
            <w:pPr>
              <w:ind w:firstLine="420" w:firstLineChars="200"/>
              <w:rPr>
                <w:rFonts w:hint="eastAsia" w:ascii="宋体" w:hAnsi="宋体" w:eastAsia="宋体" w:cs="宋体"/>
                <w:szCs w:val="21"/>
              </w:rPr>
            </w:pPr>
          </w:p>
        </w:tc>
        <w:tc>
          <w:tcPr>
            <w:tcW w:w="3485" w:type="dxa"/>
            <w:noWrap w:val="0"/>
            <w:vAlign w:val="center"/>
          </w:tcPr>
          <w:p w14:paraId="49FD2B98">
            <w:pPr>
              <w:rPr>
                <w:rFonts w:hint="eastAsia" w:ascii="宋体" w:hAnsi="宋体" w:eastAsia="宋体" w:cs="宋体"/>
                <w:szCs w:val="21"/>
              </w:rPr>
            </w:pPr>
            <w:r>
              <w:rPr>
                <w:rFonts w:hint="eastAsia" w:ascii="宋体" w:hAnsi="宋体" w:eastAsia="宋体" w:cs="宋体"/>
                <w:szCs w:val="21"/>
              </w:rPr>
              <w:t>按规定全日制巡回保洁，保洁员根据岗位必须按实到岗到位</w:t>
            </w:r>
          </w:p>
        </w:tc>
        <w:tc>
          <w:tcPr>
            <w:tcW w:w="5235" w:type="dxa"/>
            <w:noWrap w:val="0"/>
            <w:vAlign w:val="center"/>
          </w:tcPr>
          <w:p w14:paraId="35311035">
            <w:pPr>
              <w:rPr>
                <w:rFonts w:hint="eastAsia" w:ascii="宋体" w:hAnsi="宋体" w:eastAsia="宋体" w:cs="宋体"/>
                <w:szCs w:val="21"/>
              </w:rPr>
            </w:pPr>
            <w:r>
              <w:rPr>
                <w:rFonts w:hint="eastAsia" w:ascii="宋体" w:hAnsi="宋体" w:eastAsia="宋体" w:cs="宋体"/>
                <w:szCs w:val="21"/>
              </w:rPr>
              <w:t>发现一次未按规定巡回保洁扣1000元，计5分；每月每个岗位保洁员缺岗10天的，按实按岗扣1个月工资（保洁船3500元/人），计5分/人。</w:t>
            </w:r>
          </w:p>
        </w:tc>
      </w:tr>
      <w:tr w14:paraId="7909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245BF758">
            <w:pPr>
              <w:ind w:firstLine="420" w:firstLineChars="200"/>
              <w:rPr>
                <w:rFonts w:hint="eastAsia" w:ascii="宋体" w:hAnsi="宋体" w:eastAsia="宋体" w:cs="宋体"/>
                <w:szCs w:val="21"/>
              </w:rPr>
            </w:pPr>
          </w:p>
        </w:tc>
        <w:tc>
          <w:tcPr>
            <w:tcW w:w="3485" w:type="dxa"/>
            <w:noWrap w:val="0"/>
            <w:vAlign w:val="center"/>
          </w:tcPr>
          <w:p w14:paraId="4334D3D5">
            <w:pPr>
              <w:rPr>
                <w:rFonts w:hint="eastAsia" w:ascii="宋体" w:hAnsi="宋体" w:eastAsia="宋体" w:cs="宋体"/>
                <w:szCs w:val="21"/>
              </w:rPr>
            </w:pPr>
            <w:r>
              <w:rPr>
                <w:rFonts w:hint="eastAsia" w:ascii="宋体" w:hAnsi="宋体" w:eastAsia="宋体" w:cs="宋体"/>
                <w:szCs w:val="21"/>
              </w:rPr>
              <w:t>承包范围河面达到“三无三净”，河道两岸、桥堍两侧10米内干净</w:t>
            </w:r>
          </w:p>
        </w:tc>
        <w:tc>
          <w:tcPr>
            <w:tcW w:w="5235" w:type="dxa"/>
            <w:noWrap w:val="0"/>
            <w:vAlign w:val="center"/>
          </w:tcPr>
          <w:p w14:paraId="4DAF50E2">
            <w:pPr>
              <w:rPr>
                <w:rFonts w:hint="eastAsia" w:ascii="宋体" w:hAnsi="宋体" w:eastAsia="宋体" w:cs="宋体"/>
                <w:szCs w:val="21"/>
              </w:rPr>
            </w:pPr>
            <w:r>
              <w:rPr>
                <w:rFonts w:hint="eastAsia" w:ascii="宋体" w:hAnsi="宋体" w:eastAsia="宋体" w:cs="宋体"/>
                <w:szCs w:val="21"/>
              </w:rPr>
              <w:t>成堆成片垃圾0.5 M2以上每处扣2000-10000元，计3-5分，；0.5 M2以下每处扣1000元，计2分；零星垃圾，每处扣500元，计1分；河面漂浮物大于1 M2，每处扣2000-10000元，计3-5分；小于1 M2每处扣1000元，计2分。零星垃圾，每处扣300元，计1分。4—11月水生植物超过规定的每处扣2000元，计3分。</w:t>
            </w:r>
          </w:p>
        </w:tc>
      </w:tr>
      <w:tr w14:paraId="622C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34494258">
            <w:pPr>
              <w:ind w:firstLine="420" w:firstLineChars="200"/>
              <w:rPr>
                <w:rFonts w:hint="eastAsia" w:ascii="宋体" w:hAnsi="宋体" w:eastAsia="宋体" w:cs="宋体"/>
                <w:szCs w:val="21"/>
              </w:rPr>
            </w:pPr>
          </w:p>
        </w:tc>
        <w:tc>
          <w:tcPr>
            <w:tcW w:w="3485" w:type="dxa"/>
            <w:noWrap w:val="0"/>
            <w:vAlign w:val="center"/>
          </w:tcPr>
          <w:p w14:paraId="08AB1269">
            <w:pPr>
              <w:rPr>
                <w:rFonts w:hint="eastAsia" w:ascii="宋体" w:hAnsi="宋体" w:eastAsia="宋体" w:cs="宋体"/>
                <w:szCs w:val="21"/>
              </w:rPr>
            </w:pPr>
            <w:r>
              <w:rPr>
                <w:rFonts w:hint="eastAsia" w:ascii="宋体" w:hAnsi="宋体" w:eastAsia="宋体" w:cs="宋体"/>
                <w:szCs w:val="21"/>
              </w:rPr>
              <w:t>发现漂浮死亡动物应及时通知有关防疫部门处理，并妥善处理</w:t>
            </w:r>
          </w:p>
        </w:tc>
        <w:tc>
          <w:tcPr>
            <w:tcW w:w="5235" w:type="dxa"/>
            <w:noWrap w:val="0"/>
            <w:vAlign w:val="center"/>
          </w:tcPr>
          <w:p w14:paraId="4C161BB9">
            <w:pPr>
              <w:rPr>
                <w:rFonts w:hint="eastAsia" w:ascii="宋体" w:hAnsi="宋体" w:eastAsia="宋体" w:cs="宋体"/>
                <w:szCs w:val="21"/>
              </w:rPr>
            </w:pPr>
            <w:r>
              <w:rPr>
                <w:rFonts w:hint="eastAsia" w:ascii="宋体" w:hAnsi="宋体" w:eastAsia="宋体" w:cs="宋体"/>
                <w:szCs w:val="21"/>
              </w:rPr>
              <w:t>未及时通报、妥善处理的扣100元，计0.2分；</w:t>
            </w:r>
          </w:p>
        </w:tc>
      </w:tr>
      <w:tr w14:paraId="496D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1E46AE6A">
            <w:pPr>
              <w:ind w:firstLine="420" w:firstLineChars="200"/>
              <w:rPr>
                <w:rFonts w:hint="eastAsia" w:ascii="宋体" w:hAnsi="宋体" w:eastAsia="宋体" w:cs="宋体"/>
                <w:szCs w:val="21"/>
              </w:rPr>
            </w:pPr>
          </w:p>
        </w:tc>
        <w:tc>
          <w:tcPr>
            <w:tcW w:w="3485" w:type="dxa"/>
            <w:noWrap w:val="0"/>
            <w:vAlign w:val="center"/>
          </w:tcPr>
          <w:p w14:paraId="019924F8">
            <w:pPr>
              <w:rPr>
                <w:rFonts w:hint="eastAsia" w:ascii="宋体" w:hAnsi="宋体" w:eastAsia="宋体" w:cs="宋体"/>
                <w:szCs w:val="21"/>
              </w:rPr>
            </w:pPr>
            <w:r>
              <w:rPr>
                <w:rFonts w:hint="eastAsia" w:ascii="宋体" w:hAnsi="宋体" w:eastAsia="宋体" w:cs="宋体"/>
                <w:szCs w:val="21"/>
              </w:rPr>
              <w:t>打捞的垃圾、杂草、水生植物等进行分类，不可腐烂垃圾（其他垃圾）送到垃圾中转房转运处置，杂草、水生植物可腐烂物装运到镇有机垃圾处理中心进行集中处置。</w:t>
            </w:r>
          </w:p>
        </w:tc>
        <w:tc>
          <w:tcPr>
            <w:tcW w:w="5235" w:type="dxa"/>
            <w:noWrap w:val="0"/>
            <w:vAlign w:val="center"/>
          </w:tcPr>
          <w:p w14:paraId="49D39589">
            <w:pPr>
              <w:rPr>
                <w:rFonts w:hint="eastAsia" w:ascii="宋体" w:hAnsi="宋体" w:eastAsia="宋体" w:cs="宋体"/>
                <w:szCs w:val="21"/>
              </w:rPr>
            </w:pPr>
            <w:r>
              <w:rPr>
                <w:rFonts w:hint="eastAsia" w:ascii="宋体" w:hAnsi="宋体" w:eastAsia="宋体" w:cs="宋体"/>
                <w:szCs w:val="21"/>
              </w:rPr>
              <w:t>发现一次未按规定完成扣2000-5000元，计3-5分。</w:t>
            </w:r>
          </w:p>
        </w:tc>
      </w:tr>
      <w:tr w14:paraId="0912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1" w:type="dxa"/>
            <w:vMerge w:val="restart"/>
            <w:noWrap w:val="0"/>
            <w:vAlign w:val="center"/>
          </w:tcPr>
          <w:p w14:paraId="2E7DB3A6">
            <w:pPr>
              <w:rPr>
                <w:rFonts w:hint="eastAsia" w:ascii="宋体" w:hAnsi="宋体" w:eastAsia="宋体" w:cs="宋体"/>
                <w:szCs w:val="21"/>
              </w:rPr>
            </w:pPr>
            <w:r>
              <w:rPr>
                <w:rFonts w:hint="eastAsia" w:ascii="宋体" w:hAnsi="宋体" w:eastAsia="宋体" w:cs="宋体"/>
                <w:szCs w:val="21"/>
              </w:rPr>
              <w:t>其它</w:t>
            </w:r>
          </w:p>
          <w:p w14:paraId="4B7B5741">
            <w:pPr>
              <w:ind w:firstLine="420" w:firstLineChars="200"/>
              <w:rPr>
                <w:rFonts w:hint="eastAsia" w:ascii="宋体" w:hAnsi="宋体" w:eastAsia="宋体" w:cs="宋体"/>
                <w:szCs w:val="21"/>
              </w:rPr>
            </w:pPr>
          </w:p>
          <w:p w14:paraId="47BF8613">
            <w:pPr>
              <w:ind w:firstLine="420" w:firstLineChars="200"/>
              <w:rPr>
                <w:rFonts w:hint="eastAsia" w:ascii="宋体" w:hAnsi="宋体" w:eastAsia="宋体" w:cs="宋体"/>
                <w:szCs w:val="21"/>
              </w:rPr>
            </w:pPr>
          </w:p>
        </w:tc>
        <w:tc>
          <w:tcPr>
            <w:tcW w:w="3485" w:type="dxa"/>
            <w:noWrap w:val="0"/>
            <w:vAlign w:val="center"/>
          </w:tcPr>
          <w:p w14:paraId="3C18EAC0">
            <w:pPr>
              <w:rPr>
                <w:rFonts w:hint="eastAsia" w:ascii="宋体" w:hAnsi="宋体" w:eastAsia="宋体" w:cs="宋体"/>
                <w:szCs w:val="21"/>
              </w:rPr>
            </w:pPr>
            <w:r>
              <w:rPr>
                <w:rFonts w:hint="eastAsia" w:ascii="宋体" w:hAnsi="宋体" w:eastAsia="宋体" w:cs="宋体"/>
                <w:szCs w:val="21"/>
              </w:rPr>
              <w:t>因保洁质量问题或不文明工作原因，市长投诉电话、新闻媒体曝光，经查属实；处理上级督办单，并较好完成</w:t>
            </w:r>
          </w:p>
        </w:tc>
        <w:tc>
          <w:tcPr>
            <w:tcW w:w="5235" w:type="dxa"/>
            <w:noWrap w:val="0"/>
            <w:vAlign w:val="center"/>
          </w:tcPr>
          <w:p w14:paraId="4EC173A2">
            <w:pPr>
              <w:rPr>
                <w:rFonts w:hint="eastAsia" w:ascii="宋体" w:hAnsi="宋体" w:eastAsia="宋体" w:cs="宋体"/>
                <w:szCs w:val="21"/>
              </w:rPr>
            </w:pPr>
            <w:r>
              <w:rPr>
                <w:rFonts w:hint="eastAsia" w:ascii="宋体" w:hAnsi="宋体" w:eastAsia="宋体" w:cs="宋体"/>
                <w:szCs w:val="21"/>
              </w:rPr>
              <w:t>“96310”、“12345”及市民投诉或被查到、媒体曝光等查实每次扣500元，计2分，未及时按规定期限内完成整改并反馈的，计5000-10000元，计10分；造成严重影响的，扣20000-50000元，计20分。未及时处理上级督办单，扣5000-10000元，计10分；</w:t>
            </w:r>
          </w:p>
        </w:tc>
      </w:tr>
      <w:tr w14:paraId="326C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51" w:type="dxa"/>
            <w:vMerge w:val="continue"/>
            <w:noWrap w:val="0"/>
            <w:vAlign w:val="center"/>
          </w:tcPr>
          <w:p w14:paraId="5AC161BF">
            <w:pPr>
              <w:ind w:firstLine="420" w:firstLineChars="200"/>
              <w:rPr>
                <w:rFonts w:hint="eastAsia" w:ascii="宋体" w:hAnsi="宋体" w:eastAsia="宋体" w:cs="宋体"/>
                <w:szCs w:val="21"/>
              </w:rPr>
            </w:pPr>
          </w:p>
        </w:tc>
        <w:tc>
          <w:tcPr>
            <w:tcW w:w="3485" w:type="dxa"/>
            <w:noWrap w:val="0"/>
            <w:vAlign w:val="center"/>
          </w:tcPr>
          <w:p w14:paraId="69C54B22">
            <w:pPr>
              <w:rPr>
                <w:rFonts w:hint="eastAsia" w:ascii="宋体" w:hAnsi="宋体" w:eastAsia="宋体" w:cs="宋体"/>
                <w:szCs w:val="21"/>
              </w:rPr>
            </w:pPr>
            <w:r>
              <w:rPr>
                <w:rFonts w:hint="eastAsia" w:ascii="宋体" w:hAnsi="宋体" w:eastAsia="宋体" w:cs="宋体"/>
                <w:szCs w:val="21"/>
              </w:rPr>
              <w:t>建立24小时值班制度，遇突发事件随叫随到，并及时派人员进行处理</w:t>
            </w:r>
          </w:p>
        </w:tc>
        <w:tc>
          <w:tcPr>
            <w:tcW w:w="5235" w:type="dxa"/>
            <w:noWrap w:val="0"/>
            <w:vAlign w:val="center"/>
          </w:tcPr>
          <w:p w14:paraId="275D4D6A">
            <w:pPr>
              <w:rPr>
                <w:rFonts w:hint="eastAsia" w:ascii="宋体" w:hAnsi="宋体" w:eastAsia="宋体" w:cs="宋体"/>
                <w:szCs w:val="21"/>
              </w:rPr>
            </w:pPr>
            <w:r>
              <w:rPr>
                <w:rFonts w:hint="eastAsia" w:ascii="宋体" w:hAnsi="宋体" w:eastAsia="宋体" w:cs="宋体"/>
                <w:szCs w:val="21"/>
              </w:rPr>
              <w:t>无人值班或未能随叫随到，发现一次扣1000元，计2分；未及时处理，一次扣1000-2000元，计2-3分；</w:t>
            </w:r>
          </w:p>
        </w:tc>
      </w:tr>
      <w:tr w14:paraId="4927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51" w:type="dxa"/>
            <w:vMerge w:val="continue"/>
            <w:noWrap w:val="0"/>
            <w:vAlign w:val="center"/>
          </w:tcPr>
          <w:p w14:paraId="2C7238CB">
            <w:pPr>
              <w:ind w:firstLine="420" w:firstLineChars="200"/>
              <w:rPr>
                <w:rFonts w:hint="eastAsia" w:ascii="宋体" w:hAnsi="宋体" w:eastAsia="宋体" w:cs="宋体"/>
                <w:szCs w:val="21"/>
              </w:rPr>
            </w:pPr>
          </w:p>
        </w:tc>
        <w:tc>
          <w:tcPr>
            <w:tcW w:w="3485" w:type="dxa"/>
            <w:noWrap w:val="0"/>
            <w:vAlign w:val="center"/>
          </w:tcPr>
          <w:p w14:paraId="0028BC79">
            <w:pPr>
              <w:rPr>
                <w:rFonts w:hint="eastAsia" w:ascii="宋体" w:hAnsi="宋体" w:eastAsia="宋体" w:cs="宋体"/>
                <w:szCs w:val="21"/>
              </w:rPr>
            </w:pPr>
            <w:r>
              <w:rPr>
                <w:rFonts w:hint="eastAsia" w:ascii="宋体" w:hAnsi="宋体" w:eastAsia="宋体" w:cs="宋体"/>
                <w:szCs w:val="21"/>
              </w:rPr>
              <w:t>完成政府部门交办的工作</w:t>
            </w:r>
          </w:p>
        </w:tc>
        <w:tc>
          <w:tcPr>
            <w:tcW w:w="5235" w:type="dxa"/>
            <w:noWrap w:val="0"/>
            <w:vAlign w:val="center"/>
          </w:tcPr>
          <w:p w14:paraId="658286B2">
            <w:pPr>
              <w:rPr>
                <w:rFonts w:hint="eastAsia" w:ascii="宋体" w:hAnsi="宋体" w:eastAsia="宋体" w:cs="宋体"/>
                <w:szCs w:val="21"/>
              </w:rPr>
            </w:pPr>
            <w:r>
              <w:rPr>
                <w:rFonts w:hint="eastAsia" w:ascii="宋体" w:hAnsi="宋体" w:eastAsia="宋体" w:cs="宋体"/>
                <w:szCs w:val="21"/>
              </w:rPr>
              <w:t>未能完成，扣5000-10000元，计5分；</w:t>
            </w:r>
          </w:p>
        </w:tc>
      </w:tr>
      <w:tr w14:paraId="3E7F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1" w:type="dxa"/>
            <w:vMerge w:val="continue"/>
            <w:noWrap w:val="0"/>
            <w:vAlign w:val="center"/>
          </w:tcPr>
          <w:p w14:paraId="5A9971E8">
            <w:pPr>
              <w:ind w:firstLine="420" w:firstLineChars="200"/>
              <w:rPr>
                <w:rFonts w:hint="eastAsia" w:ascii="宋体" w:hAnsi="宋体" w:eastAsia="宋体" w:cs="宋体"/>
                <w:szCs w:val="21"/>
              </w:rPr>
            </w:pPr>
          </w:p>
        </w:tc>
        <w:tc>
          <w:tcPr>
            <w:tcW w:w="3485" w:type="dxa"/>
            <w:noWrap w:val="0"/>
            <w:vAlign w:val="center"/>
          </w:tcPr>
          <w:p w14:paraId="6714391E">
            <w:pPr>
              <w:rPr>
                <w:rFonts w:hint="eastAsia" w:ascii="宋体" w:hAnsi="宋体" w:eastAsia="宋体" w:cs="宋体"/>
                <w:szCs w:val="21"/>
              </w:rPr>
            </w:pPr>
            <w:r>
              <w:rPr>
                <w:rFonts w:hint="eastAsia" w:ascii="宋体" w:hAnsi="宋体" w:eastAsia="宋体" w:cs="宋体"/>
                <w:szCs w:val="21"/>
              </w:rPr>
              <w:t>区级以上各种检查</w:t>
            </w:r>
          </w:p>
        </w:tc>
        <w:tc>
          <w:tcPr>
            <w:tcW w:w="5235" w:type="dxa"/>
            <w:noWrap w:val="0"/>
            <w:vAlign w:val="center"/>
          </w:tcPr>
          <w:p w14:paraId="0E45B034">
            <w:pPr>
              <w:rPr>
                <w:rFonts w:hint="eastAsia" w:ascii="宋体" w:hAnsi="宋体" w:eastAsia="宋体" w:cs="宋体"/>
                <w:szCs w:val="21"/>
              </w:rPr>
            </w:pPr>
            <w:r>
              <w:rPr>
                <w:rFonts w:hint="eastAsia" w:ascii="宋体" w:hAnsi="宋体" w:eastAsia="宋体" w:cs="宋体"/>
                <w:sz w:val="24"/>
              </w:rPr>
              <w:t>扣款：</w:t>
            </w:r>
            <w:r>
              <w:rPr>
                <w:rFonts w:hint="eastAsia" w:ascii="宋体" w:hAnsi="宋体" w:eastAsia="宋体" w:cs="宋体"/>
              </w:rPr>
              <w:t>在区级检查中，一个问题点位扣500元；计0.5分；在市级检查中，一个问题点位扣1000元；计0.7分；在省级检查中，一个问题点位扣2000元；计1分；在国家级检查中，一个问题点位扣5000元；计2分；</w:t>
            </w:r>
          </w:p>
        </w:tc>
      </w:tr>
    </w:tbl>
    <w:p w14:paraId="616C32C4">
      <w:pPr>
        <w:spacing w:line="4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2、考核办法：</w:t>
      </w:r>
    </w:p>
    <w:p w14:paraId="15E08E77">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为加强对项目质量</w:t>
      </w:r>
      <w:r>
        <w:rPr>
          <w:rFonts w:hint="eastAsia" w:ascii="宋体" w:hAnsi="宋体" w:eastAsia="宋体" w:cs="宋体"/>
          <w:color w:val="auto"/>
          <w:szCs w:val="21"/>
          <w:highlight w:val="none"/>
        </w:rPr>
        <w:t>的考核，由镇四位一体</w:t>
      </w:r>
      <w:r>
        <w:rPr>
          <w:rFonts w:hint="eastAsia" w:ascii="宋体" w:hAnsi="宋体" w:eastAsia="宋体" w:cs="宋体"/>
          <w:color w:val="auto"/>
          <w:szCs w:val="21"/>
          <w:highlight w:val="none"/>
          <w:lang w:val="en-US" w:eastAsia="zh-CN"/>
        </w:rPr>
        <w:t>办组织考核，</w:t>
      </w:r>
      <w:r>
        <w:rPr>
          <w:rFonts w:hint="eastAsia" w:ascii="宋体" w:hAnsi="宋体" w:eastAsia="宋体" w:cs="宋体"/>
          <w:color w:val="auto"/>
          <w:szCs w:val="21"/>
          <w:highlight w:val="none"/>
        </w:rPr>
        <w:t>定期考核和日常巡查考核相结合</w:t>
      </w:r>
      <w:r>
        <w:rPr>
          <w:rFonts w:hint="eastAsia" w:ascii="宋体" w:hAnsi="宋体" w:eastAsia="宋体" w:cs="宋体"/>
          <w:color w:val="auto"/>
          <w:szCs w:val="21"/>
        </w:rPr>
        <w:t>，检查扣款与扣分作为考核标准，计入当月保洁费用结算。</w:t>
      </w:r>
    </w:p>
    <w:p w14:paraId="5C1ABC0E">
      <w:pPr>
        <w:spacing w:line="46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考核分值为100分制，扣款、扣分不封顶，每次巡查或检查发现问题，即扣款与扣分，月底汇总合计扣款值与扣分值，合计扣款在当月的保洁费用结算时扣除；每月得出分值，该分值=100-扣分值。</w:t>
      </w:r>
    </w:p>
    <w:p w14:paraId="2D3031A9">
      <w:pPr>
        <w:spacing w:line="460" w:lineRule="exact"/>
        <w:ind w:firstLine="316" w:firstLineChars="150"/>
        <w:rPr>
          <w:rFonts w:hint="eastAsia" w:ascii="宋体" w:hAnsi="宋体" w:eastAsia="宋体" w:cs="宋体"/>
          <w:b/>
          <w:color w:val="auto"/>
          <w:szCs w:val="21"/>
        </w:rPr>
      </w:pPr>
      <w:r>
        <w:rPr>
          <w:rFonts w:hint="eastAsia" w:ascii="宋体" w:hAnsi="宋体" w:eastAsia="宋体" w:cs="宋体"/>
          <w:b/>
          <w:color w:val="auto"/>
          <w:szCs w:val="21"/>
        </w:rPr>
        <w:t>3、考核细则</w:t>
      </w:r>
    </w:p>
    <w:p w14:paraId="1130D033">
      <w:pPr>
        <w:spacing w:line="460" w:lineRule="exact"/>
        <w:ind w:firstLine="457" w:firstLineChars="218"/>
        <w:rPr>
          <w:rFonts w:hint="eastAsia" w:ascii="宋体" w:hAnsi="宋体" w:eastAsia="宋体" w:cs="宋体"/>
          <w:color w:val="auto"/>
          <w:szCs w:val="21"/>
        </w:rPr>
      </w:pPr>
      <w:r>
        <w:rPr>
          <w:rFonts w:hint="eastAsia" w:ascii="宋体" w:hAnsi="宋体" w:eastAsia="宋体" w:cs="宋体"/>
          <w:color w:val="auto"/>
          <w:szCs w:val="21"/>
        </w:rPr>
        <w:t>1）以月度承包金额的40%作为月度考核扣款基数。每次考核结果如有扣款即作扣款处理的，扣款在月项目费用结算中扣除。</w:t>
      </w:r>
    </w:p>
    <w:p w14:paraId="0710D0E6">
      <w:pPr>
        <w:spacing w:line="460" w:lineRule="exact"/>
        <w:ind w:firstLine="457" w:firstLineChars="218"/>
        <w:rPr>
          <w:rFonts w:hint="eastAsia" w:ascii="宋体" w:hAnsi="宋体" w:eastAsia="宋体" w:cs="宋体"/>
          <w:color w:val="auto"/>
          <w:szCs w:val="21"/>
        </w:rPr>
      </w:pPr>
      <w:r>
        <w:rPr>
          <w:rFonts w:hint="eastAsia" w:ascii="宋体" w:hAnsi="宋体" w:eastAsia="宋体" w:cs="宋体"/>
          <w:color w:val="auto"/>
          <w:szCs w:val="21"/>
        </w:rPr>
        <w:t>2）每月考核100分为基本分。月得分=100-月扣分总分，直至扣完为止。</w:t>
      </w:r>
    </w:p>
    <w:p w14:paraId="5D143C25">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3）月度考核得分如有低于8</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分的，进行督促整改。如果连续出现月度考核得分低于</w:t>
      </w:r>
      <w:r>
        <w:rPr>
          <w:rFonts w:hint="eastAsia" w:ascii="宋体" w:hAnsi="宋体" w:eastAsia="宋体" w:cs="宋体"/>
          <w:color w:val="auto"/>
          <w:szCs w:val="21"/>
          <w:lang w:val="en-US" w:eastAsia="zh-CN"/>
        </w:rPr>
        <w:t>8</w:t>
      </w:r>
      <w:r>
        <w:rPr>
          <w:rFonts w:hint="eastAsia" w:ascii="宋体" w:hAnsi="宋体" w:eastAsia="宋体" w:cs="宋体"/>
          <w:color w:val="auto"/>
          <w:szCs w:val="21"/>
        </w:rPr>
        <w:t>0分的，或</w:t>
      </w:r>
      <w:r>
        <w:rPr>
          <w:rFonts w:hint="eastAsia" w:ascii="宋体" w:hAnsi="宋体" w:eastAsia="宋体" w:cs="宋体"/>
          <w:color w:val="auto"/>
          <w:szCs w:val="21"/>
          <w:lang w:val="en-US" w:eastAsia="zh-CN"/>
        </w:rPr>
        <w:t>保洁服务</w:t>
      </w:r>
      <w:r>
        <w:rPr>
          <w:rFonts w:hint="eastAsia" w:ascii="宋体" w:hAnsi="宋体" w:eastAsia="宋体" w:cs="宋体"/>
          <w:color w:val="auto"/>
          <w:szCs w:val="21"/>
        </w:rPr>
        <w:t>单位在经营过程中因经营不善或违法违纪导致公司无法确保保洁质量的，对社会造成重大负面影响的，</w:t>
      </w:r>
      <w:r>
        <w:rPr>
          <w:rFonts w:hint="eastAsia" w:ascii="宋体" w:hAnsi="宋体" w:eastAsia="宋体" w:cs="宋体"/>
          <w:color w:val="auto"/>
          <w:szCs w:val="21"/>
          <w:lang w:val="en-US" w:eastAsia="zh-CN"/>
        </w:rPr>
        <w:t>采购单位</w:t>
      </w:r>
      <w:r>
        <w:rPr>
          <w:rFonts w:hint="eastAsia" w:ascii="宋体" w:hAnsi="宋体" w:eastAsia="宋体" w:cs="宋体"/>
          <w:color w:val="auto"/>
          <w:szCs w:val="21"/>
        </w:rPr>
        <w:t>有权终止保洁合同。</w:t>
      </w:r>
    </w:p>
    <w:p w14:paraId="3ED12609">
      <w:pPr>
        <w:pStyle w:val="5"/>
        <w:wordWrap w:val="0"/>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、商务要求表</w:t>
      </w:r>
    </w:p>
    <w:tbl>
      <w:tblPr>
        <w:tblStyle w:val="6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22"/>
      </w:tblGrid>
      <w:tr w14:paraId="6F01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14:paraId="13D817B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8122" w:type="dxa"/>
            <w:vAlign w:val="center"/>
          </w:tcPr>
          <w:p w14:paraId="3CD8C5D5">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一年（自合同签订之日起算）</w:t>
            </w:r>
            <w:r>
              <w:rPr>
                <w:rFonts w:hint="eastAsia" w:ascii="宋体" w:hAnsi="宋体" w:eastAsia="宋体" w:cs="宋体"/>
                <w:bCs/>
                <w:color w:val="auto"/>
                <w:szCs w:val="21"/>
                <w:highlight w:val="none"/>
              </w:rPr>
              <w:t>。</w:t>
            </w:r>
          </w:p>
          <w:p w14:paraId="07704965">
            <w:pPr>
              <w:spacing w:line="400" w:lineRule="exact"/>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val="en-US" w:eastAsia="zh-CN"/>
              </w:rPr>
              <w:t>注：</w:t>
            </w:r>
            <w:r>
              <w:rPr>
                <w:rFonts w:hint="eastAsia" w:ascii="宋体" w:hAnsi="宋体" w:eastAsia="宋体" w:cs="宋体"/>
                <w:b/>
                <w:color w:val="auto"/>
                <w:kern w:val="0"/>
                <w:szCs w:val="21"/>
                <w:highlight w:val="none"/>
              </w:rPr>
              <w:t>服务期满后采购人根据对中标单位的考核情况（年平均考核分达到</w:t>
            </w:r>
            <w:r>
              <w:rPr>
                <w:rFonts w:hint="eastAsia" w:ascii="宋体" w:hAnsi="宋体" w:eastAsia="宋体" w:cs="宋体"/>
                <w:b/>
                <w:color w:val="auto"/>
                <w:kern w:val="0"/>
                <w:szCs w:val="21"/>
                <w:highlight w:val="none"/>
                <w:lang w:val="en-US" w:eastAsia="zh-CN"/>
              </w:rPr>
              <w:t>85</w:t>
            </w:r>
            <w:r>
              <w:rPr>
                <w:rFonts w:hint="eastAsia" w:ascii="宋体" w:hAnsi="宋体" w:eastAsia="宋体" w:cs="宋体"/>
                <w:b/>
                <w:color w:val="auto"/>
                <w:kern w:val="0"/>
                <w:szCs w:val="21"/>
                <w:highlight w:val="none"/>
              </w:rPr>
              <w:t>分（含）以上，且无</w:t>
            </w:r>
            <w:r>
              <w:rPr>
                <w:rFonts w:hint="eastAsia" w:ascii="宋体" w:hAnsi="宋体" w:eastAsia="宋体" w:cs="宋体"/>
                <w:b/>
                <w:color w:val="auto"/>
                <w:kern w:val="0"/>
                <w:szCs w:val="21"/>
                <w:highlight w:val="none"/>
                <w:lang w:val="en-US" w:eastAsia="zh-CN"/>
              </w:rPr>
              <w:t>季度</w:t>
            </w:r>
            <w:r>
              <w:rPr>
                <w:rFonts w:hint="eastAsia" w:ascii="宋体" w:hAnsi="宋体" w:eastAsia="宋体" w:cs="宋体"/>
                <w:b/>
                <w:color w:val="auto"/>
                <w:kern w:val="0"/>
                <w:szCs w:val="21"/>
                <w:highlight w:val="none"/>
              </w:rPr>
              <w:t>考核低于</w:t>
            </w:r>
            <w:r>
              <w:rPr>
                <w:rFonts w:hint="eastAsia" w:ascii="宋体" w:hAnsi="宋体" w:eastAsia="宋体" w:cs="宋体"/>
                <w:b/>
                <w:color w:val="auto"/>
                <w:kern w:val="0"/>
                <w:szCs w:val="21"/>
                <w:highlight w:val="none"/>
                <w:lang w:val="en-US" w:eastAsia="zh-CN"/>
              </w:rPr>
              <w:t>80</w:t>
            </w:r>
            <w:r>
              <w:rPr>
                <w:rFonts w:hint="eastAsia" w:ascii="宋体" w:hAnsi="宋体" w:eastAsia="宋体" w:cs="宋体"/>
                <w:b/>
                <w:color w:val="auto"/>
                <w:kern w:val="0"/>
                <w:szCs w:val="21"/>
                <w:highlight w:val="none"/>
              </w:rPr>
              <w:t>分的）可考虑续签合同一年，续签合同（按浙财采监〔2021〕2号《浙江省财政厅关于进一步规范政府购买服务采购管理的通知》的有关规定执行）。</w:t>
            </w:r>
          </w:p>
        </w:tc>
      </w:tr>
      <w:tr w14:paraId="2F14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26" w:type="dxa"/>
            <w:vAlign w:val="center"/>
          </w:tcPr>
          <w:p w14:paraId="23065E6C">
            <w:pPr>
              <w:spacing w:line="340" w:lineRule="exact"/>
              <w:jc w:val="center"/>
              <w:rPr>
                <w:rFonts w:hint="eastAsia" w:ascii="宋体" w:hAnsi="宋体" w:eastAsia="宋体" w:cs="宋体"/>
                <w:color w:val="auto"/>
                <w:szCs w:val="21"/>
                <w:highlight w:val="green"/>
              </w:rPr>
            </w:pPr>
            <w:r>
              <w:rPr>
                <w:rFonts w:hint="eastAsia" w:ascii="宋体" w:hAnsi="宋体" w:eastAsia="宋体" w:cs="宋体"/>
                <w:color w:val="auto"/>
                <w:szCs w:val="21"/>
                <w:highlight w:val="green"/>
              </w:rPr>
              <w:t>▲付款方式</w:t>
            </w:r>
          </w:p>
        </w:tc>
        <w:tc>
          <w:tcPr>
            <w:tcW w:w="8122" w:type="dxa"/>
            <w:vAlign w:val="center"/>
          </w:tcPr>
          <w:p w14:paraId="72A906D6">
            <w:pPr>
              <w:numPr>
                <w:ilvl w:val="0"/>
                <w:numId w:val="2"/>
              </w:numPr>
              <w:autoSpaceDE w:val="0"/>
              <w:autoSpaceDN w:val="0"/>
              <w:spacing w:line="340" w:lineRule="exact"/>
              <w:rPr>
                <w:rFonts w:hint="eastAsia" w:ascii="宋体" w:hAnsi="宋体" w:eastAsia="宋体" w:cs="宋体"/>
                <w:color w:val="auto"/>
                <w:kern w:val="0"/>
                <w:szCs w:val="21"/>
                <w:highlight w:val="green"/>
                <w:lang w:val="en-US" w:eastAsia="zh-CN"/>
              </w:rPr>
            </w:pPr>
            <w:bookmarkStart w:id="30" w:name="_Toc3675"/>
            <w:r>
              <w:rPr>
                <w:rFonts w:hint="eastAsia" w:ascii="宋体" w:hAnsi="宋体" w:eastAsia="宋体" w:cs="宋体"/>
                <w:color w:val="auto"/>
                <w:kern w:val="0"/>
                <w:szCs w:val="21"/>
                <w:highlight w:val="green"/>
                <w:lang w:val="en-US" w:eastAsia="zh-CN"/>
              </w:rPr>
              <w:t>预付款：</w:t>
            </w:r>
            <w:bookmarkEnd w:id="30"/>
            <w:bookmarkStart w:id="31" w:name="_Toc26078"/>
            <w:bookmarkStart w:id="32" w:name="_Toc6062"/>
            <w:r>
              <w:rPr>
                <w:rFonts w:hint="eastAsia" w:ascii="宋体" w:hAnsi="宋体" w:eastAsia="宋体" w:cs="宋体"/>
                <w:color w:val="auto"/>
                <w:kern w:val="0"/>
                <w:szCs w:val="21"/>
                <w:highlight w:val="green"/>
                <w:lang w:val="en-US" w:eastAsia="zh-CN"/>
              </w:rPr>
              <w:t>按照浙财采监〔2022〕3号文件执行。</w:t>
            </w:r>
          </w:p>
          <w:p w14:paraId="0D702AF1">
            <w:pPr>
              <w:numPr>
                <w:ilvl w:val="0"/>
                <w:numId w:val="0"/>
              </w:numPr>
              <w:autoSpaceDE w:val="0"/>
              <w:autoSpaceDN w:val="0"/>
              <w:spacing w:line="340" w:lineRule="exact"/>
              <w:rPr>
                <w:rFonts w:hint="eastAsia" w:ascii="宋体" w:hAnsi="宋体" w:eastAsia="宋体" w:cs="宋体"/>
                <w:color w:val="auto"/>
                <w:highlight w:val="green"/>
              </w:rPr>
            </w:pPr>
            <w:r>
              <w:rPr>
                <w:rFonts w:hint="eastAsia" w:ascii="宋体" w:hAnsi="宋体" w:eastAsia="宋体" w:cs="宋体"/>
                <w:color w:val="auto"/>
                <w:kern w:val="0"/>
                <w:szCs w:val="21"/>
                <w:highlight w:val="green"/>
              </w:rPr>
              <w:t>2.</w:t>
            </w:r>
            <w:bookmarkEnd w:id="31"/>
            <w:bookmarkEnd w:id="32"/>
            <w:r>
              <w:rPr>
                <w:rFonts w:hint="eastAsia" w:ascii="宋体" w:hAnsi="宋体" w:eastAsia="宋体" w:cs="宋体"/>
                <w:color w:val="auto"/>
                <w:kern w:val="0"/>
                <w:szCs w:val="21"/>
                <w:highlight w:val="green"/>
                <w:lang w:val="en-US" w:eastAsia="zh-CN"/>
              </w:rPr>
              <w:t>除预付款外的其他款项按季度平均分四次于</w:t>
            </w:r>
            <w:r>
              <w:rPr>
                <w:rFonts w:hint="eastAsia" w:ascii="宋体" w:hAnsi="宋体" w:eastAsia="宋体" w:cs="宋体"/>
                <w:color w:val="auto"/>
                <w:kern w:val="0"/>
                <w:szCs w:val="21"/>
                <w:highlight w:val="green"/>
              </w:rPr>
              <w:t>每季末按实际考核结果扣款后</w:t>
            </w:r>
            <w:r>
              <w:rPr>
                <w:rFonts w:hint="eastAsia" w:ascii="宋体" w:hAnsi="宋体" w:eastAsia="宋体" w:cs="宋体"/>
                <w:color w:val="auto"/>
                <w:kern w:val="0"/>
                <w:szCs w:val="21"/>
                <w:highlight w:val="green"/>
                <w:lang w:val="en-US" w:eastAsia="zh-CN"/>
              </w:rPr>
              <w:t>下季度第一月20</w:t>
            </w:r>
            <w:r>
              <w:rPr>
                <w:rFonts w:hint="eastAsia" w:ascii="宋体" w:hAnsi="宋体" w:eastAsia="宋体" w:cs="宋体"/>
                <w:color w:val="auto"/>
                <w:kern w:val="0"/>
                <w:szCs w:val="21"/>
                <w:highlight w:val="green"/>
              </w:rPr>
              <w:t>日前支付该季</w:t>
            </w:r>
            <w:r>
              <w:rPr>
                <w:rFonts w:hint="eastAsia" w:ascii="宋体" w:hAnsi="宋体" w:eastAsia="宋体" w:cs="宋体"/>
                <w:color w:val="auto"/>
                <w:kern w:val="0"/>
                <w:szCs w:val="21"/>
                <w:highlight w:val="green"/>
                <w:lang w:val="en-US" w:eastAsia="zh-CN"/>
              </w:rPr>
              <w:t>度的</w:t>
            </w:r>
            <w:r>
              <w:rPr>
                <w:rFonts w:hint="eastAsia" w:ascii="宋体" w:hAnsi="宋体" w:eastAsia="宋体" w:cs="宋体"/>
                <w:color w:val="auto"/>
                <w:kern w:val="0"/>
                <w:szCs w:val="21"/>
                <w:highlight w:val="green"/>
              </w:rPr>
              <w:t>保洁经费。</w:t>
            </w:r>
          </w:p>
        </w:tc>
      </w:tr>
      <w:tr w14:paraId="7A01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26" w:type="dxa"/>
            <w:vAlign w:val="center"/>
          </w:tcPr>
          <w:p w14:paraId="3DCD365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8122" w:type="dxa"/>
            <w:vAlign w:val="center"/>
          </w:tcPr>
          <w:p w14:paraId="4727E54D">
            <w:pPr>
              <w:snapToGrid w:val="0"/>
              <w:spacing w:line="3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14:paraId="7648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326AFD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8122" w:type="dxa"/>
            <w:vAlign w:val="center"/>
          </w:tcPr>
          <w:p w14:paraId="3685DDE9">
            <w:pPr>
              <w:autoSpaceDE w:val="0"/>
              <w:autoSpaceDN w:val="0"/>
              <w:spacing w:line="3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rPr>
              <w:t>投标报价是履行合同的最终价格。</w:t>
            </w:r>
          </w:p>
        </w:tc>
      </w:tr>
      <w:tr w14:paraId="2749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6" w:type="dxa"/>
            <w:vAlign w:val="center"/>
          </w:tcPr>
          <w:p w14:paraId="05E38A9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安全生产责任</w:t>
            </w:r>
          </w:p>
        </w:tc>
        <w:tc>
          <w:tcPr>
            <w:tcW w:w="8122" w:type="dxa"/>
            <w:vAlign w:val="center"/>
          </w:tcPr>
          <w:p w14:paraId="224F838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中标人应自行承担项目实施过程中安全生产责任，采购人任何情况下均不承担因此产生的任何法律责任和经济责任。</w:t>
            </w:r>
          </w:p>
        </w:tc>
      </w:tr>
    </w:tbl>
    <w:p w14:paraId="432DA189">
      <w:pPr>
        <w:pStyle w:val="5"/>
        <w:wordWrap w:val="0"/>
        <w:ind w:left="0" w:leftChars="0"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D2B3333">
      <w:pPr>
        <w:pStyle w:val="5"/>
        <w:wordWrap w:val="0"/>
        <w:spacing w:before="319" w:beforeLines="100" w:line="24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33" w:name="_Toc184314428"/>
      <w:bookmarkEnd w:id="33"/>
      <w:bookmarkStart w:id="34" w:name="_Toc184312138"/>
      <w:bookmarkEnd w:id="34"/>
      <w:bookmarkStart w:id="35" w:name="_Toc184312074"/>
      <w:bookmarkEnd w:id="35"/>
      <w:bookmarkStart w:id="36" w:name="_Toc184314462"/>
      <w:bookmarkEnd w:id="36"/>
      <w:bookmarkStart w:id="37" w:name="_Toc184310294"/>
      <w:bookmarkEnd w:id="37"/>
      <w:bookmarkStart w:id="38" w:name="_Toc184310307"/>
      <w:bookmarkEnd w:id="38"/>
      <w:bookmarkStart w:id="39" w:name="_Toc184310295"/>
      <w:bookmarkEnd w:id="39"/>
      <w:bookmarkStart w:id="40" w:name="_Toc184313267"/>
      <w:bookmarkEnd w:id="40"/>
      <w:bookmarkStart w:id="41" w:name="_Toc184312137"/>
      <w:bookmarkEnd w:id="41"/>
      <w:bookmarkStart w:id="42" w:name="_Toc184313255"/>
      <w:bookmarkEnd w:id="42"/>
      <w:bookmarkStart w:id="43" w:name="_Toc184313244"/>
      <w:bookmarkEnd w:id="43"/>
      <w:bookmarkStart w:id="44" w:name="_Toc184310305"/>
      <w:bookmarkEnd w:id="44"/>
      <w:bookmarkStart w:id="45" w:name="_Toc184308037"/>
      <w:bookmarkEnd w:id="45"/>
      <w:bookmarkStart w:id="46" w:name="_Toc184313291"/>
      <w:bookmarkEnd w:id="46"/>
      <w:bookmarkStart w:id="47" w:name="_Toc184310277"/>
      <w:bookmarkEnd w:id="47"/>
      <w:bookmarkStart w:id="48" w:name="_Toc184312102"/>
      <w:bookmarkEnd w:id="48"/>
      <w:bookmarkStart w:id="49" w:name="_Toc184312117"/>
      <w:bookmarkEnd w:id="49"/>
      <w:bookmarkStart w:id="50" w:name="_Toc184308076"/>
      <w:bookmarkEnd w:id="50"/>
      <w:bookmarkStart w:id="51" w:name="_Toc184310327"/>
      <w:bookmarkEnd w:id="51"/>
      <w:bookmarkStart w:id="52" w:name="_Toc184310288"/>
      <w:bookmarkEnd w:id="52"/>
      <w:bookmarkStart w:id="53" w:name="_Toc184308078"/>
      <w:bookmarkEnd w:id="53"/>
      <w:bookmarkStart w:id="54" w:name="_Toc184308055"/>
      <w:bookmarkEnd w:id="54"/>
      <w:bookmarkStart w:id="55" w:name="_Toc184312071"/>
      <w:bookmarkEnd w:id="55"/>
      <w:bookmarkStart w:id="56" w:name="_Toc184313308"/>
      <w:bookmarkEnd w:id="56"/>
      <w:bookmarkStart w:id="57" w:name="_Toc184312084"/>
      <w:bookmarkEnd w:id="57"/>
      <w:bookmarkStart w:id="58" w:name="_Toc184310336"/>
      <w:bookmarkEnd w:id="58"/>
      <w:bookmarkStart w:id="59" w:name="_Toc184313241"/>
      <w:bookmarkEnd w:id="59"/>
      <w:bookmarkStart w:id="60" w:name="_Toc184313240"/>
      <w:bookmarkEnd w:id="60"/>
      <w:bookmarkStart w:id="61" w:name="_Toc184313295"/>
      <w:bookmarkEnd w:id="61"/>
      <w:bookmarkStart w:id="62" w:name="_Toc184314431"/>
      <w:bookmarkEnd w:id="62"/>
      <w:bookmarkStart w:id="63" w:name="_Toc184312076"/>
      <w:bookmarkEnd w:id="63"/>
      <w:bookmarkStart w:id="64" w:name="_Toc184312111"/>
      <w:bookmarkEnd w:id="64"/>
      <w:bookmarkStart w:id="65" w:name="_Toc184310308"/>
      <w:bookmarkEnd w:id="65"/>
      <w:bookmarkStart w:id="66" w:name="_Toc184314468"/>
      <w:bookmarkEnd w:id="66"/>
      <w:bookmarkStart w:id="67" w:name="_Toc184310322"/>
      <w:bookmarkEnd w:id="67"/>
      <w:bookmarkStart w:id="68" w:name="_Toc184313254"/>
      <w:bookmarkEnd w:id="68"/>
      <w:bookmarkStart w:id="69" w:name="_Toc184314452"/>
      <w:bookmarkEnd w:id="69"/>
      <w:bookmarkStart w:id="70" w:name="_Toc184312100"/>
      <w:bookmarkEnd w:id="70"/>
      <w:bookmarkStart w:id="71" w:name="_Toc184314469"/>
      <w:bookmarkEnd w:id="71"/>
      <w:bookmarkStart w:id="72" w:name="_Toc184313306"/>
      <w:bookmarkEnd w:id="72"/>
      <w:bookmarkStart w:id="73" w:name="_Toc184313260"/>
      <w:bookmarkEnd w:id="73"/>
      <w:bookmarkStart w:id="74" w:name="_Toc184313277"/>
      <w:bookmarkEnd w:id="74"/>
      <w:bookmarkStart w:id="75" w:name="_Toc184312077"/>
      <w:bookmarkEnd w:id="75"/>
      <w:bookmarkStart w:id="76" w:name="_Toc184314430"/>
      <w:bookmarkEnd w:id="76"/>
      <w:bookmarkStart w:id="77" w:name="_Toc184314447"/>
      <w:bookmarkEnd w:id="77"/>
      <w:bookmarkStart w:id="78" w:name="_Toc184310275"/>
      <w:bookmarkEnd w:id="78"/>
      <w:bookmarkStart w:id="79" w:name="_Toc184308041"/>
      <w:bookmarkEnd w:id="79"/>
      <w:bookmarkStart w:id="80" w:name="_Toc184308040"/>
      <w:bookmarkEnd w:id="80"/>
      <w:bookmarkStart w:id="81" w:name="_Toc184308044"/>
      <w:bookmarkEnd w:id="81"/>
      <w:bookmarkStart w:id="82" w:name="_Toc184314411"/>
      <w:bookmarkEnd w:id="82"/>
      <w:bookmarkStart w:id="83" w:name="_Toc184312116"/>
      <w:bookmarkEnd w:id="83"/>
      <w:bookmarkStart w:id="84" w:name="_Toc184308065"/>
      <w:bookmarkEnd w:id="84"/>
      <w:bookmarkStart w:id="85" w:name="_Toc184313239"/>
      <w:bookmarkEnd w:id="85"/>
      <w:bookmarkStart w:id="86" w:name="_Toc184312105"/>
      <w:bookmarkEnd w:id="86"/>
      <w:bookmarkStart w:id="87" w:name="_Toc184310329"/>
      <w:bookmarkEnd w:id="87"/>
      <w:bookmarkStart w:id="88" w:name="_Toc184312103"/>
      <w:bookmarkEnd w:id="88"/>
      <w:bookmarkStart w:id="89" w:name="_Toc184314474"/>
      <w:bookmarkEnd w:id="89"/>
      <w:bookmarkStart w:id="90" w:name="_Toc184313246"/>
      <w:bookmarkEnd w:id="90"/>
      <w:bookmarkStart w:id="91" w:name="_Toc184313293"/>
      <w:bookmarkEnd w:id="91"/>
      <w:bookmarkStart w:id="92" w:name="_Toc184312072"/>
      <w:bookmarkEnd w:id="92"/>
      <w:bookmarkStart w:id="93" w:name="_Toc184313292"/>
      <w:bookmarkEnd w:id="93"/>
      <w:bookmarkStart w:id="94" w:name="_Toc184313248"/>
      <w:bookmarkEnd w:id="94"/>
      <w:bookmarkStart w:id="95" w:name="_Toc184312125"/>
      <w:bookmarkEnd w:id="95"/>
      <w:bookmarkStart w:id="96" w:name="_Toc184314426"/>
      <w:bookmarkEnd w:id="96"/>
      <w:bookmarkStart w:id="97" w:name="_Toc184313259"/>
      <w:bookmarkEnd w:id="97"/>
      <w:bookmarkStart w:id="98" w:name="_Toc184308105"/>
      <w:bookmarkEnd w:id="98"/>
      <w:bookmarkStart w:id="99" w:name="_Toc184313281"/>
      <w:bookmarkEnd w:id="99"/>
      <w:bookmarkStart w:id="100" w:name="_Toc184314439"/>
      <w:bookmarkEnd w:id="100"/>
      <w:bookmarkStart w:id="101" w:name="_Toc184312069"/>
      <w:bookmarkEnd w:id="101"/>
      <w:bookmarkStart w:id="102" w:name="_Toc184313300"/>
      <w:bookmarkEnd w:id="102"/>
      <w:bookmarkStart w:id="103" w:name="_Toc184314433"/>
      <w:bookmarkEnd w:id="103"/>
      <w:bookmarkStart w:id="104" w:name="_Toc184313288"/>
      <w:bookmarkEnd w:id="104"/>
      <w:bookmarkStart w:id="105" w:name="_Toc184310340"/>
      <w:bookmarkEnd w:id="105"/>
      <w:bookmarkStart w:id="106" w:name="_Toc184308059"/>
      <w:bookmarkEnd w:id="106"/>
      <w:bookmarkStart w:id="107" w:name="_Toc184310301"/>
      <w:bookmarkEnd w:id="107"/>
      <w:bookmarkStart w:id="108" w:name="_Toc184313253"/>
      <w:bookmarkEnd w:id="108"/>
      <w:bookmarkStart w:id="109" w:name="_Toc184308058"/>
      <w:bookmarkEnd w:id="109"/>
      <w:bookmarkStart w:id="110" w:name="_Toc184314475"/>
      <w:bookmarkEnd w:id="110"/>
      <w:bookmarkStart w:id="111" w:name="_Toc184313268"/>
      <w:bookmarkEnd w:id="111"/>
      <w:bookmarkStart w:id="112" w:name="_Toc184313298"/>
      <w:bookmarkEnd w:id="112"/>
      <w:bookmarkStart w:id="113" w:name="_Toc184310315"/>
      <w:bookmarkEnd w:id="113"/>
      <w:bookmarkStart w:id="114" w:name="_Toc184310335"/>
      <w:bookmarkEnd w:id="114"/>
      <w:bookmarkStart w:id="115" w:name="_Toc184313270"/>
      <w:bookmarkEnd w:id="115"/>
      <w:bookmarkStart w:id="116" w:name="_Toc184308051"/>
      <w:bookmarkEnd w:id="116"/>
      <w:bookmarkStart w:id="117" w:name="_Toc184308097"/>
      <w:bookmarkEnd w:id="117"/>
      <w:bookmarkStart w:id="118" w:name="_Toc184312098"/>
      <w:bookmarkEnd w:id="118"/>
      <w:bookmarkStart w:id="119" w:name="_Toc184308070"/>
      <w:bookmarkEnd w:id="119"/>
      <w:bookmarkStart w:id="120" w:name="_Toc184308048"/>
      <w:bookmarkEnd w:id="120"/>
      <w:bookmarkStart w:id="121" w:name="_Toc184313286"/>
      <w:bookmarkEnd w:id="121"/>
      <w:bookmarkStart w:id="122" w:name="_Toc184312106"/>
      <w:bookmarkEnd w:id="122"/>
      <w:bookmarkStart w:id="123" w:name="_Toc184310318"/>
      <w:bookmarkEnd w:id="123"/>
      <w:bookmarkStart w:id="124" w:name="_Toc184314456"/>
      <w:bookmarkEnd w:id="124"/>
      <w:bookmarkStart w:id="125" w:name="_Toc184312127"/>
      <w:bookmarkEnd w:id="125"/>
      <w:bookmarkStart w:id="126" w:name="_Toc184308068"/>
      <w:bookmarkEnd w:id="126"/>
      <w:bookmarkStart w:id="127" w:name="_Toc184308080"/>
      <w:bookmarkEnd w:id="127"/>
      <w:bookmarkStart w:id="128" w:name="_Toc184312081"/>
      <w:bookmarkEnd w:id="128"/>
      <w:bookmarkStart w:id="129" w:name="_Toc184312070"/>
      <w:bookmarkEnd w:id="129"/>
      <w:bookmarkStart w:id="130" w:name="_Toc184308060"/>
      <w:bookmarkEnd w:id="130"/>
      <w:bookmarkStart w:id="131" w:name="_Toc184312085"/>
      <w:bookmarkEnd w:id="131"/>
      <w:bookmarkStart w:id="132" w:name="_Toc184313280"/>
      <w:bookmarkEnd w:id="132"/>
      <w:bookmarkStart w:id="133" w:name="_Toc184314416"/>
      <w:bookmarkEnd w:id="133"/>
      <w:bookmarkStart w:id="134" w:name="_Toc184308101"/>
      <w:bookmarkEnd w:id="134"/>
      <w:bookmarkStart w:id="135" w:name="_Toc184310317"/>
      <w:bookmarkEnd w:id="135"/>
      <w:bookmarkStart w:id="136" w:name="_Toc184313301"/>
      <w:bookmarkEnd w:id="136"/>
      <w:bookmarkStart w:id="137" w:name="_Toc184308084"/>
      <w:bookmarkEnd w:id="137"/>
      <w:bookmarkStart w:id="138" w:name="_Toc184312101"/>
      <w:bookmarkEnd w:id="138"/>
      <w:bookmarkStart w:id="139" w:name="_Toc184308087"/>
      <w:bookmarkEnd w:id="139"/>
      <w:bookmarkStart w:id="140" w:name="_Toc184314460"/>
      <w:bookmarkEnd w:id="140"/>
      <w:bookmarkStart w:id="141" w:name="_Toc184314443"/>
      <w:bookmarkEnd w:id="141"/>
      <w:bookmarkStart w:id="142" w:name="_Toc184308066"/>
      <w:bookmarkEnd w:id="142"/>
      <w:bookmarkStart w:id="143" w:name="_Toc184308089"/>
      <w:bookmarkEnd w:id="143"/>
      <w:bookmarkStart w:id="144" w:name="_Toc184308054"/>
      <w:bookmarkEnd w:id="144"/>
      <w:bookmarkStart w:id="145" w:name="_Toc184310343"/>
      <w:bookmarkEnd w:id="145"/>
      <w:bookmarkStart w:id="146" w:name="_Toc184312109"/>
      <w:bookmarkEnd w:id="146"/>
      <w:bookmarkStart w:id="147" w:name="_Toc184313276"/>
      <w:bookmarkEnd w:id="147"/>
      <w:bookmarkStart w:id="148" w:name="_Toc184313264"/>
      <w:bookmarkEnd w:id="148"/>
      <w:bookmarkStart w:id="149" w:name="_Toc184308107"/>
      <w:bookmarkEnd w:id="149"/>
      <w:bookmarkStart w:id="150" w:name="_Toc184312130"/>
      <w:bookmarkEnd w:id="150"/>
      <w:bookmarkStart w:id="151" w:name="_Toc184313262"/>
      <w:bookmarkEnd w:id="151"/>
      <w:bookmarkStart w:id="152" w:name="_Toc184310292"/>
      <w:bookmarkEnd w:id="152"/>
      <w:bookmarkStart w:id="153" w:name="_Toc184308104"/>
      <w:bookmarkEnd w:id="153"/>
      <w:bookmarkStart w:id="154" w:name="_Toc184312086"/>
      <w:bookmarkEnd w:id="154"/>
      <w:bookmarkStart w:id="155" w:name="_Toc184310293"/>
      <w:bookmarkEnd w:id="155"/>
      <w:bookmarkStart w:id="156" w:name="_Toc184310279"/>
      <w:bookmarkEnd w:id="156"/>
      <w:bookmarkStart w:id="157" w:name="_Toc184308102"/>
      <w:bookmarkEnd w:id="157"/>
      <w:bookmarkStart w:id="158" w:name="_Toc184313299"/>
      <w:bookmarkEnd w:id="158"/>
      <w:bookmarkStart w:id="159" w:name="_Toc184312083"/>
      <w:bookmarkEnd w:id="159"/>
      <w:bookmarkStart w:id="160" w:name="_Toc184314478"/>
      <w:bookmarkEnd w:id="160"/>
      <w:bookmarkStart w:id="161" w:name="_Toc184312110"/>
      <w:bookmarkEnd w:id="161"/>
      <w:bookmarkStart w:id="162" w:name="_Toc184308103"/>
      <w:bookmarkEnd w:id="162"/>
      <w:bookmarkStart w:id="163" w:name="_Toc184310302"/>
      <w:bookmarkEnd w:id="163"/>
      <w:bookmarkStart w:id="164" w:name="_Toc184313271"/>
      <w:bookmarkEnd w:id="164"/>
      <w:bookmarkStart w:id="165" w:name="_Toc184314458"/>
      <w:bookmarkEnd w:id="165"/>
      <w:bookmarkStart w:id="166" w:name="_Toc184308050"/>
      <w:bookmarkEnd w:id="166"/>
      <w:bookmarkStart w:id="167" w:name="_Toc184310304"/>
      <w:bookmarkEnd w:id="167"/>
      <w:bookmarkStart w:id="168" w:name="_Toc184313243"/>
      <w:bookmarkEnd w:id="168"/>
      <w:bookmarkStart w:id="169" w:name="_Toc184314424"/>
      <w:bookmarkEnd w:id="169"/>
      <w:bookmarkStart w:id="170" w:name="_Toc184308062"/>
      <w:bookmarkEnd w:id="170"/>
      <w:bookmarkStart w:id="171" w:name="_Toc184308053"/>
      <w:bookmarkEnd w:id="171"/>
      <w:bookmarkStart w:id="172" w:name="_Toc184314442"/>
      <w:bookmarkEnd w:id="172"/>
      <w:bookmarkStart w:id="173" w:name="_Toc184314437"/>
      <w:bookmarkEnd w:id="173"/>
      <w:bookmarkStart w:id="174" w:name="_Toc184310311"/>
      <w:bookmarkEnd w:id="174"/>
      <w:bookmarkStart w:id="175" w:name="_Toc184310272"/>
      <w:bookmarkEnd w:id="175"/>
      <w:bookmarkStart w:id="176" w:name="_Toc184314435"/>
      <w:bookmarkEnd w:id="176"/>
      <w:bookmarkStart w:id="177" w:name="_Toc184308056"/>
      <w:bookmarkEnd w:id="177"/>
      <w:bookmarkStart w:id="178" w:name="_Toc184314477"/>
      <w:bookmarkEnd w:id="178"/>
      <w:bookmarkStart w:id="179" w:name="_Toc184310309"/>
      <w:bookmarkEnd w:id="179"/>
      <w:bookmarkStart w:id="180" w:name="_Toc184310274"/>
      <w:bookmarkEnd w:id="180"/>
      <w:bookmarkStart w:id="181" w:name="_Toc184308067"/>
      <w:bookmarkEnd w:id="181"/>
      <w:bookmarkStart w:id="182" w:name="_Toc184314461"/>
      <w:bookmarkEnd w:id="182"/>
      <w:bookmarkStart w:id="183" w:name="_Toc184314481"/>
      <w:bookmarkEnd w:id="183"/>
      <w:bookmarkStart w:id="184" w:name="_Toc184314414"/>
      <w:bookmarkEnd w:id="184"/>
      <w:bookmarkStart w:id="185" w:name="_Toc184314449"/>
      <w:bookmarkEnd w:id="185"/>
      <w:bookmarkStart w:id="186" w:name="_Toc184313289"/>
      <w:bookmarkEnd w:id="186"/>
      <w:bookmarkStart w:id="187" w:name="_Toc184312075"/>
      <w:bookmarkEnd w:id="187"/>
      <w:bookmarkStart w:id="188" w:name="_Toc184314482"/>
      <w:bookmarkEnd w:id="188"/>
      <w:bookmarkStart w:id="189" w:name="_Toc184310339"/>
      <w:bookmarkEnd w:id="189"/>
      <w:bookmarkStart w:id="190" w:name="_Toc184308061"/>
      <w:bookmarkEnd w:id="190"/>
      <w:bookmarkStart w:id="191" w:name="_Toc184310278"/>
      <w:bookmarkEnd w:id="191"/>
      <w:bookmarkStart w:id="192" w:name="_Toc184308073"/>
      <w:bookmarkEnd w:id="192"/>
      <w:bookmarkStart w:id="193" w:name="_Toc184308093"/>
      <w:bookmarkEnd w:id="193"/>
      <w:bookmarkStart w:id="194" w:name="_Toc184312112"/>
      <w:bookmarkEnd w:id="194"/>
      <w:bookmarkStart w:id="195" w:name="_Toc184313245"/>
      <w:bookmarkEnd w:id="195"/>
      <w:bookmarkStart w:id="196" w:name="_Toc184310341"/>
      <w:bookmarkEnd w:id="196"/>
      <w:bookmarkStart w:id="197" w:name="_Toc184308096"/>
      <w:bookmarkEnd w:id="197"/>
      <w:bookmarkStart w:id="198" w:name="_Toc184310323"/>
      <w:bookmarkEnd w:id="198"/>
      <w:bookmarkStart w:id="199" w:name="_Toc184308071"/>
      <w:bookmarkEnd w:id="199"/>
      <w:bookmarkStart w:id="200" w:name="_Toc184308079"/>
      <w:bookmarkEnd w:id="200"/>
      <w:bookmarkStart w:id="201" w:name="_Toc184310314"/>
      <w:bookmarkEnd w:id="201"/>
      <w:bookmarkStart w:id="202" w:name="_Toc184314410"/>
      <w:bookmarkEnd w:id="202"/>
      <w:bookmarkStart w:id="203" w:name="_Toc184310328"/>
      <w:bookmarkEnd w:id="203"/>
      <w:bookmarkStart w:id="204" w:name="_Toc184313272"/>
      <w:bookmarkEnd w:id="204"/>
      <w:bookmarkStart w:id="205" w:name="_Toc184313256"/>
      <w:bookmarkEnd w:id="205"/>
      <w:bookmarkStart w:id="206" w:name="_Toc184312135"/>
      <w:bookmarkEnd w:id="206"/>
      <w:bookmarkStart w:id="207" w:name="_Toc184314471"/>
      <w:bookmarkEnd w:id="207"/>
      <w:bookmarkStart w:id="208" w:name="_Toc184312079"/>
      <w:bookmarkEnd w:id="208"/>
      <w:bookmarkStart w:id="209" w:name="_Toc184310280"/>
      <w:bookmarkEnd w:id="209"/>
      <w:bookmarkStart w:id="210" w:name="_Toc184310324"/>
      <w:bookmarkEnd w:id="210"/>
      <w:bookmarkStart w:id="211" w:name="_Toc184314438"/>
      <w:bookmarkEnd w:id="211"/>
      <w:bookmarkStart w:id="212" w:name="_Toc184312136"/>
      <w:bookmarkEnd w:id="212"/>
      <w:bookmarkStart w:id="213" w:name="_Toc184308064"/>
      <w:bookmarkEnd w:id="213"/>
      <w:bookmarkStart w:id="214" w:name="_Toc184310300"/>
      <w:bookmarkEnd w:id="214"/>
      <w:bookmarkStart w:id="215" w:name="_Toc184310320"/>
      <w:bookmarkEnd w:id="215"/>
      <w:bookmarkStart w:id="216" w:name="_Toc184313296"/>
      <w:bookmarkEnd w:id="216"/>
      <w:bookmarkStart w:id="217" w:name="_Toc184310291"/>
      <w:bookmarkEnd w:id="217"/>
      <w:bookmarkStart w:id="218" w:name="_Toc184310283"/>
      <w:bookmarkEnd w:id="218"/>
      <w:bookmarkStart w:id="219" w:name="_Toc184310313"/>
      <w:bookmarkEnd w:id="219"/>
      <w:bookmarkStart w:id="220" w:name="_Toc184312092"/>
      <w:bookmarkEnd w:id="220"/>
      <w:bookmarkStart w:id="221" w:name="_Toc184310276"/>
      <w:bookmarkEnd w:id="221"/>
      <w:bookmarkStart w:id="222" w:name="_Toc184313274"/>
      <w:bookmarkEnd w:id="222"/>
      <w:bookmarkStart w:id="223" w:name="_Toc184313263"/>
      <w:bookmarkEnd w:id="223"/>
      <w:bookmarkStart w:id="224" w:name="_Toc184313283"/>
      <w:bookmarkEnd w:id="224"/>
      <w:bookmarkStart w:id="225" w:name="_Toc184313247"/>
      <w:bookmarkEnd w:id="225"/>
      <w:bookmarkStart w:id="226" w:name="_Toc184314457"/>
      <w:bookmarkEnd w:id="226"/>
      <w:bookmarkStart w:id="227" w:name="_Toc184314441"/>
      <w:bookmarkEnd w:id="227"/>
      <w:bookmarkStart w:id="228" w:name="_Toc184310334"/>
      <w:bookmarkEnd w:id="228"/>
      <w:bookmarkStart w:id="229" w:name="_Toc184313285"/>
      <w:bookmarkEnd w:id="229"/>
      <w:bookmarkStart w:id="230" w:name="_Toc184314453"/>
      <w:bookmarkEnd w:id="230"/>
      <w:bookmarkStart w:id="231" w:name="_Toc184312107"/>
      <w:bookmarkEnd w:id="231"/>
      <w:bookmarkStart w:id="232" w:name="_Toc184312131"/>
      <w:bookmarkEnd w:id="232"/>
      <w:bookmarkStart w:id="233" w:name="_Toc184314446"/>
      <w:bookmarkEnd w:id="233"/>
      <w:bookmarkStart w:id="234" w:name="_Toc184308095"/>
      <w:bookmarkEnd w:id="234"/>
      <w:bookmarkStart w:id="235" w:name="_Toc184308083"/>
      <w:bookmarkEnd w:id="235"/>
      <w:bookmarkStart w:id="236" w:name="_Toc184314473"/>
      <w:bookmarkEnd w:id="236"/>
      <w:bookmarkStart w:id="237" w:name="_Toc184310342"/>
      <w:bookmarkEnd w:id="237"/>
      <w:bookmarkStart w:id="238" w:name="_Toc184313251"/>
      <w:bookmarkEnd w:id="238"/>
      <w:bookmarkStart w:id="239" w:name="_Toc184310306"/>
      <w:bookmarkEnd w:id="239"/>
      <w:bookmarkStart w:id="240" w:name="_Toc184313265"/>
      <w:bookmarkEnd w:id="240"/>
      <w:bookmarkStart w:id="241" w:name="_Toc184312122"/>
      <w:bookmarkEnd w:id="241"/>
      <w:bookmarkStart w:id="242" w:name="_Toc184310287"/>
      <w:bookmarkEnd w:id="242"/>
      <w:bookmarkStart w:id="243" w:name="_Toc184314465"/>
      <w:bookmarkEnd w:id="243"/>
      <w:bookmarkStart w:id="244" w:name="_Toc184312099"/>
      <w:bookmarkEnd w:id="244"/>
      <w:bookmarkStart w:id="245" w:name="_Toc184308075"/>
      <w:bookmarkEnd w:id="245"/>
      <w:bookmarkStart w:id="246" w:name="_Toc184310319"/>
      <w:bookmarkEnd w:id="246"/>
      <w:bookmarkStart w:id="247" w:name="_Toc184313307"/>
      <w:bookmarkEnd w:id="247"/>
      <w:bookmarkStart w:id="248" w:name="_Toc184312095"/>
      <w:bookmarkEnd w:id="248"/>
      <w:bookmarkStart w:id="249" w:name="_Toc184314464"/>
      <w:bookmarkEnd w:id="249"/>
      <w:bookmarkStart w:id="250" w:name="_Toc184314425"/>
      <w:bookmarkEnd w:id="250"/>
      <w:bookmarkStart w:id="251" w:name="_Toc184314476"/>
      <w:bookmarkEnd w:id="251"/>
      <w:bookmarkStart w:id="252" w:name="_Toc184314417"/>
      <w:bookmarkEnd w:id="252"/>
      <w:bookmarkStart w:id="253" w:name="_Toc184313287"/>
      <w:bookmarkEnd w:id="253"/>
      <w:bookmarkStart w:id="254" w:name="_Toc184312093"/>
      <w:bookmarkEnd w:id="254"/>
      <w:bookmarkStart w:id="255" w:name="_Toc184312113"/>
      <w:bookmarkEnd w:id="255"/>
      <w:bookmarkStart w:id="256" w:name="_Toc184313257"/>
      <w:bookmarkEnd w:id="256"/>
      <w:bookmarkStart w:id="257" w:name="_Toc184314412"/>
      <w:bookmarkEnd w:id="257"/>
      <w:bookmarkStart w:id="258" w:name="_Toc184312091"/>
      <w:bookmarkEnd w:id="258"/>
      <w:bookmarkStart w:id="259" w:name="_Toc184310325"/>
      <w:bookmarkEnd w:id="259"/>
      <w:bookmarkStart w:id="260" w:name="_Toc184314440"/>
      <w:bookmarkEnd w:id="260"/>
      <w:bookmarkStart w:id="261" w:name="_Toc184308046"/>
      <w:bookmarkEnd w:id="261"/>
      <w:bookmarkStart w:id="262" w:name="_Toc184310284"/>
      <w:bookmarkEnd w:id="262"/>
      <w:bookmarkStart w:id="263" w:name="_Toc184312090"/>
      <w:bookmarkEnd w:id="263"/>
      <w:bookmarkStart w:id="264" w:name="_Toc184310333"/>
      <w:bookmarkEnd w:id="264"/>
      <w:bookmarkStart w:id="265" w:name="_Toc184312129"/>
      <w:bookmarkEnd w:id="265"/>
      <w:bookmarkStart w:id="266" w:name="_Toc184314454"/>
      <w:bookmarkEnd w:id="266"/>
      <w:bookmarkStart w:id="267" w:name="_Toc184308100"/>
      <w:bookmarkEnd w:id="267"/>
      <w:bookmarkStart w:id="268" w:name="_Toc184312115"/>
      <w:bookmarkEnd w:id="268"/>
      <w:bookmarkStart w:id="269" w:name="_Toc184310331"/>
      <w:bookmarkEnd w:id="269"/>
      <w:bookmarkStart w:id="270" w:name="_Toc184308045"/>
      <w:bookmarkEnd w:id="270"/>
      <w:bookmarkStart w:id="271" w:name="_Toc184313250"/>
      <w:bookmarkEnd w:id="271"/>
      <w:bookmarkStart w:id="272" w:name="_Toc184308042"/>
      <w:bookmarkEnd w:id="272"/>
      <w:bookmarkStart w:id="273" w:name="_Toc184312119"/>
      <w:bookmarkEnd w:id="273"/>
      <w:bookmarkStart w:id="274" w:name="_Toc184312088"/>
      <w:bookmarkEnd w:id="274"/>
      <w:bookmarkStart w:id="275" w:name="_Toc184314472"/>
      <w:bookmarkEnd w:id="275"/>
      <w:bookmarkStart w:id="276" w:name="_Toc184312068"/>
      <w:bookmarkEnd w:id="276"/>
      <w:bookmarkStart w:id="277" w:name="_Toc184313273"/>
      <w:bookmarkEnd w:id="277"/>
      <w:bookmarkStart w:id="278" w:name="_Toc184308088"/>
      <w:bookmarkEnd w:id="278"/>
      <w:bookmarkStart w:id="279" w:name="_Toc184314467"/>
      <w:bookmarkEnd w:id="279"/>
      <w:bookmarkStart w:id="280" w:name="_Toc184314418"/>
      <w:bookmarkEnd w:id="280"/>
      <w:bookmarkStart w:id="281" w:name="_Toc184312120"/>
      <w:bookmarkEnd w:id="281"/>
      <w:bookmarkStart w:id="282" w:name="_Toc184313284"/>
      <w:bookmarkEnd w:id="282"/>
      <w:bookmarkStart w:id="283" w:name="_Toc184308086"/>
      <w:bookmarkEnd w:id="283"/>
      <w:bookmarkStart w:id="284" w:name="_Toc184308047"/>
      <w:bookmarkEnd w:id="284"/>
      <w:bookmarkStart w:id="285" w:name="_Toc184310326"/>
      <w:bookmarkEnd w:id="285"/>
      <w:bookmarkStart w:id="286" w:name="_Toc184310321"/>
      <w:bookmarkEnd w:id="286"/>
      <w:bookmarkStart w:id="287" w:name="_Toc184313294"/>
      <w:bookmarkEnd w:id="287"/>
      <w:bookmarkStart w:id="288" w:name="_Toc184310285"/>
      <w:bookmarkEnd w:id="288"/>
      <w:bookmarkStart w:id="289" w:name="_Toc184308081"/>
      <w:bookmarkEnd w:id="289"/>
      <w:bookmarkStart w:id="290" w:name="_Toc184312126"/>
      <w:bookmarkEnd w:id="290"/>
      <w:bookmarkStart w:id="291" w:name="_Toc184313252"/>
      <w:bookmarkEnd w:id="291"/>
      <w:bookmarkStart w:id="292" w:name="_Toc184312108"/>
      <w:bookmarkEnd w:id="292"/>
      <w:bookmarkStart w:id="293" w:name="_Toc184313282"/>
      <w:bookmarkEnd w:id="293"/>
      <w:bookmarkStart w:id="294" w:name="_Toc184314420"/>
      <w:bookmarkEnd w:id="294"/>
      <w:bookmarkStart w:id="295" w:name="_Toc184310286"/>
      <w:bookmarkEnd w:id="295"/>
      <w:bookmarkStart w:id="296" w:name="_Toc184314413"/>
      <w:bookmarkEnd w:id="296"/>
      <w:bookmarkStart w:id="297" w:name="_Toc184310332"/>
      <w:bookmarkEnd w:id="297"/>
      <w:bookmarkStart w:id="298" w:name="_Toc184312114"/>
      <w:bookmarkEnd w:id="298"/>
      <w:bookmarkStart w:id="299" w:name="_Toc184314459"/>
      <w:bookmarkEnd w:id="299"/>
      <w:bookmarkStart w:id="300" w:name="_Toc184313302"/>
      <w:bookmarkEnd w:id="300"/>
      <w:bookmarkStart w:id="301" w:name="_Toc184314466"/>
      <w:bookmarkEnd w:id="301"/>
      <w:bookmarkStart w:id="302" w:name="_Toc184308092"/>
      <w:bookmarkEnd w:id="302"/>
      <w:bookmarkStart w:id="303" w:name="_Toc184314415"/>
      <w:bookmarkEnd w:id="303"/>
      <w:bookmarkStart w:id="304" w:name="_Toc184310290"/>
      <w:bookmarkEnd w:id="304"/>
      <w:bookmarkStart w:id="305" w:name="_Toc184314423"/>
      <w:bookmarkEnd w:id="305"/>
      <w:bookmarkStart w:id="306" w:name="_Toc184312096"/>
      <w:bookmarkEnd w:id="306"/>
      <w:bookmarkStart w:id="307" w:name="_Toc184308082"/>
      <w:bookmarkEnd w:id="307"/>
      <w:bookmarkStart w:id="308" w:name="_Toc184308074"/>
      <w:bookmarkEnd w:id="308"/>
      <w:bookmarkStart w:id="309" w:name="_Toc184312089"/>
      <w:bookmarkEnd w:id="309"/>
      <w:bookmarkStart w:id="310" w:name="_Toc184313279"/>
      <w:bookmarkEnd w:id="310"/>
      <w:bookmarkStart w:id="311" w:name="_Toc184313249"/>
      <w:bookmarkEnd w:id="311"/>
      <w:bookmarkStart w:id="312" w:name="_Toc184308077"/>
      <w:bookmarkEnd w:id="312"/>
      <w:bookmarkStart w:id="313" w:name="_Toc184312133"/>
      <w:bookmarkEnd w:id="313"/>
      <w:bookmarkStart w:id="314" w:name="_Toc184310310"/>
      <w:bookmarkEnd w:id="314"/>
      <w:bookmarkStart w:id="315" w:name="_Toc184314463"/>
      <w:bookmarkEnd w:id="315"/>
      <w:bookmarkStart w:id="316" w:name="_Toc184312124"/>
      <w:bookmarkEnd w:id="316"/>
      <w:bookmarkStart w:id="317" w:name="_Toc184314445"/>
      <w:bookmarkEnd w:id="317"/>
      <w:bookmarkStart w:id="318" w:name="_Toc184313261"/>
      <w:bookmarkEnd w:id="318"/>
      <w:bookmarkStart w:id="319" w:name="_Toc184314432"/>
      <w:bookmarkEnd w:id="319"/>
      <w:bookmarkStart w:id="320" w:name="_Toc184308049"/>
      <w:bookmarkEnd w:id="320"/>
      <w:bookmarkStart w:id="321" w:name="_Toc184314470"/>
      <w:bookmarkEnd w:id="321"/>
      <w:bookmarkStart w:id="322" w:name="_Toc184313297"/>
      <w:bookmarkEnd w:id="322"/>
      <w:bookmarkStart w:id="323" w:name="_Toc184314422"/>
      <w:bookmarkEnd w:id="323"/>
      <w:bookmarkStart w:id="324" w:name="_Toc184314451"/>
      <w:bookmarkEnd w:id="324"/>
      <w:bookmarkStart w:id="325" w:name="_Toc184308094"/>
      <w:bookmarkEnd w:id="325"/>
      <w:bookmarkStart w:id="326" w:name="_Toc184308063"/>
      <w:bookmarkEnd w:id="326"/>
      <w:bookmarkStart w:id="327" w:name="_Toc184313290"/>
      <w:bookmarkEnd w:id="327"/>
      <w:bookmarkStart w:id="328" w:name="_Toc184310273"/>
      <w:bookmarkEnd w:id="328"/>
      <w:bookmarkStart w:id="329" w:name="_Toc184310298"/>
      <w:bookmarkEnd w:id="329"/>
      <w:bookmarkStart w:id="330" w:name="_Toc184308108"/>
      <w:bookmarkEnd w:id="330"/>
      <w:bookmarkStart w:id="331" w:name="_Toc184314448"/>
      <w:bookmarkEnd w:id="331"/>
      <w:bookmarkStart w:id="332" w:name="_Toc184310289"/>
      <w:bookmarkEnd w:id="332"/>
      <w:bookmarkStart w:id="333" w:name="_Toc184308090"/>
      <w:bookmarkEnd w:id="333"/>
      <w:bookmarkStart w:id="334" w:name="_Toc184313304"/>
      <w:bookmarkEnd w:id="334"/>
      <w:bookmarkStart w:id="335" w:name="_Toc184313242"/>
      <w:bookmarkEnd w:id="335"/>
      <w:bookmarkStart w:id="336" w:name="_Toc184308038"/>
      <w:bookmarkEnd w:id="336"/>
      <w:bookmarkStart w:id="337" w:name="_Toc184314429"/>
      <w:bookmarkEnd w:id="337"/>
      <w:bookmarkStart w:id="338" w:name="_Toc184310297"/>
      <w:bookmarkEnd w:id="338"/>
      <w:bookmarkStart w:id="339" w:name="_Toc184310316"/>
      <w:bookmarkEnd w:id="339"/>
      <w:bookmarkStart w:id="340" w:name="_Toc184314479"/>
      <w:bookmarkEnd w:id="340"/>
      <w:bookmarkStart w:id="341" w:name="_Toc184313258"/>
      <w:bookmarkEnd w:id="341"/>
      <w:bookmarkStart w:id="342" w:name="_Toc184312134"/>
      <w:bookmarkEnd w:id="342"/>
      <w:bookmarkStart w:id="343" w:name="_Toc184312097"/>
      <w:bookmarkEnd w:id="343"/>
      <w:bookmarkStart w:id="344" w:name="_Toc184313305"/>
      <w:bookmarkEnd w:id="344"/>
      <w:bookmarkStart w:id="345" w:name="_Toc184310338"/>
      <w:bookmarkEnd w:id="345"/>
      <w:bookmarkStart w:id="346" w:name="_Toc184314480"/>
      <w:bookmarkEnd w:id="346"/>
      <w:bookmarkStart w:id="347" w:name="_Toc184308099"/>
      <w:bookmarkEnd w:id="347"/>
      <w:bookmarkStart w:id="348" w:name="_Toc184308085"/>
      <w:bookmarkEnd w:id="348"/>
      <w:bookmarkStart w:id="349" w:name="_Toc184312118"/>
      <w:bookmarkEnd w:id="349"/>
      <w:bookmarkStart w:id="350" w:name="_Toc184310281"/>
      <w:bookmarkEnd w:id="350"/>
      <w:bookmarkStart w:id="351" w:name="_Toc184314421"/>
      <w:bookmarkEnd w:id="351"/>
      <w:bookmarkStart w:id="352" w:name="_Toc184313310"/>
      <w:bookmarkEnd w:id="352"/>
      <w:bookmarkStart w:id="353" w:name="_Toc184314434"/>
      <w:bookmarkEnd w:id="353"/>
      <w:bookmarkStart w:id="354" w:name="_Toc184310344"/>
      <w:bookmarkEnd w:id="354"/>
      <w:bookmarkStart w:id="355" w:name="_Toc184313309"/>
      <w:bookmarkEnd w:id="355"/>
      <w:bookmarkStart w:id="356" w:name="_Toc184312132"/>
      <w:bookmarkEnd w:id="356"/>
      <w:bookmarkStart w:id="357" w:name="_Toc184308052"/>
      <w:bookmarkEnd w:id="357"/>
      <w:bookmarkStart w:id="358" w:name="_Toc184308091"/>
      <w:bookmarkEnd w:id="358"/>
      <w:bookmarkStart w:id="359" w:name="_Toc184312094"/>
      <w:bookmarkEnd w:id="359"/>
      <w:bookmarkStart w:id="360" w:name="_Toc184308098"/>
      <w:bookmarkEnd w:id="360"/>
      <w:bookmarkStart w:id="361" w:name="_Toc184310296"/>
      <w:bookmarkEnd w:id="361"/>
      <w:bookmarkStart w:id="362" w:name="_Toc184310282"/>
      <w:bookmarkEnd w:id="362"/>
      <w:bookmarkStart w:id="363" w:name="_Toc184314444"/>
      <w:bookmarkEnd w:id="363"/>
      <w:bookmarkStart w:id="364" w:name="_Toc184314455"/>
      <w:bookmarkEnd w:id="364"/>
      <w:bookmarkStart w:id="365" w:name="_Toc184308057"/>
      <w:bookmarkEnd w:id="365"/>
      <w:bookmarkStart w:id="366" w:name="_Toc184312067"/>
      <w:bookmarkEnd w:id="366"/>
      <w:bookmarkStart w:id="367" w:name="_Toc184312139"/>
      <w:bookmarkEnd w:id="367"/>
      <w:bookmarkStart w:id="368" w:name="_Toc184312128"/>
      <w:bookmarkEnd w:id="368"/>
      <w:bookmarkStart w:id="369" w:name="_Toc184310337"/>
      <w:bookmarkEnd w:id="369"/>
      <w:bookmarkStart w:id="370" w:name="_Toc184312073"/>
      <w:bookmarkEnd w:id="370"/>
      <w:bookmarkStart w:id="371" w:name="_Toc184310299"/>
      <w:bookmarkEnd w:id="371"/>
      <w:bookmarkStart w:id="372" w:name="_Toc184312121"/>
      <w:bookmarkEnd w:id="372"/>
      <w:bookmarkStart w:id="373" w:name="_Toc184312104"/>
      <w:bookmarkEnd w:id="373"/>
      <w:bookmarkStart w:id="374" w:name="_Toc184313269"/>
      <w:bookmarkEnd w:id="374"/>
      <w:bookmarkStart w:id="375" w:name="_Toc184310312"/>
      <w:bookmarkEnd w:id="375"/>
      <w:bookmarkStart w:id="376" w:name="_Toc184310330"/>
      <w:bookmarkEnd w:id="376"/>
      <w:bookmarkStart w:id="377" w:name="_Toc184308106"/>
      <w:bookmarkEnd w:id="377"/>
      <w:bookmarkStart w:id="378" w:name="_Toc184312078"/>
      <w:bookmarkEnd w:id="378"/>
      <w:bookmarkStart w:id="379" w:name="_Toc184313238"/>
      <w:bookmarkEnd w:id="379"/>
      <w:bookmarkStart w:id="380" w:name="_Toc184314419"/>
      <w:bookmarkEnd w:id="380"/>
      <w:bookmarkStart w:id="381" w:name="_Toc184312087"/>
      <w:bookmarkEnd w:id="381"/>
      <w:bookmarkStart w:id="382" w:name="_Toc184313266"/>
      <w:bookmarkEnd w:id="382"/>
      <w:bookmarkStart w:id="383" w:name="_Toc184313278"/>
      <w:bookmarkEnd w:id="383"/>
      <w:bookmarkStart w:id="384" w:name="_Toc184314436"/>
      <w:bookmarkEnd w:id="384"/>
      <w:bookmarkStart w:id="385" w:name="_Toc184308043"/>
      <w:bookmarkEnd w:id="385"/>
      <w:bookmarkStart w:id="386" w:name="_Toc184310303"/>
      <w:bookmarkEnd w:id="386"/>
      <w:bookmarkStart w:id="387" w:name="_Toc184312082"/>
      <w:bookmarkEnd w:id="387"/>
      <w:bookmarkStart w:id="388" w:name="_Toc184308072"/>
      <w:bookmarkEnd w:id="388"/>
      <w:bookmarkStart w:id="389" w:name="_Toc184308069"/>
      <w:bookmarkEnd w:id="389"/>
      <w:bookmarkStart w:id="390" w:name="_Toc184313275"/>
      <w:bookmarkEnd w:id="390"/>
      <w:bookmarkStart w:id="391" w:name="_Toc184308036"/>
      <w:bookmarkEnd w:id="391"/>
      <w:bookmarkStart w:id="392" w:name="_Toc184314427"/>
      <w:bookmarkEnd w:id="392"/>
      <w:bookmarkStart w:id="393" w:name="_Toc184314450"/>
      <w:bookmarkEnd w:id="393"/>
      <w:bookmarkStart w:id="394" w:name="_Toc184312080"/>
      <w:bookmarkEnd w:id="394"/>
      <w:bookmarkStart w:id="395" w:name="_Toc184313303"/>
      <w:bookmarkEnd w:id="395"/>
      <w:bookmarkStart w:id="396" w:name="_Toc184312123"/>
      <w:bookmarkEnd w:id="396"/>
      <w:bookmarkStart w:id="397" w:name="_Toc184308039"/>
      <w:bookmarkEnd w:id="397"/>
      <w:r>
        <w:rPr>
          <w:rFonts w:hint="eastAsia" w:ascii="宋体" w:hAnsi="宋体" w:eastAsia="宋体" w:cs="宋体"/>
          <w:b/>
          <w:color w:val="auto"/>
          <w:sz w:val="36"/>
          <w:szCs w:val="36"/>
          <w:highlight w:val="none"/>
        </w:rPr>
        <w:t>评标办法</w:t>
      </w:r>
    </w:p>
    <w:p w14:paraId="52599CF6">
      <w:pPr>
        <w:snapToGrid w:val="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6"/>
        <w:tblW w:w="99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07"/>
        <w:gridCol w:w="4936"/>
        <w:gridCol w:w="726"/>
        <w:gridCol w:w="960"/>
        <w:gridCol w:w="1305"/>
      </w:tblGrid>
      <w:tr w14:paraId="00A49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5" w:type="dxa"/>
            <w:tcBorders>
              <w:tl2br w:val="nil"/>
              <w:tr2bl w:val="nil"/>
            </w:tcBorders>
            <w:vAlign w:val="center"/>
          </w:tcPr>
          <w:p w14:paraId="2D4B0276">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07" w:type="dxa"/>
            <w:tcBorders>
              <w:tl2br w:val="nil"/>
              <w:tr2bl w:val="nil"/>
            </w:tcBorders>
            <w:vAlign w:val="center"/>
          </w:tcPr>
          <w:p w14:paraId="2403E1BD">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评分内容</w:t>
            </w:r>
          </w:p>
        </w:tc>
        <w:tc>
          <w:tcPr>
            <w:tcW w:w="4936" w:type="dxa"/>
            <w:tcBorders>
              <w:tl2br w:val="nil"/>
              <w:tr2bl w:val="nil"/>
            </w:tcBorders>
            <w:vAlign w:val="center"/>
          </w:tcPr>
          <w:p w14:paraId="1D8BC2F4">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评标标准</w:t>
            </w:r>
          </w:p>
        </w:tc>
        <w:tc>
          <w:tcPr>
            <w:tcW w:w="726" w:type="dxa"/>
            <w:tcBorders>
              <w:tl2br w:val="nil"/>
              <w:tr2bl w:val="nil"/>
            </w:tcBorders>
            <w:vAlign w:val="center"/>
          </w:tcPr>
          <w:p w14:paraId="5B1D1EB6">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权值</w:t>
            </w:r>
          </w:p>
        </w:tc>
        <w:tc>
          <w:tcPr>
            <w:tcW w:w="960" w:type="dxa"/>
            <w:tcBorders>
              <w:tl2br w:val="nil"/>
              <w:tr2bl w:val="nil"/>
            </w:tcBorders>
            <w:vAlign w:val="center"/>
          </w:tcPr>
          <w:p w14:paraId="7A0AED02">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1305" w:type="dxa"/>
            <w:tcBorders>
              <w:tl2br w:val="nil"/>
              <w:tr2bl w:val="nil"/>
            </w:tcBorders>
            <w:vAlign w:val="center"/>
          </w:tcPr>
          <w:p w14:paraId="05FA3FD7">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14:paraId="29DAE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5" w:type="dxa"/>
            <w:tcBorders>
              <w:tl2br w:val="nil"/>
              <w:tr2bl w:val="nil"/>
            </w:tcBorders>
            <w:vAlign w:val="center"/>
          </w:tcPr>
          <w:p w14:paraId="1A1BADAE">
            <w:pPr>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307" w:type="dxa"/>
            <w:tcBorders>
              <w:tl2br w:val="nil"/>
              <w:tr2bl w:val="nil"/>
            </w:tcBorders>
            <w:shd w:val="clear" w:color="auto" w:fill="auto"/>
            <w:vAlign w:val="center"/>
          </w:tcPr>
          <w:p w14:paraId="1985948A">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szCs w:val="21"/>
                <w:lang w:val="en-US" w:eastAsia="zh-CN"/>
              </w:rPr>
              <w:t>业  绩</w:t>
            </w:r>
          </w:p>
        </w:tc>
        <w:tc>
          <w:tcPr>
            <w:tcW w:w="4936" w:type="dxa"/>
            <w:tcBorders>
              <w:tl2br w:val="nil"/>
              <w:tr2bl w:val="nil"/>
            </w:tcBorders>
            <w:shd w:val="clear" w:color="auto" w:fill="auto"/>
            <w:vAlign w:val="center"/>
          </w:tcPr>
          <w:p w14:paraId="6E440BF8">
            <w:pPr>
              <w:snapToGrid w:val="0"/>
              <w:jc w:val="left"/>
              <w:rPr>
                <w:rFonts w:hint="eastAsia" w:ascii="宋体" w:hAnsi="宋体" w:eastAsia="宋体" w:cs="宋体"/>
                <w:kern w:val="0"/>
                <w:sz w:val="21"/>
                <w:szCs w:val="21"/>
                <w:lang w:val="en-US" w:eastAsia="zh-CN" w:bidi="ar-SA"/>
              </w:rPr>
            </w:pPr>
            <w:r>
              <w:rPr>
                <w:rFonts w:hint="eastAsia" w:ascii="宋体" w:hAnsi="宋体" w:eastAsia="宋体" w:cs="宋体"/>
                <w:bCs/>
                <w:szCs w:val="21"/>
                <w:lang w:val="en-US" w:eastAsia="zh-CN"/>
              </w:rPr>
              <w:t>供应商提供自投标截止时间前三年以来（自投标截止日起往前追溯3年，以合同签订时间为准）已成功实施的同类项目业绩，每个业绩得0.5分，最多得1分。（须提供合同复印件和验收报告并加盖公章，未提供证明材料或材料不全的不予认可。）</w:t>
            </w:r>
          </w:p>
        </w:tc>
        <w:tc>
          <w:tcPr>
            <w:tcW w:w="726" w:type="dxa"/>
            <w:tcBorders>
              <w:tl2br w:val="nil"/>
              <w:tr2bl w:val="nil"/>
            </w:tcBorders>
            <w:shd w:val="clear" w:color="auto" w:fill="auto"/>
            <w:vAlign w:val="center"/>
          </w:tcPr>
          <w:p w14:paraId="475F9506">
            <w:pPr>
              <w:snapToGrid w:val="0"/>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960" w:type="dxa"/>
            <w:tcBorders>
              <w:tl2br w:val="nil"/>
              <w:tr2bl w:val="nil"/>
            </w:tcBorders>
            <w:shd w:val="clear" w:color="auto" w:fill="auto"/>
            <w:vAlign w:val="center"/>
          </w:tcPr>
          <w:p w14:paraId="097A7496">
            <w:pPr>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客观分</w:t>
            </w:r>
          </w:p>
        </w:tc>
        <w:tc>
          <w:tcPr>
            <w:tcW w:w="1305" w:type="dxa"/>
            <w:tcBorders>
              <w:tl2br w:val="nil"/>
              <w:tr2bl w:val="nil"/>
            </w:tcBorders>
            <w:vAlign w:val="center"/>
          </w:tcPr>
          <w:p w14:paraId="45094C99">
            <w:pPr>
              <w:snapToGrid w:val="0"/>
              <w:jc w:val="center"/>
              <w:rPr>
                <w:rFonts w:hint="eastAsia" w:ascii="宋体" w:hAnsi="宋体" w:eastAsia="宋体" w:cs="宋体"/>
                <w:bCs/>
                <w:color w:val="auto"/>
                <w:szCs w:val="21"/>
                <w:highlight w:val="none"/>
              </w:rPr>
            </w:pPr>
          </w:p>
        </w:tc>
      </w:tr>
      <w:tr w14:paraId="13C41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4770C668">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07" w:type="dxa"/>
            <w:tcBorders>
              <w:tl2br w:val="nil"/>
              <w:tr2bl w:val="nil"/>
            </w:tcBorders>
            <w:shd w:val="clear" w:color="auto" w:fill="auto"/>
            <w:vAlign w:val="center"/>
          </w:tcPr>
          <w:p w14:paraId="11BB40A9">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项目背景</w:t>
            </w:r>
          </w:p>
        </w:tc>
        <w:tc>
          <w:tcPr>
            <w:tcW w:w="4936" w:type="dxa"/>
            <w:tcBorders>
              <w:tl2br w:val="nil"/>
              <w:tr2bl w:val="nil"/>
            </w:tcBorders>
            <w:shd w:val="clear" w:color="auto" w:fill="auto"/>
            <w:vAlign w:val="center"/>
          </w:tcPr>
          <w:p w14:paraId="5A93F1F7">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根据投标单位针对对本项目服务区域的了解及分析是否到位、准确，重、难点区域的分析进行综合评审</w:t>
            </w:r>
            <w:r>
              <w:rPr>
                <w:rFonts w:hint="eastAsia" w:ascii="宋体" w:hAnsi="宋体" w:cs="宋体"/>
                <w:color w:val="auto"/>
                <w:kern w:val="2"/>
                <w:sz w:val="21"/>
                <w:szCs w:val="21"/>
                <w:highlight w:val="none"/>
                <w:lang w:val="en-US" w:eastAsia="zh-CN" w:bidi="ar-SA"/>
              </w:rPr>
              <w:t>：</w:t>
            </w:r>
          </w:p>
          <w:p w14:paraId="552828DC">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完整性、准确性；（0-3分）</w:t>
            </w:r>
          </w:p>
          <w:p w14:paraId="389E7639">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重点区域分析；（0-3分）</w:t>
            </w:r>
          </w:p>
          <w:p w14:paraId="6BC4386D">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难点区域分析；（0-3分）</w:t>
            </w:r>
          </w:p>
        </w:tc>
        <w:tc>
          <w:tcPr>
            <w:tcW w:w="726" w:type="dxa"/>
            <w:tcBorders>
              <w:tl2br w:val="nil"/>
              <w:tr2bl w:val="nil"/>
            </w:tcBorders>
            <w:shd w:val="clear" w:color="auto" w:fill="auto"/>
            <w:vAlign w:val="center"/>
          </w:tcPr>
          <w:p w14:paraId="42336A69">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960" w:type="dxa"/>
            <w:tcBorders>
              <w:tl2br w:val="nil"/>
              <w:tr2bl w:val="nil"/>
            </w:tcBorders>
            <w:shd w:val="clear" w:color="auto" w:fill="auto"/>
            <w:vAlign w:val="center"/>
          </w:tcPr>
          <w:p w14:paraId="79D72C2B">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0CDC7726">
            <w:pPr>
              <w:widowControl/>
              <w:snapToGrid w:val="0"/>
              <w:spacing w:line="340" w:lineRule="exact"/>
              <w:jc w:val="center"/>
              <w:textAlignment w:val="center"/>
              <w:rPr>
                <w:rFonts w:hint="eastAsia" w:ascii="宋体" w:hAnsi="宋体" w:eastAsia="宋体" w:cs="宋体"/>
                <w:color w:val="auto"/>
                <w:szCs w:val="21"/>
                <w:highlight w:val="none"/>
              </w:rPr>
            </w:pPr>
          </w:p>
        </w:tc>
      </w:tr>
      <w:tr w14:paraId="3B87B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40E14DB8">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07" w:type="dxa"/>
            <w:tcBorders>
              <w:tl2br w:val="nil"/>
              <w:tr2bl w:val="nil"/>
            </w:tcBorders>
            <w:shd w:val="clear" w:color="auto" w:fill="auto"/>
            <w:vAlign w:val="center"/>
          </w:tcPr>
          <w:p w14:paraId="7157D7E3">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实施方案</w:t>
            </w:r>
          </w:p>
        </w:tc>
        <w:tc>
          <w:tcPr>
            <w:tcW w:w="4936" w:type="dxa"/>
            <w:tcBorders>
              <w:tl2br w:val="nil"/>
              <w:tr2bl w:val="nil"/>
            </w:tcBorders>
            <w:shd w:val="clear" w:color="auto" w:fill="auto"/>
            <w:vAlign w:val="center"/>
          </w:tcPr>
          <w:p w14:paraId="027EC0BE">
            <w:pPr>
              <w:widowControl/>
              <w:snapToGrid w:val="0"/>
              <w:spacing w:line="340" w:lineRule="exact"/>
              <w:textAlignment w:val="center"/>
              <w:rPr>
                <w:rFonts w:hint="eastAsia" w:ascii="宋体" w:hAnsi="宋体" w:eastAsia="宋体" w:cs="宋体"/>
                <w:kern w:val="0"/>
                <w:szCs w:val="21"/>
                <w:lang w:val="zh-CN"/>
              </w:rPr>
            </w:pPr>
            <w:r>
              <w:rPr>
                <w:rFonts w:hint="eastAsia" w:ascii="宋体" w:hAnsi="宋体" w:eastAsia="宋体" w:cs="宋体"/>
                <w:kern w:val="0"/>
                <w:szCs w:val="21"/>
                <w:lang w:val="zh-CN"/>
              </w:rPr>
              <w:t>根据投标人针对对本项目提供的镇区保洁整体实施方案内容</w:t>
            </w:r>
            <w:r>
              <w:rPr>
                <w:rFonts w:hint="eastAsia" w:ascii="宋体" w:hAnsi="宋体" w:eastAsia="宋体" w:cs="宋体"/>
                <w:color w:val="auto"/>
                <w:kern w:val="2"/>
                <w:sz w:val="21"/>
                <w:szCs w:val="21"/>
                <w:highlight w:val="none"/>
                <w:lang w:val="en-US" w:eastAsia="zh-CN" w:bidi="ar-SA"/>
              </w:rPr>
              <w:t>进行综合评审</w:t>
            </w:r>
            <w:r>
              <w:rPr>
                <w:rFonts w:hint="eastAsia" w:ascii="宋体" w:hAnsi="宋体" w:cs="宋体"/>
                <w:color w:val="auto"/>
                <w:kern w:val="2"/>
                <w:sz w:val="21"/>
                <w:szCs w:val="21"/>
                <w:highlight w:val="none"/>
                <w:lang w:val="en-US" w:eastAsia="zh-CN" w:bidi="ar-SA"/>
              </w:rPr>
              <w:t>：</w:t>
            </w:r>
          </w:p>
          <w:p w14:paraId="26333BE8">
            <w:pPr>
              <w:adjustRightInd/>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完整性；（0-</w:t>
            </w:r>
            <w:r>
              <w:rPr>
                <w:rFonts w:hint="eastAsia" w:ascii="宋体" w:hAnsi="宋体" w:cs="宋体"/>
                <w:kern w:val="0"/>
                <w:szCs w:val="21"/>
                <w:lang w:val="en-US" w:eastAsia="zh-CN"/>
              </w:rPr>
              <w:t>4</w:t>
            </w:r>
            <w:r>
              <w:rPr>
                <w:rFonts w:hint="eastAsia" w:ascii="宋体" w:hAnsi="宋体" w:eastAsia="宋体" w:cs="宋体"/>
                <w:kern w:val="0"/>
                <w:szCs w:val="21"/>
                <w:lang w:val="zh-CN"/>
              </w:rPr>
              <w:t>分）</w:t>
            </w:r>
          </w:p>
          <w:p w14:paraId="54958B41">
            <w:pPr>
              <w:adjustRightInd/>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合理性分；（0-</w:t>
            </w:r>
            <w:r>
              <w:rPr>
                <w:rFonts w:hint="eastAsia" w:ascii="宋体" w:hAnsi="宋体" w:cs="宋体"/>
                <w:kern w:val="0"/>
                <w:szCs w:val="21"/>
                <w:lang w:val="en-US" w:eastAsia="zh-CN"/>
              </w:rPr>
              <w:t>4</w:t>
            </w:r>
            <w:r>
              <w:rPr>
                <w:rFonts w:hint="eastAsia" w:ascii="宋体" w:hAnsi="宋体" w:eastAsia="宋体" w:cs="宋体"/>
                <w:kern w:val="0"/>
                <w:szCs w:val="21"/>
                <w:lang w:val="zh-CN"/>
              </w:rPr>
              <w:t>分）</w:t>
            </w:r>
          </w:p>
          <w:p w14:paraId="6C50CE2B">
            <w:pPr>
              <w:widowControl/>
              <w:snapToGrid w:val="0"/>
              <w:spacing w:line="340" w:lineRule="exact"/>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kern w:val="0"/>
                <w:szCs w:val="21"/>
                <w:lang w:val="zh-CN"/>
              </w:rPr>
              <w:t>可行性；（0-</w:t>
            </w:r>
            <w:r>
              <w:rPr>
                <w:rFonts w:hint="eastAsia" w:ascii="宋体" w:hAnsi="宋体" w:cs="宋体"/>
                <w:kern w:val="0"/>
                <w:szCs w:val="21"/>
                <w:lang w:val="en-US" w:eastAsia="zh-CN"/>
              </w:rPr>
              <w:t>4</w:t>
            </w:r>
            <w:r>
              <w:rPr>
                <w:rFonts w:hint="eastAsia" w:ascii="宋体" w:hAnsi="宋体" w:eastAsia="宋体" w:cs="宋体"/>
                <w:kern w:val="0"/>
                <w:szCs w:val="21"/>
                <w:lang w:val="zh-CN"/>
              </w:rPr>
              <w:t>分）</w:t>
            </w:r>
          </w:p>
        </w:tc>
        <w:tc>
          <w:tcPr>
            <w:tcW w:w="726" w:type="dxa"/>
            <w:tcBorders>
              <w:tl2br w:val="nil"/>
              <w:tr2bl w:val="nil"/>
            </w:tcBorders>
            <w:shd w:val="clear" w:color="auto" w:fill="auto"/>
            <w:vAlign w:val="center"/>
          </w:tcPr>
          <w:p w14:paraId="686D7F14">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960" w:type="dxa"/>
            <w:tcBorders>
              <w:tl2br w:val="nil"/>
              <w:tr2bl w:val="nil"/>
            </w:tcBorders>
            <w:shd w:val="clear" w:color="auto" w:fill="auto"/>
            <w:vAlign w:val="center"/>
          </w:tcPr>
          <w:p w14:paraId="0C2ADE84">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729EDA60">
            <w:pPr>
              <w:widowControl/>
              <w:snapToGrid w:val="0"/>
              <w:spacing w:line="340" w:lineRule="exact"/>
              <w:jc w:val="center"/>
              <w:textAlignment w:val="center"/>
              <w:rPr>
                <w:rFonts w:hint="eastAsia" w:ascii="宋体" w:hAnsi="宋体" w:eastAsia="宋体" w:cs="宋体"/>
                <w:color w:val="auto"/>
                <w:szCs w:val="21"/>
                <w:highlight w:val="none"/>
              </w:rPr>
            </w:pPr>
          </w:p>
        </w:tc>
      </w:tr>
      <w:tr w14:paraId="0D56D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544C2015">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307" w:type="dxa"/>
            <w:tcBorders>
              <w:tl2br w:val="nil"/>
              <w:tr2bl w:val="nil"/>
            </w:tcBorders>
            <w:shd w:val="clear" w:color="auto" w:fill="auto"/>
            <w:vAlign w:val="center"/>
          </w:tcPr>
          <w:p w14:paraId="4F7200EE">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规章制度</w:t>
            </w:r>
          </w:p>
        </w:tc>
        <w:tc>
          <w:tcPr>
            <w:tcW w:w="4936" w:type="dxa"/>
            <w:tcBorders>
              <w:tl2br w:val="nil"/>
              <w:tr2bl w:val="nil"/>
            </w:tcBorders>
            <w:shd w:val="clear" w:color="auto" w:fill="auto"/>
            <w:vAlign w:val="center"/>
          </w:tcPr>
          <w:p w14:paraId="55D58F01">
            <w:pPr>
              <w:adjustRightInd/>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根据投标人针对本项目实施质量的各项规章制度进行综合评审：</w:t>
            </w:r>
          </w:p>
          <w:p w14:paraId="55A17622">
            <w:pPr>
              <w:adjustRightInd/>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工作绩效考核制度的合理性、完整性；（0-3分）</w:t>
            </w:r>
          </w:p>
          <w:p w14:paraId="6FA06275">
            <w:pPr>
              <w:adjustRightInd/>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新增人员招录制度的合理性、完整性；（0-2分）</w:t>
            </w:r>
          </w:p>
          <w:p w14:paraId="6D20B853">
            <w:pPr>
              <w:adjustRightInd/>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稳定员工队伍制度的合理性、完整性；（0-1分）</w:t>
            </w:r>
          </w:p>
          <w:p w14:paraId="61657AA0">
            <w:pPr>
              <w:adjustRightInd/>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工作纪律管理制度的合理性、完整性；（0-4分）</w:t>
            </w:r>
          </w:p>
          <w:p w14:paraId="0E233AAC">
            <w:pPr>
              <w:adjustRightInd/>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安全管理制度的合理性、完整性；（0-4分）</w:t>
            </w:r>
          </w:p>
          <w:p w14:paraId="47C20B36">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业务操作流程制度的合理性、完整性。（0-3分）</w:t>
            </w:r>
          </w:p>
        </w:tc>
        <w:tc>
          <w:tcPr>
            <w:tcW w:w="726" w:type="dxa"/>
            <w:tcBorders>
              <w:tl2br w:val="nil"/>
              <w:tr2bl w:val="nil"/>
            </w:tcBorders>
            <w:shd w:val="clear" w:color="auto" w:fill="auto"/>
            <w:vAlign w:val="center"/>
          </w:tcPr>
          <w:p w14:paraId="6C416301">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w:t>
            </w:r>
          </w:p>
        </w:tc>
        <w:tc>
          <w:tcPr>
            <w:tcW w:w="960" w:type="dxa"/>
            <w:tcBorders>
              <w:tl2br w:val="nil"/>
              <w:tr2bl w:val="nil"/>
            </w:tcBorders>
            <w:shd w:val="clear" w:color="auto" w:fill="auto"/>
            <w:vAlign w:val="center"/>
          </w:tcPr>
          <w:p w14:paraId="37328421">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04815729">
            <w:pPr>
              <w:widowControl/>
              <w:snapToGrid w:val="0"/>
              <w:spacing w:line="340" w:lineRule="exact"/>
              <w:jc w:val="center"/>
              <w:textAlignment w:val="center"/>
              <w:rPr>
                <w:rFonts w:hint="eastAsia" w:ascii="宋体" w:hAnsi="宋体" w:eastAsia="宋体" w:cs="宋体"/>
                <w:color w:val="auto"/>
                <w:szCs w:val="21"/>
                <w:highlight w:val="none"/>
              </w:rPr>
            </w:pPr>
          </w:p>
        </w:tc>
      </w:tr>
      <w:tr w14:paraId="3E795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461E133E">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307" w:type="dxa"/>
            <w:tcBorders>
              <w:tl2br w:val="nil"/>
              <w:tr2bl w:val="nil"/>
            </w:tcBorders>
            <w:shd w:val="clear" w:color="auto" w:fill="auto"/>
            <w:vAlign w:val="center"/>
          </w:tcPr>
          <w:p w14:paraId="11B1AFDC">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工作措施</w:t>
            </w:r>
          </w:p>
        </w:tc>
        <w:tc>
          <w:tcPr>
            <w:tcW w:w="4936" w:type="dxa"/>
            <w:tcBorders>
              <w:tl2br w:val="nil"/>
              <w:tr2bl w:val="nil"/>
            </w:tcBorders>
            <w:shd w:val="clear" w:color="auto" w:fill="auto"/>
            <w:vAlign w:val="center"/>
          </w:tcPr>
          <w:p w14:paraId="2669C06A">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保证本项目实施的各种工作措施，如质量保证措施、安全措施、文明措施、经济措施、管理措施，每项各0-2分；根据措施的完整性、合理性、科学性、可行性等综合评分，最高得10分。</w:t>
            </w:r>
          </w:p>
        </w:tc>
        <w:tc>
          <w:tcPr>
            <w:tcW w:w="726" w:type="dxa"/>
            <w:tcBorders>
              <w:tl2br w:val="nil"/>
              <w:tr2bl w:val="nil"/>
            </w:tcBorders>
            <w:shd w:val="clear" w:color="auto" w:fill="auto"/>
            <w:vAlign w:val="center"/>
          </w:tcPr>
          <w:p w14:paraId="11C2FB59">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960" w:type="dxa"/>
            <w:tcBorders>
              <w:tl2br w:val="nil"/>
              <w:tr2bl w:val="nil"/>
            </w:tcBorders>
            <w:shd w:val="clear" w:color="auto" w:fill="auto"/>
            <w:vAlign w:val="center"/>
          </w:tcPr>
          <w:p w14:paraId="34AF8AC3">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1A849D9F">
            <w:pPr>
              <w:widowControl/>
              <w:snapToGrid w:val="0"/>
              <w:spacing w:line="340" w:lineRule="exact"/>
              <w:jc w:val="center"/>
              <w:textAlignment w:val="center"/>
              <w:rPr>
                <w:rFonts w:hint="eastAsia" w:ascii="宋体" w:hAnsi="宋体" w:eastAsia="宋体" w:cs="宋体"/>
                <w:color w:val="auto"/>
                <w:szCs w:val="21"/>
                <w:highlight w:val="none"/>
              </w:rPr>
            </w:pPr>
          </w:p>
        </w:tc>
      </w:tr>
      <w:tr w14:paraId="527F1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42344785">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307" w:type="dxa"/>
            <w:tcBorders>
              <w:tl2br w:val="nil"/>
              <w:tr2bl w:val="nil"/>
            </w:tcBorders>
            <w:shd w:val="clear" w:color="auto" w:fill="auto"/>
            <w:vAlign w:val="center"/>
          </w:tcPr>
          <w:p w14:paraId="455F15EC">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人员配备</w:t>
            </w:r>
          </w:p>
        </w:tc>
        <w:tc>
          <w:tcPr>
            <w:tcW w:w="4936" w:type="dxa"/>
            <w:tcBorders>
              <w:tl2br w:val="nil"/>
              <w:tr2bl w:val="nil"/>
            </w:tcBorders>
            <w:shd w:val="clear" w:color="auto" w:fill="auto"/>
            <w:vAlign w:val="center"/>
          </w:tcPr>
          <w:p w14:paraId="4B9BC197">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针对本项目管理人员的机构设置、项目实施人员配备情况（机构设置科学性、人员配备是合理、人员资历等）综合评分。（0—9分）</w:t>
            </w:r>
          </w:p>
        </w:tc>
        <w:tc>
          <w:tcPr>
            <w:tcW w:w="726" w:type="dxa"/>
            <w:tcBorders>
              <w:tl2br w:val="nil"/>
              <w:tr2bl w:val="nil"/>
            </w:tcBorders>
            <w:shd w:val="clear" w:color="auto" w:fill="auto"/>
            <w:vAlign w:val="center"/>
          </w:tcPr>
          <w:p w14:paraId="4EA199A7">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960" w:type="dxa"/>
            <w:tcBorders>
              <w:tl2br w:val="nil"/>
              <w:tr2bl w:val="nil"/>
            </w:tcBorders>
            <w:shd w:val="clear" w:color="auto" w:fill="auto"/>
            <w:vAlign w:val="center"/>
          </w:tcPr>
          <w:p w14:paraId="1D06695C">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1AAB8CA4">
            <w:pPr>
              <w:widowControl/>
              <w:snapToGrid w:val="0"/>
              <w:spacing w:line="340" w:lineRule="exact"/>
              <w:jc w:val="center"/>
              <w:textAlignment w:val="center"/>
              <w:rPr>
                <w:rFonts w:hint="eastAsia" w:ascii="宋体" w:hAnsi="宋体" w:eastAsia="宋体" w:cs="宋体"/>
                <w:color w:val="auto"/>
                <w:szCs w:val="21"/>
                <w:highlight w:val="none"/>
              </w:rPr>
            </w:pPr>
          </w:p>
        </w:tc>
      </w:tr>
      <w:tr w14:paraId="1AC3F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6EC477B2">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307" w:type="dxa"/>
            <w:tcBorders>
              <w:tl2br w:val="nil"/>
              <w:tr2bl w:val="nil"/>
            </w:tcBorders>
            <w:shd w:val="clear" w:color="auto" w:fill="auto"/>
            <w:vAlign w:val="center"/>
          </w:tcPr>
          <w:p w14:paraId="6F7BADCA">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机械设备</w:t>
            </w:r>
          </w:p>
        </w:tc>
        <w:tc>
          <w:tcPr>
            <w:tcW w:w="4936" w:type="dxa"/>
            <w:tcBorders>
              <w:tl2br w:val="nil"/>
              <w:tr2bl w:val="nil"/>
            </w:tcBorders>
            <w:shd w:val="clear" w:color="auto" w:fill="auto"/>
            <w:vAlign w:val="center"/>
          </w:tcPr>
          <w:p w14:paraId="7278060A">
            <w:pPr>
              <w:widowControl/>
              <w:snapToGrid w:val="0"/>
              <w:spacing w:line="340" w:lineRule="exact"/>
              <w:textAlignment w:val="center"/>
              <w:rPr>
                <w:rFonts w:hint="eastAsia" w:ascii="宋体" w:hAnsi="宋体" w:eastAsia="宋体" w:cs="宋体"/>
                <w:kern w:val="0"/>
                <w:szCs w:val="21"/>
              </w:rPr>
            </w:pPr>
            <w:r>
              <w:rPr>
                <w:rFonts w:hint="eastAsia" w:ascii="宋体" w:hAnsi="宋体" w:eastAsia="宋体" w:cs="宋体"/>
                <w:kern w:val="0"/>
                <w:szCs w:val="21"/>
              </w:rPr>
              <w:t>投标单位针对本项目投入的机械、车辆、设备</w:t>
            </w:r>
            <w:r>
              <w:rPr>
                <w:rFonts w:hint="eastAsia" w:ascii="宋体" w:hAnsi="宋体" w:cs="宋体"/>
                <w:kern w:val="0"/>
                <w:szCs w:val="21"/>
                <w:lang w:val="en-US" w:eastAsia="zh-CN"/>
              </w:rPr>
              <w:t>并结合投标时提供的相关资料，</w:t>
            </w:r>
            <w:r>
              <w:rPr>
                <w:rFonts w:hint="eastAsia" w:ascii="宋体" w:hAnsi="宋体" w:eastAsia="宋体" w:cs="宋体"/>
                <w:kern w:val="0"/>
                <w:szCs w:val="21"/>
              </w:rPr>
              <w:t>根据其配备的合理性、设备的先进性</w:t>
            </w:r>
            <w:r>
              <w:rPr>
                <w:rFonts w:hint="eastAsia" w:ascii="宋体" w:hAnsi="宋体" w:cs="宋体"/>
                <w:kern w:val="0"/>
                <w:szCs w:val="21"/>
                <w:lang w:val="en-US" w:eastAsia="zh-CN"/>
              </w:rPr>
              <w:t>综合评</w:t>
            </w:r>
            <w:r>
              <w:rPr>
                <w:rFonts w:hint="eastAsia" w:ascii="宋体" w:hAnsi="宋体" w:eastAsia="宋体" w:cs="宋体"/>
                <w:kern w:val="0"/>
                <w:szCs w:val="21"/>
              </w:rPr>
              <w:t>分</w:t>
            </w:r>
            <w:r>
              <w:rPr>
                <w:rFonts w:hint="eastAsia" w:ascii="宋体" w:hAnsi="宋体" w:cs="宋体"/>
                <w:kern w:val="0"/>
                <w:szCs w:val="21"/>
                <w:lang w:eastAsia="zh-CN"/>
              </w:rPr>
              <w:t>。</w:t>
            </w:r>
            <w:r>
              <w:rPr>
                <w:rFonts w:hint="eastAsia" w:ascii="宋体" w:hAnsi="宋体" w:eastAsia="宋体" w:cs="宋体"/>
                <w:kern w:val="0"/>
                <w:szCs w:val="21"/>
              </w:rPr>
              <w:t>（0—6分）</w:t>
            </w:r>
          </w:p>
          <w:p w14:paraId="1E26A734">
            <w:pPr>
              <w:pStyle w:val="2"/>
              <w:jc w:val="left"/>
              <w:rPr>
                <w:rFonts w:hint="default" w:eastAsia="宋体"/>
                <w:lang w:val="en-US" w:eastAsia="zh-CN"/>
              </w:rPr>
            </w:pPr>
            <w:r>
              <w:rPr>
                <w:rFonts w:hint="eastAsia" w:ascii="宋体" w:hAnsi="宋体" w:cs="宋体"/>
                <w:b w:val="0"/>
                <w:bCs/>
                <w:kern w:val="0"/>
                <w:szCs w:val="21"/>
                <w:lang w:val="en-US" w:eastAsia="zh-CN"/>
              </w:rPr>
              <w:t>注：自有设备提供照片、购置发票、行驶证等资料；租赁设备提供租赁合同、车辆照片、行驶证等；</w:t>
            </w:r>
          </w:p>
        </w:tc>
        <w:tc>
          <w:tcPr>
            <w:tcW w:w="726" w:type="dxa"/>
            <w:tcBorders>
              <w:tl2br w:val="nil"/>
              <w:tr2bl w:val="nil"/>
            </w:tcBorders>
            <w:shd w:val="clear" w:color="auto" w:fill="auto"/>
            <w:vAlign w:val="center"/>
          </w:tcPr>
          <w:p w14:paraId="494F293A">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960" w:type="dxa"/>
            <w:tcBorders>
              <w:tl2br w:val="nil"/>
              <w:tr2bl w:val="nil"/>
            </w:tcBorders>
            <w:shd w:val="clear" w:color="auto" w:fill="auto"/>
            <w:vAlign w:val="center"/>
          </w:tcPr>
          <w:p w14:paraId="0CB78367">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5B120731">
            <w:pPr>
              <w:widowControl/>
              <w:snapToGrid w:val="0"/>
              <w:spacing w:line="340" w:lineRule="exact"/>
              <w:jc w:val="center"/>
              <w:textAlignment w:val="center"/>
              <w:rPr>
                <w:rFonts w:hint="eastAsia" w:ascii="宋体" w:hAnsi="宋体" w:eastAsia="宋体" w:cs="宋体"/>
                <w:color w:val="auto"/>
                <w:szCs w:val="21"/>
                <w:highlight w:val="none"/>
              </w:rPr>
            </w:pPr>
          </w:p>
        </w:tc>
      </w:tr>
      <w:tr w14:paraId="1144F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33D6873B">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307" w:type="dxa"/>
            <w:tcBorders>
              <w:tl2br w:val="nil"/>
              <w:tr2bl w:val="nil"/>
            </w:tcBorders>
            <w:shd w:val="clear" w:color="auto" w:fill="auto"/>
            <w:vAlign w:val="center"/>
          </w:tcPr>
          <w:p w14:paraId="059F4425">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业务培训</w:t>
            </w:r>
          </w:p>
        </w:tc>
        <w:tc>
          <w:tcPr>
            <w:tcW w:w="4936" w:type="dxa"/>
            <w:tcBorders>
              <w:tl2br w:val="nil"/>
              <w:tr2bl w:val="nil"/>
            </w:tcBorders>
            <w:shd w:val="clear" w:color="auto" w:fill="auto"/>
            <w:vAlign w:val="center"/>
          </w:tcPr>
          <w:p w14:paraId="6704C62C">
            <w:pPr>
              <w:widowControl/>
              <w:snapToGrid w:val="0"/>
              <w:spacing w:line="340" w:lineRule="exact"/>
              <w:textAlignment w:val="center"/>
              <w:rPr>
                <w:rFonts w:hint="eastAsia" w:ascii="宋体" w:hAnsi="宋体" w:eastAsia="宋体" w:cs="宋体"/>
                <w:kern w:val="0"/>
                <w:sz w:val="21"/>
                <w:szCs w:val="21"/>
                <w:lang w:val="zh-CN" w:eastAsia="zh-CN" w:bidi="ar-SA"/>
              </w:rPr>
            </w:pPr>
            <w:r>
              <w:rPr>
                <w:rFonts w:hint="eastAsia" w:ascii="宋体" w:hAnsi="宋体" w:eastAsia="宋体" w:cs="宋体"/>
                <w:kern w:val="0"/>
                <w:szCs w:val="21"/>
              </w:rPr>
              <w:t>投标单位针对本项目各级人员编制业务培训措施及方案，根据方案的完整性、全面性、可行性等综合评分</w:t>
            </w:r>
            <w:r>
              <w:rPr>
                <w:rFonts w:hint="eastAsia" w:ascii="宋体" w:hAnsi="宋体" w:cs="宋体"/>
                <w:kern w:val="0"/>
                <w:szCs w:val="21"/>
                <w:lang w:eastAsia="zh-CN"/>
              </w:rPr>
              <w:t>。</w:t>
            </w:r>
            <w:r>
              <w:rPr>
                <w:rFonts w:hint="eastAsia" w:ascii="宋体" w:hAnsi="宋体" w:eastAsia="宋体" w:cs="宋体"/>
                <w:kern w:val="0"/>
                <w:szCs w:val="21"/>
              </w:rPr>
              <w:t>（0—5分）</w:t>
            </w:r>
          </w:p>
        </w:tc>
        <w:tc>
          <w:tcPr>
            <w:tcW w:w="726" w:type="dxa"/>
            <w:tcBorders>
              <w:tl2br w:val="nil"/>
              <w:tr2bl w:val="nil"/>
            </w:tcBorders>
            <w:shd w:val="clear" w:color="auto" w:fill="auto"/>
            <w:vAlign w:val="center"/>
          </w:tcPr>
          <w:p w14:paraId="1E327886">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60" w:type="dxa"/>
            <w:tcBorders>
              <w:tl2br w:val="nil"/>
              <w:tr2bl w:val="nil"/>
            </w:tcBorders>
            <w:shd w:val="clear" w:color="auto" w:fill="auto"/>
            <w:vAlign w:val="center"/>
          </w:tcPr>
          <w:p w14:paraId="215E06FD">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727FA182">
            <w:pPr>
              <w:widowControl/>
              <w:snapToGrid w:val="0"/>
              <w:spacing w:line="340" w:lineRule="exact"/>
              <w:jc w:val="center"/>
              <w:textAlignment w:val="center"/>
              <w:rPr>
                <w:rFonts w:hint="eastAsia" w:ascii="宋体" w:hAnsi="宋体" w:eastAsia="宋体" w:cs="宋体"/>
                <w:color w:val="auto"/>
                <w:szCs w:val="21"/>
                <w:highlight w:val="none"/>
              </w:rPr>
            </w:pPr>
          </w:p>
        </w:tc>
      </w:tr>
      <w:tr w14:paraId="634D6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7944546A">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307" w:type="dxa"/>
            <w:tcBorders>
              <w:tl2br w:val="nil"/>
              <w:tr2bl w:val="nil"/>
            </w:tcBorders>
            <w:shd w:val="clear" w:color="auto" w:fill="auto"/>
            <w:vAlign w:val="center"/>
          </w:tcPr>
          <w:p w14:paraId="1741C0FE">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应急预案</w:t>
            </w:r>
          </w:p>
        </w:tc>
        <w:tc>
          <w:tcPr>
            <w:tcW w:w="4936" w:type="dxa"/>
            <w:tcBorders>
              <w:tl2br w:val="nil"/>
              <w:tr2bl w:val="nil"/>
            </w:tcBorders>
            <w:shd w:val="clear" w:color="auto" w:fill="auto"/>
            <w:vAlign w:val="center"/>
          </w:tcPr>
          <w:p w14:paraId="726AB65C">
            <w:pPr>
              <w:widowControl/>
              <w:snapToGrid w:val="0"/>
              <w:spacing w:line="340" w:lineRule="exact"/>
              <w:textAlignment w:val="center"/>
              <w:rPr>
                <w:rFonts w:hint="eastAsia" w:ascii="宋体" w:hAnsi="宋体" w:eastAsia="宋体" w:cs="宋体"/>
                <w:kern w:val="0"/>
                <w:sz w:val="21"/>
                <w:szCs w:val="21"/>
                <w:lang w:val="zh-CN" w:eastAsia="zh-CN" w:bidi="ar-SA"/>
              </w:rPr>
            </w:pPr>
            <w:r>
              <w:rPr>
                <w:rFonts w:hint="eastAsia" w:ascii="宋体" w:hAnsi="宋体" w:eastAsia="宋体" w:cs="宋体"/>
                <w:kern w:val="0"/>
                <w:szCs w:val="21"/>
              </w:rPr>
              <w:t>应针对本项目编制应急处理方案，根据方案的完整性、全面性、可行性等综合评分</w:t>
            </w:r>
            <w:r>
              <w:rPr>
                <w:rFonts w:hint="eastAsia" w:ascii="宋体" w:hAnsi="宋体" w:cs="宋体"/>
                <w:kern w:val="0"/>
                <w:szCs w:val="21"/>
                <w:lang w:eastAsia="zh-CN"/>
              </w:rPr>
              <w:t>。</w:t>
            </w:r>
            <w:r>
              <w:rPr>
                <w:rFonts w:hint="eastAsia" w:ascii="宋体" w:hAnsi="宋体" w:eastAsia="宋体" w:cs="宋体"/>
                <w:kern w:val="0"/>
                <w:szCs w:val="21"/>
              </w:rPr>
              <w:t>（0-5分）</w:t>
            </w:r>
          </w:p>
        </w:tc>
        <w:tc>
          <w:tcPr>
            <w:tcW w:w="726" w:type="dxa"/>
            <w:tcBorders>
              <w:tl2br w:val="nil"/>
              <w:tr2bl w:val="nil"/>
            </w:tcBorders>
            <w:shd w:val="clear" w:color="auto" w:fill="auto"/>
            <w:vAlign w:val="center"/>
          </w:tcPr>
          <w:p w14:paraId="03107D57">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60" w:type="dxa"/>
            <w:tcBorders>
              <w:tl2br w:val="nil"/>
              <w:tr2bl w:val="nil"/>
            </w:tcBorders>
            <w:shd w:val="clear" w:color="auto" w:fill="auto"/>
            <w:vAlign w:val="center"/>
          </w:tcPr>
          <w:p w14:paraId="2251302F">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445C5F03">
            <w:pPr>
              <w:widowControl/>
              <w:snapToGrid w:val="0"/>
              <w:spacing w:line="340" w:lineRule="exact"/>
              <w:jc w:val="center"/>
              <w:textAlignment w:val="center"/>
              <w:rPr>
                <w:rFonts w:hint="eastAsia" w:ascii="宋体" w:hAnsi="宋体" w:eastAsia="宋体" w:cs="宋体"/>
                <w:color w:val="auto"/>
                <w:szCs w:val="21"/>
                <w:highlight w:val="none"/>
              </w:rPr>
            </w:pPr>
          </w:p>
        </w:tc>
      </w:tr>
      <w:tr w14:paraId="1899B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1FBDFF2B">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307" w:type="dxa"/>
            <w:tcBorders>
              <w:tl2br w:val="nil"/>
              <w:tr2bl w:val="nil"/>
            </w:tcBorders>
            <w:shd w:val="clear" w:color="auto" w:fill="auto"/>
            <w:vAlign w:val="center"/>
          </w:tcPr>
          <w:p w14:paraId="0D3EF16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合理化建议</w:t>
            </w:r>
          </w:p>
        </w:tc>
        <w:tc>
          <w:tcPr>
            <w:tcW w:w="4936" w:type="dxa"/>
            <w:tcBorders>
              <w:tl2br w:val="nil"/>
              <w:tr2bl w:val="nil"/>
            </w:tcBorders>
            <w:shd w:val="clear" w:color="auto" w:fill="auto"/>
            <w:vAlign w:val="center"/>
          </w:tcPr>
          <w:p w14:paraId="043232D9">
            <w:pPr>
              <w:widowControl/>
              <w:snapToGrid w:val="0"/>
              <w:spacing w:line="340" w:lineRule="exact"/>
              <w:textAlignment w:val="center"/>
              <w:rPr>
                <w:rFonts w:hint="eastAsia" w:ascii="宋体" w:hAnsi="宋体" w:eastAsia="宋体" w:cs="宋体"/>
                <w:kern w:val="0"/>
                <w:sz w:val="21"/>
                <w:szCs w:val="21"/>
                <w:lang w:val="zh-CN" w:eastAsia="zh-CN" w:bidi="ar-SA"/>
              </w:rPr>
            </w:pPr>
            <w:r>
              <w:rPr>
                <w:rFonts w:hint="eastAsia" w:ascii="宋体" w:hAnsi="宋体" w:eastAsia="宋体" w:cs="宋体"/>
                <w:kern w:val="0"/>
                <w:szCs w:val="21"/>
                <w:lang w:val="zh-CN"/>
              </w:rPr>
              <w:t>根据对本项目建设需求深入了解，针对项目推进和实施中可能会出现的问题和存在的困难，并结合自身专业、经验等实际情况，提出合理化建议以及解决对策，</w:t>
            </w:r>
            <w:r>
              <w:rPr>
                <w:rFonts w:hint="eastAsia" w:ascii="宋体" w:hAnsi="宋体" w:eastAsia="宋体" w:cs="宋体"/>
                <w:kern w:val="0"/>
                <w:szCs w:val="21"/>
                <w:lang w:val="zh-CN" w:eastAsia="zh-CN"/>
              </w:rPr>
              <w:t>被评审专家采纳的每条</w:t>
            </w:r>
            <w:r>
              <w:rPr>
                <w:rFonts w:hint="eastAsia" w:ascii="宋体" w:hAnsi="宋体" w:eastAsia="宋体" w:cs="宋体"/>
                <w:kern w:val="0"/>
                <w:szCs w:val="21"/>
                <w:lang w:val="zh-CN"/>
              </w:rPr>
              <w:t>得</w:t>
            </w:r>
            <w:r>
              <w:rPr>
                <w:rFonts w:hint="eastAsia" w:ascii="宋体" w:hAnsi="宋体" w:eastAsia="宋体" w:cs="宋体"/>
                <w:kern w:val="0"/>
                <w:szCs w:val="21"/>
                <w:lang w:val="en-US" w:eastAsia="zh-CN"/>
              </w:rPr>
              <w:t>2</w:t>
            </w:r>
            <w:r>
              <w:rPr>
                <w:rFonts w:hint="eastAsia" w:ascii="宋体" w:hAnsi="宋体" w:eastAsia="宋体" w:cs="宋体"/>
                <w:kern w:val="0"/>
                <w:szCs w:val="21"/>
                <w:lang w:val="zh-CN"/>
              </w:rPr>
              <w:t>分，</w:t>
            </w:r>
            <w:r>
              <w:rPr>
                <w:rFonts w:hint="eastAsia" w:ascii="宋体" w:hAnsi="宋体" w:eastAsia="宋体" w:cs="宋体"/>
                <w:kern w:val="0"/>
                <w:szCs w:val="21"/>
                <w:lang w:val="en-US" w:eastAsia="zh-CN"/>
              </w:rPr>
              <w:t>满分4分</w:t>
            </w:r>
            <w:r>
              <w:rPr>
                <w:rFonts w:hint="eastAsia" w:ascii="宋体" w:hAnsi="宋体" w:eastAsia="宋体" w:cs="宋体"/>
                <w:kern w:val="0"/>
                <w:szCs w:val="21"/>
                <w:lang w:val="zh-CN"/>
              </w:rPr>
              <w:t>。</w:t>
            </w:r>
          </w:p>
        </w:tc>
        <w:tc>
          <w:tcPr>
            <w:tcW w:w="726" w:type="dxa"/>
            <w:tcBorders>
              <w:tl2br w:val="nil"/>
              <w:tr2bl w:val="nil"/>
            </w:tcBorders>
            <w:shd w:val="clear" w:color="auto" w:fill="auto"/>
            <w:vAlign w:val="center"/>
          </w:tcPr>
          <w:p w14:paraId="56A3A22C">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960" w:type="dxa"/>
            <w:tcBorders>
              <w:tl2br w:val="nil"/>
              <w:tr2bl w:val="nil"/>
            </w:tcBorders>
            <w:shd w:val="clear" w:color="auto" w:fill="auto"/>
            <w:vAlign w:val="center"/>
          </w:tcPr>
          <w:p w14:paraId="5421B759">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135B5740">
            <w:pPr>
              <w:widowControl/>
              <w:snapToGrid w:val="0"/>
              <w:spacing w:line="340" w:lineRule="exact"/>
              <w:jc w:val="center"/>
              <w:textAlignment w:val="center"/>
              <w:rPr>
                <w:rFonts w:hint="eastAsia" w:ascii="宋体" w:hAnsi="宋体" w:eastAsia="宋体" w:cs="宋体"/>
                <w:color w:val="auto"/>
                <w:szCs w:val="21"/>
                <w:highlight w:val="none"/>
              </w:rPr>
            </w:pPr>
          </w:p>
        </w:tc>
      </w:tr>
      <w:tr w14:paraId="776AC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6E88B709">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307" w:type="dxa"/>
            <w:tcBorders>
              <w:tl2br w:val="nil"/>
              <w:tr2bl w:val="nil"/>
            </w:tcBorders>
            <w:shd w:val="clear" w:color="auto" w:fill="auto"/>
            <w:vAlign w:val="center"/>
          </w:tcPr>
          <w:p w14:paraId="1B6E9834">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监督自查</w:t>
            </w:r>
          </w:p>
        </w:tc>
        <w:tc>
          <w:tcPr>
            <w:tcW w:w="4936" w:type="dxa"/>
            <w:tcBorders>
              <w:tl2br w:val="nil"/>
              <w:tr2bl w:val="nil"/>
            </w:tcBorders>
            <w:shd w:val="clear" w:color="auto" w:fill="auto"/>
            <w:vAlign w:val="center"/>
          </w:tcPr>
          <w:p w14:paraId="35992FE6">
            <w:pPr>
              <w:widowControl/>
              <w:snapToGrid w:val="0"/>
              <w:spacing w:line="340" w:lineRule="exact"/>
              <w:textAlignment w:val="center"/>
              <w:rPr>
                <w:rFonts w:hint="eastAsia" w:ascii="宋体" w:hAnsi="宋体" w:eastAsia="宋体" w:cs="宋体"/>
                <w:kern w:val="0"/>
                <w:sz w:val="21"/>
                <w:szCs w:val="21"/>
                <w:lang w:val="zh-CN" w:eastAsia="zh-CN" w:bidi="ar-SA"/>
              </w:rPr>
            </w:pPr>
            <w:r>
              <w:rPr>
                <w:rFonts w:hint="eastAsia" w:ascii="宋体" w:hAnsi="宋体" w:eastAsia="宋体" w:cs="宋体"/>
                <w:kern w:val="0"/>
                <w:szCs w:val="21"/>
              </w:rPr>
              <w:t>根据投标单位是否有完善的监督自查体系，以及体系的完整性、科学性、可操作性，综合打分</w:t>
            </w:r>
            <w:r>
              <w:rPr>
                <w:rFonts w:hint="eastAsia" w:ascii="宋体" w:hAnsi="宋体" w:cs="宋体"/>
                <w:kern w:val="0"/>
                <w:szCs w:val="21"/>
                <w:lang w:eastAsia="zh-CN"/>
              </w:rPr>
              <w:t>。</w:t>
            </w:r>
            <w:r>
              <w:rPr>
                <w:rFonts w:hint="eastAsia" w:ascii="宋体" w:hAnsi="宋体" w:eastAsia="宋体" w:cs="宋体"/>
                <w:kern w:val="0"/>
                <w:szCs w:val="21"/>
              </w:rPr>
              <w:t>（0-4分）</w:t>
            </w:r>
          </w:p>
        </w:tc>
        <w:tc>
          <w:tcPr>
            <w:tcW w:w="726" w:type="dxa"/>
            <w:tcBorders>
              <w:tl2br w:val="nil"/>
              <w:tr2bl w:val="nil"/>
            </w:tcBorders>
            <w:shd w:val="clear" w:color="auto" w:fill="auto"/>
            <w:vAlign w:val="center"/>
          </w:tcPr>
          <w:p w14:paraId="33A1386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960" w:type="dxa"/>
            <w:tcBorders>
              <w:tl2br w:val="nil"/>
              <w:tr2bl w:val="nil"/>
            </w:tcBorders>
            <w:shd w:val="clear" w:color="auto" w:fill="auto"/>
            <w:vAlign w:val="center"/>
          </w:tcPr>
          <w:p w14:paraId="7402B74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305" w:type="dxa"/>
            <w:tcBorders>
              <w:tl2br w:val="nil"/>
              <w:tr2bl w:val="nil"/>
            </w:tcBorders>
            <w:vAlign w:val="center"/>
          </w:tcPr>
          <w:p w14:paraId="124FDEB5">
            <w:pPr>
              <w:widowControl/>
              <w:snapToGrid w:val="0"/>
              <w:spacing w:line="340" w:lineRule="exact"/>
              <w:jc w:val="center"/>
              <w:textAlignment w:val="center"/>
              <w:rPr>
                <w:rFonts w:hint="eastAsia" w:ascii="宋体" w:hAnsi="宋体" w:eastAsia="宋体" w:cs="宋体"/>
                <w:color w:val="auto"/>
                <w:szCs w:val="21"/>
                <w:highlight w:val="none"/>
              </w:rPr>
            </w:pPr>
          </w:p>
        </w:tc>
      </w:tr>
      <w:tr w14:paraId="74094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27FAD17E">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307" w:type="dxa"/>
            <w:tcBorders>
              <w:tl2br w:val="nil"/>
              <w:tr2bl w:val="nil"/>
            </w:tcBorders>
            <w:shd w:val="clear" w:color="auto" w:fill="auto"/>
            <w:vAlign w:val="center"/>
          </w:tcPr>
          <w:p w14:paraId="7894287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诚信分</w:t>
            </w:r>
          </w:p>
        </w:tc>
        <w:tc>
          <w:tcPr>
            <w:tcW w:w="4936" w:type="dxa"/>
            <w:tcBorders>
              <w:tl2br w:val="nil"/>
              <w:tr2bl w:val="nil"/>
            </w:tcBorders>
            <w:shd w:val="clear" w:color="auto" w:fill="auto"/>
            <w:vAlign w:val="center"/>
          </w:tcPr>
          <w:p w14:paraId="3B2E8F9B">
            <w:pPr>
              <w:widowControl/>
              <w:snapToGrid w:val="0"/>
              <w:spacing w:line="340" w:lineRule="exact"/>
              <w:textAlignment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rPr>
              <w:t>凡在投标截止时间前三年受到行政处罚、行政处理(含通报)或记入不良行为的，此项得分为0；若无处罚、行政处理(含通)报)或记入不良行为的得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分(投标供应商自行提供承诺函，不提供承诺函的得0分，如有不良记录又虚假承诺的，一经发现将取消中标资格并报监管部门依法处理)。</w:t>
            </w:r>
          </w:p>
        </w:tc>
        <w:tc>
          <w:tcPr>
            <w:tcW w:w="726" w:type="dxa"/>
            <w:tcBorders>
              <w:tl2br w:val="nil"/>
              <w:tr2bl w:val="nil"/>
            </w:tcBorders>
            <w:shd w:val="clear" w:color="auto" w:fill="auto"/>
            <w:vAlign w:val="center"/>
          </w:tcPr>
          <w:p w14:paraId="094F7FE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960" w:type="dxa"/>
            <w:tcBorders>
              <w:tl2br w:val="nil"/>
              <w:tr2bl w:val="nil"/>
            </w:tcBorders>
            <w:shd w:val="clear" w:color="auto" w:fill="auto"/>
            <w:vAlign w:val="center"/>
          </w:tcPr>
          <w:p w14:paraId="146DA2D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305" w:type="dxa"/>
            <w:tcBorders>
              <w:tl2br w:val="nil"/>
              <w:tr2bl w:val="nil"/>
            </w:tcBorders>
            <w:vAlign w:val="center"/>
          </w:tcPr>
          <w:p w14:paraId="20F80720">
            <w:pPr>
              <w:widowControl/>
              <w:snapToGrid w:val="0"/>
              <w:spacing w:line="340" w:lineRule="exact"/>
              <w:jc w:val="center"/>
              <w:textAlignment w:val="center"/>
              <w:rPr>
                <w:rFonts w:hint="eastAsia" w:ascii="宋体" w:hAnsi="宋体" w:eastAsia="宋体" w:cs="宋体"/>
                <w:color w:val="auto"/>
                <w:szCs w:val="21"/>
                <w:highlight w:val="none"/>
              </w:rPr>
            </w:pPr>
          </w:p>
        </w:tc>
      </w:tr>
      <w:tr w14:paraId="67A41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55EAA5E4">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307" w:type="dxa"/>
            <w:tcBorders>
              <w:tl2br w:val="nil"/>
              <w:tr2bl w:val="nil"/>
            </w:tcBorders>
            <w:vAlign w:val="center"/>
          </w:tcPr>
          <w:p w14:paraId="3B8CC3E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报价部分</w:t>
            </w:r>
          </w:p>
          <w:p w14:paraId="3260C92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4936" w:type="dxa"/>
            <w:tcBorders>
              <w:tl2br w:val="nil"/>
              <w:tr2bl w:val="nil"/>
            </w:tcBorders>
            <w:vAlign w:val="center"/>
          </w:tcPr>
          <w:p w14:paraId="7BF09184">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3E4B5D13">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tc>
        <w:tc>
          <w:tcPr>
            <w:tcW w:w="726" w:type="dxa"/>
            <w:tcBorders>
              <w:tl2br w:val="nil"/>
              <w:tr2bl w:val="nil"/>
            </w:tcBorders>
            <w:vAlign w:val="center"/>
          </w:tcPr>
          <w:p w14:paraId="7D235AD5">
            <w:pPr>
              <w:widowControl/>
              <w:snapToGrid w:val="0"/>
              <w:spacing w:line="34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60" w:type="dxa"/>
            <w:tcBorders>
              <w:tl2br w:val="nil"/>
              <w:tr2bl w:val="nil"/>
            </w:tcBorders>
            <w:vAlign w:val="center"/>
          </w:tcPr>
          <w:p w14:paraId="5FB425E1">
            <w:pPr>
              <w:widowControl/>
              <w:snapToGrid w:val="0"/>
              <w:spacing w:line="3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5" w:type="dxa"/>
            <w:tcBorders>
              <w:tl2br w:val="nil"/>
              <w:tr2bl w:val="nil"/>
            </w:tcBorders>
            <w:vAlign w:val="center"/>
          </w:tcPr>
          <w:p w14:paraId="1D1C560F">
            <w:pPr>
              <w:widowControl/>
              <w:snapToGrid w:val="0"/>
              <w:spacing w:line="340" w:lineRule="exact"/>
              <w:jc w:val="center"/>
              <w:textAlignment w:val="center"/>
              <w:rPr>
                <w:rFonts w:hint="eastAsia" w:ascii="宋体" w:hAnsi="宋体" w:eastAsia="宋体" w:cs="宋体"/>
                <w:color w:val="auto"/>
                <w:szCs w:val="21"/>
                <w:highlight w:val="none"/>
              </w:rPr>
            </w:pPr>
          </w:p>
        </w:tc>
      </w:tr>
    </w:tbl>
    <w:p w14:paraId="5D1E5C5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shd w:val="clear" w:color="auto" w:fill="FFFFFF"/>
        </w:rPr>
        <w:t>*</w:t>
      </w:r>
      <w:r>
        <w:rPr>
          <w:rFonts w:hint="eastAsia" w:ascii="宋体" w:hAnsi="宋体" w:eastAsia="宋体" w:cs="宋体"/>
          <w:b/>
          <w:color w:val="auto"/>
          <w:szCs w:val="21"/>
          <w:highlight w:val="none"/>
        </w:rPr>
        <w:t>备注：上述内容缺项不得分，投标人编制投标文件（商务技术文件部分）时，建议按此目录（序号和内容）提供评标标准相应的商务技术资料。 </w:t>
      </w:r>
    </w:p>
    <w:p w14:paraId="49A19AB8">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一、评标方法</w:t>
      </w:r>
    </w:p>
    <w:p w14:paraId="7352CEAF">
      <w:pPr>
        <w:adjustRightInd/>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1.本项目采用综合评分法。</w:t>
      </w:r>
      <w:r>
        <w:rPr>
          <w:rFonts w:hint="eastAsia" w:ascii="宋体" w:hAnsi="宋体" w:eastAsia="宋体" w:cs="宋体"/>
          <w:color w:val="auto"/>
          <w:kern w:val="0"/>
          <w:szCs w:val="21"/>
          <w:highlight w:val="none"/>
        </w:rPr>
        <w:t>综合评分法，是指投标文件满足招标文件全部实质性要求，且按照评审因素的量化指标评审得分最高的投标人为中标候选人的评标方法。</w:t>
      </w:r>
    </w:p>
    <w:p w14:paraId="5AD7FC19">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二、评标标准</w:t>
      </w:r>
    </w:p>
    <w:p w14:paraId="6F4924D2">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2.评标标准：</w:t>
      </w:r>
      <w:r>
        <w:rPr>
          <w:rFonts w:hint="eastAsia" w:ascii="宋体" w:hAnsi="宋体" w:eastAsia="宋体" w:cs="宋体"/>
          <w:color w:val="auto"/>
          <w:kern w:val="0"/>
          <w:szCs w:val="21"/>
          <w:highlight w:val="none"/>
        </w:rPr>
        <w:t>见评标办法前附表。</w:t>
      </w:r>
    </w:p>
    <w:p w14:paraId="6B08F78A">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三、评标程序</w:t>
      </w:r>
    </w:p>
    <w:p w14:paraId="39485703">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3.1 符合性审查。</w:t>
      </w:r>
      <w:r>
        <w:rPr>
          <w:rFonts w:hint="eastAsia" w:ascii="宋体" w:hAnsi="宋体" w:eastAsia="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58597DC4">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3.2 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评标委员会应当按照招标文件中规定的评标方法和标准，对符合性审查合格的投标文件进行商务和技术评估，综合比较与评价。</w:t>
      </w:r>
    </w:p>
    <w:p w14:paraId="5A200AA4">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3.3 汇总商务技术得分。</w:t>
      </w:r>
      <w:r>
        <w:rPr>
          <w:rFonts w:hint="eastAsia" w:ascii="宋体" w:hAnsi="宋体" w:eastAsia="宋体" w:cs="宋体"/>
          <w:color w:val="auto"/>
          <w:kern w:val="0"/>
          <w:szCs w:val="21"/>
          <w:highlight w:val="none"/>
        </w:rPr>
        <w:t>评标委员会各成员应当独立对每个投标人的商务和技术文件进行评价，并汇总商务技术得分情况。</w:t>
      </w:r>
    </w:p>
    <w:p w14:paraId="52D7BF9D">
      <w:pPr>
        <w:spacing w:line="360" w:lineRule="auto"/>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 报价评审。</w:t>
      </w:r>
    </w:p>
    <w:p w14:paraId="42CAD25C">
      <w:pPr>
        <w:pStyle w:val="135"/>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 投标文件报价出现前后不一致的，按照下列规定修正：</w:t>
      </w:r>
    </w:p>
    <w:p w14:paraId="73858A6C">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 投标文件中开标一览表(报价表)内容与投标文件中相应内容不一致的，以开标一览表(报价表)为准；</w:t>
      </w:r>
    </w:p>
    <w:p w14:paraId="37A8B1FC">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 大写金额和小写金额不一致的，以大写金额为准；</w:t>
      </w:r>
    </w:p>
    <w:p w14:paraId="4918B919">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 单价金额小数点或者百分比有明显错位的，以开标一览表的总价为准，并修改单价；</w:t>
      </w:r>
    </w:p>
    <w:p w14:paraId="66DB9961">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 总价金额与按单价汇总金额不一致的，以单价金额计算结果为准。</w:t>
      </w:r>
    </w:p>
    <w:p w14:paraId="53A26B0F">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 同时出现两种以上不一致的，按照3.4.1规定的顺序修正。修正后的报价按照财政部第87号</w:t>
      </w:r>
    </w:p>
    <w:p w14:paraId="1B8FA1C8">
      <w:pPr>
        <w:pStyle w:val="135"/>
        <w:wordWrap w:val="0"/>
        <w:topLinePunct/>
        <w:spacing w:before="0"/>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令《政府采购货物和服务招标投标管理办法》第五十一条第二款的规定经投标人确认后产生约束力。</w:t>
      </w:r>
    </w:p>
    <w:p w14:paraId="491440D1">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 投标文件出现不是唯一的、有选择性投标报价的，投标无效。</w:t>
      </w:r>
    </w:p>
    <w:p w14:paraId="1DB449FC">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 投标报价超过招标文件中规定的预算金额或者最高限价的，投标无效。</w:t>
      </w:r>
    </w:p>
    <w:p w14:paraId="4F708722">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F5FE78">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 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C848B29">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3.5 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751A16">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636170">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3.6编写评标报告。</w:t>
      </w:r>
      <w:r>
        <w:rPr>
          <w:rFonts w:hint="eastAsia" w:ascii="宋体" w:hAnsi="宋体" w:eastAsia="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3883E7">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四、评标中的其他事项</w:t>
      </w:r>
    </w:p>
    <w:p w14:paraId="30582611">
      <w:pPr>
        <w:pStyle w:val="135"/>
        <w:spacing w:before="0"/>
        <w:ind w:firstLine="422"/>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 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B9423B">
      <w:pPr>
        <w:pStyle w:val="19"/>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 投标无效。</w:t>
      </w:r>
      <w:r>
        <w:rPr>
          <w:rFonts w:hint="eastAsia" w:ascii="宋体" w:hAnsi="宋体" w:eastAsia="宋体" w:cs="宋体"/>
          <w:color w:val="auto"/>
          <w:sz w:val="21"/>
          <w:szCs w:val="21"/>
          <w:highlight w:val="none"/>
        </w:rPr>
        <w:t>有下列情况之一的，投标无效：</w:t>
      </w:r>
    </w:p>
    <w:p w14:paraId="6AC2AD5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 投标人不具备招标文件中规定的资格要求的（投标人未提供有效的资格文件的，视为投标人不具备招标文件中规定的资格要求）；</w:t>
      </w:r>
    </w:p>
    <w:p w14:paraId="569E437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 投标文件未按照招标文件要求签署、盖章的；</w:t>
      </w:r>
    </w:p>
    <w:p w14:paraId="4703494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 采购人拟采购的产品属于政府强制采购的节能产品品目清单范围的，投标人相应的投标产品未获得国家确定的认证机构出具的、处于有效期之内的节能产品认证证书的；</w:t>
      </w:r>
    </w:p>
    <w:p w14:paraId="533AC9A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4.2.4 投标文件含有采购人不能接受的附加条件的；</w:t>
      </w:r>
    </w:p>
    <w:p w14:paraId="78611F3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4.2.5 投标文件中承诺的投标有效期少于招标文件中载明的投标有效期的；</w:t>
      </w:r>
    </w:p>
    <w:p w14:paraId="7C8790D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4.2.6 投标文件出现不是唯一的、有选择性投标报价的；</w:t>
      </w:r>
    </w:p>
    <w:p w14:paraId="03550B1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4.2.7 投标报价超过招标文件中规定的预算金额或者最高限价的；</w:t>
      </w:r>
    </w:p>
    <w:p w14:paraId="7A1B1E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4.2.8 报价明显低于其他通过符合性审查投标人的报价，有可能影响产品质量或者不能诚信履约的，未能按要求提供书面说明或者提交相关证明材料，不能证明其报价合理性的；</w:t>
      </w:r>
    </w:p>
    <w:p w14:paraId="37919B8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4.2.9 投标人对根据修正原则修正后的报价不确认的；</w:t>
      </w:r>
    </w:p>
    <w:p w14:paraId="3A31F9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4.2.10 投标人提供虚假材料投标的；</w:t>
      </w:r>
    </w:p>
    <w:p w14:paraId="0076BE6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4.2.11 投标人有恶意串通、妨碍其他投标人的竞争行为、损害采购人或者其他投标人的合法权益情形的；</w:t>
      </w:r>
    </w:p>
    <w:p w14:paraId="01141FE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4.2.12 </w:t>
      </w:r>
      <w:r>
        <w:rPr>
          <w:rFonts w:hint="eastAsia" w:ascii="宋体" w:hAnsi="宋体" w:eastAsia="宋体" w:cs="宋体"/>
          <w:color w:val="auto"/>
          <w:kern w:val="0"/>
          <w:szCs w:val="21"/>
          <w:highlight w:val="none"/>
        </w:rPr>
        <w:t>参与同一个采购包（标段）的供应商存在下列情形之一且无法合理解释的：</w:t>
      </w:r>
    </w:p>
    <w:p w14:paraId="65897A2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b/>
          <w:bCs/>
          <w:color w:val="auto"/>
          <w:kern w:val="0"/>
          <w:szCs w:val="21"/>
          <w:highlight w:val="none"/>
        </w:rPr>
        <w:t>不同供应商的电子投标（响应）文件上传计算机的网卡MAC地址或硬盘序列号等硬件信息相同的；</w:t>
      </w:r>
    </w:p>
    <w:p w14:paraId="6ED045E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上传的电子投标（响应）文件若出现使用本项目其他投标（响应）供应商的数字证书加密的，或者加盖本项目其他投标（响应）供应商的电子印章的；</w:t>
      </w:r>
    </w:p>
    <w:p w14:paraId="1CD6539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不同供应商的投标（响应）文件的内容存在3处（含）以上错误一致的；</w:t>
      </w:r>
    </w:p>
    <w:p w14:paraId="42D2B73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不同供应商联系人为同一人或不同联系人的联系电话一致的。</w:t>
      </w:r>
    </w:p>
    <w:p w14:paraId="67C9893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投标人仅提交备份投标文件，未在电子交易平台传输递交投标文件的，投标无效；</w:t>
      </w:r>
    </w:p>
    <w:p w14:paraId="4C18F349">
      <w:pPr>
        <w:keepNext/>
        <w:keepLines/>
        <w:tabs>
          <w:tab w:val="left" w:pos="432"/>
        </w:tabs>
        <w:adjustRightInd/>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投标文件不满足招标文件的其它实质性要求的；</w:t>
      </w:r>
    </w:p>
    <w:p w14:paraId="22B2248B">
      <w:pPr>
        <w:wordWrap w:val="0"/>
        <w:topLinePunct/>
        <w:spacing w:line="360" w:lineRule="auto"/>
        <w:ind w:left="210" w:leftChars="10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法律、法规、规章（适用本市的）及省级以上规范性文件（适用本市的）规定的其他无效情形。</w:t>
      </w:r>
    </w:p>
    <w:p w14:paraId="2CDB2F28">
      <w:pPr>
        <w:wordWrap w:val="0"/>
        <w:topLinePunct/>
        <w:spacing w:line="360" w:lineRule="auto"/>
        <w:ind w:left="210" w:leftChars="10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5.废标。根据《中华人民共和国政府采购法》第三十六条之规定，在采购中，出现下列情形之一的，应予废标：</w:t>
      </w:r>
    </w:p>
    <w:p w14:paraId="62395B58">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符合专业条件的供应商或者对招标文件作实质响应的供应商不足3家的；</w:t>
      </w:r>
    </w:p>
    <w:p w14:paraId="2887BE33">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出现影响采购公正的违法、违规行为的；</w:t>
      </w:r>
    </w:p>
    <w:p w14:paraId="2B0C185C">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投标人的报价均超过了采购预算，采购人不能支付的；</w:t>
      </w:r>
    </w:p>
    <w:p w14:paraId="52D6DEC1">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因重大变故，采购任务取消的。</w:t>
      </w:r>
    </w:p>
    <w:p w14:paraId="6E0661F7">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废标后，采购代理机构应当将废标理由通知所有投标人。</w:t>
      </w:r>
    </w:p>
    <w:p w14:paraId="797038AF">
      <w:pPr>
        <w:pStyle w:val="19"/>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D13BC7">
      <w:pPr>
        <w:pStyle w:val="19"/>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有政府采购法第七十一条、第七十二条规定的违法行为之一，影响或者可能影响中标、成交结果的，依照下列规定处理：</w:t>
      </w:r>
    </w:p>
    <w:p w14:paraId="52D21837">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3D08D32C">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ADF3122">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2AFE868E">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096C97E2">
      <w:pPr>
        <w:pStyle w:val="19"/>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6513679">
      <w:pPr>
        <w:pStyle w:val="18"/>
        <w:rPr>
          <w:rFonts w:hint="eastAsia" w:ascii="宋体" w:hAnsi="宋体" w:eastAsia="宋体" w:cs="宋体"/>
        </w:rPr>
      </w:pPr>
    </w:p>
    <w:p w14:paraId="1EBBC3C6">
      <w:pPr>
        <w:pStyle w:val="18"/>
        <w:rPr>
          <w:rFonts w:hint="eastAsia" w:ascii="宋体" w:hAnsi="宋体" w:eastAsia="宋体" w:cs="宋体"/>
          <w:color w:val="auto"/>
          <w:highlight w:val="none"/>
        </w:rPr>
      </w:pPr>
    </w:p>
    <w:bookmarkEnd w:id="26"/>
    <w:p w14:paraId="13286BD8">
      <w:pPr>
        <w:spacing w:before="319" w:beforeLines="100" w:after="319" w:afterLines="100"/>
        <w:jc w:val="center"/>
        <w:outlineLvl w:val="0"/>
        <w:rPr>
          <w:rFonts w:hint="eastAsia" w:ascii="宋体" w:hAnsi="宋体" w:eastAsia="宋体" w:cs="宋体"/>
          <w:b/>
          <w:color w:val="auto"/>
          <w:sz w:val="36"/>
          <w:szCs w:val="36"/>
          <w:highlight w:val="none"/>
        </w:rPr>
      </w:pPr>
      <w:bookmarkStart w:id="398" w:name="_Toc86217003"/>
      <w:bookmarkStart w:id="399" w:name="第五部分"/>
    </w:p>
    <w:p w14:paraId="10228996">
      <w:pPr>
        <w:rPr>
          <w:rFonts w:hint="eastAsia" w:ascii="宋体" w:hAnsi="宋体" w:eastAsia="宋体" w:cs="宋体"/>
          <w:color w:val="auto"/>
          <w:highlight w:val="none"/>
        </w:rPr>
      </w:pPr>
    </w:p>
    <w:p w14:paraId="64B3B034">
      <w:pPr>
        <w:spacing w:before="319" w:beforeLines="100" w:after="319"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14F15DA">
      <w:pPr>
        <w:spacing w:before="319" w:beforeLines="100" w:after="319" w:afterLines="1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合同编号：</w:t>
      </w:r>
    </w:p>
    <w:p w14:paraId="74B7259C">
      <w:pPr>
        <w:spacing w:line="360" w:lineRule="auto"/>
        <w:rPr>
          <w:rFonts w:hint="eastAsia" w:ascii="宋体" w:hAnsi="宋体" w:eastAsia="宋体" w:cs="宋体"/>
          <w:color w:val="auto"/>
          <w:sz w:val="28"/>
          <w:highlight w:val="none"/>
        </w:rPr>
      </w:pPr>
    </w:p>
    <w:p w14:paraId="4CF41225">
      <w:pPr>
        <w:spacing w:line="360" w:lineRule="auto"/>
        <w:rPr>
          <w:rFonts w:hint="eastAsia" w:ascii="宋体" w:hAnsi="宋体" w:eastAsia="宋体" w:cs="宋体"/>
          <w:color w:val="auto"/>
          <w:sz w:val="28"/>
          <w:highlight w:val="none"/>
        </w:rPr>
      </w:pPr>
    </w:p>
    <w:p w14:paraId="5894414A">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政府采购合同参考范本</w:t>
      </w:r>
    </w:p>
    <w:p w14:paraId="5C3689FF">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（服务类）</w:t>
      </w:r>
    </w:p>
    <w:p w14:paraId="7C37A437">
      <w:pPr>
        <w:spacing w:line="360" w:lineRule="auto"/>
        <w:rPr>
          <w:rFonts w:hint="eastAsia" w:ascii="宋体" w:hAnsi="宋体" w:eastAsia="宋体" w:cs="宋体"/>
          <w:color w:val="auto"/>
          <w:sz w:val="28"/>
          <w:highlight w:val="none"/>
        </w:rPr>
      </w:pPr>
    </w:p>
    <w:p w14:paraId="35708B76">
      <w:pPr>
        <w:pStyle w:val="51"/>
        <w:spacing w:before="20" w:after="20"/>
        <w:rPr>
          <w:rFonts w:hint="eastAsia" w:ascii="宋体" w:hAnsi="宋体" w:eastAsia="宋体" w:cs="宋体"/>
          <w:color w:val="auto"/>
          <w:sz w:val="32"/>
          <w:highlight w:val="none"/>
        </w:rPr>
      </w:pPr>
      <w:bookmarkStart w:id="400" w:name="_Toc104208269"/>
      <w:bookmarkStart w:id="401" w:name="_Toc97118735"/>
      <w:bookmarkStart w:id="402" w:name="_Toc132308033"/>
      <w:bookmarkStart w:id="403" w:name="_Toc97118341"/>
      <w:bookmarkStart w:id="404" w:name="_Toc117259210"/>
      <w:r>
        <w:rPr>
          <w:rFonts w:hint="eastAsia" w:ascii="宋体" w:hAnsi="宋体" w:eastAsia="宋体" w:cs="宋体"/>
          <w:color w:val="auto"/>
          <w:sz w:val="32"/>
          <w:highlight w:val="none"/>
        </w:rPr>
        <w:t>第一部分 合同书</w:t>
      </w:r>
      <w:bookmarkEnd w:id="400"/>
      <w:bookmarkEnd w:id="401"/>
      <w:bookmarkEnd w:id="402"/>
      <w:bookmarkEnd w:id="403"/>
      <w:bookmarkEnd w:id="404"/>
    </w:p>
    <w:p w14:paraId="006FCA70">
      <w:pPr>
        <w:spacing w:line="360" w:lineRule="auto"/>
        <w:rPr>
          <w:rFonts w:hint="eastAsia" w:ascii="宋体" w:hAnsi="宋体" w:eastAsia="宋体" w:cs="宋体"/>
          <w:color w:val="auto"/>
          <w:sz w:val="28"/>
          <w:highlight w:val="none"/>
        </w:rPr>
      </w:pPr>
    </w:p>
    <w:p w14:paraId="2E76D438">
      <w:pPr>
        <w:spacing w:line="360" w:lineRule="auto"/>
        <w:rPr>
          <w:rFonts w:hint="eastAsia" w:ascii="宋体" w:hAnsi="宋体" w:eastAsia="宋体" w:cs="宋体"/>
          <w:color w:val="auto"/>
          <w:sz w:val="28"/>
          <w:highlight w:val="none"/>
        </w:rPr>
      </w:pPr>
    </w:p>
    <w:tbl>
      <w:tblPr>
        <w:tblStyle w:val="6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14:paraId="5B24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5FCBAA54">
            <w:pP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项目名称：</w:t>
            </w:r>
            <w:r>
              <w:rPr>
                <w:rFonts w:hint="eastAsia" w:ascii="宋体" w:hAnsi="宋体" w:cs="宋体"/>
                <w:color w:val="auto"/>
                <w:sz w:val="28"/>
                <w:highlight w:val="none"/>
                <w:lang w:eastAsia="zh-CN"/>
              </w:rPr>
              <w:t>嘉兴市秀洲区油车港镇镇区环境保洁项目</w:t>
            </w:r>
          </w:p>
        </w:tc>
      </w:tr>
      <w:tr w14:paraId="666A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5CB1634">
            <w:pP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甲    方：</w:t>
            </w:r>
            <w:r>
              <w:rPr>
                <w:rFonts w:hint="eastAsia" w:ascii="宋体" w:hAnsi="宋体" w:eastAsia="宋体" w:cs="宋体"/>
                <w:color w:val="auto"/>
                <w:sz w:val="28"/>
                <w:highlight w:val="none"/>
                <w:lang w:eastAsia="zh-CN"/>
              </w:rPr>
              <w:t>嘉兴市秀洲区油车港镇人民政府</w:t>
            </w:r>
          </w:p>
        </w:tc>
      </w:tr>
      <w:tr w14:paraId="5F26C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2F141DEB">
            <w:pPr>
              <w:rPr>
                <w:rFonts w:hint="eastAsia" w:ascii="宋体" w:hAnsi="宋体" w:eastAsia="宋体" w:cs="宋体"/>
                <w:color w:val="auto"/>
                <w:sz w:val="28"/>
                <w:highlight w:val="none"/>
              </w:rPr>
            </w:pPr>
            <w:r>
              <w:rPr>
                <w:rFonts w:hint="eastAsia" w:ascii="宋体" w:hAnsi="宋体" w:eastAsia="宋体" w:cs="宋体"/>
                <w:color w:val="auto"/>
                <w:sz w:val="28"/>
                <w:highlight w:val="none"/>
              </w:rPr>
              <w:t>乙    方：</w:t>
            </w:r>
            <w:r>
              <w:rPr>
                <w:rFonts w:hint="eastAsia" w:ascii="宋体" w:hAnsi="宋体" w:eastAsia="宋体" w:cs="宋体"/>
                <w:color w:val="auto"/>
                <w:sz w:val="28"/>
                <w:highlight w:val="none"/>
                <w:u w:val="single"/>
              </w:rPr>
              <w:t>（中标人名称）</w:t>
            </w:r>
          </w:p>
        </w:tc>
      </w:tr>
      <w:tr w14:paraId="097C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1F6A889E">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签 订 地：</w:t>
            </w:r>
          </w:p>
        </w:tc>
      </w:tr>
      <w:tr w14:paraId="120F7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10D61759">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签订日期：   年  月  日</w:t>
            </w:r>
          </w:p>
        </w:tc>
      </w:tr>
    </w:tbl>
    <w:p w14:paraId="43E1B92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405" w:name="_Toc1814"/>
      <w:bookmarkStart w:id="406" w:name="_Toc10340"/>
      <w:bookmarkStart w:id="407" w:name="_Toc22618"/>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u w:val="single"/>
        </w:rPr>
        <w:t xml:space="preserve">   （政府采购方式）  </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项目进行了采购。经</w:t>
      </w:r>
      <w:r>
        <w:rPr>
          <w:rFonts w:hint="eastAsia" w:ascii="宋体" w:hAnsi="宋体" w:eastAsia="宋体" w:cs="宋体"/>
          <w:color w:val="auto"/>
          <w:szCs w:val="21"/>
          <w:highlight w:val="none"/>
          <w:u w:val="single"/>
        </w:rPr>
        <w:t xml:space="preserve">   （相关评定主体名称）   </w:t>
      </w:r>
      <w:r>
        <w:rPr>
          <w:rFonts w:hint="eastAsia" w:ascii="宋体" w:hAnsi="宋体" w:eastAsia="宋体" w:cs="宋体"/>
          <w:color w:val="auto"/>
          <w:szCs w:val="21"/>
          <w:highlight w:val="none"/>
        </w:rPr>
        <w:t>评定，</w:t>
      </w:r>
      <w:r>
        <w:rPr>
          <w:rFonts w:hint="eastAsia" w:ascii="宋体" w:hAnsi="宋体" w:eastAsia="宋体" w:cs="宋体"/>
          <w:color w:val="auto"/>
          <w:szCs w:val="21"/>
          <w:highlight w:val="none"/>
          <w:u w:val="single"/>
        </w:rPr>
        <w:t xml:space="preserve">   （中标或者成交供应商名称） </w:t>
      </w:r>
      <w:r>
        <w:rPr>
          <w:rFonts w:hint="eastAsia" w:ascii="宋体" w:hAnsi="宋体" w:eastAsia="宋体" w:cs="宋体"/>
          <w:color w:val="auto"/>
          <w:szCs w:val="21"/>
          <w:highlight w:val="none"/>
        </w:rPr>
        <w:t>为该项目中标或者成交供应商。现于中标或者成交通知书发出之日起10个工作日内，按照采购文件确定的事项签订本合同。</w:t>
      </w:r>
    </w:p>
    <w:p w14:paraId="7700371D">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lang w:val="zh-CN"/>
        </w:rPr>
        <w:t>(以下简称：甲方)和</w:t>
      </w:r>
      <w:r>
        <w:rPr>
          <w:rFonts w:hint="eastAsia" w:ascii="宋体" w:hAnsi="宋体" w:eastAsia="宋体" w:cs="宋体"/>
          <w:color w:val="auto"/>
          <w:szCs w:val="21"/>
          <w:highlight w:val="none"/>
          <w:u w:val="single"/>
        </w:rPr>
        <w:t xml:space="preserve">   （中或者成交标供应商名称）   </w:t>
      </w:r>
      <w:r>
        <w:rPr>
          <w:rFonts w:hint="eastAsia" w:ascii="宋体" w:hAnsi="宋体" w:eastAsia="宋体" w:cs="宋体"/>
          <w:color w:val="auto"/>
          <w:szCs w:val="21"/>
          <w:highlight w:val="none"/>
          <w:lang w:val="zh-CN"/>
        </w:rPr>
        <w:t>(以下简称：乙方)协商一致，约定以下合同</w:t>
      </w:r>
      <w:r>
        <w:rPr>
          <w:rFonts w:hint="eastAsia" w:ascii="宋体" w:hAnsi="宋体" w:eastAsia="宋体" w:cs="宋体"/>
          <w:color w:val="auto"/>
          <w:szCs w:val="21"/>
          <w:highlight w:val="none"/>
        </w:rPr>
        <w:t>条款，以兹共同遵守、全面履行。</w:t>
      </w:r>
    </w:p>
    <w:p w14:paraId="6E85BFA1">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08" w:name="_Toc28855"/>
      <w:bookmarkStart w:id="409" w:name="_Toc20421"/>
      <w:bookmarkStart w:id="410" w:name="_Toc15367"/>
      <w:bookmarkStart w:id="411" w:name="_Toc19273"/>
      <w:bookmarkStart w:id="412" w:name="_Toc22967"/>
      <w:r>
        <w:rPr>
          <w:rFonts w:hint="eastAsia" w:ascii="宋体" w:hAnsi="宋体" w:eastAsia="宋体" w:cs="宋体"/>
          <w:color w:val="auto"/>
          <w:sz w:val="21"/>
          <w:szCs w:val="21"/>
          <w:highlight w:val="none"/>
        </w:rPr>
        <w:t>1.1 合同组成部分</w:t>
      </w:r>
      <w:bookmarkEnd w:id="408"/>
      <w:bookmarkEnd w:id="409"/>
      <w:bookmarkEnd w:id="410"/>
      <w:bookmarkEnd w:id="411"/>
      <w:bookmarkEnd w:id="412"/>
    </w:p>
    <w:p w14:paraId="5BFD357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EFE421">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1.1.1本合同及其补充合同、变更协议；</w:t>
      </w:r>
    </w:p>
    <w:p w14:paraId="55D29E5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1.1.2中标或者成交通知书；</w:t>
      </w:r>
    </w:p>
    <w:p w14:paraId="0E5D030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1.1.3投标或者响应文件（含澄清或者说明文件）；</w:t>
      </w:r>
    </w:p>
    <w:p w14:paraId="4878B93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1.1.4采购文件（含澄清或者修改文件）；</w:t>
      </w:r>
    </w:p>
    <w:p w14:paraId="5B8B934A">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1.1.5其他相关采购文件。</w:t>
      </w:r>
    </w:p>
    <w:p w14:paraId="4EF0F57B">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13" w:name="_Toc6773"/>
      <w:bookmarkStart w:id="414" w:name="_Toc22185"/>
      <w:bookmarkStart w:id="415" w:name="_Toc18585"/>
      <w:bookmarkStart w:id="416" w:name="_Toc2918"/>
      <w:bookmarkStart w:id="417" w:name="_Toc6311"/>
      <w:r>
        <w:rPr>
          <w:rFonts w:hint="eastAsia" w:ascii="宋体" w:hAnsi="宋体" w:eastAsia="宋体" w:cs="宋体"/>
          <w:color w:val="auto"/>
          <w:sz w:val="21"/>
          <w:szCs w:val="21"/>
          <w:highlight w:val="none"/>
        </w:rPr>
        <w:t>1.2 标的</w:t>
      </w:r>
      <w:bookmarkEnd w:id="413"/>
      <w:bookmarkEnd w:id="414"/>
      <w:bookmarkEnd w:id="415"/>
      <w:bookmarkEnd w:id="416"/>
      <w:bookmarkEnd w:id="417"/>
    </w:p>
    <w:p w14:paraId="3D23A4D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1.2.1服务内容：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AC67A5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1.2.2服务标准：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741FB1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1.2.3技术保障：</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E487CC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1.2.4服务人员组成：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9687E9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1.2.5合同（是/否）涉及货物。若涉及货物的的，则：</w:t>
      </w:r>
    </w:p>
    <w:p w14:paraId="5C1D703D">
      <w:pPr>
        <w:adjustRightInd/>
        <w:spacing w:line="360" w:lineRule="auto"/>
        <w:ind w:firstLine="420" w:firstLineChars="200"/>
        <w:rPr>
          <w:rFonts w:hint="eastAsia" w:ascii="宋体" w:hAnsi="宋体" w:eastAsia="宋体" w:cs="宋体"/>
          <w:color w:val="auto"/>
          <w:szCs w:val="21"/>
          <w:highlight w:val="none"/>
        </w:rPr>
      </w:pPr>
      <w:bookmarkStart w:id="418" w:name="_Toc5635"/>
      <w:bookmarkStart w:id="419" w:name="_Toc21124"/>
      <w:bookmarkStart w:id="420" w:name="_Toc4929"/>
      <w:bookmarkStart w:id="421" w:name="_Toc1386"/>
      <w:bookmarkStart w:id="422" w:name="_Toc13918"/>
      <w:r>
        <w:rPr>
          <w:rFonts w:hint="eastAsia" w:ascii="宋体" w:hAnsi="宋体" w:eastAsia="宋体" w:cs="宋体"/>
          <w:color w:val="auto"/>
          <w:szCs w:val="21"/>
          <w:highlight w:val="none"/>
        </w:rPr>
        <w:t>1.2.5.1货物名称、品牌、规格型号、花色：；</w:t>
      </w:r>
    </w:p>
    <w:p w14:paraId="2C262DB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1.2.5.2货物数量：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FECC19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1.2.5.3货物质量：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CD081B">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价款</w:t>
      </w:r>
      <w:bookmarkEnd w:id="418"/>
      <w:bookmarkEnd w:id="419"/>
      <w:bookmarkEnd w:id="420"/>
      <w:bookmarkEnd w:id="421"/>
      <w:bookmarkEnd w:id="422"/>
    </w:p>
    <w:p w14:paraId="5E94FA61">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本项目采用以下第1.3.1条款规定的计价方式计价。</w:t>
      </w:r>
    </w:p>
    <w:p w14:paraId="3252E94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1.3.1总价合同，本合同总价（含税）为：￥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35C2A68C">
      <w:pPr>
        <w:adjustRightInd/>
        <w:spacing w:line="360" w:lineRule="auto"/>
        <w:ind w:firstLine="420" w:firstLineChars="20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420"/>
        <w:gridCol w:w="2581"/>
      </w:tblGrid>
      <w:tr w14:paraId="27CB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90" w:type="dxa"/>
            <w:vAlign w:val="center"/>
          </w:tcPr>
          <w:p w14:paraId="64F613B1">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20" w:type="dxa"/>
            <w:vAlign w:val="center"/>
          </w:tcPr>
          <w:p w14:paraId="7659C4F3">
            <w:pPr>
              <w:pStyle w:val="324"/>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81" w:type="dxa"/>
            <w:vAlign w:val="center"/>
          </w:tcPr>
          <w:p w14:paraId="60ECA985">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3C05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7EAEB22A">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5376297F">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7E577E08">
            <w:pPr>
              <w:pStyle w:val="324"/>
              <w:spacing w:line="560" w:lineRule="exact"/>
              <w:ind w:firstLine="200"/>
              <w:jc w:val="center"/>
              <w:rPr>
                <w:rFonts w:hint="eastAsia" w:ascii="宋体" w:hAnsi="宋体" w:eastAsia="宋体" w:cs="宋体"/>
                <w:color w:val="auto"/>
                <w:sz w:val="21"/>
                <w:szCs w:val="21"/>
                <w:highlight w:val="none"/>
              </w:rPr>
            </w:pPr>
          </w:p>
        </w:tc>
      </w:tr>
      <w:tr w14:paraId="6DF0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21538645">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69D2F717">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08EBFDFD">
            <w:pPr>
              <w:pStyle w:val="324"/>
              <w:spacing w:line="560" w:lineRule="exact"/>
              <w:ind w:firstLine="200"/>
              <w:jc w:val="center"/>
              <w:rPr>
                <w:rFonts w:hint="eastAsia" w:ascii="宋体" w:hAnsi="宋体" w:eastAsia="宋体" w:cs="宋体"/>
                <w:color w:val="auto"/>
                <w:sz w:val="21"/>
                <w:szCs w:val="21"/>
                <w:highlight w:val="none"/>
              </w:rPr>
            </w:pPr>
          </w:p>
        </w:tc>
      </w:tr>
      <w:tr w14:paraId="618F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41B3BEF2">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2A3E9D16">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04B11832">
            <w:pPr>
              <w:pStyle w:val="324"/>
              <w:spacing w:line="560" w:lineRule="exact"/>
              <w:ind w:firstLine="200"/>
              <w:jc w:val="center"/>
              <w:rPr>
                <w:rFonts w:hint="eastAsia" w:ascii="宋体" w:hAnsi="宋体" w:eastAsia="宋体" w:cs="宋体"/>
                <w:color w:val="auto"/>
                <w:sz w:val="21"/>
                <w:szCs w:val="21"/>
                <w:highlight w:val="none"/>
              </w:rPr>
            </w:pPr>
          </w:p>
        </w:tc>
      </w:tr>
      <w:tr w14:paraId="52CE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747A8487">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6142A99C">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70CE9CCB">
            <w:pPr>
              <w:pStyle w:val="324"/>
              <w:spacing w:line="560" w:lineRule="exact"/>
              <w:ind w:firstLine="200"/>
              <w:jc w:val="center"/>
              <w:rPr>
                <w:rFonts w:hint="eastAsia" w:ascii="宋体" w:hAnsi="宋体" w:eastAsia="宋体" w:cs="宋体"/>
                <w:color w:val="auto"/>
                <w:sz w:val="21"/>
                <w:szCs w:val="21"/>
                <w:highlight w:val="none"/>
              </w:rPr>
            </w:pPr>
          </w:p>
        </w:tc>
      </w:tr>
      <w:tr w14:paraId="3D45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10" w:type="dxa"/>
            <w:gridSpan w:val="2"/>
            <w:vAlign w:val="center"/>
          </w:tcPr>
          <w:p w14:paraId="626CBDF0">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81" w:type="dxa"/>
            <w:vAlign w:val="center"/>
          </w:tcPr>
          <w:p w14:paraId="4582D24C">
            <w:pPr>
              <w:pStyle w:val="324"/>
              <w:spacing w:line="560" w:lineRule="exact"/>
              <w:ind w:firstLine="200"/>
              <w:jc w:val="center"/>
              <w:rPr>
                <w:rFonts w:hint="eastAsia" w:ascii="宋体" w:hAnsi="宋体" w:eastAsia="宋体" w:cs="宋体"/>
                <w:color w:val="auto"/>
                <w:sz w:val="21"/>
                <w:szCs w:val="21"/>
                <w:highlight w:val="none"/>
              </w:rPr>
            </w:pPr>
          </w:p>
        </w:tc>
      </w:tr>
    </w:tbl>
    <w:p w14:paraId="1B6754FE">
      <w:pPr>
        <w:adjustRightInd/>
        <w:spacing w:line="360" w:lineRule="auto"/>
        <w:ind w:firstLine="420" w:firstLineChars="200"/>
        <w:rPr>
          <w:rFonts w:hint="eastAsia" w:ascii="宋体" w:hAnsi="宋体" w:eastAsia="宋体" w:cs="宋体"/>
          <w:color w:val="auto"/>
          <w:szCs w:val="21"/>
          <w:highlight w:val="none"/>
        </w:rPr>
      </w:pPr>
      <w:bookmarkStart w:id="423" w:name="_Toc4760"/>
      <w:bookmarkStart w:id="424" w:name="_Toc8772"/>
      <w:bookmarkStart w:id="425" w:name="_Toc11108"/>
      <w:bookmarkStart w:id="426" w:name="_Toc31421"/>
      <w:bookmarkStart w:id="427" w:name="_Toc3625"/>
      <w:r>
        <w:rPr>
          <w:rFonts w:hint="eastAsia" w:ascii="宋体" w:hAnsi="宋体" w:eastAsia="宋体" w:cs="宋体"/>
          <w:color w:val="auto"/>
          <w:szCs w:val="21"/>
          <w:highlight w:val="none"/>
        </w:rPr>
        <w:t>1.3.2单价合同，本合同单价（含税）标准为：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。服务工作量的计量方式为：</w:t>
      </w:r>
      <w:r>
        <w:rPr>
          <w:rFonts w:hint="eastAsia" w:ascii="宋体" w:hAnsi="宋体" w:eastAsia="宋体" w:cs="宋体"/>
          <w:b/>
          <w:bCs/>
          <w:i/>
          <w:iCs/>
          <w:color w:val="auto"/>
          <w:szCs w:val="21"/>
          <w:highlight w:val="none"/>
          <w:u w:val="single"/>
        </w:rPr>
        <w:t>合同专用条款</w:t>
      </w:r>
      <w:r>
        <w:rPr>
          <w:rFonts w:hint="eastAsia" w:ascii="宋体" w:hAnsi="宋体" w:eastAsia="宋体" w:cs="宋体"/>
          <w:color w:val="auto"/>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4DD8D955">
      <w:pPr>
        <w:adjustRightIn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1.3.3其他计价方式：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DBB96D1">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1.4履约保证金</w:t>
      </w:r>
    </w:p>
    <w:p w14:paraId="78EE54AF">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乙方（是/否）需要支付履约保证金。若需要支付履约保证金的，则：</w:t>
      </w:r>
    </w:p>
    <w:p w14:paraId="0AD15039">
      <w:pPr>
        <w:adjustRightInd/>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1.4.1履约保证金的比例为合同金额的</w:t>
      </w:r>
      <w:r>
        <w:rPr>
          <w:rFonts w:hint="eastAsia" w:ascii="宋体" w:hAnsi="宋体" w:eastAsia="宋体" w:cs="宋体"/>
          <w:b/>
          <w:i/>
          <w:color w:val="auto"/>
          <w:szCs w:val="21"/>
          <w:highlight w:val="none"/>
          <w:u w:val="single"/>
        </w:rPr>
        <w:t xml:space="preserve">      </w:t>
      </w:r>
      <w:r>
        <w:rPr>
          <w:rFonts w:hint="eastAsia" w:ascii="宋体" w:hAnsi="宋体" w:eastAsia="宋体" w:cs="宋体"/>
          <w:color w:val="auto"/>
          <w:kern w:val="0"/>
          <w:szCs w:val="21"/>
          <w:highlight w:val="none"/>
        </w:rPr>
        <w:t>%；</w:t>
      </w:r>
    </w:p>
    <w:p w14:paraId="71AC6B23">
      <w:pPr>
        <w:adjustRightInd/>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1.4.2履约保证金支付方式详见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kern w:val="0"/>
          <w:szCs w:val="21"/>
          <w:highlight w:val="none"/>
        </w:rPr>
        <w:t>；</w:t>
      </w:r>
    </w:p>
    <w:p w14:paraId="260D3FAC">
      <w:pPr>
        <w:pStyle w:val="4"/>
        <w:tabs>
          <w:tab w:val="left" w:pos="0"/>
        </w:tabs>
        <w:ind w:left="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C6C9F2">
      <w:pPr>
        <w:adjustRightInd/>
        <w:spacing w:line="360" w:lineRule="auto"/>
        <w:ind w:firstLine="42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Cs w:val="21"/>
          <w:highlight w:val="none"/>
          <w:u w:val="single"/>
        </w:rPr>
        <w:t xml:space="preserve">  0.05  </w:t>
      </w:r>
      <w:r>
        <w:rPr>
          <w:rFonts w:hint="eastAsia" w:ascii="宋体" w:hAnsi="宋体" w:eastAsia="宋体" w:cs="宋体"/>
          <w:color w:val="auto"/>
          <w:kern w:val="0"/>
          <w:szCs w:val="21"/>
          <w:highlight w:val="none"/>
        </w:rPr>
        <w:t>%计算，最高限额为本合同履约保证金的</w:t>
      </w:r>
      <w:r>
        <w:rPr>
          <w:rFonts w:hint="eastAsia" w:ascii="宋体" w:hAnsi="宋体" w:eastAsia="宋体" w:cs="宋体"/>
          <w:color w:val="auto"/>
          <w:kern w:val="0"/>
          <w:szCs w:val="21"/>
          <w:highlight w:val="none"/>
          <w:u w:val="single"/>
        </w:rPr>
        <w:t xml:space="preserve">  20  </w:t>
      </w:r>
      <w:r>
        <w:rPr>
          <w:rFonts w:hint="eastAsia" w:ascii="宋体" w:hAnsi="宋体" w:eastAsia="宋体" w:cs="宋体"/>
          <w:color w:val="auto"/>
          <w:kern w:val="0"/>
          <w:szCs w:val="21"/>
          <w:highlight w:val="none"/>
        </w:rPr>
        <w:t xml:space="preserve"> %。</w:t>
      </w:r>
    </w:p>
    <w:p w14:paraId="6D19F10E">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1.5预付款</w:t>
      </w:r>
    </w:p>
    <w:p w14:paraId="4F658498">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甲方（是/否）需要支付预付款。若需要支付预付款的，则：</w:t>
      </w:r>
    </w:p>
    <w:p w14:paraId="09E44A13">
      <w:pPr>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1.5.1预付款比例、支付方式、时间详见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kern w:val="0"/>
          <w:szCs w:val="21"/>
          <w:highlight w:val="none"/>
        </w:rPr>
        <w:t>；</w:t>
      </w:r>
    </w:p>
    <w:p w14:paraId="71B37104">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523EE0C">
      <w:pPr>
        <w:pStyle w:val="961"/>
        <w:spacing w:before="0" w:beforeAutospacing="0" w:after="0" w:afterAutospacing="0"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90ED21D">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1.6资金支付</w:t>
      </w:r>
    </w:p>
    <w:p w14:paraId="1952FBB5">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73940E">
      <w:pPr>
        <w:adjustRightInd/>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1.6.2资金支付的方式、时间和条件详见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BCDCFA0">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履行期限、地点和方式</w:t>
      </w:r>
      <w:bookmarkEnd w:id="423"/>
      <w:bookmarkEnd w:id="424"/>
      <w:bookmarkEnd w:id="425"/>
      <w:bookmarkEnd w:id="426"/>
      <w:bookmarkEnd w:id="427"/>
    </w:p>
    <w:p w14:paraId="6370704E">
      <w:pPr>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1.7.1服务交付（实施）的时间（期限）：</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CBB7B4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1.7.2服务交付（实施）的地点（地域范围）：</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207A8C8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1.7.3服务交付（实施）的方式：</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3A0F23B1">
      <w:pPr>
        <w:adjustRightInd/>
        <w:spacing w:line="360" w:lineRule="auto"/>
        <w:ind w:firstLine="420" w:firstLineChars="200"/>
        <w:outlineLvl w:val="0"/>
        <w:rPr>
          <w:rFonts w:hint="eastAsia" w:ascii="宋体" w:hAnsi="宋体" w:eastAsia="宋体" w:cs="宋体"/>
          <w:bCs/>
          <w:color w:val="auto"/>
          <w:szCs w:val="21"/>
          <w:highlight w:val="none"/>
        </w:rPr>
      </w:pPr>
      <w:bookmarkStart w:id="428" w:name="_Toc2375"/>
      <w:bookmarkStart w:id="429" w:name="_Toc8586"/>
      <w:bookmarkStart w:id="430" w:name="_Toc24662"/>
      <w:bookmarkStart w:id="431" w:name="_Toc3079"/>
      <w:bookmarkStart w:id="432" w:name="_Toc5698"/>
      <w:r>
        <w:rPr>
          <w:rFonts w:hint="eastAsia" w:ascii="宋体" w:hAnsi="宋体" w:eastAsia="宋体" w:cs="宋体"/>
          <w:bCs/>
          <w:color w:val="auto"/>
          <w:szCs w:val="21"/>
          <w:highlight w:val="none"/>
        </w:rPr>
        <w:t>1.7.4若服务涉及货物的，则货物的：</w:t>
      </w:r>
    </w:p>
    <w:p w14:paraId="4C048232">
      <w:pPr>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1.7.4.1交付期限：详见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BFF1F5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1.7.4.2交付地点：</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70F1DD4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1.7.4.3交付方式：</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EE6CF53">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1.8违约责任</w:t>
      </w:r>
      <w:bookmarkEnd w:id="428"/>
      <w:bookmarkEnd w:id="429"/>
      <w:bookmarkEnd w:id="430"/>
      <w:bookmarkEnd w:id="431"/>
      <w:bookmarkEnd w:id="432"/>
    </w:p>
    <w:p w14:paraId="2C70141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Cs w:val="21"/>
          <w:highlight w:val="none"/>
          <w:u w:val="single"/>
        </w:rPr>
        <w:t xml:space="preserve">0.05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%；迟延履行的违约金计算数额达到前述最高限额之日起，甲方有权在要求乙方支付违约金的同时，书面通知乙方解除本合同；</w:t>
      </w:r>
    </w:p>
    <w:p w14:paraId="4D41A6BC">
      <w:pPr>
        <w:pStyle w:val="4"/>
        <w:ind w:left="0" w:firstLine="420"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0.05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1B54FE7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Cs w:val="21"/>
          <w:highlight w:val="none"/>
          <w:u w:val="single"/>
        </w:rPr>
        <w:t xml:space="preserve">   0.05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%；迟延付款的违约金计算数额达到前述最高限额之日起，乙方有权在要求甲方支付违约金的同时，书面通知甲方解除本合同；</w:t>
      </w:r>
    </w:p>
    <w:p w14:paraId="391FE420">
      <w:pPr>
        <w:adjustRightInd/>
        <w:spacing w:line="360" w:lineRule="auto"/>
        <w:ind w:firstLine="420" w:firstLineChars="200"/>
        <w:rPr>
          <w:rFonts w:hint="eastAsia" w:ascii="宋体" w:hAnsi="宋体" w:eastAsia="宋体" w:cs="宋体"/>
          <w:color w:val="auto"/>
          <w:szCs w:val="21"/>
          <w:highlight w:val="none"/>
        </w:rPr>
      </w:pPr>
      <w:bookmarkStart w:id="433" w:name="_Toc18683"/>
      <w:bookmarkStart w:id="434" w:name="_Toc32454"/>
      <w:bookmarkStart w:id="435" w:name="_Toc9497"/>
      <w:bookmarkStart w:id="436" w:name="_Toc26807"/>
      <w:bookmarkStart w:id="437" w:name="_Toc30329"/>
      <w:r>
        <w:rPr>
          <w:rFonts w:hint="eastAsia" w:ascii="宋体" w:hAnsi="宋体" w:eastAsia="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CC7A6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D6373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282E218">
      <w:pPr>
        <w:adjustRightIn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1.8.7违约责任</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另有约定的，从其约定。</w:t>
      </w:r>
    </w:p>
    <w:bookmarkEnd w:id="433"/>
    <w:bookmarkEnd w:id="434"/>
    <w:bookmarkEnd w:id="435"/>
    <w:bookmarkEnd w:id="436"/>
    <w:bookmarkEnd w:id="437"/>
    <w:p w14:paraId="097C0FCF">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38" w:name="_Toc15583"/>
      <w:bookmarkStart w:id="439" w:name="_Toc28375"/>
      <w:bookmarkStart w:id="440" w:name="_Toc16021"/>
      <w:r>
        <w:rPr>
          <w:rFonts w:hint="eastAsia" w:ascii="宋体" w:hAnsi="宋体" w:eastAsia="宋体" w:cs="宋体"/>
          <w:color w:val="auto"/>
          <w:sz w:val="21"/>
          <w:szCs w:val="21"/>
          <w:highlight w:val="none"/>
        </w:rPr>
        <w:t>1.9附加条款</w:t>
      </w:r>
    </w:p>
    <w:p w14:paraId="39F14671">
      <w:pPr>
        <w:pStyle w:val="7"/>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1.9.1</w:t>
      </w:r>
      <w:r>
        <w:rPr>
          <w:rFonts w:hint="eastAsia" w:ascii="宋体" w:hAnsi="宋体" w:eastAsia="宋体" w:cs="宋体"/>
          <w:color w:val="auto"/>
          <w:szCs w:val="21"/>
          <w:highlight w:val="none"/>
          <w:shd w:val="clear" w:color="auto" w:fill="FFFFFF"/>
        </w:rPr>
        <w:t>开展浙江省交通运输科技项目研发，申报科研计划，完成大纲、中期、成果等主管部门组织的鉴定和验收，实现科技创新并推广应用，</w:t>
      </w:r>
      <w:r>
        <w:rPr>
          <w:rFonts w:hint="eastAsia" w:ascii="宋体" w:hAnsi="宋体" w:eastAsia="宋体" w:cs="宋体"/>
          <w:color w:val="auto"/>
          <w:szCs w:val="21"/>
          <w:highlight w:val="none"/>
          <w:shd w:val="clear" w:color="auto" w:fill="FFFFFF"/>
          <w:lang w:val="en-US" w:eastAsia="zh-CN"/>
        </w:rPr>
        <w:t>乙方须确保</w:t>
      </w:r>
      <w:r>
        <w:rPr>
          <w:rFonts w:hint="eastAsia" w:ascii="宋体" w:hAnsi="宋体" w:eastAsia="宋体" w:cs="宋体"/>
          <w:color w:val="auto"/>
          <w:szCs w:val="21"/>
          <w:highlight w:val="none"/>
          <w:shd w:val="clear" w:color="auto" w:fill="FFFFFF"/>
        </w:rPr>
        <w:t>研究成果创部省相关科技奖项。</w:t>
      </w:r>
    </w:p>
    <w:p w14:paraId="6016CC64">
      <w:pPr>
        <w:pStyle w:val="7"/>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lang w:val="en-US" w:eastAsia="zh-CN"/>
        </w:rPr>
        <w:t>2</w:t>
      </w:r>
      <w:r>
        <w:rPr>
          <w:rFonts w:hint="eastAsia" w:ascii="宋体" w:hAnsi="宋体" w:eastAsia="宋体" w:cs="宋体"/>
          <w:color w:val="auto"/>
          <w:kern w:val="0"/>
          <w:highlight w:val="none"/>
        </w:rPr>
        <w:t>乙方在履行服务期间，如被上级检查发现重大隐患，而乙方检查中未发现，视情按照合同款项的1%比例扣除。</w:t>
      </w:r>
    </w:p>
    <w:p w14:paraId="6907990F">
      <w:pPr>
        <w:pStyle w:val="7"/>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kern w:val="0"/>
          <w:highlight w:val="none"/>
        </w:rPr>
        <w:t>乙方服务期间，如发生一般等级以上事故的，且在乙方服务范畴以内，视情按照一定比例扣除合同款项，不低于合同款项的2%且不高过合同款项的10%。</w:t>
      </w:r>
    </w:p>
    <w:p w14:paraId="1AAA02F0">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2.0合同争议的解决</w:t>
      </w:r>
      <w:bookmarkEnd w:id="438"/>
      <w:bookmarkEnd w:id="439"/>
      <w:bookmarkEnd w:id="440"/>
    </w:p>
    <w:p w14:paraId="4ECC68C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Cs w:val="21"/>
          <w:highlight w:val="none"/>
          <w:u w:val="single"/>
        </w:rPr>
        <w:t xml:space="preserve"> 2.0.2 </w:t>
      </w:r>
      <w:r>
        <w:rPr>
          <w:rFonts w:hint="eastAsia" w:ascii="宋体" w:hAnsi="宋体" w:eastAsia="宋体" w:cs="宋体"/>
          <w:color w:val="auto"/>
          <w:szCs w:val="21"/>
          <w:highlight w:val="none"/>
        </w:rPr>
        <w:t>条款规定的方式解决：</w:t>
      </w:r>
    </w:p>
    <w:p w14:paraId="59FA838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2.0.1将争议提交</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仲裁委员会依申请仲裁时其现行有效的仲裁规则裁决；</w:t>
      </w:r>
    </w:p>
    <w:p w14:paraId="4B2E10F6">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2.0.2向</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人民法院起诉。</w:t>
      </w:r>
    </w:p>
    <w:p w14:paraId="7D93F7DB">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41" w:name="_Toc7245"/>
      <w:bookmarkStart w:id="442" w:name="_Toc11173"/>
      <w:bookmarkStart w:id="443" w:name="_Toc15322"/>
      <w:r>
        <w:rPr>
          <w:rFonts w:hint="eastAsia" w:ascii="宋体" w:hAnsi="宋体" w:eastAsia="宋体" w:cs="宋体"/>
          <w:color w:val="auto"/>
          <w:sz w:val="21"/>
          <w:szCs w:val="21"/>
          <w:highlight w:val="none"/>
        </w:rPr>
        <w:t>2.1 合同生效</w:t>
      </w:r>
      <w:bookmarkEnd w:id="441"/>
      <w:bookmarkEnd w:id="442"/>
      <w:bookmarkEnd w:id="443"/>
    </w:p>
    <w:p w14:paraId="4386B598">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本合同自双方当事人盖章签字时生效。</w:t>
      </w:r>
    </w:p>
    <w:p w14:paraId="5300C8E0">
      <w:pPr>
        <w:autoSpaceDE w:val="0"/>
        <w:autoSpaceDN w:val="0"/>
        <w:spacing w:line="360" w:lineRule="auto"/>
        <w:ind w:firstLine="422" w:firstLineChars="200"/>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甲方</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lang w:val="zh-CN"/>
        </w:rPr>
        <w:t xml:space="preserve">      乙方</w:t>
      </w:r>
      <w:r>
        <w:rPr>
          <w:rFonts w:hint="eastAsia" w:ascii="宋体" w:hAnsi="宋体" w:eastAsia="宋体" w:cs="宋体"/>
          <w:color w:val="auto"/>
          <w:szCs w:val="21"/>
          <w:highlight w:val="none"/>
          <w:lang w:val="zh-CN"/>
        </w:rPr>
        <w:t>：</w:t>
      </w:r>
    </w:p>
    <w:p w14:paraId="0D350752">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统一社会信用代码：                        统一社会信用代码或身份证号码：</w:t>
      </w:r>
    </w:p>
    <w:p w14:paraId="3EDA0AD4">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住所：                                   住所：</w:t>
      </w:r>
    </w:p>
    <w:p w14:paraId="2E3C0451">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                             法定代表人或</w:t>
      </w:r>
    </w:p>
    <w:p w14:paraId="189F5550">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授权代表（签字）：                       授权代表（签字）： </w:t>
      </w:r>
    </w:p>
    <w:p w14:paraId="7286F0FA">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联系人：                                 联系人：</w:t>
      </w:r>
    </w:p>
    <w:p w14:paraId="5E665765">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约定送达地址：                           约定送达地址：</w:t>
      </w:r>
    </w:p>
    <w:p w14:paraId="4717EAD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邮政编码：                               邮政编码：</w:t>
      </w:r>
    </w:p>
    <w:p w14:paraId="0B6F6C9D">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电话：                                    电话： </w:t>
      </w:r>
    </w:p>
    <w:p w14:paraId="48BE9A2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传真：                                    传真：</w:t>
      </w:r>
    </w:p>
    <w:p w14:paraId="02EAB6BE">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电子邮箱：                               电子邮箱：</w:t>
      </w:r>
    </w:p>
    <w:p w14:paraId="34F2DAD7">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26676038">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开户名称： </w:t>
      </w:r>
    </w:p>
    <w:p w14:paraId="41950D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开户账号：                               开户账号：</w:t>
      </w:r>
    </w:p>
    <w:bookmarkEnd w:id="405"/>
    <w:bookmarkEnd w:id="406"/>
    <w:bookmarkEnd w:id="407"/>
    <w:p w14:paraId="3519753D">
      <w:pPr>
        <w:pStyle w:val="51"/>
        <w:rPr>
          <w:rFonts w:hint="eastAsia" w:ascii="宋体" w:hAnsi="宋体" w:eastAsia="宋体" w:cs="宋体"/>
          <w:color w:val="auto"/>
          <w:highlight w:val="none"/>
        </w:rPr>
      </w:pPr>
      <w:bookmarkStart w:id="444" w:name="_Toc331685783"/>
      <w:r>
        <w:rPr>
          <w:rFonts w:hint="eastAsia" w:ascii="宋体" w:hAnsi="宋体" w:eastAsia="宋体" w:cs="宋体"/>
          <w:color w:val="auto"/>
          <w:highlight w:val="none"/>
        </w:rPr>
        <w:br w:type="page"/>
      </w:r>
      <w:bookmarkStart w:id="445" w:name="_Toc126654845"/>
      <w:bookmarkStart w:id="446" w:name="_Toc132308034"/>
      <w:bookmarkStart w:id="447" w:name="_Toc97118736"/>
      <w:bookmarkStart w:id="448" w:name="_Toc97118342"/>
      <w:r>
        <w:rPr>
          <w:rFonts w:hint="eastAsia" w:ascii="宋体" w:hAnsi="宋体" w:eastAsia="宋体" w:cs="宋体"/>
          <w:color w:val="auto"/>
          <w:sz w:val="32"/>
          <w:highlight w:val="none"/>
        </w:rPr>
        <w:t>第二部分 合同一般条款</w:t>
      </w:r>
      <w:bookmarkEnd w:id="444"/>
      <w:bookmarkEnd w:id="445"/>
      <w:bookmarkEnd w:id="446"/>
      <w:bookmarkEnd w:id="447"/>
      <w:bookmarkEnd w:id="448"/>
    </w:p>
    <w:p w14:paraId="315241A5">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49" w:name="_Toc14021"/>
      <w:bookmarkStart w:id="450" w:name="_Toc25079"/>
      <w:bookmarkStart w:id="451" w:name="_Toc5228"/>
      <w:bookmarkStart w:id="452" w:name="_Toc19680"/>
      <w:bookmarkStart w:id="453" w:name="_Toc31297"/>
      <w:r>
        <w:rPr>
          <w:rFonts w:hint="eastAsia" w:ascii="宋体" w:hAnsi="宋体" w:eastAsia="宋体" w:cs="宋体"/>
          <w:color w:val="auto"/>
          <w:sz w:val="21"/>
          <w:szCs w:val="21"/>
          <w:highlight w:val="none"/>
        </w:rPr>
        <w:t>2.1 定义</w:t>
      </w:r>
      <w:bookmarkEnd w:id="449"/>
      <w:bookmarkEnd w:id="450"/>
      <w:bookmarkEnd w:id="451"/>
      <w:bookmarkEnd w:id="452"/>
      <w:bookmarkEnd w:id="453"/>
    </w:p>
    <w:p w14:paraId="6A27ED2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本合同中的下列词语应按以下内容进行解释：</w:t>
      </w:r>
    </w:p>
    <w:p w14:paraId="7FBF860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2.1.1“合同”系指采购人和中标或成交供应商签订的载明双方当事人所达成的协议，并包括所有的附件、附录和构成合同的其他文件。</w:t>
      </w:r>
    </w:p>
    <w:p w14:paraId="2DDED4A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2.1.2“合同价”系指根据合同约定，中标或成交供应商在完全履行合同义务后，采购人应支付给中标或成交供应商的价格。</w:t>
      </w:r>
    </w:p>
    <w:p w14:paraId="475D2AA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6728769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2.1.4“甲方”系指与中标或成交供应商签署合同的采购人；采购人委托采购代理机构代表其与乙方签订合同的，采购人的授权委托书作为合同附件。</w:t>
      </w:r>
    </w:p>
    <w:p w14:paraId="5752225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9307D4F">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2.1.6“现场”系指合同约定提供服务的地点。</w:t>
      </w:r>
    </w:p>
    <w:p w14:paraId="3D196C0D">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54" w:name="_Toc16752"/>
      <w:bookmarkStart w:id="455" w:name="_Toc19539"/>
      <w:bookmarkStart w:id="456" w:name="_Toc23289"/>
      <w:bookmarkStart w:id="457" w:name="_Toc31402"/>
      <w:bookmarkStart w:id="458" w:name="_Toc3769"/>
      <w:r>
        <w:rPr>
          <w:rFonts w:hint="eastAsia" w:ascii="宋体" w:hAnsi="宋体" w:eastAsia="宋体" w:cs="宋体"/>
          <w:color w:val="auto"/>
          <w:sz w:val="21"/>
          <w:szCs w:val="21"/>
          <w:highlight w:val="none"/>
        </w:rPr>
        <w:t>2.2 技术规范</w:t>
      </w:r>
      <w:bookmarkEnd w:id="454"/>
      <w:bookmarkEnd w:id="455"/>
      <w:bookmarkEnd w:id="456"/>
      <w:bookmarkEnd w:id="457"/>
      <w:bookmarkEnd w:id="458"/>
    </w:p>
    <w:p w14:paraId="6D90BC0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5AEA158">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59" w:name="_Toc9161"/>
      <w:bookmarkStart w:id="460" w:name="_Toc4133"/>
      <w:bookmarkStart w:id="461" w:name="_Toc12412"/>
      <w:bookmarkStart w:id="462" w:name="_Toc13673"/>
      <w:bookmarkStart w:id="463" w:name="_Toc27945"/>
      <w:r>
        <w:rPr>
          <w:rFonts w:hint="eastAsia" w:ascii="宋体" w:hAnsi="宋体" w:eastAsia="宋体" w:cs="宋体"/>
          <w:color w:val="auto"/>
          <w:sz w:val="21"/>
          <w:szCs w:val="21"/>
          <w:highlight w:val="none"/>
        </w:rPr>
        <w:t>2.3 知识产权</w:t>
      </w:r>
      <w:bookmarkEnd w:id="459"/>
      <w:bookmarkEnd w:id="460"/>
      <w:bookmarkEnd w:id="461"/>
      <w:bookmarkEnd w:id="462"/>
      <w:bookmarkEnd w:id="463"/>
    </w:p>
    <w:p w14:paraId="4746994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AE5553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2.3.2合同涉及技术成果的归属和收益的分成办法的，详见合同专用条款。</w:t>
      </w:r>
    </w:p>
    <w:p w14:paraId="74697962">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履约检查和问题反馈</w:t>
      </w:r>
    </w:p>
    <w:p w14:paraId="43C3213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C151A1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2.4.2合同履行期间，甲方有权将履行过程中出现的问题反馈给乙方，双方当事人应以书面形式约定需要完善和改进的内容。</w:t>
      </w:r>
    </w:p>
    <w:p w14:paraId="5F989B89">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64" w:name="_Toc15447"/>
      <w:bookmarkStart w:id="465" w:name="_Toc26555"/>
      <w:bookmarkStart w:id="466" w:name="_Toc32670"/>
      <w:bookmarkStart w:id="467" w:name="_Toc31233"/>
      <w:bookmarkStart w:id="468" w:name="_Toc22011"/>
      <w:r>
        <w:rPr>
          <w:rFonts w:hint="eastAsia" w:ascii="宋体" w:hAnsi="宋体" w:eastAsia="宋体" w:cs="宋体"/>
          <w:color w:val="auto"/>
          <w:sz w:val="21"/>
          <w:szCs w:val="21"/>
          <w:highlight w:val="none"/>
        </w:rPr>
        <w:t>2.5 结算方式和付款条件</w:t>
      </w:r>
      <w:bookmarkEnd w:id="464"/>
      <w:bookmarkEnd w:id="465"/>
      <w:bookmarkEnd w:id="466"/>
      <w:bookmarkEnd w:id="467"/>
      <w:bookmarkEnd w:id="468"/>
    </w:p>
    <w:p w14:paraId="5258825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67A1458">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69" w:name="_Toc13467"/>
      <w:bookmarkStart w:id="470" w:name="_Toc30507"/>
      <w:bookmarkStart w:id="471" w:name="_Toc18990"/>
      <w:bookmarkStart w:id="472" w:name="_Toc16163"/>
      <w:bookmarkStart w:id="473" w:name="_Toc13154"/>
      <w:r>
        <w:rPr>
          <w:rFonts w:hint="eastAsia" w:ascii="宋体" w:hAnsi="宋体" w:eastAsia="宋体" w:cs="宋体"/>
          <w:color w:val="auto"/>
          <w:sz w:val="21"/>
          <w:szCs w:val="21"/>
          <w:highlight w:val="none"/>
        </w:rPr>
        <w:t>2.6 技术资料和保密义务</w:t>
      </w:r>
      <w:bookmarkEnd w:id="469"/>
      <w:bookmarkEnd w:id="470"/>
      <w:bookmarkEnd w:id="471"/>
      <w:bookmarkEnd w:id="472"/>
      <w:bookmarkEnd w:id="473"/>
    </w:p>
    <w:p w14:paraId="0CEF808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2.6.1乙方有权依据合同约定和项目需要，向甲方了解有关情况，调阅有关资料等，甲方应予积极配合；</w:t>
      </w:r>
    </w:p>
    <w:p w14:paraId="2B05D30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2.6.2乙方有义务妥善保管和保护由甲方提供的前款信息和资料等；</w:t>
      </w:r>
    </w:p>
    <w:p w14:paraId="1A86736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B3C130">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4" w:name="_Toc19069"/>
      <w:r>
        <w:rPr>
          <w:rFonts w:hint="eastAsia" w:ascii="宋体" w:hAnsi="宋体" w:eastAsia="宋体" w:cs="宋体"/>
          <w:color w:val="auto"/>
          <w:sz w:val="21"/>
          <w:szCs w:val="21"/>
          <w:highlight w:val="none"/>
        </w:rPr>
        <w:t>2.7 质量保证</w:t>
      </w:r>
      <w:bookmarkEnd w:id="474"/>
    </w:p>
    <w:p w14:paraId="667B86C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2.7.1乙方应建立和完善履行合同的内部质量保证体系，并提供相关内部规章制度给甲方，以便甲方进行监督检查；</w:t>
      </w:r>
    </w:p>
    <w:p w14:paraId="68DC6DB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2.7.2乙方应保证履行合同的人员数量和素质、软件和硬件设备的配置、场地、环境和设施等满足全面履行合同的要求，并应接受甲方的监督检查。</w:t>
      </w:r>
    </w:p>
    <w:p w14:paraId="1983F01B">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5" w:name="_Toc22267"/>
      <w:r>
        <w:rPr>
          <w:rFonts w:hint="eastAsia" w:ascii="宋体" w:hAnsi="宋体" w:eastAsia="宋体" w:cs="宋体"/>
          <w:color w:val="auto"/>
          <w:sz w:val="21"/>
          <w:szCs w:val="21"/>
          <w:highlight w:val="none"/>
        </w:rPr>
        <w:t>2.8 延迟履行</w:t>
      </w:r>
      <w:bookmarkEnd w:id="475"/>
    </w:p>
    <w:p w14:paraId="4E19A67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3D501CF">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6" w:name="_Toc10611"/>
      <w:r>
        <w:rPr>
          <w:rFonts w:hint="eastAsia" w:ascii="宋体" w:hAnsi="宋体" w:eastAsia="宋体" w:cs="宋体"/>
          <w:color w:val="auto"/>
          <w:sz w:val="21"/>
          <w:szCs w:val="21"/>
          <w:highlight w:val="none"/>
        </w:rPr>
        <w:t>2.9 合同变更</w:t>
      </w:r>
      <w:bookmarkEnd w:id="476"/>
    </w:p>
    <w:p w14:paraId="3C30D0B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748B982E">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7" w:name="_Toc21830"/>
      <w:bookmarkStart w:id="478" w:name="_Toc10663"/>
      <w:bookmarkStart w:id="479" w:name="_Toc42"/>
      <w:bookmarkStart w:id="480" w:name="_Toc23368"/>
      <w:bookmarkStart w:id="481" w:name="_Toc26689"/>
      <w:r>
        <w:rPr>
          <w:rFonts w:hint="eastAsia" w:ascii="宋体" w:hAnsi="宋体" w:eastAsia="宋体" w:cs="宋体"/>
          <w:color w:val="auto"/>
          <w:sz w:val="21"/>
          <w:szCs w:val="21"/>
          <w:highlight w:val="none"/>
        </w:rPr>
        <w:t>2.10 合同转让和分包</w:t>
      </w:r>
      <w:bookmarkEnd w:id="477"/>
      <w:bookmarkEnd w:id="478"/>
      <w:bookmarkEnd w:id="479"/>
      <w:bookmarkEnd w:id="480"/>
      <w:bookmarkEnd w:id="481"/>
    </w:p>
    <w:p w14:paraId="503C341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8730FF">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82" w:name="_Toc14371"/>
      <w:bookmarkStart w:id="483" w:name="_Toc26633"/>
      <w:bookmarkStart w:id="484" w:name="_Toc4720"/>
      <w:bookmarkStart w:id="485" w:name="_Toc32494"/>
      <w:bookmarkStart w:id="486" w:name="_Toc25571"/>
      <w:r>
        <w:rPr>
          <w:rFonts w:hint="eastAsia" w:ascii="宋体" w:hAnsi="宋体" w:eastAsia="宋体" w:cs="宋体"/>
          <w:color w:val="auto"/>
          <w:sz w:val="21"/>
          <w:szCs w:val="21"/>
          <w:highlight w:val="none"/>
        </w:rPr>
        <w:t>2.11 不可抗力</w:t>
      </w:r>
      <w:bookmarkEnd w:id="482"/>
      <w:bookmarkEnd w:id="483"/>
      <w:bookmarkEnd w:id="484"/>
      <w:bookmarkEnd w:id="485"/>
      <w:bookmarkEnd w:id="486"/>
    </w:p>
    <w:p w14:paraId="066DD0B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2.11.1如果任何一方遭遇法律规定的不可抗力，致使合同履行受阻时，履行合同的期限应予延长，延长的期限应相当于不可抗力所影响的时间；</w:t>
      </w:r>
    </w:p>
    <w:p w14:paraId="002DF52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2.11.2因不可抗力致使不能实现合同目的的，当事人可以解除合同；</w:t>
      </w:r>
    </w:p>
    <w:p w14:paraId="7CD1AA5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2.11.3因不可抗力致使合同有变更必要的，双方当事人应在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约定时间内以书面形式变更合同；</w:t>
      </w:r>
    </w:p>
    <w:p w14:paraId="70355A2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2.11.4受不可抗力影响的一方在不可抗力发生后，应在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约定时间内以书面形式通知对方当事人，并在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约定时间内，将有关部门出具的证明文件送达对方当事人。</w:t>
      </w:r>
    </w:p>
    <w:p w14:paraId="7FFAB878">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87" w:name="_Toc23854"/>
      <w:bookmarkStart w:id="488" w:name="_Toc24465"/>
      <w:bookmarkStart w:id="489" w:name="_Toc25783"/>
      <w:bookmarkStart w:id="490" w:name="_Toc3638"/>
      <w:bookmarkStart w:id="491" w:name="_Toc14115"/>
      <w:r>
        <w:rPr>
          <w:rFonts w:hint="eastAsia" w:ascii="宋体" w:hAnsi="宋体" w:eastAsia="宋体" w:cs="宋体"/>
          <w:color w:val="auto"/>
          <w:sz w:val="21"/>
          <w:szCs w:val="21"/>
          <w:highlight w:val="none"/>
        </w:rPr>
        <w:t>2.12 税费</w:t>
      </w:r>
      <w:bookmarkEnd w:id="487"/>
      <w:bookmarkEnd w:id="488"/>
      <w:bookmarkEnd w:id="489"/>
      <w:bookmarkEnd w:id="490"/>
      <w:bookmarkEnd w:id="491"/>
    </w:p>
    <w:p w14:paraId="79C4909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与合同有关的一切税费，均按照中华人民共和国法律的相关规定缴纳。</w:t>
      </w:r>
    </w:p>
    <w:p w14:paraId="28DE9E97">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2" w:name="_Toc25525"/>
      <w:bookmarkStart w:id="493" w:name="_Toc7315"/>
      <w:bookmarkStart w:id="494" w:name="_Toc14814"/>
      <w:bookmarkStart w:id="495" w:name="_Toc30105"/>
      <w:bookmarkStart w:id="496" w:name="_Toc26883"/>
      <w:r>
        <w:rPr>
          <w:rFonts w:hint="eastAsia" w:ascii="宋体" w:hAnsi="宋体" w:eastAsia="宋体" w:cs="宋体"/>
          <w:color w:val="auto"/>
          <w:sz w:val="21"/>
          <w:szCs w:val="21"/>
          <w:highlight w:val="none"/>
        </w:rPr>
        <w:t>2.13 乙方破产</w:t>
      </w:r>
      <w:bookmarkEnd w:id="492"/>
      <w:bookmarkEnd w:id="493"/>
      <w:bookmarkEnd w:id="494"/>
      <w:bookmarkEnd w:id="495"/>
      <w:bookmarkEnd w:id="496"/>
    </w:p>
    <w:p w14:paraId="57A12C8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660122">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7" w:name="_Toc23323"/>
      <w:bookmarkStart w:id="498" w:name="_Toc1123"/>
      <w:bookmarkStart w:id="499" w:name="_Toc2016"/>
      <w:r>
        <w:rPr>
          <w:rFonts w:hint="eastAsia" w:ascii="宋体" w:hAnsi="宋体" w:eastAsia="宋体" w:cs="宋体"/>
          <w:color w:val="auto"/>
          <w:sz w:val="21"/>
          <w:szCs w:val="21"/>
          <w:highlight w:val="none"/>
        </w:rPr>
        <w:t>2.14 合同中止、终止</w:t>
      </w:r>
      <w:bookmarkEnd w:id="497"/>
      <w:bookmarkEnd w:id="498"/>
      <w:bookmarkEnd w:id="499"/>
    </w:p>
    <w:p w14:paraId="6C530D3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2.14.1双方当事人不得擅自中止或者终止合同；</w:t>
      </w:r>
    </w:p>
    <w:p w14:paraId="375A02F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6A089287">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00" w:name="_Toc1969"/>
      <w:bookmarkStart w:id="501" w:name="_Toc17363"/>
      <w:bookmarkStart w:id="502" w:name="_Toc14525"/>
      <w:r>
        <w:rPr>
          <w:rFonts w:hint="eastAsia" w:ascii="宋体" w:hAnsi="宋体" w:eastAsia="宋体" w:cs="宋体"/>
          <w:color w:val="auto"/>
          <w:sz w:val="21"/>
          <w:szCs w:val="21"/>
          <w:highlight w:val="none"/>
        </w:rPr>
        <w:t>2.15 检验和验收</w:t>
      </w:r>
      <w:bookmarkEnd w:id="500"/>
      <w:bookmarkEnd w:id="501"/>
      <w:bookmarkEnd w:id="502"/>
    </w:p>
    <w:p w14:paraId="62C5EC25">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2.15.1乙方按照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的约定，定期提交服务报告，甲方按照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的约定进行定期验收；</w:t>
      </w:r>
    </w:p>
    <w:p w14:paraId="5EECE011">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E43365">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2.15.3检验和验收标准、程序等具体内容以及前述验收书的效力详见</w:t>
      </w:r>
      <w:r>
        <w:rPr>
          <w:rFonts w:hint="eastAsia" w:ascii="宋体" w:hAnsi="宋体" w:eastAsia="宋体" w:cs="宋体"/>
          <w:b/>
          <w:i/>
          <w:color w:val="auto"/>
          <w:szCs w:val="21"/>
          <w:highlight w:val="none"/>
          <w:u w:val="single"/>
        </w:rPr>
        <w:t>合同专用条款</w:t>
      </w:r>
      <w:r>
        <w:rPr>
          <w:rFonts w:hint="eastAsia" w:ascii="宋体" w:hAnsi="宋体" w:eastAsia="宋体" w:cs="宋体"/>
          <w:i/>
          <w:color w:val="auto"/>
          <w:szCs w:val="21"/>
          <w:highlight w:val="none"/>
        </w:rPr>
        <w:t>。</w:t>
      </w:r>
    </w:p>
    <w:p w14:paraId="61123BE2">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03" w:name="_Toc2308"/>
      <w:bookmarkStart w:id="504" w:name="_Toc9808"/>
      <w:bookmarkStart w:id="505" w:name="_Toc31892"/>
      <w:bookmarkStart w:id="506" w:name="_Toc25198"/>
      <w:bookmarkStart w:id="507" w:name="_Toc12666"/>
      <w:r>
        <w:rPr>
          <w:rFonts w:hint="eastAsia" w:ascii="宋体" w:hAnsi="宋体" w:eastAsia="宋体" w:cs="宋体"/>
          <w:color w:val="auto"/>
          <w:sz w:val="21"/>
          <w:szCs w:val="21"/>
          <w:highlight w:val="none"/>
        </w:rPr>
        <w:t>2.16 通知和送达</w:t>
      </w:r>
      <w:bookmarkEnd w:id="503"/>
      <w:bookmarkEnd w:id="504"/>
      <w:bookmarkEnd w:id="505"/>
      <w:bookmarkEnd w:id="506"/>
      <w:bookmarkEnd w:id="507"/>
    </w:p>
    <w:p w14:paraId="535A403F">
      <w:pPr>
        <w:wordWrap w:val="0"/>
        <w:adjustRightInd/>
        <w:spacing w:line="360" w:lineRule="auto"/>
        <w:ind w:firstLine="420" w:firstLineChars="200"/>
        <w:rPr>
          <w:rFonts w:hint="eastAsia" w:ascii="宋体" w:hAnsi="宋体" w:eastAsia="宋体" w:cs="宋体"/>
          <w:color w:val="auto"/>
          <w:szCs w:val="21"/>
          <w:highlight w:val="none"/>
        </w:rPr>
      </w:pPr>
      <w:bookmarkStart w:id="508" w:name="_Toc18401"/>
      <w:bookmarkStart w:id="509" w:name="_Toc27674"/>
      <w:r>
        <w:rPr>
          <w:rFonts w:hint="eastAsia" w:ascii="宋体" w:hAnsi="宋体" w:eastAsia="宋体" w:cs="宋体"/>
          <w:color w:val="auto"/>
          <w:szCs w:val="21"/>
          <w:highlight w:val="none"/>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32DEB16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8"/>
      <w:bookmarkEnd w:id="509"/>
    </w:p>
    <w:p w14:paraId="25206C7E">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10" w:name="_Toc27644"/>
      <w:bookmarkStart w:id="511" w:name="_Toc12254"/>
      <w:bookmarkStart w:id="512" w:name="_Toc5063"/>
      <w:bookmarkStart w:id="513" w:name="_Toc28906"/>
      <w:bookmarkStart w:id="514" w:name="_Toc20808"/>
      <w:r>
        <w:rPr>
          <w:rFonts w:hint="eastAsia" w:ascii="宋体" w:hAnsi="宋体" w:eastAsia="宋体" w:cs="宋体"/>
          <w:color w:val="auto"/>
          <w:sz w:val="21"/>
          <w:szCs w:val="21"/>
          <w:highlight w:val="none"/>
        </w:rPr>
        <w:t>2.17 合同使用的文字和适用的法律</w:t>
      </w:r>
      <w:bookmarkEnd w:id="510"/>
      <w:bookmarkEnd w:id="511"/>
      <w:bookmarkEnd w:id="512"/>
      <w:bookmarkEnd w:id="513"/>
      <w:bookmarkEnd w:id="514"/>
    </w:p>
    <w:p w14:paraId="69D4B0C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2.17.1 合同使用汉语书就、变更和解释；</w:t>
      </w:r>
    </w:p>
    <w:p w14:paraId="063C7D5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2.17.2 合同适用中华人民共和国法律。</w:t>
      </w:r>
    </w:p>
    <w:p w14:paraId="5BC67A79">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15" w:name="_Toc30599"/>
      <w:bookmarkStart w:id="516" w:name="_Toc18540"/>
      <w:bookmarkStart w:id="517" w:name="_Toc4355"/>
      <w:r>
        <w:rPr>
          <w:rFonts w:hint="eastAsia" w:ascii="宋体" w:hAnsi="宋体" w:eastAsia="宋体" w:cs="宋体"/>
          <w:color w:val="auto"/>
          <w:sz w:val="21"/>
          <w:szCs w:val="21"/>
          <w:highlight w:val="none"/>
        </w:rPr>
        <w:t>2.18 计量单位</w:t>
      </w:r>
      <w:bookmarkEnd w:id="515"/>
      <w:bookmarkEnd w:id="516"/>
      <w:bookmarkEnd w:id="517"/>
    </w:p>
    <w:p w14:paraId="38B063C0">
      <w:pPr>
        <w:adjustRightIn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除技术规范中另有规定外,合同的计量单位均使用国家法定计量单位。</w:t>
      </w:r>
    </w:p>
    <w:p w14:paraId="683BDDC7">
      <w:pPr>
        <w:pStyle w:val="6"/>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2.19合同份数</w:t>
      </w:r>
    </w:p>
    <w:p w14:paraId="0DB1F09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合同份数按</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规定，每份均具有同等法律效力。</w:t>
      </w:r>
    </w:p>
    <w:p w14:paraId="67160B69">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highlight w:val="none"/>
        </w:rPr>
        <w:br w:type="page"/>
      </w:r>
    </w:p>
    <w:p w14:paraId="243056FD">
      <w:pPr>
        <w:pStyle w:val="51"/>
        <w:spacing w:before="319" w:beforeLines="100" w:after="319" w:afterLines="100"/>
        <w:rPr>
          <w:rFonts w:hint="eastAsia" w:ascii="宋体" w:hAnsi="宋体" w:eastAsia="宋体" w:cs="宋体"/>
          <w:color w:val="auto"/>
          <w:sz w:val="32"/>
          <w:highlight w:val="none"/>
        </w:rPr>
      </w:pPr>
      <w:bookmarkStart w:id="518" w:name="_Toc132308035"/>
      <w:bookmarkStart w:id="519" w:name="_Toc126654846"/>
      <w:r>
        <w:rPr>
          <w:rFonts w:hint="eastAsia" w:ascii="宋体" w:hAnsi="宋体" w:eastAsia="宋体" w:cs="宋体"/>
          <w:color w:val="auto"/>
          <w:sz w:val="32"/>
          <w:highlight w:val="none"/>
        </w:rPr>
        <w:t>第三部分 合同专用条款</w:t>
      </w:r>
      <w:bookmarkEnd w:id="518"/>
      <w:bookmarkEnd w:id="519"/>
    </w:p>
    <w:p w14:paraId="6AF13A2F">
      <w:pPr>
        <w:pStyle w:val="7"/>
        <w:adjustRightInd/>
        <w:spacing w:line="360" w:lineRule="auto"/>
        <w:ind w:firstLine="420" w:firstLineChars="200"/>
        <w:rPr>
          <w:rFonts w:hint="eastAsia" w:ascii="宋体" w:hAnsi="宋体" w:eastAsia="宋体" w:cs="宋体"/>
          <w:b/>
          <w:i/>
          <w:color w:val="auto"/>
          <w:sz w:val="24"/>
          <w:szCs w:val="24"/>
          <w:highlight w:val="none"/>
          <w:u w:val="singl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41"/>
        <w:gridCol w:w="8560"/>
      </w:tblGrid>
      <w:tr w14:paraId="3B2A2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633" w:type="pct"/>
            <w:tcBorders>
              <w:tl2br w:val="nil"/>
              <w:tr2bl w:val="nil"/>
            </w:tcBorders>
            <w:vAlign w:val="center"/>
          </w:tcPr>
          <w:p w14:paraId="76BEEFCD">
            <w:pPr>
              <w:keepLines/>
              <w:wordWrap w:val="0"/>
              <w:topLinePunct/>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条款号</w:t>
            </w:r>
          </w:p>
        </w:tc>
        <w:tc>
          <w:tcPr>
            <w:tcW w:w="4366" w:type="pct"/>
            <w:tcBorders>
              <w:tl2br w:val="nil"/>
              <w:tr2bl w:val="nil"/>
            </w:tcBorders>
            <w:vAlign w:val="center"/>
          </w:tcPr>
          <w:p w14:paraId="5ADA125F">
            <w:pPr>
              <w:keepLines/>
              <w:wordWrap w:val="0"/>
              <w:topLinePunct/>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约定内容</w:t>
            </w:r>
          </w:p>
        </w:tc>
      </w:tr>
      <w:tr w14:paraId="0B90E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4" w:hRule="exact"/>
          <w:jc w:val="center"/>
        </w:trPr>
        <w:tc>
          <w:tcPr>
            <w:tcW w:w="633" w:type="pct"/>
            <w:tcBorders>
              <w:tl2br w:val="nil"/>
              <w:tr2bl w:val="nil"/>
            </w:tcBorders>
            <w:vAlign w:val="center"/>
          </w:tcPr>
          <w:p w14:paraId="698AFDDD">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4366" w:type="pct"/>
            <w:tcBorders>
              <w:tl2br w:val="nil"/>
              <w:tr2bl w:val="nil"/>
            </w:tcBorders>
            <w:vAlign w:val="center"/>
          </w:tcPr>
          <w:p w14:paraId="1F90AB98">
            <w:pPr>
              <w:keepLines/>
              <w:wordWrap w:val="0"/>
              <w:topLinePunct/>
              <w:adjustRightInd/>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服务工作量的计量方式：</w:t>
            </w:r>
            <w:r>
              <w:rPr>
                <w:rFonts w:hint="eastAsia" w:ascii="宋体" w:hAnsi="宋体" w:eastAsia="宋体" w:cs="宋体"/>
                <w:color w:val="auto"/>
                <w:szCs w:val="21"/>
                <w:highlight w:val="none"/>
                <w:u w:val="single"/>
              </w:rPr>
              <w:t xml:space="preserve"> / </w:t>
            </w:r>
          </w:p>
        </w:tc>
      </w:tr>
      <w:tr w14:paraId="3C16F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301C6E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4366" w:type="pct"/>
            <w:tcBorders>
              <w:tl2br w:val="nil"/>
              <w:tr2bl w:val="nil"/>
            </w:tcBorders>
            <w:vAlign w:val="center"/>
          </w:tcPr>
          <w:p w14:paraId="7AFE96B2">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履约保证金支付方式：</w:t>
            </w:r>
            <w:r>
              <w:rPr>
                <w:rFonts w:hint="eastAsia" w:ascii="宋体" w:hAnsi="宋体" w:eastAsia="宋体" w:cs="宋体"/>
                <w:color w:val="auto"/>
                <w:szCs w:val="21"/>
                <w:highlight w:val="none"/>
                <w:u w:val="single"/>
              </w:rPr>
              <w:t xml:space="preserve"> / </w:t>
            </w:r>
          </w:p>
        </w:tc>
      </w:tr>
      <w:tr w14:paraId="52167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13" w:hRule="exact"/>
          <w:jc w:val="center"/>
        </w:trPr>
        <w:tc>
          <w:tcPr>
            <w:tcW w:w="633" w:type="pct"/>
            <w:tcBorders>
              <w:tl2br w:val="nil"/>
              <w:tr2bl w:val="nil"/>
            </w:tcBorders>
            <w:vAlign w:val="center"/>
          </w:tcPr>
          <w:p w14:paraId="53F6186B">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4366" w:type="pct"/>
            <w:tcBorders>
              <w:tl2br w:val="nil"/>
              <w:tr2bl w:val="nil"/>
            </w:tcBorders>
            <w:vAlign w:val="center"/>
          </w:tcPr>
          <w:p w14:paraId="521FA993">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预付款比例：</w:t>
            </w:r>
            <w:r>
              <w:rPr>
                <w:rFonts w:hint="eastAsia" w:ascii="宋体" w:hAnsi="宋体" w:eastAsia="宋体" w:cs="宋体"/>
                <w:color w:val="auto"/>
                <w:szCs w:val="21"/>
                <w:highlight w:val="none"/>
                <w:u w:val="single"/>
              </w:rPr>
              <w:t xml:space="preserve">                   </w:t>
            </w:r>
          </w:p>
          <w:p w14:paraId="63390F4A">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预付款支付方式：</w:t>
            </w:r>
            <w:r>
              <w:rPr>
                <w:rFonts w:hint="eastAsia" w:ascii="宋体" w:hAnsi="宋体" w:eastAsia="宋体" w:cs="宋体"/>
                <w:color w:val="auto"/>
                <w:szCs w:val="21"/>
                <w:highlight w:val="none"/>
                <w:u w:val="single"/>
              </w:rPr>
              <w:t xml:space="preserve">               </w:t>
            </w:r>
          </w:p>
          <w:p w14:paraId="2C33811F">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预付款支付时间：</w:t>
            </w:r>
            <w:r>
              <w:rPr>
                <w:rFonts w:hint="eastAsia" w:ascii="宋体" w:hAnsi="宋体" w:eastAsia="宋体" w:cs="宋体"/>
                <w:color w:val="auto"/>
                <w:szCs w:val="21"/>
                <w:highlight w:val="none"/>
                <w:u w:val="single"/>
              </w:rPr>
              <w:t xml:space="preserve">               </w:t>
            </w:r>
          </w:p>
        </w:tc>
      </w:tr>
      <w:tr w14:paraId="76C06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C1599A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4366" w:type="pct"/>
            <w:tcBorders>
              <w:tl2br w:val="nil"/>
              <w:tr2bl w:val="nil"/>
            </w:tcBorders>
            <w:vAlign w:val="center"/>
          </w:tcPr>
          <w:p w14:paraId="34479597">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预付款的扣回方式：</w:t>
            </w:r>
            <w:r>
              <w:rPr>
                <w:rFonts w:hint="eastAsia" w:ascii="宋体" w:hAnsi="宋体" w:eastAsia="宋体" w:cs="宋体"/>
                <w:color w:val="auto"/>
                <w:szCs w:val="21"/>
                <w:highlight w:val="none"/>
                <w:u w:val="single"/>
              </w:rPr>
              <w:t>不扣回，资金支付时转为合同款</w:t>
            </w:r>
          </w:p>
        </w:tc>
      </w:tr>
      <w:tr w14:paraId="4F8B7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107C3B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4366" w:type="pct"/>
            <w:tcBorders>
              <w:tl2br w:val="nil"/>
              <w:tr2bl w:val="nil"/>
            </w:tcBorders>
            <w:vAlign w:val="center"/>
          </w:tcPr>
          <w:p w14:paraId="1F984760">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预付款的担保措施：</w:t>
            </w:r>
            <w:r>
              <w:rPr>
                <w:rFonts w:hint="eastAsia" w:ascii="宋体" w:hAnsi="宋体" w:eastAsia="宋体" w:cs="宋体"/>
                <w:color w:val="auto"/>
                <w:szCs w:val="21"/>
                <w:highlight w:val="none"/>
                <w:u w:val="single"/>
              </w:rPr>
              <w:t xml:space="preserve"> 无 </w:t>
            </w:r>
          </w:p>
        </w:tc>
      </w:tr>
      <w:tr w14:paraId="01BF4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767FA61">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4366" w:type="pct"/>
            <w:tcBorders>
              <w:tl2br w:val="nil"/>
              <w:tr2bl w:val="nil"/>
            </w:tcBorders>
            <w:vAlign w:val="center"/>
          </w:tcPr>
          <w:p w14:paraId="6CD723B3">
            <w:pPr>
              <w:keepLines/>
              <w:wordWrap w:val="0"/>
              <w:topLinePunct/>
              <w:adjustRightInd/>
              <w:spacing w:line="360" w:lineRule="auto"/>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资金支付的方式、时间和条件：                   </w:t>
            </w:r>
          </w:p>
        </w:tc>
      </w:tr>
      <w:tr w14:paraId="78BDD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1361EB9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4366" w:type="pct"/>
            <w:tcBorders>
              <w:tl2br w:val="nil"/>
              <w:tr2bl w:val="nil"/>
            </w:tcBorders>
            <w:vAlign w:val="center"/>
          </w:tcPr>
          <w:p w14:paraId="01730A8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服务交付（实施）的时间（期限）：</w:t>
            </w:r>
            <w:r>
              <w:rPr>
                <w:rFonts w:hint="eastAsia" w:ascii="宋体" w:hAnsi="宋体" w:eastAsia="宋体" w:cs="宋体"/>
                <w:color w:val="auto"/>
                <w:szCs w:val="21"/>
                <w:highlight w:val="none"/>
                <w:u w:val="single"/>
              </w:rPr>
              <w:t xml:space="preserve">             </w:t>
            </w:r>
          </w:p>
        </w:tc>
      </w:tr>
      <w:tr w14:paraId="7AB42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C5F0307">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4366" w:type="pct"/>
            <w:tcBorders>
              <w:tl2br w:val="nil"/>
              <w:tr2bl w:val="nil"/>
            </w:tcBorders>
            <w:vAlign w:val="center"/>
          </w:tcPr>
          <w:p w14:paraId="2D1365E5">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服务交付（实施）的地点（地域范围）：</w:t>
            </w:r>
            <w:r>
              <w:rPr>
                <w:rFonts w:hint="eastAsia" w:ascii="宋体" w:hAnsi="宋体" w:eastAsia="宋体" w:cs="宋体"/>
                <w:color w:val="auto"/>
                <w:szCs w:val="21"/>
                <w:highlight w:val="none"/>
                <w:u w:val="single"/>
              </w:rPr>
              <w:t xml:space="preserve">         </w:t>
            </w:r>
          </w:p>
        </w:tc>
      </w:tr>
      <w:tr w14:paraId="30F7F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6" w:hRule="exact"/>
          <w:jc w:val="center"/>
        </w:trPr>
        <w:tc>
          <w:tcPr>
            <w:tcW w:w="633" w:type="pct"/>
            <w:tcBorders>
              <w:tl2br w:val="nil"/>
              <w:tr2bl w:val="nil"/>
            </w:tcBorders>
            <w:vAlign w:val="center"/>
          </w:tcPr>
          <w:p w14:paraId="6C1CD45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p>
        </w:tc>
        <w:tc>
          <w:tcPr>
            <w:tcW w:w="4366" w:type="pct"/>
            <w:tcBorders>
              <w:tl2br w:val="nil"/>
              <w:tr2bl w:val="nil"/>
            </w:tcBorders>
            <w:vAlign w:val="center"/>
          </w:tcPr>
          <w:p w14:paraId="1D4E1BB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服务交付（实施）的方式：</w:t>
            </w:r>
            <w:r>
              <w:rPr>
                <w:rFonts w:hint="eastAsia" w:ascii="宋体" w:hAnsi="宋体" w:eastAsia="宋体" w:cs="宋体"/>
                <w:color w:val="auto"/>
                <w:szCs w:val="21"/>
                <w:highlight w:val="none"/>
                <w:u w:val="single"/>
              </w:rPr>
              <w:t>采购标的的所有内容均由乙方负责，完成本项目各项服务可能发生的全部费用均包含在合同总价中。</w:t>
            </w:r>
          </w:p>
        </w:tc>
      </w:tr>
      <w:tr w14:paraId="045CC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57C649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4366" w:type="pct"/>
            <w:tcBorders>
              <w:tl2br w:val="nil"/>
              <w:tr2bl w:val="nil"/>
            </w:tcBorders>
            <w:vAlign w:val="center"/>
          </w:tcPr>
          <w:p w14:paraId="62ACF792">
            <w:pPr>
              <w:keepLines/>
              <w:wordWrap w:val="0"/>
              <w:topLinePunct/>
              <w:adjustRightInd/>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交付期限：</w:t>
            </w:r>
            <w:r>
              <w:rPr>
                <w:rFonts w:hint="eastAsia" w:ascii="宋体" w:hAnsi="宋体" w:eastAsia="宋体" w:cs="宋体"/>
                <w:color w:val="auto"/>
                <w:szCs w:val="21"/>
                <w:highlight w:val="none"/>
                <w:u w:val="single"/>
              </w:rPr>
              <w:t>同1.7.1款</w:t>
            </w:r>
          </w:p>
        </w:tc>
      </w:tr>
      <w:tr w14:paraId="6A8B4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A83AC96">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w:t>
            </w:r>
          </w:p>
        </w:tc>
        <w:tc>
          <w:tcPr>
            <w:tcW w:w="4366" w:type="pct"/>
            <w:tcBorders>
              <w:tl2br w:val="nil"/>
              <w:tr2bl w:val="nil"/>
            </w:tcBorders>
            <w:vAlign w:val="center"/>
          </w:tcPr>
          <w:p w14:paraId="4AC8340F">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交付地点：</w:t>
            </w:r>
            <w:r>
              <w:rPr>
                <w:rFonts w:hint="eastAsia" w:ascii="宋体" w:hAnsi="宋体" w:eastAsia="宋体" w:cs="宋体"/>
                <w:color w:val="auto"/>
                <w:szCs w:val="21"/>
                <w:highlight w:val="none"/>
                <w:u w:val="single"/>
              </w:rPr>
              <w:t>甲方指定地点</w:t>
            </w:r>
          </w:p>
        </w:tc>
      </w:tr>
      <w:tr w14:paraId="1B37F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73DDDCF">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1.7.4.3</w:t>
            </w:r>
          </w:p>
        </w:tc>
        <w:tc>
          <w:tcPr>
            <w:tcW w:w="4366" w:type="pct"/>
            <w:tcBorders>
              <w:tl2br w:val="nil"/>
              <w:tr2bl w:val="nil"/>
            </w:tcBorders>
            <w:vAlign w:val="center"/>
          </w:tcPr>
          <w:p w14:paraId="48DC1232">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r>
              <w:rPr>
                <w:rFonts w:hint="eastAsia" w:ascii="宋体" w:hAnsi="宋体" w:eastAsia="宋体" w:cs="宋体"/>
                <w:color w:val="auto"/>
                <w:szCs w:val="21"/>
                <w:highlight w:val="none"/>
                <w:u w:val="single"/>
              </w:rPr>
              <w:t>同1.7.3款</w:t>
            </w:r>
          </w:p>
        </w:tc>
      </w:tr>
      <w:tr w14:paraId="53F61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061AE3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w:t>
            </w:r>
          </w:p>
        </w:tc>
        <w:tc>
          <w:tcPr>
            <w:tcW w:w="4366" w:type="pct"/>
            <w:tcBorders>
              <w:tl2br w:val="nil"/>
              <w:tr2bl w:val="nil"/>
            </w:tcBorders>
            <w:vAlign w:val="center"/>
          </w:tcPr>
          <w:p w14:paraId="4FF8C750">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违约责任特殊约定：</w:t>
            </w:r>
            <w:r>
              <w:rPr>
                <w:rFonts w:hint="eastAsia" w:ascii="宋体" w:hAnsi="宋体" w:eastAsia="宋体" w:cs="宋体"/>
                <w:color w:val="auto"/>
                <w:szCs w:val="21"/>
                <w:highlight w:val="none"/>
                <w:u w:val="single"/>
              </w:rPr>
              <w:t xml:space="preserve"> / </w:t>
            </w:r>
          </w:p>
        </w:tc>
      </w:tr>
      <w:tr w14:paraId="4303D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BA3DE4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4366" w:type="pct"/>
            <w:tcBorders>
              <w:tl2br w:val="nil"/>
              <w:tr2bl w:val="nil"/>
            </w:tcBorders>
            <w:vAlign w:val="center"/>
          </w:tcPr>
          <w:p w14:paraId="73C2516D">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仲裁委员会名称：</w:t>
            </w:r>
            <w:r>
              <w:rPr>
                <w:rFonts w:hint="eastAsia" w:ascii="宋体" w:hAnsi="宋体" w:eastAsia="宋体" w:cs="宋体"/>
                <w:color w:val="auto"/>
                <w:szCs w:val="21"/>
                <w:highlight w:val="none"/>
                <w:u w:val="single"/>
              </w:rPr>
              <w:t xml:space="preserve"> / </w:t>
            </w:r>
          </w:p>
        </w:tc>
      </w:tr>
      <w:tr w14:paraId="67DA8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AFD6D7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4366" w:type="pct"/>
            <w:tcBorders>
              <w:tl2br w:val="nil"/>
              <w:tr2bl w:val="nil"/>
            </w:tcBorders>
            <w:vAlign w:val="center"/>
          </w:tcPr>
          <w:p w14:paraId="3239E48E">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起诉机构：</w:t>
            </w:r>
            <w:r>
              <w:rPr>
                <w:rFonts w:hint="eastAsia" w:ascii="宋体" w:hAnsi="宋体" w:eastAsia="宋体" w:cs="宋体"/>
                <w:color w:val="auto"/>
                <w:szCs w:val="21"/>
                <w:highlight w:val="none"/>
                <w:u w:val="single"/>
              </w:rPr>
              <w:t>甲方所在地人民法院</w:t>
            </w:r>
          </w:p>
        </w:tc>
      </w:tr>
      <w:tr w14:paraId="70111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5" w:hRule="exact"/>
          <w:jc w:val="center"/>
        </w:trPr>
        <w:tc>
          <w:tcPr>
            <w:tcW w:w="633" w:type="pct"/>
            <w:tcBorders>
              <w:tl2br w:val="nil"/>
              <w:tr2bl w:val="nil"/>
            </w:tcBorders>
            <w:vAlign w:val="center"/>
          </w:tcPr>
          <w:p w14:paraId="74260D8F">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4366" w:type="pct"/>
            <w:tcBorders>
              <w:tl2br w:val="nil"/>
              <w:tr2bl w:val="nil"/>
            </w:tcBorders>
            <w:vAlign w:val="center"/>
          </w:tcPr>
          <w:p w14:paraId="328A6A4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技术成果的归属和收益：</w:t>
            </w:r>
            <w:r>
              <w:rPr>
                <w:rFonts w:hint="eastAsia" w:ascii="宋体" w:hAnsi="宋体" w:eastAsia="宋体" w:cs="宋体"/>
                <w:color w:val="auto"/>
                <w:szCs w:val="21"/>
                <w:highlight w:val="none"/>
                <w:u w:val="single"/>
                <w:lang w:val="en-US" w:eastAsia="zh-CN"/>
              </w:rPr>
              <w:t>甲方所有</w:t>
            </w:r>
            <w:r>
              <w:rPr>
                <w:rFonts w:hint="eastAsia" w:ascii="宋体" w:hAnsi="宋体" w:eastAsia="宋体" w:cs="宋体"/>
                <w:color w:val="auto"/>
                <w:szCs w:val="21"/>
                <w:highlight w:val="none"/>
                <w:u w:val="single"/>
              </w:rPr>
              <w:t>，未经</w:t>
            </w:r>
            <w:r>
              <w:rPr>
                <w:rFonts w:hint="eastAsia" w:ascii="宋体" w:hAnsi="宋体" w:eastAsia="宋体" w:cs="宋体"/>
                <w:color w:val="auto"/>
                <w:szCs w:val="21"/>
                <w:highlight w:val="none"/>
                <w:u w:val="single"/>
                <w:lang w:val="en-US" w:eastAsia="zh-CN"/>
              </w:rPr>
              <w:t>甲方</w:t>
            </w:r>
            <w:r>
              <w:rPr>
                <w:rFonts w:hint="eastAsia" w:ascii="宋体" w:hAnsi="宋体" w:eastAsia="宋体" w:cs="宋体"/>
                <w:color w:val="auto"/>
                <w:szCs w:val="21"/>
                <w:highlight w:val="none"/>
                <w:u w:val="single"/>
              </w:rPr>
              <w:t>同意，</w:t>
            </w:r>
            <w:r>
              <w:rPr>
                <w:rFonts w:hint="eastAsia" w:ascii="宋体" w:hAnsi="宋体" w:eastAsia="宋体" w:cs="宋体"/>
                <w:color w:val="auto"/>
                <w:szCs w:val="21"/>
                <w:highlight w:val="none"/>
                <w:u w:val="single"/>
                <w:lang w:val="en-US" w:eastAsia="zh-CN"/>
              </w:rPr>
              <w:t>乙方</w:t>
            </w:r>
            <w:r>
              <w:rPr>
                <w:rFonts w:hint="eastAsia" w:ascii="宋体" w:hAnsi="宋体" w:eastAsia="宋体" w:cs="宋体"/>
                <w:color w:val="auto"/>
                <w:szCs w:val="21"/>
                <w:highlight w:val="none"/>
                <w:u w:val="single"/>
              </w:rPr>
              <w:t>不得将资料、文件提供给与本项目无关的第三方使用。</w:t>
            </w:r>
          </w:p>
        </w:tc>
      </w:tr>
      <w:tr w14:paraId="04D3C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285899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366" w:type="pct"/>
            <w:tcBorders>
              <w:tl2br w:val="nil"/>
              <w:tr2bl w:val="nil"/>
            </w:tcBorders>
            <w:vAlign w:val="center"/>
          </w:tcPr>
          <w:p w14:paraId="23715D29">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同1.6.2款</w:t>
            </w:r>
          </w:p>
        </w:tc>
      </w:tr>
      <w:tr w14:paraId="477EB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1EF0A47">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w:t>
            </w:r>
          </w:p>
        </w:tc>
        <w:tc>
          <w:tcPr>
            <w:tcW w:w="4366" w:type="pct"/>
            <w:tcBorders>
              <w:tl2br w:val="nil"/>
              <w:tr2bl w:val="nil"/>
            </w:tcBorders>
            <w:vAlign w:val="center"/>
          </w:tcPr>
          <w:p w14:paraId="2ABB37BA">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因不可抗力致使合同有变更必要的，双方当事人应在3个工作日内以书面形式变更合同</w:t>
            </w:r>
          </w:p>
        </w:tc>
      </w:tr>
      <w:tr w14:paraId="7C0B5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exact"/>
          <w:jc w:val="center"/>
        </w:trPr>
        <w:tc>
          <w:tcPr>
            <w:tcW w:w="633" w:type="pct"/>
            <w:tcBorders>
              <w:tl2br w:val="nil"/>
              <w:tr2bl w:val="nil"/>
            </w:tcBorders>
            <w:vAlign w:val="center"/>
          </w:tcPr>
          <w:p w14:paraId="75177802">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w:t>
            </w:r>
          </w:p>
        </w:tc>
        <w:tc>
          <w:tcPr>
            <w:tcW w:w="4366" w:type="pct"/>
            <w:tcBorders>
              <w:tl2br w:val="nil"/>
              <w:tr2bl w:val="nil"/>
            </w:tcBorders>
            <w:vAlign w:val="center"/>
          </w:tcPr>
          <w:p w14:paraId="7CFB1837">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受不可抗力影响的一方在不可抗力发生后，应在1个工作日内以书面形式通知对方当事人，并在3个工作日约定时间内，将有关部门出具的证明文件送达对方当事人</w:t>
            </w:r>
          </w:p>
        </w:tc>
      </w:tr>
      <w:tr w14:paraId="448FF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460926A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w:t>
            </w:r>
          </w:p>
        </w:tc>
        <w:tc>
          <w:tcPr>
            <w:tcW w:w="4366" w:type="pct"/>
            <w:tcBorders>
              <w:tl2br w:val="nil"/>
              <w:tr2bl w:val="nil"/>
            </w:tcBorders>
            <w:vAlign w:val="center"/>
          </w:tcPr>
          <w:p w14:paraId="07FC1908">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乙方按合同要求提供服务，甲方每月根据相关要求及考核办法进行验收</w:t>
            </w:r>
          </w:p>
        </w:tc>
      </w:tr>
      <w:tr w14:paraId="5905D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exact"/>
          <w:jc w:val="center"/>
        </w:trPr>
        <w:tc>
          <w:tcPr>
            <w:tcW w:w="633" w:type="pct"/>
            <w:tcBorders>
              <w:tl2br w:val="nil"/>
              <w:tr2bl w:val="nil"/>
            </w:tcBorders>
            <w:vAlign w:val="center"/>
          </w:tcPr>
          <w:p w14:paraId="06385A16">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w:t>
            </w:r>
          </w:p>
        </w:tc>
        <w:tc>
          <w:tcPr>
            <w:tcW w:w="4366" w:type="pct"/>
            <w:tcBorders>
              <w:tl2br w:val="nil"/>
              <w:tr2bl w:val="nil"/>
            </w:tcBorders>
            <w:vAlign w:val="center"/>
          </w:tcPr>
          <w:p w14:paraId="1B3BB69E">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检验和验收标准、程序等具体内容以及前述验收书的效力：</w:t>
            </w:r>
            <w:r>
              <w:rPr>
                <w:rFonts w:hint="eastAsia" w:ascii="宋体" w:hAnsi="宋体" w:eastAsia="宋体" w:cs="宋体"/>
                <w:color w:val="auto"/>
                <w:szCs w:val="21"/>
                <w:highlight w:val="none"/>
                <w:u w:val="single"/>
              </w:rPr>
              <w:t>满足相关规范要求以及甲方制定的考核办法（如有）。</w:t>
            </w:r>
          </w:p>
        </w:tc>
      </w:tr>
      <w:tr w14:paraId="68344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E15027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w:t>
            </w:r>
          </w:p>
        </w:tc>
        <w:tc>
          <w:tcPr>
            <w:tcW w:w="4366" w:type="pct"/>
            <w:tcBorders>
              <w:tl2br w:val="nil"/>
              <w:tr2bl w:val="nil"/>
            </w:tcBorders>
            <w:vAlign w:val="center"/>
          </w:tcPr>
          <w:p w14:paraId="465AE345">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w:t>
            </w:r>
            <w:r>
              <w:rPr>
                <w:rFonts w:hint="eastAsia" w:ascii="宋体" w:hAnsi="宋体" w:eastAsia="宋体" w:cs="宋体"/>
                <w:color w:val="auto"/>
                <w:szCs w:val="21"/>
                <w:highlight w:val="none"/>
                <w:u w:val="single"/>
              </w:rPr>
              <w:t>一式肆份，双方各执贰份</w:t>
            </w:r>
          </w:p>
        </w:tc>
      </w:tr>
    </w:tbl>
    <w:p w14:paraId="37A9CEC3">
      <w:pPr>
        <w:pStyle w:val="7"/>
        <w:snapToGrid w:val="0"/>
        <w:spacing w:before="120" w:after="120" w:line="360" w:lineRule="auto"/>
        <w:rPr>
          <w:rFonts w:hint="eastAsia" w:ascii="宋体" w:hAnsi="宋体" w:eastAsia="宋体" w:cs="宋体"/>
          <w:color w:val="auto"/>
          <w:highlight w:val="none"/>
        </w:rPr>
      </w:pPr>
    </w:p>
    <w:p w14:paraId="113CB5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BED90D7">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bookmarkEnd w:id="399"/>
      <w:r>
        <w:rPr>
          <w:rFonts w:hint="eastAsia" w:ascii="宋体" w:hAnsi="宋体" w:eastAsia="宋体" w:cs="宋体"/>
          <w:b/>
          <w:color w:val="auto"/>
          <w:sz w:val="36"/>
          <w:szCs w:val="20"/>
          <w:highlight w:val="none"/>
        </w:rPr>
        <w:t xml:space="preserve"> 应提交的有关格式范例</w:t>
      </w:r>
    </w:p>
    <w:p w14:paraId="7F9A6227">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资格文件部分</w:t>
      </w:r>
    </w:p>
    <w:p w14:paraId="63278C4C">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241E48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(1)符合参加政府采购活动应当具备的一般条件的承诺函………………（页码）</w:t>
      </w:r>
    </w:p>
    <w:p w14:paraId="1A52A0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(2)联合协议…………………………………………………………………（页码）</w:t>
      </w:r>
    </w:p>
    <w:p w14:paraId="01AF11A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(3)落实政府采购政策需满足的资格要求…………………………………（页码）</w:t>
      </w:r>
    </w:p>
    <w:p w14:paraId="3E110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(4)本项目的特定资格要求…………………………………………………（页码）</w:t>
      </w:r>
    </w:p>
    <w:p w14:paraId="430F430B">
      <w:pPr>
        <w:snapToGrid w:val="0"/>
        <w:spacing w:line="360" w:lineRule="auto"/>
        <w:ind w:firstLine="480" w:firstLineChars="200"/>
        <w:rPr>
          <w:rFonts w:hint="eastAsia" w:ascii="宋体" w:hAnsi="宋体" w:eastAsia="宋体" w:cs="宋体"/>
          <w:color w:val="auto"/>
          <w:sz w:val="24"/>
          <w:highlight w:val="none"/>
        </w:rPr>
      </w:pPr>
    </w:p>
    <w:p w14:paraId="4D430929">
      <w:pPr>
        <w:spacing w:line="360" w:lineRule="auto"/>
        <w:ind w:firstLine="480" w:firstLineChars="200"/>
        <w:rPr>
          <w:rFonts w:hint="eastAsia" w:ascii="宋体" w:hAnsi="宋体" w:eastAsia="宋体" w:cs="宋体"/>
          <w:color w:val="auto"/>
          <w:sz w:val="24"/>
          <w:highlight w:val="none"/>
        </w:rPr>
      </w:pPr>
    </w:p>
    <w:p w14:paraId="30742DE3">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br w:type="page"/>
      </w:r>
    </w:p>
    <w:p w14:paraId="2B7D52CE">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 符合参加政府采购活动应当具备的一般条件的承诺函</w:t>
      </w:r>
    </w:p>
    <w:p w14:paraId="3CF180D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148C13F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我方参与（项目名称）【招标编号：（采购编号）】政府采购活动，郑重承诺：</w:t>
      </w:r>
    </w:p>
    <w:p w14:paraId="240E23C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（一）具备《中华人民共和国政府采购法》第二十二条第一款规定的条件：</w:t>
      </w:r>
    </w:p>
    <w:p w14:paraId="13C0677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3151E4C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2、具有良好的商业信誉和健全的财务会计制度； </w:t>
      </w:r>
    </w:p>
    <w:p w14:paraId="66D189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6BD73F6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6DBB1A4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183E245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6、具有法律、行政法规规定的其他条件。</w:t>
      </w:r>
    </w:p>
    <w:p w14:paraId="47556A45">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（二）未被信用中国（www.creditchina.gov.cn)、中国政府采购网（www.ccgp.gov.cn）列入失信被执行人、重大税收违法案件当事人名单、政府采购严重违法失信行为记录名单。</w:t>
      </w:r>
    </w:p>
    <w:p w14:paraId="59A4199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（三）不存在以下情况：</w:t>
      </w:r>
    </w:p>
    <w:p w14:paraId="136EB55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1、单位负责人为同一人或者存在直接控股、管理关系的不同供应商参加同一合同项下的政府采购活动的；</w:t>
      </w:r>
    </w:p>
    <w:p w14:paraId="48EB20B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2、为采购项目提供整体设计、规范编制或者项目管理、监理、检测等服务后再参加该采购项目的其他采购活动的。</w:t>
      </w:r>
    </w:p>
    <w:p w14:paraId="43163D1A">
      <w:pPr>
        <w:snapToGrid w:val="0"/>
        <w:spacing w:line="360" w:lineRule="auto"/>
        <w:ind w:firstLine="4830" w:firstLineChars="2300"/>
        <w:rPr>
          <w:rFonts w:hint="eastAsia" w:ascii="宋体" w:hAnsi="宋体" w:eastAsia="宋体" w:cs="宋体"/>
          <w:color w:val="auto"/>
          <w:kern w:val="0"/>
          <w:szCs w:val="21"/>
          <w:highlight w:val="none"/>
          <w:lang w:val="zh-CN"/>
        </w:rPr>
      </w:pPr>
    </w:p>
    <w:p w14:paraId="1C5F9FFC">
      <w:pPr>
        <w:snapToGrid w:val="0"/>
        <w:spacing w:line="360" w:lineRule="auto"/>
        <w:ind w:firstLine="4620" w:firstLineChars="2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28FEA14A">
      <w:pPr>
        <w:snapToGrid w:val="0"/>
        <w:spacing w:line="360" w:lineRule="auto"/>
        <w:ind w:firstLine="4620" w:firstLineChars="2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年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1FC475C8">
      <w:pPr>
        <w:snapToGrid w:val="0"/>
        <w:spacing w:line="360" w:lineRule="auto"/>
        <w:ind w:firstLine="4620" w:firstLineChars="2200"/>
        <w:jc w:val="left"/>
        <w:rPr>
          <w:rFonts w:hint="eastAsia" w:ascii="宋体" w:hAnsi="宋体" w:eastAsia="宋体" w:cs="宋体"/>
          <w:color w:val="auto"/>
          <w:kern w:val="0"/>
          <w:szCs w:val="21"/>
          <w:highlight w:val="none"/>
          <w:lang w:val="zh-CN"/>
        </w:rPr>
      </w:pPr>
    </w:p>
    <w:p w14:paraId="5F647768">
      <w:pPr>
        <w:snapToGrid w:val="0"/>
        <w:spacing w:line="360" w:lineRule="auto"/>
        <w:ind w:firstLine="4620" w:firstLineChars="2200"/>
        <w:jc w:val="left"/>
        <w:rPr>
          <w:rFonts w:hint="eastAsia" w:ascii="宋体" w:hAnsi="宋体" w:eastAsia="宋体" w:cs="宋体"/>
          <w:color w:val="auto"/>
          <w:kern w:val="0"/>
          <w:szCs w:val="21"/>
          <w:highlight w:val="none"/>
          <w:lang w:val="zh-CN"/>
        </w:rPr>
      </w:pPr>
    </w:p>
    <w:p w14:paraId="71C7219E">
      <w:pPr>
        <w:snapToGri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bCs/>
          <w:color w:val="auto"/>
          <w:kern w:val="0"/>
          <w:szCs w:val="21"/>
          <w:highlight w:val="none"/>
          <w:u w:val="single"/>
          <w:lang w:val="zh-CN"/>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34CAF76">
      <w:pPr>
        <w:snapToGrid w:val="0"/>
        <w:spacing w:line="360" w:lineRule="auto"/>
        <w:ind w:right="480"/>
        <w:jc w:val="center"/>
        <w:rPr>
          <w:rFonts w:hint="eastAsia" w:ascii="宋体" w:hAnsi="宋体" w:eastAsia="宋体" w:cs="宋体"/>
          <w:b/>
          <w:color w:val="auto"/>
          <w:kern w:val="0"/>
          <w:sz w:val="32"/>
          <w:szCs w:val="32"/>
          <w:highlight w:val="none"/>
        </w:rPr>
      </w:pPr>
    </w:p>
    <w:p w14:paraId="7281E27B">
      <w:pPr>
        <w:pStyle w:val="4"/>
        <w:rPr>
          <w:rFonts w:hint="eastAsia" w:ascii="宋体" w:hAnsi="宋体" w:eastAsia="宋体" w:cs="宋体"/>
          <w:color w:val="auto"/>
          <w:kern w:val="0"/>
          <w:highlight w:val="none"/>
        </w:rPr>
      </w:pPr>
    </w:p>
    <w:p w14:paraId="1CEA9B67">
      <w:pPr>
        <w:rPr>
          <w:rFonts w:hint="eastAsia" w:ascii="宋体" w:hAnsi="宋体" w:eastAsia="宋体" w:cs="宋体"/>
          <w:b/>
          <w:color w:val="auto"/>
          <w:kern w:val="0"/>
          <w:sz w:val="32"/>
          <w:szCs w:val="32"/>
          <w:highlight w:val="none"/>
        </w:rPr>
      </w:pPr>
    </w:p>
    <w:p w14:paraId="1546FF9A">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二、联合协议（如果有）</w:t>
      </w:r>
    </w:p>
    <w:p w14:paraId="0AE84B0D">
      <w:pPr>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[以联合体形式投标的，提供联合协议（附件5）；本项目不接受联合体投标或者投标人不以联合体形式投标的，则不需要提供。]</w:t>
      </w:r>
    </w:p>
    <w:p w14:paraId="6903BB29">
      <w:pPr>
        <w:snapToGrid w:val="0"/>
        <w:spacing w:before="319" w:beforeLines="100" w:after="319" w:afterLines="100"/>
        <w:jc w:val="center"/>
        <w:rPr>
          <w:rFonts w:hint="eastAsia" w:ascii="宋体" w:hAnsi="宋体" w:eastAsia="宋体" w:cs="宋体"/>
          <w:b/>
          <w:color w:val="auto"/>
          <w:kern w:val="0"/>
          <w:sz w:val="28"/>
          <w:szCs w:val="28"/>
          <w:highlight w:val="none"/>
        </w:rPr>
      </w:pPr>
    </w:p>
    <w:p w14:paraId="044D36F3">
      <w:pPr>
        <w:snapToGrid w:val="0"/>
        <w:spacing w:before="319" w:beforeLines="100" w:after="319" w:afterLines="100"/>
        <w:jc w:val="center"/>
        <w:rPr>
          <w:rFonts w:hint="eastAsia" w:ascii="宋体" w:hAnsi="宋体" w:eastAsia="宋体" w:cs="宋体"/>
          <w:b/>
          <w:color w:val="auto"/>
          <w:kern w:val="0"/>
          <w:sz w:val="28"/>
          <w:szCs w:val="28"/>
          <w:highlight w:val="none"/>
        </w:rPr>
      </w:pPr>
    </w:p>
    <w:p w14:paraId="23C54FE4">
      <w:pPr>
        <w:snapToGrid w:val="0"/>
        <w:spacing w:before="319" w:beforeLines="100" w:after="319" w:afterLines="100"/>
        <w:jc w:val="center"/>
        <w:rPr>
          <w:rFonts w:hint="eastAsia" w:ascii="宋体" w:hAnsi="宋体" w:eastAsia="宋体" w:cs="宋体"/>
          <w:b/>
          <w:color w:val="auto"/>
          <w:kern w:val="0"/>
          <w:sz w:val="28"/>
          <w:szCs w:val="28"/>
          <w:highlight w:val="none"/>
        </w:rPr>
      </w:pPr>
    </w:p>
    <w:p w14:paraId="3439DC92">
      <w:pPr>
        <w:snapToGrid w:val="0"/>
        <w:spacing w:before="319" w:beforeLines="100" w:after="319" w:afterLines="100"/>
        <w:jc w:val="center"/>
        <w:rPr>
          <w:rFonts w:hint="eastAsia" w:ascii="宋体" w:hAnsi="宋体" w:eastAsia="宋体" w:cs="宋体"/>
          <w:b/>
          <w:color w:val="auto"/>
          <w:kern w:val="0"/>
          <w:sz w:val="28"/>
          <w:szCs w:val="28"/>
          <w:highlight w:val="none"/>
        </w:rPr>
      </w:pPr>
    </w:p>
    <w:p w14:paraId="29995A38">
      <w:pPr>
        <w:pStyle w:val="4"/>
        <w:rPr>
          <w:rFonts w:hint="eastAsia" w:ascii="宋体" w:hAnsi="宋体" w:eastAsia="宋体" w:cs="宋体"/>
          <w:color w:val="auto"/>
          <w:kern w:val="0"/>
          <w:sz w:val="28"/>
          <w:szCs w:val="28"/>
          <w:highlight w:val="none"/>
        </w:rPr>
      </w:pPr>
    </w:p>
    <w:p w14:paraId="413A4FBB">
      <w:pPr>
        <w:rPr>
          <w:rFonts w:hint="eastAsia" w:ascii="宋体" w:hAnsi="宋体" w:eastAsia="宋体" w:cs="宋体"/>
          <w:b/>
          <w:color w:val="auto"/>
          <w:kern w:val="0"/>
          <w:sz w:val="28"/>
          <w:szCs w:val="28"/>
          <w:highlight w:val="none"/>
        </w:rPr>
      </w:pPr>
    </w:p>
    <w:p w14:paraId="2D8D2141">
      <w:pPr>
        <w:pStyle w:val="4"/>
        <w:rPr>
          <w:rFonts w:hint="eastAsia" w:ascii="宋体" w:hAnsi="宋体" w:eastAsia="宋体" w:cs="宋体"/>
          <w:color w:val="auto"/>
          <w:kern w:val="0"/>
          <w:sz w:val="28"/>
          <w:szCs w:val="28"/>
          <w:highlight w:val="none"/>
        </w:rPr>
      </w:pPr>
    </w:p>
    <w:p w14:paraId="2FC53871">
      <w:pPr>
        <w:rPr>
          <w:rFonts w:hint="eastAsia" w:ascii="宋体" w:hAnsi="宋体" w:eastAsia="宋体" w:cs="宋体"/>
          <w:b/>
          <w:color w:val="auto"/>
          <w:kern w:val="0"/>
          <w:sz w:val="28"/>
          <w:szCs w:val="28"/>
          <w:highlight w:val="none"/>
        </w:rPr>
      </w:pPr>
    </w:p>
    <w:p w14:paraId="41CA8DCE">
      <w:pPr>
        <w:pStyle w:val="4"/>
        <w:rPr>
          <w:rFonts w:hint="eastAsia" w:ascii="宋体" w:hAnsi="宋体" w:eastAsia="宋体" w:cs="宋体"/>
          <w:color w:val="auto"/>
          <w:kern w:val="0"/>
          <w:sz w:val="28"/>
          <w:szCs w:val="28"/>
          <w:highlight w:val="none"/>
        </w:rPr>
      </w:pPr>
    </w:p>
    <w:p w14:paraId="1812ACD0">
      <w:pPr>
        <w:rPr>
          <w:rFonts w:hint="eastAsia" w:ascii="宋体" w:hAnsi="宋体" w:eastAsia="宋体" w:cs="宋体"/>
          <w:b/>
          <w:color w:val="auto"/>
          <w:kern w:val="0"/>
          <w:sz w:val="28"/>
          <w:szCs w:val="28"/>
          <w:highlight w:val="none"/>
        </w:rPr>
      </w:pPr>
    </w:p>
    <w:p w14:paraId="46F3EFD5">
      <w:pPr>
        <w:pStyle w:val="4"/>
        <w:rPr>
          <w:rFonts w:hint="eastAsia" w:ascii="宋体" w:hAnsi="宋体" w:eastAsia="宋体" w:cs="宋体"/>
          <w:color w:val="auto"/>
          <w:kern w:val="0"/>
          <w:sz w:val="28"/>
          <w:szCs w:val="28"/>
          <w:highlight w:val="none"/>
        </w:rPr>
      </w:pPr>
    </w:p>
    <w:p w14:paraId="0997A9C7">
      <w:pPr>
        <w:rPr>
          <w:rFonts w:hint="eastAsia" w:ascii="宋体" w:hAnsi="宋体" w:eastAsia="宋体" w:cs="宋体"/>
          <w:b/>
          <w:color w:val="auto"/>
          <w:kern w:val="0"/>
          <w:sz w:val="28"/>
          <w:szCs w:val="28"/>
          <w:highlight w:val="none"/>
        </w:rPr>
      </w:pPr>
    </w:p>
    <w:p w14:paraId="4B335C67">
      <w:pPr>
        <w:pStyle w:val="4"/>
        <w:rPr>
          <w:rFonts w:hint="eastAsia" w:ascii="宋体" w:hAnsi="宋体" w:eastAsia="宋体" w:cs="宋体"/>
          <w:color w:val="auto"/>
          <w:kern w:val="0"/>
          <w:sz w:val="28"/>
          <w:szCs w:val="28"/>
          <w:highlight w:val="none"/>
        </w:rPr>
      </w:pPr>
    </w:p>
    <w:p w14:paraId="66F1AA7F">
      <w:pPr>
        <w:rPr>
          <w:rFonts w:hint="eastAsia" w:ascii="宋体" w:hAnsi="宋体" w:eastAsia="宋体" w:cs="宋体"/>
          <w:b/>
          <w:color w:val="auto"/>
          <w:kern w:val="0"/>
          <w:sz w:val="28"/>
          <w:szCs w:val="28"/>
          <w:highlight w:val="none"/>
        </w:rPr>
      </w:pPr>
    </w:p>
    <w:p w14:paraId="64E87202">
      <w:pPr>
        <w:pStyle w:val="4"/>
        <w:rPr>
          <w:rFonts w:hint="eastAsia" w:ascii="宋体" w:hAnsi="宋体" w:eastAsia="宋体" w:cs="宋体"/>
          <w:color w:val="auto"/>
          <w:kern w:val="0"/>
          <w:sz w:val="28"/>
          <w:szCs w:val="28"/>
          <w:highlight w:val="none"/>
        </w:rPr>
      </w:pPr>
    </w:p>
    <w:p w14:paraId="194C84E0">
      <w:pPr>
        <w:rPr>
          <w:rFonts w:hint="eastAsia" w:ascii="宋体" w:hAnsi="宋体" w:eastAsia="宋体" w:cs="宋体"/>
          <w:b/>
          <w:color w:val="auto"/>
          <w:kern w:val="0"/>
          <w:sz w:val="28"/>
          <w:szCs w:val="28"/>
          <w:highlight w:val="none"/>
        </w:rPr>
      </w:pPr>
    </w:p>
    <w:p w14:paraId="399D50BF">
      <w:pPr>
        <w:pStyle w:val="4"/>
        <w:rPr>
          <w:rFonts w:hint="eastAsia" w:ascii="宋体" w:hAnsi="宋体" w:eastAsia="宋体" w:cs="宋体"/>
          <w:color w:val="auto"/>
          <w:kern w:val="0"/>
          <w:sz w:val="28"/>
          <w:szCs w:val="28"/>
          <w:highlight w:val="none"/>
        </w:rPr>
      </w:pPr>
    </w:p>
    <w:p w14:paraId="30C82294">
      <w:pPr>
        <w:rPr>
          <w:rFonts w:hint="eastAsia" w:ascii="宋体" w:hAnsi="宋体" w:eastAsia="宋体" w:cs="宋体"/>
          <w:b/>
          <w:color w:val="auto"/>
          <w:kern w:val="0"/>
          <w:sz w:val="28"/>
          <w:szCs w:val="28"/>
          <w:highlight w:val="none"/>
        </w:rPr>
      </w:pPr>
    </w:p>
    <w:p w14:paraId="51901A68">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三、落实政府采购政策需满足的资格要求</w:t>
      </w:r>
    </w:p>
    <w:p w14:paraId="351F67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[根据招标公告落实政府采购政策需满足的资格要求选择提供相应的材料；未要求的，无需提供。]</w:t>
      </w:r>
    </w:p>
    <w:p w14:paraId="053DBA63">
      <w:pPr>
        <w:snapToGri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A</w:t>
      </w:r>
      <w:r>
        <w:rPr>
          <w:rFonts w:hint="eastAsia" w:ascii="宋体" w:hAnsi="宋体" w:eastAsia="宋体" w:cs="宋体"/>
          <w:color w:val="auto"/>
          <w:szCs w:val="21"/>
          <w:highlight w:val="none"/>
        </w:rPr>
        <w:t>.专门面向中小企业，服务全部由符合政策要求的中小企业（或小微企业）承接的，提供相应的中小企业声明函（附件7）。</w:t>
      </w:r>
    </w:p>
    <w:p w14:paraId="3B68A1A2">
      <w:pPr>
        <w:widowControl/>
        <w:spacing w:line="360" w:lineRule="auto"/>
        <w:ind w:firstLine="420" w:firstLineChars="200"/>
        <w:jc w:val="left"/>
        <w:rPr>
          <w:rFonts w:hint="eastAsia" w:ascii="宋体" w:hAnsi="宋体" w:eastAsia="宋体" w:cs="宋体"/>
          <w:color w:val="auto"/>
          <w:szCs w:val="21"/>
          <w:highlight w:val="none"/>
        </w:rPr>
      </w:pPr>
    </w:p>
    <w:p w14:paraId="78530C8C">
      <w:pPr>
        <w:widowControl/>
        <w:spacing w:line="360" w:lineRule="auto"/>
        <w:ind w:firstLine="422" w:firstLineChars="200"/>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B.</w:t>
      </w:r>
      <w:r>
        <w:rPr>
          <w:rFonts w:hint="eastAsia" w:ascii="宋体" w:hAnsi="宋体" w:eastAsia="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2E9E8507">
      <w:pPr>
        <w:spacing w:line="360" w:lineRule="auto"/>
        <w:ind w:firstLine="422" w:firstLineChars="200"/>
        <w:rPr>
          <w:rFonts w:hint="eastAsia" w:ascii="宋体" w:hAnsi="宋体" w:eastAsia="宋体" w:cs="宋体"/>
          <w:b/>
          <w:color w:val="auto"/>
          <w:szCs w:val="21"/>
          <w:highlight w:val="none"/>
        </w:rPr>
      </w:pPr>
    </w:p>
    <w:p w14:paraId="6934FD66">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C.</w:t>
      </w:r>
      <w:r>
        <w:rPr>
          <w:rFonts w:hint="eastAsia" w:ascii="宋体" w:hAnsi="宋体" w:eastAsia="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BCFD542">
      <w:pPr>
        <w:spacing w:line="360" w:lineRule="auto"/>
        <w:jc w:val="center"/>
        <w:rPr>
          <w:rFonts w:hint="eastAsia" w:ascii="宋体" w:hAnsi="宋体" w:eastAsia="宋体" w:cs="宋体"/>
          <w:color w:val="auto"/>
          <w:kern w:val="0"/>
          <w:sz w:val="24"/>
          <w:highlight w:val="none"/>
          <w:lang w:val="zh-CN"/>
        </w:rPr>
      </w:pPr>
    </w:p>
    <w:p w14:paraId="1F0486BD">
      <w:pPr>
        <w:widowControl/>
        <w:spacing w:line="360" w:lineRule="auto"/>
        <w:ind w:left="150"/>
        <w:jc w:val="center"/>
        <w:rPr>
          <w:rFonts w:hint="eastAsia" w:ascii="宋体" w:hAnsi="宋体" w:eastAsia="宋体" w:cs="宋体"/>
          <w:b/>
          <w:color w:val="auto"/>
          <w:kern w:val="0"/>
          <w:sz w:val="32"/>
          <w:szCs w:val="32"/>
          <w:highlight w:val="none"/>
        </w:rPr>
      </w:pPr>
    </w:p>
    <w:p w14:paraId="1ED7FB18">
      <w:pPr>
        <w:widowControl/>
        <w:spacing w:line="360" w:lineRule="auto"/>
        <w:ind w:left="150"/>
        <w:jc w:val="center"/>
        <w:rPr>
          <w:rFonts w:hint="eastAsia" w:ascii="宋体" w:hAnsi="宋体" w:eastAsia="宋体" w:cs="宋体"/>
          <w:b/>
          <w:color w:val="auto"/>
          <w:kern w:val="0"/>
          <w:sz w:val="32"/>
          <w:szCs w:val="32"/>
          <w:highlight w:val="none"/>
        </w:rPr>
      </w:pPr>
    </w:p>
    <w:p w14:paraId="0AFF9E53">
      <w:pPr>
        <w:widowControl/>
        <w:spacing w:line="360" w:lineRule="auto"/>
        <w:ind w:left="150"/>
        <w:jc w:val="center"/>
        <w:rPr>
          <w:rFonts w:hint="eastAsia" w:ascii="宋体" w:hAnsi="宋体" w:eastAsia="宋体" w:cs="宋体"/>
          <w:b/>
          <w:color w:val="auto"/>
          <w:kern w:val="0"/>
          <w:sz w:val="32"/>
          <w:szCs w:val="32"/>
          <w:highlight w:val="none"/>
        </w:rPr>
      </w:pPr>
    </w:p>
    <w:p w14:paraId="07E8D8FC">
      <w:pPr>
        <w:widowControl/>
        <w:spacing w:line="360" w:lineRule="auto"/>
        <w:ind w:left="150"/>
        <w:jc w:val="center"/>
        <w:rPr>
          <w:rFonts w:hint="eastAsia" w:ascii="宋体" w:hAnsi="宋体" w:eastAsia="宋体" w:cs="宋体"/>
          <w:b/>
          <w:color w:val="auto"/>
          <w:kern w:val="0"/>
          <w:sz w:val="32"/>
          <w:szCs w:val="32"/>
          <w:highlight w:val="none"/>
        </w:rPr>
      </w:pPr>
    </w:p>
    <w:p w14:paraId="44BE7F1D">
      <w:pPr>
        <w:widowControl/>
        <w:spacing w:line="360" w:lineRule="auto"/>
        <w:ind w:left="150"/>
        <w:jc w:val="center"/>
        <w:rPr>
          <w:rFonts w:hint="eastAsia" w:ascii="宋体" w:hAnsi="宋体" w:eastAsia="宋体" w:cs="宋体"/>
          <w:b/>
          <w:color w:val="auto"/>
          <w:kern w:val="0"/>
          <w:sz w:val="32"/>
          <w:szCs w:val="32"/>
          <w:highlight w:val="none"/>
        </w:rPr>
      </w:pPr>
    </w:p>
    <w:p w14:paraId="6589DD7C">
      <w:pPr>
        <w:widowControl/>
        <w:spacing w:line="360" w:lineRule="auto"/>
        <w:ind w:left="150"/>
        <w:jc w:val="center"/>
        <w:rPr>
          <w:rFonts w:hint="eastAsia" w:ascii="宋体" w:hAnsi="宋体" w:eastAsia="宋体" w:cs="宋体"/>
          <w:b/>
          <w:color w:val="auto"/>
          <w:kern w:val="0"/>
          <w:sz w:val="32"/>
          <w:szCs w:val="32"/>
          <w:highlight w:val="none"/>
        </w:rPr>
      </w:pPr>
    </w:p>
    <w:p w14:paraId="4E380563">
      <w:pPr>
        <w:widowControl/>
        <w:spacing w:line="360" w:lineRule="auto"/>
        <w:ind w:left="150"/>
        <w:jc w:val="center"/>
        <w:rPr>
          <w:rFonts w:hint="eastAsia" w:ascii="宋体" w:hAnsi="宋体" w:eastAsia="宋体" w:cs="宋体"/>
          <w:b/>
          <w:color w:val="auto"/>
          <w:kern w:val="0"/>
          <w:sz w:val="32"/>
          <w:szCs w:val="32"/>
          <w:highlight w:val="none"/>
        </w:rPr>
      </w:pPr>
    </w:p>
    <w:p w14:paraId="47FC1EB4">
      <w:pPr>
        <w:widowControl/>
        <w:spacing w:line="360" w:lineRule="auto"/>
        <w:ind w:left="150"/>
        <w:jc w:val="center"/>
        <w:rPr>
          <w:rFonts w:hint="eastAsia" w:ascii="宋体" w:hAnsi="宋体" w:eastAsia="宋体" w:cs="宋体"/>
          <w:b/>
          <w:color w:val="auto"/>
          <w:kern w:val="0"/>
          <w:sz w:val="32"/>
          <w:szCs w:val="32"/>
          <w:highlight w:val="none"/>
        </w:rPr>
      </w:pPr>
    </w:p>
    <w:p w14:paraId="3CD5E58B">
      <w:pPr>
        <w:widowControl/>
        <w:spacing w:line="360" w:lineRule="auto"/>
        <w:ind w:left="150"/>
        <w:jc w:val="center"/>
        <w:rPr>
          <w:rFonts w:hint="eastAsia" w:ascii="宋体" w:hAnsi="宋体" w:eastAsia="宋体" w:cs="宋体"/>
          <w:b/>
          <w:color w:val="auto"/>
          <w:kern w:val="0"/>
          <w:sz w:val="32"/>
          <w:szCs w:val="32"/>
          <w:highlight w:val="none"/>
        </w:rPr>
      </w:pPr>
    </w:p>
    <w:p w14:paraId="03A0A7F4">
      <w:pPr>
        <w:snapToGrid w:val="0"/>
        <w:spacing w:before="319" w:beforeLines="100" w:after="319" w:afterLines="100"/>
        <w:jc w:val="center"/>
        <w:rPr>
          <w:rFonts w:hint="eastAsia" w:ascii="宋体" w:hAnsi="宋体" w:eastAsia="宋体" w:cs="宋体"/>
          <w:b/>
          <w:color w:val="auto"/>
          <w:kern w:val="0"/>
          <w:sz w:val="28"/>
          <w:szCs w:val="28"/>
          <w:highlight w:val="none"/>
        </w:rPr>
      </w:pPr>
    </w:p>
    <w:p w14:paraId="18D7EE27">
      <w:pPr>
        <w:snapToGrid w:val="0"/>
        <w:spacing w:before="319" w:beforeLines="100" w:after="319" w:afterLines="100"/>
        <w:jc w:val="center"/>
        <w:rPr>
          <w:rFonts w:hint="eastAsia" w:ascii="宋体" w:hAnsi="宋体" w:eastAsia="宋体" w:cs="宋体"/>
          <w:b/>
          <w:color w:val="auto"/>
          <w:kern w:val="0"/>
          <w:sz w:val="28"/>
          <w:szCs w:val="28"/>
          <w:highlight w:val="none"/>
        </w:rPr>
      </w:pPr>
    </w:p>
    <w:p w14:paraId="571FD051">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四、本项目的特定资格要求</w:t>
      </w:r>
    </w:p>
    <w:p w14:paraId="1CD005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[根据招标公告本项目的特定资格要求提供相应的材料；未要求的，无需提供。]</w:t>
      </w:r>
    </w:p>
    <w:p w14:paraId="064377EE">
      <w:pPr>
        <w:rPr>
          <w:rFonts w:hint="eastAsia" w:ascii="宋体" w:hAnsi="宋体" w:eastAsia="宋体" w:cs="宋体"/>
          <w:color w:val="auto"/>
          <w:highlight w:val="none"/>
        </w:rPr>
      </w:pPr>
    </w:p>
    <w:p w14:paraId="207E1309">
      <w:pPr>
        <w:snapToGrid w:val="0"/>
        <w:spacing w:line="360" w:lineRule="auto"/>
        <w:ind w:right="480"/>
        <w:jc w:val="center"/>
        <w:rPr>
          <w:rFonts w:hint="eastAsia" w:ascii="宋体" w:hAnsi="宋体" w:eastAsia="宋体" w:cs="宋体"/>
          <w:b/>
          <w:color w:val="auto"/>
          <w:kern w:val="0"/>
          <w:sz w:val="32"/>
          <w:szCs w:val="32"/>
          <w:highlight w:val="none"/>
        </w:rPr>
      </w:pPr>
    </w:p>
    <w:p w14:paraId="76BB3191">
      <w:pPr>
        <w:snapToGrid w:val="0"/>
        <w:spacing w:line="360" w:lineRule="auto"/>
        <w:ind w:right="480"/>
        <w:jc w:val="center"/>
        <w:rPr>
          <w:rFonts w:hint="eastAsia" w:ascii="宋体" w:hAnsi="宋体" w:eastAsia="宋体" w:cs="宋体"/>
          <w:b/>
          <w:color w:val="auto"/>
          <w:kern w:val="0"/>
          <w:sz w:val="32"/>
          <w:szCs w:val="32"/>
          <w:highlight w:val="none"/>
        </w:rPr>
      </w:pPr>
    </w:p>
    <w:p w14:paraId="0EF775EF">
      <w:pPr>
        <w:snapToGrid w:val="0"/>
        <w:spacing w:line="360" w:lineRule="auto"/>
        <w:ind w:right="480"/>
        <w:jc w:val="center"/>
        <w:rPr>
          <w:rFonts w:hint="eastAsia" w:ascii="宋体" w:hAnsi="宋体" w:eastAsia="宋体" w:cs="宋体"/>
          <w:b/>
          <w:color w:val="auto"/>
          <w:kern w:val="0"/>
          <w:sz w:val="32"/>
          <w:szCs w:val="32"/>
          <w:highlight w:val="none"/>
        </w:rPr>
      </w:pPr>
    </w:p>
    <w:p w14:paraId="2396577F">
      <w:pPr>
        <w:snapToGrid w:val="0"/>
        <w:spacing w:line="360" w:lineRule="auto"/>
        <w:ind w:right="480"/>
        <w:jc w:val="center"/>
        <w:rPr>
          <w:rFonts w:hint="eastAsia" w:ascii="宋体" w:hAnsi="宋体" w:eastAsia="宋体" w:cs="宋体"/>
          <w:b/>
          <w:color w:val="auto"/>
          <w:kern w:val="0"/>
          <w:sz w:val="32"/>
          <w:szCs w:val="32"/>
          <w:highlight w:val="none"/>
        </w:rPr>
      </w:pPr>
    </w:p>
    <w:p w14:paraId="4C047938">
      <w:pPr>
        <w:snapToGrid w:val="0"/>
        <w:spacing w:line="360" w:lineRule="auto"/>
        <w:ind w:right="480"/>
        <w:jc w:val="center"/>
        <w:rPr>
          <w:rFonts w:hint="eastAsia" w:ascii="宋体" w:hAnsi="宋体" w:eastAsia="宋体" w:cs="宋体"/>
          <w:b/>
          <w:color w:val="auto"/>
          <w:kern w:val="0"/>
          <w:sz w:val="32"/>
          <w:szCs w:val="32"/>
          <w:highlight w:val="none"/>
        </w:rPr>
      </w:pPr>
    </w:p>
    <w:p w14:paraId="6B0F7DA0">
      <w:pPr>
        <w:snapToGrid w:val="0"/>
        <w:spacing w:line="360" w:lineRule="auto"/>
        <w:ind w:right="480"/>
        <w:jc w:val="center"/>
        <w:rPr>
          <w:rFonts w:hint="eastAsia" w:ascii="宋体" w:hAnsi="宋体" w:eastAsia="宋体" w:cs="宋体"/>
          <w:b/>
          <w:color w:val="auto"/>
          <w:kern w:val="0"/>
          <w:sz w:val="32"/>
          <w:szCs w:val="32"/>
          <w:highlight w:val="none"/>
        </w:rPr>
      </w:pPr>
    </w:p>
    <w:p w14:paraId="016C4225">
      <w:pPr>
        <w:spacing w:line="360" w:lineRule="auto"/>
        <w:jc w:val="center"/>
        <w:outlineLvl w:val="0"/>
        <w:rPr>
          <w:rFonts w:hint="eastAsia" w:ascii="宋体" w:hAnsi="宋体" w:eastAsia="宋体" w:cs="宋体"/>
          <w:b/>
          <w:color w:val="auto"/>
          <w:kern w:val="0"/>
          <w:sz w:val="36"/>
          <w:szCs w:val="36"/>
          <w:highlight w:val="none"/>
        </w:rPr>
      </w:pPr>
    </w:p>
    <w:p w14:paraId="4D34757D">
      <w:pPr>
        <w:snapToGrid w:val="0"/>
        <w:spacing w:line="360" w:lineRule="auto"/>
        <w:ind w:right="480"/>
        <w:jc w:val="center"/>
        <w:rPr>
          <w:rFonts w:hint="eastAsia" w:ascii="宋体" w:hAnsi="宋体" w:eastAsia="宋体" w:cs="宋体"/>
          <w:b/>
          <w:color w:val="auto"/>
          <w:kern w:val="0"/>
          <w:sz w:val="32"/>
          <w:szCs w:val="32"/>
          <w:highlight w:val="none"/>
        </w:rPr>
      </w:pPr>
    </w:p>
    <w:p w14:paraId="311A1F04">
      <w:pPr>
        <w:spacing w:line="360" w:lineRule="auto"/>
        <w:jc w:val="center"/>
        <w:outlineLvl w:val="0"/>
        <w:rPr>
          <w:rFonts w:hint="eastAsia" w:ascii="宋体" w:hAnsi="宋体" w:eastAsia="宋体" w:cs="宋体"/>
          <w:b/>
          <w:color w:val="auto"/>
          <w:kern w:val="0"/>
          <w:sz w:val="36"/>
          <w:szCs w:val="36"/>
          <w:highlight w:val="none"/>
        </w:rPr>
      </w:pPr>
    </w:p>
    <w:p w14:paraId="5D778BE3">
      <w:pPr>
        <w:snapToGrid w:val="0"/>
        <w:spacing w:line="360" w:lineRule="auto"/>
        <w:ind w:right="480"/>
        <w:jc w:val="center"/>
        <w:rPr>
          <w:rFonts w:hint="eastAsia" w:ascii="宋体" w:hAnsi="宋体" w:eastAsia="宋体" w:cs="宋体"/>
          <w:b/>
          <w:color w:val="auto"/>
          <w:kern w:val="0"/>
          <w:sz w:val="32"/>
          <w:szCs w:val="32"/>
          <w:highlight w:val="none"/>
        </w:rPr>
      </w:pPr>
    </w:p>
    <w:p w14:paraId="7AB0E906">
      <w:pPr>
        <w:spacing w:line="360" w:lineRule="auto"/>
        <w:jc w:val="center"/>
        <w:outlineLvl w:val="0"/>
        <w:rPr>
          <w:rFonts w:hint="eastAsia" w:ascii="宋体" w:hAnsi="宋体" w:eastAsia="宋体" w:cs="宋体"/>
          <w:b/>
          <w:color w:val="auto"/>
          <w:kern w:val="0"/>
          <w:sz w:val="36"/>
          <w:szCs w:val="36"/>
          <w:highlight w:val="none"/>
        </w:rPr>
      </w:pPr>
    </w:p>
    <w:p w14:paraId="3390A846">
      <w:pPr>
        <w:adjustRightInd/>
        <w:spacing w:before="319" w:beforeLines="100" w:after="319" w:afterLines="10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28"/>
          <w:szCs w:val="28"/>
          <w:highlight w:val="none"/>
        </w:rPr>
        <w:t>商务技术文件部分</w:t>
      </w:r>
    </w:p>
    <w:p w14:paraId="5B921F1D">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46D3750">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(1)投标函…………………………………………………………………………（页码）</w:t>
      </w:r>
    </w:p>
    <w:p w14:paraId="29F328EA">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(2)授权委托书或法定代表人（单位负责人、自然人本人）身份证明………（页码）</w:t>
      </w:r>
    </w:p>
    <w:p w14:paraId="643A2DFB">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(3)分包意向协议…………………………………………………………………（页码）</w:t>
      </w:r>
    </w:p>
    <w:p w14:paraId="33CD69E5">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(4)符合性审查资料………………………………………………………………（页码）</w:t>
      </w:r>
    </w:p>
    <w:p w14:paraId="6DEE3228">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(5)评标标准相应的商务技术资料………………………………………………（页码）</w:t>
      </w:r>
    </w:p>
    <w:p w14:paraId="4D2F6C4D">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(6)商务技术偏离表………………………………………………………………（页码）</w:t>
      </w:r>
    </w:p>
    <w:p w14:paraId="0EC14920">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政府采购供应商廉洁自律承诺书</w:t>
      </w:r>
      <w:r>
        <w:rPr>
          <w:rFonts w:hint="eastAsia" w:ascii="宋体" w:hAnsi="宋体" w:eastAsia="宋体" w:cs="宋体"/>
          <w:color w:val="auto"/>
          <w:szCs w:val="21"/>
          <w:highlight w:val="none"/>
        </w:rPr>
        <w:t>……………………………………………（页码）</w:t>
      </w:r>
    </w:p>
    <w:p w14:paraId="3207919A">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8C16F2F">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一、投标函</w:t>
      </w:r>
    </w:p>
    <w:p w14:paraId="3A015F26">
      <w:pPr>
        <w:snapToGrid w:val="0"/>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989E0E2">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我方参加你方组织的（项目名称）【招标编号：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（采购编号）】招标的有关活动，并对此项目进行投标。为此：</w:t>
      </w:r>
    </w:p>
    <w:p w14:paraId="789992CD">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1、我方承诺投标有效期从提交投标文件的截止之日起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天（不少于90天），本投标文件在投标有效期满之前均具有约束力。</w:t>
      </w:r>
    </w:p>
    <w:p w14:paraId="1A0E15F2">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2、我方的投标文件包括以下内容：</w:t>
      </w:r>
    </w:p>
    <w:p w14:paraId="2F9487CD">
      <w:pPr>
        <w:snapToGrid w:val="0"/>
        <w:spacing w:line="312" w:lineRule="auto"/>
        <w:ind w:firstLine="630" w:firstLineChars="3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 资格文件：</w:t>
      </w:r>
    </w:p>
    <w:p w14:paraId="7F8C979E">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承诺函；</w:t>
      </w:r>
    </w:p>
    <w:p w14:paraId="67251F85">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联合协议（如果有）；</w:t>
      </w:r>
    </w:p>
    <w:p w14:paraId="778019B9">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落实政府采购政策需满足的资格要求（如果有）；</w:t>
      </w:r>
    </w:p>
    <w:p w14:paraId="358A4314">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 本项目的特定资格要求（如果有）。</w:t>
      </w:r>
    </w:p>
    <w:p w14:paraId="7626AE32">
      <w:pPr>
        <w:snapToGrid w:val="0"/>
        <w:spacing w:line="312" w:lineRule="auto"/>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 商务技术</w:t>
      </w:r>
      <w:r>
        <w:rPr>
          <w:rFonts w:hint="eastAsia" w:ascii="宋体" w:hAnsi="宋体" w:eastAsia="宋体" w:cs="宋体"/>
          <w:color w:val="auto"/>
          <w:szCs w:val="21"/>
          <w:highlight w:val="none"/>
          <w:lang w:val="zh-CN"/>
        </w:rPr>
        <w:t>文件：</w:t>
      </w:r>
    </w:p>
    <w:p w14:paraId="1AC11EAA">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投标函；</w:t>
      </w:r>
    </w:p>
    <w:p w14:paraId="25EB58E6">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授权委托书或法定代表人（单位负责人）身份证明；</w:t>
      </w:r>
    </w:p>
    <w:p w14:paraId="694378D7">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分包意向协议（如果有）；</w:t>
      </w:r>
    </w:p>
    <w:p w14:paraId="5D80A39B">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符合性审查资料；</w:t>
      </w:r>
    </w:p>
    <w:p w14:paraId="408714EC">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 评标标准相应的商务技术资料；</w:t>
      </w:r>
    </w:p>
    <w:p w14:paraId="5A03ECB1">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2.2.6 商务技术偏离表；</w:t>
      </w:r>
    </w:p>
    <w:p w14:paraId="321AA23F">
      <w:pPr>
        <w:snapToGrid w:val="0"/>
        <w:spacing w:line="312"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7 </w:t>
      </w:r>
      <w:r>
        <w:rPr>
          <w:rFonts w:hint="eastAsia" w:ascii="宋体" w:hAnsi="宋体" w:eastAsia="宋体" w:cs="宋体"/>
          <w:color w:val="auto"/>
          <w:szCs w:val="21"/>
          <w:highlight w:val="none"/>
          <w:lang w:val="zh-CN"/>
        </w:rPr>
        <w:t>政府采购供应商廉洁自律承诺书；</w:t>
      </w:r>
    </w:p>
    <w:p w14:paraId="31774D79">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 报价文件</w:t>
      </w:r>
    </w:p>
    <w:p w14:paraId="6FB478D6">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开标一览表（报价表）；</w:t>
      </w:r>
    </w:p>
    <w:p w14:paraId="5A12D871">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报价明细表；</w:t>
      </w:r>
    </w:p>
    <w:p w14:paraId="3B2A943A">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报价情况说明（如有）；</w:t>
      </w:r>
    </w:p>
    <w:p w14:paraId="7BBC6F44">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中小企业声明函（如果有，招标公告中明确本项目专门面向中小企业采购的，此处可不提供）。</w:t>
      </w:r>
    </w:p>
    <w:p w14:paraId="2FF9C070">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3、我方承诺除商务技术偏离表列出的偏离外，我方响应招标文件的全部要求。</w:t>
      </w:r>
    </w:p>
    <w:p w14:paraId="3F2ADA7D">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4、如我方中标，我方承诺：</w:t>
      </w:r>
    </w:p>
    <w:p w14:paraId="75F2CD01">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 在收到中标通知书后，在中标通知书规定的期限内与你方签订合同； </w:t>
      </w:r>
    </w:p>
    <w:p w14:paraId="1DE918D6">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在签订合同时不向你方提出附加条件； </w:t>
      </w:r>
    </w:p>
    <w:p w14:paraId="7FB0F41A">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4.3 按照招标文件要求提交履约保证金； </w:t>
      </w:r>
    </w:p>
    <w:p w14:paraId="696AC718">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4.4 在合同约定的期限内完成合同规定的全部义务。 </w:t>
      </w:r>
    </w:p>
    <w:p w14:paraId="50EDCC33">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5、其他补充说明：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D7E09CE">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78F8E533">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szCs w:val="21"/>
          <w:highlight w:val="none"/>
        </w:rPr>
        <w:t>日期：  年   月   日</w:t>
      </w:r>
    </w:p>
    <w:p w14:paraId="36594354">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按本格式和要求提供。</w:t>
      </w:r>
    </w:p>
    <w:p w14:paraId="7082735A">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14:paraId="1F7E58F3">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zh-CN"/>
        </w:rPr>
        <w:t>授权委托书（适用于非联合体投标）</w:t>
      </w:r>
    </w:p>
    <w:p w14:paraId="3764EA30">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0CE46CE6">
      <w:pPr>
        <w:wordWrap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政府采购投标的一切事项，其法律后果由我方承担。</w:t>
      </w:r>
    </w:p>
    <w:p w14:paraId="274896E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日止。</w:t>
      </w:r>
    </w:p>
    <w:p w14:paraId="37E7AEA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2B2FF0AE">
      <w:pPr>
        <w:snapToGrid w:val="0"/>
        <w:spacing w:line="360" w:lineRule="auto"/>
        <w:ind w:firstLine="4620" w:firstLineChars="2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6CD7D3E6">
      <w:pPr>
        <w:snapToGrid w:val="0"/>
        <w:spacing w:line="360" w:lineRule="auto"/>
        <w:ind w:firstLine="462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签发日期：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358DF98E">
      <w:pPr>
        <w:snapToGrid w:val="0"/>
        <w:spacing w:line="360" w:lineRule="auto"/>
        <w:rPr>
          <w:rFonts w:hint="eastAsia" w:ascii="宋体" w:hAnsi="宋体" w:eastAsia="宋体" w:cs="宋体"/>
          <w:color w:val="auto"/>
          <w:sz w:val="24"/>
          <w:highlight w:val="none"/>
        </w:rPr>
      </w:pPr>
    </w:p>
    <w:p w14:paraId="23763703">
      <w:pPr>
        <w:jc w:val="center"/>
        <w:rPr>
          <w:rFonts w:hint="eastAsia" w:ascii="宋体" w:hAnsi="宋体" w:eastAsia="宋体" w:cs="宋体"/>
          <w:b/>
          <w:color w:val="auto"/>
          <w:kern w:val="0"/>
          <w:sz w:val="32"/>
          <w:szCs w:val="32"/>
          <w:highlight w:val="none"/>
          <w:lang w:val="zh-CN"/>
        </w:rPr>
      </w:pPr>
    </w:p>
    <w:p w14:paraId="30970127">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授权委托书（适用于联合体投标）</w:t>
      </w:r>
    </w:p>
    <w:p w14:paraId="7D2B574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7DDB78C9">
      <w:pPr>
        <w:wordWrap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政府采购投标的一切事项，其法律后果由我方承担。</w:t>
      </w:r>
    </w:p>
    <w:p w14:paraId="77667D4C">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日止。</w:t>
      </w:r>
    </w:p>
    <w:p w14:paraId="7F799A0F">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4041E30B">
      <w:pPr>
        <w:spacing w:line="360" w:lineRule="auto"/>
        <w:jc w:val="center"/>
        <w:rPr>
          <w:rFonts w:hint="eastAsia" w:ascii="宋体" w:hAnsi="宋体" w:eastAsia="宋体" w:cs="宋体"/>
          <w:b/>
          <w:color w:val="auto"/>
          <w:kern w:val="0"/>
          <w:szCs w:val="21"/>
          <w:highlight w:val="none"/>
        </w:rPr>
      </w:pPr>
    </w:p>
    <w:p w14:paraId="7F37780C">
      <w:pPr>
        <w:spacing w:line="360" w:lineRule="auto"/>
        <w:rPr>
          <w:rFonts w:hint="eastAsia" w:ascii="宋体" w:hAnsi="宋体" w:eastAsia="宋体" w:cs="宋体"/>
          <w:color w:val="auto"/>
          <w:szCs w:val="21"/>
          <w:highlight w:val="none"/>
        </w:rPr>
      </w:pPr>
    </w:p>
    <w:p w14:paraId="354BCC2F">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2B9D40E5">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44357383">
      <w:pPr>
        <w:snapToGri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05BF96F3">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702BFEF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2BFD02D">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23ACED52">
      <w:pPr>
        <w:pStyle w:val="153"/>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身份证件扫描件：</w:t>
      </w:r>
    </w:p>
    <w:tbl>
      <w:tblPr>
        <w:tblStyle w:val="65"/>
        <w:tblW w:w="97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4902"/>
        <w:gridCol w:w="4829"/>
      </w:tblGrid>
      <w:tr w14:paraId="48F93ED3">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812" w:hRule="atLeast"/>
          <w:jc w:val="center"/>
        </w:trPr>
        <w:tc>
          <w:tcPr>
            <w:tcW w:w="4902" w:type="dxa"/>
            <w:tcBorders>
              <w:tl2br w:val="nil"/>
              <w:tr2bl w:val="nil"/>
            </w:tcBorders>
          </w:tcPr>
          <w:p w14:paraId="356FFBF3">
            <w:pPr>
              <w:pStyle w:val="153"/>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正面：</w:t>
            </w:r>
          </w:p>
          <w:p w14:paraId="63B23D33">
            <w:pPr>
              <w:pStyle w:val="153"/>
              <w:adjustRightInd w:val="0"/>
              <w:spacing w:line="360" w:lineRule="auto"/>
              <w:rPr>
                <w:rFonts w:hint="eastAsia" w:ascii="宋体" w:hAnsi="宋体" w:eastAsia="宋体" w:cs="宋体"/>
                <w:bCs/>
                <w:color w:val="auto"/>
                <w:highlight w:val="none"/>
              </w:rPr>
            </w:pPr>
          </w:p>
        </w:tc>
        <w:tc>
          <w:tcPr>
            <w:tcW w:w="4829" w:type="dxa"/>
            <w:tcBorders>
              <w:tl2br w:val="nil"/>
              <w:tr2bl w:val="nil"/>
            </w:tcBorders>
          </w:tcPr>
          <w:p w14:paraId="496C3F2E">
            <w:pPr>
              <w:pStyle w:val="153"/>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反面：</w:t>
            </w:r>
          </w:p>
        </w:tc>
      </w:tr>
    </w:tbl>
    <w:p w14:paraId="67C1FA08">
      <w:pPr>
        <w:snapToGrid w:val="0"/>
        <w:spacing w:line="360" w:lineRule="auto"/>
        <w:ind w:firstLine="576"/>
        <w:jc w:val="center"/>
        <w:rPr>
          <w:rFonts w:hint="eastAsia" w:ascii="宋体" w:hAnsi="宋体" w:eastAsia="宋体" w:cs="宋体"/>
          <w:color w:val="auto"/>
          <w:kern w:val="0"/>
          <w:szCs w:val="21"/>
          <w:highlight w:val="none"/>
          <w:lang w:val="zh-CN"/>
        </w:rPr>
      </w:pPr>
    </w:p>
    <w:p w14:paraId="0391FD36">
      <w:pPr>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投标人名称(电子签名)：</w:t>
      </w:r>
    </w:p>
    <w:p w14:paraId="6DA11B3C">
      <w:pPr>
        <w:spacing w:line="360" w:lineRule="auto"/>
        <w:ind w:firstLine="462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62511C74">
      <w:pPr>
        <w:jc w:val="center"/>
        <w:rPr>
          <w:rFonts w:hint="eastAsia" w:ascii="宋体" w:hAnsi="宋体" w:eastAsia="宋体" w:cs="宋体"/>
          <w:b/>
          <w:color w:val="auto"/>
          <w:kern w:val="0"/>
          <w:sz w:val="32"/>
          <w:szCs w:val="32"/>
          <w:highlight w:val="none"/>
        </w:rPr>
      </w:pPr>
    </w:p>
    <w:p w14:paraId="6238C9F7">
      <w:pPr>
        <w:jc w:val="center"/>
        <w:rPr>
          <w:rFonts w:hint="eastAsia" w:ascii="宋体" w:hAnsi="宋体" w:eastAsia="宋体" w:cs="宋体"/>
          <w:b/>
          <w:color w:val="auto"/>
          <w:kern w:val="0"/>
          <w:sz w:val="32"/>
          <w:szCs w:val="32"/>
          <w:highlight w:val="none"/>
        </w:rPr>
      </w:pPr>
    </w:p>
    <w:p w14:paraId="7005A8C6">
      <w:pPr>
        <w:jc w:val="center"/>
        <w:rPr>
          <w:rFonts w:hint="eastAsia" w:ascii="宋体" w:hAnsi="宋体" w:eastAsia="宋体" w:cs="宋体"/>
          <w:b/>
          <w:color w:val="auto"/>
          <w:kern w:val="0"/>
          <w:sz w:val="32"/>
          <w:szCs w:val="32"/>
          <w:highlight w:val="none"/>
        </w:rPr>
      </w:pPr>
    </w:p>
    <w:p w14:paraId="61B44798">
      <w:pPr>
        <w:jc w:val="center"/>
        <w:rPr>
          <w:rFonts w:hint="eastAsia" w:ascii="宋体" w:hAnsi="宋体" w:eastAsia="宋体" w:cs="宋体"/>
          <w:b/>
          <w:color w:val="auto"/>
          <w:kern w:val="0"/>
          <w:sz w:val="32"/>
          <w:szCs w:val="32"/>
          <w:highlight w:val="none"/>
        </w:rPr>
      </w:pPr>
    </w:p>
    <w:p w14:paraId="17C47808">
      <w:pPr>
        <w:jc w:val="center"/>
        <w:rPr>
          <w:rFonts w:hint="eastAsia" w:ascii="宋体" w:hAnsi="宋体" w:eastAsia="宋体" w:cs="宋体"/>
          <w:b/>
          <w:color w:val="auto"/>
          <w:kern w:val="0"/>
          <w:sz w:val="32"/>
          <w:szCs w:val="32"/>
          <w:highlight w:val="none"/>
        </w:rPr>
      </w:pPr>
    </w:p>
    <w:p w14:paraId="5445B4DA">
      <w:pPr>
        <w:jc w:val="center"/>
        <w:rPr>
          <w:rFonts w:hint="eastAsia" w:ascii="宋体" w:hAnsi="宋体" w:eastAsia="宋体" w:cs="宋体"/>
          <w:b/>
          <w:color w:val="auto"/>
          <w:kern w:val="0"/>
          <w:sz w:val="32"/>
          <w:szCs w:val="32"/>
          <w:highlight w:val="none"/>
        </w:rPr>
      </w:pPr>
    </w:p>
    <w:p w14:paraId="3573D926">
      <w:pPr>
        <w:jc w:val="center"/>
        <w:rPr>
          <w:rFonts w:hint="eastAsia" w:ascii="宋体" w:hAnsi="宋体" w:eastAsia="宋体" w:cs="宋体"/>
          <w:b/>
          <w:color w:val="auto"/>
          <w:kern w:val="0"/>
          <w:sz w:val="32"/>
          <w:szCs w:val="32"/>
          <w:highlight w:val="none"/>
        </w:rPr>
      </w:pPr>
    </w:p>
    <w:p w14:paraId="758EF3E8">
      <w:pPr>
        <w:jc w:val="center"/>
        <w:rPr>
          <w:rFonts w:hint="eastAsia" w:ascii="宋体" w:hAnsi="宋体" w:eastAsia="宋体" w:cs="宋体"/>
          <w:b/>
          <w:color w:val="auto"/>
          <w:kern w:val="0"/>
          <w:sz w:val="32"/>
          <w:szCs w:val="32"/>
          <w:highlight w:val="none"/>
        </w:rPr>
      </w:pPr>
    </w:p>
    <w:p w14:paraId="702D9C9B">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rPr>
        <w:t>三</w:t>
      </w:r>
      <w:r>
        <w:rPr>
          <w:rFonts w:hint="eastAsia" w:ascii="宋体" w:hAnsi="宋体" w:eastAsia="宋体" w:cs="宋体"/>
          <w:b/>
          <w:color w:val="auto"/>
          <w:kern w:val="0"/>
          <w:sz w:val="28"/>
          <w:szCs w:val="28"/>
          <w:highlight w:val="none"/>
          <w:lang w:val="zh-CN"/>
        </w:rPr>
        <w:t>、分包意向协议（</w:t>
      </w:r>
      <w:r>
        <w:rPr>
          <w:rFonts w:hint="eastAsia" w:ascii="宋体" w:hAnsi="宋体" w:eastAsia="宋体" w:cs="宋体"/>
          <w:b/>
          <w:color w:val="auto"/>
          <w:kern w:val="0"/>
          <w:sz w:val="28"/>
          <w:szCs w:val="28"/>
          <w:highlight w:val="none"/>
        </w:rPr>
        <w:t>如果有</w:t>
      </w:r>
      <w:r>
        <w:rPr>
          <w:rFonts w:hint="eastAsia" w:ascii="宋体" w:hAnsi="宋体" w:eastAsia="宋体" w:cs="宋体"/>
          <w:b/>
          <w:color w:val="auto"/>
          <w:kern w:val="0"/>
          <w:sz w:val="28"/>
          <w:szCs w:val="28"/>
          <w:highlight w:val="none"/>
          <w:lang w:val="zh-CN"/>
        </w:rPr>
        <w:t>）</w:t>
      </w:r>
    </w:p>
    <w:p w14:paraId="41A24684">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[中标后以分包方式履行合同的，提供分包意向协议（附件6）；采购人不同意分包或者投标人中标后不以分包方式履行合同的，则不需要提供。]</w:t>
      </w:r>
    </w:p>
    <w:p w14:paraId="2B7ECDB1">
      <w:pPr>
        <w:snapToGrid w:val="0"/>
        <w:spacing w:line="360" w:lineRule="auto"/>
        <w:rPr>
          <w:rFonts w:hint="eastAsia" w:ascii="宋体" w:hAnsi="宋体" w:eastAsia="宋体" w:cs="宋体"/>
          <w:color w:val="auto"/>
          <w:kern w:val="0"/>
          <w:sz w:val="24"/>
          <w:highlight w:val="none"/>
          <w:lang w:val="zh-CN"/>
        </w:rPr>
      </w:pPr>
    </w:p>
    <w:p w14:paraId="1F77F79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1F9C7C2">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四、符合性审查资料</w:t>
      </w:r>
    </w:p>
    <w:tbl>
      <w:tblPr>
        <w:tblStyle w:val="65"/>
        <w:tblW w:w="96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441"/>
        <w:gridCol w:w="3173"/>
        <w:gridCol w:w="2508"/>
      </w:tblGrid>
      <w:tr w14:paraId="486D4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5" w:type="dxa"/>
            <w:tcBorders>
              <w:tl2br w:val="nil"/>
              <w:tr2bl w:val="nil"/>
            </w:tcBorders>
            <w:vAlign w:val="center"/>
          </w:tcPr>
          <w:p w14:paraId="4DC0F69E">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3441" w:type="dxa"/>
            <w:tcBorders>
              <w:tl2br w:val="nil"/>
              <w:tr2bl w:val="nil"/>
            </w:tcBorders>
            <w:vAlign w:val="center"/>
          </w:tcPr>
          <w:p w14:paraId="1EBE0A02">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实质性要求</w:t>
            </w:r>
          </w:p>
        </w:tc>
        <w:tc>
          <w:tcPr>
            <w:tcW w:w="3173" w:type="dxa"/>
            <w:tcBorders>
              <w:tl2br w:val="nil"/>
              <w:tr2bl w:val="nil"/>
            </w:tcBorders>
            <w:vAlign w:val="center"/>
          </w:tcPr>
          <w:p w14:paraId="450F7FE2">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需要提供的符合性审查资料</w:t>
            </w:r>
          </w:p>
        </w:tc>
        <w:tc>
          <w:tcPr>
            <w:tcW w:w="2508" w:type="dxa"/>
            <w:tcBorders>
              <w:tl2br w:val="nil"/>
              <w:tr2bl w:val="nil"/>
            </w:tcBorders>
            <w:vAlign w:val="center"/>
          </w:tcPr>
          <w:p w14:paraId="5E03328A">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投标文件中的</w:t>
            </w:r>
          </w:p>
          <w:p w14:paraId="37F59C1C">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页码位置</w:t>
            </w:r>
          </w:p>
        </w:tc>
      </w:tr>
      <w:tr w14:paraId="00F0B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5" w:type="dxa"/>
            <w:tcBorders>
              <w:tl2br w:val="nil"/>
              <w:tr2bl w:val="nil"/>
            </w:tcBorders>
            <w:vAlign w:val="center"/>
          </w:tcPr>
          <w:p w14:paraId="6F21DF0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441" w:type="dxa"/>
            <w:tcBorders>
              <w:tl2br w:val="nil"/>
              <w:tr2bl w:val="nil"/>
            </w:tcBorders>
            <w:vAlign w:val="center"/>
          </w:tcPr>
          <w:p w14:paraId="4DA03A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投标文件按照招标文件要求签署、盖章。</w:t>
            </w:r>
          </w:p>
        </w:tc>
        <w:tc>
          <w:tcPr>
            <w:tcW w:w="3173" w:type="dxa"/>
            <w:tcBorders>
              <w:tl2br w:val="nil"/>
              <w:tr2bl w:val="nil"/>
            </w:tcBorders>
            <w:vAlign w:val="center"/>
          </w:tcPr>
          <w:p w14:paraId="37D6B8B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需要使用电子签名或者签字盖章的投标文件的组成部分</w:t>
            </w:r>
          </w:p>
        </w:tc>
        <w:tc>
          <w:tcPr>
            <w:tcW w:w="2508" w:type="dxa"/>
            <w:tcBorders>
              <w:tl2br w:val="nil"/>
              <w:tr2bl w:val="nil"/>
            </w:tcBorders>
            <w:vAlign w:val="center"/>
          </w:tcPr>
          <w:p w14:paraId="05AC87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14:paraId="50CAA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5DBD87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441" w:type="dxa"/>
            <w:tcBorders>
              <w:tl2br w:val="nil"/>
              <w:tr2bl w:val="nil"/>
            </w:tcBorders>
            <w:vAlign w:val="center"/>
          </w:tcPr>
          <w:p w14:paraId="646CF9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投标文件中承诺的投标有效期不少于招标文件中载明的投标有效期。</w:t>
            </w:r>
          </w:p>
        </w:tc>
        <w:tc>
          <w:tcPr>
            <w:tcW w:w="3173" w:type="dxa"/>
            <w:tcBorders>
              <w:tl2br w:val="nil"/>
              <w:tr2bl w:val="nil"/>
            </w:tcBorders>
            <w:vAlign w:val="center"/>
          </w:tcPr>
          <w:p w14:paraId="2CD8A7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p>
        </w:tc>
        <w:tc>
          <w:tcPr>
            <w:tcW w:w="2508" w:type="dxa"/>
            <w:tcBorders>
              <w:tl2br w:val="nil"/>
              <w:tr2bl w:val="nil"/>
            </w:tcBorders>
            <w:vAlign w:val="center"/>
          </w:tcPr>
          <w:p w14:paraId="73092B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14:paraId="492F1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5018C9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441" w:type="dxa"/>
            <w:tcBorders>
              <w:tl2br w:val="nil"/>
              <w:tr2bl w:val="nil"/>
            </w:tcBorders>
            <w:vAlign w:val="center"/>
          </w:tcPr>
          <w:p w14:paraId="1B1E80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投标文件满足招标文件的其它实质性要求。</w:t>
            </w:r>
          </w:p>
        </w:tc>
        <w:tc>
          <w:tcPr>
            <w:tcW w:w="3173" w:type="dxa"/>
            <w:tcBorders>
              <w:tl2br w:val="nil"/>
              <w:tr2bl w:val="nil"/>
            </w:tcBorders>
            <w:vAlign w:val="center"/>
          </w:tcPr>
          <w:p w14:paraId="45CB6711">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招标文件其它实质性要求相应的材料（“▲”系指实质性要求条款，招标文件无其它实质性要求的，无需提供）</w:t>
            </w:r>
          </w:p>
        </w:tc>
        <w:tc>
          <w:tcPr>
            <w:tcW w:w="2508" w:type="dxa"/>
            <w:tcBorders>
              <w:tl2br w:val="nil"/>
              <w:tr2bl w:val="nil"/>
            </w:tcBorders>
            <w:vAlign w:val="center"/>
          </w:tcPr>
          <w:p w14:paraId="7A0B8A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bl>
    <w:p w14:paraId="0D4E4574">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注：按本格式和要求提供。</w:t>
      </w:r>
    </w:p>
    <w:p w14:paraId="0B1C676E">
      <w:pPr>
        <w:rPr>
          <w:rFonts w:hint="eastAsia" w:ascii="宋体" w:hAnsi="宋体" w:eastAsia="宋体" w:cs="宋体"/>
          <w:b/>
          <w:color w:val="auto"/>
          <w:kern w:val="0"/>
          <w:sz w:val="32"/>
          <w:szCs w:val="32"/>
          <w:highlight w:val="none"/>
        </w:rPr>
      </w:pPr>
    </w:p>
    <w:p w14:paraId="15BC2F2D">
      <w:pPr>
        <w:jc w:val="center"/>
        <w:rPr>
          <w:rFonts w:hint="eastAsia" w:ascii="宋体" w:hAnsi="宋体" w:eastAsia="宋体" w:cs="宋体"/>
          <w:b/>
          <w:color w:val="auto"/>
          <w:kern w:val="0"/>
          <w:sz w:val="32"/>
          <w:szCs w:val="32"/>
          <w:highlight w:val="none"/>
        </w:rPr>
      </w:pPr>
    </w:p>
    <w:p w14:paraId="2B26E3A5">
      <w:pPr>
        <w:jc w:val="center"/>
        <w:rPr>
          <w:rFonts w:hint="eastAsia" w:ascii="宋体" w:hAnsi="宋体" w:eastAsia="宋体" w:cs="宋体"/>
          <w:b/>
          <w:color w:val="auto"/>
          <w:kern w:val="0"/>
          <w:sz w:val="32"/>
          <w:szCs w:val="32"/>
          <w:highlight w:val="none"/>
        </w:rPr>
      </w:pPr>
    </w:p>
    <w:p w14:paraId="02FD9305">
      <w:pPr>
        <w:jc w:val="center"/>
        <w:rPr>
          <w:rFonts w:hint="eastAsia" w:ascii="宋体" w:hAnsi="宋体" w:eastAsia="宋体" w:cs="宋体"/>
          <w:b/>
          <w:color w:val="auto"/>
          <w:kern w:val="0"/>
          <w:sz w:val="32"/>
          <w:szCs w:val="32"/>
          <w:highlight w:val="none"/>
        </w:rPr>
      </w:pPr>
    </w:p>
    <w:p w14:paraId="2A90CDC6">
      <w:pPr>
        <w:jc w:val="center"/>
        <w:rPr>
          <w:rFonts w:hint="eastAsia" w:ascii="宋体" w:hAnsi="宋体" w:eastAsia="宋体" w:cs="宋体"/>
          <w:b/>
          <w:color w:val="auto"/>
          <w:kern w:val="0"/>
          <w:sz w:val="32"/>
          <w:szCs w:val="32"/>
          <w:highlight w:val="none"/>
        </w:rPr>
      </w:pPr>
    </w:p>
    <w:p w14:paraId="3B152E09">
      <w:pPr>
        <w:jc w:val="center"/>
        <w:rPr>
          <w:rFonts w:hint="eastAsia" w:ascii="宋体" w:hAnsi="宋体" w:eastAsia="宋体" w:cs="宋体"/>
          <w:b/>
          <w:color w:val="auto"/>
          <w:kern w:val="0"/>
          <w:sz w:val="32"/>
          <w:szCs w:val="32"/>
          <w:highlight w:val="none"/>
        </w:rPr>
      </w:pPr>
    </w:p>
    <w:p w14:paraId="50CD34F2">
      <w:pPr>
        <w:jc w:val="center"/>
        <w:rPr>
          <w:rFonts w:hint="eastAsia" w:ascii="宋体" w:hAnsi="宋体" w:eastAsia="宋体" w:cs="宋体"/>
          <w:b/>
          <w:color w:val="auto"/>
          <w:kern w:val="0"/>
          <w:sz w:val="32"/>
          <w:szCs w:val="32"/>
          <w:highlight w:val="none"/>
        </w:rPr>
      </w:pPr>
    </w:p>
    <w:p w14:paraId="47FFA7FA">
      <w:pPr>
        <w:jc w:val="center"/>
        <w:rPr>
          <w:rFonts w:hint="eastAsia" w:ascii="宋体" w:hAnsi="宋体" w:eastAsia="宋体" w:cs="宋体"/>
          <w:b/>
          <w:color w:val="auto"/>
          <w:kern w:val="0"/>
          <w:sz w:val="32"/>
          <w:szCs w:val="32"/>
          <w:highlight w:val="none"/>
        </w:rPr>
      </w:pPr>
    </w:p>
    <w:p w14:paraId="0EA78E1A">
      <w:pPr>
        <w:jc w:val="center"/>
        <w:rPr>
          <w:rFonts w:hint="eastAsia" w:ascii="宋体" w:hAnsi="宋体" w:eastAsia="宋体" w:cs="宋体"/>
          <w:b/>
          <w:color w:val="auto"/>
          <w:kern w:val="0"/>
          <w:sz w:val="32"/>
          <w:szCs w:val="32"/>
          <w:highlight w:val="none"/>
        </w:rPr>
      </w:pPr>
    </w:p>
    <w:p w14:paraId="23A815B6">
      <w:pPr>
        <w:jc w:val="center"/>
        <w:rPr>
          <w:rFonts w:hint="eastAsia" w:ascii="宋体" w:hAnsi="宋体" w:eastAsia="宋体" w:cs="宋体"/>
          <w:b/>
          <w:color w:val="auto"/>
          <w:kern w:val="0"/>
          <w:sz w:val="32"/>
          <w:szCs w:val="32"/>
          <w:highlight w:val="none"/>
        </w:rPr>
      </w:pPr>
    </w:p>
    <w:p w14:paraId="50194E0E">
      <w:pPr>
        <w:jc w:val="center"/>
        <w:rPr>
          <w:rFonts w:hint="eastAsia" w:ascii="宋体" w:hAnsi="宋体" w:eastAsia="宋体" w:cs="宋体"/>
          <w:b/>
          <w:color w:val="auto"/>
          <w:kern w:val="0"/>
          <w:sz w:val="32"/>
          <w:szCs w:val="32"/>
          <w:highlight w:val="none"/>
        </w:rPr>
      </w:pPr>
    </w:p>
    <w:p w14:paraId="2152A8E2">
      <w:pPr>
        <w:jc w:val="center"/>
        <w:rPr>
          <w:rFonts w:hint="eastAsia" w:ascii="宋体" w:hAnsi="宋体" w:eastAsia="宋体" w:cs="宋体"/>
          <w:b/>
          <w:color w:val="auto"/>
          <w:kern w:val="0"/>
          <w:sz w:val="32"/>
          <w:szCs w:val="32"/>
          <w:highlight w:val="none"/>
        </w:rPr>
      </w:pPr>
    </w:p>
    <w:p w14:paraId="37809874">
      <w:pPr>
        <w:jc w:val="center"/>
        <w:rPr>
          <w:rFonts w:hint="eastAsia" w:ascii="宋体" w:hAnsi="宋体" w:eastAsia="宋体" w:cs="宋体"/>
          <w:b/>
          <w:color w:val="auto"/>
          <w:kern w:val="0"/>
          <w:sz w:val="32"/>
          <w:szCs w:val="32"/>
          <w:highlight w:val="none"/>
        </w:rPr>
      </w:pPr>
    </w:p>
    <w:p w14:paraId="7C378585">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五、评标标准相应的商务技术资料</w:t>
      </w:r>
    </w:p>
    <w:p w14:paraId="0AE014F6">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[按招标文件第四部分评标办法前附表中“投标文件中评标标准相应的商务技术资料目录”提供资料。]</w:t>
      </w:r>
    </w:p>
    <w:p w14:paraId="4A67F269">
      <w:pPr>
        <w:jc w:val="center"/>
        <w:rPr>
          <w:rFonts w:hint="eastAsia" w:ascii="宋体" w:hAnsi="宋体" w:eastAsia="宋体" w:cs="宋体"/>
          <w:b/>
          <w:color w:val="auto"/>
          <w:kern w:val="0"/>
          <w:sz w:val="32"/>
          <w:szCs w:val="32"/>
          <w:highlight w:val="none"/>
        </w:rPr>
      </w:pPr>
    </w:p>
    <w:p w14:paraId="5EBB7949">
      <w:pPr>
        <w:jc w:val="center"/>
        <w:rPr>
          <w:rFonts w:hint="eastAsia" w:ascii="宋体" w:hAnsi="宋体" w:eastAsia="宋体" w:cs="宋体"/>
          <w:b/>
          <w:color w:val="auto"/>
          <w:kern w:val="0"/>
          <w:sz w:val="32"/>
          <w:szCs w:val="32"/>
          <w:highlight w:val="none"/>
        </w:rPr>
      </w:pPr>
    </w:p>
    <w:p w14:paraId="24830DC0">
      <w:pPr>
        <w:pStyle w:val="7"/>
        <w:spacing w:line="360" w:lineRule="auto"/>
        <w:jc w:val="left"/>
        <w:rPr>
          <w:rFonts w:hint="eastAsia" w:ascii="宋体" w:hAnsi="宋体" w:eastAsia="宋体" w:cs="宋体"/>
          <w:color w:val="auto"/>
          <w:sz w:val="24"/>
          <w:highlight w:val="none"/>
        </w:rPr>
      </w:pPr>
    </w:p>
    <w:p w14:paraId="6275AB9E">
      <w:pPr>
        <w:jc w:val="center"/>
        <w:rPr>
          <w:rFonts w:hint="eastAsia" w:ascii="宋体" w:hAnsi="宋体" w:eastAsia="宋体" w:cs="宋体"/>
          <w:b/>
          <w:color w:val="auto"/>
          <w:kern w:val="0"/>
          <w:sz w:val="32"/>
          <w:szCs w:val="32"/>
          <w:highlight w:val="none"/>
        </w:rPr>
      </w:pPr>
    </w:p>
    <w:p w14:paraId="42D2A341">
      <w:pPr>
        <w:jc w:val="center"/>
        <w:rPr>
          <w:rFonts w:hint="eastAsia" w:ascii="宋体" w:hAnsi="宋体" w:eastAsia="宋体" w:cs="宋体"/>
          <w:b/>
          <w:color w:val="auto"/>
          <w:kern w:val="0"/>
          <w:sz w:val="32"/>
          <w:szCs w:val="32"/>
          <w:highlight w:val="none"/>
        </w:rPr>
      </w:pPr>
    </w:p>
    <w:p w14:paraId="24A65EE9">
      <w:pPr>
        <w:jc w:val="center"/>
        <w:rPr>
          <w:rFonts w:hint="eastAsia" w:ascii="宋体" w:hAnsi="宋体" w:eastAsia="宋体" w:cs="宋体"/>
          <w:b/>
          <w:color w:val="auto"/>
          <w:kern w:val="0"/>
          <w:sz w:val="32"/>
          <w:szCs w:val="32"/>
          <w:highlight w:val="none"/>
        </w:rPr>
      </w:pPr>
    </w:p>
    <w:p w14:paraId="61DF603C">
      <w:pPr>
        <w:jc w:val="center"/>
        <w:rPr>
          <w:rFonts w:hint="eastAsia" w:ascii="宋体" w:hAnsi="宋体" w:eastAsia="宋体" w:cs="宋体"/>
          <w:b/>
          <w:color w:val="auto"/>
          <w:kern w:val="0"/>
          <w:sz w:val="32"/>
          <w:szCs w:val="32"/>
          <w:highlight w:val="none"/>
        </w:rPr>
      </w:pPr>
    </w:p>
    <w:p w14:paraId="1B74039C">
      <w:pPr>
        <w:jc w:val="center"/>
        <w:rPr>
          <w:rFonts w:hint="eastAsia" w:ascii="宋体" w:hAnsi="宋体" w:eastAsia="宋体" w:cs="宋体"/>
          <w:b/>
          <w:color w:val="auto"/>
          <w:kern w:val="0"/>
          <w:sz w:val="32"/>
          <w:szCs w:val="32"/>
          <w:highlight w:val="none"/>
        </w:rPr>
      </w:pPr>
    </w:p>
    <w:p w14:paraId="3780B6A1">
      <w:pPr>
        <w:jc w:val="center"/>
        <w:rPr>
          <w:rFonts w:hint="eastAsia" w:ascii="宋体" w:hAnsi="宋体" w:eastAsia="宋体" w:cs="宋体"/>
          <w:b/>
          <w:color w:val="auto"/>
          <w:kern w:val="0"/>
          <w:sz w:val="32"/>
          <w:szCs w:val="32"/>
          <w:highlight w:val="none"/>
        </w:rPr>
      </w:pPr>
    </w:p>
    <w:p w14:paraId="591E724A">
      <w:pPr>
        <w:jc w:val="center"/>
        <w:rPr>
          <w:rFonts w:hint="eastAsia" w:ascii="宋体" w:hAnsi="宋体" w:eastAsia="宋体" w:cs="宋体"/>
          <w:b/>
          <w:color w:val="auto"/>
          <w:kern w:val="0"/>
          <w:sz w:val="32"/>
          <w:szCs w:val="32"/>
          <w:highlight w:val="none"/>
        </w:rPr>
      </w:pPr>
    </w:p>
    <w:p w14:paraId="4A9D3457">
      <w:pPr>
        <w:jc w:val="center"/>
        <w:rPr>
          <w:rFonts w:hint="eastAsia" w:ascii="宋体" w:hAnsi="宋体" w:eastAsia="宋体" w:cs="宋体"/>
          <w:b/>
          <w:color w:val="auto"/>
          <w:kern w:val="0"/>
          <w:sz w:val="32"/>
          <w:szCs w:val="32"/>
          <w:highlight w:val="none"/>
        </w:rPr>
      </w:pPr>
    </w:p>
    <w:p w14:paraId="17FED926">
      <w:pPr>
        <w:jc w:val="center"/>
        <w:rPr>
          <w:rFonts w:hint="eastAsia" w:ascii="宋体" w:hAnsi="宋体" w:eastAsia="宋体" w:cs="宋体"/>
          <w:b/>
          <w:color w:val="auto"/>
          <w:kern w:val="0"/>
          <w:sz w:val="32"/>
          <w:szCs w:val="32"/>
          <w:highlight w:val="none"/>
        </w:rPr>
      </w:pPr>
    </w:p>
    <w:p w14:paraId="77A4927B">
      <w:pPr>
        <w:jc w:val="center"/>
        <w:rPr>
          <w:rFonts w:hint="eastAsia" w:ascii="宋体" w:hAnsi="宋体" w:eastAsia="宋体" w:cs="宋体"/>
          <w:b/>
          <w:color w:val="auto"/>
          <w:kern w:val="0"/>
          <w:sz w:val="32"/>
          <w:szCs w:val="32"/>
          <w:highlight w:val="none"/>
        </w:rPr>
      </w:pPr>
    </w:p>
    <w:p w14:paraId="27AA98D6">
      <w:pPr>
        <w:rPr>
          <w:rFonts w:hint="eastAsia" w:ascii="宋体" w:hAnsi="宋体" w:eastAsia="宋体" w:cs="宋体"/>
          <w:b/>
          <w:color w:val="auto"/>
          <w:kern w:val="0"/>
          <w:sz w:val="32"/>
          <w:szCs w:val="32"/>
          <w:highlight w:val="none"/>
        </w:rPr>
      </w:pPr>
    </w:p>
    <w:p w14:paraId="045A7FE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7BFEBA3">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六、商务技术偏离表</w:t>
      </w:r>
    </w:p>
    <w:tbl>
      <w:tblPr>
        <w:tblStyle w:val="66"/>
        <w:tblW w:w="97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31"/>
        <w:gridCol w:w="2995"/>
        <w:gridCol w:w="2687"/>
      </w:tblGrid>
      <w:tr w14:paraId="6CBCF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4DE185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31" w:type="dxa"/>
            <w:tcBorders>
              <w:tl2br w:val="nil"/>
              <w:tr2bl w:val="nil"/>
            </w:tcBorders>
            <w:vAlign w:val="center"/>
          </w:tcPr>
          <w:p w14:paraId="3AF576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招标文件章节及具体内容</w:t>
            </w:r>
          </w:p>
        </w:tc>
        <w:tc>
          <w:tcPr>
            <w:tcW w:w="2995" w:type="dxa"/>
            <w:tcBorders>
              <w:tl2br w:val="nil"/>
              <w:tr2bl w:val="nil"/>
            </w:tcBorders>
            <w:vAlign w:val="center"/>
          </w:tcPr>
          <w:p w14:paraId="11AA13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投标文件章节及具体内容</w:t>
            </w:r>
          </w:p>
        </w:tc>
        <w:tc>
          <w:tcPr>
            <w:tcW w:w="2687" w:type="dxa"/>
            <w:tcBorders>
              <w:tl2br w:val="nil"/>
              <w:tr2bl w:val="nil"/>
            </w:tcBorders>
            <w:vAlign w:val="center"/>
          </w:tcPr>
          <w:p w14:paraId="7614FC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F028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3AC5622A">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231" w:type="dxa"/>
            <w:tcBorders>
              <w:tl2br w:val="nil"/>
              <w:tr2bl w:val="nil"/>
            </w:tcBorders>
            <w:vAlign w:val="center"/>
          </w:tcPr>
          <w:p w14:paraId="2F94B0F1">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76BEA7C9">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7A1E2619">
            <w:pPr>
              <w:jc w:val="center"/>
              <w:rPr>
                <w:rFonts w:hint="eastAsia" w:ascii="宋体" w:hAnsi="宋体" w:eastAsia="宋体" w:cs="宋体"/>
                <w:b/>
                <w:color w:val="auto"/>
                <w:kern w:val="0"/>
                <w:szCs w:val="21"/>
                <w:highlight w:val="none"/>
              </w:rPr>
            </w:pPr>
          </w:p>
        </w:tc>
      </w:tr>
      <w:tr w14:paraId="1C831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2547BA65">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231" w:type="dxa"/>
            <w:tcBorders>
              <w:tl2br w:val="nil"/>
              <w:tr2bl w:val="nil"/>
            </w:tcBorders>
            <w:vAlign w:val="center"/>
          </w:tcPr>
          <w:p w14:paraId="7846C10F">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691C3085">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3CE9551D">
            <w:pPr>
              <w:jc w:val="center"/>
              <w:rPr>
                <w:rFonts w:hint="eastAsia" w:ascii="宋体" w:hAnsi="宋体" w:eastAsia="宋体" w:cs="宋体"/>
                <w:b/>
                <w:color w:val="auto"/>
                <w:kern w:val="0"/>
                <w:szCs w:val="21"/>
                <w:highlight w:val="none"/>
              </w:rPr>
            </w:pPr>
          </w:p>
        </w:tc>
      </w:tr>
      <w:tr w14:paraId="39016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77B00CF8">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231" w:type="dxa"/>
            <w:tcBorders>
              <w:tl2br w:val="nil"/>
              <w:tr2bl w:val="nil"/>
            </w:tcBorders>
            <w:vAlign w:val="center"/>
          </w:tcPr>
          <w:p w14:paraId="61E936E1">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08CA74C4">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59BC9E41">
            <w:pPr>
              <w:jc w:val="center"/>
              <w:rPr>
                <w:rFonts w:hint="eastAsia" w:ascii="宋体" w:hAnsi="宋体" w:eastAsia="宋体" w:cs="宋体"/>
                <w:b/>
                <w:color w:val="auto"/>
                <w:kern w:val="0"/>
                <w:szCs w:val="21"/>
                <w:highlight w:val="none"/>
              </w:rPr>
            </w:pPr>
          </w:p>
        </w:tc>
      </w:tr>
    </w:tbl>
    <w:p w14:paraId="6F204C3E">
      <w:pPr>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投标人保证：除商务技术偏离表列出的偏离外，投标人响应招标文件的全部要求。</w:t>
      </w:r>
    </w:p>
    <w:p w14:paraId="30BFE2A9">
      <w:pPr>
        <w:pStyle w:val="4"/>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注：按本格式和要求提供。</w:t>
      </w:r>
    </w:p>
    <w:p w14:paraId="7552EFE8">
      <w:pPr>
        <w:pStyle w:val="4"/>
        <w:rPr>
          <w:rFonts w:hint="eastAsia" w:ascii="宋体" w:hAnsi="宋体" w:eastAsia="宋体" w:cs="宋体"/>
          <w:color w:val="auto"/>
          <w:highlight w:val="none"/>
          <w:lang w:val="en-US"/>
        </w:rPr>
      </w:pPr>
    </w:p>
    <w:p w14:paraId="0C626507">
      <w:pPr>
        <w:jc w:val="center"/>
        <w:rPr>
          <w:rFonts w:hint="eastAsia" w:ascii="宋体" w:hAnsi="宋体" w:eastAsia="宋体" w:cs="宋体"/>
          <w:b/>
          <w:color w:val="auto"/>
          <w:kern w:val="0"/>
          <w:sz w:val="32"/>
          <w:szCs w:val="32"/>
          <w:highlight w:val="none"/>
        </w:rPr>
      </w:pPr>
    </w:p>
    <w:p w14:paraId="4E4FBA6C">
      <w:pPr>
        <w:jc w:val="center"/>
        <w:rPr>
          <w:rFonts w:hint="eastAsia" w:ascii="宋体" w:hAnsi="宋体" w:eastAsia="宋体" w:cs="宋体"/>
          <w:b/>
          <w:color w:val="auto"/>
          <w:kern w:val="0"/>
          <w:sz w:val="32"/>
          <w:szCs w:val="32"/>
          <w:highlight w:val="none"/>
        </w:rPr>
      </w:pPr>
    </w:p>
    <w:p w14:paraId="0B863AA2">
      <w:pPr>
        <w:jc w:val="center"/>
        <w:rPr>
          <w:rFonts w:hint="eastAsia" w:ascii="宋体" w:hAnsi="宋体" w:eastAsia="宋体" w:cs="宋体"/>
          <w:b/>
          <w:color w:val="auto"/>
          <w:kern w:val="0"/>
          <w:sz w:val="32"/>
          <w:szCs w:val="32"/>
          <w:highlight w:val="none"/>
        </w:rPr>
      </w:pPr>
    </w:p>
    <w:p w14:paraId="626405D9">
      <w:pPr>
        <w:jc w:val="center"/>
        <w:rPr>
          <w:rFonts w:hint="eastAsia" w:ascii="宋体" w:hAnsi="宋体" w:eastAsia="宋体" w:cs="宋体"/>
          <w:b/>
          <w:color w:val="auto"/>
          <w:kern w:val="0"/>
          <w:sz w:val="32"/>
          <w:szCs w:val="32"/>
          <w:highlight w:val="none"/>
        </w:rPr>
      </w:pPr>
    </w:p>
    <w:p w14:paraId="19CA6E23">
      <w:pPr>
        <w:jc w:val="center"/>
        <w:rPr>
          <w:rFonts w:hint="eastAsia" w:ascii="宋体" w:hAnsi="宋体" w:eastAsia="宋体" w:cs="宋体"/>
          <w:b/>
          <w:color w:val="auto"/>
          <w:kern w:val="0"/>
          <w:sz w:val="32"/>
          <w:szCs w:val="32"/>
          <w:highlight w:val="none"/>
        </w:rPr>
      </w:pPr>
    </w:p>
    <w:p w14:paraId="560FA735">
      <w:pPr>
        <w:jc w:val="center"/>
        <w:rPr>
          <w:rFonts w:hint="eastAsia" w:ascii="宋体" w:hAnsi="宋体" w:eastAsia="宋体" w:cs="宋体"/>
          <w:b/>
          <w:color w:val="auto"/>
          <w:kern w:val="0"/>
          <w:sz w:val="32"/>
          <w:szCs w:val="32"/>
          <w:highlight w:val="none"/>
        </w:rPr>
      </w:pPr>
    </w:p>
    <w:p w14:paraId="63DFA1A4">
      <w:pPr>
        <w:jc w:val="center"/>
        <w:rPr>
          <w:rFonts w:hint="eastAsia" w:ascii="宋体" w:hAnsi="宋体" w:eastAsia="宋体" w:cs="宋体"/>
          <w:b/>
          <w:color w:val="auto"/>
          <w:kern w:val="0"/>
          <w:sz w:val="32"/>
          <w:szCs w:val="32"/>
          <w:highlight w:val="none"/>
        </w:rPr>
      </w:pPr>
    </w:p>
    <w:p w14:paraId="237206C5">
      <w:pPr>
        <w:jc w:val="center"/>
        <w:rPr>
          <w:rFonts w:hint="eastAsia" w:ascii="宋体" w:hAnsi="宋体" w:eastAsia="宋体" w:cs="宋体"/>
          <w:b/>
          <w:color w:val="auto"/>
          <w:kern w:val="0"/>
          <w:sz w:val="32"/>
          <w:szCs w:val="32"/>
          <w:highlight w:val="none"/>
        </w:rPr>
      </w:pPr>
    </w:p>
    <w:p w14:paraId="30897FF4">
      <w:pPr>
        <w:jc w:val="center"/>
        <w:rPr>
          <w:rFonts w:hint="eastAsia" w:ascii="宋体" w:hAnsi="宋体" w:eastAsia="宋体" w:cs="宋体"/>
          <w:b/>
          <w:color w:val="auto"/>
          <w:kern w:val="0"/>
          <w:sz w:val="32"/>
          <w:szCs w:val="32"/>
          <w:highlight w:val="none"/>
        </w:rPr>
      </w:pPr>
    </w:p>
    <w:p w14:paraId="72246FDC">
      <w:pPr>
        <w:jc w:val="center"/>
        <w:rPr>
          <w:rFonts w:hint="eastAsia" w:ascii="宋体" w:hAnsi="宋体" w:eastAsia="宋体" w:cs="宋体"/>
          <w:b/>
          <w:color w:val="auto"/>
          <w:kern w:val="0"/>
          <w:sz w:val="32"/>
          <w:szCs w:val="32"/>
          <w:highlight w:val="none"/>
        </w:rPr>
      </w:pPr>
    </w:p>
    <w:p w14:paraId="47507317">
      <w:pPr>
        <w:jc w:val="center"/>
        <w:rPr>
          <w:rFonts w:hint="eastAsia" w:ascii="宋体" w:hAnsi="宋体" w:eastAsia="宋体" w:cs="宋体"/>
          <w:b/>
          <w:color w:val="auto"/>
          <w:kern w:val="0"/>
          <w:sz w:val="32"/>
          <w:szCs w:val="32"/>
          <w:highlight w:val="none"/>
        </w:rPr>
      </w:pPr>
    </w:p>
    <w:p w14:paraId="7B884263">
      <w:pPr>
        <w:jc w:val="center"/>
        <w:rPr>
          <w:rFonts w:hint="eastAsia" w:ascii="宋体" w:hAnsi="宋体" w:eastAsia="宋体" w:cs="宋体"/>
          <w:b/>
          <w:color w:val="auto"/>
          <w:kern w:val="0"/>
          <w:sz w:val="32"/>
          <w:szCs w:val="32"/>
          <w:highlight w:val="none"/>
        </w:rPr>
      </w:pPr>
    </w:p>
    <w:p w14:paraId="04949279">
      <w:pPr>
        <w:ind w:firstLine="2891" w:firstLineChars="900"/>
        <w:rPr>
          <w:rFonts w:hint="eastAsia" w:ascii="宋体" w:hAnsi="宋体" w:eastAsia="宋体" w:cs="宋体"/>
          <w:b/>
          <w:bCs/>
          <w:color w:val="auto"/>
          <w:sz w:val="32"/>
          <w:szCs w:val="32"/>
          <w:highlight w:val="none"/>
        </w:rPr>
      </w:pPr>
    </w:p>
    <w:p w14:paraId="1B2AAC54">
      <w:pPr>
        <w:ind w:firstLine="2891" w:firstLineChars="900"/>
        <w:rPr>
          <w:rFonts w:hint="eastAsia" w:ascii="宋体" w:hAnsi="宋体" w:eastAsia="宋体" w:cs="宋体"/>
          <w:b/>
          <w:bCs/>
          <w:color w:val="auto"/>
          <w:sz w:val="32"/>
          <w:szCs w:val="32"/>
          <w:highlight w:val="none"/>
        </w:rPr>
      </w:pPr>
    </w:p>
    <w:p w14:paraId="13341E76">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七、</w:t>
      </w:r>
      <w:r>
        <w:rPr>
          <w:rFonts w:hint="eastAsia" w:ascii="宋体" w:hAnsi="宋体" w:eastAsia="宋体" w:cs="宋体"/>
          <w:b/>
          <w:color w:val="auto"/>
          <w:kern w:val="0"/>
          <w:sz w:val="28"/>
          <w:szCs w:val="28"/>
          <w:highlight w:val="none"/>
          <w:lang w:val="zh-CN"/>
        </w:rPr>
        <w:t>政府采购供应商廉洁自律承诺书</w:t>
      </w:r>
    </w:p>
    <w:p w14:paraId="077453B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486C3D48">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我单位响应你单位项目招标要求参加投标。在这次投标过程中和中标后，我们将严格遵守国家法律法规要求，并郑重承诺：</w:t>
      </w:r>
    </w:p>
    <w:p w14:paraId="7AD295B3">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一、不向项目有关人员及部门赠送礼金礼物、有价证券、回扣以及中介费、介绍费、咨询费等好处费；</w:t>
      </w:r>
    </w:p>
    <w:p w14:paraId="48E2D156">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二、不为项目有关人员及部门报销应由你方单位或个人支付的费用；</w:t>
      </w:r>
    </w:p>
    <w:p w14:paraId="38F4553F">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三、不向项目有关人员及部门提供有可能影响公正的宴请和健身娱乐等活动；</w:t>
      </w:r>
    </w:p>
    <w:p w14:paraId="0E156620">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四、不为项目有关人员及部门出国（境）、旅游等提供方便；</w:t>
      </w:r>
    </w:p>
    <w:p w14:paraId="7F8E874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五、不为项目有关人员个人装修住房、婚丧嫁娶、配偶子女工作安排等提供好处；</w:t>
      </w:r>
    </w:p>
    <w:p w14:paraId="0DC7E24F">
      <w:pPr>
        <w:wordWrap w:val="0"/>
        <w:autoSpaceDE w:val="0"/>
        <w:autoSpaceDN w:val="0"/>
        <w:spacing w:line="360" w:lineRule="auto"/>
        <w:ind w:left="420" w:left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六、</w:t>
      </w:r>
      <w:r>
        <w:rPr>
          <w:rFonts w:hint="eastAsia" w:ascii="宋体" w:hAnsi="宋体" w:eastAsia="宋体" w:cs="宋体"/>
          <w:color w:val="auto"/>
          <w:kern w:val="0"/>
          <w:szCs w:val="21"/>
          <w:highlight w:val="none"/>
          <w:lang w:val="zh-CN"/>
        </w:rPr>
        <w:t>严格遵守《</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政府采购法》《</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招标投标法》</w:t>
      </w:r>
      <w:r>
        <w:rPr>
          <w:rFonts w:hint="eastAsia" w:ascii="宋体" w:hAnsi="宋体" w:eastAsia="宋体" w:cs="宋体"/>
          <w:color w:val="auto"/>
          <w:szCs w:val="21"/>
          <w:highlight w:val="none"/>
          <w:lang w:val="zh-CN"/>
        </w:rPr>
        <w:t>《中华人民共和国民法典》</w:t>
      </w:r>
      <w:r>
        <w:rPr>
          <w:rFonts w:hint="eastAsia" w:ascii="宋体" w:hAnsi="宋体" w:eastAsia="宋体" w:cs="宋体"/>
          <w:color w:val="auto"/>
          <w:kern w:val="0"/>
          <w:szCs w:val="21"/>
          <w:highlight w:val="none"/>
          <w:lang w:val="zh-CN"/>
        </w:rPr>
        <w:t>等法律法规，诚实守信，合法经营，坚决抵制各种违法违纪行为。</w:t>
      </w:r>
    </w:p>
    <w:p w14:paraId="19369746">
      <w:pPr>
        <w:wordWrap w:val="0"/>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如违反上述承诺，你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进行项目建设或其他经营活动，并通报市财政局。由此引起的相应损失均由我单位承担。</w:t>
      </w:r>
    </w:p>
    <w:p w14:paraId="6F100205">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p>
    <w:p w14:paraId="11066DF4">
      <w:pPr>
        <w:autoSpaceDE w:val="0"/>
        <w:autoSpaceDN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w:t>
      </w:r>
      <w:r>
        <w:rPr>
          <w:rFonts w:hint="eastAsia" w:ascii="宋体" w:hAnsi="宋体" w:eastAsia="宋体" w:cs="宋体"/>
          <w:color w:val="auto"/>
          <w:szCs w:val="21"/>
          <w:highlight w:val="none"/>
        </w:rPr>
        <w:t>电子签名</w:t>
      </w:r>
      <w:r>
        <w:rPr>
          <w:rFonts w:hint="eastAsia" w:ascii="宋体" w:hAnsi="宋体" w:eastAsia="宋体" w:cs="宋体"/>
          <w:color w:val="auto"/>
          <w:kern w:val="0"/>
          <w:szCs w:val="21"/>
          <w:highlight w:val="none"/>
          <w:lang w:val="zh-CN"/>
        </w:rPr>
        <w:t>）：</w:t>
      </w:r>
    </w:p>
    <w:p w14:paraId="23CBAADB">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35CC970D">
      <w:pPr>
        <w:spacing w:line="360" w:lineRule="auto"/>
        <w:jc w:val="center"/>
        <w:rPr>
          <w:rFonts w:hint="eastAsia" w:ascii="宋体" w:hAnsi="宋体" w:eastAsia="宋体" w:cs="宋体"/>
          <w:b/>
          <w:bCs/>
          <w:color w:val="auto"/>
          <w:sz w:val="24"/>
          <w:highlight w:val="none"/>
        </w:rPr>
      </w:pPr>
    </w:p>
    <w:p w14:paraId="1836DDC9">
      <w:pPr>
        <w:pStyle w:val="4"/>
        <w:rPr>
          <w:rFonts w:hint="eastAsia" w:ascii="宋体" w:hAnsi="宋体" w:eastAsia="宋体" w:cs="宋体"/>
          <w:color w:val="auto"/>
          <w:sz w:val="24"/>
          <w:highlight w:val="none"/>
        </w:rPr>
      </w:pPr>
    </w:p>
    <w:p w14:paraId="0C0BB809">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注：按本格式和要求提供。</w:t>
      </w:r>
    </w:p>
    <w:p w14:paraId="0D973113">
      <w:pPr>
        <w:spacing w:line="360" w:lineRule="auto"/>
        <w:jc w:val="center"/>
        <w:rPr>
          <w:rFonts w:hint="eastAsia" w:ascii="宋体" w:hAnsi="宋体" w:eastAsia="宋体" w:cs="宋体"/>
          <w:b/>
          <w:bCs/>
          <w:color w:val="auto"/>
          <w:sz w:val="24"/>
          <w:highlight w:val="none"/>
        </w:rPr>
        <w:sectPr>
          <w:footerReference r:id="rId8" w:type="default"/>
          <w:pgSz w:w="11905" w:h="16838"/>
          <w:pgMar w:top="1440" w:right="1080" w:bottom="1440" w:left="1080" w:header="851" w:footer="992" w:gutter="0"/>
          <w:cols w:space="0" w:num="1"/>
          <w:docGrid w:type="lines" w:linePitch="319" w:charSpace="0"/>
        </w:sectPr>
      </w:pPr>
    </w:p>
    <w:p w14:paraId="27884CEB">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报价文件部分</w:t>
      </w:r>
    </w:p>
    <w:p w14:paraId="32841442">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AEFDB2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(1)开标一览表（报价表）………………………………………………………（页码）</w:t>
      </w:r>
    </w:p>
    <w:p w14:paraId="7F2164F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(2)报价情况说明…………………………………………………………………（页码）</w:t>
      </w:r>
    </w:p>
    <w:p w14:paraId="149F7EC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(3)中小企业声明函………………………………………………………………（页码）</w:t>
      </w:r>
    </w:p>
    <w:p w14:paraId="516F2776">
      <w:pPr>
        <w:snapToGrid w:val="0"/>
        <w:spacing w:line="360" w:lineRule="auto"/>
        <w:rPr>
          <w:rFonts w:hint="eastAsia" w:ascii="宋体" w:hAnsi="宋体" w:eastAsia="宋体" w:cs="宋体"/>
          <w:color w:val="auto"/>
          <w:szCs w:val="21"/>
          <w:highlight w:val="none"/>
        </w:rPr>
        <w:sectPr>
          <w:headerReference r:id="rId10" w:type="first"/>
          <w:footerReference r:id="rId12" w:type="first"/>
          <w:headerReference r:id="rId9" w:type="default"/>
          <w:footerReference r:id="rId11" w:type="default"/>
          <w:pgSz w:w="11905" w:h="16838"/>
          <w:pgMar w:top="1440" w:right="1080" w:bottom="1440" w:left="1080" w:header="851" w:footer="992" w:gutter="0"/>
          <w:cols w:space="0" w:num="1"/>
          <w:docGrid w:type="lines" w:linePitch="319" w:charSpace="0"/>
        </w:sectPr>
      </w:pPr>
    </w:p>
    <w:p w14:paraId="674C98C6">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5575297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39574329">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Cs w:val="21"/>
          <w:highlight w:val="none"/>
        </w:rPr>
        <w:t>（项目名称）</w:t>
      </w:r>
      <w:r>
        <w:rPr>
          <w:rFonts w:hint="eastAsia" w:ascii="宋体" w:hAnsi="宋体" w:eastAsia="宋体" w:cs="宋体"/>
          <w:color w:val="auto"/>
          <w:kern w:val="0"/>
          <w:szCs w:val="21"/>
          <w:highlight w:val="none"/>
          <w:lang w:val="zh-CN"/>
        </w:rPr>
        <w:t>【招标编号：</w:t>
      </w:r>
      <w:r>
        <w:rPr>
          <w:rFonts w:hint="eastAsia" w:ascii="宋体" w:hAnsi="宋体" w:eastAsia="宋体" w:cs="宋体"/>
          <w:color w:val="auto"/>
          <w:szCs w:val="21"/>
          <w:highlight w:val="none"/>
        </w:rPr>
        <w:t>（采购编号）】的实施</w:t>
      </w:r>
      <w:r>
        <w:rPr>
          <w:rFonts w:hint="eastAsia" w:ascii="宋体" w:hAnsi="宋体" w:eastAsia="宋体" w:cs="宋体"/>
          <w:color w:val="auto"/>
          <w:kern w:val="0"/>
          <w:szCs w:val="21"/>
          <w:highlight w:val="none"/>
          <w:lang w:val="zh-CN"/>
        </w:rPr>
        <w:t>。</w:t>
      </w:r>
    </w:p>
    <w:p w14:paraId="63CF991F">
      <w:pPr>
        <w:spacing w:line="360" w:lineRule="auto"/>
        <w:jc w:val="center"/>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开标一览表（报价表）(单位均为人民币元)</w:t>
      </w:r>
    </w:p>
    <w:tbl>
      <w:tblPr>
        <w:tblStyle w:val="65"/>
        <w:tblW w:w="97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66"/>
        <w:gridCol w:w="2424"/>
        <w:gridCol w:w="1209"/>
        <w:gridCol w:w="1412"/>
      </w:tblGrid>
      <w:tr w14:paraId="4C6CB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5" w:type="dxa"/>
            <w:tcBorders>
              <w:tl2br w:val="nil"/>
              <w:tr2bl w:val="nil"/>
            </w:tcBorders>
            <w:vAlign w:val="center"/>
          </w:tcPr>
          <w:p w14:paraId="11B71035">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3966" w:type="dxa"/>
            <w:tcBorders>
              <w:tl2br w:val="nil"/>
              <w:tr2bl w:val="nil"/>
            </w:tcBorders>
            <w:vAlign w:val="center"/>
          </w:tcPr>
          <w:p w14:paraId="0799DC90">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w:t>
            </w:r>
          </w:p>
        </w:tc>
        <w:tc>
          <w:tcPr>
            <w:tcW w:w="2424" w:type="dxa"/>
            <w:tcBorders>
              <w:tl2br w:val="nil"/>
              <w:tr2bl w:val="nil"/>
            </w:tcBorders>
            <w:vAlign w:val="center"/>
          </w:tcPr>
          <w:p w14:paraId="7DC9AC9E">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p>
        </w:tc>
        <w:tc>
          <w:tcPr>
            <w:tcW w:w="1209" w:type="dxa"/>
            <w:tcBorders>
              <w:tl2br w:val="nil"/>
              <w:tr2bl w:val="nil"/>
            </w:tcBorders>
            <w:vAlign w:val="center"/>
          </w:tcPr>
          <w:p w14:paraId="5D5366A6">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服务人数</w:t>
            </w:r>
          </w:p>
        </w:tc>
        <w:tc>
          <w:tcPr>
            <w:tcW w:w="1412" w:type="dxa"/>
            <w:tcBorders>
              <w:tl2br w:val="nil"/>
              <w:tr2bl w:val="nil"/>
            </w:tcBorders>
            <w:vAlign w:val="center"/>
          </w:tcPr>
          <w:p w14:paraId="429080F5">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p w14:paraId="61C42A9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（如果有）</w:t>
            </w:r>
          </w:p>
        </w:tc>
      </w:tr>
      <w:tr w14:paraId="72066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5" w:type="dxa"/>
            <w:tcBorders>
              <w:tl2br w:val="nil"/>
              <w:tr2bl w:val="nil"/>
            </w:tcBorders>
            <w:vAlign w:val="center"/>
          </w:tcPr>
          <w:p w14:paraId="663CFD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66" w:type="dxa"/>
            <w:tcBorders>
              <w:tl2br w:val="nil"/>
              <w:tr2bl w:val="nil"/>
            </w:tcBorders>
            <w:vAlign w:val="center"/>
          </w:tcPr>
          <w:p w14:paraId="4B5EA0E6">
            <w:pPr>
              <w:snapToGrid w:val="0"/>
              <w:jc w:val="center"/>
              <w:rPr>
                <w:rFonts w:hint="eastAsia" w:ascii="宋体" w:hAnsi="宋体" w:eastAsia="宋体" w:cs="宋体"/>
                <w:color w:val="auto"/>
                <w:szCs w:val="21"/>
                <w:highlight w:val="none"/>
              </w:rPr>
            </w:pPr>
          </w:p>
        </w:tc>
        <w:tc>
          <w:tcPr>
            <w:tcW w:w="2424" w:type="dxa"/>
            <w:tcBorders>
              <w:tl2br w:val="nil"/>
              <w:tr2bl w:val="nil"/>
            </w:tcBorders>
            <w:vAlign w:val="center"/>
          </w:tcPr>
          <w:p w14:paraId="53CA0454">
            <w:pPr>
              <w:snapToGrid w:val="0"/>
              <w:jc w:val="center"/>
              <w:rPr>
                <w:rFonts w:hint="eastAsia" w:ascii="宋体" w:hAnsi="宋体" w:eastAsia="宋体" w:cs="宋体"/>
                <w:color w:val="auto"/>
                <w:szCs w:val="21"/>
                <w:highlight w:val="none"/>
              </w:rPr>
            </w:pPr>
          </w:p>
        </w:tc>
        <w:tc>
          <w:tcPr>
            <w:tcW w:w="1209" w:type="dxa"/>
            <w:tcBorders>
              <w:tl2br w:val="nil"/>
              <w:tr2bl w:val="nil"/>
            </w:tcBorders>
            <w:vAlign w:val="center"/>
          </w:tcPr>
          <w:p w14:paraId="23AB2125">
            <w:pPr>
              <w:jc w:val="center"/>
              <w:rPr>
                <w:rFonts w:hint="eastAsia" w:ascii="宋体" w:hAnsi="宋体" w:eastAsia="宋体" w:cs="宋体"/>
                <w:color w:val="auto"/>
                <w:szCs w:val="21"/>
                <w:highlight w:val="none"/>
              </w:rPr>
            </w:pPr>
          </w:p>
        </w:tc>
        <w:tc>
          <w:tcPr>
            <w:tcW w:w="1412" w:type="dxa"/>
            <w:tcBorders>
              <w:tl2br w:val="nil"/>
              <w:tr2bl w:val="nil"/>
            </w:tcBorders>
            <w:vAlign w:val="center"/>
          </w:tcPr>
          <w:p w14:paraId="7A9D5529">
            <w:pPr>
              <w:jc w:val="center"/>
              <w:rPr>
                <w:rFonts w:hint="eastAsia" w:ascii="宋体" w:hAnsi="宋体" w:eastAsia="宋体" w:cs="宋体"/>
                <w:color w:val="auto"/>
                <w:szCs w:val="21"/>
                <w:highlight w:val="none"/>
              </w:rPr>
            </w:pPr>
          </w:p>
        </w:tc>
      </w:tr>
      <w:tr w14:paraId="01A04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0E485320">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投标报价（小写）</w:t>
            </w:r>
          </w:p>
        </w:tc>
        <w:tc>
          <w:tcPr>
            <w:tcW w:w="5045" w:type="dxa"/>
            <w:gridSpan w:val="3"/>
            <w:tcBorders>
              <w:tl2br w:val="nil"/>
              <w:tr2bl w:val="nil"/>
            </w:tcBorders>
            <w:vAlign w:val="center"/>
          </w:tcPr>
          <w:p w14:paraId="18F0353E">
            <w:pPr>
              <w:jc w:val="center"/>
              <w:rPr>
                <w:rFonts w:hint="eastAsia" w:ascii="宋体" w:hAnsi="宋体" w:eastAsia="宋体" w:cs="宋体"/>
                <w:color w:val="auto"/>
                <w:szCs w:val="21"/>
                <w:highlight w:val="none"/>
              </w:rPr>
            </w:pPr>
          </w:p>
        </w:tc>
      </w:tr>
      <w:tr w14:paraId="735AD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589FEF8D">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投标报价（大写）</w:t>
            </w:r>
          </w:p>
        </w:tc>
        <w:tc>
          <w:tcPr>
            <w:tcW w:w="5045" w:type="dxa"/>
            <w:gridSpan w:val="3"/>
            <w:tcBorders>
              <w:tl2br w:val="nil"/>
              <w:tr2bl w:val="nil"/>
            </w:tcBorders>
            <w:vAlign w:val="center"/>
          </w:tcPr>
          <w:p w14:paraId="0057EC5F">
            <w:pPr>
              <w:jc w:val="center"/>
              <w:rPr>
                <w:rFonts w:hint="eastAsia" w:ascii="宋体" w:hAnsi="宋体" w:eastAsia="宋体" w:cs="宋体"/>
                <w:color w:val="auto"/>
                <w:szCs w:val="21"/>
                <w:highlight w:val="none"/>
              </w:rPr>
            </w:pPr>
          </w:p>
        </w:tc>
      </w:tr>
    </w:tbl>
    <w:p w14:paraId="41D9E44D">
      <w:pPr>
        <w:snapToGrid w:val="0"/>
        <w:spacing w:line="360" w:lineRule="auto"/>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注：</w:t>
      </w:r>
    </w:p>
    <w:p w14:paraId="3BC70C1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1、投标人需按本表格式填写，</w:t>
      </w:r>
      <w:r>
        <w:rPr>
          <w:rFonts w:hint="eastAsia" w:ascii="宋体" w:hAnsi="宋体" w:eastAsia="宋体" w:cs="宋体"/>
          <w:b/>
          <w:bCs/>
          <w:color w:val="auto"/>
          <w:kern w:val="0"/>
          <w:szCs w:val="21"/>
          <w:highlight w:val="none"/>
          <w:lang w:val="zh-CN"/>
        </w:rPr>
        <w:t>否则视为投标文件含有采购人不能接受的附加条件，投标无效。</w:t>
      </w:r>
    </w:p>
    <w:p w14:paraId="31C411E1">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2、有关本项目实施所涉及的一切费用均计入报价。</w:t>
      </w:r>
      <w:r>
        <w:rPr>
          <w:rFonts w:hint="eastAsia" w:ascii="宋体" w:hAnsi="宋体" w:eastAsia="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不得出现“0元”“免费赠送”等形式的无偿报价，</w:t>
      </w:r>
      <w:r>
        <w:rPr>
          <w:rFonts w:hint="eastAsia" w:ascii="宋体" w:hAnsi="宋体" w:eastAsia="宋体" w:cs="宋体"/>
          <w:b/>
          <w:color w:val="auto"/>
          <w:kern w:val="0"/>
          <w:szCs w:val="21"/>
          <w:highlight w:val="none"/>
        </w:rPr>
        <w:t>否则视为</w:t>
      </w:r>
      <w:r>
        <w:rPr>
          <w:rFonts w:hint="eastAsia" w:ascii="宋体" w:hAnsi="宋体" w:eastAsia="宋体" w:cs="宋体"/>
          <w:b/>
          <w:color w:val="auto"/>
          <w:szCs w:val="21"/>
          <w:highlight w:val="none"/>
        </w:rPr>
        <w:t>投标文件含有采购人不能接受的附加条件的，投标无效</w:t>
      </w:r>
      <w:r>
        <w:rPr>
          <w:rFonts w:hint="eastAsia" w:ascii="宋体" w:hAnsi="宋体" w:eastAsia="宋体" w:cs="宋体"/>
          <w:b/>
          <w:color w:val="auto"/>
          <w:kern w:val="0"/>
          <w:szCs w:val="21"/>
          <w:highlight w:val="none"/>
          <w:lang w:val="zh-CN"/>
        </w:rPr>
        <w:t>。采购内容未包含在《开标一览表（报价表）》名称栏中，投标人不能作出合理解释的，视为投标文件含有采购人不能接受的附加条件的，投标无效。</w:t>
      </w:r>
    </w:p>
    <w:p w14:paraId="3620BBF6">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、特别提示：采购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55B91137">
      <w:pPr>
        <w:snapToGrid w:val="0"/>
        <w:spacing w:line="360" w:lineRule="auto"/>
        <w:ind w:firstLine="420" w:firstLineChars="200"/>
        <w:rPr>
          <w:rFonts w:hint="eastAsia" w:ascii="宋体" w:hAnsi="宋体" w:eastAsia="宋体" w:cs="宋体"/>
          <w:color w:val="auto"/>
          <w:kern w:val="0"/>
          <w:szCs w:val="21"/>
          <w:highlight w:val="none"/>
          <w:lang w:val="zh-CN"/>
        </w:rPr>
        <w:sectPr>
          <w:pgSz w:w="11905" w:h="16838"/>
          <w:pgMar w:top="1440" w:right="1083" w:bottom="1440" w:left="1083" w:header="851" w:footer="992" w:gutter="0"/>
          <w:cols w:space="0" w:num="1"/>
          <w:docGrid w:type="lines" w:linePitch="319" w:charSpace="0"/>
        </w:sect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E6E616">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二、报价情况说明（如果有）</w:t>
      </w:r>
    </w:p>
    <w:p w14:paraId="148A9285">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（如供应商报价低于项目预算50%的，应当提交本文档，详细阐述不影响产品质量或者诚信履约的具体原因，否则投标无效。）</w:t>
      </w:r>
    </w:p>
    <w:p w14:paraId="7F28EDE6">
      <w:pPr>
        <w:pStyle w:val="695"/>
        <w:keepNext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三、中小企业声明函（如果有）</w:t>
      </w:r>
    </w:p>
    <w:p w14:paraId="69DF9432">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1D298AF">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722066">
      <w:pPr>
        <w:pStyle w:val="3"/>
        <w:keepNext w:val="0"/>
        <w:keepLines w:val="0"/>
        <w:pageBreakBefore/>
        <w:widowControl/>
        <w:spacing w:before="319" w:beforeLines="100" w:after="319" w:afterLines="100" w:line="240" w:lineRule="auto"/>
        <w:ind w:left="0" w:firstLine="0"/>
        <w:jc w:val="center"/>
        <w:rPr>
          <w:rFonts w:hint="eastAsia" w:ascii="宋体" w:hAnsi="宋体" w:eastAsia="宋体" w:cs="宋体"/>
          <w:color w:val="auto"/>
          <w:highlight w:val="none"/>
        </w:rPr>
      </w:pPr>
      <w:bookmarkStart w:id="520" w:name="_Toc465665161"/>
      <w:r>
        <w:rPr>
          <w:rFonts w:hint="eastAsia" w:ascii="宋体" w:hAnsi="宋体" w:eastAsia="宋体" w:cs="宋体"/>
          <w:color w:val="auto"/>
          <w:highlight w:val="none"/>
        </w:rPr>
        <w:t>附件</w:t>
      </w:r>
      <w:bookmarkEnd w:id="520"/>
    </w:p>
    <w:p w14:paraId="0826D1B8">
      <w:pPr>
        <w:spacing w:before="319" w:beforeLines="100" w:after="319" w:afterLine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14:paraId="370AB48D">
      <w:pPr>
        <w:pStyle w:val="695"/>
        <w:keepNext w:val="0"/>
        <w:pageBreakBefore w:val="0"/>
        <w:tabs>
          <w:tab w:val="clear" w:pos="720"/>
        </w:tabs>
        <w:snapToGrid w:val="0"/>
        <w:spacing w:before="319" w:beforeLines="100" w:line="240" w:lineRule="auto"/>
        <w:outlineLvl w:val="9"/>
        <w:rPr>
          <w:rFonts w:hint="eastAsia" w:ascii="宋体" w:hAnsi="宋体" w:eastAsia="宋体" w:cs="宋体"/>
          <w:color w:val="auto"/>
          <w:kern w:val="2"/>
          <w:sz w:val="28"/>
          <w:szCs w:val="28"/>
          <w:highlight w:val="none"/>
        </w:rPr>
      </w:pPr>
      <w:bookmarkStart w:id="521" w:name="OLE_LINK13"/>
      <w:bookmarkStart w:id="522" w:name="OLE_LINK14"/>
      <w:r>
        <w:rPr>
          <w:rFonts w:hint="eastAsia" w:ascii="宋体" w:hAnsi="宋体" w:eastAsia="宋体" w:cs="宋体"/>
          <w:color w:val="auto"/>
          <w:kern w:val="2"/>
          <w:sz w:val="28"/>
          <w:szCs w:val="28"/>
          <w:highlight w:val="none"/>
        </w:rPr>
        <w:t>残疾人福利性单位声明函</w:t>
      </w:r>
    </w:p>
    <w:bookmarkEnd w:id="521"/>
    <w:bookmarkEnd w:id="522"/>
    <w:p w14:paraId="2A7EC5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6A856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2A1EDCC6">
      <w:pPr>
        <w:spacing w:line="360" w:lineRule="auto"/>
        <w:ind w:firstLine="420" w:firstLineChars="200"/>
        <w:rPr>
          <w:rFonts w:hint="eastAsia" w:ascii="宋体" w:hAnsi="宋体" w:eastAsia="宋体" w:cs="宋体"/>
          <w:color w:val="auto"/>
          <w:szCs w:val="21"/>
          <w:highlight w:val="none"/>
        </w:rPr>
      </w:pPr>
    </w:p>
    <w:p w14:paraId="65659399">
      <w:pPr>
        <w:spacing w:line="360" w:lineRule="auto"/>
        <w:ind w:firstLine="420" w:firstLineChars="200"/>
        <w:rPr>
          <w:rFonts w:hint="eastAsia" w:ascii="宋体" w:hAnsi="宋体" w:eastAsia="宋体" w:cs="宋体"/>
          <w:color w:val="auto"/>
          <w:szCs w:val="21"/>
          <w:highlight w:val="none"/>
        </w:rPr>
      </w:pPr>
    </w:p>
    <w:p w14:paraId="55B2F67E">
      <w:pPr>
        <w:tabs>
          <w:tab w:val="left" w:pos="4860"/>
        </w:tabs>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投标人名称（电子签名）</w:t>
      </w:r>
      <w:r>
        <w:rPr>
          <w:rFonts w:hint="eastAsia" w:ascii="宋体" w:hAnsi="宋体" w:eastAsia="宋体" w:cs="宋体"/>
          <w:color w:val="auto"/>
          <w:szCs w:val="21"/>
          <w:highlight w:val="none"/>
        </w:rPr>
        <w:t>：</w:t>
      </w:r>
    </w:p>
    <w:p w14:paraId="77F93921">
      <w:pPr>
        <w:tabs>
          <w:tab w:val="left" w:pos="4860"/>
        </w:tabs>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812C11A">
      <w:pPr>
        <w:spacing w:line="360" w:lineRule="auto"/>
        <w:ind w:firstLine="480" w:firstLineChars="200"/>
        <w:rPr>
          <w:rFonts w:hint="eastAsia" w:ascii="宋体" w:hAnsi="宋体" w:eastAsia="宋体" w:cs="宋体"/>
          <w:color w:val="auto"/>
          <w:sz w:val="24"/>
          <w:highlight w:val="none"/>
        </w:rPr>
      </w:pPr>
    </w:p>
    <w:p w14:paraId="35E85F54">
      <w:pPr>
        <w:spacing w:line="360" w:lineRule="auto"/>
        <w:ind w:firstLine="420" w:firstLineChars="200"/>
        <w:rPr>
          <w:rFonts w:hint="eastAsia" w:ascii="宋体" w:hAnsi="宋体" w:eastAsia="宋体" w:cs="宋体"/>
          <w:color w:val="auto"/>
          <w:highlight w:val="none"/>
        </w:rPr>
      </w:pPr>
    </w:p>
    <w:p w14:paraId="1F7DD283">
      <w:pPr>
        <w:spacing w:line="360" w:lineRule="auto"/>
        <w:ind w:firstLine="420" w:firstLineChars="200"/>
        <w:rPr>
          <w:rFonts w:hint="eastAsia" w:ascii="宋体" w:hAnsi="宋体" w:eastAsia="宋体" w:cs="宋体"/>
          <w:color w:val="auto"/>
          <w:highlight w:val="none"/>
        </w:rPr>
      </w:pPr>
    </w:p>
    <w:p w14:paraId="37F4ABCE">
      <w:pPr>
        <w:spacing w:line="360" w:lineRule="auto"/>
        <w:ind w:firstLine="420" w:firstLineChars="200"/>
        <w:rPr>
          <w:rFonts w:hint="eastAsia" w:ascii="宋体" w:hAnsi="宋体" w:eastAsia="宋体" w:cs="宋体"/>
          <w:color w:val="auto"/>
          <w:highlight w:val="none"/>
        </w:rPr>
      </w:pPr>
    </w:p>
    <w:p w14:paraId="48B91975">
      <w:pPr>
        <w:spacing w:line="360" w:lineRule="auto"/>
        <w:ind w:firstLine="420" w:firstLineChars="200"/>
        <w:rPr>
          <w:rFonts w:hint="eastAsia" w:ascii="宋体" w:hAnsi="宋体" w:eastAsia="宋体" w:cs="宋体"/>
          <w:color w:val="auto"/>
          <w:highlight w:val="none"/>
        </w:rPr>
      </w:pPr>
    </w:p>
    <w:p w14:paraId="7D800E07">
      <w:pPr>
        <w:spacing w:line="360" w:lineRule="auto"/>
        <w:rPr>
          <w:rFonts w:hint="eastAsia" w:ascii="宋体" w:hAnsi="宋体" w:eastAsia="宋体" w:cs="宋体"/>
          <w:b/>
          <w:color w:val="auto"/>
          <w:sz w:val="24"/>
          <w:highlight w:val="none"/>
        </w:rPr>
      </w:pPr>
    </w:p>
    <w:p w14:paraId="0AB0AE6B">
      <w:pPr>
        <w:spacing w:line="360" w:lineRule="auto"/>
        <w:rPr>
          <w:rFonts w:hint="eastAsia" w:ascii="宋体" w:hAnsi="宋体" w:eastAsia="宋体" w:cs="宋体"/>
          <w:b/>
          <w:color w:val="auto"/>
          <w:sz w:val="24"/>
          <w:highlight w:val="none"/>
        </w:rPr>
      </w:pPr>
    </w:p>
    <w:p w14:paraId="7675DE46">
      <w:pPr>
        <w:spacing w:line="360" w:lineRule="auto"/>
        <w:rPr>
          <w:rFonts w:hint="eastAsia" w:ascii="宋体" w:hAnsi="宋体" w:eastAsia="宋体" w:cs="宋体"/>
          <w:b/>
          <w:color w:val="auto"/>
          <w:sz w:val="24"/>
          <w:highlight w:val="none"/>
        </w:rPr>
      </w:pPr>
    </w:p>
    <w:p w14:paraId="4E6ECACE">
      <w:pPr>
        <w:spacing w:line="360" w:lineRule="auto"/>
        <w:rPr>
          <w:rFonts w:hint="eastAsia" w:ascii="宋体" w:hAnsi="宋体" w:eastAsia="宋体" w:cs="宋体"/>
          <w:b/>
          <w:color w:val="auto"/>
          <w:sz w:val="24"/>
          <w:highlight w:val="none"/>
        </w:rPr>
      </w:pPr>
    </w:p>
    <w:p w14:paraId="16EE3F4A">
      <w:pPr>
        <w:spacing w:line="360" w:lineRule="auto"/>
        <w:rPr>
          <w:rFonts w:hint="eastAsia" w:ascii="宋体" w:hAnsi="宋体" w:eastAsia="宋体" w:cs="宋体"/>
          <w:b/>
          <w:color w:val="auto"/>
          <w:sz w:val="24"/>
          <w:highlight w:val="none"/>
        </w:rPr>
      </w:pPr>
    </w:p>
    <w:p w14:paraId="0AD0D37A">
      <w:pPr>
        <w:spacing w:line="360" w:lineRule="auto"/>
        <w:rPr>
          <w:rFonts w:hint="eastAsia" w:ascii="宋体" w:hAnsi="宋体" w:eastAsia="宋体" w:cs="宋体"/>
          <w:b/>
          <w:color w:val="auto"/>
          <w:sz w:val="24"/>
          <w:highlight w:val="none"/>
        </w:rPr>
      </w:pPr>
    </w:p>
    <w:p w14:paraId="68B215A2">
      <w:pPr>
        <w:spacing w:line="360" w:lineRule="auto"/>
        <w:rPr>
          <w:rFonts w:hint="eastAsia" w:ascii="宋体" w:hAnsi="宋体" w:eastAsia="宋体" w:cs="宋体"/>
          <w:b/>
          <w:color w:val="auto"/>
          <w:sz w:val="24"/>
          <w:highlight w:val="none"/>
        </w:rPr>
      </w:pPr>
    </w:p>
    <w:p w14:paraId="75595C2B">
      <w:pPr>
        <w:spacing w:before="319" w:beforeLines="100" w:after="319" w:afterLines="100"/>
        <w:jc w:val="left"/>
        <w:rPr>
          <w:rFonts w:hint="eastAsia" w:ascii="宋体" w:hAnsi="宋体" w:eastAsia="宋体" w:cs="宋体"/>
          <w:b/>
          <w:color w:val="auto"/>
          <w:sz w:val="28"/>
          <w:szCs w:val="28"/>
          <w:highlight w:val="none"/>
        </w:rPr>
      </w:pPr>
    </w:p>
    <w:p w14:paraId="14049D6D">
      <w:pPr>
        <w:spacing w:before="319" w:beforeLines="100" w:after="319" w:afterLines="1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附件2：质疑函范本及制作说明</w:t>
      </w:r>
    </w:p>
    <w:p w14:paraId="55BB3215">
      <w:pPr>
        <w:spacing w:before="319" w:beforeLines="100" w:after="319" w:afterLine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质疑函范本</w:t>
      </w:r>
    </w:p>
    <w:p w14:paraId="701E6E0E">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625CDCF7">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p>
    <w:p w14:paraId="5EB2AB35">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地址：邮编：</w:t>
      </w:r>
    </w:p>
    <w:p w14:paraId="7B4863D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联系人：联系电话：</w:t>
      </w:r>
    </w:p>
    <w:p w14:paraId="48E9A2C5">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p>
    <w:p w14:paraId="21EDE4C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5E4D766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地址：邮编：</w:t>
      </w:r>
    </w:p>
    <w:p w14:paraId="0652905D">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5D08DD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p>
    <w:p w14:paraId="29F89D8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质疑项目的编号：包号：</w:t>
      </w:r>
    </w:p>
    <w:p w14:paraId="02366AFC">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p>
    <w:p w14:paraId="566F1BB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p>
    <w:p w14:paraId="1F448E8B">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721A15A3">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p>
    <w:p w14:paraId="7C80B3CA">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p>
    <w:p w14:paraId="02BD040B">
      <w:pPr>
        <w:snapToGrid w:val="0"/>
        <w:spacing w:line="360" w:lineRule="auto"/>
        <w:rPr>
          <w:rFonts w:hint="eastAsia" w:ascii="宋体" w:hAnsi="宋体" w:eastAsia="宋体" w:cs="宋体"/>
          <w:color w:val="auto"/>
          <w:szCs w:val="21"/>
          <w:highlight w:val="none"/>
        </w:rPr>
      </w:pPr>
    </w:p>
    <w:p w14:paraId="5D730AC8">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p>
    <w:p w14:paraId="33CBBC13">
      <w:pPr>
        <w:snapToGrid w:val="0"/>
        <w:spacing w:line="360" w:lineRule="auto"/>
        <w:rPr>
          <w:rFonts w:hint="eastAsia" w:ascii="宋体" w:hAnsi="宋体" w:eastAsia="宋体" w:cs="宋体"/>
          <w:color w:val="auto"/>
          <w:szCs w:val="21"/>
          <w:highlight w:val="none"/>
          <w:u w:val="dotted"/>
        </w:rPr>
      </w:pPr>
    </w:p>
    <w:p w14:paraId="753A52E6">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5C24C1B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1EB85FF">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721A611C">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p>
    <w:p w14:paraId="5D83046B">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3200C3D4">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C235964">
      <w:pPr>
        <w:spacing w:line="360" w:lineRule="auto"/>
        <w:rPr>
          <w:rFonts w:hint="eastAsia" w:ascii="宋体" w:hAnsi="宋体" w:eastAsia="宋体" w:cs="宋体"/>
          <w:b/>
          <w:color w:val="auto"/>
          <w:szCs w:val="21"/>
          <w:highlight w:val="none"/>
        </w:rPr>
      </w:pPr>
    </w:p>
    <w:p w14:paraId="0451BF5F">
      <w:pPr>
        <w:spacing w:line="360" w:lineRule="auto"/>
        <w:rPr>
          <w:rFonts w:hint="eastAsia" w:ascii="宋体" w:hAnsi="宋体" w:eastAsia="宋体" w:cs="宋体"/>
          <w:b/>
          <w:color w:val="auto"/>
          <w:szCs w:val="21"/>
          <w:highlight w:val="none"/>
        </w:rPr>
      </w:pPr>
    </w:p>
    <w:p w14:paraId="376F9293">
      <w:pPr>
        <w:spacing w:line="360" w:lineRule="auto"/>
        <w:rPr>
          <w:rFonts w:hint="eastAsia" w:ascii="宋体" w:hAnsi="宋体" w:eastAsia="宋体" w:cs="宋体"/>
          <w:b/>
          <w:color w:val="auto"/>
          <w:szCs w:val="21"/>
          <w:highlight w:val="none"/>
        </w:rPr>
      </w:pPr>
    </w:p>
    <w:p w14:paraId="68C7C6D1">
      <w:pPr>
        <w:spacing w:line="360" w:lineRule="auto"/>
        <w:rPr>
          <w:rFonts w:hint="eastAsia" w:ascii="宋体" w:hAnsi="宋体" w:eastAsia="宋体" w:cs="宋体"/>
          <w:b/>
          <w:color w:val="auto"/>
          <w:szCs w:val="21"/>
          <w:highlight w:val="none"/>
        </w:rPr>
      </w:pPr>
    </w:p>
    <w:p w14:paraId="439887B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质疑函制作说明：</w:t>
      </w:r>
    </w:p>
    <w:p w14:paraId="4DA72FC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46CF103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BBD63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5B98AFB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108CB183">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2FB7F9D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3D7888D6">
      <w:pPr>
        <w:widowControl/>
        <w:spacing w:line="360" w:lineRule="auto"/>
        <w:ind w:firstLine="600" w:firstLineChars="200"/>
        <w:jc w:val="left"/>
        <w:rPr>
          <w:rFonts w:hint="eastAsia" w:ascii="宋体" w:hAnsi="宋体" w:eastAsia="宋体" w:cs="宋体"/>
          <w:color w:val="auto"/>
          <w:sz w:val="30"/>
          <w:szCs w:val="30"/>
          <w:highlight w:val="none"/>
        </w:rPr>
      </w:pPr>
    </w:p>
    <w:p w14:paraId="151D7839">
      <w:pPr>
        <w:spacing w:line="360" w:lineRule="auto"/>
        <w:jc w:val="center"/>
        <w:rPr>
          <w:rFonts w:hint="eastAsia" w:ascii="宋体" w:hAnsi="宋体" w:eastAsia="宋体" w:cs="宋体"/>
          <w:b/>
          <w:color w:val="auto"/>
          <w:spacing w:val="6"/>
          <w:sz w:val="32"/>
          <w:szCs w:val="32"/>
          <w:highlight w:val="none"/>
        </w:rPr>
      </w:pPr>
    </w:p>
    <w:p w14:paraId="5D12B791">
      <w:pPr>
        <w:spacing w:line="360" w:lineRule="auto"/>
        <w:jc w:val="center"/>
        <w:rPr>
          <w:rFonts w:hint="eastAsia" w:ascii="宋体" w:hAnsi="宋体" w:eastAsia="宋体" w:cs="宋体"/>
          <w:b/>
          <w:color w:val="auto"/>
          <w:spacing w:val="6"/>
          <w:sz w:val="32"/>
          <w:szCs w:val="32"/>
          <w:highlight w:val="none"/>
        </w:rPr>
      </w:pPr>
    </w:p>
    <w:p w14:paraId="4466775C">
      <w:pPr>
        <w:spacing w:line="360" w:lineRule="auto"/>
        <w:jc w:val="center"/>
        <w:rPr>
          <w:rFonts w:hint="eastAsia" w:ascii="宋体" w:hAnsi="宋体" w:eastAsia="宋体" w:cs="宋体"/>
          <w:b/>
          <w:color w:val="auto"/>
          <w:spacing w:val="6"/>
          <w:sz w:val="32"/>
          <w:szCs w:val="32"/>
          <w:highlight w:val="none"/>
        </w:rPr>
      </w:pPr>
    </w:p>
    <w:p w14:paraId="07187128">
      <w:pPr>
        <w:spacing w:line="360" w:lineRule="auto"/>
        <w:jc w:val="center"/>
        <w:rPr>
          <w:rFonts w:hint="eastAsia" w:ascii="宋体" w:hAnsi="宋体" w:eastAsia="宋体" w:cs="宋体"/>
          <w:b/>
          <w:color w:val="auto"/>
          <w:spacing w:val="6"/>
          <w:sz w:val="32"/>
          <w:szCs w:val="32"/>
          <w:highlight w:val="none"/>
        </w:rPr>
      </w:pPr>
    </w:p>
    <w:p w14:paraId="63CDD471">
      <w:pPr>
        <w:spacing w:line="360" w:lineRule="auto"/>
        <w:jc w:val="center"/>
        <w:rPr>
          <w:rFonts w:hint="eastAsia" w:ascii="宋体" w:hAnsi="宋体" w:eastAsia="宋体" w:cs="宋体"/>
          <w:b/>
          <w:color w:val="auto"/>
          <w:spacing w:val="6"/>
          <w:sz w:val="32"/>
          <w:szCs w:val="32"/>
          <w:highlight w:val="none"/>
        </w:rPr>
      </w:pPr>
    </w:p>
    <w:p w14:paraId="514F9466">
      <w:pPr>
        <w:spacing w:line="360" w:lineRule="auto"/>
        <w:jc w:val="center"/>
        <w:rPr>
          <w:rFonts w:hint="eastAsia" w:ascii="宋体" w:hAnsi="宋体" w:eastAsia="宋体" w:cs="宋体"/>
          <w:b/>
          <w:color w:val="auto"/>
          <w:spacing w:val="6"/>
          <w:sz w:val="32"/>
          <w:szCs w:val="32"/>
          <w:highlight w:val="none"/>
        </w:rPr>
      </w:pPr>
    </w:p>
    <w:p w14:paraId="35AD16AB">
      <w:pPr>
        <w:spacing w:line="360" w:lineRule="auto"/>
        <w:jc w:val="center"/>
        <w:rPr>
          <w:rFonts w:hint="eastAsia" w:ascii="宋体" w:hAnsi="宋体" w:eastAsia="宋体" w:cs="宋体"/>
          <w:b/>
          <w:color w:val="auto"/>
          <w:spacing w:val="6"/>
          <w:sz w:val="32"/>
          <w:szCs w:val="32"/>
          <w:highlight w:val="none"/>
        </w:rPr>
      </w:pPr>
    </w:p>
    <w:p w14:paraId="7B4403DB">
      <w:pPr>
        <w:spacing w:line="360" w:lineRule="auto"/>
        <w:jc w:val="center"/>
        <w:rPr>
          <w:rFonts w:hint="eastAsia" w:ascii="宋体" w:hAnsi="宋体" w:eastAsia="宋体" w:cs="宋体"/>
          <w:b/>
          <w:color w:val="auto"/>
          <w:spacing w:val="6"/>
          <w:sz w:val="32"/>
          <w:szCs w:val="32"/>
          <w:highlight w:val="none"/>
        </w:rPr>
      </w:pPr>
    </w:p>
    <w:p w14:paraId="462F9BD1">
      <w:pPr>
        <w:spacing w:line="360" w:lineRule="auto"/>
        <w:jc w:val="center"/>
        <w:rPr>
          <w:rFonts w:hint="eastAsia" w:ascii="宋体" w:hAnsi="宋体" w:eastAsia="宋体" w:cs="宋体"/>
          <w:b/>
          <w:color w:val="auto"/>
          <w:spacing w:val="6"/>
          <w:sz w:val="32"/>
          <w:szCs w:val="32"/>
          <w:highlight w:val="none"/>
        </w:rPr>
      </w:pPr>
    </w:p>
    <w:p w14:paraId="4D7FAC4C">
      <w:pPr>
        <w:spacing w:line="360" w:lineRule="auto"/>
        <w:jc w:val="center"/>
        <w:rPr>
          <w:rFonts w:hint="eastAsia" w:ascii="宋体" w:hAnsi="宋体" w:eastAsia="宋体" w:cs="宋体"/>
          <w:b/>
          <w:color w:val="auto"/>
          <w:spacing w:val="6"/>
          <w:sz w:val="32"/>
          <w:szCs w:val="32"/>
          <w:highlight w:val="none"/>
        </w:rPr>
      </w:pPr>
    </w:p>
    <w:p w14:paraId="55CE63C1">
      <w:pPr>
        <w:spacing w:line="360" w:lineRule="auto"/>
        <w:jc w:val="center"/>
        <w:rPr>
          <w:rFonts w:hint="eastAsia" w:ascii="宋体" w:hAnsi="宋体" w:eastAsia="宋体" w:cs="宋体"/>
          <w:b/>
          <w:color w:val="auto"/>
          <w:spacing w:val="6"/>
          <w:sz w:val="32"/>
          <w:szCs w:val="32"/>
          <w:highlight w:val="none"/>
        </w:rPr>
      </w:pPr>
    </w:p>
    <w:p w14:paraId="556C95C6">
      <w:pPr>
        <w:spacing w:line="360" w:lineRule="auto"/>
        <w:jc w:val="center"/>
        <w:rPr>
          <w:rFonts w:hint="eastAsia" w:ascii="宋体" w:hAnsi="宋体" w:eastAsia="宋体" w:cs="宋体"/>
          <w:b/>
          <w:color w:val="auto"/>
          <w:spacing w:val="6"/>
          <w:sz w:val="32"/>
          <w:szCs w:val="32"/>
          <w:highlight w:val="none"/>
        </w:rPr>
      </w:pPr>
    </w:p>
    <w:p w14:paraId="5145AC4F">
      <w:pPr>
        <w:spacing w:before="319" w:beforeLines="100" w:after="319" w:afterLines="100"/>
        <w:jc w:val="left"/>
        <w:rPr>
          <w:rFonts w:hint="eastAsia" w:ascii="宋体" w:hAnsi="宋体" w:eastAsia="宋体" w:cs="宋体"/>
          <w:b/>
          <w:color w:val="auto"/>
          <w:spacing w:val="6"/>
          <w:sz w:val="28"/>
          <w:szCs w:val="28"/>
          <w:highlight w:val="none"/>
        </w:rPr>
      </w:pPr>
    </w:p>
    <w:p w14:paraId="7AFE545D">
      <w:pPr>
        <w:spacing w:before="319" w:beforeLines="100" w:after="319" w:afterLines="100"/>
        <w:jc w:val="left"/>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附件3：投诉书范本及制作说明</w:t>
      </w:r>
    </w:p>
    <w:p w14:paraId="1E8A5EEB">
      <w:pPr>
        <w:spacing w:before="319" w:beforeLines="100" w:after="319" w:afterLines="100"/>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投诉书范本</w:t>
      </w:r>
    </w:p>
    <w:p w14:paraId="0A52AB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一、投诉相关主体基本情况</w:t>
      </w:r>
    </w:p>
    <w:p w14:paraId="2EF99791">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w:t>
      </w:r>
    </w:p>
    <w:p w14:paraId="693C6A6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0BD3ECBA">
      <w:pPr>
        <w:tabs>
          <w:tab w:val="left" w:pos="651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法定代表人/主要负责人：</w:t>
      </w:r>
    </w:p>
    <w:p w14:paraId="0EADF110">
      <w:pPr>
        <w:tabs>
          <w:tab w:val="left" w:pos="6510"/>
        </w:tabs>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联系电话：</w:t>
      </w:r>
    </w:p>
    <w:p w14:paraId="34736B83">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授权代表：联系电话：</w:t>
      </w:r>
    </w:p>
    <w:p w14:paraId="00C34425">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地址：邮编：</w:t>
      </w:r>
    </w:p>
    <w:p w14:paraId="57327F2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被投诉人1：</w:t>
      </w:r>
    </w:p>
    <w:p w14:paraId="77CA34A0">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3E207F1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联系人：联系电话：</w:t>
      </w:r>
    </w:p>
    <w:p w14:paraId="193842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被投诉人2</w:t>
      </w:r>
    </w:p>
    <w:p w14:paraId="05C8F19E">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0F0094C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相关供应商：</w:t>
      </w:r>
    </w:p>
    <w:p w14:paraId="51A5BEE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1492F7F2">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联系人：联系电话：</w:t>
      </w:r>
    </w:p>
    <w:p w14:paraId="360F55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二、投诉项目基本情况</w:t>
      </w:r>
    </w:p>
    <w:p w14:paraId="4F85221F">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采购项目名称：</w:t>
      </w:r>
    </w:p>
    <w:p w14:paraId="5AEBD657">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采购项目编号：包号：</w:t>
      </w:r>
    </w:p>
    <w:p w14:paraId="29399E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4337807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代理机构名称：</w:t>
      </w:r>
    </w:p>
    <w:p w14:paraId="2A553E23">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采购文件公告：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p>
    <w:p w14:paraId="3246B43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采购结果公告：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p>
    <w:p w14:paraId="4ACE2C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三、质疑基本情况</w:t>
      </w:r>
    </w:p>
    <w:p w14:paraId="77180C3C">
      <w:pPr>
        <w:wordWrap w:val="0"/>
        <w:spacing w:line="360" w:lineRule="auto"/>
        <w:ind w:left="630" w:leftChars="200" w:hanging="210" w:hangingChars="100"/>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投诉人于年月日,向提出质疑，质疑事项为：</w:t>
      </w:r>
    </w:p>
    <w:p w14:paraId="408EB4A0">
      <w:pPr>
        <w:wordWrap w:val="0"/>
        <w:spacing w:line="360" w:lineRule="auto"/>
        <w:rPr>
          <w:rFonts w:hint="eastAsia" w:ascii="宋体" w:hAnsi="宋体" w:eastAsia="宋体" w:cs="宋体"/>
          <w:color w:val="auto"/>
          <w:szCs w:val="21"/>
          <w:highlight w:val="none"/>
          <w:u w:val="dotted"/>
        </w:rPr>
      </w:pPr>
    </w:p>
    <w:p w14:paraId="38FD2C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采购人/代理机构</w:t>
      </w:r>
      <w:r>
        <w:rPr>
          <w:rFonts w:hint="eastAsia" w:ascii="宋体" w:hAnsi="宋体" w:eastAsia="宋体" w:cs="宋体"/>
          <w:color w:val="auto"/>
          <w:szCs w:val="21"/>
          <w:highlight w:val="none"/>
        </w:rPr>
        <w:t>于年月日,就质疑事项作出了答复/没有在法定期限内作出答复。</w:t>
      </w:r>
    </w:p>
    <w:p w14:paraId="61A399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四、投诉事项具体内容</w:t>
      </w:r>
    </w:p>
    <w:p w14:paraId="27985D6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投诉事项1：</w:t>
      </w:r>
    </w:p>
    <w:p w14:paraId="0596C2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p>
    <w:p w14:paraId="1CB2E5FD">
      <w:pPr>
        <w:spacing w:line="360" w:lineRule="auto"/>
        <w:rPr>
          <w:rFonts w:hint="eastAsia" w:ascii="宋体" w:hAnsi="宋体" w:eastAsia="宋体" w:cs="宋体"/>
          <w:color w:val="auto"/>
          <w:szCs w:val="21"/>
          <w:highlight w:val="none"/>
          <w:u w:val="dotted"/>
        </w:rPr>
      </w:pPr>
    </w:p>
    <w:p w14:paraId="3D6A1B1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法律依据：</w:t>
      </w:r>
    </w:p>
    <w:p w14:paraId="145C237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投诉事项2</w:t>
      </w:r>
    </w:p>
    <w:p w14:paraId="081101FC">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05E7D7B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五、与投诉事项相关的投诉请求</w:t>
      </w:r>
    </w:p>
    <w:p w14:paraId="69B986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p>
    <w:p w14:paraId="75F58A2E">
      <w:pPr>
        <w:spacing w:line="360" w:lineRule="auto"/>
        <w:rPr>
          <w:rFonts w:hint="eastAsia" w:ascii="宋体" w:hAnsi="宋体" w:eastAsia="宋体" w:cs="宋体"/>
          <w:color w:val="auto"/>
          <w:szCs w:val="21"/>
          <w:highlight w:val="none"/>
          <w:u w:val="single"/>
        </w:rPr>
      </w:pPr>
    </w:p>
    <w:p w14:paraId="50EBC826">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0F98F3E7">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szCs w:val="21"/>
          <w:highlight w:val="none"/>
        </w:rPr>
        <w:t>日期：</w:t>
      </w:r>
    </w:p>
    <w:p w14:paraId="150164D1">
      <w:pPr>
        <w:spacing w:line="360" w:lineRule="auto"/>
        <w:rPr>
          <w:rFonts w:hint="eastAsia" w:ascii="宋体" w:hAnsi="宋体" w:eastAsia="宋体" w:cs="宋体"/>
          <w:b/>
          <w:color w:val="auto"/>
          <w:sz w:val="24"/>
          <w:highlight w:val="none"/>
        </w:rPr>
      </w:pPr>
    </w:p>
    <w:p w14:paraId="4D28B674">
      <w:pPr>
        <w:spacing w:line="360" w:lineRule="auto"/>
        <w:rPr>
          <w:rFonts w:hint="eastAsia" w:ascii="宋体" w:hAnsi="宋体" w:eastAsia="宋体" w:cs="宋体"/>
          <w:b/>
          <w:color w:val="auto"/>
          <w:sz w:val="24"/>
          <w:highlight w:val="none"/>
        </w:rPr>
      </w:pPr>
    </w:p>
    <w:p w14:paraId="7209C22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投诉书制作说明：</w:t>
      </w:r>
    </w:p>
    <w:p w14:paraId="530D8BB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1.投诉人提起投诉时，应当提交投诉书和必要的证明材料，并按照被投诉人和与投诉事项有关的供应商数量提供投诉书副本。</w:t>
      </w:r>
    </w:p>
    <w:p w14:paraId="65F44035">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2B2CF0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3.投诉人若对项目的某一分包进行投诉，投诉书应列明具体分包号。</w:t>
      </w:r>
    </w:p>
    <w:p w14:paraId="4A88C9C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4.投诉书应简要列明质疑事项，质疑函、质疑答复等作为附件材料提供。</w:t>
      </w:r>
    </w:p>
    <w:p w14:paraId="623BF31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5.投诉书的投诉事项应具体、明确，并有必要的事实依据和法律依据。</w:t>
      </w:r>
    </w:p>
    <w:p w14:paraId="3817F88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6.投诉书的投诉请求应与投诉事项相关。</w:t>
      </w:r>
    </w:p>
    <w:p w14:paraId="7E4049D2">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0D248DB8">
      <w:pPr>
        <w:spacing w:line="360" w:lineRule="auto"/>
        <w:rPr>
          <w:rFonts w:hint="eastAsia" w:ascii="宋体" w:hAnsi="宋体" w:eastAsia="宋体" w:cs="宋体"/>
          <w:b/>
          <w:color w:val="auto"/>
          <w:sz w:val="24"/>
          <w:highlight w:val="none"/>
        </w:rPr>
      </w:pPr>
    </w:p>
    <w:p w14:paraId="0304675C">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C792C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41D43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我方</w:t>
      </w:r>
      <w:r>
        <w:rPr>
          <w:rFonts w:hint="eastAsia" w:ascii="宋体" w:hAnsi="宋体" w:eastAsia="宋体" w:cs="宋体"/>
          <w:color w:val="auto"/>
          <w:szCs w:val="21"/>
          <w:highlight w:val="none"/>
        </w:rPr>
        <w:t>(投标人全称)是中华人民共和国依法登记注册的合法企业，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宋体"/>
          <w:color w:val="auto"/>
          <w:szCs w:val="21"/>
          <w:highlight w:val="none"/>
        </w:rPr>
        <w:t>你方组织的（项目名称）项目【招标编号：（采购编号）】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我方所使用的“XX专用章”与法定名称章具有同等的法律效力，对使用“XX专用章”的行为予以完全承认，并愿意承担相应责任。</w:t>
      </w:r>
    </w:p>
    <w:p w14:paraId="65780B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47FE5616">
      <w:pPr>
        <w:spacing w:line="360" w:lineRule="auto"/>
        <w:ind w:firstLine="494"/>
        <w:rPr>
          <w:rFonts w:hint="eastAsia" w:ascii="宋体" w:hAnsi="宋体" w:eastAsia="宋体" w:cs="宋体"/>
          <w:color w:val="auto"/>
          <w:sz w:val="24"/>
          <w:highlight w:val="none"/>
        </w:rPr>
      </w:pPr>
    </w:p>
    <w:p w14:paraId="3002C527">
      <w:pPr>
        <w:spacing w:line="360" w:lineRule="auto"/>
        <w:ind w:firstLine="494"/>
        <w:rPr>
          <w:rFonts w:hint="eastAsia" w:ascii="宋体" w:hAnsi="宋体" w:eastAsia="宋体" w:cs="宋体"/>
          <w:color w:val="auto"/>
          <w:sz w:val="24"/>
          <w:highlight w:val="none"/>
        </w:rPr>
      </w:pPr>
    </w:p>
    <w:p w14:paraId="27937016">
      <w:pPr>
        <w:spacing w:line="360" w:lineRule="auto"/>
        <w:ind w:firstLine="494"/>
        <w:rPr>
          <w:rFonts w:hint="eastAsia" w:ascii="宋体" w:hAnsi="宋体" w:eastAsia="宋体" w:cs="宋体"/>
          <w:color w:val="auto"/>
          <w:sz w:val="24"/>
          <w:highlight w:val="none"/>
        </w:rPr>
      </w:pPr>
    </w:p>
    <w:p w14:paraId="79363A8A">
      <w:pPr>
        <w:spacing w:line="360" w:lineRule="auto"/>
        <w:ind w:firstLine="494"/>
        <w:rPr>
          <w:rFonts w:hint="eastAsia" w:ascii="宋体" w:hAnsi="宋体" w:eastAsia="宋体" w:cs="宋体"/>
          <w:color w:val="auto"/>
          <w:sz w:val="24"/>
          <w:highlight w:val="none"/>
        </w:rPr>
      </w:pPr>
    </w:p>
    <w:p w14:paraId="47E23C93">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投标单位（法定名称章）：</w:t>
      </w:r>
    </w:p>
    <w:p w14:paraId="79DCF1D8">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0F850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14:paraId="5739C3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Cs w:val="21"/>
          <w:highlight w:val="none"/>
        </w:rPr>
        <w:t>投标单位法定名称章（印模）投标单位“XX专用章”（印模）</w:t>
      </w:r>
    </w:p>
    <w:p w14:paraId="2ACCDCE8">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50800</wp:posOffset>
                </wp:positionV>
                <wp:extent cx="2704465" cy="2270760"/>
                <wp:effectExtent l="4445" t="4445" r="8890" b="1079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7076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4pt;height:178.8pt;width:212.95pt;z-index:-251657216;mso-width-relative:page;mso-height-relative:page;" fillcolor="#FFFFFF" filled="t" stroked="t" coordsize="21600,21600" o:gfxdata="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sEBbZAAAACQEAAA8AAAAAAAAAAQAgAAAAIgAAAGRycy9kb3ducmV2LnhtbFBL&#10;AQIUABQAAAAIAIdO4kAOYnMpLgIAAIIEAAAOAAAAAAAAAAEAIAAAACgBAABkcnMvZTJvRG9jLnht&#10;bFBLBQYAAAAABgAGAFkBAADIBQAAAAA=&#10;">
                <v:fill on="t" focussize="0,0"/>
                <v:stroke color="#000000" miterlimit="2" joinstyle="miter"/>
                <v:imagedata o:title=""/>
                <o:lock v:ext="edit" aspectratio="f"/>
              </v:rect>
            </w:pict>
          </mc:Fallback>
        </mc:AlternateContent>
      </w:r>
    </w:p>
    <w:p w14:paraId="14D148AF">
      <w:pPr>
        <w:autoSpaceDE w:val="0"/>
        <w:autoSpaceDN w:val="0"/>
        <w:jc w:val="center"/>
        <w:rPr>
          <w:rFonts w:hint="eastAsia" w:ascii="宋体" w:hAnsi="宋体" w:eastAsia="宋体" w:cs="宋体"/>
          <w:b/>
          <w:color w:val="auto"/>
          <w:spacing w:val="6"/>
          <w:sz w:val="32"/>
          <w:szCs w:val="32"/>
          <w:highlight w:val="none"/>
        </w:rPr>
      </w:pPr>
    </w:p>
    <w:p w14:paraId="74E4C80E">
      <w:pPr>
        <w:autoSpaceDE w:val="0"/>
        <w:autoSpaceDN w:val="0"/>
        <w:jc w:val="center"/>
        <w:rPr>
          <w:rFonts w:hint="eastAsia" w:ascii="宋体" w:hAnsi="宋体" w:eastAsia="宋体" w:cs="宋体"/>
          <w:b/>
          <w:color w:val="auto"/>
          <w:spacing w:val="6"/>
          <w:sz w:val="32"/>
          <w:szCs w:val="32"/>
          <w:highlight w:val="none"/>
        </w:rPr>
      </w:pPr>
    </w:p>
    <w:p w14:paraId="31CAE864">
      <w:pPr>
        <w:autoSpaceDE w:val="0"/>
        <w:autoSpaceDN w:val="0"/>
        <w:jc w:val="center"/>
        <w:rPr>
          <w:rFonts w:hint="eastAsia" w:ascii="宋体" w:hAnsi="宋体" w:eastAsia="宋体" w:cs="宋体"/>
          <w:b/>
          <w:color w:val="auto"/>
          <w:spacing w:val="6"/>
          <w:sz w:val="32"/>
          <w:szCs w:val="32"/>
          <w:highlight w:val="none"/>
        </w:rPr>
      </w:pPr>
    </w:p>
    <w:p w14:paraId="786BFABA">
      <w:pPr>
        <w:autoSpaceDE w:val="0"/>
        <w:autoSpaceDN w:val="0"/>
        <w:jc w:val="center"/>
        <w:rPr>
          <w:rFonts w:hint="eastAsia" w:ascii="宋体" w:hAnsi="宋体" w:eastAsia="宋体" w:cs="宋体"/>
          <w:b/>
          <w:color w:val="auto"/>
          <w:spacing w:val="6"/>
          <w:sz w:val="32"/>
          <w:szCs w:val="32"/>
          <w:highlight w:val="none"/>
        </w:rPr>
      </w:pPr>
    </w:p>
    <w:p w14:paraId="558A5AF3">
      <w:pPr>
        <w:autoSpaceDE w:val="0"/>
        <w:autoSpaceDN w:val="0"/>
        <w:jc w:val="center"/>
        <w:rPr>
          <w:rFonts w:hint="eastAsia" w:ascii="宋体" w:hAnsi="宋体" w:eastAsia="宋体" w:cs="宋体"/>
          <w:b/>
          <w:color w:val="auto"/>
          <w:spacing w:val="6"/>
          <w:sz w:val="32"/>
          <w:szCs w:val="32"/>
          <w:highlight w:val="none"/>
        </w:rPr>
      </w:pPr>
    </w:p>
    <w:p w14:paraId="1D0B4126">
      <w:pPr>
        <w:autoSpaceDE w:val="0"/>
        <w:autoSpaceDN w:val="0"/>
        <w:jc w:val="center"/>
        <w:rPr>
          <w:rFonts w:hint="eastAsia" w:ascii="宋体" w:hAnsi="宋体" w:eastAsia="宋体" w:cs="宋体"/>
          <w:b/>
          <w:color w:val="auto"/>
          <w:spacing w:val="6"/>
          <w:sz w:val="32"/>
          <w:szCs w:val="32"/>
          <w:highlight w:val="none"/>
        </w:rPr>
      </w:pPr>
    </w:p>
    <w:p w14:paraId="112272A7">
      <w:pPr>
        <w:autoSpaceDE w:val="0"/>
        <w:autoSpaceDN w:val="0"/>
        <w:jc w:val="center"/>
        <w:rPr>
          <w:rFonts w:hint="eastAsia" w:ascii="宋体" w:hAnsi="宋体" w:eastAsia="宋体" w:cs="宋体"/>
          <w:b/>
          <w:color w:val="auto"/>
          <w:spacing w:val="6"/>
          <w:sz w:val="32"/>
          <w:szCs w:val="32"/>
          <w:highlight w:val="none"/>
        </w:rPr>
      </w:pPr>
    </w:p>
    <w:p w14:paraId="68EFE699">
      <w:pPr>
        <w:autoSpaceDE w:val="0"/>
        <w:autoSpaceDN w:val="0"/>
        <w:jc w:val="center"/>
        <w:rPr>
          <w:rFonts w:hint="eastAsia" w:ascii="宋体" w:hAnsi="宋体" w:eastAsia="宋体" w:cs="宋体"/>
          <w:b/>
          <w:color w:val="auto"/>
          <w:spacing w:val="6"/>
          <w:sz w:val="32"/>
          <w:szCs w:val="32"/>
          <w:highlight w:val="none"/>
        </w:rPr>
      </w:pPr>
    </w:p>
    <w:p w14:paraId="6BEAB1D4">
      <w:pPr>
        <w:autoSpaceDE w:val="0"/>
        <w:autoSpaceDN w:val="0"/>
        <w:jc w:val="center"/>
        <w:rPr>
          <w:rFonts w:hint="eastAsia" w:ascii="宋体" w:hAnsi="宋体" w:eastAsia="宋体" w:cs="宋体"/>
          <w:b/>
          <w:color w:val="auto"/>
          <w:spacing w:val="6"/>
          <w:sz w:val="32"/>
          <w:szCs w:val="32"/>
          <w:highlight w:val="none"/>
        </w:rPr>
      </w:pPr>
    </w:p>
    <w:p w14:paraId="1EF1490B">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pacing w:val="6"/>
          <w:sz w:val="32"/>
          <w:szCs w:val="32"/>
          <w:highlight w:val="none"/>
          <w:lang w:val="zh-CN"/>
        </w:rPr>
        <w:t>联合协议</w:t>
      </w:r>
    </w:p>
    <w:p w14:paraId="79168168">
      <w:pPr>
        <w:widowControl/>
        <w:wordWrap w:val="0"/>
        <w:topLinePunct/>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[以联合体形式投标的，提供联合协议；本项目不接受联合体投标或者投标人不以联合体形式投标的，则不需要提供。]</w:t>
      </w:r>
    </w:p>
    <w:p w14:paraId="2A965E5A">
      <w:pPr>
        <w:wordWrap w:val="0"/>
        <w:topLinePunct/>
        <w:snapToGrid w:val="0"/>
        <w:spacing w:line="360" w:lineRule="auto"/>
        <w:ind w:firstLine="420" w:firstLineChars="200"/>
        <w:rPr>
          <w:rFonts w:hint="eastAsia" w:ascii="宋体" w:hAnsi="宋体" w:eastAsia="宋体" w:cs="宋体"/>
          <w:color w:val="auto"/>
          <w:kern w:val="0"/>
          <w:szCs w:val="21"/>
          <w:highlight w:val="none"/>
          <w:u w:val="single"/>
        </w:rPr>
      </w:pPr>
    </w:p>
    <w:p w14:paraId="3E68693A">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64A4E682">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5573C02C">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B7F122F">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4FECD33B">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w:t>
      </w:r>
    </w:p>
    <w:p w14:paraId="754A223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w:t>
      </w:r>
    </w:p>
    <w:p w14:paraId="6B3891B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5C8658FD">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0431C80D">
      <w:pPr>
        <w:wordWrap w:val="0"/>
        <w:topLinePunct/>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523" w:name="_Hlk101131882"/>
      <w:r>
        <w:rPr>
          <w:rFonts w:hint="eastAsia" w:ascii="宋体" w:hAnsi="宋体" w:eastAsia="宋体" w:cs="宋体"/>
          <w:color w:val="auto"/>
          <w:kern w:val="0"/>
          <w:szCs w:val="21"/>
          <w:highlight w:val="none"/>
          <w:u w:val="single"/>
        </w:rPr>
        <w:t>联合体成员X，……</w:t>
      </w:r>
      <w:bookmarkEnd w:id="523"/>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524"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524"/>
      <w:r>
        <w:rPr>
          <w:rFonts w:hint="eastAsia" w:ascii="宋体" w:hAnsi="宋体" w:eastAsia="宋体" w:cs="宋体"/>
          <w:b/>
          <w:color w:val="auto"/>
          <w:kern w:val="0"/>
          <w:szCs w:val="21"/>
          <w:highlight w:val="none"/>
          <w:lang w:val="zh-CN"/>
        </w:rPr>
        <w:t>）</w:t>
      </w:r>
    </w:p>
    <w:p w14:paraId="14188EE8">
      <w:pPr>
        <w:wordWrap w:val="0"/>
        <w:topLinePunct/>
        <w:snapToGri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525" w:name="_Hlk101133173"/>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525"/>
    </w:p>
    <w:p w14:paraId="44185FCE">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74D9B1A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797C3068">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439FB382">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2C09E6A4">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386F14ED">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0A796DB7">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62B07872">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0CF6E112">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0ADAB4DE">
      <w:pPr>
        <w:wordWrap w:val="0"/>
        <w:topLinePunct/>
        <w:spacing w:line="312"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t>注：按本格式和要求提供。</w:t>
      </w:r>
    </w:p>
    <w:p w14:paraId="0D1F7DB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4660ECC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DE71EEB">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61E5713">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1CDDE56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38BB918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147E441">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7394208">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A826909">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19F8C3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000746E8">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8CA3BB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52CDA5CA">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spacing w:val="6"/>
          <w:sz w:val="32"/>
          <w:szCs w:val="32"/>
          <w:highlight w:val="none"/>
          <w:lang w:val="zh-CN"/>
        </w:rPr>
        <w:t>分包意向协议</w:t>
      </w:r>
    </w:p>
    <w:p w14:paraId="4BC2732E">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[中标后以分包方式履行合同的，提供分包意向协议；采购人不同意分包或者投标人中标后不以分包方式履行合同的，则不需要提供。]</w:t>
      </w:r>
    </w:p>
    <w:p w14:paraId="7166B5B4">
      <w:pPr>
        <w:wordWrap w:val="0"/>
        <w:snapToGrid w:val="0"/>
        <w:spacing w:line="312" w:lineRule="auto"/>
        <w:ind w:firstLine="420" w:firstLineChars="200"/>
        <w:rPr>
          <w:rFonts w:hint="eastAsia" w:ascii="宋体" w:hAnsi="宋体" w:eastAsia="宋体" w:cs="宋体"/>
          <w:color w:val="auto"/>
          <w:kern w:val="0"/>
          <w:szCs w:val="21"/>
          <w:highlight w:val="none"/>
          <w:u w:val="single"/>
        </w:rPr>
      </w:pPr>
    </w:p>
    <w:p w14:paraId="4E397A5A">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0DB60058">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39F3B0CC">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kern w:val="0"/>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（分包供应商1名称）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（分包供应商2名称），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04435AA1">
      <w:pPr>
        <w:tabs>
          <w:tab w:val="left" w:pos="432"/>
        </w:tabs>
        <w:wordWrap w:val="0"/>
        <w:topLinePunct/>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1CFBA4D0">
      <w:pPr>
        <w:wordWrap w:val="0"/>
        <w:topLinePunct/>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二、分包供应商中小企业合同份额</w:t>
      </w:r>
    </w:p>
    <w:p w14:paraId="4EC791D2">
      <w:pPr>
        <w:wordWrap w:val="0"/>
        <w:topLinePunct/>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（分包供应商X，……）提供的服务全部由小微企业承接，</w:t>
      </w:r>
      <w:r>
        <w:rPr>
          <w:rFonts w:hint="eastAsia" w:ascii="宋体" w:hAnsi="宋体" w:eastAsia="宋体" w:cs="宋体"/>
          <w:color w:val="auto"/>
          <w:kern w:val="0"/>
          <w:szCs w:val="21"/>
          <w:highlight w:val="none"/>
        </w:rPr>
        <w:t>其合同份额占到合同总金额%以上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14:paraId="05FC34EA">
      <w:pPr>
        <w:wordWrap w:val="0"/>
        <w:topLinePunct/>
        <w:snapToGri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14:paraId="3ECD9BFE">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14:paraId="23C85B10">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14:paraId="79452364">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14:paraId="0BFC2D58">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14:paraId="614A1D7D">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14:paraId="3360E25A">
      <w:pPr>
        <w:wordWrap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14:paraId="2C1AE3F1">
      <w:pPr>
        <w:wordWrap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p>
    <w:p w14:paraId="51881CED">
      <w:pPr>
        <w:wordWrap w:val="0"/>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投标人名称(电子签名)：</w:t>
      </w:r>
    </w:p>
    <w:p w14:paraId="4C959C8B">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分包供应商名称(电子签名/公章)：</w:t>
      </w:r>
    </w:p>
    <w:p w14:paraId="7B931B5F">
      <w:pPr>
        <w:snapToGri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49F2A590">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5AE5BE63">
      <w:pPr>
        <w:spacing w:line="312"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t>注：按本格式和要求提供。</w:t>
      </w:r>
    </w:p>
    <w:p w14:paraId="2C22C1BF">
      <w:pPr>
        <w:spacing w:before="319" w:beforeLines="100" w:after="319" w:afterLines="100"/>
        <w:jc w:val="center"/>
        <w:rPr>
          <w:rFonts w:hint="eastAsia" w:ascii="宋体" w:hAnsi="宋体" w:eastAsia="宋体" w:cs="宋体"/>
          <w:b/>
          <w:color w:val="auto"/>
          <w:sz w:val="32"/>
          <w:szCs w:val="32"/>
          <w:highlight w:val="none"/>
        </w:rPr>
      </w:pPr>
    </w:p>
    <w:p w14:paraId="4404B767">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附件7：中小企业声明函:</w:t>
      </w:r>
    </w:p>
    <w:p w14:paraId="213DDD27">
      <w:pPr>
        <w:spacing w:before="319" w:before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77D6817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7D37B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 xml:space="preserve">；承建（承接）企业为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，从业人员人，营业收入为万元，资产总额为万元属于</w:t>
      </w:r>
      <w:r>
        <w:rPr>
          <w:rFonts w:hint="eastAsia" w:ascii="宋体" w:hAnsi="宋体" w:eastAsia="宋体" w:cs="宋体"/>
          <w:color w:val="auto"/>
          <w:szCs w:val="21"/>
          <w:highlight w:val="none"/>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中型企业、</w:t>
      </w:r>
      <w:r>
        <w:rPr>
          <w:rFonts w:hint="eastAsia" w:ascii="宋体" w:hAnsi="宋体" w:eastAsia="宋体" w:cs="宋体"/>
          <w:u w:val="single"/>
        </w:rPr>
        <w:sym w:font="Wingdings" w:char="00A8"/>
      </w:r>
      <w:r>
        <w:rPr>
          <w:rFonts w:hint="eastAsia" w:ascii="宋体" w:hAnsi="宋体" w:eastAsia="宋体" w:cs="宋体"/>
          <w:u w:val="single"/>
        </w:rPr>
        <w:t>小型企业、</w:t>
      </w:r>
      <w:r>
        <w:rPr>
          <w:rFonts w:hint="eastAsia" w:ascii="宋体" w:hAnsi="宋体" w:eastAsia="宋体" w:cs="宋体"/>
          <w:u w:val="single"/>
        </w:rPr>
        <w:sym w:font="Wingdings" w:char="00A8"/>
      </w:r>
      <w:r>
        <w:rPr>
          <w:rFonts w:hint="eastAsia" w:ascii="宋体" w:hAnsi="宋体" w:eastAsia="宋体" w:cs="宋体"/>
          <w:u w:val="single"/>
        </w:rPr>
        <w:t>微型企业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FCB0BD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 xml:space="preserve">；承建（承接）企业为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，从业人员人，营业收入为万元，资产总额为万元属于</w:t>
      </w:r>
      <w:r>
        <w:rPr>
          <w:rFonts w:hint="eastAsia" w:ascii="宋体" w:hAnsi="宋体" w:eastAsia="宋体" w:cs="宋体"/>
          <w:color w:val="auto"/>
          <w:szCs w:val="21"/>
          <w:highlight w:val="none"/>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中型企业、</w:t>
      </w:r>
      <w:r>
        <w:rPr>
          <w:rFonts w:hint="eastAsia" w:ascii="宋体" w:hAnsi="宋体" w:eastAsia="宋体" w:cs="宋体"/>
          <w:u w:val="single"/>
        </w:rPr>
        <w:sym w:font="Wingdings" w:char="00A8"/>
      </w:r>
      <w:r>
        <w:rPr>
          <w:rFonts w:hint="eastAsia" w:ascii="宋体" w:hAnsi="宋体" w:eastAsia="宋体" w:cs="宋体"/>
          <w:u w:val="single"/>
        </w:rPr>
        <w:t>小型企业、</w:t>
      </w:r>
      <w:r>
        <w:rPr>
          <w:rFonts w:hint="eastAsia" w:ascii="宋体" w:hAnsi="宋体" w:eastAsia="宋体" w:cs="宋体"/>
          <w:u w:val="single"/>
        </w:rPr>
        <w:sym w:font="Wingdings" w:char="00A8"/>
      </w:r>
      <w:r>
        <w:rPr>
          <w:rFonts w:hint="eastAsia" w:ascii="宋体" w:hAnsi="宋体" w:eastAsia="宋体" w:cs="宋体"/>
          <w:u w:val="single"/>
        </w:rPr>
        <w:t>微型企业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FBE5E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60451E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6B48C22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26F6AA5">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3A11F306">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101344A">
      <w:pPr>
        <w:spacing w:line="360" w:lineRule="auto"/>
        <w:ind w:firstLine="422" w:firstLineChars="200"/>
        <w:jc w:val="left"/>
        <w:rPr>
          <w:rFonts w:hint="eastAsia" w:ascii="宋体" w:hAnsi="宋体" w:eastAsia="宋体" w:cs="宋体"/>
          <w:b/>
          <w:color w:val="auto"/>
          <w:szCs w:val="21"/>
          <w:highlight w:val="none"/>
        </w:rPr>
      </w:pPr>
    </w:p>
    <w:p w14:paraId="4BED3A00">
      <w:pPr>
        <w:spacing w:line="360" w:lineRule="auto"/>
        <w:ind w:firstLine="422" w:firstLineChars="200"/>
        <w:jc w:val="left"/>
        <w:rPr>
          <w:rFonts w:hint="eastAsia" w:ascii="宋体" w:hAnsi="宋体" w:eastAsia="宋体" w:cs="宋体"/>
          <w:b/>
          <w:color w:val="auto"/>
          <w:szCs w:val="21"/>
          <w:highlight w:val="none"/>
        </w:rPr>
      </w:pPr>
    </w:p>
    <w:p w14:paraId="6A985FB4">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从业人员、营业收入、资产总额填报上一年度数据，无上一年度数据的新成立企业可不填报。</w:t>
      </w:r>
    </w:p>
    <w:p w14:paraId="781F8BF5">
      <w:pPr>
        <w:spacing w:line="360" w:lineRule="auto"/>
        <w:ind w:firstLine="420" w:firstLineChars="200"/>
        <w:rPr>
          <w:rFonts w:hint="eastAsia" w:ascii="宋体" w:hAnsi="宋体" w:eastAsia="宋体" w:cs="宋体"/>
          <w:color w:val="auto"/>
          <w:szCs w:val="21"/>
          <w:highlight w:val="none"/>
        </w:rPr>
      </w:pPr>
    </w:p>
    <w:p w14:paraId="702476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F4FE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C3EE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38EEF0">
      <w:pPr>
        <w:numPr>
          <w:ilvl w:val="0"/>
          <w:numId w:val="0"/>
        </w:numPr>
        <w:snapToGrid w:val="0"/>
        <w:spacing w:line="360" w:lineRule="auto"/>
        <w:ind w:firstLine="632" w:firstLineChars="300"/>
        <w:rPr>
          <w:rFonts w:hint="eastAsia" w:ascii="宋体" w:hAnsi="宋体" w:eastAsia="宋体" w:cs="宋体"/>
          <w:b/>
          <w:bCs/>
          <w:lang w:val="en-US" w:eastAsia="zh-CN"/>
        </w:rPr>
      </w:pPr>
      <w:r>
        <w:rPr>
          <w:rFonts w:hint="eastAsia" w:ascii="宋体" w:hAnsi="宋体" w:eastAsia="宋体" w:cs="宋体"/>
          <w:b/>
          <w:bCs/>
          <w:lang w:val="en-US" w:eastAsia="zh-CN"/>
        </w:rPr>
        <w:t>3.根据实际情况，在（</w:t>
      </w:r>
      <w:r>
        <w:rPr>
          <w:rFonts w:hint="eastAsia" w:ascii="宋体" w:hAnsi="宋体" w:eastAsia="宋体" w:cs="宋体"/>
          <w:b/>
          <w:bCs/>
        </w:rPr>
        <w:sym w:font="Wingdings" w:char="00A8"/>
      </w:r>
      <w:r>
        <w:rPr>
          <w:rFonts w:hint="eastAsia" w:ascii="宋体" w:hAnsi="宋体" w:eastAsia="宋体" w:cs="宋体"/>
          <w:b/>
          <w:bCs/>
          <w:u w:val="none"/>
        </w:rPr>
        <w:t>中型企业、</w:t>
      </w:r>
      <w:r>
        <w:rPr>
          <w:rFonts w:hint="eastAsia" w:ascii="宋体" w:hAnsi="宋体" w:eastAsia="宋体" w:cs="宋体"/>
          <w:b/>
          <w:bCs/>
          <w:u w:val="none"/>
        </w:rPr>
        <w:sym w:font="Wingdings" w:char="00A8"/>
      </w:r>
      <w:r>
        <w:rPr>
          <w:rFonts w:hint="eastAsia" w:ascii="宋体" w:hAnsi="宋体" w:eastAsia="宋体" w:cs="宋体"/>
          <w:b/>
          <w:bCs/>
          <w:u w:val="none"/>
        </w:rPr>
        <w:t>小型企业、</w:t>
      </w:r>
      <w:r>
        <w:rPr>
          <w:rFonts w:hint="eastAsia" w:ascii="宋体" w:hAnsi="宋体" w:eastAsia="宋体" w:cs="宋体"/>
          <w:b/>
          <w:bCs/>
          <w:u w:val="none"/>
        </w:rPr>
        <w:sym w:font="Wingdings" w:char="00A8"/>
      </w:r>
      <w:r>
        <w:rPr>
          <w:rFonts w:hint="eastAsia" w:ascii="宋体" w:hAnsi="宋体" w:eastAsia="宋体" w:cs="宋体"/>
          <w:b/>
          <w:bCs/>
          <w:u w:val="none"/>
        </w:rPr>
        <w:t>微型企业</w:t>
      </w:r>
      <w:r>
        <w:rPr>
          <w:rFonts w:hint="eastAsia" w:ascii="宋体" w:hAnsi="宋体" w:eastAsia="宋体" w:cs="宋体"/>
          <w:b/>
          <w:bCs/>
          <w:lang w:val="en-US" w:eastAsia="zh-CN"/>
        </w:rPr>
        <w:t>）处进行勾选。</w:t>
      </w:r>
    </w:p>
    <w:p w14:paraId="2B4851B1">
      <w:pPr>
        <w:spacing w:line="360" w:lineRule="auto"/>
        <w:ind w:right="420"/>
        <w:rPr>
          <w:rFonts w:hint="eastAsia" w:ascii="宋体" w:hAnsi="宋体" w:eastAsia="宋体" w:cs="宋体"/>
          <w:color w:val="auto"/>
          <w:highlight w:val="none"/>
        </w:rPr>
      </w:pPr>
    </w:p>
    <w:p w14:paraId="0A077FE1">
      <w:pPr>
        <w:spacing w:line="360" w:lineRule="auto"/>
        <w:rPr>
          <w:rFonts w:hint="eastAsia" w:ascii="宋体" w:hAnsi="宋体" w:eastAsia="宋体" w:cs="宋体"/>
          <w:bCs/>
          <w:color w:val="auto"/>
          <w:sz w:val="24"/>
          <w:highlight w:val="none"/>
        </w:rPr>
      </w:pPr>
    </w:p>
    <w:sectPr>
      <w:headerReference r:id="rId13" w:type="first"/>
      <w:footerReference r:id="rId16" w:type="first"/>
      <w:footerReference r:id="rId14" w:type="default"/>
      <w:footerReference r:id="rId15" w:type="even"/>
      <w:pgSz w:w="11905" w:h="16838"/>
      <w:pgMar w:top="1440" w:right="1083" w:bottom="1440" w:left="108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CCCD">
    <w:pPr>
      <w:pStyle w:val="43"/>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22</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22</w:t>
    </w:r>
    <w:r>
      <w:rPr>
        <w:rFonts w:hint="eastAsia" w:ascii="幼圆" w:hAnsi="幼圆" w:eastAsia="幼圆" w:cs="幼圆"/>
        <w:kern w:val="0"/>
      </w:rPr>
      <w:fldChar w:fldCharType="end"/>
    </w:r>
    <w:r>
      <w:rPr>
        <w:rFonts w:hint="eastAsia" w:ascii="幼圆" w:hAnsi="幼圆" w:eastAsia="幼圆" w:cs="幼圆"/>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A204">
    <w:pPr>
      <w:pStyle w:val="43"/>
      <w:framePr w:wrap="around" w:vAnchor="text" w:hAnchor="margin" w:xAlign="right" w:y="1"/>
      <w:rPr>
        <w:rStyle w:val="75"/>
      </w:rPr>
    </w:pPr>
    <w:r>
      <w:fldChar w:fldCharType="begin"/>
    </w:r>
    <w:r>
      <w:rPr>
        <w:rStyle w:val="75"/>
      </w:rPr>
      <w:instrText xml:space="preserve">PAGE  </w:instrText>
    </w:r>
    <w:r>
      <w:fldChar w:fldCharType="end"/>
    </w:r>
  </w:p>
  <w:p w14:paraId="5A900F2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59B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CF04">
    <w:pPr>
      <w:pStyle w:val="43"/>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56</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71</w:t>
    </w:r>
    <w:r>
      <w:rPr>
        <w:rFonts w:hint="eastAsia" w:ascii="幼圆" w:hAnsi="幼圆" w:eastAsia="幼圆" w:cs="幼圆"/>
        <w:kern w:val="0"/>
      </w:rPr>
      <w:fldChar w:fldCharType="end"/>
    </w:r>
    <w:r>
      <w:rPr>
        <w:rFonts w:hint="eastAsia" w:ascii="幼圆" w:hAnsi="幼圆" w:eastAsia="幼圆" w:cs="幼圆"/>
        <w:kern w:val="0"/>
      </w:rPr>
      <w:t xml:space="preserve"> 页</w:t>
    </w:r>
  </w:p>
  <w:p w14:paraId="45FD1F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03DA">
    <w:pPr>
      <w:pStyle w:val="43"/>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58</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71</w:t>
    </w:r>
    <w:r>
      <w:rPr>
        <w:rFonts w:hint="eastAsia" w:ascii="幼圆" w:hAnsi="幼圆" w:eastAsia="幼圆" w:cs="幼圆"/>
        <w:kern w:val="0"/>
      </w:rPr>
      <w:fldChar w:fldCharType="end"/>
    </w:r>
    <w:r>
      <w:rPr>
        <w:rFonts w:hint="eastAsia" w:ascii="幼圆" w:hAnsi="幼圆" w:eastAsia="幼圆" w:cs="幼圆"/>
        <w:kern w:val="0"/>
      </w:rPr>
      <w:t xml:space="preserve"> 页</w:t>
    </w:r>
  </w:p>
  <w:p w14:paraId="4BABD9D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9C2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5967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0900">
    <w:pPr>
      <w:pStyle w:val="43"/>
      <w:jc w:val="center"/>
      <w:rPr>
        <w:rFonts w:ascii="幼圆" w:hAnsi="幼圆" w:eastAsia="幼圆" w:cs="幼圆"/>
        <w:szCs w:val="24"/>
      </w:rPr>
    </w:pPr>
    <w:r>
      <w:rPr>
        <w:rFonts w:hint="eastAsia" w:ascii="幼圆" w:hAnsi="幼圆" w:eastAsia="幼圆" w:cs="幼圆"/>
        <w:kern w:val="0"/>
        <w:szCs w:val="21"/>
      </w:rPr>
      <w:t xml:space="preserve">第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PAGE </w:instrText>
    </w:r>
    <w:r>
      <w:rPr>
        <w:rFonts w:hint="eastAsia" w:ascii="幼圆" w:hAnsi="幼圆" w:eastAsia="幼圆" w:cs="幼圆"/>
        <w:kern w:val="0"/>
        <w:szCs w:val="21"/>
      </w:rPr>
      <w:fldChar w:fldCharType="separate"/>
    </w:r>
    <w:r>
      <w:rPr>
        <w:rFonts w:ascii="幼圆" w:hAnsi="幼圆" w:eastAsia="幼圆" w:cs="幼圆"/>
        <w:kern w:val="0"/>
        <w:szCs w:val="21"/>
      </w:rPr>
      <w:t>68</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 共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NUMPAGES </w:instrText>
    </w:r>
    <w:r>
      <w:rPr>
        <w:rFonts w:hint="eastAsia" w:ascii="幼圆" w:hAnsi="幼圆" w:eastAsia="幼圆" w:cs="幼圆"/>
        <w:kern w:val="0"/>
        <w:szCs w:val="21"/>
      </w:rPr>
      <w:fldChar w:fldCharType="separate"/>
    </w:r>
    <w:r>
      <w:rPr>
        <w:rFonts w:ascii="幼圆" w:hAnsi="幼圆" w:eastAsia="幼圆" w:cs="幼圆"/>
        <w:kern w:val="0"/>
        <w:szCs w:val="21"/>
      </w:rPr>
      <w:t>71</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2409">
    <w:pPr>
      <w:pStyle w:val="43"/>
      <w:framePr w:wrap="around" w:vAnchor="text" w:hAnchor="margin" w:xAlign="right" w:y="1"/>
      <w:rPr>
        <w:rStyle w:val="75"/>
      </w:rPr>
    </w:pPr>
    <w:r>
      <w:fldChar w:fldCharType="begin"/>
    </w:r>
    <w:r>
      <w:rPr>
        <w:rStyle w:val="75"/>
      </w:rPr>
      <w:instrText xml:space="preserve">PAGE  </w:instrText>
    </w:r>
    <w:r>
      <w:fldChar w:fldCharType="end"/>
    </w:r>
  </w:p>
  <w:p w14:paraId="19BEBA95">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D372">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6" w:name="_Toc91899912"/>
    <w:bookmarkStart w:id="527" w:name="_Toc36110187"/>
    <w:bookmarkStart w:id="528" w:name="_Toc131845147"/>
    <w:bookmarkStart w:id="529" w:name="_Toc164085800"/>
    <w:r>
      <w:rPr>
        <w:rFonts w:hint="eastAsia" w:ascii="仿宋_GB2312" w:eastAsia="仿宋_GB2312"/>
        <w:kern w:val="0"/>
        <w:szCs w:val="21"/>
      </w:rPr>
      <w:t xml:space="preserve"> 页</w:t>
    </w:r>
    <w:bookmarkEnd w:id="526"/>
    <w:bookmarkEnd w:id="527"/>
    <w:bookmarkEnd w:id="528"/>
    <w:bookmarkEnd w:id="52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C9B63">
    <w:pPr>
      <w:pStyle w:val="2"/>
      <w:pBdr>
        <w:bottom w:val="thickThinLargeGap" w:color="auto" w:sz="4" w:space="0"/>
      </w:pBdr>
      <w:tabs>
        <w:tab w:val="center" w:pos="4535"/>
        <w:tab w:val="right" w:pos="9070"/>
      </w:tabs>
      <w:jc w:val="both"/>
      <w:rPr>
        <w:rFonts w:hint="eastAsia" w:ascii="仿宋_GB2312" w:eastAsia="黑体"/>
        <w:b w:val="0"/>
        <w:i/>
        <w:color w:val="auto"/>
        <w:sz w:val="18"/>
        <w:u w:val="single"/>
        <w:lang w:val="en-US" w:eastAsia="zh-CN"/>
      </w:rPr>
    </w:pPr>
    <w:r>
      <w:rPr>
        <w:rFonts w:hint="eastAsia" w:ascii="幼圆" w:hAnsi="幼圆" w:eastAsia="幼圆" w:cs="幼圆"/>
        <w:b w:val="0"/>
        <w:color w:val="auto"/>
        <w:kern w:val="2"/>
        <w:sz w:val="18"/>
        <w:szCs w:val="18"/>
        <w:lang w:val="en-US" w:eastAsia="zh-CN"/>
      </w:rPr>
      <w:t>嘉兴市秀洲区油车港镇镇区环境保洁项目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D2A3">
    <w:pPr>
      <w:pStyle w:val="45"/>
      <w:pBdr>
        <w:bottom w:val="thickThinLargeGap" w:color="auto" w:sz="4" w:space="0"/>
      </w:pBdr>
      <w:tabs>
        <w:tab w:val="center" w:pos="4535"/>
        <w:tab w:val="right" w:pos="9070"/>
        <w:tab w:val="clear" w:pos="4153"/>
        <w:tab w:val="clear" w:pos="8306"/>
      </w:tabs>
      <w:jc w:val="both"/>
      <w:rPr>
        <w:rFonts w:hint="eastAsia" w:eastAsia="宋体"/>
        <w:lang w:eastAsia="zh-CN"/>
      </w:rPr>
    </w:pPr>
    <w:r>
      <w:rPr>
        <w:rFonts w:hint="eastAsia" w:ascii="幼圆" w:hAnsi="幼圆" w:eastAsia="幼圆" w:cs="幼圆"/>
        <w:lang w:eastAsia="zh-CN"/>
      </w:rPr>
      <w:t>嘉兴市秀洲区油车港镇镇区环境保洁项目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CE98">
    <w:pPr>
      <w:pStyle w:val="45"/>
      <w:pBdr>
        <w:bottom w:val="thickThinLargeGap" w:color="auto" w:sz="4" w:space="1"/>
      </w:pBdr>
      <w:jc w:val="both"/>
      <w:rPr>
        <w:rFonts w:hint="eastAsia" w:ascii="仿宋_GB2312" w:eastAsia="黑体"/>
        <w:b/>
        <w:i/>
        <w:color w:val="auto"/>
        <w:u w:val="single"/>
        <w:lang w:eastAsia="zh-CN"/>
      </w:rPr>
    </w:pPr>
    <w:r>
      <w:rPr>
        <w:rFonts w:hint="eastAsia" w:ascii="幼圆" w:hAnsi="幼圆" w:eastAsia="幼圆" w:cs="幼圆"/>
        <w:color w:val="auto"/>
        <w:lang w:eastAsia="zh-CN"/>
      </w:rPr>
      <w:t>嘉兴市秀洲区油车港镇镇区环境保洁项目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70E4">
    <w:pPr>
      <w:pStyle w:val="4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2F7A">
    <w:pPr>
      <w:pStyle w:val="4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F3C78"/>
    <w:multiLevelType w:val="singleLevel"/>
    <w:tmpl w:val="4AFF3C78"/>
    <w:lvl w:ilvl="0" w:tentative="0">
      <w:start w:val="1"/>
      <w:numFmt w:val="decimal"/>
      <w:lvlText w:val="%1."/>
      <w:lvlJc w:val="left"/>
      <w:pPr>
        <w:tabs>
          <w:tab w:val="left" w:pos="312"/>
        </w:tabs>
      </w:pPr>
    </w:lvl>
  </w:abstractNum>
  <w:abstractNum w:abstractNumId="1">
    <w:nsid w:val="548CA1FE"/>
    <w:multiLevelType w:val="singleLevel"/>
    <w:tmpl w:val="548CA1F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zMzYjdkMDc0MjVkNDkzYzJjNDkyMTkzODYz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4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EF9"/>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2E0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238"/>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0B24"/>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22A"/>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D0F"/>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CAD"/>
    <w:rsid w:val="0028316D"/>
    <w:rsid w:val="00283296"/>
    <w:rsid w:val="0028583E"/>
    <w:rsid w:val="00285853"/>
    <w:rsid w:val="00285B1A"/>
    <w:rsid w:val="00285FF3"/>
    <w:rsid w:val="002866EC"/>
    <w:rsid w:val="0028744E"/>
    <w:rsid w:val="002876D2"/>
    <w:rsid w:val="00287936"/>
    <w:rsid w:val="00287BB7"/>
    <w:rsid w:val="002903C5"/>
    <w:rsid w:val="0029041B"/>
    <w:rsid w:val="00290638"/>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65FF"/>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3F"/>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09C"/>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0914"/>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62C"/>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3DA"/>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E06"/>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A69"/>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883"/>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309"/>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80F"/>
    <w:rsid w:val="00660AF7"/>
    <w:rsid w:val="00660D3E"/>
    <w:rsid w:val="00661691"/>
    <w:rsid w:val="00661DD9"/>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3E4"/>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ADF"/>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610"/>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3E"/>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A9F"/>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6A69"/>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5ECA"/>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6BF8"/>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05E"/>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A53"/>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08AD"/>
    <w:rsid w:val="00A6170B"/>
    <w:rsid w:val="00A61991"/>
    <w:rsid w:val="00A61B7F"/>
    <w:rsid w:val="00A61B91"/>
    <w:rsid w:val="00A61C3A"/>
    <w:rsid w:val="00A620E8"/>
    <w:rsid w:val="00A620FA"/>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EC7"/>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068"/>
    <w:rsid w:val="00AB3466"/>
    <w:rsid w:val="00AB38B2"/>
    <w:rsid w:val="00AB3BBB"/>
    <w:rsid w:val="00AB3C57"/>
    <w:rsid w:val="00AB408C"/>
    <w:rsid w:val="00AB43AF"/>
    <w:rsid w:val="00AB4E41"/>
    <w:rsid w:val="00AB547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070"/>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419"/>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2B7"/>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FD0"/>
    <w:rsid w:val="00BE4222"/>
    <w:rsid w:val="00BE472D"/>
    <w:rsid w:val="00BE4C03"/>
    <w:rsid w:val="00BE6067"/>
    <w:rsid w:val="00BE67D5"/>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13B"/>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2D78"/>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5E3A"/>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60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8E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5F4D"/>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B1"/>
    <w:rsid w:val="00F54E5E"/>
    <w:rsid w:val="00F551DB"/>
    <w:rsid w:val="00F55810"/>
    <w:rsid w:val="00F559BE"/>
    <w:rsid w:val="00F56F7E"/>
    <w:rsid w:val="00F56FEF"/>
    <w:rsid w:val="00F57521"/>
    <w:rsid w:val="00F60938"/>
    <w:rsid w:val="00F60A34"/>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00C"/>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D7C27"/>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377B2A"/>
    <w:rsid w:val="019232C4"/>
    <w:rsid w:val="019F7441"/>
    <w:rsid w:val="01B37585"/>
    <w:rsid w:val="01D55165"/>
    <w:rsid w:val="01DF6BF8"/>
    <w:rsid w:val="01EC2C57"/>
    <w:rsid w:val="026B2E25"/>
    <w:rsid w:val="02824D4D"/>
    <w:rsid w:val="02DC4B10"/>
    <w:rsid w:val="02DD76CE"/>
    <w:rsid w:val="02F208C2"/>
    <w:rsid w:val="02F36323"/>
    <w:rsid w:val="02F5619C"/>
    <w:rsid w:val="0326446A"/>
    <w:rsid w:val="032D5555"/>
    <w:rsid w:val="035703C5"/>
    <w:rsid w:val="036634D2"/>
    <w:rsid w:val="037D56E7"/>
    <w:rsid w:val="03DD35E4"/>
    <w:rsid w:val="04076900"/>
    <w:rsid w:val="041A5A3B"/>
    <w:rsid w:val="042311BA"/>
    <w:rsid w:val="042B157A"/>
    <w:rsid w:val="04325B30"/>
    <w:rsid w:val="04637523"/>
    <w:rsid w:val="048F763B"/>
    <w:rsid w:val="049F330E"/>
    <w:rsid w:val="04AA775C"/>
    <w:rsid w:val="04AF1889"/>
    <w:rsid w:val="04E7136E"/>
    <w:rsid w:val="04F66F48"/>
    <w:rsid w:val="04F85F7D"/>
    <w:rsid w:val="05251E14"/>
    <w:rsid w:val="05524952"/>
    <w:rsid w:val="05A16594"/>
    <w:rsid w:val="05A7762D"/>
    <w:rsid w:val="060E5941"/>
    <w:rsid w:val="06110FAF"/>
    <w:rsid w:val="06493CA7"/>
    <w:rsid w:val="065A6178"/>
    <w:rsid w:val="066F1CF3"/>
    <w:rsid w:val="06925398"/>
    <w:rsid w:val="06930BB8"/>
    <w:rsid w:val="069B7C33"/>
    <w:rsid w:val="07064C57"/>
    <w:rsid w:val="07245D42"/>
    <w:rsid w:val="07264C62"/>
    <w:rsid w:val="0779354C"/>
    <w:rsid w:val="07F3387A"/>
    <w:rsid w:val="08061376"/>
    <w:rsid w:val="08452D77"/>
    <w:rsid w:val="086401F8"/>
    <w:rsid w:val="08751CAA"/>
    <w:rsid w:val="087E4C40"/>
    <w:rsid w:val="08B60D54"/>
    <w:rsid w:val="08D66AD6"/>
    <w:rsid w:val="08DA33A3"/>
    <w:rsid w:val="08E51639"/>
    <w:rsid w:val="08E80F13"/>
    <w:rsid w:val="08F460BB"/>
    <w:rsid w:val="08F814C2"/>
    <w:rsid w:val="09335624"/>
    <w:rsid w:val="0944690F"/>
    <w:rsid w:val="09535675"/>
    <w:rsid w:val="095D0750"/>
    <w:rsid w:val="095F057D"/>
    <w:rsid w:val="09624DC1"/>
    <w:rsid w:val="09642282"/>
    <w:rsid w:val="09733572"/>
    <w:rsid w:val="09772C16"/>
    <w:rsid w:val="098353B5"/>
    <w:rsid w:val="09975825"/>
    <w:rsid w:val="09A92330"/>
    <w:rsid w:val="09B06B87"/>
    <w:rsid w:val="09C13146"/>
    <w:rsid w:val="09E04166"/>
    <w:rsid w:val="09F75AC8"/>
    <w:rsid w:val="0A0F2E11"/>
    <w:rsid w:val="0A1C0718"/>
    <w:rsid w:val="0A3E7710"/>
    <w:rsid w:val="0A402FCB"/>
    <w:rsid w:val="0A5B7E63"/>
    <w:rsid w:val="0AA374A5"/>
    <w:rsid w:val="0AAB7649"/>
    <w:rsid w:val="0ABC5606"/>
    <w:rsid w:val="0ADB7197"/>
    <w:rsid w:val="0B0E131B"/>
    <w:rsid w:val="0B2C7471"/>
    <w:rsid w:val="0B30404E"/>
    <w:rsid w:val="0B4C6C14"/>
    <w:rsid w:val="0B631A88"/>
    <w:rsid w:val="0B683D45"/>
    <w:rsid w:val="0B7F3F11"/>
    <w:rsid w:val="0B884417"/>
    <w:rsid w:val="0BEA40E5"/>
    <w:rsid w:val="0BF6188C"/>
    <w:rsid w:val="0BF73C91"/>
    <w:rsid w:val="0C170175"/>
    <w:rsid w:val="0C571A41"/>
    <w:rsid w:val="0C5C1171"/>
    <w:rsid w:val="0C5E1CBC"/>
    <w:rsid w:val="0C615B50"/>
    <w:rsid w:val="0C7F7D0C"/>
    <w:rsid w:val="0C8445DA"/>
    <w:rsid w:val="0C87121B"/>
    <w:rsid w:val="0CBD5A60"/>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B74B8"/>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0FF22FB9"/>
    <w:rsid w:val="10421E87"/>
    <w:rsid w:val="10646583"/>
    <w:rsid w:val="107D4B15"/>
    <w:rsid w:val="108A3C80"/>
    <w:rsid w:val="10B63FE7"/>
    <w:rsid w:val="10C26171"/>
    <w:rsid w:val="10F33360"/>
    <w:rsid w:val="10FC16EA"/>
    <w:rsid w:val="110F1D40"/>
    <w:rsid w:val="11266F33"/>
    <w:rsid w:val="118963A1"/>
    <w:rsid w:val="119473D2"/>
    <w:rsid w:val="11C6522A"/>
    <w:rsid w:val="11CA1674"/>
    <w:rsid w:val="11E104CC"/>
    <w:rsid w:val="11E20309"/>
    <w:rsid w:val="12255233"/>
    <w:rsid w:val="12530213"/>
    <w:rsid w:val="126F1207"/>
    <w:rsid w:val="127723A9"/>
    <w:rsid w:val="12862074"/>
    <w:rsid w:val="12883966"/>
    <w:rsid w:val="129E45B4"/>
    <w:rsid w:val="12B855CF"/>
    <w:rsid w:val="12D81596"/>
    <w:rsid w:val="13072A44"/>
    <w:rsid w:val="135F4BE2"/>
    <w:rsid w:val="139B1A0A"/>
    <w:rsid w:val="139D25C7"/>
    <w:rsid w:val="13BF3CE4"/>
    <w:rsid w:val="13D30E93"/>
    <w:rsid w:val="13DF72EE"/>
    <w:rsid w:val="141008D8"/>
    <w:rsid w:val="14125FE6"/>
    <w:rsid w:val="146D271E"/>
    <w:rsid w:val="14982588"/>
    <w:rsid w:val="149A5AD9"/>
    <w:rsid w:val="14A41574"/>
    <w:rsid w:val="14A7619D"/>
    <w:rsid w:val="14D70121"/>
    <w:rsid w:val="14E326F3"/>
    <w:rsid w:val="150536C3"/>
    <w:rsid w:val="150C1963"/>
    <w:rsid w:val="151447A0"/>
    <w:rsid w:val="154A6454"/>
    <w:rsid w:val="15762120"/>
    <w:rsid w:val="15D05B4B"/>
    <w:rsid w:val="15D27773"/>
    <w:rsid w:val="15D54F0F"/>
    <w:rsid w:val="15FB5702"/>
    <w:rsid w:val="16155B22"/>
    <w:rsid w:val="162D57EF"/>
    <w:rsid w:val="16A8729C"/>
    <w:rsid w:val="16B33777"/>
    <w:rsid w:val="16BC70A7"/>
    <w:rsid w:val="16C6339E"/>
    <w:rsid w:val="16D72F09"/>
    <w:rsid w:val="16F97B5B"/>
    <w:rsid w:val="16FB4122"/>
    <w:rsid w:val="16FC6A01"/>
    <w:rsid w:val="1705609A"/>
    <w:rsid w:val="170F1DAE"/>
    <w:rsid w:val="172E00FB"/>
    <w:rsid w:val="172F2D79"/>
    <w:rsid w:val="17337946"/>
    <w:rsid w:val="17557BEF"/>
    <w:rsid w:val="175C6F6A"/>
    <w:rsid w:val="179A2834"/>
    <w:rsid w:val="17B82142"/>
    <w:rsid w:val="17C94182"/>
    <w:rsid w:val="17D349C1"/>
    <w:rsid w:val="1830729E"/>
    <w:rsid w:val="1870062C"/>
    <w:rsid w:val="18817102"/>
    <w:rsid w:val="18824C15"/>
    <w:rsid w:val="18830A15"/>
    <w:rsid w:val="18852B28"/>
    <w:rsid w:val="188B5321"/>
    <w:rsid w:val="18A63149"/>
    <w:rsid w:val="18C80D5B"/>
    <w:rsid w:val="18D101A4"/>
    <w:rsid w:val="193F6FDA"/>
    <w:rsid w:val="19932372"/>
    <w:rsid w:val="19A20DD5"/>
    <w:rsid w:val="19AE03F1"/>
    <w:rsid w:val="1A071A03"/>
    <w:rsid w:val="1A1F16AE"/>
    <w:rsid w:val="1A3B5C77"/>
    <w:rsid w:val="1A984BAD"/>
    <w:rsid w:val="1A9C233C"/>
    <w:rsid w:val="1AB8220E"/>
    <w:rsid w:val="1AE4166C"/>
    <w:rsid w:val="1AF06CFB"/>
    <w:rsid w:val="1AF11B8D"/>
    <w:rsid w:val="1AFE4706"/>
    <w:rsid w:val="1B11359C"/>
    <w:rsid w:val="1B2A271F"/>
    <w:rsid w:val="1B530544"/>
    <w:rsid w:val="1B713184"/>
    <w:rsid w:val="1B841FD5"/>
    <w:rsid w:val="1BA209CF"/>
    <w:rsid w:val="1BB4777D"/>
    <w:rsid w:val="1BD75AB8"/>
    <w:rsid w:val="1C0459C2"/>
    <w:rsid w:val="1C0C56FB"/>
    <w:rsid w:val="1C1B3B4A"/>
    <w:rsid w:val="1C88086E"/>
    <w:rsid w:val="1CF81355"/>
    <w:rsid w:val="1D266CE1"/>
    <w:rsid w:val="1D2D3883"/>
    <w:rsid w:val="1D3963AF"/>
    <w:rsid w:val="1D50293C"/>
    <w:rsid w:val="1D504EC1"/>
    <w:rsid w:val="1D6A673C"/>
    <w:rsid w:val="1D6E74F2"/>
    <w:rsid w:val="1D9247AE"/>
    <w:rsid w:val="1DAD4EB4"/>
    <w:rsid w:val="1DB567EC"/>
    <w:rsid w:val="1DF51A98"/>
    <w:rsid w:val="1E3D060F"/>
    <w:rsid w:val="1E3F7D2E"/>
    <w:rsid w:val="1E4134E4"/>
    <w:rsid w:val="1E5062B3"/>
    <w:rsid w:val="1E523514"/>
    <w:rsid w:val="1E714A66"/>
    <w:rsid w:val="1E802593"/>
    <w:rsid w:val="1EA703CC"/>
    <w:rsid w:val="1EB7330C"/>
    <w:rsid w:val="1F0A0FF3"/>
    <w:rsid w:val="1F5771FF"/>
    <w:rsid w:val="1FE76643"/>
    <w:rsid w:val="1FE868A9"/>
    <w:rsid w:val="1FF92231"/>
    <w:rsid w:val="2001023E"/>
    <w:rsid w:val="20034907"/>
    <w:rsid w:val="20037D9C"/>
    <w:rsid w:val="20173E4B"/>
    <w:rsid w:val="20314109"/>
    <w:rsid w:val="204E48BC"/>
    <w:rsid w:val="2079293B"/>
    <w:rsid w:val="208921B3"/>
    <w:rsid w:val="20973DEB"/>
    <w:rsid w:val="20B26522"/>
    <w:rsid w:val="20B44310"/>
    <w:rsid w:val="20C85AF0"/>
    <w:rsid w:val="211116EB"/>
    <w:rsid w:val="2116462E"/>
    <w:rsid w:val="216133FC"/>
    <w:rsid w:val="21D56769"/>
    <w:rsid w:val="21DA281F"/>
    <w:rsid w:val="21DF070C"/>
    <w:rsid w:val="21DF6686"/>
    <w:rsid w:val="21E52EF3"/>
    <w:rsid w:val="21FB5D7B"/>
    <w:rsid w:val="220B1C3D"/>
    <w:rsid w:val="220D3C83"/>
    <w:rsid w:val="221D1D20"/>
    <w:rsid w:val="221D25B7"/>
    <w:rsid w:val="221F59EE"/>
    <w:rsid w:val="221F78FD"/>
    <w:rsid w:val="22334A87"/>
    <w:rsid w:val="22BE6801"/>
    <w:rsid w:val="233500BF"/>
    <w:rsid w:val="23377FF7"/>
    <w:rsid w:val="236B425F"/>
    <w:rsid w:val="237C266D"/>
    <w:rsid w:val="23836192"/>
    <w:rsid w:val="23901F29"/>
    <w:rsid w:val="239C0061"/>
    <w:rsid w:val="23B908A4"/>
    <w:rsid w:val="23D41D37"/>
    <w:rsid w:val="23E95BEF"/>
    <w:rsid w:val="23FD0064"/>
    <w:rsid w:val="245375B0"/>
    <w:rsid w:val="24642C0A"/>
    <w:rsid w:val="24863BB4"/>
    <w:rsid w:val="24B22173"/>
    <w:rsid w:val="24B95AD9"/>
    <w:rsid w:val="24BE24DA"/>
    <w:rsid w:val="24CF5825"/>
    <w:rsid w:val="24D663E6"/>
    <w:rsid w:val="24D77F2B"/>
    <w:rsid w:val="25005CA4"/>
    <w:rsid w:val="251063F9"/>
    <w:rsid w:val="25684B40"/>
    <w:rsid w:val="258B00E2"/>
    <w:rsid w:val="25A917A6"/>
    <w:rsid w:val="25BE27CC"/>
    <w:rsid w:val="25F74A5C"/>
    <w:rsid w:val="2628662C"/>
    <w:rsid w:val="262D45DE"/>
    <w:rsid w:val="26370614"/>
    <w:rsid w:val="263712CE"/>
    <w:rsid w:val="266F000B"/>
    <w:rsid w:val="268309AC"/>
    <w:rsid w:val="26A53EF9"/>
    <w:rsid w:val="26A94201"/>
    <w:rsid w:val="26AC274F"/>
    <w:rsid w:val="27044A29"/>
    <w:rsid w:val="271D34C8"/>
    <w:rsid w:val="27271343"/>
    <w:rsid w:val="272717DA"/>
    <w:rsid w:val="27425763"/>
    <w:rsid w:val="276142BF"/>
    <w:rsid w:val="27723941"/>
    <w:rsid w:val="27783712"/>
    <w:rsid w:val="27907362"/>
    <w:rsid w:val="27CE49D7"/>
    <w:rsid w:val="28333E1D"/>
    <w:rsid w:val="28454BD6"/>
    <w:rsid w:val="28455253"/>
    <w:rsid w:val="28551971"/>
    <w:rsid w:val="285B1C53"/>
    <w:rsid w:val="289F7086"/>
    <w:rsid w:val="28C32028"/>
    <w:rsid w:val="28CC490F"/>
    <w:rsid w:val="28DA4193"/>
    <w:rsid w:val="28DE40AA"/>
    <w:rsid w:val="29345E77"/>
    <w:rsid w:val="294C65AD"/>
    <w:rsid w:val="2969358F"/>
    <w:rsid w:val="29806583"/>
    <w:rsid w:val="298B3C4C"/>
    <w:rsid w:val="29932CBF"/>
    <w:rsid w:val="29EB7F9B"/>
    <w:rsid w:val="29F26D24"/>
    <w:rsid w:val="2A15033F"/>
    <w:rsid w:val="2A1662C1"/>
    <w:rsid w:val="2A1C7367"/>
    <w:rsid w:val="2A2815FA"/>
    <w:rsid w:val="2A6D6092"/>
    <w:rsid w:val="2A7D76B4"/>
    <w:rsid w:val="2B2F1CAA"/>
    <w:rsid w:val="2B431325"/>
    <w:rsid w:val="2B437463"/>
    <w:rsid w:val="2B487D7C"/>
    <w:rsid w:val="2B7807EE"/>
    <w:rsid w:val="2BBE2C91"/>
    <w:rsid w:val="2BBF00EC"/>
    <w:rsid w:val="2BC37CFD"/>
    <w:rsid w:val="2BD5237F"/>
    <w:rsid w:val="2BE536CE"/>
    <w:rsid w:val="2BE758D9"/>
    <w:rsid w:val="2BEB1704"/>
    <w:rsid w:val="2C09049E"/>
    <w:rsid w:val="2C0A653C"/>
    <w:rsid w:val="2C191F85"/>
    <w:rsid w:val="2C212804"/>
    <w:rsid w:val="2C574D97"/>
    <w:rsid w:val="2C711F40"/>
    <w:rsid w:val="2CCD46A4"/>
    <w:rsid w:val="2CE82D6F"/>
    <w:rsid w:val="2D143B41"/>
    <w:rsid w:val="2D343236"/>
    <w:rsid w:val="2D7A60D5"/>
    <w:rsid w:val="2DD15014"/>
    <w:rsid w:val="2DE73489"/>
    <w:rsid w:val="2DF72DE4"/>
    <w:rsid w:val="2E0220AF"/>
    <w:rsid w:val="2E2D690F"/>
    <w:rsid w:val="2E4B082A"/>
    <w:rsid w:val="2E5D4E86"/>
    <w:rsid w:val="2E5D790B"/>
    <w:rsid w:val="2E907CAC"/>
    <w:rsid w:val="2E9A3C18"/>
    <w:rsid w:val="2EAE5EE7"/>
    <w:rsid w:val="2EB96E75"/>
    <w:rsid w:val="2EBB0FEE"/>
    <w:rsid w:val="2EC63002"/>
    <w:rsid w:val="2F0A6B38"/>
    <w:rsid w:val="2F427356"/>
    <w:rsid w:val="2F8310E0"/>
    <w:rsid w:val="2F946CCB"/>
    <w:rsid w:val="2FD25781"/>
    <w:rsid w:val="2FFD7934"/>
    <w:rsid w:val="3027350F"/>
    <w:rsid w:val="304229F7"/>
    <w:rsid w:val="30733ACD"/>
    <w:rsid w:val="308C3862"/>
    <w:rsid w:val="309379D8"/>
    <w:rsid w:val="30A16923"/>
    <w:rsid w:val="30A270F7"/>
    <w:rsid w:val="30D1169A"/>
    <w:rsid w:val="30DF1478"/>
    <w:rsid w:val="30E40B8A"/>
    <w:rsid w:val="30EC586F"/>
    <w:rsid w:val="31590FFB"/>
    <w:rsid w:val="319C6071"/>
    <w:rsid w:val="31A443E9"/>
    <w:rsid w:val="31AC537E"/>
    <w:rsid w:val="31E3679B"/>
    <w:rsid w:val="31E732FD"/>
    <w:rsid w:val="322C6AFC"/>
    <w:rsid w:val="32517576"/>
    <w:rsid w:val="32BE5C2C"/>
    <w:rsid w:val="32E22BD4"/>
    <w:rsid w:val="32FB6478"/>
    <w:rsid w:val="33026E1D"/>
    <w:rsid w:val="33263B3F"/>
    <w:rsid w:val="336963EB"/>
    <w:rsid w:val="33816EEB"/>
    <w:rsid w:val="338B4ADF"/>
    <w:rsid w:val="33AD49A1"/>
    <w:rsid w:val="33D83D04"/>
    <w:rsid w:val="33EB55CD"/>
    <w:rsid w:val="33EC4C02"/>
    <w:rsid w:val="33FB67AC"/>
    <w:rsid w:val="340D2360"/>
    <w:rsid w:val="3410665D"/>
    <w:rsid w:val="34211214"/>
    <w:rsid w:val="342E63AB"/>
    <w:rsid w:val="346769BB"/>
    <w:rsid w:val="34950E68"/>
    <w:rsid w:val="34986E94"/>
    <w:rsid w:val="34AF62C9"/>
    <w:rsid w:val="34CB4388"/>
    <w:rsid w:val="34FA6E12"/>
    <w:rsid w:val="358D5588"/>
    <w:rsid w:val="3634593D"/>
    <w:rsid w:val="363A3B40"/>
    <w:rsid w:val="365302AE"/>
    <w:rsid w:val="36607A0A"/>
    <w:rsid w:val="366E227C"/>
    <w:rsid w:val="366F2E0D"/>
    <w:rsid w:val="367B6A5C"/>
    <w:rsid w:val="36A74ADA"/>
    <w:rsid w:val="36AD60D5"/>
    <w:rsid w:val="36B224F9"/>
    <w:rsid w:val="36EC0CC9"/>
    <w:rsid w:val="371C3C3F"/>
    <w:rsid w:val="373F410B"/>
    <w:rsid w:val="375D2779"/>
    <w:rsid w:val="3762240D"/>
    <w:rsid w:val="37EE7094"/>
    <w:rsid w:val="37F87D3F"/>
    <w:rsid w:val="38296C89"/>
    <w:rsid w:val="383002EB"/>
    <w:rsid w:val="383511CC"/>
    <w:rsid w:val="383F2383"/>
    <w:rsid w:val="38586797"/>
    <w:rsid w:val="385C6928"/>
    <w:rsid w:val="38743CBC"/>
    <w:rsid w:val="38BC0149"/>
    <w:rsid w:val="38D417C5"/>
    <w:rsid w:val="38D87D1C"/>
    <w:rsid w:val="38E044AD"/>
    <w:rsid w:val="39636459"/>
    <w:rsid w:val="396B7F6C"/>
    <w:rsid w:val="39B417A9"/>
    <w:rsid w:val="39FC5695"/>
    <w:rsid w:val="3A006D8E"/>
    <w:rsid w:val="3A213D07"/>
    <w:rsid w:val="3A3651E5"/>
    <w:rsid w:val="3A396D11"/>
    <w:rsid w:val="3A744481"/>
    <w:rsid w:val="3A8C7BEF"/>
    <w:rsid w:val="3A90624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CE23CB"/>
    <w:rsid w:val="3CCF3BB7"/>
    <w:rsid w:val="3CD17D17"/>
    <w:rsid w:val="3CD45671"/>
    <w:rsid w:val="3D2F666C"/>
    <w:rsid w:val="3D3C7F39"/>
    <w:rsid w:val="3D440F09"/>
    <w:rsid w:val="3D4504A0"/>
    <w:rsid w:val="3D4E5423"/>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F060E16"/>
    <w:rsid w:val="3F1D1096"/>
    <w:rsid w:val="3F2E6D77"/>
    <w:rsid w:val="3F2F0234"/>
    <w:rsid w:val="3F6363FE"/>
    <w:rsid w:val="3F6E9E01"/>
    <w:rsid w:val="3F756B8F"/>
    <w:rsid w:val="3F95482B"/>
    <w:rsid w:val="3FAC23E3"/>
    <w:rsid w:val="4019356B"/>
    <w:rsid w:val="40592157"/>
    <w:rsid w:val="406E1CAE"/>
    <w:rsid w:val="40814F73"/>
    <w:rsid w:val="40A0133A"/>
    <w:rsid w:val="40B64990"/>
    <w:rsid w:val="40C31A53"/>
    <w:rsid w:val="40E01788"/>
    <w:rsid w:val="40FF2192"/>
    <w:rsid w:val="40FF545D"/>
    <w:rsid w:val="410067C8"/>
    <w:rsid w:val="4122312A"/>
    <w:rsid w:val="412D35A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C63DA"/>
    <w:rsid w:val="43977AB6"/>
    <w:rsid w:val="43A3342B"/>
    <w:rsid w:val="43C77C27"/>
    <w:rsid w:val="43DE09EE"/>
    <w:rsid w:val="43FB3B18"/>
    <w:rsid w:val="44002FAD"/>
    <w:rsid w:val="44887711"/>
    <w:rsid w:val="449101DD"/>
    <w:rsid w:val="44B82185"/>
    <w:rsid w:val="44BC0EC5"/>
    <w:rsid w:val="44DE1391"/>
    <w:rsid w:val="44E1092B"/>
    <w:rsid w:val="451B225C"/>
    <w:rsid w:val="452410C9"/>
    <w:rsid w:val="45317DFB"/>
    <w:rsid w:val="454F7F8B"/>
    <w:rsid w:val="456D3CE4"/>
    <w:rsid w:val="4579042C"/>
    <w:rsid w:val="457F0571"/>
    <w:rsid w:val="45801494"/>
    <w:rsid w:val="45851176"/>
    <w:rsid w:val="45AF18A8"/>
    <w:rsid w:val="45C63B94"/>
    <w:rsid w:val="460E7DA5"/>
    <w:rsid w:val="46326F64"/>
    <w:rsid w:val="463C5764"/>
    <w:rsid w:val="46412D7A"/>
    <w:rsid w:val="46422483"/>
    <w:rsid w:val="4659254A"/>
    <w:rsid w:val="465B0637"/>
    <w:rsid w:val="465E3F0D"/>
    <w:rsid w:val="466A16E6"/>
    <w:rsid w:val="46893F2B"/>
    <w:rsid w:val="46B24D85"/>
    <w:rsid w:val="46C4686E"/>
    <w:rsid w:val="47282841"/>
    <w:rsid w:val="47477F6F"/>
    <w:rsid w:val="47583623"/>
    <w:rsid w:val="477B778F"/>
    <w:rsid w:val="478203EC"/>
    <w:rsid w:val="47B025FA"/>
    <w:rsid w:val="47C22C96"/>
    <w:rsid w:val="4809698F"/>
    <w:rsid w:val="4811697D"/>
    <w:rsid w:val="487A3E25"/>
    <w:rsid w:val="487B0469"/>
    <w:rsid w:val="488B5503"/>
    <w:rsid w:val="48937E21"/>
    <w:rsid w:val="489A0361"/>
    <w:rsid w:val="489C26F7"/>
    <w:rsid w:val="48B94FF3"/>
    <w:rsid w:val="48D72771"/>
    <w:rsid w:val="48E37AAB"/>
    <w:rsid w:val="48FD4B4C"/>
    <w:rsid w:val="49016555"/>
    <w:rsid w:val="490A68E0"/>
    <w:rsid w:val="491055FE"/>
    <w:rsid w:val="49307104"/>
    <w:rsid w:val="495F5B3E"/>
    <w:rsid w:val="496F77D7"/>
    <w:rsid w:val="497654FD"/>
    <w:rsid w:val="49B64211"/>
    <w:rsid w:val="49D47CC4"/>
    <w:rsid w:val="49F6167F"/>
    <w:rsid w:val="4A064FA0"/>
    <w:rsid w:val="4A16615C"/>
    <w:rsid w:val="4A4424D7"/>
    <w:rsid w:val="4A792E07"/>
    <w:rsid w:val="4AB82D0F"/>
    <w:rsid w:val="4ACC2F2D"/>
    <w:rsid w:val="4AEB7664"/>
    <w:rsid w:val="4AFD7C19"/>
    <w:rsid w:val="4B0567D1"/>
    <w:rsid w:val="4B1650A7"/>
    <w:rsid w:val="4B236AAE"/>
    <w:rsid w:val="4B707271"/>
    <w:rsid w:val="4B9739F7"/>
    <w:rsid w:val="4B9D56FF"/>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D23C92"/>
    <w:rsid w:val="4FE625E0"/>
    <w:rsid w:val="5021480F"/>
    <w:rsid w:val="50962ECB"/>
    <w:rsid w:val="50A42E38"/>
    <w:rsid w:val="50A4577F"/>
    <w:rsid w:val="50B73D1F"/>
    <w:rsid w:val="50BD5BC9"/>
    <w:rsid w:val="50C11EEE"/>
    <w:rsid w:val="50E227A9"/>
    <w:rsid w:val="50E772C9"/>
    <w:rsid w:val="50E97CFC"/>
    <w:rsid w:val="50FA4028"/>
    <w:rsid w:val="510D65B7"/>
    <w:rsid w:val="511157AB"/>
    <w:rsid w:val="5142540C"/>
    <w:rsid w:val="51883119"/>
    <w:rsid w:val="518832C8"/>
    <w:rsid w:val="51A0432A"/>
    <w:rsid w:val="51A85D4C"/>
    <w:rsid w:val="51A86090"/>
    <w:rsid w:val="51B7396D"/>
    <w:rsid w:val="51ED4B41"/>
    <w:rsid w:val="522E4CC3"/>
    <w:rsid w:val="5244713B"/>
    <w:rsid w:val="52615633"/>
    <w:rsid w:val="52977FD4"/>
    <w:rsid w:val="52A25790"/>
    <w:rsid w:val="52A96B6F"/>
    <w:rsid w:val="52B256B5"/>
    <w:rsid w:val="52B45975"/>
    <w:rsid w:val="52D94AA4"/>
    <w:rsid w:val="52EA3A62"/>
    <w:rsid w:val="52F50BB8"/>
    <w:rsid w:val="53097272"/>
    <w:rsid w:val="53422A0F"/>
    <w:rsid w:val="53544462"/>
    <w:rsid w:val="536E566D"/>
    <w:rsid w:val="5397158E"/>
    <w:rsid w:val="53D53D51"/>
    <w:rsid w:val="54013861"/>
    <w:rsid w:val="54487265"/>
    <w:rsid w:val="544D6070"/>
    <w:rsid w:val="54605E1E"/>
    <w:rsid w:val="546A0AE5"/>
    <w:rsid w:val="54743855"/>
    <w:rsid w:val="54B3506A"/>
    <w:rsid w:val="54CA0D16"/>
    <w:rsid w:val="54DD4057"/>
    <w:rsid w:val="54E7490F"/>
    <w:rsid w:val="54F7464C"/>
    <w:rsid w:val="550764A4"/>
    <w:rsid w:val="550B2BF6"/>
    <w:rsid w:val="55214EB5"/>
    <w:rsid w:val="55364EFD"/>
    <w:rsid w:val="554F18ED"/>
    <w:rsid w:val="5555739E"/>
    <w:rsid w:val="555D4828"/>
    <w:rsid w:val="557A4C8B"/>
    <w:rsid w:val="558931E1"/>
    <w:rsid w:val="558A0B6B"/>
    <w:rsid w:val="55923347"/>
    <w:rsid w:val="55925180"/>
    <w:rsid w:val="55983B1B"/>
    <w:rsid w:val="55A8376B"/>
    <w:rsid w:val="55DC29B6"/>
    <w:rsid w:val="55DD4241"/>
    <w:rsid w:val="566B6D1E"/>
    <w:rsid w:val="56A6554F"/>
    <w:rsid w:val="56B401A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0F8B"/>
    <w:rsid w:val="58E363A9"/>
    <w:rsid w:val="590621D0"/>
    <w:rsid w:val="595E1678"/>
    <w:rsid w:val="596D5BD4"/>
    <w:rsid w:val="597E3DD8"/>
    <w:rsid w:val="59D15549"/>
    <w:rsid w:val="59EC194C"/>
    <w:rsid w:val="59F80043"/>
    <w:rsid w:val="5A09252F"/>
    <w:rsid w:val="5A0B2778"/>
    <w:rsid w:val="5A2A7C7B"/>
    <w:rsid w:val="5A3E2560"/>
    <w:rsid w:val="5A4F343E"/>
    <w:rsid w:val="5A5D3B6E"/>
    <w:rsid w:val="5A637A76"/>
    <w:rsid w:val="5A6D33BA"/>
    <w:rsid w:val="5A792B1F"/>
    <w:rsid w:val="5A874767"/>
    <w:rsid w:val="5AAD6F28"/>
    <w:rsid w:val="5AD63A24"/>
    <w:rsid w:val="5B2E1A1D"/>
    <w:rsid w:val="5B50724B"/>
    <w:rsid w:val="5B694D7F"/>
    <w:rsid w:val="5B843A1C"/>
    <w:rsid w:val="5B873E3F"/>
    <w:rsid w:val="5C02690E"/>
    <w:rsid w:val="5C196DA7"/>
    <w:rsid w:val="5C28123C"/>
    <w:rsid w:val="5C2A048C"/>
    <w:rsid w:val="5C80234E"/>
    <w:rsid w:val="5C8A680C"/>
    <w:rsid w:val="5CB17682"/>
    <w:rsid w:val="5CDA0FB4"/>
    <w:rsid w:val="5CEE378D"/>
    <w:rsid w:val="5D0C4701"/>
    <w:rsid w:val="5D0F0395"/>
    <w:rsid w:val="5D0F619A"/>
    <w:rsid w:val="5D221076"/>
    <w:rsid w:val="5D397964"/>
    <w:rsid w:val="5D5A391C"/>
    <w:rsid w:val="5D5F10C0"/>
    <w:rsid w:val="5D891B7B"/>
    <w:rsid w:val="5D9562FF"/>
    <w:rsid w:val="5DAD38EE"/>
    <w:rsid w:val="5E006862"/>
    <w:rsid w:val="5E0207B9"/>
    <w:rsid w:val="5E1834A1"/>
    <w:rsid w:val="5E261785"/>
    <w:rsid w:val="5E4A7017"/>
    <w:rsid w:val="5E552BBA"/>
    <w:rsid w:val="5E611C10"/>
    <w:rsid w:val="5E734892"/>
    <w:rsid w:val="5E7F2C2E"/>
    <w:rsid w:val="5EFC7377"/>
    <w:rsid w:val="5EFF3E55"/>
    <w:rsid w:val="5F06174D"/>
    <w:rsid w:val="5F3A3602"/>
    <w:rsid w:val="5F6277C6"/>
    <w:rsid w:val="5F6D0B1D"/>
    <w:rsid w:val="5F8D0B82"/>
    <w:rsid w:val="5FACCEA0"/>
    <w:rsid w:val="5FB52C88"/>
    <w:rsid w:val="5FCC5339"/>
    <w:rsid w:val="5FE34A5B"/>
    <w:rsid w:val="5FE7410A"/>
    <w:rsid w:val="5FFE1E36"/>
    <w:rsid w:val="60232584"/>
    <w:rsid w:val="607330CE"/>
    <w:rsid w:val="60753D8B"/>
    <w:rsid w:val="60825176"/>
    <w:rsid w:val="608C37ED"/>
    <w:rsid w:val="609F2AC4"/>
    <w:rsid w:val="60BD3BA3"/>
    <w:rsid w:val="60FA2EE8"/>
    <w:rsid w:val="61054A27"/>
    <w:rsid w:val="610A52BC"/>
    <w:rsid w:val="611D2366"/>
    <w:rsid w:val="61421856"/>
    <w:rsid w:val="615227C4"/>
    <w:rsid w:val="61654E3F"/>
    <w:rsid w:val="6182292A"/>
    <w:rsid w:val="619F7F92"/>
    <w:rsid w:val="61F94C26"/>
    <w:rsid w:val="62000E56"/>
    <w:rsid w:val="621059E3"/>
    <w:rsid w:val="624F3E49"/>
    <w:rsid w:val="62632286"/>
    <w:rsid w:val="62885958"/>
    <w:rsid w:val="62A170A1"/>
    <w:rsid w:val="62C3746A"/>
    <w:rsid w:val="62F40B65"/>
    <w:rsid w:val="62FC2CFE"/>
    <w:rsid w:val="63024505"/>
    <w:rsid w:val="63037672"/>
    <w:rsid w:val="631303F2"/>
    <w:rsid w:val="63436839"/>
    <w:rsid w:val="635B1DB5"/>
    <w:rsid w:val="63711FED"/>
    <w:rsid w:val="63880DDC"/>
    <w:rsid w:val="638D750D"/>
    <w:rsid w:val="63AC6CC0"/>
    <w:rsid w:val="63AD09C1"/>
    <w:rsid w:val="64055776"/>
    <w:rsid w:val="640D3093"/>
    <w:rsid w:val="64240056"/>
    <w:rsid w:val="643E143A"/>
    <w:rsid w:val="648B6EEF"/>
    <w:rsid w:val="64C158BF"/>
    <w:rsid w:val="64CE2EAA"/>
    <w:rsid w:val="65044496"/>
    <w:rsid w:val="653C3090"/>
    <w:rsid w:val="657F1D6E"/>
    <w:rsid w:val="65854376"/>
    <w:rsid w:val="658767BE"/>
    <w:rsid w:val="65892531"/>
    <w:rsid w:val="659336FC"/>
    <w:rsid w:val="660B715E"/>
    <w:rsid w:val="66195831"/>
    <w:rsid w:val="662B3D98"/>
    <w:rsid w:val="662E75B1"/>
    <w:rsid w:val="66342C2E"/>
    <w:rsid w:val="663E784C"/>
    <w:rsid w:val="668B6A45"/>
    <w:rsid w:val="672C3830"/>
    <w:rsid w:val="672F3F24"/>
    <w:rsid w:val="673E055F"/>
    <w:rsid w:val="67551CE3"/>
    <w:rsid w:val="67962066"/>
    <w:rsid w:val="67A22552"/>
    <w:rsid w:val="67B22DCC"/>
    <w:rsid w:val="67BE71AA"/>
    <w:rsid w:val="67D90273"/>
    <w:rsid w:val="67DE5875"/>
    <w:rsid w:val="67E55852"/>
    <w:rsid w:val="67EB1AB4"/>
    <w:rsid w:val="67FA1285"/>
    <w:rsid w:val="68201B7F"/>
    <w:rsid w:val="68551F4F"/>
    <w:rsid w:val="687C10C9"/>
    <w:rsid w:val="68840C16"/>
    <w:rsid w:val="68876EFB"/>
    <w:rsid w:val="68884654"/>
    <w:rsid w:val="689F444F"/>
    <w:rsid w:val="68B96DBB"/>
    <w:rsid w:val="68BA580F"/>
    <w:rsid w:val="68CA2805"/>
    <w:rsid w:val="68E937A3"/>
    <w:rsid w:val="692C3458"/>
    <w:rsid w:val="693E15D3"/>
    <w:rsid w:val="69496731"/>
    <w:rsid w:val="69513A22"/>
    <w:rsid w:val="69627681"/>
    <w:rsid w:val="696A4C67"/>
    <w:rsid w:val="6977531D"/>
    <w:rsid w:val="69831701"/>
    <w:rsid w:val="69BA1155"/>
    <w:rsid w:val="69CC2BFF"/>
    <w:rsid w:val="69FD55B8"/>
    <w:rsid w:val="69FF347E"/>
    <w:rsid w:val="6A0B1C62"/>
    <w:rsid w:val="6A2406C8"/>
    <w:rsid w:val="6A732DB2"/>
    <w:rsid w:val="6A876FCF"/>
    <w:rsid w:val="6ADE0BD1"/>
    <w:rsid w:val="6AE96859"/>
    <w:rsid w:val="6B147746"/>
    <w:rsid w:val="6B19056F"/>
    <w:rsid w:val="6B24787C"/>
    <w:rsid w:val="6B573233"/>
    <w:rsid w:val="6B5B6274"/>
    <w:rsid w:val="6B935D53"/>
    <w:rsid w:val="6BFF57BE"/>
    <w:rsid w:val="6C196F71"/>
    <w:rsid w:val="6C1D047C"/>
    <w:rsid w:val="6C226FCB"/>
    <w:rsid w:val="6C31226F"/>
    <w:rsid w:val="6C552F0B"/>
    <w:rsid w:val="6C8C67B7"/>
    <w:rsid w:val="6C9360FF"/>
    <w:rsid w:val="6C9D744C"/>
    <w:rsid w:val="6CC12C6C"/>
    <w:rsid w:val="6D167928"/>
    <w:rsid w:val="6D26299B"/>
    <w:rsid w:val="6D4772EC"/>
    <w:rsid w:val="6D9078AF"/>
    <w:rsid w:val="6DAA3FEF"/>
    <w:rsid w:val="6DC0172B"/>
    <w:rsid w:val="6DCB690C"/>
    <w:rsid w:val="6DD41A5B"/>
    <w:rsid w:val="6DF43C2E"/>
    <w:rsid w:val="6DF51CA3"/>
    <w:rsid w:val="6E8335BD"/>
    <w:rsid w:val="6E8509E0"/>
    <w:rsid w:val="6E8E12EF"/>
    <w:rsid w:val="6E972936"/>
    <w:rsid w:val="6EAF1DA8"/>
    <w:rsid w:val="6EBEB0B9"/>
    <w:rsid w:val="6ED250CB"/>
    <w:rsid w:val="6ED446C5"/>
    <w:rsid w:val="6F2A7D94"/>
    <w:rsid w:val="6F8331F1"/>
    <w:rsid w:val="6FAE1A09"/>
    <w:rsid w:val="6FB67F93"/>
    <w:rsid w:val="6FD75BF8"/>
    <w:rsid w:val="703D260A"/>
    <w:rsid w:val="704406B6"/>
    <w:rsid w:val="707723D0"/>
    <w:rsid w:val="70E31AFB"/>
    <w:rsid w:val="70F5661B"/>
    <w:rsid w:val="71184396"/>
    <w:rsid w:val="71276082"/>
    <w:rsid w:val="71360107"/>
    <w:rsid w:val="713B688E"/>
    <w:rsid w:val="71D43752"/>
    <w:rsid w:val="71F1796A"/>
    <w:rsid w:val="72120343"/>
    <w:rsid w:val="72147AEE"/>
    <w:rsid w:val="72154626"/>
    <w:rsid w:val="72262B5D"/>
    <w:rsid w:val="72283FF7"/>
    <w:rsid w:val="722E7212"/>
    <w:rsid w:val="723A0474"/>
    <w:rsid w:val="724101BC"/>
    <w:rsid w:val="725923E4"/>
    <w:rsid w:val="72864BF7"/>
    <w:rsid w:val="729023FC"/>
    <w:rsid w:val="731A5A90"/>
    <w:rsid w:val="73C0646E"/>
    <w:rsid w:val="742222F5"/>
    <w:rsid w:val="7440009B"/>
    <w:rsid w:val="74476126"/>
    <w:rsid w:val="7468752D"/>
    <w:rsid w:val="74706664"/>
    <w:rsid w:val="747F3682"/>
    <w:rsid w:val="749C4185"/>
    <w:rsid w:val="74B135C7"/>
    <w:rsid w:val="74E12D89"/>
    <w:rsid w:val="75067759"/>
    <w:rsid w:val="751A5B91"/>
    <w:rsid w:val="752E6DCD"/>
    <w:rsid w:val="7551380D"/>
    <w:rsid w:val="75600BE5"/>
    <w:rsid w:val="7564475C"/>
    <w:rsid w:val="75684014"/>
    <w:rsid w:val="7583797F"/>
    <w:rsid w:val="75D20F1D"/>
    <w:rsid w:val="75DA2C18"/>
    <w:rsid w:val="75F54412"/>
    <w:rsid w:val="761D08E0"/>
    <w:rsid w:val="764B7247"/>
    <w:rsid w:val="765D347C"/>
    <w:rsid w:val="766E23EF"/>
    <w:rsid w:val="76826699"/>
    <w:rsid w:val="76A31123"/>
    <w:rsid w:val="76C87133"/>
    <w:rsid w:val="76CD08D5"/>
    <w:rsid w:val="76DB4B92"/>
    <w:rsid w:val="76FFC109"/>
    <w:rsid w:val="77052AA4"/>
    <w:rsid w:val="77136511"/>
    <w:rsid w:val="77340A39"/>
    <w:rsid w:val="77351FD0"/>
    <w:rsid w:val="77472422"/>
    <w:rsid w:val="777F31F2"/>
    <w:rsid w:val="779A2A38"/>
    <w:rsid w:val="77D1700D"/>
    <w:rsid w:val="77E37649"/>
    <w:rsid w:val="77E5672B"/>
    <w:rsid w:val="77EC04CC"/>
    <w:rsid w:val="78064B00"/>
    <w:rsid w:val="78775729"/>
    <w:rsid w:val="78836C56"/>
    <w:rsid w:val="78A42DB0"/>
    <w:rsid w:val="78A656AB"/>
    <w:rsid w:val="78B2245C"/>
    <w:rsid w:val="78E172CC"/>
    <w:rsid w:val="78EA1D1F"/>
    <w:rsid w:val="78ED2851"/>
    <w:rsid w:val="78EF20EA"/>
    <w:rsid w:val="7904172F"/>
    <w:rsid w:val="790F7E27"/>
    <w:rsid w:val="792A231A"/>
    <w:rsid w:val="79316829"/>
    <w:rsid w:val="7977EA49"/>
    <w:rsid w:val="797E66A9"/>
    <w:rsid w:val="79A93A84"/>
    <w:rsid w:val="79A97383"/>
    <w:rsid w:val="79E27E8B"/>
    <w:rsid w:val="79EB4D7F"/>
    <w:rsid w:val="79F65524"/>
    <w:rsid w:val="79F850CE"/>
    <w:rsid w:val="79FD443C"/>
    <w:rsid w:val="79FED13D"/>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12AAC"/>
    <w:rsid w:val="7BA94FF8"/>
    <w:rsid w:val="7BEC0580"/>
    <w:rsid w:val="7BEE0103"/>
    <w:rsid w:val="7BFFCC1E"/>
    <w:rsid w:val="7BFFF802"/>
    <w:rsid w:val="7C0A0FE4"/>
    <w:rsid w:val="7C254906"/>
    <w:rsid w:val="7C564D04"/>
    <w:rsid w:val="7C590818"/>
    <w:rsid w:val="7C7C10F6"/>
    <w:rsid w:val="7C853BEA"/>
    <w:rsid w:val="7C881368"/>
    <w:rsid w:val="7CD85819"/>
    <w:rsid w:val="7CDF94D1"/>
    <w:rsid w:val="7CE27788"/>
    <w:rsid w:val="7D0C32F1"/>
    <w:rsid w:val="7D0F408D"/>
    <w:rsid w:val="7D1A12F3"/>
    <w:rsid w:val="7D36B030"/>
    <w:rsid w:val="7D491C6C"/>
    <w:rsid w:val="7D5429C0"/>
    <w:rsid w:val="7D6E6D43"/>
    <w:rsid w:val="7DB1596A"/>
    <w:rsid w:val="7DB57A34"/>
    <w:rsid w:val="7DBA4CD5"/>
    <w:rsid w:val="7DE60973"/>
    <w:rsid w:val="7DEF0916"/>
    <w:rsid w:val="7E1E5218"/>
    <w:rsid w:val="7E3F7E95"/>
    <w:rsid w:val="7E9A4E1F"/>
    <w:rsid w:val="7EA7723A"/>
    <w:rsid w:val="7ECA04D2"/>
    <w:rsid w:val="7EF56FBB"/>
    <w:rsid w:val="7F0768EB"/>
    <w:rsid w:val="7F0F7BEC"/>
    <w:rsid w:val="7F143BEC"/>
    <w:rsid w:val="7F310387"/>
    <w:rsid w:val="7F352A2A"/>
    <w:rsid w:val="7F715AF2"/>
    <w:rsid w:val="7F886E69"/>
    <w:rsid w:val="7FBB51DD"/>
    <w:rsid w:val="87FE36AB"/>
    <w:rsid w:val="BAFB0BF7"/>
    <w:rsid w:val="BAFFF6D6"/>
    <w:rsid w:val="BB7FA927"/>
    <w:rsid w:val="BBFF1826"/>
    <w:rsid w:val="CF7BB829"/>
    <w:rsid w:val="DE7168F2"/>
    <w:rsid w:val="DFB6AA09"/>
    <w:rsid w:val="E8F7693D"/>
    <w:rsid w:val="F19F5883"/>
    <w:rsid w:val="F5EFB1AA"/>
    <w:rsid w:val="F5FFD31F"/>
    <w:rsid w:val="F9FF4410"/>
    <w:rsid w:val="FB6E7303"/>
    <w:rsid w:val="FBBEFEB1"/>
    <w:rsid w:val="FBFEF1E0"/>
    <w:rsid w:val="FCF31AF3"/>
    <w:rsid w:val="FDEB657F"/>
    <w:rsid w:val="FF2773E3"/>
    <w:rsid w:val="FFE53874"/>
    <w:rsid w:val="FFE66B80"/>
    <w:rsid w:val="FFED6A97"/>
    <w:rsid w:val="FFFF6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customStyle="1" w:styleId="5">
    <w:name w:val="标准正文"/>
    <w:basedOn w:val="1"/>
    <w:qFormat/>
    <w:uiPriority w:val="0"/>
    <w:pPr>
      <w:tabs>
        <w:tab w:val="left" w:pos="780"/>
      </w:tabs>
      <w:adjustRightInd/>
      <w:spacing w:line="360" w:lineRule="auto"/>
      <w:ind w:left="200" w:leftChars="200" w:firstLine="200" w:firstLineChars="200"/>
    </w:pPr>
    <w:rPr>
      <w:sz w:val="24"/>
    </w:rPr>
  </w:style>
  <w:style w:type="paragraph" w:styleId="7">
    <w:name w:val="Plain Text"/>
    <w:basedOn w:val="1"/>
    <w:next w:val="1"/>
    <w:link w:val="129"/>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link w:val="269"/>
    <w:qFormat/>
    <w:uiPriority w:val="0"/>
    <w:pPr>
      <w:spacing w:line="480" w:lineRule="exact"/>
      <w:ind w:firstLine="480" w:firstLineChars="200"/>
    </w:pPr>
    <w:rPr>
      <w:rFonts w:ascii="宋体" w:hAnsi="宋体"/>
      <w:sz w:val="24"/>
    </w:rPr>
  </w:style>
  <w:style w:type="paragraph" w:styleId="20">
    <w:name w:val="caption"/>
    <w:basedOn w:val="1"/>
    <w:next w:val="1"/>
    <w:link w:val="233"/>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annotation text"/>
    <w:basedOn w:val="1"/>
    <w:link w:val="348"/>
    <w:qFormat/>
    <w:uiPriority w:val="99"/>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3"/>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1"/>
    <w:next w:val="29"/>
    <w:link w:val="325"/>
    <w:qFormat/>
    <w:uiPriority w:val="0"/>
    <w:pPr>
      <w:ind w:firstLine="420"/>
    </w:pPr>
    <w:rPr>
      <w:rFonts w:hAnsi="Calibri"/>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eastAsia="仿宋_GB2312" w:cs="Arial"/>
      <w:sz w:val="32"/>
      <w:szCs w:val="32"/>
    </w:rPr>
  </w:style>
  <w:style w:type="paragraph" w:styleId="45">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basedOn w:val="1"/>
    <w:next w:val="1"/>
    <w:link w:val="137"/>
    <w:qFormat/>
    <w:uiPriority w:val="0"/>
    <w:pPr>
      <w:snapToGrid w:val="0"/>
      <w:spacing w:before="240" w:after="480"/>
      <w:jc w:val="center"/>
    </w:pPr>
    <w:rPr>
      <w:rFonts w:ascii="Arial" w:hAnsi="Arial" w:eastAsia="隶书"/>
      <w:b/>
      <w:bCs/>
      <w:kern w:val="28"/>
      <w:sz w:val="44"/>
      <w:szCs w:val="32"/>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8"/>
    <w:link w:val="314"/>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6"/>
    <w:qFormat/>
    <w:uiPriority w:val="0"/>
    <w:pPr>
      <w:spacing w:after="120" w:line="480" w:lineRule="auto"/>
    </w:pPr>
  </w:style>
  <w:style w:type="paragraph" w:styleId="61">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annotation subject"/>
    <w:basedOn w:val="23"/>
    <w:next w:val="23"/>
    <w:link w:val="100"/>
    <w:qFormat/>
    <w:uiPriority w:val="0"/>
    <w:rPr>
      <w:b/>
      <w:bCs/>
    </w:rPr>
  </w:style>
  <w:style w:type="paragraph" w:styleId="64">
    <w:name w:val="Body Text First Indent 2"/>
    <w:basedOn w:val="19"/>
    <w:link w:val="125"/>
    <w:qFormat/>
    <w:uiPriority w:val="0"/>
    <w:pPr>
      <w:adjustRightInd/>
      <w:spacing w:after="120" w:line="240" w:lineRule="auto"/>
      <w:ind w:left="420" w:leftChars="200" w:firstLine="210"/>
    </w:pPr>
    <w:rPr>
      <w:sz w:val="21"/>
    </w:rPr>
  </w:style>
  <w:style w:type="table" w:styleId="66">
    <w:name w:val="Table Grid"/>
    <w:basedOn w:val="6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缩进）"/>
    <w:basedOn w:val="1"/>
    <w:qFormat/>
    <w:uiPriority w:val="0"/>
    <w:pPr>
      <w:spacing w:beforeLines="50" w:afterLines="50" w:line="360" w:lineRule="auto"/>
      <w:ind w:firstLine="480" w:firstLineChars="200"/>
    </w:pPr>
    <w:rPr>
      <w:kern w:val="0"/>
      <w:sz w:val="24"/>
    </w:rPr>
  </w:style>
  <w:style w:type="character" w:customStyle="1" w:styleId="83">
    <w:name w:val="标题 1 字符"/>
    <w:qFormat/>
    <w:uiPriority w:val="9"/>
    <w:rPr>
      <w:rFonts w:ascii="Arial" w:hAnsi="Arial" w:eastAsia="黑体" w:cs="Arial"/>
      <w:b/>
      <w:bCs/>
      <w:snapToGrid w:val="0"/>
      <w:kern w:val="44"/>
      <w:sz w:val="44"/>
      <w:szCs w:val="44"/>
    </w:rPr>
  </w:style>
  <w:style w:type="paragraph" w:customStyle="1" w:styleId="84">
    <w:name w:val="表格文字"/>
    <w:basedOn w:val="85"/>
    <w:qFormat/>
    <w:uiPriority w:val="0"/>
    <w:pPr>
      <w:adjustRightInd/>
      <w:ind w:firstLine="200" w:firstLineChars="200"/>
    </w:pPr>
    <w:rPr>
      <w:rFonts w:ascii="Arial" w:hAnsi="Arial"/>
      <w:spacing w:val="-5"/>
      <w:kern w:val="0"/>
      <w:sz w:val="24"/>
      <w:szCs w:val="20"/>
    </w:rPr>
  </w:style>
  <w:style w:type="paragraph" w:customStyle="1" w:styleId="85">
    <w:name w:val="表格文字（两侧对齐）"/>
    <w:basedOn w:val="1"/>
    <w:qFormat/>
    <w:uiPriority w:val="0"/>
    <w:pPr>
      <w:snapToGrid w:val="0"/>
    </w:pPr>
    <w:rPr>
      <w:sz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4"/>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1"/>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4"/>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0"/>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19"/>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1"/>
    <w:qFormat/>
    <w:uiPriority w:val="0"/>
    <w:rPr>
      <w:rFonts w:ascii="黑体" w:hAnsi="Courier New" w:eastAsia="黑体"/>
    </w:rPr>
  </w:style>
  <w:style w:type="character" w:customStyle="1" w:styleId="306">
    <w:name w:val="正文文本 2 Char1"/>
    <w:link w:val="60"/>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4"/>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8"/>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3"/>
    <w:qFormat/>
    <w:uiPriority w:val="0"/>
    <w:rPr>
      <w:kern w:val="2"/>
      <w:sz w:val="21"/>
      <w:szCs w:val="24"/>
    </w:rPr>
  </w:style>
  <w:style w:type="character" w:customStyle="1" w:styleId="349">
    <w:name w:val="签名 Char"/>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8"/>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0"/>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search_content1"/>
    <w:qFormat/>
    <w:uiPriority w:val="0"/>
    <w:rPr>
      <w:sz w:val="20"/>
      <w:szCs w:val="20"/>
    </w:rPr>
  </w:style>
  <w:style w:type="paragraph" w:customStyle="1" w:styleId="966">
    <w:name w:val="防指正文"/>
    <w:basedOn w:val="1"/>
    <w:qFormat/>
    <w:uiPriority w:val="0"/>
    <w:pPr>
      <w:tabs>
        <w:tab w:val="left" w:pos="540"/>
      </w:tabs>
      <w:snapToGrid w:val="0"/>
      <w:spacing w:line="360" w:lineRule="auto"/>
    </w:pPr>
    <w:rPr>
      <w:rFonts w:ascii="宋体" w:hAnsi="宋体"/>
      <w:bCs/>
      <w:sz w:val="24"/>
    </w:rPr>
  </w:style>
  <w:style w:type="character" w:customStyle="1" w:styleId="967">
    <w:name w:val="未处理的提及2"/>
    <w:basedOn w:val="72"/>
    <w:semiHidden/>
    <w:unhideWhenUsed/>
    <w:qFormat/>
    <w:uiPriority w:val="99"/>
    <w:rPr>
      <w:color w:val="605E5C"/>
      <w:shd w:val="clear" w:color="auto" w:fill="E1DFDD"/>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纯文本 字符2"/>
    <w:qFormat/>
    <w:uiPriority w:val="0"/>
    <w:rPr>
      <w:rFonts w:ascii="宋体" w:hAnsi="Courier New" w:eastAsia="宋体"/>
      <w:kern w:val="2"/>
      <w:sz w:val="21"/>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bookmark-item"/>
    <w:basedOn w:val="72"/>
    <w:qFormat/>
    <w:uiPriority w:val="0"/>
  </w:style>
  <w:style w:type="table" w:customStyle="1" w:styleId="972">
    <w:name w:val="Table Normal"/>
    <w:semiHidden/>
    <w:unhideWhenUsed/>
    <w:qFormat/>
    <w:uiPriority w:val="0"/>
    <w:tblPr>
      <w:tblCellMar>
        <w:top w:w="0" w:type="dxa"/>
        <w:left w:w="0" w:type="dxa"/>
        <w:bottom w:w="0" w:type="dxa"/>
        <w:right w:w="0" w:type="dxa"/>
      </w:tblCellMar>
    </w:tblPr>
  </w:style>
  <w:style w:type="paragraph" w:customStyle="1" w:styleId="973">
    <w:name w:val="0-shiw-正文 4号宋体"/>
    <w:qFormat/>
    <w:uiPriority w:val="0"/>
    <w:pPr>
      <w:widowControl w:val="0"/>
      <w:adjustRightInd w:val="0"/>
      <w:snapToGrid w:val="0"/>
      <w:spacing w:line="520" w:lineRule="exact"/>
      <w:ind w:firstLine="200" w:firstLineChars="20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15958</Words>
  <Characters>17161</Characters>
  <Lines>300</Lines>
  <Paragraphs>84</Paragraphs>
  <TotalTime>26</TotalTime>
  <ScaleCrop>false</ScaleCrop>
  <LinksUpToDate>false</LinksUpToDate>
  <CharactersWithSpaces>17483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2024-07-07T02:05:00Z</dcterms:created>
  <dc:creator>Mx.</dc:creator>
  <cp:lastModifiedBy>浙江展图工程咨询有限公司</cp:lastModifiedBy>
  <cp:lastPrinted>2022-03-05T06:10:00Z</cp:lastPrinted>
  <dcterms:modified xsi:type="dcterms:W3CDTF">2025-07-08T03:13:37Z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829044B347BC43F1B5AEB3F7DAA8A79E_13</vt:lpwstr>
  </property>
  <property fmtid="{D5CDD505-2E9C-101B-9397-08002B2CF9AE}" pid="5" name="KSOTemplateDocerSaveRecord">
    <vt:lpwstr>eyJoZGlkIjoiYWI4N2ZkNjVlYmExYzdkZWMwZTFkNmYxY2JiOTYyZGYiLCJ1c2VySWQiOiIxNDAzMzc3MDc2In0=</vt:lpwstr>
  </property>
</Properties>
</file>