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65F4">
      <w:pPr>
        <w:tabs>
          <w:tab w:val="left" w:pos="3834"/>
        </w:tabs>
        <w:jc w:val="left"/>
        <w:rPr>
          <w:rFonts w:hint="eastAsia" w:ascii="宋体" w:hAnsi="宋体" w:eastAsia="宋体" w:cs="宋体"/>
          <w:color w:val="auto"/>
          <w:highlight w:val="none"/>
        </w:rPr>
      </w:pPr>
      <w:r>
        <w:rPr>
          <w:rFonts w:hint="eastAsia" w:ascii="宋体" w:hAnsi="宋体" w:eastAsia="宋体" w:cs="宋体"/>
          <w:color w:val="auto"/>
          <w:highlight w:val="none"/>
        </w:rPr>
        <w:tab/>
      </w:r>
    </w:p>
    <w:p w14:paraId="65EC6FF1">
      <w:pPr>
        <w:widowControl/>
        <w:ind w:right="-2"/>
        <w:jc w:val="center"/>
        <w:rPr>
          <w:rFonts w:hint="eastAsia" w:ascii="宋体" w:hAnsi="宋体" w:eastAsia="宋体" w:cs="宋体"/>
          <w:b/>
          <w:color w:val="auto"/>
          <w:sz w:val="24"/>
          <w:highlight w:val="none"/>
        </w:rPr>
      </w:pPr>
    </w:p>
    <w:p w14:paraId="0F52AAA0">
      <w:pPr>
        <w:pStyle w:val="46"/>
        <w:jc w:val="center"/>
        <w:rPr>
          <w:rFonts w:hint="eastAsia" w:ascii="宋体" w:hAnsi="宋体" w:eastAsia="宋体" w:cs="宋体"/>
          <w:b/>
          <w:bCs/>
          <w:color w:val="auto"/>
          <w:sz w:val="72"/>
          <w:szCs w:val="72"/>
          <w:highlight w:val="none"/>
        </w:rPr>
      </w:pPr>
    </w:p>
    <w:p w14:paraId="7CB95A2D">
      <w:pPr>
        <w:pStyle w:val="46"/>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政府采购项目招标文件</w:t>
      </w:r>
    </w:p>
    <w:p w14:paraId="05D41D8C">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（电子招投标）</w:t>
      </w:r>
    </w:p>
    <w:p w14:paraId="7549C512">
      <w:pPr>
        <w:rPr>
          <w:rFonts w:hint="eastAsia" w:ascii="宋体" w:hAnsi="宋体" w:eastAsia="宋体" w:cs="宋体"/>
          <w:b/>
          <w:color w:val="auto"/>
          <w:sz w:val="24"/>
          <w:highlight w:val="none"/>
        </w:rPr>
      </w:pPr>
    </w:p>
    <w:p w14:paraId="4BABA0D1">
      <w:pPr>
        <w:pStyle w:val="46"/>
        <w:rPr>
          <w:rFonts w:hint="eastAsia" w:ascii="宋体" w:hAnsi="宋体" w:eastAsia="宋体" w:cs="宋体"/>
          <w:b/>
          <w:color w:val="auto"/>
          <w:sz w:val="24"/>
          <w:highlight w:val="none"/>
        </w:rPr>
      </w:pPr>
    </w:p>
    <w:p w14:paraId="55B7C819">
      <w:pPr>
        <w:rPr>
          <w:rFonts w:hint="eastAsia" w:ascii="宋体" w:hAnsi="宋体" w:eastAsia="宋体" w:cs="宋体"/>
          <w:b/>
          <w:color w:val="auto"/>
          <w:sz w:val="24"/>
          <w:highlight w:val="none"/>
        </w:rPr>
      </w:pPr>
    </w:p>
    <w:p w14:paraId="16583DE9">
      <w:pPr>
        <w:pStyle w:val="3"/>
        <w:rPr>
          <w:rFonts w:hint="eastAsia" w:ascii="宋体" w:hAnsi="宋体" w:eastAsia="宋体" w:cs="宋体"/>
          <w:color w:val="auto"/>
          <w:sz w:val="24"/>
          <w:highlight w:val="none"/>
        </w:rPr>
      </w:pPr>
    </w:p>
    <w:p w14:paraId="4FA14AC1">
      <w:pPr>
        <w:rPr>
          <w:rFonts w:hint="eastAsia" w:ascii="宋体" w:hAnsi="宋体" w:eastAsia="宋体" w:cs="宋体"/>
          <w:b/>
          <w:color w:val="auto"/>
          <w:sz w:val="24"/>
          <w:highlight w:val="none"/>
        </w:rPr>
      </w:pPr>
    </w:p>
    <w:p w14:paraId="1057D89A">
      <w:pPr>
        <w:pStyle w:val="3"/>
        <w:rPr>
          <w:rFonts w:hint="eastAsia" w:ascii="宋体" w:hAnsi="宋体" w:eastAsia="宋体" w:cs="宋体"/>
          <w:color w:val="auto"/>
          <w:sz w:val="24"/>
          <w:highlight w:val="none"/>
        </w:rPr>
      </w:pPr>
    </w:p>
    <w:p w14:paraId="3FB69A08">
      <w:pPr>
        <w:rPr>
          <w:rFonts w:hint="eastAsia" w:ascii="宋体" w:hAnsi="宋体" w:eastAsia="宋体" w:cs="宋体"/>
          <w:b/>
          <w:color w:val="auto"/>
          <w:sz w:val="24"/>
          <w:highlight w:val="none"/>
        </w:rPr>
      </w:pPr>
    </w:p>
    <w:p w14:paraId="06E562FF">
      <w:pPr>
        <w:pStyle w:val="3"/>
        <w:rPr>
          <w:rFonts w:hint="eastAsia" w:ascii="宋体" w:hAnsi="宋体" w:eastAsia="宋体" w:cs="宋体"/>
          <w:color w:val="auto"/>
          <w:highlight w:val="none"/>
        </w:rPr>
      </w:pPr>
    </w:p>
    <w:p w14:paraId="0DAFFBF7">
      <w:pPr>
        <w:pStyle w:val="46"/>
        <w:rPr>
          <w:rFonts w:hint="eastAsia" w:ascii="宋体" w:hAnsi="宋体" w:eastAsia="宋体" w:cs="宋体"/>
          <w:b/>
          <w:color w:val="auto"/>
          <w:sz w:val="24"/>
          <w:highlight w:val="none"/>
        </w:rPr>
      </w:pPr>
    </w:p>
    <w:p w14:paraId="2627FD3A">
      <w:pPr>
        <w:rPr>
          <w:rFonts w:hint="eastAsia" w:ascii="宋体" w:hAnsi="宋体" w:eastAsia="宋体" w:cs="宋体"/>
          <w:color w:val="auto"/>
          <w:highlight w:val="none"/>
        </w:rPr>
      </w:pPr>
    </w:p>
    <w:p w14:paraId="34E095BE">
      <w:pPr>
        <w:rPr>
          <w:rFonts w:hint="eastAsia" w:ascii="宋体" w:hAnsi="宋体" w:eastAsia="宋体" w:cs="宋体"/>
          <w:color w:val="auto"/>
          <w:highlight w:val="none"/>
        </w:rPr>
      </w:pPr>
    </w:p>
    <w:tbl>
      <w:tblPr>
        <w:tblStyle w:val="6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10F8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49A593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7088" w:type="dxa"/>
            <w:vAlign w:val="center"/>
          </w:tcPr>
          <w:p w14:paraId="38460061">
            <w:pPr>
              <w:ind w:hanging="1"/>
              <w:rPr>
                <w:rFonts w:hint="eastAsia" w:ascii="宋体" w:hAnsi="宋体" w:eastAsia="宋体" w:cs="宋体"/>
                <w:bCs/>
                <w:color w:val="auto"/>
                <w:kern w:val="0"/>
                <w:sz w:val="28"/>
                <w:szCs w:val="28"/>
                <w:highlight w:val="none"/>
                <w:lang w:eastAsia="zh-CN"/>
              </w:rPr>
            </w:pPr>
            <w:r>
              <w:rPr>
                <w:rFonts w:hint="eastAsia" w:ascii="宋体" w:hAnsi="宋体" w:cs="宋体"/>
                <w:bCs/>
                <w:color w:val="auto"/>
                <w:kern w:val="0"/>
                <w:sz w:val="28"/>
                <w:szCs w:val="28"/>
                <w:highlight w:val="none"/>
                <w:lang w:eastAsia="zh-CN"/>
              </w:rPr>
              <w:t>2025年秀洲区油车港镇6个小区垃圾分类运维项目</w:t>
            </w:r>
          </w:p>
        </w:tc>
      </w:tr>
      <w:tr w14:paraId="2C8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449E996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7088" w:type="dxa"/>
            <w:vAlign w:val="center"/>
          </w:tcPr>
          <w:p w14:paraId="1BCFB4B9">
            <w:pPr>
              <w:ind w:hanging="1"/>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eastAsia="zh-CN"/>
              </w:rPr>
              <w:t>ZJJYZFCG-2025-01</w:t>
            </w:r>
            <w:r>
              <w:rPr>
                <w:rFonts w:hint="eastAsia" w:ascii="宋体" w:hAnsi="宋体" w:cs="宋体"/>
                <w:bCs/>
                <w:color w:val="auto"/>
                <w:kern w:val="0"/>
                <w:sz w:val="28"/>
                <w:szCs w:val="28"/>
                <w:highlight w:val="none"/>
                <w:lang w:val="en-US" w:eastAsia="zh-CN"/>
              </w:rPr>
              <w:t>4</w:t>
            </w:r>
          </w:p>
        </w:tc>
      </w:tr>
      <w:tr w14:paraId="1AB4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20B271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7088" w:type="dxa"/>
            <w:vAlign w:val="center"/>
          </w:tcPr>
          <w:p w14:paraId="5A246336">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公开招标</w:t>
            </w:r>
          </w:p>
        </w:tc>
      </w:tr>
      <w:tr w14:paraId="622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540C183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7088" w:type="dxa"/>
            <w:vAlign w:val="center"/>
          </w:tcPr>
          <w:p w14:paraId="550FA2BC">
            <w:pPr>
              <w:ind w:hanging="1"/>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电子交易（政府采购云平台）</w:t>
            </w:r>
          </w:p>
        </w:tc>
      </w:tr>
      <w:tr w14:paraId="219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0243998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7088" w:type="dxa"/>
            <w:vAlign w:val="center"/>
          </w:tcPr>
          <w:p w14:paraId="633EFFD1">
            <w:pPr>
              <w:ind w:hanging="1"/>
              <w:jc w:val="left"/>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lang w:eastAsia="zh-CN"/>
              </w:rPr>
              <w:t>嘉兴市秀洲区油车港镇人民政府</w:t>
            </w:r>
          </w:p>
        </w:tc>
      </w:tr>
      <w:tr w14:paraId="3850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2FF2F64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7088" w:type="dxa"/>
            <w:vAlign w:val="center"/>
          </w:tcPr>
          <w:p w14:paraId="38ACA200">
            <w:pPr>
              <w:ind w:hanging="1"/>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浙江槿阳建设管理有限公司</w:t>
            </w:r>
          </w:p>
        </w:tc>
      </w:tr>
      <w:tr w14:paraId="1D1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vAlign w:val="center"/>
          </w:tcPr>
          <w:p w14:paraId="1532BBE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7088" w:type="dxa"/>
            <w:vAlign w:val="center"/>
          </w:tcPr>
          <w:p w14:paraId="761E25E2">
            <w:pPr>
              <w:ind w:hang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二○二五年</w:t>
            </w:r>
            <w:r>
              <w:rPr>
                <w:rFonts w:hint="eastAsia" w:ascii="宋体" w:hAnsi="宋体" w:eastAsia="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rPr>
              <w:t>月</w:t>
            </w:r>
          </w:p>
        </w:tc>
      </w:tr>
    </w:tbl>
    <w:p w14:paraId="49AE9528">
      <w:pPr>
        <w:snapToGrid w:val="0"/>
        <w:spacing w:line="360" w:lineRule="auto"/>
        <w:jc w:val="center"/>
        <w:rPr>
          <w:rFonts w:hint="eastAsia" w:ascii="宋体" w:hAnsi="宋体" w:eastAsia="宋体" w:cs="宋体"/>
          <w:color w:val="auto"/>
          <w:sz w:val="30"/>
          <w:highlight w:val="none"/>
        </w:rPr>
      </w:pPr>
    </w:p>
    <w:p w14:paraId="44496A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25A26D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578CE61">
      <w:pPr>
        <w:spacing w:line="360" w:lineRule="auto"/>
        <w:rPr>
          <w:rFonts w:hint="eastAsia" w:ascii="宋体" w:hAnsi="宋体" w:eastAsia="宋体" w:cs="宋体"/>
          <w:color w:val="auto"/>
          <w:sz w:val="32"/>
          <w:szCs w:val="32"/>
          <w:highlight w:val="none"/>
        </w:rPr>
      </w:pPr>
    </w:p>
    <w:p w14:paraId="62D7F213">
      <w:pPr>
        <w:spacing w:line="360" w:lineRule="auto"/>
        <w:rPr>
          <w:rFonts w:hint="eastAsia" w:ascii="宋体" w:hAnsi="宋体" w:eastAsia="宋体" w:cs="宋体"/>
          <w:color w:val="auto"/>
          <w:sz w:val="32"/>
          <w:szCs w:val="32"/>
          <w:highlight w:val="none"/>
        </w:rPr>
      </w:pPr>
    </w:p>
    <w:p w14:paraId="02E7715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760C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98E89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B2CE1D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D038C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7E79A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099CE4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C52391B">
      <w:pPr>
        <w:spacing w:line="360" w:lineRule="auto"/>
        <w:ind w:firstLine="549" w:firstLineChars="229"/>
        <w:rPr>
          <w:rFonts w:hint="eastAsia" w:ascii="宋体" w:hAnsi="宋体" w:eastAsia="宋体" w:cs="宋体"/>
          <w:color w:val="auto"/>
          <w:sz w:val="24"/>
          <w:highlight w:val="none"/>
        </w:rPr>
      </w:pPr>
    </w:p>
    <w:p w14:paraId="1DE195A7">
      <w:pPr>
        <w:spacing w:line="360" w:lineRule="auto"/>
        <w:ind w:firstLine="549" w:firstLineChars="229"/>
        <w:rPr>
          <w:rFonts w:hint="eastAsia" w:ascii="宋体" w:hAnsi="宋体" w:eastAsia="宋体" w:cs="宋体"/>
          <w:color w:val="auto"/>
          <w:sz w:val="24"/>
          <w:highlight w:val="none"/>
        </w:rPr>
      </w:pPr>
    </w:p>
    <w:p w14:paraId="78E34003">
      <w:pPr>
        <w:spacing w:line="360" w:lineRule="auto"/>
        <w:ind w:firstLine="549" w:firstLineChars="229"/>
        <w:rPr>
          <w:rFonts w:hint="eastAsia" w:ascii="宋体" w:hAnsi="宋体" w:eastAsia="宋体" w:cs="宋体"/>
          <w:color w:val="auto"/>
          <w:sz w:val="24"/>
          <w:highlight w:val="none"/>
        </w:rPr>
      </w:pPr>
    </w:p>
    <w:p w14:paraId="62CBC698">
      <w:pPr>
        <w:spacing w:line="360" w:lineRule="auto"/>
        <w:ind w:firstLine="549" w:firstLineChars="229"/>
        <w:rPr>
          <w:rFonts w:hint="eastAsia" w:ascii="宋体" w:hAnsi="宋体" w:eastAsia="宋体" w:cs="宋体"/>
          <w:color w:val="auto"/>
          <w:sz w:val="24"/>
          <w:highlight w:val="none"/>
        </w:rPr>
      </w:pPr>
    </w:p>
    <w:p w14:paraId="195C5631">
      <w:pPr>
        <w:spacing w:line="360" w:lineRule="auto"/>
        <w:ind w:firstLine="549" w:firstLineChars="229"/>
        <w:rPr>
          <w:rFonts w:hint="eastAsia" w:ascii="宋体" w:hAnsi="宋体" w:eastAsia="宋体" w:cs="宋体"/>
          <w:color w:val="auto"/>
          <w:sz w:val="24"/>
          <w:highlight w:val="none"/>
        </w:rPr>
      </w:pPr>
    </w:p>
    <w:p w14:paraId="21C58AAC">
      <w:pPr>
        <w:spacing w:line="360" w:lineRule="auto"/>
        <w:ind w:firstLine="549" w:firstLineChars="229"/>
        <w:rPr>
          <w:rFonts w:hint="eastAsia" w:ascii="宋体" w:hAnsi="宋体" w:eastAsia="宋体" w:cs="宋体"/>
          <w:color w:val="auto"/>
          <w:sz w:val="24"/>
          <w:highlight w:val="none"/>
        </w:rPr>
      </w:pPr>
    </w:p>
    <w:p w14:paraId="67A99A0D">
      <w:pPr>
        <w:spacing w:line="360" w:lineRule="auto"/>
        <w:ind w:firstLine="549" w:firstLineChars="229"/>
        <w:rPr>
          <w:rFonts w:hint="eastAsia" w:ascii="宋体" w:hAnsi="宋体" w:eastAsia="宋体" w:cs="宋体"/>
          <w:color w:val="auto"/>
          <w:sz w:val="24"/>
          <w:highlight w:val="none"/>
        </w:rPr>
      </w:pPr>
    </w:p>
    <w:p w14:paraId="75FB51CF">
      <w:pPr>
        <w:spacing w:line="360" w:lineRule="auto"/>
        <w:ind w:firstLine="549" w:firstLineChars="229"/>
        <w:rPr>
          <w:rFonts w:hint="eastAsia" w:ascii="宋体" w:hAnsi="宋体" w:eastAsia="宋体" w:cs="宋体"/>
          <w:color w:val="auto"/>
          <w:sz w:val="24"/>
          <w:highlight w:val="none"/>
        </w:rPr>
      </w:pPr>
    </w:p>
    <w:p w14:paraId="29FE17DD">
      <w:pPr>
        <w:spacing w:line="360" w:lineRule="auto"/>
        <w:ind w:firstLine="549" w:firstLineChars="229"/>
        <w:rPr>
          <w:rFonts w:hint="eastAsia" w:ascii="宋体" w:hAnsi="宋体" w:eastAsia="宋体" w:cs="宋体"/>
          <w:color w:val="auto"/>
          <w:sz w:val="24"/>
          <w:highlight w:val="none"/>
        </w:rPr>
      </w:pPr>
    </w:p>
    <w:p w14:paraId="27736E5E">
      <w:pPr>
        <w:spacing w:line="360" w:lineRule="auto"/>
        <w:ind w:firstLine="549" w:firstLineChars="229"/>
        <w:rPr>
          <w:rFonts w:hint="eastAsia" w:ascii="宋体" w:hAnsi="宋体" w:eastAsia="宋体" w:cs="宋体"/>
          <w:color w:val="auto"/>
          <w:sz w:val="24"/>
          <w:highlight w:val="none"/>
        </w:rPr>
      </w:pPr>
    </w:p>
    <w:p w14:paraId="4DD936DC">
      <w:pPr>
        <w:spacing w:line="360" w:lineRule="auto"/>
        <w:ind w:firstLine="549" w:firstLineChars="229"/>
        <w:rPr>
          <w:rFonts w:hint="eastAsia" w:ascii="宋体" w:hAnsi="宋体" w:eastAsia="宋体" w:cs="宋体"/>
          <w:color w:val="auto"/>
          <w:sz w:val="24"/>
          <w:highlight w:val="none"/>
        </w:rPr>
      </w:pPr>
    </w:p>
    <w:p w14:paraId="59FD4A03">
      <w:pPr>
        <w:spacing w:line="360" w:lineRule="auto"/>
        <w:ind w:firstLine="549" w:firstLineChars="229"/>
        <w:rPr>
          <w:rFonts w:hint="eastAsia" w:ascii="宋体" w:hAnsi="宋体" w:eastAsia="宋体" w:cs="宋体"/>
          <w:color w:val="auto"/>
          <w:sz w:val="24"/>
          <w:highlight w:val="none"/>
        </w:rPr>
      </w:pPr>
    </w:p>
    <w:p w14:paraId="55FCABA5">
      <w:pPr>
        <w:spacing w:line="360" w:lineRule="auto"/>
        <w:rPr>
          <w:rFonts w:hint="eastAsia" w:ascii="宋体" w:hAnsi="宋体" w:eastAsia="宋体" w:cs="宋体"/>
          <w:color w:val="auto"/>
          <w:sz w:val="24"/>
          <w:highlight w:val="none"/>
        </w:rPr>
      </w:pPr>
    </w:p>
    <w:p w14:paraId="6BE5AE15">
      <w:pPr>
        <w:adjustRightInd/>
        <w:spacing w:before="240" w:beforeLines="100" w:after="240" w:afterLines="100"/>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36"/>
          <w:highlight w:val="none"/>
        </w:rPr>
        <w:t>第一部分招标公告</w:t>
      </w:r>
    </w:p>
    <w:p w14:paraId="56382DC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97C309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0000FF"/>
          <w:szCs w:val="21"/>
          <w:highlight w:val="none"/>
          <w:u w:val="single"/>
          <w:lang w:eastAsia="zh-CN"/>
        </w:rPr>
        <w:t>2025年秀洲区油车港镇6个小区垃圾分类运维项目</w:t>
      </w:r>
      <w:r>
        <w:rPr>
          <w:rFonts w:hint="eastAsia" w:ascii="宋体" w:hAnsi="宋体" w:eastAsia="宋体" w:cs="宋体"/>
          <w:color w:val="auto"/>
          <w:szCs w:val="21"/>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eastAsia="宋体" w:cs="宋体"/>
          <w:bCs/>
          <w:color w:val="0000FF"/>
          <w:szCs w:val="21"/>
          <w:highlight w:val="none"/>
          <w:u w:val="single"/>
          <w:lang w:eastAsia="zh-CN"/>
        </w:rPr>
        <w:t>2025年</w:t>
      </w:r>
      <w:r>
        <w:rPr>
          <w:rFonts w:hint="eastAsia" w:ascii="宋体" w:hAnsi="宋体" w:cs="宋体"/>
          <w:bCs/>
          <w:color w:val="0000FF"/>
          <w:szCs w:val="21"/>
          <w:highlight w:val="none"/>
          <w:u w:val="single"/>
          <w:lang w:val="en-US" w:eastAsia="zh-CN"/>
        </w:rPr>
        <w:t>08</w:t>
      </w:r>
      <w:r>
        <w:rPr>
          <w:rFonts w:hint="eastAsia" w:ascii="宋体" w:hAnsi="宋体" w:eastAsia="宋体" w:cs="宋体"/>
          <w:bCs/>
          <w:color w:val="0000FF"/>
          <w:szCs w:val="21"/>
          <w:highlight w:val="none"/>
          <w:u w:val="single"/>
          <w:lang w:eastAsia="zh-CN"/>
        </w:rPr>
        <w:t>月</w:t>
      </w:r>
      <w:r>
        <w:rPr>
          <w:rFonts w:hint="eastAsia" w:ascii="宋体" w:hAnsi="宋体" w:cs="宋体"/>
          <w:bCs/>
          <w:color w:val="0000FF"/>
          <w:szCs w:val="21"/>
          <w:highlight w:val="none"/>
          <w:u w:val="single"/>
          <w:lang w:val="en-US" w:eastAsia="zh-CN"/>
        </w:rPr>
        <w:t>06</w:t>
      </w:r>
      <w:r>
        <w:rPr>
          <w:rFonts w:hint="eastAsia" w:ascii="宋体" w:hAnsi="宋体" w:eastAsia="宋体" w:cs="宋体"/>
          <w:bCs/>
          <w:color w:val="0000FF"/>
          <w:szCs w:val="21"/>
          <w:highlight w:val="none"/>
          <w:u w:val="single"/>
          <w:lang w:eastAsia="zh-CN"/>
        </w:rPr>
        <w:t>日14点</w:t>
      </w:r>
      <w:r>
        <w:rPr>
          <w:rFonts w:hint="eastAsia" w:ascii="宋体" w:hAnsi="宋体" w:eastAsia="宋体" w:cs="宋体"/>
          <w:bCs/>
          <w:color w:val="0000FF"/>
          <w:szCs w:val="21"/>
          <w:highlight w:val="none"/>
          <w:u w:val="single"/>
          <w:lang w:val="en-US" w:eastAsia="zh-CN"/>
        </w:rPr>
        <w:t>0</w:t>
      </w:r>
      <w:r>
        <w:rPr>
          <w:rFonts w:hint="eastAsia" w:ascii="宋体" w:hAnsi="宋体" w:eastAsia="宋体" w:cs="宋体"/>
          <w:bCs/>
          <w:color w:val="0000FF"/>
          <w:szCs w:val="21"/>
          <w:highlight w:val="none"/>
          <w:u w:val="single"/>
          <w:lang w:eastAsia="zh-CN"/>
        </w:rPr>
        <w:t>0分00秒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41316C3C">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B4EAE4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项目编号：</w:t>
      </w:r>
      <w:r>
        <w:rPr>
          <w:rFonts w:hint="eastAsia" w:ascii="宋体" w:hAnsi="宋体" w:cs="宋体"/>
          <w:bCs/>
          <w:color w:val="0000FF"/>
          <w:szCs w:val="21"/>
          <w:highlight w:val="none"/>
          <w:u w:val="single"/>
          <w:lang w:eastAsia="zh-CN"/>
        </w:rPr>
        <w:t>ZJJYZFCG-2025-014</w:t>
      </w:r>
    </w:p>
    <w:p w14:paraId="37B49EEB">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0000FF"/>
          <w:szCs w:val="21"/>
          <w:highlight w:val="none"/>
          <w:u w:val="single"/>
          <w:lang w:eastAsia="zh-CN"/>
        </w:rPr>
        <w:t>2025年秀洲区油车港镇6个小区垃圾分类运维项目</w:t>
      </w:r>
    </w:p>
    <w:p w14:paraId="321FE96D">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预算金额（元）：</w:t>
      </w:r>
      <w:r>
        <w:rPr>
          <w:rFonts w:hint="eastAsia" w:ascii="宋体" w:hAnsi="宋体" w:cs="宋体"/>
          <w:bCs/>
          <w:color w:val="0000FF"/>
          <w:szCs w:val="21"/>
          <w:highlight w:val="none"/>
          <w:u w:val="single"/>
          <w:lang w:val="en-US" w:eastAsia="zh-CN"/>
        </w:rPr>
        <w:t>511500</w:t>
      </w:r>
    </w:p>
    <w:p w14:paraId="3114799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最高限价（元）：</w:t>
      </w:r>
      <w:r>
        <w:rPr>
          <w:rFonts w:hint="eastAsia" w:ascii="宋体" w:hAnsi="宋体" w:cs="宋体"/>
          <w:bCs/>
          <w:color w:val="0000FF"/>
          <w:szCs w:val="21"/>
          <w:highlight w:val="none"/>
          <w:u w:val="single"/>
          <w:lang w:val="en-US" w:eastAsia="zh-CN"/>
        </w:rPr>
        <w:t>511500</w:t>
      </w:r>
    </w:p>
    <w:p w14:paraId="19375E1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采购需求：</w:t>
      </w:r>
    </w:p>
    <w:p w14:paraId="4DF279B0">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标项名称：</w:t>
      </w:r>
      <w:r>
        <w:rPr>
          <w:rFonts w:hint="eastAsia" w:ascii="宋体" w:hAnsi="宋体" w:cs="宋体"/>
          <w:bCs/>
          <w:color w:val="0000FF"/>
          <w:szCs w:val="21"/>
          <w:highlight w:val="none"/>
          <w:u w:val="single"/>
          <w:lang w:eastAsia="zh-CN"/>
        </w:rPr>
        <w:t>2025年秀洲区油车港镇6个小区垃圾分类运维项目</w:t>
      </w:r>
    </w:p>
    <w:p w14:paraId="3D708531">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数量：</w:t>
      </w:r>
      <w:r>
        <w:rPr>
          <w:rFonts w:hint="eastAsia" w:ascii="宋体" w:hAnsi="宋体" w:eastAsia="宋体" w:cs="宋体"/>
          <w:bCs/>
          <w:color w:val="auto"/>
          <w:szCs w:val="21"/>
          <w:highlight w:val="none"/>
          <w:lang w:val="en-US" w:eastAsia="zh-CN"/>
        </w:rPr>
        <w:t>不限</w:t>
      </w:r>
    </w:p>
    <w:p w14:paraId="381219C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预算金额（元）：</w:t>
      </w:r>
      <w:r>
        <w:rPr>
          <w:rFonts w:hint="eastAsia" w:ascii="宋体" w:hAnsi="宋体" w:cs="宋体"/>
          <w:bCs/>
          <w:color w:val="0000FF"/>
          <w:szCs w:val="21"/>
          <w:highlight w:val="none"/>
          <w:u w:val="single"/>
          <w:lang w:val="en-US" w:eastAsia="zh-CN"/>
        </w:rPr>
        <w:t>511500</w:t>
      </w:r>
    </w:p>
    <w:p w14:paraId="108FD87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简要规格描述或项目基本概况介绍、用途：</w:t>
      </w:r>
      <w:r>
        <w:rPr>
          <w:rFonts w:hint="eastAsia" w:ascii="宋体" w:hAnsi="宋体" w:cs="宋体"/>
          <w:color w:val="0000FF"/>
          <w:szCs w:val="21"/>
          <w:highlight w:val="none"/>
          <w:u w:val="single"/>
          <w:lang w:eastAsia="zh-CN"/>
        </w:rPr>
        <w:t>2025年秀洲区油车港镇6个小区垃圾分类运维</w:t>
      </w:r>
      <w:r>
        <w:rPr>
          <w:rFonts w:hint="eastAsia" w:ascii="宋体" w:hAnsi="宋体" w:eastAsia="宋体" w:cs="宋体"/>
          <w:color w:val="0000FF"/>
          <w:szCs w:val="21"/>
          <w:highlight w:val="none"/>
          <w:u w:val="single"/>
          <w:lang w:eastAsia="zh-CN"/>
        </w:rPr>
        <w:t>服务</w:t>
      </w:r>
      <w:r>
        <w:rPr>
          <w:rFonts w:hint="eastAsia" w:ascii="宋体" w:hAnsi="宋体" w:eastAsia="宋体" w:cs="宋体"/>
          <w:bCs/>
          <w:color w:val="auto"/>
          <w:szCs w:val="21"/>
          <w:highlight w:val="none"/>
        </w:rPr>
        <w:t>，具体以招标文件第三部分采购需求为准，供应商可点击本公告下方“浏览采购文件”查看采购需求。</w:t>
      </w:r>
    </w:p>
    <w:p w14:paraId="534F88CB">
      <w:pPr>
        <w:spacing w:line="360" w:lineRule="auto"/>
        <w:ind w:firstLine="420" w:firstLineChars="200"/>
        <w:rPr>
          <w:rFonts w:hint="eastAsia" w:ascii="宋体" w:hAnsi="宋体" w:eastAsia="宋体" w:cs="宋体"/>
          <w:bCs/>
          <w:color w:val="0000FF"/>
          <w:szCs w:val="21"/>
          <w:highlight w:val="none"/>
        </w:rPr>
      </w:pPr>
      <w:r>
        <w:rPr>
          <w:rFonts w:hint="eastAsia" w:ascii="宋体" w:hAnsi="宋体" w:eastAsia="宋体" w:cs="宋体"/>
          <w:bCs/>
          <w:color w:val="auto"/>
          <w:szCs w:val="21"/>
          <w:highlight w:val="none"/>
        </w:rPr>
        <w:t>合同履约期限：</w:t>
      </w:r>
      <w:r>
        <w:rPr>
          <w:rFonts w:hint="eastAsia" w:ascii="宋体" w:hAnsi="宋体" w:eastAsia="宋体" w:cs="宋体"/>
          <w:bCs/>
          <w:color w:val="0000FF"/>
          <w:szCs w:val="21"/>
          <w:highlight w:val="none"/>
          <w:lang w:eastAsia="zh-CN"/>
        </w:rPr>
        <w:t>一年（自合同签订之日起算）</w:t>
      </w:r>
      <w:r>
        <w:rPr>
          <w:rFonts w:hint="eastAsia" w:ascii="宋体" w:hAnsi="宋体" w:eastAsia="宋体" w:cs="宋体"/>
          <w:bCs/>
          <w:color w:val="0000FF"/>
          <w:szCs w:val="21"/>
          <w:highlight w:val="none"/>
        </w:rPr>
        <w:t>。</w:t>
      </w:r>
    </w:p>
    <w:p w14:paraId="37C6957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本项目接受联合体投标：</w:t>
      </w:r>
      <w:sdt>
        <w:sdtPr>
          <w:rPr>
            <w:rFonts w:hint="eastAsia" w:ascii="宋体" w:hAnsi="宋体" w:eastAsia="宋体" w:cs="宋体"/>
            <w:bCs/>
            <w:color w:val="auto"/>
            <w:kern w:val="0"/>
            <w:szCs w:val="21"/>
            <w:highlight w:val="none"/>
          </w:rPr>
          <w:id w:val="2035453831"/>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t xml:space="preserve"> </w:t>
          </w:r>
          <w:sdt>
            <w:sdtPr>
              <w:rPr>
                <w:rFonts w:hint="eastAsia" w:ascii="宋体" w:hAnsi="宋体" w:eastAsia="宋体" w:cs="宋体"/>
                <w:bCs/>
                <w:color w:val="auto"/>
                <w:kern w:val="0"/>
                <w:szCs w:val="21"/>
                <w:highlight w:val="none"/>
              </w:rPr>
              <w:id w:val="-1890335429"/>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A8"/>
              </w:r>
            </w:sdtContent>
          </w:sdt>
        </w:sdtContent>
      </w:sdt>
      <w:r>
        <w:rPr>
          <w:rFonts w:hint="eastAsia" w:ascii="宋体" w:hAnsi="宋体" w:eastAsia="宋体" w:cs="宋体"/>
          <w:bCs/>
          <w:color w:val="auto"/>
          <w:szCs w:val="21"/>
          <w:highlight w:val="none"/>
        </w:rPr>
        <w:t>是，</w:t>
      </w:r>
      <w:sdt>
        <w:sdtPr>
          <w:rPr>
            <w:rFonts w:hint="eastAsia" w:ascii="宋体" w:hAnsi="宋体" w:eastAsia="宋体" w:cs="宋体"/>
            <w:bCs/>
            <w:color w:val="auto"/>
            <w:kern w:val="0"/>
            <w:szCs w:val="21"/>
            <w:highlight w:val="none"/>
          </w:rPr>
          <w:id w:val="-1765526721"/>
        </w:sdtPr>
        <w:sdtEndPr>
          <w:rPr>
            <w:rFonts w:hint="eastAsia" w:ascii="宋体" w:hAnsi="宋体" w:eastAsia="宋体" w:cs="宋体"/>
            <w:bCs/>
            <w:color w:val="auto"/>
            <w:kern w:val="0"/>
            <w:szCs w:val="21"/>
            <w:highlight w:val="none"/>
          </w:rPr>
        </w:sdtEndPr>
        <w:sdtContent>
          <w:sdt>
            <w:sdtPr>
              <w:rPr>
                <w:rFonts w:hint="eastAsia" w:ascii="宋体" w:hAnsi="宋体" w:eastAsia="宋体" w:cs="宋体"/>
                <w:bCs/>
                <w:color w:val="auto"/>
                <w:kern w:val="0"/>
                <w:szCs w:val="21"/>
                <w:highlight w:val="none"/>
              </w:rPr>
              <w:id w:val="1928616923"/>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FE"/>
              </w:r>
            </w:sdtContent>
          </w:sdt>
        </w:sdtContent>
      </w:sdt>
      <w:r>
        <w:rPr>
          <w:rFonts w:hint="eastAsia" w:ascii="宋体" w:hAnsi="宋体" w:eastAsia="宋体" w:cs="宋体"/>
          <w:bCs/>
          <w:color w:val="auto"/>
          <w:szCs w:val="21"/>
          <w:highlight w:val="none"/>
        </w:rPr>
        <w:t>否</w:t>
      </w:r>
      <w:r>
        <w:rPr>
          <w:rFonts w:hint="eastAsia" w:ascii="宋体" w:hAnsi="宋体" w:eastAsia="宋体" w:cs="宋体"/>
          <w:bCs/>
          <w:color w:val="auto"/>
          <w:kern w:val="0"/>
          <w:szCs w:val="21"/>
          <w:highlight w:val="none"/>
        </w:rPr>
        <w:t>。</w:t>
      </w:r>
    </w:p>
    <w:p w14:paraId="337FA4AF">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3A17BF84">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84615D">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2.以联合体形式投标的，提供联合协议(本项目不接受联合体投标或者投标人不以联合体形式投标的，则不需要提供) ；</w:t>
      </w:r>
    </w:p>
    <w:p w14:paraId="19A1441D">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3.落实政府采购政策需满足的资格要求：</w:t>
      </w:r>
    </w:p>
    <w:sdt>
      <w:sdtPr>
        <w:rPr>
          <w:rFonts w:hint="eastAsia" w:ascii="宋体" w:hAnsi="宋体" w:eastAsia="宋体" w:cs="宋体"/>
          <w:color w:val="auto"/>
          <w:kern w:val="0"/>
          <w:szCs w:val="21"/>
          <w:highlight w:val="none"/>
        </w:rPr>
        <w:id w:val="-1361431184"/>
      </w:sdtPr>
      <w:sdtEndPr>
        <w:rPr>
          <w:rFonts w:hint="eastAsia" w:ascii="宋体" w:hAnsi="宋体" w:eastAsia="宋体" w:cs="宋体"/>
          <w:color w:val="auto"/>
          <w:kern w:val="0"/>
          <w:szCs w:val="21"/>
          <w:highlight w:val="none"/>
        </w:rPr>
      </w:sdtEndPr>
      <w:sdtContent>
        <w:p w14:paraId="364DC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 xml:space="preserve">无； </w:t>
          </w:r>
        </w:p>
        <w:p w14:paraId="4021C1F8">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0000FF"/>
                <w:kern w:val="0"/>
                <w:szCs w:val="21"/>
                <w:highlight w:val="none"/>
              </w:rPr>
              <w:id w:val="-1024704304"/>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r>
            <w:rPr>
              <w:rFonts w:hint="eastAsia" w:ascii="宋体" w:hAnsi="宋体" w:eastAsia="宋体" w:cs="宋体"/>
              <w:color w:val="auto"/>
              <w:kern w:val="0"/>
              <w:szCs w:val="21"/>
              <w:highlight w:val="none"/>
              <w:u w:val="single"/>
            </w:rPr>
            <w:t>专</w:t>
          </w:r>
          <w:r>
            <w:rPr>
              <w:rFonts w:hint="eastAsia" w:ascii="宋体" w:hAnsi="宋体" w:eastAsia="宋体" w:cs="宋体"/>
              <w:color w:val="auto"/>
              <w:szCs w:val="21"/>
              <w:highlight w:val="none"/>
              <w:u w:val="single"/>
            </w:rPr>
            <w:t>门面向中小企业</w:t>
          </w:r>
        </w:p>
        <w:p w14:paraId="27D10372">
          <w:pPr>
            <w:spacing w:line="360" w:lineRule="auto"/>
            <w:ind w:firstLine="840" w:firstLineChars="400"/>
            <w:rPr>
              <w:rFonts w:hint="eastAsia" w:ascii="宋体" w:hAnsi="宋体" w:eastAsia="宋体" w:cs="宋体"/>
              <w:color w:val="auto"/>
              <w:szCs w:val="21"/>
              <w:highlight w:val="none"/>
              <w:u w:val="single"/>
            </w:rPr>
          </w:pPr>
          <w:sdt>
            <w:sdtPr>
              <w:rPr>
                <w:rFonts w:hint="eastAsia" w:ascii="宋体" w:hAnsi="宋体" w:eastAsia="宋体" w:cs="宋体"/>
                <w:color w:val="auto"/>
                <w:kern w:val="0"/>
                <w:szCs w:val="21"/>
                <w:highlight w:val="none"/>
                <w:u w:val="single"/>
              </w:rPr>
              <w:id w:val="-333685401"/>
            </w:sdtPr>
            <w:sdtEndPr>
              <w:rPr>
                <w:rFonts w:hint="eastAsia" w:ascii="宋体" w:hAnsi="宋体" w:eastAsia="宋体" w:cs="宋体"/>
                <w:color w:val="auto"/>
                <w:kern w:val="0"/>
                <w:szCs w:val="21"/>
                <w:highlight w:val="none"/>
                <w:u w:val="single"/>
              </w:rPr>
            </w:sdtEndPr>
            <w:sdtContent>
              <w:sdt>
                <w:sdtPr>
                  <w:rPr>
                    <w:rFonts w:hint="eastAsia" w:ascii="宋体" w:hAnsi="宋体" w:eastAsia="宋体" w:cs="宋体"/>
                    <w:color w:val="auto"/>
                    <w:kern w:val="0"/>
                    <w:szCs w:val="21"/>
                    <w:highlight w:val="none"/>
                    <w:u w:val="single"/>
                  </w:rPr>
                  <w:id w:val="-1202788315"/>
                </w:sdtPr>
                <w:sdtEndPr>
                  <w:rPr>
                    <w:rFonts w:hint="eastAsia" w:ascii="宋体" w:hAnsi="宋体" w:eastAsia="宋体" w:cs="宋体"/>
                    <w:color w:val="auto"/>
                    <w:kern w:val="0"/>
                    <w:szCs w:val="21"/>
                    <w:highlight w:val="none"/>
                    <w:u w:val="single"/>
                  </w:rPr>
                </w:sdtEndPr>
                <w:sdtContent>
                  <w:r>
                    <w:rPr>
                      <w:rFonts w:hint="eastAsia" w:ascii="宋体" w:hAnsi="宋体" w:eastAsia="宋体" w:cs="宋体"/>
                      <w:color w:val="0000FF"/>
                      <w:kern w:val="0"/>
                      <w:szCs w:val="21"/>
                      <w:highlight w:val="none"/>
                      <w:u w:val="single"/>
                    </w:rPr>
                    <w:sym w:font="Wingdings" w:char="00FE"/>
                  </w:r>
                </w:sdtContent>
              </w:sdt>
            </w:sdtContent>
          </w:sdt>
          <w:r>
            <w:rPr>
              <w:rFonts w:hint="eastAsia" w:ascii="宋体" w:hAnsi="宋体" w:eastAsia="宋体" w:cs="宋体"/>
              <w:color w:val="auto"/>
              <w:szCs w:val="21"/>
              <w:highlight w:val="none"/>
              <w:u w:val="single"/>
            </w:rPr>
            <w:t>服务全部由符合政策要求的中小企业承接，提供中小企业声明函；</w:t>
          </w:r>
        </w:p>
        <w:p w14:paraId="59102C1D">
          <w:pPr>
            <w:spacing w:line="360" w:lineRule="auto"/>
            <w:ind w:firstLine="840" w:firstLineChars="4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299604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2141025358"/>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szCs w:val="21"/>
              <w:highlight w:val="none"/>
            </w:rPr>
            <w:t>服务全部由符合政策要求的小微企业承接，提供中小企业声明函；</w:t>
          </w:r>
        </w:p>
      </w:sdtContent>
    </w:sdt>
    <w:p w14:paraId="409FFAEA">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5238814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7322CAD5">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67755400"/>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szCs w:val="21"/>
          <w:highlight w:val="none"/>
        </w:rPr>
        <w:t>要求合同分包，提供分包意向协议和中小企业声明函，分包意向协议中中小企业合同金额应当达到达到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%；如果供应商本身提供所有标的均由中小企业制造、承建或承接，视同符合了资格条件，无需再向中小企业分包，无需提供分包意向协议；</w:t>
      </w:r>
    </w:p>
    <w:p w14:paraId="130FB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w:t>
      </w:r>
    </w:p>
    <w:p w14:paraId="6E17275C">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33081449"/>
        </w:sdtPr>
        <w:sdtEndPr>
          <w:rPr>
            <w:rFonts w:hint="eastAsia" w:ascii="宋体" w:hAnsi="宋体" w:eastAsia="宋体" w:cs="宋体"/>
            <w:color w:val="0000FF"/>
            <w:kern w:val="0"/>
            <w:szCs w:val="21"/>
            <w:highlight w:val="none"/>
          </w:rPr>
        </w:sdtEndPr>
        <w:sdtContent>
          <w:r>
            <w:rPr>
              <w:rFonts w:hint="eastAsia" w:ascii="宋体" w:hAnsi="宋体" w:eastAsia="宋体" w:cs="宋体"/>
              <w:color w:val="0000FF"/>
              <w:kern w:val="0"/>
              <w:szCs w:val="21"/>
              <w:highlight w:val="none"/>
            </w:rPr>
            <w:sym w:font="Wingdings" w:char="00FE"/>
          </w:r>
        </w:sdtContent>
      </w:sdt>
      <w:r>
        <w:rPr>
          <w:rFonts w:hint="eastAsia" w:ascii="宋体" w:hAnsi="宋体" w:eastAsia="宋体" w:cs="宋体"/>
          <w:color w:val="0000FF"/>
          <w:kern w:val="0"/>
          <w:szCs w:val="21"/>
          <w:highlight w:val="none"/>
        </w:rPr>
        <w:t>无</w:t>
      </w:r>
      <w:r>
        <w:rPr>
          <w:rFonts w:hint="eastAsia" w:ascii="宋体" w:hAnsi="宋体" w:eastAsia="宋体" w:cs="宋体"/>
          <w:color w:val="auto"/>
          <w:kern w:val="0"/>
          <w:szCs w:val="21"/>
          <w:highlight w:val="none"/>
        </w:rPr>
        <w:t>。</w:t>
      </w:r>
    </w:p>
    <w:p w14:paraId="0161E562">
      <w:pPr>
        <w:spacing w:line="360" w:lineRule="auto"/>
        <w:ind w:firstLine="420" w:firstLineChars="2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76126335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有特定资格要求：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，该特定条件的法律法规依据：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F087FE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BC1133">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65E641D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rPr>
        <w:t>/至</w:t>
      </w:r>
      <w:r>
        <w:rPr>
          <w:rFonts w:hint="eastAsia" w:ascii="宋体" w:hAnsi="宋体" w:eastAsia="宋体" w:cs="宋体"/>
          <w:color w:val="0000FF"/>
          <w:szCs w:val="21"/>
          <w:highlight w:val="none"/>
          <w:u w:val="single"/>
        </w:rPr>
        <w:t>2025年</w:t>
      </w:r>
      <w:r>
        <w:rPr>
          <w:rFonts w:hint="eastAsia" w:ascii="宋体" w:hAnsi="宋体" w:cs="宋体"/>
          <w:color w:val="0000FF"/>
          <w:szCs w:val="21"/>
          <w:highlight w:val="none"/>
          <w:u w:val="single"/>
          <w:lang w:val="en-US" w:eastAsia="zh-CN"/>
        </w:rPr>
        <w:t>08</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 xml:space="preserve"> 06</w:t>
      </w:r>
      <w:r>
        <w:rPr>
          <w:rFonts w:hint="eastAsia" w:ascii="宋体" w:hAnsi="宋体" w:eastAsia="宋体" w:cs="宋体"/>
          <w:color w:val="0000FF"/>
          <w:szCs w:val="21"/>
          <w:highlight w:val="none"/>
          <w:u w:val="single"/>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p>
    <w:p w14:paraId="2EA575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地点（网址）：</w:t>
      </w:r>
      <w:r>
        <w:rPr>
          <w:rFonts w:hint="eastAsia" w:ascii="宋体" w:hAnsi="宋体" w:eastAsia="宋体" w:cs="宋体"/>
          <w:color w:val="auto"/>
          <w:szCs w:val="21"/>
          <w:highlight w:val="none"/>
        </w:rPr>
        <w:t xml:space="preserve">政采云平台（https://www.zcygov.cn/） </w:t>
      </w:r>
    </w:p>
    <w:p w14:paraId="622CC50F">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p w14:paraId="4709FF7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售价（元）：</w:t>
      </w:r>
      <w:r>
        <w:rPr>
          <w:rFonts w:hint="eastAsia" w:ascii="宋体" w:hAnsi="宋体" w:eastAsia="宋体" w:cs="宋体"/>
          <w:color w:val="auto"/>
          <w:szCs w:val="21"/>
          <w:highlight w:val="none"/>
        </w:rPr>
        <w:t xml:space="preserve">0 </w:t>
      </w:r>
    </w:p>
    <w:p w14:paraId="55761D41">
      <w:pPr>
        <w:wordWrap w:val="0"/>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344D2E46">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提交投标文件截止时间：</w:t>
      </w:r>
      <w:r>
        <w:rPr>
          <w:rFonts w:hint="eastAsia" w:ascii="宋体" w:hAnsi="宋体" w:eastAsia="宋体" w:cs="宋体"/>
          <w:color w:val="0000FF"/>
          <w:szCs w:val="21"/>
          <w:highlight w:val="none"/>
          <w:u w:val="single"/>
        </w:rPr>
        <w:t>2025年</w:t>
      </w:r>
      <w:r>
        <w:rPr>
          <w:rFonts w:hint="eastAsia" w:ascii="宋体" w:hAnsi="宋体" w:cs="宋体"/>
          <w:color w:val="0000FF"/>
          <w:szCs w:val="21"/>
          <w:highlight w:val="none"/>
          <w:u w:val="single"/>
          <w:lang w:val="en-US" w:eastAsia="zh-CN"/>
        </w:rPr>
        <w:t>08</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 xml:space="preserve"> 06</w:t>
      </w:r>
      <w:r>
        <w:rPr>
          <w:rFonts w:hint="eastAsia" w:ascii="宋体" w:hAnsi="宋体" w:eastAsia="宋体" w:cs="宋体"/>
          <w:color w:val="0000FF"/>
          <w:szCs w:val="21"/>
          <w:highlight w:val="none"/>
          <w:u w:val="single"/>
        </w:rPr>
        <w:t>日</w:t>
      </w:r>
      <w:r>
        <w:rPr>
          <w:rFonts w:hint="eastAsia" w:ascii="宋体" w:hAnsi="宋体" w:eastAsia="宋体" w:cs="宋体"/>
          <w:color w:val="0000FF"/>
          <w:szCs w:val="21"/>
          <w:highlight w:val="none"/>
          <w:u w:val="single"/>
        </w:rPr>
        <w:t>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r>
        <w:rPr>
          <w:rFonts w:hint="eastAsia" w:ascii="宋体" w:hAnsi="宋体" w:eastAsia="宋体" w:cs="宋体"/>
          <w:color w:val="auto"/>
          <w:szCs w:val="21"/>
          <w:highlight w:val="none"/>
        </w:rPr>
        <w:t>（北京时间）</w:t>
      </w:r>
    </w:p>
    <w:p w14:paraId="4B0AE08E">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投标地点（网址）：</w:t>
      </w:r>
      <w:r>
        <w:rPr>
          <w:rFonts w:hint="eastAsia" w:ascii="宋体" w:hAnsi="宋体" w:eastAsia="宋体" w:cs="宋体"/>
          <w:color w:val="auto"/>
          <w:szCs w:val="21"/>
          <w:highlight w:val="none"/>
        </w:rPr>
        <w:t xml:space="preserve">政采云平台（https://www.zcygov.cn/） </w:t>
      </w:r>
    </w:p>
    <w:p w14:paraId="527D4067">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开标时间：</w:t>
      </w:r>
      <w:r>
        <w:rPr>
          <w:rFonts w:hint="eastAsia" w:ascii="宋体" w:hAnsi="宋体" w:eastAsia="宋体" w:cs="宋体"/>
          <w:color w:val="0000FF"/>
          <w:szCs w:val="21"/>
          <w:highlight w:val="none"/>
          <w:u w:val="single"/>
        </w:rPr>
        <w:t>2025年</w:t>
      </w:r>
      <w:r>
        <w:rPr>
          <w:rFonts w:hint="eastAsia" w:ascii="宋体" w:hAnsi="宋体" w:cs="宋体"/>
          <w:color w:val="0000FF"/>
          <w:szCs w:val="21"/>
          <w:highlight w:val="none"/>
          <w:u w:val="single"/>
          <w:lang w:val="en-US" w:eastAsia="zh-CN"/>
        </w:rPr>
        <w:t>08</w:t>
      </w:r>
      <w:r>
        <w:rPr>
          <w:rFonts w:hint="eastAsia" w:ascii="宋体" w:hAnsi="宋体" w:eastAsia="宋体" w:cs="宋体"/>
          <w:color w:val="0000FF"/>
          <w:szCs w:val="21"/>
          <w:highlight w:val="none"/>
          <w:u w:val="single"/>
        </w:rPr>
        <w:t>月</w:t>
      </w:r>
      <w:r>
        <w:rPr>
          <w:rFonts w:hint="eastAsia" w:ascii="宋体" w:hAnsi="宋体" w:cs="宋体"/>
          <w:color w:val="0000FF"/>
          <w:szCs w:val="21"/>
          <w:highlight w:val="none"/>
          <w:u w:val="single"/>
          <w:lang w:val="en-US" w:eastAsia="zh-CN"/>
        </w:rPr>
        <w:t xml:space="preserve"> 06</w:t>
      </w:r>
      <w:r>
        <w:rPr>
          <w:rFonts w:hint="eastAsia" w:ascii="宋体" w:hAnsi="宋体" w:eastAsia="宋体" w:cs="宋体"/>
          <w:color w:val="0000FF"/>
          <w:szCs w:val="21"/>
          <w:highlight w:val="none"/>
          <w:u w:val="single"/>
        </w:rPr>
        <w:t>日</w:t>
      </w:r>
      <w:r>
        <w:rPr>
          <w:rFonts w:hint="eastAsia" w:ascii="宋体" w:hAnsi="宋体" w:eastAsia="宋体" w:cs="宋体"/>
          <w:color w:val="0000FF"/>
          <w:szCs w:val="21"/>
          <w:highlight w:val="none"/>
          <w:u w:val="single"/>
        </w:rPr>
        <w:t>14点</w:t>
      </w:r>
      <w:r>
        <w:rPr>
          <w:rFonts w:hint="eastAsia" w:ascii="宋体" w:hAnsi="宋体" w:eastAsia="宋体" w:cs="宋体"/>
          <w:color w:val="0000FF"/>
          <w:szCs w:val="21"/>
          <w:highlight w:val="none"/>
          <w:u w:val="single"/>
          <w:lang w:val="en-US" w:eastAsia="zh-CN"/>
        </w:rPr>
        <w:t>00</w:t>
      </w:r>
      <w:r>
        <w:rPr>
          <w:rFonts w:hint="eastAsia" w:ascii="宋体" w:hAnsi="宋体" w:eastAsia="宋体" w:cs="宋体"/>
          <w:color w:val="0000FF"/>
          <w:szCs w:val="21"/>
          <w:highlight w:val="none"/>
          <w:u w:val="single"/>
        </w:rPr>
        <w:t>分</w:t>
      </w:r>
    </w:p>
    <w:p w14:paraId="672CFEDD">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开标地点（网址）：</w:t>
      </w:r>
      <w:r>
        <w:rPr>
          <w:rFonts w:hint="eastAsia" w:ascii="宋体" w:hAnsi="宋体" w:eastAsia="宋体" w:cs="宋体"/>
          <w:color w:val="auto"/>
          <w:szCs w:val="21"/>
          <w:highlight w:val="none"/>
        </w:rPr>
        <w:t>政采云平台（https://www.zcygov.cn/）</w:t>
      </w:r>
    </w:p>
    <w:p w14:paraId="0019A08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五、采购意向公开</w:t>
      </w:r>
    </w:p>
    <w:p w14:paraId="5DB0B55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采购意向公开链接：https://zfcg.czt.zj.gov.cn/luban/detail?parentId=600007&amp;articleId=JR8/zpgv8PQNR7p6jXYGng==</w:t>
      </w:r>
    </w:p>
    <w:p w14:paraId="24FA66F8">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发布时间：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26</w:t>
      </w:r>
      <w:r>
        <w:rPr>
          <w:rFonts w:hint="eastAsia" w:ascii="宋体" w:hAnsi="宋体" w:eastAsia="宋体" w:cs="宋体"/>
          <w:color w:val="auto"/>
          <w:szCs w:val="21"/>
          <w:highlight w:val="none"/>
          <w:u w:val="single"/>
        </w:rPr>
        <w:t>日</w:t>
      </w:r>
    </w:p>
    <w:p w14:paraId="7CEF0CAD">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p>
    <w:p w14:paraId="7C7F62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17776461">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2B5A64B8">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4088884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9BA5E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2641C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1049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5.其他事项：</w:t>
      </w:r>
    </w:p>
    <w:p w14:paraId="66783D6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(1)需要落实的政府采购政策：包括节约资源、保护环境、支持创新、促进中小企业发展等。详见招标文件的第二部分总则。</w:t>
      </w:r>
    </w:p>
    <w:p w14:paraId="4686AC7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(2)电子招投标的说明：</w:t>
      </w:r>
    </w:p>
    <w:p w14:paraId="19A70BF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①电子招投标：本项目以数据电文形式，依托“政府采购云平台（www.zcygov.cn）”进行招投标活动，不接受纸质投标文件；</w:t>
      </w:r>
    </w:p>
    <w:p w14:paraId="41E9143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72630A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③招标文件的获取：使用账号登录或者使用CA登录政采云平台；进入“项目采购”应用，在获取采购文件菜单中选择项目，获取招标文件；</w:t>
      </w:r>
    </w:p>
    <w:p w14:paraId="750933D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④投标文件的制作：在“政采云电子交易客户端”中完成“填写基本信息”、“导入投标文件”、“标书关联”、“标书检查”、“电子签名”、“生成电子标书”等操作；</w:t>
      </w:r>
    </w:p>
    <w:p w14:paraId="141474A7">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⑤采购人、采购代理机构将依托政采云平台完成本项目的电子交易活动，平台不接受未按上述方式获取招标文件的供应商进行投标活动；</w:t>
      </w:r>
    </w:p>
    <w:p w14:paraId="474CBA6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⑥对未按上述方式获取招标文件的供应商对该文件提出的质疑，采购人或采购代理机构将不予处理；</w:t>
      </w:r>
    </w:p>
    <w:p w14:paraId="1592710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⑦不提供招标文件纸质版；</w:t>
      </w:r>
    </w:p>
    <w:p w14:paraId="64FD86E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07C965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FC9BBC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⑩具体操作指南：详见政采云平台“服务中心-帮助文档-项目采购-操作流程-电子招投标-政府采购项目电子交易管理操作指南-供应商”。</w:t>
      </w:r>
    </w:p>
    <w:p w14:paraId="26DBACE8">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(3)招标文件公告期限与招标公告的公告期限一致。</w:t>
      </w:r>
    </w:p>
    <w:p w14:paraId="587DF972">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八、对本次采购提出询问、质疑、投诉，请按以下方式联系</w:t>
      </w:r>
    </w:p>
    <w:p w14:paraId="5D075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8B9D34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嘉兴市秀洲区油车港镇人民政府</w:t>
      </w:r>
    </w:p>
    <w:p w14:paraId="2246A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址：嘉兴市秀洲区奥星路251号</w:t>
      </w:r>
    </w:p>
    <w:p w14:paraId="168D9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w:t>
      </w:r>
    </w:p>
    <w:p w14:paraId="0099447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谢先生</w:t>
      </w:r>
    </w:p>
    <w:p w14:paraId="4CA5C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项目联系方式（询问）：0573-83623559</w:t>
      </w:r>
    </w:p>
    <w:p w14:paraId="3A0401E4">
      <w:pPr>
        <w:tabs>
          <w:tab w:val="left" w:pos="324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质疑联系人：翁先生</w:t>
      </w:r>
    </w:p>
    <w:p w14:paraId="00ECAD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质疑联系方式：0573-83381782</w:t>
      </w:r>
    </w:p>
    <w:p w14:paraId="15FD5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3BD2140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浙江槿阳建设管理有限公司</w:t>
      </w:r>
    </w:p>
    <w:p w14:paraId="7C8EE4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地址：嘉兴市秀洲区成秀路205号鼎盛大厦4楼409室</w:t>
      </w:r>
    </w:p>
    <w:p w14:paraId="0F438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60F2E5E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王先生</w:t>
      </w:r>
    </w:p>
    <w:p w14:paraId="0E97FC7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0573-83807672</w:t>
      </w:r>
    </w:p>
    <w:p w14:paraId="19ECA0F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薛玉来</w:t>
      </w:r>
    </w:p>
    <w:p w14:paraId="1466E5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0573-83807672</w:t>
      </w:r>
    </w:p>
    <w:p w14:paraId="7E578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3.同级政府采购监督管理部门            </w:t>
      </w:r>
    </w:p>
    <w:p w14:paraId="0AE2BA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嘉兴市秀洲区财政局</w:t>
      </w:r>
    </w:p>
    <w:p w14:paraId="72F9968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嘉兴市洪兴路1765号</w:t>
      </w:r>
    </w:p>
    <w:p w14:paraId="7A929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709BD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先生</w:t>
      </w:r>
    </w:p>
    <w:p w14:paraId="004D7CC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监督投诉电话：</w:t>
      </w:r>
      <w:r>
        <w:rPr>
          <w:rFonts w:hint="eastAsia" w:ascii="宋体" w:hAnsi="宋体" w:eastAsia="宋体" w:cs="宋体"/>
          <w:color w:val="auto"/>
          <w:szCs w:val="21"/>
          <w:highlight w:val="none"/>
          <w:lang w:eastAsia="zh-CN"/>
        </w:rPr>
        <w:t>0573-82720085</w:t>
      </w:r>
    </w:p>
    <w:p w14:paraId="0CED325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1374916">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CA问题联系电话（人工）：汇信CA 400-888-4636；天谷CA 400-087-8198。</w:t>
      </w:r>
    </w:p>
    <w:p w14:paraId="062AAA9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EA47F4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E6BA90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68BE6FD">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40B81AC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D1138E6">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2CFE297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7F84B701">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13ED75F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3CE0E39">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725107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6F5F03F">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58BD938A">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40A8BA7">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08849EC">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3C3BFE72">
      <w:pPr>
        <w:adjustRightInd/>
        <w:spacing w:before="240" w:beforeLines="100" w:after="240" w:afterLines="100"/>
        <w:jc w:val="center"/>
        <w:outlineLvl w:val="0"/>
        <w:rPr>
          <w:rFonts w:hint="eastAsia" w:ascii="宋体" w:hAnsi="宋体" w:eastAsia="宋体" w:cs="宋体"/>
          <w:b/>
          <w:color w:val="auto"/>
          <w:sz w:val="36"/>
          <w:szCs w:val="20"/>
          <w:highlight w:val="none"/>
        </w:rPr>
      </w:pPr>
    </w:p>
    <w:p w14:paraId="004C985B">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89F5C49">
      <w:pPr>
        <w:adjustRightInd/>
        <w:spacing w:before="240" w:beforeLines="1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9B93F8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14:paraId="52A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14:paraId="1A2F96C2">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序号</w:t>
            </w:r>
          </w:p>
        </w:tc>
        <w:tc>
          <w:tcPr>
            <w:tcW w:w="1907" w:type="dxa"/>
            <w:shd w:val="clear" w:color="auto" w:fill="DCE6F2" w:themeFill="accent1" w:themeFillTint="32"/>
            <w:vAlign w:val="center"/>
          </w:tcPr>
          <w:p w14:paraId="52EF5F1C">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事项</w:t>
            </w:r>
          </w:p>
        </w:tc>
        <w:tc>
          <w:tcPr>
            <w:tcW w:w="6366" w:type="dxa"/>
            <w:shd w:val="clear" w:color="auto" w:fill="DCE6F2" w:themeFill="accent1" w:themeFillTint="32"/>
            <w:vAlign w:val="center"/>
          </w:tcPr>
          <w:p w14:paraId="460250F5">
            <w:pPr>
              <w:snapToGrid w:val="0"/>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本项目的特别规定</w:t>
            </w:r>
          </w:p>
        </w:tc>
      </w:tr>
      <w:tr w14:paraId="62E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14:paraId="1A1EF2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07" w:type="dxa"/>
            <w:shd w:val="clear" w:color="auto" w:fill="FFFFFF" w:themeFill="background1"/>
            <w:vAlign w:val="center"/>
          </w:tcPr>
          <w:p w14:paraId="7DCB095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6366" w:type="dxa"/>
            <w:shd w:val="clear" w:color="auto" w:fill="FFFFFF" w:themeFill="background1"/>
            <w:vAlign w:val="center"/>
          </w:tcPr>
          <w:p w14:paraId="30C5980E">
            <w:pPr>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服务类</w:t>
            </w:r>
          </w:p>
        </w:tc>
      </w:tr>
      <w:tr w14:paraId="7EC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1FBD0D2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shd w:val="clear" w:color="auto" w:fill="FFFFFF" w:themeFill="background1"/>
            <w:vAlign w:val="center"/>
          </w:tcPr>
          <w:p w14:paraId="71A0EF7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采购标的及其对应的中小企业划分标准所属行业</w:t>
            </w:r>
          </w:p>
        </w:tc>
        <w:tc>
          <w:tcPr>
            <w:tcW w:w="6366" w:type="dxa"/>
            <w:shd w:val="clear" w:color="auto" w:fill="FFFFFF" w:themeFill="background1"/>
            <w:vAlign w:val="center"/>
          </w:tcPr>
          <w:p w14:paraId="2EDF8088">
            <w:pPr>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标的：</w:t>
            </w:r>
            <w:r>
              <w:rPr>
                <w:rFonts w:hint="eastAsia" w:ascii="宋体" w:hAnsi="宋体" w:cs="宋体"/>
                <w:b/>
                <w:color w:val="auto"/>
                <w:kern w:val="0"/>
                <w:szCs w:val="21"/>
                <w:highlight w:val="none"/>
                <w:u w:val="single"/>
                <w:lang w:val="en-US" w:eastAsia="zh-CN"/>
              </w:rPr>
              <w:t>垃圾分类运维</w:t>
            </w:r>
            <w:r>
              <w:rPr>
                <w:rFonts w:hint="eastAsia" w:ascii="宋体" w:hAnsi="宋体" w:eastAsia="宋体" w:cs="宋体"/>
                <w:b/>
                <w:color w:val="auto"/>
                <w:kern w:val="0"/>
                <w:szCs w:val="21"/>
                <w:highlight w:val="none"/>
              </w:rPr>
              <w:t>，属于</w:t>
            </w:r>
            <w:r>
              <w:rPr>
                <w:rFonts w:hint="eastAsia" w:ascii="宋体" w:hAnsi="宋体" w:eastAsia="宋体" w:cs="宋体"/>
                <w:b/>
                <w:color w:val="auto"/>
                <w:kern w:val="0"/>
                <w:szCs w:val="21"/>
                <w:highlight w:val="none"/>
                <w:u w:val="single"/>
              </w:rPr>
              <w:t>其</w:t>
            </w:r>
            <w:r>
              <w:rPr>
                <w:rFonts w:hint="eastAsia" w:ascii="宋体" w:hAnsi="宋体" w:eastAsia="宋体" w:cs="宋体"/>
                <w:b/>
                <w:color w:val="0000FF"/>
                <w:kern w:val="0"/>
                <w:szCs w:val="21"/>
                <w:highlight w:val="none"/>
                <w:u w:val="single"/>
              </w:rPr>
              <w:t>他未列明行业</w:t>
            </w:r>
            <w:r>
              <w:rPr>
                <w:rFonts w:hint="eastAsia" w:ascii="宋体" w:hAnsi="宋体" w:eastAsia="宋体" w:cs="宋体"/>
                <w:b/>
                <w:color w:val="auto"/>
                <w:kern w:val="0"/>
                <w:szCs w:val="21"/>
                <w:highlight w:val="none"/>
              </w:rPr>
              <w:t>；</w:t>
            </w:r>
          </w:p>
        </w:tc>
      </w:tr>
      <w:tr w14:paraId="77D4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71A3B4C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shd w:val="clear" w:color="auto" w:fill="FFFFFF" w:themeFill="background1"/>
            <w:vAlign w:val="center"/>
          </w:tcPr>
          <w:p w14:paraId="47C8A6F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是否允许采购进口产品</w:t>
            </w:r>
          </w:p>
        </w:tc>
        <w:tc>
          <w:tcPr>
            <w:tcW w:w="6366" w:type="dxa"/>
            <w:shd w:val="clear" w:color="auto" w:fill="FFFFFF" w:themeFill="background1"/>
            <w:vAlign w:val="center"/>
          </w:tcPr>
          <w:p w14:paraId="6D9E596E">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本项目不允许采购进口产品。</w:t>
            </w:r>
          </w:p>
          <w:p w14:paraId="5119B724">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可以就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采购进口产品。优先采购向我国企业转让技术、与我国企业签订消化吸收再创新方案的供应商的进口产品，详见</w:t>
            </w:r>
            <w:r>
              <w:rPr>
                <w:rFonts w:hint="eastAsia" w:ascii="宋体" w:hAnsi="宋体" w:eastAsia="宋体" w:cs="宋体"/>
                <w:bCs/>
                <w:color w:val="auto"/>
                <w:kern w:val="0"/>
                <w:szCs w:val="21"/>
                <w:highlight w:val="none"/>
                <w:u w:val="single"/>
              </w:rPr>
              <w:t>评分标准</w:t>
            </w:r>
            <w:r>
              <w:rPr>
                <w:rFonts w:hint="eastAsia" w:ascii="宋体" w:hAnsi="宋体" w:eastAsia="宋体" w:cs="宋体"/>
                <w:bCs/>
                <w:color w:val="auto"/>
                <w:kern w:val="0"/>
                <w:szCs w:val="21"/>
                <w:highlight w:val="none"/>
              </w:rPr>
              <w:t>。</w:t>
            </w:r>
          </w:p>
        </w:tc>
      </w:tr>
      <w:tr w14:paraId="57D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68BAC2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shd w:val="clear" w:color="auto" w:fill="FFFFFF" w:themeFill="background1"/>
            <w:vAlign w:val="center"/>
          </w:tcPr>
          <w:p w14:paraId="6FDCE26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66" w:type="dxa"/>
            <w:shd w:val="clear" w:color="auto" w:fill="FFFFFF" w:themeFill="background1"/>
            <w:vAlign w:val="center"/>
          </w:tcPr>
          <w:p w14:paraId="09EC19F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A同意将非主体、非关键性的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工作分包。</w:t>
            </w:r>
          </w:p>
          <w:p w14:paraId="1FF5D770">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B不同意分包。</w:t>
            </w:r>
          </w:p>
          <w:p w14:paraId="1E92232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注：不得限制大中型企业向小微企业合理分包。</w:t>
            </w:r>
          </w:p>
        </w:tc>
      </w:tr>
      <w:tr w14:paraId="10A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514D946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7" w:type="dxa"/>
            <w:shd w:val="clear" w:color="auto" w:fill="FFFFFF" w:themeFill="background1"/>
            <w:vAlign w:val="center"/>
          </w:tcPr>
          <w:p w14:paraId="71435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开标前答疑会或现场考察</w:t>
            </w:r>
          </w:p>
        </w:tc>
        <w:tc>
          <w:tcPr>
            <w:tcW w:w="6366" w:type="dxa"/>
            <w:shd w:val="clear" w:color="auto" w:fill="FFFFFF" w:themeFill="background1"/>
            <w:vAlign w:val="center"/>
          </w:tcPr>
          <w:p w14:paraId="27E668EF">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A不组织。</w:t>
            </w:r>
          </w:p>
          <w:p w14:paraId="5B2F583A">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77705770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B组织，时间：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tc>
      </w:tr>
      <w:tr w14:paraId="74E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0C665DF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07" w:type="dxa"/>
            <w:shd w:val="clear" w:color="auto" w:fill="FFFFFF" w:themeFill="background1"/>
            <w:vAlign w:val="center"/>
          </w:tcPr>
          <w:p w14:paraId="70F8F60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样品提供</w:t>
            </w:r>
          </w:p>
        </w:tc>
        <w:tc>
          <w:tcPr>
            <w:tcW w:w="6366" w:type="dxa"/>
            <w:shd w:val="clear" w:color="auto" w:fill="FFFFFF" w:themeFill="background1"/>
            <w:vAlign w:val="center"/>
          </w:tcPr>
          <w:p w14:paraId="47E8C8A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BE9B8C3">
            <w:pPr>
              <w:wordWrap w:val="0"/>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26831988"/>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B要求提供，</w:t>
            </w:r>
          </w:p>
          <w:p w14:paraId="478B1AD8">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57EC2CF1">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kern w:val="28"/>
                <w:szCs w:val="21"/>
                <w:highlight w:val="none"/>
              </w:rPr>
              <w:t>（2）样品制作的标准和要求：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4C7B196">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05C858AA">
            <w:pPr>
              <w:wordWrap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否；</w:t>
            </w:r>
            <w:sdt>
              <w:sdtPr>
                <w:rPr>
                  <w:rFonts w:hint="eastAsia" w:ascii="宋体" w:hAnsi="宋体" w:eastAsia="宋体" w:cs="宋体"/>
                  <w:color w:val="auto"/>
                  <w:kern w:val="0"/>
                  <w:szCs w:val="21"/>
                  <w:highlight w:val="none"/>
                </w:rPr>
                <w:id w:val="1621728433"/>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30342145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kern w:val="0"/>
                <w:szCs w:val="21"/>
                <w:highlight w:val="none"/>
              </w:rPr>
              <w:t>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B2B10EB">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5982205D">
            <w:pPr>
              <w:wordWrap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AD27D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3663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33ED07A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07" w:type="dxa"/>
            <w:shd w:val="clear" w:color="auto" w:fill="FFFFFF" w:themeFill="background1"/>
            <w:vAlign w:val="center"/>
          </w:tcPr>
          <w:p w14:paraId="050FBEF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方案讲解演示</w:t>
            </w:r>
          </w:p>
        </w:tc>
        <w:tc>
          <w:tcPr>
            <w:tcW w:w="6366" w:type="dxa"/>
            <w:shd w:val="clear" w:color="auto" w:fill="FFFFFF" w:themeFill="background1"/>
            <w:vAlign w:val="center"/>
          </w:tcPr>
          <w:p w14:paraId="49CB94C5">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bCs/>
                <w:color w:val="auto"/>
                <w:kern w:val="0"/>
                <w:szCs w:val="21"/>
                <w:highlight w:val="none"/>
              </w:rPr>
              <w:t>A不组织。</w:t>
            </w:r>
          </w:p>
          <w:p w14:paraId="0E7C8589">
            <w:pPr>
              <w:spacing w:line="40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bCs/>
                <w:color w:val="auto"/>
                <w:kern w:val="0"/>
                <w:szCs w:val="21"/>
                <w:highlight w:val="none"/>
              </w:rPr>
              <w:t>B组织。</w:t>
            </w:r>
          </w:p>
          <w:p w14:paraId="2C30DC92">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32775D1">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（2）方案讲解演示可选择以下其中一种方式：</w:t>
            </w:r>
          </w:p>
          <w:p w14:paraId="33BFA30B">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方式一：政采云平台在线讲解演示。政采云平台在线讲解需投标人根据政采云平台操作要求做好准备工作，提前完善软硬件配置环境。</w:t>
            </w:r>
          </w:p>
          <w:p w14:paraId="75634C94">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方式二：采购代理机构现场讲解演示。现场讲解地点为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，讲解演示所用电脑等设备由投标人自备。现场讲解演示人员进场时提供讲解人员名单（加盖公章或授权代表签名）及身份证明，否则不得讲解演示。</w:t>
            </w:r>
          </w:p>
          <w:p w14:paraId="78D516F6">
            <w:pPr>
              <w:spacing w:line="40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14DE5411">
            <w:pPr>
              <w:spacing w:line="400" w:lineRule="exact"/>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83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14:paraId="27964AD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07" w:type="dxa"/>
            <w:vMerge w:val="restart"/>
            <w:shd w:val="clear" w:color="auto" w:fill="FFFFFF" w:themeFill="background1"/>
            <w:vAlign w:val="center"/>
          </w:tcPr>
          <w:p w14:paraId="02794F3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投标人应当提供的资格、资信证明文件</w:t>
            </w:r>
          </w:p>
        </w:tc>
        <w:tc>
          <w:tcPr>
            <w:tcW w:w="6366" w:type="dxa"/>
            <w:shd w:val="clear" w:color="auto" w:fill="FFFFFF" w:themeFill="background1"/>
            <w:vAlign w:val="center"/>
          </w:tcPr>
          <w:p w14:paraId="0AE868D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（1）资格证明文件：见招标文件第二部分11.1。</w:t>
            </w:r>
          </w:p>
          <w:p w14:paraId="4ACADE90">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3E2C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9" w:type="dxa"/>
            <w:vMerge w:val="continue"/>
            <w:shd w:val="clear" w:color="auto" w:fill="FFFFFF" w:themeFill="background1"/>
            <w:vAlign w:val="center"/>
          </w:tcPr>
          <w:p w14:paraId="73BD4B75">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1FC04414">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0B32C4D2">
            <w:pP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（2）资信证明文件：根据招标文件第四部分评标标准提供。</w:t>
            </w:r>
          </w:p>
        </w:tc>
      </w:tr>
      <w:tr w14:paraId="5DF3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3A1CA8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07" w:type="dxa"/>
            <w:shd w:val="clear" w:color="auto" w:fill="FFFFFF" w:themeFill="background1"/>
            <w:vAlign w:val="center"/>
          </w:tcPr>
          <w:p w14:paraId="0CEE381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节能产品、环境标志产品政府优先采购或强制采购</w:t>
            </w:r>
          </w:p>
        </w:tc>
        <w:tc>
          <w:tcPr>
            <w:tcW w:w="6366" w:type="dxa"/>
            <w:shd w:val="clear" w:color="auto" w:fill="FFFFFF" w:themeFill="background1"/>
            <w:vAlign w:val="center"/>
          </w:tcPr>
          <w:p w14:paraId="148F5308">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依据国家确定的认证机构出具的、处于有效期之内的节能产品认证证书，对获得证书的产品实施政府优先采购或强制采购；其中，对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实施政府强制采购，</w:t>
            </w:r>
            <w:r>
              <w:rPr>
                <w:rFonts w:hint="eastAsia" w:ascii="宋体" w:hAnsi="宋体" w:eastAsia="宋体" w:cs="宋体"/>
                <w:b/>
                <w:bCs/>
                <w:color w:val="auto"/>
                <w:kern w:val="0"/>
                <w:szCs w:val="21"/>
                <w:highlight w:val="none"/>
              </w:rPr>
              <w:t>投标人就相应的投标产品未提供国家确定的认证机构出具的、处于有效期之内的节能产品认证证书的，投标无效。</w:t>
            </w:r>
          </w:p>
          <w:p w14:paraId="1B9391A4">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依据国家确定的认证机构出具的、处于有效期之内的环境标志产品认证证书，对获得证书的</w:t>
            </w:r>
            <w:r>
              <w:rPr>
                <w:rFonts w:hint="eastAsia" w:ascii="宋体" w:hAnsi="宋体" w:eastAsia="宋体" w:cs="宋体"/>
                <w:color w:val="auto"/>
                <w:kern w:val="0"/>
                <w:szCs w:val="21"/>
                <w:highlight w:val="none"/>
                <w:u w:val="single"/>
              </w:rPr>
              <w:t>产品名称****</w:t>
            </w:r>
            <w:r>
              <w:rPr>
                <w:rFonts w:hint="eastAsia" w:ascii="宋体" w:hAnsi="宋体" w:eastAsia="宋体" w:cs="宋体"/>
                <w:color w:val="auto"/>
                <w:kern w:val="0"/>
                <w:szCs w:val="21"/>
                <w:highlight w:val="none"/>
              </w:rPr>
              <w:t>实施政府优先采购，详见</w:t>
            </w:r>
            <w:r>
              <w:rPr>
                <w:rFonts w:hint="eastAsia" w:ascii="宋体" w:hAnsi="宋体" w:eastAsia="宋体" w:cs="宋体"/>
                <w:color w:val="auto"/>
                <w:kern w:val="0"/>
                <w:szCs w:val="21"/>
                <w:highlight w:val="none"/>
                <w:u w:val="single"/>
              </w:rPr>
              <w:t>评分标准</w:t>
            </w:r>
            <w:r>
              <w:rPr>
                <w:rFonts w:hint="eastAsia" w:ascii="宋体" w:hAnsi="宋体" w:eastAsia="宋体" w:cs="宋体"/>
                <w:color w:val="auto"/>
                <w:kern w:val="0"/>
                <w:szCs w:val="21"/>
                <w:highlight w:val="none"/>
              </w:rPr>
              <w:t>。</w:t>
            </w:r>
          </w:p>
          <w:p w14:paraId="7768ED0E">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无。</w:t>
            </w:r>
          </w:p>
        </w:tc>
      </w:tr>
      <w:tr w14:paraId="3F5B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7B343AF1">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w:t>
            </w:r>
          </w:p>
        </w:tc>
        <w:tc>
          <w:tcPr>
            <w:tcW w:w="1907" w:type="dxa"/>
            <w:shd w:val="clear" w:color="auto" w:fill="FFFFFF" w:themeFill="background1"/>
            <w:vAlign w:val="center"/>
          </w:tcPr>
          <w:p w14:paraId="00D0E01C">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报价要求</w:t>
            </w:r>
          </w:p>
        </w:tc>
        <w:tc>
          <w:tcPr>
            <w:tcW w:w="6366" w:type="dxa"/>
            <w:shd w:val="clear" w:color="auto" w:fill="FFFFFF" w:themeFill="background1"/>
            <w:vAlign w:val="center"/>
          </w:tcPr>
          <w:p w14:paraId="23162D5F">
            <w:pPr>
              <w:snapToGrid w:val="0"/>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有关本项目实施</w:t>
            </w:r>
            <w:r>
              <w:rPr>
                <w:rFonts w:hint="eastAsia" w:ascii="宋体" w:hAnsi="宋体" w:eastAsia="宋体" w:cs="宋体"/>
                <w:color w:val="auto"/>
                <w:szCs w:val="21"/>
                <w:highlight w:val="none"/>
              </w:rPr>
              <w:t>所需的所有费用（含税费）均计入报价。</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Cs w:val="21"/>
                <w:highlight w:val="none"/>
              </w:rPr>
              <w:t>提醒：验收时检测费用由采购人承担，不包含在投标总价中。</w:t>
            </w:r>
          </w:p>
          <w:p w14:paraId="06D61FA0">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63C9EDE5">
            <w:pPr>
              <w:snapToGrid w:val="0"/>
              <w:spacing w:line="400" w:lineRule="exact"/>
              <w:ind w:firstLine="211" w:firstLineChars="1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投标文件出现不是唯一的、有选择性投标报价的；</w:t>
            </w:r>
          </w:p>
          <w:p w14:paraId="57758857">
            <w:pPr>
              <w:snapToGrid w:val="0"/>
              <w:spacing w:line="400" w:lineRule="exact"/>
              <w:ind w:firstLine="211" w:firstLineChars="100"/>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t>投标报价超过招标文件中规定的预算金额或者最高限价的；</w:t>
            </w:r>
          </w:p>
          <w:p w14:paraId="2FA56EDB">
            <w:pPr>
              <w:spacing w:line="40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359578DE">
            <w:pPr>
              <w:spacing w:line="400" w:lineRule="exact"/>
              <w:ind w:firstLine="211" w:firstLineChars="100"/>
              <w:rPr>
                <w:rFonts w:hint="eastAsia" w:ascii="宋体" w:hAnsi="宋体" w:eastAsia="宋体" w:cs="宋体"/>
                <w:color w:val="auto"/>
                <w:highlight w:val="none"/>
              </w:rPr>
            </w:pP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2696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A6B10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07" w:type="dxa"/>
            <w:shd w:val="clear" w:color="auto" w:fill="FFFFFF" w:themeFill="background1"/>
            <w:vAlign w:val="center"/>
          </w:tcPr>
          <w:p w14:paraId="156F03D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中小企业信用融资</w:t>
            </w:r>
          </w:p>
        </w:tc>
        <w:tc>
          <w:tcPr>
            <w:tcW w:w="6366" w:type="dxa"/>
            <w:shd w:val="clear" w:color="auto" w:fill="FFFFFF" w:themeFill="background1"/>
            <w:vAlign w:val="center"/>
          </w:tcPr>
          <w:p w14:paraId="46BAB9FF">
            <w:pPr>
              <w:pStyle w:val="6"/>
              <w:wordWrap w:val="0"/>
              <w:spacing w:line="400" w:lineRule="exact"/>
              <w:rPr>
                <w:rFonts w:hint="eastAsia" w:ascii="宋体" w:hAnsi="宋体" w:eastAsia="宋体" w:cs="宋体"/>
                <w:b/>
                <w:color w:val="auto"/>
                <w:highlight w:val="none"/>
              </w:rPr>
            </w:pPr>
            <w:r>
              <w:rPr>
                <w:rFonts w:hint="eastAsia" w:ascii="宋体" w:hAnsi="宋体" w:eastAsia="宋体" w:cs="宋体"/>
                <w:snapToGrid/>
                <w:color w:val="auto"/>
                <w:kern w:val="0"/>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A7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14:paraId="481F309D">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12</w:t>
            </w:r>
          </w:p>
        </w:tc>
        <w:tc>
          <w:tcPr>
            <w:tcW w:w="1907" w:type="dxa"/>
            <w:shd w:val="clear" w:color="auto" w:fill="FFFFFF" w:themeFill="background1"/>
            <w:vAlign w:val="center"/>
          </w:tcPr>
          <w:p w14:paraId="45D79CB5">
            <w:pPr>
              <w:snapToGrid w:val="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备份投标文件送达地点和签收人员</w:t>
            </w:r>
          </w:p>
        </w:tc>
        <w:tc>
          <w:tcPr>
            <w:tcW w:w="6366" w:type="dxa"/>
            <w:shd w:val="clear" w:color="auto" w:fill="FFFFFF" w:themeFill="background1"/>
            <w:vAlign w:val="center"/>
          </w:tcPr>
          <w:p w14:paraId="70A5D468">
            <w:pPr>
              <w:pStyle w:val="6"/>
              <w:spacing w:line="400" w:lineRule="exact"/>
              <w:rPr>
                <w:rFonts w:hint="eastAsia" w:ascii="宋体" w:hAnsi="宋体" w:eastAsia="宋体" w:cs="宋体"/>
                <w:color w:val="auto"/>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kern w:val="28"/>
                <w:highlight w:val="none"/>
                <w:u w:val="single"/>
              </w:rPr>
              <w:t>嘉兴市秀洲区成秀路205号鼎盛大厦4楼409招标代理部</w:t>
            </w:r>
            <w:r>
              <w:rPr>
                <w:rFonts w:hint="eastAsia" w:ascii="宋体" w:hAnsi="宋体" w:eastAsia="宋体" w:cs="宋体"/>
                <w:color w:val="auto"/>
                <w:kern w:val="28"/>
                <w:highlight w:val="none"/>
              </w:rPr>
              <w:t>；备份投标文件签收人员联系电话：</w:t>
            </w:r>
            <w:r>
              <w:rPr>
                <w:rFonts w:hint="eastAsia" w:ascii="宋体" w:hAnsi="宋体" w:eastAsia="宋体" w:cs="宋体"/>
                <w:color w:val="auto"/>
                <w:kern w:val="28"/>
                <w:highlight w:val="none"/>
                <w:u w:val="single"/>
              </w:rPr>
              <w:t>18667388226</w:t>
            </w:r>
            <w:r>
              <w:rPr>
                <w:rFonts w:hint="eastAsia" w:ascii="宋体" w:hAnsi="宋体" w:eastAsia="宋体" w:cs="宋体"/>
                <w:color w:val="auto"/>
                <w:kern w:val="28"/>
                <w:highlight w:val="none"/>
              </w:rPr>
              <w:t>。</w:t>
            </w:r>
            <w:r>
              <w:rPr>
                <w:rFonts w:hint="eastAsia" w:ascii="宋体" w:hAnsi="宋体" w:eastAsia="宋体" w:cs="宋体"/>
                <w:b/>
                <w:color w:val="auto"/>
                <w:highlight w:val="none"/>
              </w:rPr>
              <w:t>采购人、采购代理机构不强制或变相强制投标人提交备份投标文件。</w:t>
            </w:r>
          </w:p>
        </w:tc>
      </w:tr>
      <w:tr w14:paraId="4F9B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14:paraId="5CF9FEC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07" w:type="dxa"/>
            <w:shd w:val="clear" w:color="auto" w:fill="FFFFFF" w:themeFill="background1"/>
            <w:vAlign w:val="center"/>
          </w:tcPr>
          <w:p w14:paraId="03B3F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采购代理机构代理服务费用</w:t>
            </w:r>
          </w:p>
        </w:tc>
        <w:tc>
          <w:tcPr>
            <w:tcW w:w="6366" w:type="dxa"/>
            <w:shd w:val="clear" w:color="auto" w:fill="FFFFFF" w:themeFill="background1"/>
            <w:vAlign w:val="center"/>
          </w:tcPr>
          <w:p w14:paraId="4D55D212">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1.根据“国家发展和改革委员会办公厅《关于招标代理服务收费有关问题的通知》（发改办价格【2003】857号、财库【2018】2号第十五条）”规定，招标代理机构向中标人收取招标代理服务费；</w:t>
            </w:r>
          </w:p>
          <w:p w14:paraId="677EE2C5">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2.中标人应在收取《中标通知书》时向采购代理机构交纳招标代理服务费，服务费的收费标准按计价【2002】1980号文规定计算；</w:t>
            </w:r>
          </w:p>
          <w:p w14:paraId="41F0CDCA">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3.本项目以</w:t>
            </w:r>
            <w:r>
              <w:rPr>
                <w:rFonts w:hint="eastAsia" w:ascii="宋体" w:hAnsi="宋体" w:eastAsia="宋体" w:cs="宋体"/>
                <w:color w:val="auto"/>
                <w:highlight w:val="none"/>
                <w:u w:val="single"/>
              </w:rPr>
              <w:t xml:space="preserve"> 服务类 </w:t>
            </w:r>
            <w:r>
              <w:rPr>
                <w:rFonts w:hint="eastAsia" w:ascii="宋体" w:hAnsi="宋体" w:eastAsia="宋体" w:cs="宋体"/>
                <w:color w:val="auto"/>
                <w:highlight w:val="none"/>
              </w:rPr>
              <w:t>招标收费标准收取中标服务费，对于招标代理服务费不足6000元的按6000元计取招标代理服务费；</w:t>
            </w:r>
          </w:p>
          <w:p w14:paraId="766EFE25">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4.服务费的货币为人民币；</w:t>
            </w:r>
          </w:p>
          <w:p w14:paraId="0515364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5.服务费支付方式：一次性以银行划账、电汇、汇票或支票的形式支付；</w:t>
            </w:r>
          </w:p>
          <w:p w14:paraId="19F1FEDB">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6.服务费以银行划账方式按下列要求提交：</w:t>
            </w:r>
          </w:p>
          <w:p w14:paraId="6A989A0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收款人：浙江槿阳建设管理有限公司</w:t>
            </w:r>
          </w:p>
          <w:p w14:paraId="27F9C561">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户名：浙江槿阳建设管理有限公司</w:t>
            </w:r>
          </w:p>
          <w:p w14:paraId="7F9CB317">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开户银行：中国建设银行股份有限公司嘉兴秀洲支行</w:t>
            </w:r>
          </w:p>
          <w:p w14:paraId="4A2899FF">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账号：33050163803500001451</w:t>
            </w:r>
          </w:p>
          <w:p w14:paraId="4E145D53">
            <w:pPr>
              <w:pStyle w:val="6"/>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p>
          <w:p w14:paraId="4918FE25">
            <w:pPr>
              <w:pStyle w:val="6"/>
              <w:spacing w:line="400" w:lineRule="exact"/>
              <w:contextualSpacing/>
              <w:rPr>
                <w:rFonts w:hint="eastAsia" w:ascii="宋体" w:hAnsi="宋体" w:eastAsia="宋体" w:cs="宋体"/>
                <w:color w:val="auto"/>
                <w:kern w:val="28"/>
                <w:highlight w:val="none"/>
              </w:rPr>
            </w:pPr>
            <w:r>
              <w:rPr>
                <w:rFonts w:hint="eastAsia" w:ascii="宋体" w:hAnsi="宋体" w:eastAsia="宋体" w:cs="宋体"/>
                <w:color w:val="auto"/>
                <w:highlight w:val="none"/>
              </w:rPr>
              <w:t>8.服务费不在投标报价中单列。</w:t>
            </w:r>
          </w:p>
        </w:tc>
      </w:tr>
      <w:tr w14:paraId="179B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729" w:type="dxa"/>
            <w:vMerge w:val="restart"/>
            <w:shd w:val="clear" w:color="auto" w:fill="FFFFFF" w:themeFill="background1"/>
            <w:vAlign w:val="center"/>
          </w:tcPr>
          <w:p w14:paraId="7987CA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07" w:type="dxa"/>
            <w:vMerge w:val="restart"/>
            <w:shd w:val="clear" w:color="auto" w:fill="FFFFFF" w:themeFill="background1"/>
            <w:vAlign w:val="center"/>
          </w:tcPr>
          <w:p w14:paraId="73E2EEB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tc>
        <w:tc>
          <w:tcPr>
            <w:tcW w:w="6366" w:type="dxa"/>
            <w:shd w:val="clear" w:color="auto" w:fill="FFFFFF" w:themeFill="background1"/>
            <w:vAlign w:val="center"/>
          </w:tcPr>
          <w:p w14:paraId="40E424DE">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64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exact"/>
          <w:jc w:val="center"/>
        </w:trPr>
        <w:tc>
          <w:tcPr>
            <w:tcW w:w="729" w:type="dxa"/>
            <w:vMerge w:val="continue"/>
            <w:shd w:val="clear" w:color="auto" w:fill="FFFFFF" w:themeFill="background1"/>
            <w:vAlign w:val="center"/>
          </w:tcPr>
          <w:p w14:paraId="41A0E768">
            <w:pPr>
              <w:snapToGrid w:val="0"/>
              <w:jc w:val="center"/>
              <w:rPr>
                <w:rFonts w:hint="eastAsia" w:ascii="宋体" w:hAnsi="宋体" w:eastAsia="宋体" w:cs="宋体"/>
                <w:color w:val="auto"/>
                <w:szCs w:val="21"/>
                <w:highlight w:val="none"/>
              </w:rPr>
            </w:pPr>
            <w:bookmarkStart w:id="11" w:name="_Toc164416483"/>
            <w:bookmarkStart w:id="12" w:name="第三部分"/>
          </w:p>
        </w:tc>
        <w:tc>
          <w:tcPr>
            <w:tcW w:w="1907" w:type="dxa"/>
            <w:vMerge w:val="continue"/>
            <w:shd w:val="clear" w:color="auto" w:fill="FFFFFF" w:themeFill="background1"/>
            <w:vAlign w:val="center"/>
          </w:tcPr>
          <w:p w14:paraId="3B914E56">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66666C10">
            <w:pPr>
              <w:spacing w:line="400" w:lineRule="exact"/>
              <w:rPr>
                <w:rFonts w:hint="eastAsia" w:ascii="宋体" w:hAnsi="宋体" w:eastAsia="宋体" w:cs="宋体"/>
                <w:color w:val="auto"/>
                <w:kern w:val="28"/>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396784C2">
            <w:pPr>
              <w:spacing w:line="400" w:lineRule="exact"/>
              <w:rPr>
                <w:rFonts w:hint="eastAsia" w:ascii="宋体" w:hAnsi="宋体" w:eastAsia="宋体" w:cs="宋体"/>
                <w:color w:val="auto"/>
                <w:kern w:val="28"/>
                <w:szCs w:val="21"/>
                <w:highlight w:val="none"/>
              </w:rPr>
            </w:pPr>
            <w:sdt>
              <w:sdtPr>
                <w:rPr>
                  <w:rFonts w:hint="eastAsia" w:ascii="宋体" w:hAnsi="宋体" w:eastAsia="宋体" w:cs="宋体"/>
                  <w:color w:val="auto"/>
                  <w:kern w:val="0"/>
                  <w:szCs w:val="21"/>
                  <w:highlight w:val="none"/>
                </w:rPr>
                <w:id w:val="-16399464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603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jc w:val="center"/>
        </w:trPr>
        <w:tc>
          <w:tcPr>
            <w:tcW w:w="729" w:type="dxa"/>
            <w:vMerge w:val="continue"/>
            <w:shd w:val="clear" w:color="auto" w:fill="FFFFFF" w:themeFill="background1"/>
            <w:vAlign w:val="center"/>
          </w:tcPr>
          <w:p w14:paraId="49288F82">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51A5407D">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3073AC05">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325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exact"/>
          <w:jc w:val="center"/>
        </w:trPr>
        <w:tc>
          <w:tcPr>
            <w:tcW w:w="729" w:type="dxa"/>
            <w:vMerge w:val="continue"/>
            <w:shd w:val="clear" w:color="auto" w:fill="FFFFFF" w:themeFill="background1"/>
            <w:vAlign w:val="center"/>
          </w:tcPr>
          <w:p w14:paraId="4193AFEC">
            <w:pPr>
              <w:snapToGrid w:val="0"/>
              <w:jc w:val="center"/>
              <w:rPr>
                <w:rFonts w:hint="eastAsia" w:ascii="宋体" w:hAnsi="宋体" w:eastAsia="宋体" w:cs="宋体"/>
                <w:color w:val="auto"/>
                <w:szCs w:val="21"/>
                <w:highlight w:val="none"/>
              </w:rPr>
            </w:pPr>
          </w:p>
        </w:tc>
        <w:tc>
          <w:tcPr>
            <w:tcW w:w="1907" w:type="dxa"/>
            <w:vMerge w:val="continue"/>
            <w:shd w:val="clear" w:color="auto" w:fill="FFFFFF" w:themeFill="background1"/>
            <w:vAlign w:val="center"/>
          </w:tcPr>
          <w:p w14:paraId="04202472">
            <w:pPr>
              <w:snapToGrid w:val="0"/>
              <w:jc w:val="center"/>
              <w:rPr>
                <w:rFonts w:hint="eastAsia" w:ascii="宋体" w:hAnsi="宋体" w:eastAsia="宋体" w:cs="宋体"/>
                <w:color w:val="auto"/>
                <w:szCs w:val="21"/>
                <w:highlight w:val="none"/>
              </w:rPr>
            </w:pPr>
          </w:p>
        </w:tc>
        <w:tc>
          <w:tcPr>
            <w:tcW w:w="6366" w:type="dxa"/>
            <w:shd w:val="clear" w:color="auto" w:fill="FFFFFF" w:themeFill="background1"/>
            <w:vAlign w:val="center"/>
          </w:tcPr>
          <w:p w14:paraId="264DE62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本项目评审报告推荐的中标候选人数量：</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24200DB6">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7C0A25B2">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重新招标</w:t>
            </w:r>
          </w:p>
          <w:p w14:paraId="64388269">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按中标候选人名单排序依次确定其他中标候选人为中标人</w:t>
            </w:r>
          </w:p>
        </w:tc>
      </w:tr>
      <w:bookmarkEnd w:id="10"/>
    </w:tbl>
    <w:p w14:paraId="0387582C">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049880D9">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5E0D58EE">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7CB419D6">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6974B293">
      <w:pPr>
        <w:adjustRightInd/>
        <w:spacing w:before="240" w:beforeLines="100" w:after="240" w:afterLines="100"/>
        <w:jc w:val="center"/>
        <w:outlineLvl w:val="0"/>
        <w:rPr>
          <w:rFonts w:hint="eastAsia" w:ascii="宋体" w:hAnsi="宋体" w:eastAsia="宋体" w:cs="宋体"/>
          <w:b/>
          <w:color w:val="auto"/>
          <w:sz w:val="36"/>
          <w:szCs w:val="21"/>
          <w:highlight w:val="none"/>
        </w:rPr>
      </w:pPr>
    </w:p>
    <w:p w14:paraId="1E942A72">
      <w:pP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br w:type="page"/>
      </w:r>
    </w:p>
    <w:p w14:paraId="4AF69947">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一、总则</w:t>
      </w:r>
    </w:p>
    <w:p w14:paraId="3F6E6251">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71ADEA8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本招标文件适用于该项目的招标、投标、开标、资格审查及信用信息查询、评标、定标、合同、验收等行为（法律、法规另有规定的，从其规定）。</w:t>
      </w:r>
    </w:p>
    <w:p w14:paraId="2C0D872D">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2EEAC5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3BC2A1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“采购代理机构”系指招标公告中载明的本项目的采购代理机构。</w:t>
      </w:r>
    </w:p>
    <w:p w14:paraId="1CBCA0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“投标人”系指是指响应招标、参加投标竞争的法人、其他组织或者自然人。</w:t>
      </w:r>
    </w:p>
    <w:p w14:paraId="3E8FD0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“负责人”系指法人企业的法定负责人，或其他组织为法律、行政法规规定代表单位行使职权的主要负责人，或自然人本人。</w:t>
      </w:r>
    </w:p>
    <w:p w14:paraId="09CF78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EF569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“电子交易平台”是指本项目政府采购活动所依托的政府采购云平台（https://www.zcygov.cn/）。</w:t>
      </w:r>
    </w:p>
    <w:p w14:paraId="250A6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“▲”系指实质性要求条款，“</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szCs w:val="21"/>
          <w:highlight w:val="none"/>
        </w:rPr>
        <w:t>”系指适用本项目的要求，“</w:t>
      </w:r>
      <w:sdt>
        <w:sdtPr>
          <w:rPr>
            <w:rFonts w:hint="eastAsia" w:ascii="宋体" w:hAnsi="宋体" w:eastAsia="宋体" w:cs="宋体"/>
            <w:color w:val="auto"/>
            <w:kern w:val="0"/>
            <w:szCs w:val="21"/>
            <w:highlight w:val="none"/>
          </w:rPr>
          <w:id w:val="40488885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51297023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”系指不适用本项目的要求。</w:t>
      </w:r>
    </w:p>
    <w:p w14:paraId="283C7A70">
      <w:pPr>
        <w:snapToGrid w:val="0"/>
        <w:spacing w:before="240" w:beforeLines="100" w:after="240" w:afterLines="1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3.采购项目需要落实的政府采购政策</w:t>
      </w:r>
    </w:p>
    <w:p w14:paraId="7293E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进口产品采购管理</w:t>
      </w:r>
    </w:p>
    <w:p w14:paraId="57F03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6E54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支持绿色发展</w:t>
      </w:r>
    </w:p>
    <w:p w14:paraId="46D77FD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39C88D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修缮、装修类项目采购建材的，采购人应将绿色建筑和绿色建材性能、指标等作为实质性条件纳入招标文件和合同。</w:t>
      </w:r>
    </w:p>
    <w:p w14:paraId="107DA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4AE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77F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支持中小企业发展</w:t>
      </w:r>
    </w:p>
    <w:p w14:paraId="688A8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06DB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212F448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3.3.2 </w:t>
      </w:r>
      <w:r>
        <w:rPr>
          <w:rFonts w:hint="eastAsia" w:ascii="宋体" w:hAnsi="宋体" w:eastAsia="宋体" w:cs="宋体"/>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B875F4">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D7AF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C687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符合《关于促进残疾人就业政府采购政策的通知》（财库〔2017〕141号）规定的条件并提供《残疾人福利性单位声明函》（附件1）的残疾人福利性单位视同小型、微型企业；</w:t>
      </w:r>
    </w:p>
    <w:p w14:paraId="5D6C77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6BB2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4DB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 中小企业享受扶持政策获得政府采购合同的，小微企业不得将合同分包给大中型企业，中型企业不得将合同分包给大型企业。</w:t>
      </w:r>
    </w:p>
    <w:p w14:paraId="7D754D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支持创新发展</w:t>
      </w:r>
    </w:p>
    <w:p w14:paraId="02EF84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采购人优先采购被认定为首台套产品和“制造精品”的自主创新产品。</w:t>
      </w:r>
    </w:p>
    <w:p w14:paraId="4BA443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581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平等对待内外资企业和符合条件的破产重整企业</w:t>
      </w:r>
    </w:p>
    <w:p w14:paraId="541D2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5C50FA1B">
      <w:pPr>
        <w:spacing w:before="240" w:beforeLines="100" w:after="240"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4.询问、质疑、投诉</w:t>
      </w:r>
    </w:p>
    <w:p w14:paraId="42A3DECC">
      <w:pPr>
        <w:autoSpaceDE w:val="0"/>
        <w:autoSpaceDN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在线询问、质疑、投诉。</w:t>
      </w:r>
    </w:p>
    <w:p w14:paraId="3A2BB56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根据《浙江省财政厅关于进一步促进政府采购公平竞争打造最优营商环境的通知》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浙财采监2021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9E0341">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zh-CN"/>
        </w:rPr>
        <w:t>供应商询问</w:t>
      </w:r>
    </w:p>
    <w:p w14:paraId="74AF9A2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50B147">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val="zh-CN"/>
        </w:rPr>
        <w:t>供应商质疑</w:t>
      </w:r>
    </w:p>
    <w:p w14:paraId="32BA99C5">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.1 提出质疑的供应商应当是参与所质疑项目采购活动的供应商。潜在供应商已依法获取其可质疑的招标文件的，可以对该文件提出质疑。</w:t>
      </w:r>
    </w:p>
    <w:p w14:paraId="70BBFBCB">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614AF8">
      <w:pPr>
        <w:pStyle w:val="17"/>
        <w:spacing w:line="360" w:lineRule="auto"/>
        <w:ind w:firstLine="840" w:firstLineChars="40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 对招标文件提出质疑的，质疑期限为供应商获得招标文件之日或者招标文件公告期限届满之日起计算。</w:t>
      </w:r>
    </w:p>
    <w:p w14:paraId="07C3260C">
      <w:pPr>
        <w:pStyle w:val="6"/>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4.3.2.2 对采购过程提出质疑的，质疑期限为各采购程序环节结束之日起计算。</w:t>
      </w:r>
    </w:p>
    <w:p w14:paraId="779ED1FB">
      <w:pPr>
        <w:pStyle w:val="6"/>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4.3.2.3 对采购结果提出质疑的，质疑期限自采购结果公告期限届满之日起计算。</w:t>
      </w:r>
    </w:p>
    <w:p w14:paraId="04807BC1">
      <w:pPr>
        <w:pStyle w:val="6"/>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w:t>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供应商提出质疑应当提交质疑函和必要的证明材料。质疑函应当包括下列内容：</w:t>
      </w:r>
    </w:p>
    <w:p w14:paraId="4E312A41">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供应商的姓名或者名称、地址、邮编、联系人及联系电话；</w:t>
      </w:r>
    </w:p>
    <w:p w14:paraId="058BA853">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.3.2</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质疑项目的名称、编号；</w:t>
      </w:r>
    </w:p>
    <w:p w14:paraId="00410F95">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.3.3</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具体、明确的质疑事项和与质疑事项相关的请求；</w:t>
      </w:r>
    </w:p>
    <w:p w14:paraId="06E3D9B6">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.3.4</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事实依据；</w:t>
      </w:r>
    </w:p>
    <w:p w14:paraId="44655742">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.3.5</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必要的法律依据；</w:t>
      </w:r>
    </w:p>
    <w:p w14:paraId="66923A6E">
      <w:pPr>
        <w:pStyle w:val="6"/>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.3.6</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提出质疑的日期。</w:t>
      </w:r>
    </w:p>
    <w:p w14:paraId="1B36ABA1">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35C75B3">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28ECD7B0">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对同一采购程序环节的质疑，供应商须在法定质疑期内一次性提出。</w:t>
      </w:r>
    </w:p>
    <w:p w14:paraId="4E93EAD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w:t>
      </w:r>
    </w:p>
    <w:p w14:paraId="7A681CCD">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rPr>
        <w:t>3.6 询问或者质疑事项可能影响采购结果的，采购人应当暂停签订合同，已经签订合同的，应当中止履行合同。</w:t>
      </w:r>
    </w:p>
    <w:p w14:paraId="04BA03D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 xml:space="preserve">4 </w:t>
      </w:r>
      <w:r>
        <w:rPr>
          <w:rFonts w:hint="eastAsia" w:ascii="宋体" w:hAnsi="宋体" w:eastAsia="宋体" w:cs="宋体"/>
          <w:color w:val="auto"/>
          <w:kern w:val="0"/>
          <w:szCs w:val="21"/>
          <w:highlight w:val="none"/>
          <w:lang w:val="zh-CN"/>
        </w:rPr>
        <w:t>供应商投诉</w:t>
      </w:r>
    </w:p>
    <w:p w14:paraId="3421E59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质疑供应商对采购人、采购代理机构的答复不满意或者采购人、采购代理机构未在规定的时间内作出答复的，可以在答复期满后十五个工作日内向同级政府采购监督管理部门提出投诉。</w:t>
      </w:r>
    </w:p>
    <w:p w14:paraId="6692D931">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 供应商投诉的事项不得超出已质疑事项的范围，基于质疑答复内容提出的投诉事项除外。</w:t>
      </w:r>
    </w:p>
    <w:p w14:paraId="6D26B7CC">
      <w:pPr>
        <w:pStyle w:val="891"/>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 供应商投诉应当有明确的请求和必要的证明材料。</w:t>
      </w:r>
    </w:p>
    <w:p w14:paraId="60CB01CE">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414E18C6">
      <w:pPr>
        <w:pStyle w:val="891"/>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投诉书范本及制作说明详见附件3。</w:t>
      </w:r>
    </w:p>
    <w:p w14:paraId="2EE68676">
      <w:pPr>
        <w:adjustRightInd/>
        <w:spacing w:before="240" w:beforeLines="100" w:after="240" w:afterLines="100"/>
        <w:jc w:val="center"/>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二、招标文件的构成、澄清、修改</w:t>
      </w:r>
    </w:p>
    <w:p w14:paraId="1882DBFC">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5.招标文件的构成</w:t>
      </w:r>
    </w:p>
    <w:p w14:paraId="50FF9523">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招标文件包括下列文件及附件：</w:t>
      </w:r>
    </w:p>
    <w:p w14:paraId="0F0DD979">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5.1.1 招标公告；</w:t>
      </w:r>
    </w:p>
    <w:p w14:paraId="5AD3A2A3">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5.1.2 投标人须知；</w:t>
      </w:r>
    </w:p>
    <w:p w14:paraId="08901684">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5.1.3 采购需求；</w:t>
      </w:r>
    </w:p>
    <w:p w14:paraId="185A2E07">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5.1.4 评标办法；</w:t>
      </w:r>
    </w:p>
    <w:p w14:paraId="0BD6E196">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5.1.5 拟签订的合同文本；</w:t>
      </w:r>
    </w:p>
    <w:p w14:paraId="3FD7B2DC">
      <w:pPr>
        <w:pStyle w:val="6"/>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5.1.6 应提交的有关格式范例。</w:t>
      </w:r>
    </w:p>
    <w:p w14:paraId="0635D9C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与本项目有关的</w:t>
      </w:r>
      <w:r>
        <w:rPr>
          <w:rFonts w:hint="eastAsia" w:ascii="宋体" w:hAnsi="宋体" w:eastAsia="宋体" w:cs="宋体"/>
          <w:bCs/>
          <w:color w:val="auto"/>
          <w:szCs w:val="21"/>
          <w:highlight w:val="none"/>
        </w:rPr>
        <w:t>澄清或者修改的内容为招标文件的组成部分</w:t>
      </w:r>
      <w:r>
        <w:rPr>
          <w:rFonts w:hint="eastAsia" w:ascii="宋体" w:hAnsi="宋体" w:eastAsia="宋体" w:cs="宋体"/>
          <w:color w:val="auto"/>
          <w:szCs w:val="21"/>
          <w:highlight w:val="none"/>
        </w:rPr>
        <w:t>。</w:t>
      </w:r>
    </w:p>
    <w:p w14:paraId="293E6C01">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6.招标文件的澄清、修改</w:t>
      </w:r>
    </w:p>
    <w:p w14:paraId="347580FF">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已获取招标文件的潜在投标人，若有问题需要澄清，应于投标截止时间前，以书面形式向采购代理机构提出。</w:t>
      </w:r>
    </w:p>
    <w:p w14:paraId="35B63FAE">
      <w:pPr>
        <w:pStyle w:val="135"/>
        <w:snapToGrid w:val="0"/>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1558A5">
      <w:pPr>
        <w:adjustRightInd/>
        <w:spacing w:before="240" w:beforeLines="100" w:after="240" w:afterLines="100"/>
        <w:jc w:val="center"/>
        <w:outlineLvl w:val="0"/>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rPr>
        <w:t>三、投标</w:t>
      </w:r>
    </w:p>
    <w:p w14:paraId="4D7B5D3F">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7.招标文件的获取</w:t>
      </w:r>
    </w:p>
    <w:p w14:paraId="6031EEDE">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详见招标公告中获取招标文件的时间期限、地点、方式及招标文件售价。</w:t>
      </w:r>
    </w:p>
    <w:p w14:paraId="61966F6A">
      <w:pPr>
        <w:spacing w:line="360" w:lineRule="auto"/>
        <w:ind w:firstLine="422" w:firstLineChars="200"/>
        <w:rPr>
          <w:rFonts w:hint="eastAsia" w:ascii="宋体" w:hAnsi="宋体" w:eastAsia="宋体" w:cs="宋体"/>
          <w:snapToGrid w:val="0"/>
          <w:color w:val="auto"/>
          <w:kern w:val="28"/>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7FBC4106">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8. 开标前答疑会或现场考察</w:t>
      </w:r>
    </w:p>
    <w:p w14:paraId="0651B39E">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14:paraId="0E1B7D71">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9.投标保证金</w:t>
      </w:r>
    </w:p>
    <w:p w14:paraId="2935032F">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548F3667">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10.投标文件的语言</w:t>
      </w:r>
    </w:p>
    <w:p w14:paraId="0A0F77BF">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投标文件及投标人与采购有关的来往通知、函件和文件均应使用中文。</w:t>
      </w:r>
    </w:p>
    <w:p w14:paraId="4BA5F7B3">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11.投标文件的组成</w:t>
      </w:r>
    </w:p>
    <w:p w14:paraId="3174B6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11.1 </w:t>
      </w:r>
      <w:r>
        <w:rPr>
          <w:rFonts w:hint="eastAsia" w:ascii="宋体" w:hAnsi="宋体" w:eastAsia="宋体" w:cs="宋体"/>
          <w:b/>
          <w:color w:val="auto"/>
          <w:szCs w:val="21"/>
          <w:highlight w:val="none"/>
        </w:rPr>
        <w:t>资格文件</w:t>
      </w:r>
      <w:r>
        <w:rPr>
          <w:rFonts w:hint="eastAsia" w:ascii="宋体" w:hAnsi="宋体" w:eastAsia="宋体" w:cs="宋体"/>
          <w:color w:val="auto"/>
          <w:szCs w:val="21"/>
          <w:highlight w:val="none"/>
        </w:rPr>
        <w:t>：</w:t>
      </w:r>
    </w:p>
    <w:p w14:paraId="68806CB4">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符合参加政府采购活动应当具备的一般条件的承诺函；</w:t>
      </w:r>
    </w:p>
    <w:p w14:paraId="226C9EF5">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联合协议（如果有）；</w:t>
      </w:r>
    </w:p>
    <w:p w14:paraId="6FAC930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 落实政府采购政策需满足的资格要求（如果有）；</w:t>
      </w:r>
    </w:p>
    <w:p w14:paraId="5A3CB3B0">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本项目的特定资格要求（如果有）。</w:t>
      </w:r>
    </w:p>
    <w:p w14:paraId="1AB0C5F0">
      <w:pPr>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w:t>
      </w:r>
      <w:r>
        <w:rPr>
          <w:rFonts w:hint="eastAsia" w:ascii="宋体" w:hAnsi="宋体" w:eastAsia="宋体" w:cs="宋体"/>
          <w:b/>
          <w:bCs/>
          <w:color w:val="auto"/>
          <w:szCs w:val="21"/>
          <w:highlight w:val="none"/>
        </w:rPr>
        <w:t>2 商务技术</w:t>
      </w:r>
      <w:r>
        <w:rPr>
          <w:rFonts w:hint="eastAsia" w:ascii="宋体" w:hAnsi="宋体" w:eastAsia="宋体" w:cs="宋体"/>
          <w:b/>
          <w:bCs/>
          <w:color w:val="auto"/>
          <w:szCs w:val="21"/>
          <w:highlight w:val="none"/>
          <w:lang w:val="zh-CN"/>
        </w:rPr>
        <w:t>文件：</w:t>
      </w:r>
    </w:p>
    <w:p w14:paraId="7A9D722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投标函；</w:t>
      </w:r>
    </w:p>
    <w:p w14:paraId="3705BDDF">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授权委托书或法定代表人（单位负责人、自然人本人）身份证明；</w:t>
      </w:r>
    </w:p>
    <w:p w14:paraId="1BAA09C2">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分包意向协议（如果有）；</w:t>
      </w:r>
    </w:p>
    <w:p w14:paraId="486F281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符合性审查资料；</w:t>
      </w:r>
    </w:p>
    <w:p w14:paraId="5C656B6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评标标准相应的商务技术资料；</w:t>
      </w:r>
    </w:p>
    <w:p w14:paraId="466B374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 商务技术偏离表；</w:t>
      </w:r>
    </w:p>
    <w:p w14:paraId="59F1FD1C">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B4FE087">
      <w:pPr>
        <w:snapToGrid w:val="0"/>
        <w:spacing w:line="360" w:lineRule="auto"/>
        <w:ind w:firstLine="422" w:firstLineChars="200"/>
        <w:rPr>
          <w:rFonts w:hint="eastAsia" w:ascii="宋体" w:hAnsi="宋体" w:eastAsia="宋体" w:cs="宋体"/>
          <w:color w:val="auto"/>
          <w:szCs w:val="21"/>
          <w:highlight w:val="none"/>
          <w:u w:val="single"/>
          <w:lang w:val="zh-CN"/>
        </w:rPr>
      </w:pPr>
      <w:r>
        <w:rPr>
          <w:rFonts w:hint="eastAsia" w:ascii="宋体" w:hAnsi="宋体" w:eastAsia="宋体" w:cs="宋体"/>
          <w:b/>
          <w:bCs/>
          <w:color w:val="auto"/>
          <w:kern w:val="0"/>
          <w:szCs w:val="21"/>
          <w:highlight w:val="none"/>
          <w:lang w:val="zh-CN"/>
        </w:rPr>
        <w:t>11.</w:t>
      </w:r>
      <w:r>
        <w:rPr>
          <w:rFonts w:hint="eastAsia" w:ascii="宋体" w:hAnsi="宋体" w:eastAsia="宋体" w:cs="宋体"/>
          <w:b/>
          <w:bCs/>
          <w:color w:val="auto"/>
          <w:kern w:val="0"/>
          <w:szCs w:val="21"/>
          <w:highlight w:val="none"/>
        </w:rPr>
        <w:t xml:space="preserve">3 </w:t>
      </w:r>
      <w:r>
        <w:rPr>
          <w:rFonts w:hint="eastAsia" w:ascii="宋体" w:hAnsi="宋体" w:eastAsia="宋体" w:cs="宋体"/>
          <w:b/>
          <w:color w:val="auto"/>
          <w:szCs w:val="21"/>
          <w:highlight w:val="none"/>
        </w:rPr>
        <w:t>报价文件：</w:t>
      </w:r>
    </w:p>
    <w:p w14:paraId="349AF23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开标一览表（报价表）；</w:t>
      </w:r>
    </w:p>
    <w:p w14:paraId="589AAA9A">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 报价情况说明（如供应商报价低于项目预算50%的，应当提交本文档，详细阐述不影响产品质量或者诚信履约的具体原因）；</w:t>
      </w:r>
    </w:p>
    <w:p w14:paraId="1A2F5FFD">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 中小企业声明函（如本项目专门面向中小企业采购，此处可不提供）。</w:t>
      </w:r>
    </w:p>
    <w:p w14:paraId="7C794485">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投标文件含有采购人不能接受的附加条件的，投标无效；</w:t>
      </w:r>
    </w:p>
    <w:p w14:paraId="16BA3E89">
      <w:pPr>
        <w:spacing w:line="360" w:lineRule="auto"/>
        <w:ind w:firstLine="632" w:firstLineChars="3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投标人提供虚假材料投标的，投标无效。</w:t>
      </w:r>
    </w:p>
    <w:p w14:paraId="3E60DA59">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1B104BA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zh-CN"/>
        </w:rPr>
        <w:t>12.1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B4256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D8267E8">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12.3</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679EED02">
      <w:pPr>
        <w:pStyle w:val="135"/>
        <w:snapToGrid w:val="0"/>
        <w:spacing w:before="240" w:beforeLines="100" w:after="240" w:afterLines="100" w:line="240" w:lineRule="auto"/>
        <w:ind w:firstLine="0" w:firstLine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505FAE4">
      <w:pPr>
        <w:pStyle w:val="135"/>
        <w:snapToGrid w:val="0"/>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 投标文件按照招标文件第六部分格式要求进行签署、盖章。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投标人的投标文件未按照招标文件要求签署、盖章的，其投标无效</w:t>
      </w:r>
      <w:r>
        <w:rPr>
          <w:rFonts w:hint="eastAsia" w:ascii="宋体" w:hAnsi="宋体" w:eastAsia="宋体" w:cs="宋体"/>
          <w:color w:val="auto"/>
          <w:sz w:val="21"/>
          <w:szCs w:val="21"/>
          <w:highlight w:val="none"/>
          <w:u w:val="single"/>
        </w:rPr>
        <w:t>。</w:t>
      </w:r>
    </w:p>
    <w:p w14:paraId="6A2C49CB">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为确保网上操作合法、有效和安全，投标人应当在投标截止时间前完成在“政府采购云平台”的身份认证，确保在电子投标过程中能够对相关数据电文进行加密和使用电子签名。</w:t>
      </w:r>
    </w:p>
    <w:p w14:paraId="2A860AA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招标文件对投标文件签署、盖章的要求适用于电子签名。</w:t>
      </w:r>
    </w:p>
    <w:p w14:paraId="22136AA9">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1ABF286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b/>
          <w:bCs/>
          <w:color w:val="auto"/>
          <w:sz w:val="21"/>
          <w:szCs w:val="21"/>
          <w:highlight w:val="none"/>
          <w:u w:val="single"/>
        </w:rPr>
        <w:t>供应商撤回投标不得损害国家利益、社会公共利益、采购人利益、代理机构利益、其他供应商利益，否则，供应商撤销（撤回）投标无效。</w:t>
      </w:r>
      <w:r>
        <w:rPr>
          <w:rFonts w:hint="eastAsia" w:ascii="宋体" w:hAnsi="宋体" w:eastAsia="宋体" w:cs="宋体"/>
          <w:color w:val="auto"/>
          <w:sz w:val="21"/>
          <w:szCs w:val="21"/>
          <w:highlight w:val="none"/>
        </w:rPr>
        <w:t>投标截止时间前未完成传输的，视为撤回投标文件。投标截止时间后递交的投标文件，电子交易平台将拒收。</w:t>
      </w:r>
    </w:p>
    <w:p w14:paraId="38DDD016">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电子交易平台收到投标文件，将妥善保存并即时向供应商发出确认回执通知。在投标截止时间前，除供应商补充、修改或者撤回投标文件外，任何单位和个人不得解密或提取投标文件。</w:t>
      </w:r>
    </w:p>
    <w:p w14:paraId="68C0C77B">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5C73E129">
      <w:pPr>
        <w:pStyle w:val="6"/>
        <w:spacing w:before="240" w:beforeLines="100" w:after="240" w:afterLines="100"/>
        <w:rPr>
          <w:rFonts w:hint="eastAsia" w:ascii="宋体" w:hAnsi="宋体" w:eastAsia="宋体" w:cs="宋体"/>
          <w:b/>
          <w:color w:val="auto"/>
          <w:highlight w:val="none"/>
        </w:rPr>
      </w:pPr>
      <w:r>
        <w:rPr>
          <w:rFonts w:hint="eastAsia" w:ascii="宋体" w:hAnsi="宋体" w:eastAsia="宋体" w:cs="宋体"/>
          <w:b/>
          <w:color w:val="auto"/>
          <w:highlight w:val="none"/>
        </w:rPr>
        <w:t>15.备份投标文件</w:t>
      </w:r>
    </w:p>
    <w:p w14:paraId="4C34CA7A">
      <w:pPr>
        <w:pStyle w:val="6"/>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eastAsia="宋体" w:cs="宋体"/>
          <w:b/>
          <w:color w:val="auto"/>
          <w:highlight w:val="none"/>
          <w:u w:val="single"/>
        </w:rPr>
        <w:t>但采购人、采购代理机构不强制或变相强制投标人提交备份投标文件。</w:t>
      </w:r>
    </w:p>
    <w:p w14:paraId="71E275D3">
      <w:pPr>
        <w:pStyle w:val="6"/>
        <w:spacing w:line="360" w:lineRule="auto"/>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15.2 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highlight w:val="none"/>
          <w:u w:val="single"/>
        </w:rPr>
        <w:t>不符合上述制作、存储、密封规定的备份投标文件将被视为无效或者被拒绝接收。</w:t>
      </w:r>
    </w:p>
    <w:p w14:paraId="68BC9615">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直接提交备份投标文件的，投标人应于投标截止时间前在投标人须知前附表规定的地点将备份投标文件提交给采购代理机构，采购代理机构将拒绝接受逾期送达的备份投标文件。</w:t>
      </w:r>
    </w:p>
    <w:p w14:paraId="40FD1757">
      <w:pPr>
        <w:pStyle w:val="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 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highlight w:val="none"/>
        </w:rPr>
        <w:t>招标文件第二部分投标人须知前附表规定的备份投标文件送达地点；</w:t>
      </w:r>
      <w:r>
        <w:rPr>
          <w:rFonts w:hint="eastAsia" w:ascii="宋体" w:hAnsi="宋体" w:eastAsia="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552A68BF">
      <w:pPr>
        <w:pStyle w:val="6"/>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15.5 </w:t>
      </w:r>
      <w:r>
        <w:rPr>
          <w:rFonts w:hint="eastAsia" w:ascii="宋体" w:hAnsi="宋体" w:eastAsia="宋体" w:cs="宋体"/>
          <w:b/>
          <w:color w:val="auto"/>
          <w:highlight w:val="none"/>
          <w:u w:val="single"/>
        </w:rPr>
        <w:t>投标人仅提交备份投标文件，没有在电子交易平台传输递交投标文件的，投标无效。</w:t>
      </w:r>
    </w:p>
    <w:p w14:paraId="091789A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4F50F5F">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有招标文件第四部分第4.2项规定的情形之一的，投标无效：</w:t>
      </w:r>
    </w:p>
    <w:p w14:paraId="502C4A86">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26AB62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17.1 投标有效期为从提交投标文件的截止之日起90天。▲</w:t>
      </w:r>
      <w:r>
        <w:rPr>
          <w:rFonts w:hint="eastAsia" w:ascii="宋体" w:hAnsi="宋体" w:eastAsia="宋体" w:cs="宋体"/>
          <w:b/>
          <w:color w:val="auto"/>
          <w:szCs w:val="21"/>
          <w:highlight w:val="none"/>
          <w:u w:val="single"/>
        </w:rPr>
        <w:t>投标人的投标文件中承诺的投标有效期少于招标文件中载明的投标有效期的，投标无效。</w:t>
      </w:r>
    </w:p>
    <w:p w14:paraId="7A676137">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投标文件合格投递后，自投标截止日期起，在投标有效期内有效。</w:t>
      </w:r>
    </w:p>
    <w:p w14:paraId="132FB078">
      <w:pPr>
        <w:pStyle w:val="135"/>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531A2268">
      <w:pPr>
        <w:pStyle w:val="135"/>
        <w:spacing w:before="240" w:beforeLines="100" w:after="240" w:afterLines="100" w:line="240" w:lineRule="auto"/>
        <w:ind w:firstLine="0" w:firstLineChars="0"/>
        <w:jc w:val="center"/>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四、开标、资格审查与信用信息查询</w:t>
      </w:r>
    </w:p>
    <w:p w14:paraId="39E201C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4D1DD36A">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采购代理机构按照招标文件规定的时间通过电子交易平台组织开标，所有投标人均应当准时在线参加。投标人不足3家的，不得开标。</w:t>
      </w:r>
    </w:p>
    <w:p w14:paraId="7DE45B6E">
      <w:pPr>
        <w:pStyle w:val="559"/>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开标时，电子交易平台按开标时间自动提取所有投标文件。采购代理机构依托电子交易平台发起开始解密指令，投标人按照平台提示和招标文件的规定在半小时内完成在线解密。</w:t>
      </w:r>
    </w:p>
    <w:p w14:paraId="7E1E301A">
      <w:pPr>
        <w:pStyle w:val="559"/>
        <w:wordWrap w:val="0"/>
        <w:spacing w:before="0" w:line="360" w:lineRule="auto"/>
        <w:ind w:left="0"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18.3 </w:t>
      </w:r>
      <w:r>
        <w:rPr>
          <w:rFonts w:hint="eastAsia" w:ascii="宋体" w:hAnsi="宋体" w:eastAsia="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27D85CF5">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1DDED5AE">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 开标后，采购人将依据法律法规和招标文件的规定，对投标人的资格进行审查。</w:t>
      </w:r>
    </w:p>
    <w:p w14:paraId="5569F12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 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4836113C">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 对未通过资格审查的投标人，告知其未通过的原因。</w:t>
      </w:r>
    </w:p>
    <w:p w14:paraId="734D93AD">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 合格投标人不足3家的，不再评标。</w:t>
      </w:r>
    </w:p>
    <w:p w14:paraId="5C64E53B">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AA34C2">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C267D72">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 信用信息查询渠道及截止时间：</w:t>
      </w:r>
      <w:r>
        <w:rPr>
          <w:rFonts w:hint="eastAsia" w:ascii="宋体" w:hAnsi="宋体" w:eastAsia="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7A805EB1">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 信用信息查询记录和证据留存的具体方式：</w:t>
      </w:r>
      <w:r>
        <w:rPr>
          <w:rFonts w:hint="eastAsia" w:ascii="宋体" w:hAnsi="宋体" w:eastAsia="宋体" w:cs="宋体"/>
          <w:color w:val="auto"/>
          <w:kern w:val="0"/>
          <w:sz w:val="21"/>
          <w:szCs w:val="21"/>
          <w:highlight w:val="none"/>
          <w:u w:val="single"/>
        </w:rPr>
        <w:t>现场查询的投标人的信用记录、查询结果经确认后将与采购文件一起存档。</w:t>
      </w:r>
    </w:p>
    <w:p w14:paraId="330D1519">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 信用信息的使用规则：</w:t>
      </w:r>
      <w:r>
        <w:rPr>
          <w:rFonts w:hint="eastAsia" w:ascii="宋体" w:hAnsi="宋体" w:eastAsia="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03B4C0C5">
      <w:pPr>
        <w:pStyle w:val="135"/>
        <w:wordWrap w:val="0"/>
        <w:spacing w:before="0"/>
        <w:ind w:firstLine="42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20.4 联合体信用信息查询：</w:t>
      </w:r>
      <w:r>
        <w:rPr>
          <w:rFonts w:hint="eastAsia" w:ascii="宋体" w:hAnsi="宋体" w:eastAsia="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u w:val="single"/>
        </w:rPr>
        <w:t>。</w:t>
      </w:r>
    </w:p>
    <w:p w14:paraId="7B3AB60E">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1D4915E">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21.评标</w:t>
      </w:r>
    </w:p>
    <w:p w14:paraId="318FF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委员会由政府采购评审专家4人和采购人代表1人，共5人组成。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F64B73B">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详见招标文件第四部分评标办法。</w:t>
      </w:r>
    </w:p>
    <w:p w14:paraId="2F04E267">
      <w:pPr>
        <w:snapToGrid w:val="0"/>
        <w:spacing w:before="240" w:beforeLines="100" w:after="240"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E672CE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7CC0F611">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230BB1D7">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4B90F56A">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自中标人确定之日起2个工作日内，采购代理机构通过电子交易平台向中标人发出中标通知书，同时编制发布采购结果公告。采购代理机构也可以以纸质形式进行中标通知。</w:t>
      </w:r>
    </w:p>
    <w:p w14:paraId="16DF317C">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B208AF">
      <w:pPr>
        <w:widowControl/>
        <w:shd w:val="clear" w:color="auto" w:fill="FFFFFF"/>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23.3 公告期限为1个工作日。</w:t>
      </w:r>
    </w:p>
    <w:p w14:paraId="6C0D1F16">
      <w:pPr>
        <w:snapToGrid w:val="0"/>
        <w:spacing w:before="240" w:beforeLines="100" w:after="240" w:afterLines="100"/>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七、合同授予</w:t>
      </w:r>
    </w:p>
    <w:p w14:paraId="4D24A14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24.合同主要条款</w:t>
      </w:r>
    </w:p>
    <w:p w14:paraId="36C4682F">
      <w:pPr>
        <w:pStyle w:val="18"/>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58307E31">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13F988B5">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E360CB">
      <w:pPr>
        <w:pStyle w:val="135"/>
        <w:snapToGrid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E19094">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如签订合同并生效后，供应商无故拒绝或延期，除按照合同条款处理外，列入不良行为记录一次，并给予通报。</w:t>
      </w:r>
    </w:p>
    <w:p w14:paraId="10A5925E">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中标供应商拒绝与采购人签订合同的，采购人可以按照评审报告推荐的中标或者成交候选人名单排序，确定下一候选人为中标供应商，也可以重新开展政府采购活动。</w:t>
      </w:r>
    </w:p>
    <w:p w14:paraId="4B0498F6">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 采购合同由采购人与中标供应商根据招标文件、投标文件等内容通过政府采购电子交易平台在线签订，自动备案。</w:t>
      </w:r>
    </w:p>
    <w:p w14:paraId="73F86C9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2C654FB1">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713853">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供应商可登录政采云平台-【金融服务】—【我的项目】—【已备案合同】以保函形式提供：</w:t>
      </w:r>
    </w:p>
    <w:p w14:paraId="2BFF12ED">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）供应商在合同列表选择需要投保的合同，点击[保函推荐]；</w:t>
      </w:r>
    </w:p>
    <w:p w14:paraId="4AB15437">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）在弹框里查看推荐的保函产品，供应商自行选择保函产品，点击[立即申请]；</w:t>
      </w:r>
    </w:p>
    <w:p w14:paraId="53BC77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）在弹框里填写保函申请信息。</w:t>
      </w:r>
    </w:p>
    <w:p w14:paraId="73648639">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6DE58204">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27. </w:t>
      </w:r>
      <w:r>
        <w:rPr>
          <w:rFonts w:hint="eastAsia" w:ascii="宋体" w:hAnsi="宋体" w:eastAsia="宋体" w:cs="宋体"/>
          <w:b/>
          <w:color w:val="auto"/>
          <w:sz w:val="21"/>
          <w:szCs w:val="21"/>
          <w:highlight w:val="none"/>
          <w:lang w:val="zh-CN"/>
        </w:rPr>
        <w:t>预付款</w:t>
      </w:r>
    </w:p>
    <w:p w14:paraId="795FC1A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7CD6DDBD">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E3842DD">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5E2FAF4F">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480AA28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31B247E9">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28.1 电子交易平台发生故障而无法登录访问的； </w:t>
      </w:r>
    </w:p>
    <w:p w14:paraId="46A2C737">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28.2 电子交易平台应用或数据库出现错误，不能进行正常操作的；</w:t>
      </w:r>
    </w:p>
    <w:p w14:paraId="294E5333">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28.3 电子交易平台发现严重安全漏洞，有潜在泄密危险的；</w:t>
      </w:r>
    </w:p>
    <w:p w14:paraId="1569AA58">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28.4 病毒发作导致不能进行正常操作的； </w:t>
      </w:r>
    </w:p>
    <w:p w14:paraId="195672E4">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28.5 其他无法保证电子交易的公平、公正和安全的情况。</w:t>
      </w:r>
    </w:p>
    <w:p w14:paraId="0429A0FC">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电子交易活动异常的处理</w:t>
      </w:r>
    </w:p>
    <w:p w14:paraId="749FCDA5">
      <w:pPr>
        <w:pStyle w:val="135"/>
        <w:snapToGrid w:val="0"/>
        <w:spacing w:before="0"/>
        <w:ind w:firstLine="422"/>
        <w:rPr>
          <w:rFonts w:hint="eastAsia" w:ascii="宋体" w:hAnsi="宋体" w:eastAsia="宋体" w:cs="宋体"/>
          <w:b/>
          <w:bCs/>
          <w:color w:val="auto"/>
          <w:highlight w:val="none"/>
          <w:u w:val="single"/>
        </w:rPr>
      </w:pPr>
      <w:r>
        <w:rPr>
          <w:rFonts w:hint="eastAsia" w:ascii="宋体" w:hAnsi="宋体" w:eastAsia="宋体" w:cs="宋体"/>
          <w:b/>
          <w:bCs/>
          <w:color w:val="auto"/>
          <w:sz w:val="21"/>
          <w:szCs w:val="16"/>
          <w:highlight w:val="none"/>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14:paraId="43A01264">
      <w:pPr>
        <w:snapToGrid w:val="0"/>
        <w:spacing w:before="240" w:beforeLines="100" w:after="240" w:afterLines="1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02928C4D">
      <w:pPr>
        <w:pStyle w:val="135"/>
        <w:spacing w:before="240" w:beforeLines="100" w:after="240" w:afterLines="10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 验收</w:t>
      </w:r>
    </w:p>
    <w:p w14:paraId="4ABAE0C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8931A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 采购人可以邀请参加本项目的其他投标人或者第三方机构参与验收。参与验收的投标人或者第三方机构的意见作为验收书的参考资料一并存档。</w:t>
      </w:r>
    </w:p>
    <w:p w14:paraId="3A62BDC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47B562">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E86D8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284"/>
          <w:cols w:space="720" w:num="1"/>
          <w:titlePg/>
          <w:docGrid w:linePitch="312" w:charSpace="0"/>
        </w:sectPr>
      </w:pPr>
      <w:bookmarkStart w:id="14" w:name="_Hlt75236101"/>
      <w:bookmarkEnd w:id="14"/>
      <w:bookmarkStart w:id="15" w:name="_Hlt68072990"/>
      <w:bookmarkEnd w:id="15"/>
      <w:bookmarkStart w:id="16" w:name="_Hlt75236290"/>
      <w:bookmarkEnd w:id="16"/>
      <w:bookmarkStart w:id="17" w:name="_Hlt68057669"/>
      <w:bookmarkEnd w:id="17"/>
      <w:bookmarkStart w:id="18" w:name="_Hlt74730295"/>
      <w:bookmarkEnd w:id="18"/>
      <w:bookmarkStart w:id="19" w:name="_Hlt75236011"/>
      <w:bookmarkEnd w:id="19"/>
      <w:bookmarkStart w:id="20" w:name="_Hlt68072998"/>
      <w:bookmarkEnd w:id="20"/>
      <w:bookmarkStart w:id="21" w:name="_Hlt74729768"/>
      <w:bookmarkEnd w:id="21"/>
      <w:bookmarkStart w:id="22" w:name="_Hlt74714665"/>
      <w:bookmarkEnd w:id="22"/>
      <w:bookmarkStart w:id="23" w:name="_Hlt74707468"/>
      <w:bookmarkEnd w:id="23"/>
      <w:bookmarkStart w:id="24" w:name="_Hlt68403820"/>
      <w:bookmarkEnd w:id="24"/>
      <w:bookmarkStart w:id="25" w:name="_Hlt68073093"/>
      <w:bookmarkEnd w:id="25"/>
    </w:p>
    <w:bookmarkEnd w:id="11"/>
    <w:bookmarkEnd w:id="12"/>
    <w:p w14:paraId="35AD4F39">
      <w:pPr>
        <w:spacing w:before="319" w:beforeLines="100" w:after="319" w:afterLines="100"/>
        <w:contextualSpacing/>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0D78DE29">
      <w:pPr>
        <w:numPr>
          <w:ilvl w:val="0"/>
          <w:numId w:val="0"/>
        </w:numPr>
        <w:spacing w:line="440" w:lineRule="exact"/>
        <w:rPr>
          <w:rFonts w:hint="eastAsia" w:ascii="宋体" w:hAnsi="宋体" w:cs="宋体"/>
          <w:b/>
          <w:sz w:val="24"/>
          <w:szCs w:val="24"/>
          <w:lang w:val="en-US" w:eastAsia="zh-CN"/>
        </w:rPr>
      </w:pPr>
      <w:r>
        <w:rPr>
          <w:rFonts w:hint="eastAsia" w:ascii="宋体" w:hAnsi="宋体" w:cs="宋体"/>
          <w:b/>
          <w:sz w:val="24"/>
          <w:szCs w:val="24"/>
          <w:lang w:val="en-US" w:eastAsia="zh-CN"/>
        </w:rPr>
        <w:t>一、项目背景</w:t>
      </w:r>
    </w:p>
    <w:p w14:paraId="1752EA11">
      <w:pPr>
        <w:numPr>
          <w:ilvl w:val="0"/>
          <w:numId w:val="0"/>
        </w:numPr>
        <w:spacing w:line="4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要求</w:t>
      </w:r>
      <w:r>
        <w:rPr>
          <w:rFonts w:hint="eastAsia" w:ascii="宋体" w:hAnsi="宋体" w:eastAsia="宋体" w:cs="宋体"/>
          <w:b w:val="0"/>
          <w:bCs/>
          <w:color w:val="auto"/>
          <w:sz w:val="21"/>
          <w:szCs w:val="21"/>
          <w:highlight w:val="none"/>
        </w:rPr>
        <w:t>在服务期内</w:t>
      </w:r>
      <w:r>
        <w:rPr>
          <w:rFonts w:hint="eastAsia" w:ascii="宋体" w:hAnsi="宋体" w:eastAsia="宋体" w:cs="宋体"/>
          <w:b w:val="0"/>
          <w:bCs/>
          <w:color w:val="auto"/>
          <w:sz w:val="21"/>
          <w:szCs w:val="21"/>
          <w:highlight w:val="none"/>
          <w:lang w:val="en-US" w:eastAsia="zh-CN"/>
        </w:rPr>
        <w:t>对油车港镇</w:t>
      </w:r>
      <w:r>
        <w:rPr>
          <w:rFonts w:hint="eastAsia" w:ascii="宋体" w:hAnsi="宋体" w:cs="宋体"/>
          <w:kern w:val="0"/>
          <w:szCs w:val="21"/>
          <w:highlight w:val="none"/>
          <w:lang w:eastAsia="zh-CN"/>
        </w:rPr>
        <w:t>油车港镇6个小区</w:t>
      </w:r>
      <w:r>
        <w:rPr>
          <w:rFonts w:hint="eastAsia" w:ascii="宋体" w:hAnsi="宋体" w:eastAsia="宋体" w:cs="宋体"/>
          <w:b w:val="0"/>
          <w:bCs/>
          <w:color w:val="auto"/>
          <w:sz w:val="21"/>
          <w:szCs w:val="21"/>
          <w:highlight w:val="none"/>
          <w:lang w:val="en-US" w:eastAsia="zh-CN"/>
        </w:rPr>
        <w:t>垃圾分类收集屋提供运行维护服务，服务内容包括但不限于：安排人员对</w:t>
      </w:r>
      <w:r>
        <w:rPr>
          <w:rFonts w:hint="eastAsia" w:ascii="宋体" w:hAnsi="宋体" w:cs="宋体"/>
          <w:sz w:val="21"/>
          <w:szCs w:val="21"/>
          <w:lang w:eastAsia="zh-CN"/>
        </w:rPr>
        <w:t>恒大绿洲、麟湖公元北区、马厍花苑一期、宇隆嘉苑、金地艺境、麟瑞雅苑一期</w:t>
      </w:r>
      <w:r>
        <w:rPr>
          <w:rFonts w:hint="eastAsia" w:ascii="宋体" w:hAnsi="宋体" w:cs="宋体"/>
          <w:sz w:val="21"/>
          <w:szCs w:val="21"/>
          <w:lang w:val="en-US" w:eastAsia="zh-CN"/>
        </w:rPr>
        <w:t>6个小区</w:t>
      </w:r>
      <w:r>
        <w:rPr>
          <w:rFonts w:hint="eastAsia" w:ascii="宋体" w:hAnsi="宋体" w:eastAsia="宋体" w:cs="宋体"/>
          <w:b w:val="0"/>
          <w:bCs/>
          <w:color w:val="auto"/>
          <w:sz w:val="21"/>
          <w:szCs w:val="21"/>
          <w:highlight w:val="none"/>
          <w:lang w:val="en-US" w:eastAsia="zh-CN"/>
        </w:rPr>
        <w:t>内的垃圾分类收集屋</w:t>
      </w:r>
      <w:r>
        <w:rPr>
          <w:rFonts w:hint="eastAsia" w:ascii="宋体" w:hAnsi="宋体" w:eastAsia="宋体" w:cs="宋体"/>
          <w:b w:val="0"/>
          <w:bCs/>
          <w:color w:val="auto"/>
          <w:sz w:val="21"/>
          <w:szCs w:val="21"/>
          <w:highlight w:val="none"/>
        </w:rPr>
        <w:t>设备及系统</w:t>
      </w:r>
      <w:r>
        <w:rPr>
          <w:rFonts w:hint="eastAsia" w:ascii="宋体" w:hAnsi="宋体" w:eastAsia="宋体" w:cs="宋体"/>
          <w:b w:val="0"/>
          <w:bCs/>
          <w:color w:val="auto"/>
          <w:sz w:val="21"/>
          <w:szCs w:val="21"/>
          <w:highlight w:val="none"/>
          <w:lang w:val="en-US" w:eastAsia="zh-CN"/>
        </w:rPr>
        <w:t>进行</w:t>
      </w:r>
      <w:r>
        <w:rPr>
          <w:rFonts w:hint="eastAsia" w:ascii="宋体" w:hAnsi="宋体" w:eastAsia="宋体" w:cs="宋体"/>
          <w:b w:val="0"/>
          <w:bCs/>
          <w:color w:val="auto"/>
          <w:sz w:val="21"/>
          <w:szCs w:val="21"/>
          <w:highlight w:val="none"/>
        </w:rPr>
        <w:t>维护、维修</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设备更换和系统优化升级等工作，保证采购人（用户）能正常使用系统，</w:t>
      </w:r>
      <w:r>
        <w:rPr>
          <w:rFonts w:hint="eastAsia" w:ascii="宋体" w:hAnsi="宋体" w:eastAsia="宋体" w:cs="宋体"/>
          <w:b w:val="0"/>
          <w:bCs/>
          <w:color w:val="auto"/>
          <w:sz w:val="21"/>
          <w:szCs w:val="21"/>
          <w:highlight w:val="none"/>
          <w:lang w:val="en-US" w:eastAsia="zh-CN"/>
        </w:rPr>
        <w:t>并</w:t>
      </w:r>
      <w:r>
        <w:rPr>
          <w:rFonts w:hint="eastAsia" w:ascii="宋体" w:hAnsi="宋体" w:eastAsia="宋体" w:cs="宋体"/>
          <w:b w:val="0"/>
          <w:bCs/>
          <w:color w:val="auto"/>
          <w:sz w:val="21"/>
          <w:szCs w:val="21"/>
          <w:highlight w:val="none"/>
        </w:rPr>
        <w:t>获得高质量满意的服务。</w:t>
      </w:r>
    </w:p>
    <w:p w14:paraId="1BEEB289">
      <w:pPr>
        <w:numPr>
          <w:ilvl w:val="0"/>
          <w:numId w:val="0"/>
        </w:numPr>
        <w:spacing w:line="440" w:lineRule="exac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二、服务内容清单</w:t>
      </w:r>
    </w:p>
    <w:tbl>
      <w:tblPr>
        <w:tblStyle w:val="65"/>
        <w:tblW w:w="3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399"/>
        <w:gridCol w:w="1153"/>
        <w:gridCol w:w="1275"/>
      </w:tblGrid>
      <w:tr w14:paraId="0190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3EE95AB1">
            <w:pPr>
              <w:widowControl/>
              <w:jc w:val="center"/>
              <w:rPr>
                <w:rFonts w:ascii="宋体" w:hAnsi="宋体"/>
                <w:color w:val="000000"/>
                <w:kern w:val="0"/>
                <w:sz w:val="20"/>
                <w:szCs w:val="20"/>
              </w:rPr>
            </w:pPr>
            <w:r>
              <w:rPr>
                <w:rFonts w:hint="eastAsia" w:ascii="宋体" w:hAnsi="宋体"/>
                <w:color w:val="000000"/>
                <w:kern w:val="0"/>
                <w:sz w:val="20"/>
                <w:szCs w:val="20"/>
              </w:rPr>
              <w:t>序号</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7A051B6F">
            <w:pPr>
              <w:widowControl/>
              <w:jc w:val="center"/>
              <w:rPr>
                <w:rFonts w:ascii="宋体" w:hAnsi="宋体"/>
                <w:color w:val="000000"/>
                <w:kern w:val="0"/>
                <w:sz w:val="20"/>
                <w:szCs w:val="20"/>
              </w:rPr>
            </w:pPr>
            <w:r>
              <w:rPr>
                <w:rFonts w:hint="eastAsia" w:ascii="宋体" w:hAnsi="宋体"/>
                <w:color w:val="000000"/>
                <w:kern w:val="0"/>
                <w:sz w:val="20"/>
                <w:szCs w:val="20"/>
              </w:rPr>
              <w:t>产品名称</w:t>
            </w:r>
          </w:p>
        </w:tc>
        <w:tc>
          <w:tcPr>
            <w:tcW w:w="748" w:type="pct"/>
            <w:tcBorders>
              <w:top w:val="single" w:color="auto" w:sz="4" w:space="0"/>
              <w:left w:val="nil"/>
              <w:bottom w:val="single" w:color="auto" w:sz="4" w:space="0"/>
              <w:right w:val="single" w:color="auto" w:sz="4" w:space="0"/>
            </w:tcBorders>
            <w:shd w:val="clear" w:color="auto" w:fill="FFFFFF"/>
            <w:vAlign w:val="center"/>
          </w:tcPr>
          <w:p w14:paraId="7EE42990">
            <w:pPr>
              <w:widowControl/>
              <w:jc w:val="center"/>
              <w:rPr>
                <w:rFonts w:ascii="宋体" w:hAnsi="宋体"/>
                <w:color w:val="000000"/>
                <w:kern w:val="0"/>
                <w:sz w:val="20"/>
                <w:szCs w:val="20"/>
              </w:rPr>
            </w:pPr>
            <w:r>
              <w:rPr>
                <w:rFonts w:hint="eastAsia" w:ascii="宋体" w:hAnsi="宋体"/>
                <w:color w:val="000000"/>
                <w:kern w:val="0"/>
                <w:sz w:val="20"/>
                <w:szCs w:val="20"/>
              </w:rPr>
              <w:t>单位</w:t>
            </w:r>
          </w:p>
        </w:tc>
        <w:tc>
          <w:tcPr>
            <w:tcW w:w="827" w:type="pct"/>
            <w:tcBorders>
              <w:top w:val="single" w:color="auto" w:sz="4" w:space="0"/>
              <w:left w:val="nil"/>
              <w:bottom w:val="single" w:color="auto" w:sz="4" w:space="0"/>
              <w:right w:val="single" w:color="auto" w:sz="4" w:space="0"/>
            </w:tcBorders>
            <w:shd w:val="clear" w:color="auto" w:fill="FFFFFF"/>
            <w:vAlign w:val="center"/>
          </w:tcPr>
          <w:p w14:paraId="1FB814E7">
            <w:pPr>
              <w:widowControl/>
              <w:jc w:val="center"/>
              <w:rPr>
                <w:rFonts w:ascii="仿宋_GB2312" w:hAnsi="宋体" w:cs="宋体"/>
                <w:color w:val="000000"/>
                <w:kern w:val="0"/>
                <w:sz w:val="20"/>
                <w:szCs w:val="20"/>
              </w:rPr>
            </w:pPr>
            <w:r>
              <w:rPr>
                <w:rFonts w:ascii="仿宋_GB2312" w:hAnsi="宋体" w:cs="宋体"/>
                <w:color w:val="000000"/>
                <w:kern w:val="0"/>
                <w:sz w:val="20"/>
                <w:szCs w:val="20"/>
              </w:rPr>
              <w:t>数量</w:t>
            </w:r>
          </w:p>
        </w:tc>
      </w:tr>
      <w:tr w14:paraId="2BF6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0E24370C">
            <w:pPr>
              <w:widowControl/>
              <w:jc w:val="center"/>
              <w:rPr>
                <w:rFonts w:ascii="宋体" w:hAnsi="宋体"/>
                <w:color w:val="000000"/>
                <w:kern w:val="0"/>
                <w:sz w:val="20"/>
                <w:szCs w:val="20"/>
              </w:rPr>
            </w:pPr>
            <w:r>
              <w:rPr>
                <w:rFonts w:hint="eastAsia" w:ascii="宋体" w:hAnsi="宋体"/>
                <w:color w:val="000000"/>
                <w:kern w:val="0"/>
                <w:sz w:val="20"/>
                <w:szCs w:val="20"/>
              </w:rPr>
              <w:t>1</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4E1F436A">
            <w:pPr>
              <w:jc w:val="center"/>
              <w:rPr>
                <w:rFonts w:ascii="宋体" w:hAnsi="宋体"/>
                <w:color w:val="000000"/>
                <w:sz w:val="20"/>
                <w:szCs w:val="20"/>
              </w:rPr>
            </w:pPr>
            <w:r>
              <w:rPr>
                <w:rFonts w:hint="eastAsia"/>
                <w:color w:val="000000"/>
                <w:sz w:val="20"/>
                <w:szCs w:val="20"/>
              </w:rPr>
              <w:t>云数据管理平台</w:t>
            </w:r>
          </w:p>
        </w:tc>
        <w:tc>
          <w:tcPr>
            <w:tcW w:w="748" w:type="pct"/>
            <w:tcBorders>
              <w:top w:val="single" w:color="auto" w:sz="4" w:space="0"/>
              <w:left w:val="nil"/>
              <w:bottom w:val="single" w:color="auto" w:sz="4" w:space="0"/>
              <w:right w:val="single" w:color="auto" w:sz="4" w:space="0"/>
            </w:tcBorders>
            <w:shd w:val="clear" w:color="auto" w:fill="FFFFFF"/>
            <w:vAlign w:val="center"/>
          </w:tcPr>
          <w:p w14:paraId="26BA53E0">
            <w:pPr>
              <w:jc w:val="center"/>
              <w:rPr>
                <w:rFonts w:ascii="宋体" w:hAnsi="宋体"/>
                <w:color w:val="000000"/>
                <w:sz w:val="20"/>
                <w:szCs w:val="20"/>
              </w:rPr>
            </w:pPr>
            <w:r>
              <w:rPr>
                <w:rFonts w:hint="eastAsia"/>
                <w:color w:val="000000"/>
                <w:sz w:val="20"/>
                <w:szCs w:val="20"/>
              </w:rPr>
              <w:t>户</w:t>
            </w:r>
          </w:p>
        </w:tc>
        <w:tc>
          <w:tcPr>
            <w:tcW w:w="827" w:type="pct"/>
            <w:tcBorders>
              <w:top w:val="single" w:color="auto" w:sz="4" w:space="0"/>
              <w:left w:val="nil"/>
              <w:bottom w:val="single" w:color="auto" w:sz="4" w:space="0"/>
              <w:right w:val="single" w:color="auto" w:sz="4" w:space="0"/>
            </w:tcBorders>
            <w:shd w:val="clear" w:color="auto" w:fill="FFFFFF"/>
            <w:vAlign w:val="center"/>
          </w:tcPr>
          <w:p w14:paraId="57F558CE">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5381</w:t>
            </w:r>
          </w:p>
        </w:tc>
      </w:tr>
      <w:tr w14:paraId="0BDB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1DDD4F01">
            <w:pPr>
              <w:widowControl/>
              <w:jc w:val="center"/>
              <w:rPr>
                <w:rFonts w:ascii="宋体" w:hAnsi="宋体"/>
                <w:color w:val="000000"/>
                <w:kern w:val="0"/>
                <w:sz w:val="20"/>
                <w:szCs w:val="20"/>
              </w:rPr>
            </w:pPr>
            <w:r>
              <w:rPr>
                <w:rFonts w:hint="eastAsia" w:ascii="宋体" w:hAnsi="宋体"/>
                <w:color w:val="000000"/>
                <w:kern w:val="0"/>
                <w:sz w:val="20"/>
                <w:szCs w:val="20"/>
              </w:rPr>
              <w:t>2</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32AC1572">
            <w:pPr>
              <w:jc w:val="center"/>
              <w:rPr>
                <w:rFonts w:ascii="宋体" w:hAnsi="宋体"/>
                <w:sz w:val="20"/>
                <w:szCs w:val="20"/>
              </w:rPr>
            </w:pPr>
            <w:r>
              <w:rPr>
                <w:rFonts w:hint="eastAsia"/>
                <w:sz w:val="20"/>
                <w:szCs w:val="20"/>
              </w:rPr>
              <w:t>管理人员</w:t>
            </w:r>
          </w:p>
        </w:tc>
        <w:tc>
          <w:tcPr>
            <w:tcW w:w="748" w:type="pct"/>
            <w:tcBorders>
              <w:top w:val="single" w:color="auto" w:sz="4" w:space="0"/>
              <w:left w:val="nil"/>
              <w:bottom w:val="single" w:color="auto" w:sz="4" w:space="0"/>
              <w:right w:val="single" w:color="auto" w:sz="4" w:space="0"/>
            </w:tcBorders>
            <w:shd w:val="clear" w:color="auto" w:fill="FFFFFF"/>
            <w:vAlign w:val="center"/>
          </w:tcPr>
          <w:p w14:paraId="0ECD075A">
            <w:pPr>
              <w:jc w:val="center"/>
              <w:rPr>
                <w:rFonts w:ascii="宋体" w:hAnsi="宋体"/>
                <w:sz w:val="20"/>
                <w:szCs w:val="20"/>
              </w:rPr>
            </w:pPr>
            <w:r>
              <w:rPr>
                <w:rFonts w:hint="eastAsia"/>
                <w:sz w:val="20"/>
                <w:szCs w:val="20"/>
              </w:rPr>
              <w:t>人</w:t>
            </w:r>
          </w:p>
        </w:tc>
        <w:tc>
          <w:tcPr>
            <w:tcW w:w="827" w:type="pct"/>
            <w:tcBorders>
              <w:top w:val="single" w:color="auto" w:sz="4" w:space="0"/>
              <w:left w:val="nil"/>
              <w:bottom w:val="single" w:color="auto" w:sz="4" w:space="0"/>
              <w:right w:val="single" w:color="auto" w:sz="4" w:space="0"/>
            </w:tcBorders>
            <w:shd w:val="clear" w:color="auto" w:fill="FFFFFF"/>
            <w:vAlign w:val="center"/>
          </w:tcPr>
          <w:p w14:paraId="4AB5AFCC">
            <w:pPr>
              <w:jc w:val="center"/>
              <w:rPr>
                <w:rFonts w:hint="default" w:ascii="宋体" w:hAnsi="宋体" w:eastAsia="宋体"/>
                <w:sz w:val="20"/>
                <w:szCs w:val="20"/>
                <w:lang w:val="en-US" w:eastAsia="zh-CN"/>
              </w:rPr>
            </w:pPr>
            <w:r>
              <w:rPr>
                <w:rFonts w:hint="eastAsia" w:ascii="宋体" w:hAnsi="宋体"/>
                <w:sz w:val="20"/>
                <w:szCs w:val="20"/>
                <w:lang w:val="en-US" w:eastAsia="zh-CN"/>
              </w:rPr>
              <w:t>4</w:t>
            </w:r>
          </w:p>
        </w:tc>
      </w:tr>
      <w:tr w14:paraId="39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2F65F32D">
            <w:pPr>
              <w:widowControl/>
              <w:jc w:val="center"/>
              <w:rPr>
                <w:rFonts w:ascii="宋体" w:hAnsi="宋体"/>
                <w:color w:val="000000"/>
                <w:kern w:val="0"/>
                <w:sz w:val="20"/>
                <w:szCs w:val="20"/>
              </w:rPr>
            </w:pPr>
            <w:r>
              <w:rPr>
                <w:rFonts w:hint="eastAsia" w:ascii="宋体" w:hAnsi="宋体"/>
                <w:color w:val="000000"/>
                <w:kern w:val="0"/>
                <w:sz w:val="20"/>
                <w:szCs w:val="20"/>
              </w:rPr>
              <w:t>3</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07AD1A61">
            <w:pPr>
              <w:jc w:val="center"/>
              <w:rPr>
                <w:rFonts w:ascii="宋体" w:hAnsi="宋体"/>
                <w:color w:val="000000"/>
                <w:sz w:val="20"/>
                <w:szCs w:val="20"/>
              </w:rPr>
            </w:pPr>
            <w:r>
              <w:rPr>
                <w:rFonts w:hint="eastAsia"/>
                <w:color w:val="000000"/>
                <w:sz w:val="20"/>
                <w:szCs w:val="20"/>
              </w:rPr>
              <w:t>居民积分奖励</w:t>
            </w:r>
          </w:p>
        </w:tc>
        <w:tc>
          <w:tcPr>
            <w:tcW w:w="748" w:type="pct"/>
            <w:tcBorders>
              <w:top w:val="single" w:color="auto" w:sz="4" w:space="0"/>
              <w:left w:val="nil"/>
              <w:bottom w:val="single" w:color="auto" w:sz="4" w:space="0"/>
              <w:right w:val="single" w:color="auto" w:sz="4" w:space="0"/>
            </w:tcBorders>
            <w:shd w:val="clear" w:color="auto" w:fill="FFFFFF"/>
            <w:vAlign w:val="center"/>
          </w:tcPr>
          <w:p w14:paraId="26B6EF49">
            <w:pPr>
              <w:jc w:val="center"/>
              <w:rPr>
                <w:rFonts w:ascii="宋体" w:hAnsi="宋体"/>
                <w:color w:val="000000"/>
                <w:sz w:val="20"/>
                <w:szCs w:val="20"/>
              </w:rPr>
            </w:pPr>
            <w:r>
              <w:rPr>
                <w:rFonts w:hint="eastAsia"/>
                <w:color w:val="000000"/>
                <w:sz w:val="20"/>
                <w:szCs w:val="20"/>
              </w:rPr>
              <w:t>户</w:t>
            </w:r>
          </w:p>
        </w:tc>
        <w:tc>
          <w:tcPr>
            <w:tcW w:w="827" w:type="pct"/>
            <w:tcBorders>
              <w:top w:val="single" w:color="auto" w:sz="4" w:space="0"/>
              <w:left w:val="nil"/>
              <w:bottom w:val="single" w:color="auto" w:sz="4" w:space="0"/>
              <w:right w:val="single" w:color="auto" w:sz="4" w:space="0"/>
            </w:tcBorders>
            <w:shd w:val="clear" w:color="auto" w:fill="FFFFFF"/>
            <w:vAlign w:val="center"/>
          </w:tcPr>
          <w:p w14:paraId="4CD98695">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5381</w:t>
            </w:r>
          </w:p>
        </w:tc>
      </w:tr>
      <w:tr w14:paraId="355A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1FBB9407">
            <w:pPr>
              <w:widowControl/>
              <w:jc w:val="center"/>
              <w:rPr>
                <w:rFonts w:ascii="宋体" w:hAnsi="宋体"/>
                <w:color w:val="000000"/>
                <w:kern w:val="0"/>
                <w:sz w:val="20"/>
                <w:szCs w:val="20"/>
              </w:rPr>
            </w:pPr>
            <w:r>
              <w:rPr>
                <w:rFonts w:hint="eastAsia" w:ascii="宋体" w:hAnsi="宋体"/>
                <w:color w:val="000000"/>
                <w:kern w:val="0"/>
                <w:sz w:val="20"/>
                <w:szCs w:val="20"/>
              </w:rPr>
              <w:t>4</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68354704">
            <w:pPr>
              <w:jc w:val="center"/>
              <w:rPr>
                <w:rFonts w:ascii="宋体" w:hAnsi="宋体"/>
                <w:color w:val="000000"/>
                <w:sz w:val="20"/>
                <w:szCs w:val="20"/>
              </w:rPr>
            </w:pPr>
            <w:r>
              <w:rPr>
                <w:rFonts w:hint="eastAsia"/>
                <w:color w:val="000000"/>
                <w:sz w:val="20"/>
                <w:szCs w:val="20"/>
              </w:rPr>
              <w:t>4G</w:t>
            </w:r>
            <w:r>
              <w:rPr>
                <w:rFonts w:hint="eastAsia" w:ascii="宋体" w:hAnsi="宋体"/>
                <w:color w:val="000000"/>
                <w:sz w:val="20"/>
                <w:szCs w:val="20"/>
              </w:rPr>
              <w:t>无线宽带</w:t>
            </w:r>
          </w:p>
        </w:tc>
        <w:tc>
          <w:tcPr>
            <w:tcW w:w="748" w:type="pct"/>
            <w:tcBorders>
              <w:top w:val="single" w:color="auto" w:sz="4" w:space="0"/>
              <w:left w:val="nil"/>
              <w:bottom w:val="single" w:color="auto" w:sz="4" w:space="0"/>
              <w:right w:val="single" w:color="auto" w:sz="4" w:space="0"/>
            </w:tcBorders>
            <w:shd w:val="clear" w:color="auto" w:fill="FFFFFF"/>
            <w:vAlign w:val="center"/>
          </w:tcPr>
          <w:p w14:paraId="041AE291">
            <w:pPr>
              <w:jc w:val="center"/>
              <w:rPr>
                <w:rFonts w:ascii="宋体" w:hAnsi="宋体"/>
                <w:color w:val="000000"/>
                <w:sz w:val="20"/>
                <w:szCs w:val="20"/>
              </w:rPr>
            </w:pPr>
            <w:r>
              <w:rPr>
                <w:rFonts w:hint="eastAsia"/>
                <w:color w:val="000000"/>
                <w:sz w:val="20"/>
                <w:szCs w:val="20"/>
              </w:rPr>
              <w:t>条</w:t>
            </w:r>
          </w:p>
        </w:tc>
        <w:tc>
          <w:tcPr>
            <w:tcW w:w="827" w:type="pct"/>
            <w:tcBorders>
              <w:top w:val="single" w:color="auto" w:sz="4" w:space="0"/>
              <w:left w:val="nil"/>
              <w:bottom w:val="single" w:color="auto" w:sz="4" w:space="0"/>
              <w:right w:val="single" w:color="auto" w:sz="4" w:space="0"/>
            </w:tcBorders>
            <w:shd w:val="clear" w:color="auto" w:fill="FFFFFF"/>
            <w:vAlign w:val="center"/>
          </w:tcPr>
          <w:p w14:paraId="0B8EC889">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w:t>
            </w:r>
          </w:p>
        </w:tc>
      </w:tr>
      <w:tr w14:paraId="3206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21A8907D">
            <w:pPr>
              <w:widowControl/>
              <w:jc w:val="center"/>
              <w:rPr>
                <w:rFonts w:ascii="宋体" w:hAnsi="宋体"/>
                <w:color w:val="000000"/>
                <w:kern w:val="0"/>
                <w:sz w:val="20"/>
                <w:szCs w:val="20"/>
              </w:rPr>
            </w:pPr>
            <w:r>
              <w:rPr>
                <w:rFonts w:hint="eastAsia" w:ascii="宋体" w:hAnsi="宋体"/>
                <w:color w:val="000000"/>
                <w:kern w:val="0"/>
                <w:sz w:val="20"/>
                <w:szCs w:val="20"/>
              </w:rPr>
              <w:t>5</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7DFD21C2">
            <w:pPr>
              <w:jc w:val="center"/>
              <w:rPr>
                <w:rFonts w:ascii="宋体" w:hAnsi="宋体"/>
                <w:color w:val="000000"/>
                <w:sz w:val="20"/>
                <w:szCs w:val="20"/>
              </w:rPr>
            </w:pPr>
            <w:r>
              <w:rPr>
                <w:rFonts w:hint="eastAsia"/>
                <w:color w:val="000000"/>
                <w:sz w:val="20"/>
                <w:szCs w:val="20"/>
              </w:rPr>
              <w:t>设备维护费</w:t>
            </w:r>
          </w:p>
        </w:tc>
        <w:tc>
          <w:tcPr>
            <w:tcW w:w="748" w:type="pct"/>
            <w:tcBorders>
              <w:top w:val="single" w:color="auto" w:sz="4" w:space="0"/>
              <w:left w:val="nil"/>
              <w:bottom w:val="single" w:color="auto" w:sz="4" w:space="0"/>
              <w:right w:val="single" w:color="auto" w:sz="4" w:space="0"/>
            </w:tcBorders>
            <w:shd w:val="clear" w:color="auto" w:fill="FFFFFF"/>
            <w:vAlign w:val="center"/>
          </w:tcPr>
          <w:p w14:paraId="7CA55C8F">
            <w:pPr>
              <w:jc w:val="center"/>
              <w:rPr>
                <w:rFonts w:ascii="宋体" w:hAnsi="宋体"/>
                <w:color w:val="000000"/>
                <w:sz w:val="20"/>
                <w:szCs w:val="20"/>
              </w:rPr>
            </w:pPr>
            <w:r>
              <w:rPr>
                <w:rFonts w:hint="eastAsia"/>
                <w:color w:val="000000"/>
                <w:sz w:val="20"/>
                <w:szCs w:val="20"/>
              </w:rPr>
              <w:t>座</w:t>
            </w:r>
          </w:p>
        </w:tc>
        <w:tc>
          <w:tcPr>
            <w:tcW w:w="827" w:type="pct"/>
            <w:tcBorders>
              <w:top w:val="single" w:color="auto" w:sz="4" w:space="0"/>
              <w:left w:val="nil"/>
              <w:bottom w:val="single" w:color="auto" w:sz="4" w:space="0"/>
              <w:right w:val="single" w:color="auto" w:sz="4" w:space="0"/>
            </w:tcBorders>
            <w:shd w:val="clear" w:color="auto" w:fill="FFFFFF"/>
            <w:vAlign w:val="center"/>
          </w:tcPr>
          <w:p w14:paraId="521386BE">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15</w:t>
            </w:r>
          </w:p>
        </w:tc>
      </w:tr>
      <w:tr w14:paraId="22D2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557AD6A3">
            <w:pPr>
              <w:widowControl/>
              <w:jc w:val="center"/>
              <w:rPr>
                <w:rFonts w:hint="eastAsia" w:ascii="宋体" w:hAnsi="宋体"/>
                <w:color w:val="000000"/>
                <w:kern w:val="0"/>
                <w:sz w:val="20"/>
                <w:szCs w:val="20"/>
              </w:rPr>
            </w:pPr>
            <w:r>
              <w:rPr>
                <w:rFonts w:hint="eastAsia" w:ascii="宋体" w:hAnsi="宋体"/>
                <w:color w:val="000000"/>
                <w:kern w:val="0"/>
                <w:sz w:val="20"/>
                <w:szCs w:val="20"/>
              </w:rPr>
              <w:t>6</w:t>
            </w:r>
          </w:p>
        </w:tc>
        <w:tc>
          <w:tcPr>
            <w:tcW w:w="2853" w:type="pct"/>
            <w:tcBorders>
              <w:top w:val="single" w:color="auto" w:sz="4" w:space="0"/>
              <w:left w:val="nil"/>
              <w:bottom w:val="single" w:color="auto" w:sz="4" w:space="0"/>
              <w:right w:val="single" w:color="auto" w:sz="4" w:space="0"/>
            </w:tcBorders>
            <w:shd w:val="clear" w:color="auto" w:fill="FFFFFF"/>
            <w:vAlign w:val="center"/>
          </w:tcPr>
          <w:p w14:paraId="6ADE1C66">
            <w:pPr>
              <w:jc w:val="center"/>
              <w:rPr>
                <w:rFonts w:hint="eastAsia"/>
                <w:color w:val="000000"/>
                <w:sz w:val="20"/>
                <w:szCs w:val="20"/>
              </w:rPr>
            </w:pPr>
            <w:r>
              <w:rPr>
                <w:rFonts w:hint="eastAsia"/>
                <w:color w:val="000000"/>
                <w:sz w:val="20"/>
                <w:szCs w:val="20"/>
              </w:rPr>
              <w:t>设备</w:t>
            </w:r>
            <w:r>
              <w:rPr>
                <w:rFonts w:hint="eastAsia"/>
                <w:color w:val="000000"/>
                <w:sz w:val="20"/>
                <w:szCs w:val="20"/>
                <w:lang w:eastAsia="zh-CN"/>
              </w:rPr>
              <w:t>水、</w:t>
            </w:r>
            <w:r>
              <w:rPr>
                <w:rFonts w:hint="eastAsia"/>
                <w:color w:val="000000"/>
                <w:sz w:val="20"/>
                <w:szCs w:val="20"/>
              </w:rPr>
              <w:t>电费</w:t>
            </w:r>
          </w:p>
        </w:tc>
        <w:tc>
          <w:tcPr>
            <w:tcW w:w="748" w:type="pct"/>
            <w:tcBorders>
              <w:top w:val="single" w:color="auto" w:sz="4" w:space="0"/>
              <w:left w:val="nil"/>
              <w:bottom w:val="single" w:color="auto" w:sz="4" w:space="0"/>
              <w:right w:val="single" w:color="auto" w:sz="4" w:space="0"/>
            </w:tcBorders>
            <w:shd w:val="clear" w:color="auto" w:fill="FFFFFF"/>
            <w:vAlign w:val="center"/>
          </w:tcPr>
          <w:p w14:paraId="4C553B05">
            <w:pPr>
              <w:jc w:val="center"/>
              <w:rPr>
                <w:rFonts w:hint="eastAsia"/>
                <w:color w:val="000000"/>
                <w:sz w:val="20"/>
                <w:szCs w:val="20"/>
              </w:rPr>
            </w:pPr>
            <w:r>
              <w:rPr>
                <w:rFonts w:hint="eastAsia"/>
                <w:color w:val="000000"/>
                <w:sz w:val="20"/>
                <w:szCs w:val="20"/>
              </w:rPr>
              <w:t>座</w:t>
            </w:r>
          </w:p>
        </w:tc>
        <w:tc>
          <w:tcPr>
            <w:tcW w:w="827" w:type="pct"/>
            <w:tcBorders>
              <w:top w:val="single" w:color="auto" w:sz="4" w:space="0"/>
              <w:left w:val="nil"/>
              <w:bottom w:val="single" w:color="auto" w:sz="4" w:space="0"/>
              <w:right w:val="single" w:color="auto" w:sz="4" w:space="0"/>
            </w:tcBorders>
            <w:shd w:val="clear" w:color="auto" w:fill="FFFFFF"/>
            <w:vAlign w:val="center"/>
          </w:tcPr>
          <w:p w14:paraId="51C53451">
            <w:pPr>
              <w:jc w:val="center"/>
              <w:rPr>
                <w:rFonts w:hint="default" w:eastAsia="宋体"/>
                <w:color w:val="000000"/>
                <w:sz w:val="20"/>
                <w:szCs w:val="20"/>
                <w:lang w:val="en-US" w:eastAsia="zh-CN"/>
              </w:rPr>
            </w:pPr>
            <w:r>
              <w:rPr>
                <w:rFonts w:hint="eastAsia"/>
                <w:color w:val="000000"/>
                <w:sz w:val="20"/>
                <w:szCs w:val="20"/>
                <w:lang w:val="en-US" w:eastAsia="zh-CN"/>
              </w:rPr>
              <w:t>15</w:t>
            </w:r>
          </w:p>
        </w:tc>
      </w:tr>
    </w:tbl>
    <w:p w14:paraId="1ABF42C2">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三、服务管理要求</w:t>
      </w:r>
    </w:p>
    <w:p w14:paraId="6F696982">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（1）招标方负责采集居民信息，运维供应商创建智能管理平台，将居民信息基础数据导入智能管理平台。</w:t>
      </w:r>
    </w:p>
    <w:p w14:paraId="6E384984">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（2）运维供应商负责开展对分类巡检人员、分类指导员等进行智能回收设备指导操作培训、并安装设备安装使用指导栏目等工作。</w:t>
      </w:r>
    </w:p>
    <w:p w14:paraId="0D7F07CB">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（3）正式启动运行，现场安排操作演示。</w:t>
      </w:r>
    </w:p>
    <w:p w14:paraId="5C67797F">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（4）监控平台可以随时查看数据，不定期查看，对于垃圾分类不准确的居民进行归纳；</w:t>
      </w:r>
    </w:p>
    <w:p w14:paraId="5BBD68C6">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（5）每月协助做一份巡检投放的各类报表。</w:t>
      </w:r>
    </w:p>
    <w:p w14:paraId="22C7E880">
      <w:pPr>
        <w:numPr>
          <w:ilvl w:val="0"/>
          <w:numId w:val="0"/>
        </w:numPr>
        <w:spacing w:line="44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（6）运维供应商每月需反馈智能回收设备使用情况及回收量。</w:t>
      </w:r>
    </w:p>
    <w:p w14:paraId="552C2256">
      <w:pPr>
        <w:keepNext w:val="0"/>
        <w:keepLines w:val="0"/>
        <w:pageBreakBefore w:val="0"/>
        <w:widowControl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（7）制作设备常见故障排除操作流程表，做好智能分类相关设备、后台管</w:t>
      </w:r>
      <w:r>
        <w:rPr>
          <w:rFonts w:hint="eastAsia" w:ascii="宋体" w:hAnsi="宋体"/>
          <w:color w:val="000000"/>
          <w:sz w:val="24"/>
          <w:szCs w:val="24"/>
        </w:rPr>
        <w:t>理的</w:t>
      </w:r>
      <w:r>
        <w:rPr>
          <w:rFonts w:hint="eastAsia" w:ascii="宋体" w:hAnsi="宋体" w:eastAsia="宋体" w:cs="宋体"/>
          <w:b w:val="0"/>
          <w:bCs/>
          <w:color w:val="auto"/>
          <w:sz w:val="21"/>
          <w:szCs w:val="21"/>
          <w:highlight w:val="none"/>
          <w:lang w:val="en-US" w:eastAsia="zh-CN"/>
        </w:rPr>
        <w:t>故障巡检及抢修机制。</w:t>
      </w:r>
    </w:p>
    <w:p w14:paraId="70F9E1D1">
      <w:pPr>
        <w:keepNext w:val="0"/>
        <w:keepLines w:val="0"/>
        <w:pageBreakBefore w:val="0"/>
        <w:widowControl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服务期内提供5*8小时维护、对故障在1小时内响应，2小时以内到现场，8小时以内解决问题，包括故障排除、性能调优、技术咨询等，并负责处理、协调工作。逾期未作出响应，投标人应承担由于故障所造成的全部损失。</w:t>
      </w:r>
    </w:p>
    <w:p w14:paraId="7386D3F0">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四、人员要求及其它</w:t>
      </w:r>
    </w:p>
    <w:p w14:paraId="6494FE4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购人要求本项目所需工作人员在签定项目采购合同后七天内到位，并到采购方备案工作人员信息。特种作业人员需持证上岗，其余人员均须培训合格后上岗，项目实施过程中，服务期内如须更换工作人员的，须书面向采购人申请，经采购人同意并备案后方可更换。</w:t>
      </w:r>
    </w:p>
    <w:p w14:paraId="409E15F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2、要求所有项目实施人员熟练掌握设备操作规程及垃圾分类工作要求。</w:t>
      </w:r>
    </w:p>
    <w:p w14:paraId="0A646ED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3、所有项目实施人员均应按劳动法规定与中标单位签订劳动合同。</w:t>
      </w:r>
    </w:p>
    <w:p w14:paraId="517E20E2">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▲4、投标报价时居民积分奖励按不低于78563元填报，设备一年维护费按50000元填报，采购人按实际发生支出。</w:t>
      </w:r>
    </w:p>
    <w:p w14:paraId="200F24B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服务期内发生安全事故的，包括人员伤亡、职业危害、设备损坏（包括因不可抗拒或其它人为因素导致）、经济损失等，其发生的一切费用均由运维供应商负责，运维供应商应购买保险以保障人员、设备的安全。</w:t>
      </w:r>
    </w:p>
    <w:p w14:paraId="68692D68">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五、运维服务考核</w:t>
      </w:r>
    </w:p>
    <w:p w14:paraId="7040325C">
      <w:pPr>
        <w:keepNext w:val="0"/>
        <w:keepLines w:val="0"/>
        <w:pageBreakBefore w:val="0"/>
        <w:widowControl w:val="0"/>
        <w:kinsoku/>
        <w:wordWrap/>
        <w:overflowPunct/>
        <w:topLinePunct w:val="0"/>
        <w:autoSpaceDE/>
        <w:autoSpaceDN/>
        <w:bidi w:val="0"/>
        <w:spacing w:line="440" w:lineRule="exact"/>
        <w:ind w:firstLine="405"/>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采</w:t>
      </w:r>
      <w:r>
        <w:rPr>
          <w:rFonts w:hint="eastAsia" w:ascii="宋体" w:hAnsi="宋体" w:eastAsia="宋体" w:cs="宋体"/>
          <w:color w:val="auto"/>
          <w:szCs w:val="21"/>
          <w:highlight w:val="none"/>
        </w:rPr>
        <w:t>购人对</w:t>
      </w:r>
      <w:r>
        <w:rPr>
          <w:rFonts w:hint="eastAsia" w:ascii="宋体" w:hAnsi="宋体" w:eastAsia="宋体" w:cs="宋体"/>
          <w:color w:val="auto"/>
          <w:szCs w:val="21"/>
          <w:highlight w:val="none"/>
          <w:lang w:val="en-US" w:eastAsia="zh-CN"/>
        </w:rPr>
        <w:t>承包人</w:t>
      </w:r>
      <w:r>
        <w:rPr>
          <w:rFonts w:hint="eastAsia" w:ascii="宋体" w:hAnsi="宋体" w:eastAsia="宋体" w:cs="宋体"/>
          <w:color w:val="auto"/>
          <w:szCs w:val="21"/>
          <w:highlight w:val="none"/>
        </w:rPr>
        <w:t>每三个月进行一次考核，由</w:t>
      </w:r>
      <w:r>
        <w:rPr>
          <w:rFonts w:hint="eastAsia" w:ascii="宋体" w:hAnsi="宋体" w:eastAsia="宋体" w:cs="宋体"/>
          <w:color w:val="auto"/>
          <w:szCs w:val="21"/>
          <w:highlight w:val="none"/>
          <w:lang w:eastAsia="zh-CN"/>
        </w:rPr>
        <w:t>镇</w:t>
      </w:r>
      <w:r>
        <w:rPr>
          <w:rFonts w:hint="eastAsia" w:ascii="宋体" w:hAnsi="宋体" w:eastAsia="宋体" w:cs="宋体"/>
          <w:color w:val="auto"/>
          <w:szCs w:val="21"/>
          <w:highlight w:val="none"/>
        </w:rPr>
        <w:t>等相关部门人员组成考评小组，具体考核要求根据相关考核文件执行。</w:t>
      </w:r>
    </w:p>
    <w:p w14:paraId="4721934D">
      <w:pPr>
        <w:spacing w:line="360"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《考核评分表》：</w:t>
      </w:r>
    </w:p>
    <w:p w14:paraId="19C8F39C">
      <w:pPr>
        <w:spacing w:line="360" w:lineRule="auto"/>
        <w:ind w:firstLine="4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小区定时定点撤桶建箱第三方运维绩效考核表</w:t>
      </w:r>
    </w:p>
    <w:p w14:paraId="3D8906A5">
      <w:pPr>
        <w:spacing w:line="360"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运维公司名称：_____________</w:t>
      </w:r>
    </w:p>
    <w:tbl>
      <w:tblPr>
        <w:tblStyle w:val="65"/>
        <w:tblW w:w="8574" w:type="dxa"/>
        <w:jc w:val="center"/>
        <w:tblLayout w:type="fixed"/>
        <w:tblCellMar>
          <w:top w:w="0" w:type="dxa"/>
          <w:left w:w="0" w:type="dxa"/>
          <w:bottom w:w="0" w:type="dxa"/>
          <w:right w:w="0" w:type="dxa"/>
        </w:tblCellMar>
      </w:tblPr>
      <w:tblGrid>
        <w:gridCol w:w="652"/>
        <w:gridCol w:w="1070"/>
        <w:gridCol w:w="1962"/>
        <w:gridCol w:w="4890"/>
      </w:tblGrid>
      <w:tr w14:paraId="2D93FCFD">
        <w:tblPrEx>
          <w:tblCellMar>
            <w:top w:w="0" w:type="dxa"/>
            <w:left w:w="0" w:type="dxa"/>
            <w:bottom w:w="0" w:type="dxa"/>
            <w:right w:w="0" w:type="dxa"/>
          </w:tblCellMar>
        </w:tblPrEx>
        <w:trPr>
          <w:trHeight w:val="500"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8548C">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6DED7">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项目</w:t>
            </w: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7E370">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具体内容</w:t>
            </w:r>
          </w:p>
        </w:tc>
        <w:tc>
          <w:tcPr>
            <w:tcW w:w="4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CAEDA">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评分标准</w:t>
            </w:r>
          </w:p>
        </w:tc>
      </w:tr>
      <w:tr w14:paraId="3B9C71C8">
        <w:tblPrEx>
          <w:tblCellMar>
            <w:top w:w="0" w:type="dxa"/>
            <w:left w:w="0" w:type="dxa"/>
            <w:bottom w:w="0" w:type="dxa"/>
            <w:right w:w="0" w:type="dxa"/>
          </w:tblCellMar>
        </w:tblPrEx>
        <w:trPr>
          <w:trHeight w:val="748"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EDE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8E4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人员管理</w:t>
            </w: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BAF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配置人员数量达标</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A82A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按照要求，配置相应数量的劝导员。配置数量不达标的此项不得分。组织日常抽查，发现劝导员无故缺岗的，每次没人扣</w:t>
            </w:r>
            <w:r>
              <w:rPr>
                <w:rFonts w:hint="eastAsia" w:ascii="宋体" w:hAnsi="宋体" w:eastAsia="宋体" w:cs="宋体"/>
                <w:color w:val="auto"/>
                <w:kern w:val="0"/>
                <w:szCs w:val="21"/>
                <w:highlight w:val="none"/>
                <w:lang w:val="en-US" w:eastAsia="zh-CN" w:bidi="ar"/>
              </w:rPr>
              <w:t>1分</w:t>
            </w:r>
            <w:r>
              <w:rPr>
                <w:rFonts w:hint="eastAsia" w:ascii="宋体" w:hAnsi="宋体" w:eastAsia="宋体" w:cs="宋体"/>
                <w:color w:val="auto"/>
                <w:kern w:val="0"/>
                <w:szCs w:val="21"/>
                <w:highlight w:val="none"/>
                <w:lang w:bidi="ar"/>
              </w:rPr>
              <w:t>。</w:t>
            </w:r>
          </w:p>
        </w:tc>
      </w:tr>
      <w:tr w14:paraId="53343543">
        <w:tblPrEx>
          <w:tblCellMar>
            <w:top w:w="0" w:type="dxa"/>
            <w:left w:w="0" w:type="dxa"/>
            <w:bottom w:w="0" w:type="dxa"/>
            <w:right w:w="0" w:type="dxa"/>
          </w:tblCellMar>
        </w:tblPrEx>
        <w:trPr>
          <w:trHeight w:val="440"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9E7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85EEC">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65D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配置人员能力达标</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ADFE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1、熟练掌握垃圾分类工作知识，中标方负责完成上岗培训；                                        2、随机组织抽查，对在岗期间履职情况进行检查，发现在岗不在职行为的，每次扣0.</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                                  3、工作留痕，按照要求填写相关资料，资料不全的，每次每项扣0.</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tc>
      </w:tr>
      <w:tr w14:paraId="617F14AE">
        <w:tblPrEx>
          <w:tblCellMar>
            <w:top w:w="0" w:type="dxa"/>
            <w:left w:w="0" w:type="dxa"/>
            <w:bottom w:w="0" w:type="dxa"/>
            <w:right w:w="0" w:type="dxa"/>
          </w:tblCellMar>
        </w:tblPrEx>
        <w:trPr>
          <w:trHeight w:val="828"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942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6A22E">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F7B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配置人员文明达标</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E82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文明履职，使用文明用语。发现或接到有关劝导员不文明履职投诉的，每次扣0.1分（居民方言行错误在先的除外）</w:t>
            </w:r>
          </w:p>
        </w:tc>
      </w:tr>
      <w:tr w14:paraId="1BDAE54C">
        <w:tblPrEx>
          <w:tblCellMar>
            <w:top w:w="0" w:type="dxa"/>
            <w:left w:w="0" w:type="dxa"/>
            <w:bottom w:w="0" w:type="dxa"/>
            <w:right w:w="0" w:type="dxa"/>
          </w:tblCellMar>
        </w:tblPrEx>
        <w:trPr>
          <w:trHeight w:val="918"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C3502">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DE0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日常宣传</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863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宣传活动指标</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3057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每月开展宣传或培训1次，相关资料齐全，并按月上报社区。每少1次，扣0.2分。</w:t>
            </w:r>
          </w:p>
        </w:tc>
      </w:tr>
      <w:tr w14:paraId="60317DD0">
        <w:tblPrEx>
          <w:tblCellMar>
            <w:top w:w="0" w:type="dxa"/>
            <w:left w:w="0" w:type="dxa"/>
            <w:bottom w:w="0" w:type="dxa"/>
            <w:right w:w="0" w:type="dxa"/>
          </w:tblCellMar>
        </w:tblPrEx>
        <w:trPr>
          <w:trHeight w:val="790"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44A8B">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3B06C">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B04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培训课程指标</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795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如社区有需求，第三方单位，需配合参与相关培训活动。每少1次扣0.2分。</w:t>
            </w:r>
          </w:p>
        </w:tc>
      </w:tr>
      <w:tr w14:paraId="633E9873">
        <w:tblPrEx>
          <w:tblCellMar>
            <w:top w:w="0" w:type="dxa"/>
            <w:left w:w="0" w:type="dxa"/>
            <w:bottom w:w="0" w:type="dxa"/>
            <w:right w:w="0" w:type="dxa"/>
          </w:tblCellMar>
        </w:tblPrEx>
        <w:trPr>
          <w:trHeight w:val="691"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DC547">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C288B">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4CA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宣传氛围更新</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7CA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养护期内，中标方负责对所建设备进行氛围更新。按照规定未在限期时间内验收完成的，每次每项扣2分</w:t>
            </w:r>
          </w:p>
        </w:tc>
      </w:tr>
      <w:tr w14:paraId="34C06116">
        <w:tblPrEx>
          <w:tblCellMar>
            <w:top w:w="0" w:type="dxa"/>
            <w:left w:w="0" w:type="dxa"/>
            <w:bottom w:w="0" w:type="dxa"/>
            <w:right w:w="0" w:type="dxa"/>
          </w:tblCellMar>
        </w:tblPrEx>
        <w:trPr>
          <w:trHeight w:val="1620"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20935">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D67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运维管理</w:t>
            </w: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B88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设备维护</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5C8A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1、做好基础设施形象维护工作，做到标识正确清晰、摆放合理、清洁美观、归位及时，每发现1项不达标的，扣1分；                                     2、运维期内，保证设备正常运作。出现故障的及时发布提醒告知，并明确修复期限。未及时告知的，每次扣0.2分；超期未修复的，每次扣2分</w:t>
            </w:r>
          </w:p>
        </w:tc>
      </w:tr>
      <w:tr w14:paraId="07B7852A">
        <w:tblPrEx>
          <w:tblCellMar>
            <w:top w:w="0" w:type="dxa"/>
            <w:left w:w="0" w:type="dxa"/>
            <w:bottom w:w="0" w:type="dxa"/>
            <w:right w:w="0" w:type="dxa"/>
          </w:tblCellMar>
        </w:tblPrEx>
        <w:trPr>
          <w:trHeight w:val="855"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659C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CE13">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D2E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信息更新</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B86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按时做好楼道评比、小区评比、人员信息、垃圾回收量等相关信息的公示。相关信息的公示每发现一次公布不及时、不正确的扣1分；</w:t>
            </w:r>
          </w:p>
        </w:tc>
      </w:tr>
      <w:tr w14:paraId="2C0F29E9">
        <w:tblPrEx>
          <w:tblCellMar>
            <w:top w:w="0" w:type="dxa"/>
            <w:left w:w="0" w:type="dxa"/>
            <w:bottom w:w="0" w:type="dxa"/>
            <w:right w:w="0" w:type="dxa"/>
          </w:tblCellMar>
        </w:tblPrEx>
        <w:trPr>
          <w:trHeight w:val="1140"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F014C">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63D91">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A7C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溯源管理</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0BE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积极运用“数据+人工”的方式，加强溯源管理力度，提升精度。溯源管理规定动作落实不到位的，每项扣0.2分</w:t>
            </w:r>
          </w:p>
        </w:tc>
      </w:tr>
      <w:tr w14:paraId="2EB0D007">
        <w:tblPrEx>
          <w:tblCellMar>
            <w:top w:w="0" w:type="dxa"/>
            <w:left w:w="0" w:type="dxa"/>
            <w:bottom w:w="0" w:type="dxa"/>
            <w:right w:w="0" w:type="dxa"/>
          </w:tblCellMar>
        </w:tblPrEx>
        <w:trPr>
          <w:trHeight w:val="1194" w:hRule="atLeast"/>
          <w:jc w:val="center"/>
        </w:trPr>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27F72">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val="en-US" w:eastAsia="zh-CN" w:bidi="ar"/>
              </w:rPr>
              <w:t>0</w:t>
            </w:r>
          </w:p>
        </w:tc>
        <w:tc>
          <w:tcPr>
            <w:tcW w:w="1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C78AA">
            <w:pPr>
              <w:jc w:val="center"/>
              <w:rPr>
                <w:rFonts w:hint="eastAsia" w:ascii="宋体" w:hAnsi="宋体" w:eastAsia="宋体" w:cs="宋体"/>
                <w:color w:val="auto"/>
                <w:szCs w:val="21"/>
                <w:highlight w:val="none"/>
              </w:rPr>
            </w:pPr>
          </w:p>
        </w:tc>
        <w:tc>
          <w:tcPr>
            <w:tcW w:w="1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575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平台运作</w:t>
            </w:r>
          </w:p>
        </w:tc>
        <w:tc>
          <w:tcPr>
            <w:tcW w:w="4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8BFE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1、数据平台系统运作高效，接入指定的上级统一平台。 数据平台未建立或无法接入的，扣</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                            2、每月及时提供相应数据。未及时提供招标方所需数据的，每项扣0.5分</w:t>
            </w:r>
          </w:p>
        </w:tc>
      </w:tr>
    </w:tbl>
    <w:p w14:paraId="5CF7BCFA">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六、商务要求表</w:t>
      </w:r>
    </w:p>
    <w:tbl>
      <w:tblPr>
        <w:tblStyle w:val="6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26"/>
      </w:tblGrid>
      <w:tr w14:paraId="4276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1240" w:type="dxa"/>
            <w:noWrap w:val="0"/>
            <w:vAlign w:val="center"/>
          </w:tcPr>
          <w:p w14:paraId="09F7328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8626" w:type="dxa"/>
            <w:noWrap w:val="0"/>
            <w:vAlign w:val="center"/>
          </w:tcPr>
          <w:p w14:paraId="31F482E1">
            <w:pPr>
              <w:wordWrap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一年（自合同签订之日起算）</w:t>
            </w:r>
            <w:r>
              <w:rPr>
                <w:rFonts w:hint="eastAsia" w:ascii="宋体" w:hAnsi="宋体" w:eastAsia="宋体" w:cs="宋体"/>
                <w:b/>
                <w:color w:val="auto"/>
                <w:kern w:val="0"/>
                <w:szCs w:val="21"/>
                <w:highlight w:val="none"/>
              </w:rPr>
              <w:t>。</w:t>
            </w:r>
          </w:p>
          <w:p w14:paraId="40B29E2B">
            <w:pPr>
              <w:wordWrap w:val="0"/>
              <w:spacing w:line="340" w:lineRule="exact"/>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注：服务期满后采购人根据对中标单位的考核情况（年平均考核分达到</w:t>
            </w:r>
            <w:r>
              <w:rPr>
                <w:rFonts w:hint="eastAsia" w:ascii="宋体" w:hAnsi="宋体" w:eastAsia="宋体" w:cs="宋体"/>
                <w:b/>
                <w:color w:val="auto"/>
                <w:kern w:val="0"/>
                <w:szCs w:val="21"/>
                <w:highlight w:val="none"/>
                <w:lang w:val="en-US" w:eastAsia="zh-CN"/>
              </w:rPr>
              <w:t>90</w:t>
            </w:r>
            <w:r>
              <w:rPr>
                <w:rFonts w:hint="eastAsia" w:ascii="宋体" w:hAnsi="宋体" w:eastAsia="宋体" w:cs="宋体"/>
                <w:b/>
                <w:color w:val="auto"/>
                <w:kern w:val="0"/>
                <w:szCs w:val="21"/>
                <w:highlight w:val="none"/>
              </w:rPr>
              <w:t>分（含）以上，且无月考核低于</w:t>
            </w:r>
            <w:r>
              <w:rPr>
                <w:rFonts w:hint="eastAsia" w:ascii="宋体" w:hAnsi="宋体" w:eastAsia="宋体" w:cs="宋体"/>
                <w:b/>
                <w:color w:val="auto"/>
                <w:kern w:val="0"/>
                <w:szCs w:val="21"/>
                <w:highlight w:val="none"/>
                <w:lang w:val="en-US" w:eastAsia="zh-CN"/>
              </w:rPr>
              <w:t>85</w:t>
            </w:r>
            <w:r>
              <w:rPr>
                <w:rFonts w:hint="eastAsia" w:ascii="宋体" w:hAnsi="宋体" w:eastAsia="宋体" w:cs="宋体"/>
                <w:b/>
                <w:color w:val="auto"/>
                <w:kern w:val="0"/>
                <w:szCs w:val="21"/>
                <w:highlight w:val="none"/>
              </w:rPr>
              <w:t>分的）可考虑续签合同一年，续签合同（按浙财采监〔2021〕2号《浙江省财政厅关于进一步规范政府购买服务采购管理的通知》的有关规定执行）。</w:t>
            </w:r>
          </w:p>
        </w:tc>
      </w:tr>
      <w:tr w14:paraId="2C57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40" w:type="dxa"/>
            <w:noWrap w:val="0"/>
            <w:vAlign w:val="center"/>
          </w:tcPr>
          <w:p w14:paraId="5B6A9BC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8626" w:type="dxa"/>
            <w:noWrap w:val="0"/>
            <w:vAlign w:val="center"/>
          </w:tcPr>
          <w:p w14:paraId="666EA7C8">
            <w:pPr>
              <w:spacing w:line="34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本项目不设置履约保证金</w:t>
            </w:r>
          </w:p>
        </w:tc>
      </w:tr>
      <w:tr w14:paraId="6FA7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exact"/>
          <w:jc w:val="center"/>
        </w:trPr>
        <w:tc>
          <w:tcPr>
            <w:tcW w:w="1240" w:type="dxa"/>
            <w:noWrap w:val="0"/>
            <w:vAlign w:val="center"/>
          </w:tcPr>
          <w:p w14:paraId="259CE261">
            <w:pPr>
              <w:spacing w:line="340" w:lineRule="exact"/>
              <w:jc w:val="center"/>
              <w:rPr>
                <w:rFonts w:hint="eastAsia" w:ascii="宋体" w:hAnsi="宋体" w:eastAsia="宋体" w:cs="宋体"/>
                <w:color w:val="auto"/>
                <w:szCs w:val="21"/>
                <w:highlight w:val="none"/>
              </w:rPr>
            </w:pPr>
            <w:r>
              <w:rPr>
                <w:rFonts w:hint="eastAsia" w:ascii="宋体" w:hAnsi="宋体" w:eastAsia="宋体" w:cs="宋体"/>
                <w:b w:val="0"/>
                <w:bCs/>
                <w:color w:val="auto"/>
                <w:highlight w:val="none"/>
              </w:rPr>
              <w:t>报价要求</w:t>
            </w:r>
          </w:p>
        </w:tc>
        <w:tc>
          <w:tcPr>
            <w:tcW w:w="8626" w:type="dxa"/>
            <w:noWrap w:val="0"/>
            <w:vAlign w:val="center"/>
          </w:tcPr>
          <w:p w14:paraId="642C6AAE">
            <w:pPr>
              <w:spacing w:line="340" w:lineRule="exact"/>
              <w:rPr>
                <w:rFonts w:hint="eastAsia" w:ascii="宋体" w:hAnsi="宋体" w:eastAsia="宋体" w:cs="宋体"/>
                <w:bCs/>
                <w:color w:val="auto"/>
                <w:kern w:val="0"/>
                <w:szCs w:val="21"/>
                <w:highlight w:val="none"/>
              </w:rPr>
            </w:pPr>
            <w:r>
              <w:rPr>
                <w:rFonts w:hint="eastAsia" w:ascii="宋体" w:hAnsi="宋体" w:eastAsia="宋体" w:cs="宋体"/>
                <w:color w:val="auto"/>
                <w:kern w:val="2"/>
                <w:highlight w:val="none"/>
                <w:lang w:val="en-US" w:eastAsia="zh-CN"/>
              </w:rPr>
              <w:t>1.本项目投标报价为1年的承包费用报价。</w:t>
            </w:r>
            <w:r>
              <w:rPr>
                <w:rFonts w:hint="eastAsia" w:ascii="宋体" w:hAnsi="宋体" w:eastAsia="宋体" w:cs="宋体"/>
                <w:color w:val="auto"/>
                <w:kern w:val="2"/>
                <w:highlight w:val="none"/>
                <w:lang w:val="en-US" w:eastAsia="zh-CN"/>
              </w:rPr>
              <w:br w:type="textWrapping"/>
            </w:r>
            <w:r>
              <w:rPr>
                <w:rFonts w:hint="eastAsia" w:ascii="宋体" w:hAnsi="宋体" w:eastAsia="宋体" w:cs="宋体"/>
                <w:color w:val="auto"/>
                <w:kern w:val="2"/>
                <w:highlight w:val="none"/>
                <w:lang w:val="en-US" w:eastAsia="zh-CN"/>
              </w:rPr>
              <w:t>2.投标报价必须包括提供本项目服务工作所需的设备运行管理（含设备维修、保养、水电费等）、人员工资、奖金、加班费、社会保险、管理费用、税费、利润、完成合同所需的一切本身和不可或缺的所有工作开支、政策性文件规定及合同包含的所有风险、责任等各项全部费用。在合同服务期间内不得违反国家相关政策规定。</w:t>
            </w:r>
            <w:r>
              <w:rPr>
                <w:rFonts w:hint="eastAsia" w:ascii="宋体" w:hAnsi="宋体" w:eastAsia="宋体" w:cs="宋体"/>
                <w:color w:val="auto"/>
                <w:kern w:val="2"/>
                <w:highlight w:val="none"/>
                <w:lang w:val="en-US" w:eastAsia="zh-CN"/>
              </w:rPr>
              <w:br w:type="textWrapping"/>
            </w:r>
            <w:r>
              <w:rPr>
                <w:rFonts w:hint="eastAsia" w:ascii="宋体" w:hAnsi="宋体" w:eastAsia="宋体" w:cs="宋体"/>
                <w:color w:val="auto"/>
                <w:kern w:val="2"/>
                <w:highlight w:val="none"/>
                <w:lang w:val="en-US" w:eastAsia="zh-CN"/>
              </w:rPr>
              <w:t>3.报价需提供单个人员费用，服务期内采购人如有人员增减的需求，最终可按该单价进行费用结算。</w:t>
            </w:r>
          </w:p>
        </w:tc>
      </w:tr>
      <w:tr w14:paraId="2950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1240" w:type="dxa"/>
            <w:noWrap w:val="0"/>
            <w:vAlign w:val="center"/>
          </w:tcPr>
          <w:p w14:paraId="59709A6E">
            <w:pPr>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val="en-US" w:eastAsia="zh-CN"/>
              </w:rPr>
              <w:t>条件</w:t>
            </w:r>
          </w:p>
        </w:tc>
        <w:tc>
          <w:tcPr>
            <w:tcW w:w="8626" w:type="dxa"/>
            <w:noWrap w:val="0"/>
            <w:vAlign w:val="center"/>
          </w:tcPr>
          <w:p w14:paraId="007A9E1D">
            <w:pPr>
              <w:spacing w:line="340" w:lineRule="exac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运维费用原则上每季度结算一次，本季度支付上季度的费用，最后一季度的费用在第二年的第一季度完成支付。具体支付比例为：</w:t>
            </w:r>
          </w:p>
          <w:p w14:paraId="074504BF">
            <w:pPr>
              <w:spacing w:line="340" w:lineRule="exac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1）季度考核得分在98分—100分的，全额支付运维费用；</w:t>
            </w:r>
          </w:p>
          <w:p w14:paraId="49B2ED48">
            <w:pPr>
              <w:spacing w:line="340" w:lineRule="exac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2）季度考核得分在95分—98分（不含98分）的，支付运维费用的98%。</w:t>
            </w:r>
          </w:p>
          <w:p w14:paraId="524C37D2">
            <w:pPr>
              <w:spacing w:line="340" w:lineRule="exac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3）季度考核得分低于95分（不含95分）的，每低一分扣除服务费用的1%后支付运维费用。</w:t>
            </w:r>
          </w:p>
        </w:tc>
      </w:tr>
      <w:tr w14:paraId="5E25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240" w:type="dxa"/>
            <w:noWrap w:val="0"/>
            <w:vAlign w:val="center"/>
          </w:tcPr>
          <w:p w14:paraId="1FA200F0">
            <w:pPr>
              <w:spacing w:line="340" w:lineRule="exact"/>
              <w:jc w:val="center"/>
              <w:rPr>
                <w:rFonts w:hint="eastAsia" w:ascii="宋体" w:hAnsi="宋体" w:eastAsia="宋体" w:cs="宋体"/>
                <w:color w:val="auto"/>
                <w:szCs w:val="21"/>
                <w:highlight w:val="none"/>
              </w:rPr>
            </w:pPr>
            <w:bookmarkStart w:id="27" w:name="_Toc1227"/>
            <w:r>
              <w:rPr>
                <w:rFonts w:hint="eastAsia" w:ascii="宋体" w:hAnsi="宋体" w:eastAsia="宋体" w:cs="宋体"/>
                <w:color w:val="auto"/>
                <w:szCs w:val="21"/>
                <w:highlight w:val="none"/>
              </w:rPr>
              <w:t>责任认定</w:t>
            </w:r>
            <w:bookmarkEnd w:id="27"/>
          </w:p>
        </w:tc>
        <w:tc>
          <w:tcPr>
            <w:tcW w:w="8626" w:type="dxa"/>
            <w:noWrap w:val="0"/>
            <w:vAlign w:val="center"/>
          </w:tcPr>
          <w:p w14:paraId="3E6B2C95">
            <w:pPr>
              <w:spacing w:line="34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在服务期内，因中标供应商的原因，未能完全履行服务承诺，采购人有权追究中标供应商的责任。</w:t>
            </w:r>
          </w:p>
        </w:tc>
      </w:tr>
    </w:tbl>
    <w:p w14:paraId="0D2B3333">
      <w:pPr>
        <w:pStyle w:val="4"/>
        <w:wordWrap w:val="0"/>
        <w:spacing w:before="319" w:beforeLines="100" w:line="24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28" w:name="_Toc184314461"/>
      <w:bookmarkEnd w:id="28"/>
      <w:bookmarkStart w:id="29" w:name="_Toc184314458"/>
      <w:bookmarkEnd w:id="29"/>
      <w:bookmarkStart w:id="30" w:name="_Toc184308050"/>
      <w:bookmarkEnd w:id="30"/>
      <w:bookmarkStart w:id="31" w:name="_Toc184314435"/>
      <w:bookmarkEnd w:id="31"/>
      <w:bookmarkStart w:id="32" w:name="_Toc184310278"/>
      <w:bookmarkEnd w:id="32"/>
      <w:bookmarkStart w:id="33" w:name="_Toc184314437"/>
      <w:bookmarkEnd w:id="33"/>
      <w:bookmarkStart w:id="34" w:name="_Toc184314442"/>
      <w:bookmarkEnd w:id="34"/>
      <w:bookmarkStart w:id="35" w:name="_Toc184313271"/>
      <w:bookmarkEnd w:id="35"/>
      <w:bookmarkStart w:id="36" w:name="_Toc184308056"/>
      <w:bookmarkEnd w:id="36"/>
      <w:bookmarkStart w:id="37" w:name="_Toc184314424"/>
      <w:bookmarkEnd w:id="37"/>
      <w:bookmarkStart w:id="38" w:name="_Toc184310339"/>
      <w:bookmarkEnd w:id="38"/>
      <w:bookmarkStart w:id="39" w:name="_Toc184310272"/>
      <w:bookmarkEnd w:id="39"/>
      <w:bookmarkStart w:id="40" w:name="_Toc184310309"/>
      <w:bookmarkEnd w:id="40"/>
      <w:bookmarkStart w:id="41" w:name="_Toc184310274"/>
      <w:bookmarkEnd w:id="41"/>
      <w:bookmarkStart w:id="42" w:name="_Toc184313243"/>
      <w:bookmarkEnd w:id="42"/>
      <w:bookmarkStart w:id="43" w:name="_Toc184310304"/>
      <w:bookmarkEnd w:id="43"/>
      <w:bookmarkStart w:id="44" w:name="_Toc184308067"/>
      <w:bookmarkEnd w:id="44"/>
      <w:bookmarkStart w:id="45" w:name="_Toc184313245"/>
      <w:bookmarkEnd w:id="45"/>
      <w:bookmarkStart w:id="46" w:name="_Toc184313289"/>
      <w:bookmarkEnd w:id="46"/>
      <w:bookmarkStart w:id="47" w:name="_Toc184314481"/>
      <w:bookmarkEnd w:id="47"/>
      <w:bookmarkStart w:id="48" w:name="_Toc184314477"/>
      <w:bookmarkEnd w:id="48"/>
      <w:bookmarkStart w:id="49" w:name="_Toc184308053"/>
      <w:bookmarkEnd w:id="49"/>
      <w:bookmarkStart w:id="50" w:name="_Toc184308062"/>
      <w:bookmarkEnd w:id="50"/>
      <w:bookmarkStart w:id="51" w:name="_Toc184314449"/>
      <w:bookmarkEnd w:id="51"/>
      <w:bookmarkStart w:id="52" w:name="_Toc184310311"/>
      <w:bookmarkEnd w:id="52"/>
      <w:bookmarkStart w:id="53" w:name="_Toc184314462"/>
      <w:bookmarkEnd w:id="53"/>
      <w:bookmarkStart w:id="54" w:name="_Toc184308061"/>
      <w:bookmarkEnd w:id="54"/>
      <w:bookmarkStart w:id="55" w:name="_Toc184312112"/>
      <w:bookmarkEnd w:id="55"/>
      <w:bookmarkStart w:id="56" w:name="_Toc184308037"/>
      <w:bookmarkEnd w:id="56"/>
      <w:bookmarkStart w:id="57" w:name="_Toc184314482"/>
      <w:bookmarkEnd w:id="57"/>
      <w:bookmarkStart w:id="58" w:name="_Toc184308093"/>
      <w:bookmarkEnd w:id="58"/>
      <w:bookmarkStart w:id="59" w:name="_Toc184310295"/>
      <w:bookmarkEnd w:id="59"/>
      <w:bookmarkStart w:id="60" w:name="_Toc184308076"/>
      <w:bookmarkEnd w:id="60"/>
      <w:bookmarkStart w:id="61" w:name="_Toc184308073"/>
      <w:bookmarkEnd w:id="61"/>
      <w:bookmarkStart w:id="62" w:name="_Toc184310305"/>
      <w:bookmarkEnd w:id="62"/>
      <w:bookmarkStart w:id="63" w:name="_Toc184310327"/>
      <w:bookmarkEnd w:id="63"/>
      <w:bookmarkStart w:id="64" w:name="_Toc184312137"/>
      <w:bookmarkEnd w:id="64"/>
      <w:bookmarkStart w:id="65" w:name="_Toc184314414"/>
      <w:bookmarkEnd w:id="65"/>
      <w:bookmarkStart w:id="66" w:name="_Toc184312138"/>
      <w:bookmarkEnd w:id="66"/>
      <w:bookmarkStart w:id="67" w:name="_Toc184313291"/>
      <w:bookmarkEnd w:id="67"/>
      <w:bookmarkStart w:id="68" w:name="_Toc184312074"/>
      <w:bookmarkEnd w:id="68"/>
      <w:bookmarkStart w:id="69" w:name="_Toc184310294"/>
      <w:bookmarkEnd w:id="69"/>
      <w:bookmarkStart w:id="70" w:name="_Toc184313267"/>
      <w:bookmarkEnd w:id="70"/>
      <w:bookmarkStart w:id="71" w:name="_Toc184313260"/>
      <w:bookmarkEnd w:id="71"/>
      <w:bookmarkStart w:id="72" w:name="_Toc184310277"/>
      <w:bookmarkEnd w:id="72"/>
      <w:bookmarkStart w:id="73" w:name="_Toc184310288"/>
      <w:bookmarkEnd w:id="73"/>
      <w:bookmarkStart w:id="74" w:name="_Toc184312075"/>
      <w:bookmarkEnd w:id="74"/>
      <w:bookmarkStart w:id="75" w:name="_Toc184313295"/>
      <w:bookmarkEnd w:id="75"/>
      <w:bookmarkStart w:id="76" w:name="_Toc184308055"/>
      <w:bookmarkEnd w:id="76"/>
      <w:bookmarkStart w:id="77" w:name="_Toc184308078"/>
      <w:bookmarkEnd w:id="77"/>
      <w:bookmarkStart w:id="78" w:name="_Toc184312102"/>
      <w:bookmarkEnd w:id="78"/>
      <w:bookmarkStart w:id="79" w:name="_Toc184313255"/>
      <w:bookmarkEnd w:id="79"/>
      <w:bookmarkStart w:id="80" w:name="_Toc184310307"/>
      <w:bookmarkEnd w:id="80"/>
      <w:bookmarkStart w:id="81" w:name="_Toc184312076"/>
      <w:bookmarkEnd w:id="81"/>
      <w:bookmarkStart w:id="82" w:name="_Toc184312084"/>
      <w:bookmarkEnd w:id="82"/>
      <w:bookmarkStart w:id="83" w:name="_Toc184312111"/>
      <w:bookmarkEnd w:id="83"/>
      <w:bookmarkStart w:id="84" w:name="_Toc184314428"/>
      <w:bookmarkEnd w:id="84"/>
      <w:bookmarkStart w:id="85" w:name="_Toc184312071"/>
      <w:bookmarkEnd w:id="85"/>
      <w:bookmarkStart w:id="86" w:name="_Toc184314468"/>
      <w:bookmarkEnd w:id="86"/>
      <w:bookmarkStart w:id="87" w:name="_Toc184314452"/>
      <w:bookmarkEnd w:id="87"/>
      <w:bookmarkStart w:id="88" w:name="_Toc184313244"/>
      <w:bookmarkEnd w:id="88"/>
      <w:bookmarkStart w:id="89" w:name="_Toc184312117"/>
      <w:bookmarkEnd w:id="89"/>
      <w:bookmarkStart w:id="90" w:name="_Toc184313306"/>
      <w:bookmarkEnd w:id="90"/>
      <w:bookmarkStart w:id="91" w:name="_Toc184313308"/>
      <w:bookmarkEnd w:id="91"/>
      <w:bookmarkStart w:id="92" w:name="_Toc184310322"/>
      <w:bookmarkEnd w:id="92"/>
      <w:bookmarkStart w:id="93" w:name="_Toc184310308"/>
      <w:bookmarkEnd w:id="93"/>
      <w:bookmarkStart w:id="94" w:name="_Toc184313240"/>
      <w:bookmarkEnd w:id="94"/>
      <w:bookmarkStart w:id="95" w:name="_Toc184313241"/>
      <w:bookmarkEnd w:id="95"/>
      <w:bookmarkStart w:id="96" w:name="_Toc184314469"/>
      <w:bookmarkEnd w:id="96"/>
      <w:bookmarkStart w:id="97" w:name="_Toc184313254"/>
      <w:bookmarkEnd w:id="97"/>
      <w:bookmarkStart w:id="98" w:name="_Toc184312116"/>
      <w:bookmarkEnd w:id="98"/>
      <w:bookmarkStart w:id="99" w:name="_Toc184314431"/>
      <w:bookmarkEnd w:id="99"/>
      <w:bookmarkStart w:id="100" w:name="_Toc184313239"/>
      <w:bookmarkEnd w:id="100"/>
      <w:bookmarkStart w:id="101" w:name="_Toc184310336"/>
      <w:bookmarkEnd w:id="101"/>
      <w:bookmarkStart w:id="102" w:name="_Toc184314430"/>
      <w:bookmarkEnd w:id="102"/>
      <w:bookmarkStart w:id="103" w:name="_Toc184310275"/>
      <w:bookmarkEnd w:id="103"/>
      <w:bookmarkStart w:id="104" w:name="_Toc184308044"/>
      <w:bookmarkEnd w:id="104"/>
      <w:bookmarkStart w:id="105" w:name="_Toc184308065"/>
      <w:bookmarkEnd w:id="105"/>
      <w:bookmarkStart w:id="106" w:name="_Toc184312077"/>
      <w:bookmarkEnd w:id="106"/>
      <w:bookmarkStart w:id="107" w:name="_Toc184314426"/>
      <w:bookmarkEnd w:id="107"/>
      <w:bookmarkStart w:id="108" w:name="_Toc184310329"/>
      <w:bookmarkEnd w:id="108"/>
      <w:bookmarkStart w:id="109" w:name="_Toc184313292"/>
      <w:bookmarkEnd w:id="109"/>
      <w:bookmarkStart w:id="110" w:name="_Toc184312100"/>
      <w:bookmarkEnd w:id="110"/>
      <w:bookmarkStart w:id="111" w:name="_Toc184312103"/>
      <w:bookmarkEnd w:id="111"/>
      <w:bookmarkStart w:id="112" w:name="_Toc184313259"/>
      <w:bookmarkEnd w:id="112"/>
      <w:bookmarkStart w:id="113" w:name="_Toc184312069"/>
      <w:bookmarkEnd w:id="113"/>
      <w:bookmarkStart w:id="114" w:name="_Toc184313277"/>
      <w:bookmarkEnd w:id="114"/>
      <w:bookmarkStart w:id="115" w:name="_Toc184314447"/>
      <w:bookmarkEnd w:id="115"/>
      <w:bookmarkStart w:id="116" w:name="_Toc184308040"/>
      <w:bookmarkEnd w:id="116"/>
      <w:bookmarkStart w:id="117" w:name="_Toc184308041"/>
      <w:bookmarkEnd w:id="117"/>
      <w:bookmarkStart w:id="118" w:name="_Toc184314411"/>
      <w:bookmarkEnd w:id="118"/>
      <w:bookmarkStart w:id="119" w:name="_Toc184314433"/>
      <w:bookmarkEnd w:id="119"/>
      <w:bookmarkStart w:id="120" w:name="_Toc184313268"/>
      <w:bookmarkEnd w:id="120"/>
      <w:bookmarkStart w:id="121" w:name="_Toc184313248"/>
      <w:bookmarkEnd w:id="121"/>
      <w:bookmarkStart w:id="122" w:name="_Toc184313298"/>
      <w:bookmarkEnd w:id="122"/>
      <w:bookmarkStart w:id="123" w:name="_Toc184314475"/>
      <w:bookmarkEnd w:id="123"/>
      <w:bookmarkStart w:id="124" w:name="_Toc184308097"/>
      <w:bookmarkEnd w:id="124"/>
      <w:bookmarkStart w:id="125" w:name="_Toc184312125"/>
      <w:bookmarkEnd w:id="125"/>
      <w:bookmarkStart w:id="126" w:name="_Toc184314439"/>
      <w:bookmarkEnd w:id="126"/>
      <w:bookmarkStart w:id="127" w:name="_Toc184308105"/>
      <w:bookmarkEnd w:id="127"/>
      <w:bookmarkStart w:id="128" w:name="_Toc184308058"/>
      <w:bookmarkEnd w:id="128"/>
      <w:bookmarkStart w:id="129" w:name="_Toc184313281"/>
      <w:bookmarkEnd w:id="129"/>
      <w:bookmarkStart w:id="130" w:name="_Toc184313293"/>
      <w:bookmarkEnd w:id="130"/>
      <w:bookmarkStart w:id="131" w:name="_Toc184313246"/>
      <w:bookmarkEnd w:id="131"/>
      <w:bookmarkStart w:id="132" w:name="_Toc184312072"/>
      <w:bookmarkEnd w:id="132"/>
      <w:bookmarkStart w:id="133" w:name="_Toc184314474"/>
      <w:bookmarkEnd w:id="133"/>
      <w:bookmarkStart w:id="134" w:name="_Toc184314416"/>
      <w:bookmarkEnd w:id="134"/>
      <w:bookmarkStart w:id="135" w:name="_Toc184308060"/>
      <w:bookmarkEnd w:id="135"/>
      <w:bookmarkStart w:id="136" w:name="_Toc184308059"/>
      <w:bookmarkEnd w:id="136"/>
      <w:bookmarkStart w:id="137" w:name="_Toc184310335"/>
      <w:bookmarkEnd w:id="137"/>
      <w:bookmarkStart w:id="138" w:name="_Toc184310315"/>
      <w:bookmarkEnd w:id="138"/>
      <w:bookmarkStart w:id="139" w:name="_Toc184313270"/>
      <w:bookmarkEnd w:id="139"/>
      <w:bookmarkStart w:id="140" w:name="_Toc184313253"/>
      <w:bookmarkEnd w:id="140"/>
      <w:bookmarkStart w:id="141" w:name="_Toc184310318"/>
      <w:bookmarkEnd w:id="141"/>
      <w:bookmarkStart w:id="142" w:name="_Toc184308051"/>
      <w:bookmarkEnd w:id="142"/>
      <w:bookmarkStart w:id="143" w:name="_Toc184312106"/>
      <w:bookmarkEnd w:id="143"/>
      <w:bookmarkStart w:id="144" w:name="_Toc184308070"/>
      <w:bookmarkEnd w:id="144"/>
      <w:bookmarkStart w:id="145" w:name="_Toc184312105"/>
      <w:bookmarkEnd w:id="145"/>
      <w:bookmarkStart w:id="146" w:name="_Toc184313280"/>
      <w:bookmarkEnd w:id="146"/>
      <w:bookmarkStart w:id="147" w:name="_Toc184310340"/>
      <w:bookmarkEnd w:id="147"/>
      <w:bookmarkStart w:id="148" w:name="_Toc184310301"/>
      <w:bookmarkEnd w:id="148"/>
      <w:bookmarkStart w:id="149" w:name="_Toc184313300"/>
      <w:bookmarkEnd w:id="149"/>
      <w:bookmarkStart w:id="150" w:name="_Toc184308104"/>
      <w:bookmarkEnd w:id="150"/>
      <w:bookmarkStart w:id="151" w:name="_Toc184310317"/>
      <w:bookmarkEnd w:id="151"/>
      <w:bookmarkStart w:id="152" w:name="_Toc184313288"/>
      <w:bookmarkEnd w:id="152"/>
      <w:bookmarkStart w:id="153" w:name="_Toc184314443"/>
      <w:bookmarkEnd w:id="153"/>
      <w:bookmarkStart w:id="154" w:name="_Toc184312070"/>
      <w:bookmarkEnd w:id="154"/>
      <w:bookmarkStart w:id="155" w:name="_Toc184312098"/>
      <w:bookmarkEnd w:id="155"/>
      <w:bookmarkStart w:id="156" w:name="_Toc184308101"/>
      <w:bookmarkEnd w:id="156"/>
      <w:bookmarkStart w:id="157" w:name="_Toc184308068"/>
      <w:bookmarkEnd w:id="157"/>
      <w:bookmarkStart w:id="158" w:name="_Toc184308048"/>
      <w:bookmarkEnd w:id="158"/>
      <w:bookmarkStart w:id="159" w:name="_Toc184312085"/>
      <w:bookmarkEnd w:id="159"/>
      <w:bookmarkStart w:id="160" w:name="_Toc184312081"/>
      <w:bookmarkEnd w:id="160"/>
      <w:bookmarkStart w:id="161" w:name="_Toc184312101"/>
      <w:bookmarkEnd w:id="161"/>
      <w:bookmarkStart w:id="162" w:name="_Toc184313276"/>
      <w:bookmarkEnd w:id="162"/>
      <w:bookmarkStart w:id="163" w:name="_Toc184308089"/>
      <w:bookmarkEnd w:id="163"/>
      <w:bookmarkStart w:id="164" w:name="_Toc184313286"/>
      <w:bookmarkEnd w:id="164"/>
      <w:bookmarkStart w:id="165" w:name="_Toc184308080"/>
      <w:bookmarkEnd w:id="165"/>
      <w:bookmarkStart w:id="166" w:name="_Toc184308066"/>
      <w:bookmarkEnd w:id="166"/>
      <w:bookmarkStart w:id="167" w:name="_Toc184312127"/>
      <w:bookmarkEnd w:id="167"/>
      <w:bookmarkStart w:id="168" w:name="_Toc184308084"/>
      <w:bookmarkEnd w:id="168"/>
      <w:bookmarkStart w:id="169" w:name="_Toc184314456"/>
      <w:bookmarkEnd w:id="169"/>
      <w:bookmarkStart w:id="170" w:name="_Toc184308087"/>
      <w:bookmarkEnd w:id="170"/>
      <w:bookmarkStart w:id="171" w:name="_Toc184313264"/>
      <w:bookmarkEnd w:id="171"/>
      <w:bookmarkStart w:id="172" w:name="_Toc184312109"/>
      <w:bookmarkEnd w:id="172"/>
      <w:bookmarkStart w:id="173" w:name="_Toc184313299"/>
      <w:bookmarkEnd w:id="173"/>
      <w:bookmarkStart w:id="174" w:name="_Toc184308107"/>
      <w:bookmarkEnd w:id="174"/>
      <w:bookmarkStart w:id="175" w:name="_Toc184310343"/>
      <w:bookmarkEnd w:id="175"/>
      <w:bookmarkStart w:id="176" w:name="_Toc184310292"/>
      <w:bookmarkEnd w:id="176"/>
      <w:bookmarkStart w:id="177" w:name="_Toc184312086"/>
      <w:bookmarkEnd w:id="177"/>
      <w:bookmarkStart w:id="178" w:name="_Toc184313301"/>
      <w:bookmarkEnd w:id="178"/>
      <w:bookmarkStart w:id="179" w:name="_Toc184312079"/>
      <w:bookmarkEnd w:id="179"/>
      <w:bookmarkStart w:id="180" w:name="_Toc184310302"/>
      <w:bookmarkEnd w:id="180"/>
      <w:bookmarkStart w:id="181" w:name="_Toc184314460"/>
      <w:bookmarkEnd w:id="181"/>
      <w:bookmarkStart w:id="182" w:name="_Toc184313272"/>
      <w:bookmarkEnd w:id="182"/>
      <w:bookmarkStart w:id="183" w:name="_Toc184314441"/>
      <w:bookmarkEnd w:id="183"/>
      <w:bookmarkStart w:id="184" w:name="_Toc184310324"/>
      <w:bookmarkEnd w:id="184"/>
      <w:bookmarkStart w:id="185" w:name="_Toc184308103"/>
      <w:bookmarkEnd w:id="185"/>
      <w:bookmarkStart w:id="186" w:name="_Toc184310314"/>
      <w:bookmarkEnd w:id="186"/>
      <w:bookmarkStart w:id="187" w:name="_Toc184310293"/>
      <w:bookmarkEnd w:id="187"/>
      <w:bookmarkStart w:id="188" w:name="_Toc184312083"/>
      <w:bookmarkEnd w:id="188"/>
      <w:bookmarkStart w:id="189" w:name="_Toc184314471"/>
      <w:bookmarkEnd w:id="189"/>
      <w:bookmarkStart w:id="190" w:name="_Toc184312130"/>
      <w:bookmarkEnd w:id="190"/>
      <w:bookmarkStart w:id="191" w:name="_Toc184312110"/>
      <w:bookmarkEnd w:id="191"/>
      <w:bookmarkStart w:id="192" w:name="_Toc184308054"/>
      <w:bookmarkEnd w:id="192"/>
      <w:bookmarkStart w:id="193" w:name="_Toc184310279"/>
      <w:bookmarkEnd w:id="193"/>
      <w:bookmarkStart w:id="194" w:name="_Toc184313256"/>
      <w:bookmarkEnd w:id="194"/>
      <w:bookmarkStart w:id="195" w:name="_Toc184310328"/>
      <w:bookmarkEnd w:id="195"/>
      <w:bookmarkStart w:id="196" w:name="_Toc184308102"/>
      <w:bookmarkEnd w:id="196"/>
      <w:bookmarkStart w:id="197" w:name="_Toc184314478"/>
      <w:bookmarkEnd w:id="197"/>
      <w:bookmarkStart w:id="198" w:name="_Toc184313262"/>
      <w:bookmarkEnd w:id="198"/>
      <w:bookmarkStart w:id="199" w:name="_Toc184310280"/>
      <w:bookmarkEnd w:id="199"/>
      <w:bookmarkStart w:id="200" w:name="_Toc184314457"/>
      <w:bookmarkEnd w:id="200"/>
      <w:bookmarkStart w:id="201" w:name="_Toc184313296"/>
      <w:bookmarkEnd w:id="201"/>
      <w:bookmarkStart w:id="202" w:name="_Toc184310291"/>
      <w:bookmarkEnd w:id="202"/>
      <w:bookmarkStart w:id="203" w:name="_Toc184310323"/>
      <w:bookmarkEnd w:id="203"/>
      <w:bookmarkStart w:id="204" w:name="_Toc184310306"/>
      <w:bookmarkEnd w:id="204"/>
      <w:bookmarkStart w:id="205" w:name="_Toc184308079"/>
      <w:bookmarkEnd w:id="205"/>
      <w:bookmarkStart w:id="206" w:name="_Toc184312135"/>
      <w:bookmarkEnd w:id="206"/>
      <w:bookmarkStart w:id="207" w:name="_Toc184313263"/>
      <w:bookmarkEnd w:id="207"/>
      <w:bookmarkStart w:id="208" w:name="_Toc184310341"/>
      <w:bookmarkEnd w:id="208"/>
      <w:bookmarkStart w:id="209" w:name="_Toc184314438"/>
      <w:bookmarkEnd w:id="209"/>
      <w:bookmarkStart w:id="210" w:name="_Toc184308071"/>
      <w:bookmarkEnd w:id="210"/>
      <w:bookmarkStart w:id="211" w:name="_Toc184314410"/>
      <w:bookmarkEnd w:id="211"/>
      <w:bookmarkStart w:id="212" w:name="_Toc184313283"/>
      <w:bookmarkEnd w:id="212"/>
      <w:bookmarkStart w:id="213" w:name="_Toc184310283"/>
      <w:bookmarkEnd w:id="213"/>
      <w:bookmarkStart w:id="214" w:name="_Toc184313251"/>
      <w:bookmarkEnd w:id="214"/>
      <w:bookmarkStart w:id="215" w:name="_Toc184313285"/>
      <w:bookmarkEnd w:id="215"/>
      <w:bookmarkStart w:id="216" w:name="_Toc184310287"/>
      <w:bookmarkEnd w:id="216"/>
      <w:bookmarkStart w:id="217" w:name="_Toc184310320"/>
      <w:bookmarkEnd w:id="217"/>
      <w:bookmarkStart w:id="218" w:name="_Toc184310334"/>
      <w:bookmarkEnd w:id="218"/>
      <w:bookmarkStart w:id="219" w:name="_Toc184313287"/>
      <w:bookmarkEnd w:id="219"/>
      <w:bookmarkStart w:id="220" w:name="_Toc184314465"/>
      <w:bookmarkEnd w:id="220"/>
      <w:bookmarkStart w:id="221" w:name="_Toc184312092"/>
      <w:bookmarkEnd w:id="221"/>
      <w:bookmarkStart w:id="222" w:name="_Toc184310276"/>
      <w:bookmarkEnd w:id="222"/>
      <w:bookmarkStart w:id="223" w:name="_Toc184310300"/>
      <w:bookmarkEnd w:id="223"/>
      <w:bookmarkStart w:id="224" w:name="_Toc184312136"/>
      <w:bookmarkEnd w:id="224"/>
      <w:bookmarkStart w:id="225" w:name="_Toc184310313"/>
      <w:bookmarkEnd w:id="225"/>
      <w:bookmarkStart w:id="226" w:name="_Toc184308096"/>
      <w:bookmarkEnd w:id="226"/>
      <w:bookmarkStart w:id="227" w:name="_Toc184308064"/>
      <w:bookmarkEnd w:id="227"/>
      <w:bookmarkStart w:id="228" w:name="_Toc184313247"/>
      <w:bookmarkEnd w:id="228"/>
      <w:bookmarkStart w:id="229" w:name="_Toc184313265"/>
      <w:bookmarkEnd w:id="229"/>
      <w:bookmarkStart w:id="230" w:name="_Toc184314476"/>
      <w:bookmarkEnd w:id="230"/>
      <w:bookmarkStart w:id="231" w:name="_Toc184312093"/>
      <w:bookmarkEnd w:id="231"/>
      <w:bookmarkStart w:id="232" w:name="_Toc184310325"/>
      <w:bookmarkEnd w:id="232"/>
      <w:bookmarkStart w:id="233" w:name="_Toc184310319"/>
      <w:bookmarkEnd w:id="233"/>
      <w:bookmarkStart w:id="234" w:name="_Toc184312131"/>
      <w:bookmarkEnd w:id="234"/>
      <w:bookmarkStart w:id="235" w:name="_Toc184310342"/>
      <w:bookmarkEnd w:id="235"/>
      <w:bookmarkStart w:id="236" w:name="_Toc184308083"/>
      <w:bookmarkEnd w:id="236"/>
      <w:bookmarkStart w:id="237" w:name="_Toc184314464"/>
      <w:bookmarkEnd w:id="237"/>
      <w:bookmarkStart w:id="238" w:name="_Toc184312122"/>
      <w:bookmarkEnd w:id="238"/>
      <w:bookmarkStart w:id="239" w:name="_Toc184314425"/>
      <w:bookmarkEnd w:id="239"/>
      <w:bookmarkStart w:id="240" w:name="_Toc184314446"/>
      <w:bookmarkEnd w:id="240"/>
      <w:bookmarkStart w:id="241" w:name="_Toc184313274"/>
      <w:bookmarkEnd w:id="241"/>
      <w:bookmarkStart w:id="242" w:name="_Toc184314473"/>
      <w:bookmarkEnd w:id="242"/>
      <w:bookmarkStart w:id="243" w:name="_Toc184312107"/>
      <w:bookmarkEnd w:id="243"/>
      <w:bookmarkStart w:id="244" w:name="_Toc184314453"/>
      <w:bookmarkEnd w:id="244"/>
      <w:bookmarkStart w:id="245" w:name="_Toc184314412"/>
      <w:bookmarkEnd w:id="245"/>
      <w:bookmarkStart w:id="246" w:name="_Toc184313294"/>
      <w:bookmarkEnd w:id="246"/>
      <w:bookmarkStart w:id="247" w:name="_Toc184313257"/>
      <w:bookmarkEnd w:id="247"/>
      <w:bookmarkStart w:id="248" w:name="_Toc184313307"/>
      <w:bookmarkEnd w:id="248"/>
      <w:bookmarkStart w:id="249" w:name="_Toc184312095"/>
      <w:bookmarkEnd w:id="249"/>
      <w:bookmarkStart w:id="250" w:name="_Toc184312091"/>
      <w:bookmarkEnd w:id="250"/>
      <w:bookmarkStart w:id="251" w:name="_Toc184308075"/>
      <w:bookmarkEnd w:id="251"/>
      <w:bookmarkStart w:id="252" w:name="_Toc184308045"/>
      <w:bookmarkEnd w:id="252"/>
      <w:bookmarkStart w:id="253" w:name="_Toc184314454"/>
      <w:bookmarkEnd w:id="253"/>
      <w:bookmarkStart w:id="254" w:name="_Toc184312090"/>
      <w:bookmarkEnd w:id="254"/>
      <w:bookmarkStart w:id="255" w:name="_Toc184314472"/>
      <w:bookmarkEnd w:id="255"/>
      <w:bookmarkStart w:id="256" w:name="_Toc184310333"/>
      <w:bookmarkEnd w:id="256"/>
      <w:bookmarkStart w:id="257" w:name="_Toc184308095"/>
      <w:bookmarkEnd w:id="257"/>
      <w:bookmarkStart w:id="258" w:name="_Toc184312115"/>
      <w:bookmarkEnd w:id="258"/>
      <w:bookmarkStart w:id="259" w:name="_Toc184312088"/>
      <w:bookmarkEnd w:id="259"/>
      <w:bookmarkStart w:id="260" w:name="_Toc184314417"/>
      <w:bookmarkEnd w:id="260"/>
      <w:bookmarkStart w:id="261" w:name="_Toc184312113"/>
      <w:bookmarkEnd w:id="261"/>
      <w:bookmarkStart w:id="262" w:name="_Toc184313284"/>
      <w:bookmarkEnd w:id="262"/>
      <w:bookmarkStart w:id="263" w:name="_Toc184308047"/>
      <w:bookmarkEnd w:id="263"/>
      <w:bookmarkStart w:id="264" w:name="_Toc184312099"/>
      <w:bookmarkEnd w:id="264"/>
      <w:bookmarkStart w:id="265" w:name="_Toc184308088"/>
      <w:bookmarkEnd w:id="265"/>
      <w:bookmarkStart w:id="266" w:name="_Toc184312129"/>
      <w:bookmarkEnd w:id="266"/>
      <w:bookmarkStart w:id="267" w:name="_Toc184308042"/>
      <w:bookmarkEnd w:id="267"/>
      <w:bookmarkStart w:id="268" w:name="_Toc184312119"/>
      <w:bookmarkEnd w:id="268"/>
      <w:bookmarkStart w:id="269" w:name="_Toc184314418"/>
      <w:bookmarkEnd w:id="269"/>
      <w:bookmarkStart w:id="270" w:name="_Toc184312068"/>
      <w:bookmarkEnd w:id="270"/>
      <w:bookmarkStart w:id="271" w:name="_Toc184310331"/>
      <w:bookmarkEnd w:id="271"/>
      <w:bookmarkStart w:id="272" w:name="_Toc184308046"/>
      <w:bookmarkEnd w:id="272"/>
      <w:bookmarkStart w:id="273" w:name="_Toc184314440"/>
      <w:bookmarkEnd w:id="273"/>
      <w:bookmarkStart w:id="274" w:name="_Toc184314415"/>
      <w:bookmarkEnd w:id="274"/>
      <w:bookmarkStart w:id="275" w:name="_Toc184308086"/>
      <w:bookmarkEnd w:id="275"/>
      <w:bookmarkStart w:id="276" w:name="_Toc184310284"/>
      <w:bookmarkEnd w:id="276"/>
      <w:bookmarkStart w:id="277" w:name="_Toc184313250"/>
      <w:bookmarkEnd w:id="277"/>
      <w:bookmarkStart w:id="278" w:name="_Toc184308081"/>
      <w:bookmarkEnd w:id="278"/>
      <w:bookmarkStart w:id="279" w:name="_Toc184312133"/>
      <w:bookmarkEnd w:id="279"/>
      <w:bookmarkStart w:id="280" w:name="_Toc184310326"/>
      <w:bookmarkEnd w:id="280"/>
      <w:bookmarkStart w:id="281" w:name="_Toc184310321"/>
      <w:bookmarkEnd w:id="281"/>
      <w:bookmarkStart w:id="282" w:name="_Toc184308100"/>
      <w:bookmarkEnd w:id="282"/>
      <w:bookmarkStart w:id="283" w:name="_Toc184312120"/>
      <w:bookmarkEnd w:id="283"/>
      <w:bookmarkStart w:id="284" w:name="_Toc184314466"/>
      <w:bookmarkEnd w:id="284"/>
      <w:bookmarkStart w:id="285" w:name="_Toc184314467"/>
      <w:bookmarkEnd w:id="285"/>
      <w:bookmarkStart w:id="286" w:name="_Toc184310285"/>
      <w:bookmarkEnd w:id="286"/>
      <w:bookmarkStart w:id="287" w:name="_Toc184314420"/>
      <w:bookmarkEnd w:id="287"/>
      <w:bookmarkStart w:id="288" w:name="_Toc184310332"/>
      <w:bookmarkEnd w:id="288"/>
      <w:bookmarkStart w:id="289" w:name="_Toc184312096"/>
      <w:bookmarkEnd w:id="289"/>
      <w:bookmarkStart w:id="290" w:name="_Toc184312126"/>
      <w:bookmarkEnd w:id="290"/>
      <w:bookmarkStart w:id="291" w:name="_Toc184310286"/>
      <w:bookmarkEnd w:id="291"/>
      <w:bookmarkStart w:id="292" w:name="_Toc184308082"/>
      <w:bookmarkEnd w:id="292"/>
      <w:bookmarkStart w:id="293" w:name="_Toc184313273"/>
      <w:bookmarkEnd w:id="293"/>
      <w:bookmarkStart w:id="294" w:name="_Toc184312108"/>
      <w:bookmarkEnd w:id="294"/>
      <w:bookmarkStart w:id="295" w:name="_Toc184308049"/>
      <w:bookmarkEnd w:id="295"/>
      <w:bookmarkStart w:id="296" w:name="_Toc184310310"/>
      <w:bookmarkEnd w:id="296"/>
      <w:bookmarkStart w:id="297" w:name="_Toc184313252"/>
      <w:bookmarkEnd w:id="297"/>
      <w:bookmarkStart w:id="298" w:name="_Toc184312089"/>
      <w:bookmarkEnd w:id="298"/>
      <w:bookmarkStart w:id="299" w:name="_Toc184314448"/>
      <w:bookmarkEnd w:id="299"/>
      <w:bookmarkStart w:id="300" w:name="_Toc184314422"/>
      <w:bookmarkEnd w:id="300"/>
      <w:bookmarkStart w:id="301" w:name="_Toc184313302"/>
      <w:bookmarkEnd w:id="301"/>
      <w:bookmarkStart w:id="302" w:name="_Toc184314423"/>
      <w:bookmarkEnd w:id="302"/>
      <w:bookmarkStart w:id="303" w:name="_Toc184313282"/>
      <w:bookmarkEnd w:id="303"/>
      <w:bookmarkStart w:id="304" w:name="_Toc184312114"/>
      <w:bookmarkEnd w:id="304"/>
      <w:bookmarkStart w:id="305" w:name="_Toc184314413"/>
      <w:bookmarkEnd w:id="305"/>
      <w:bookmarkStart w:id="306" w:name="_Toc184308092"/>
      <w:bookmarkEnd w:id="306"/>
      <w:bookmarkStart w:id="307" w:name="_Toc184313279"/>
      <w:bookmarkEnd w:id="307"/>
      <w:bookmarkStart w:id="308" w:name="_Toc184308074"/>
      <w:bookmarkEnd w:id="308"/>
      <w:bookmarkStart w:id="309" w:name="_Toc184314459"/>
      <w:bookmarkEnd w:id="309"/>
      <w:bookmarkStart w:id="310" w:name="_Toc184313249"/>
      <w:bookmarkEnd w:id="310"/>
      <w:bookmarkStart w:id="311" w:name="_Toc184314451"/>
      <w:bookmarkEnd w:id="311"/>
      <w:bookmarkStart w:id="312" w:name="_Toc184314470"/>
      <w:bookmarkEnd w:id="312"/>
      <w:bookmarkStart w:id="313" w:name="_Toc184313304"/>
      <w:bookmarkEnd w:id="313"/>
      <w:bookmarkStart w:id="314" w:name="_Toc184310290"/>
      <w:bookmarkEnd w:id="314"/>
      <w:bookmarkStart w:id="315" w:name="_Toc184314445"/>
      <w:bookmarkEnd w:id="315"/>
      <w:bookmarkStart w:id="316" w:name="_Toc184314429"/>
      <w:bookmarkEnd w:id="316"/>
      <w:bookmarkStart w:id="317" w:name="_Toc184310289"/>
      <w:bookmarkEnd w:id="317"/>
      <w:bookmarkStart w:id="318" w:name="_Toc184313261"/>
      <w:bookmarkEnd w:id="318"/>
      <w:bookmarkStart w:id="319" w:name="_Toc184310297"/>
      <w:bookmarkEnd w:id="319"/>
      <w:bookmarkStart w:id="320" w:name="_Toc184314421"/>
      <w:bookmarkEnd w:id="320"/>
      <w:bookmarkStart w:id="321" w:name="_Toc184313297"/>
      <w:bookmarkEnd w:id="321"/>
      <w:bookmarkStart w:id="322" w:name="_Toc184308090"/>
      <w:bookmarkEnd w:id="322"/>
      <w:bookmarkStart w:id="323" w:name="_Toc184308077"/>
      <w:bookmarkEnd w:id="323"/>
      <w:bookmarkStart w:id="324" w:name="_Toc184312124"/>
      <w:bookmarkEnd w:id="324"/>
      <w:bookmarkStart w:id="325" w:name="_Toc184313242"/>
      <w:bookmarkEnd w:id="325"/>
      <w:bookmarkStart w:id="326" w:name="_Toc184312134"/>
      <w:bookmarkEnd w:id="326"/>
      <w:bookmarkStart w:id="327" w:name="_Toc184310273"/>
      <w:bookmarkEnd w:id="327"/>
      <w:bookmarkStart w:id="328" w:name="_Toc184310298"/>
      <w:bookmarkEnd w:id="328"/>
      <w:bookmarkStart w:id="329" w:name="_Toc184312097"/>
      <w:bookmarkEnd w:id="329"/>
      <w:bookmarkStart w:id="330" w:name="_Toc184313290"/>
      <w:bookmarkEnd w:id="330"/>
      <w:bookmarkStart w:id="331" w:name="_Toc184308063"/>
      <w:bookmarkEnd w:id="331"/>
      <w:bookmarkStart w:id="332" w:name="_Toc184314432"/>
      <w:bookmarkEnd w:id="332"/>
      <w:bookmarkStart w:id="333" w:name="_Toc184308038"/>
      <w:bookmarkEnd w:id="333"/>
      <w:bookmarkStart w:id="334" w:name="_Toc184310338"/>
      <w:bookmarkEnd w:id="334"/>
      <w:bookmarkStart w:id="335" w:name="_Toc184308094"/>
      <w:bookmarkEnd w:id="335"/>
      <w:bookmarkStart w:id="336" w:name="_Toc184310281"/>
      <w:bookmarkEnd w:id="336"/>
      <w:bookmarkStart w:id="337" w:name="_Toc184308108"/>
      <w:bookmarkEnd w:id="337"/>
      <w:bookmarkStart w:id="338" w:name="_Toc184314463"/>
      <w:bookmarkEnd w:id="338"/>
      <w:bookmarkStart w:id="339" w:name="_Toc184310316"/>
      <w:bookmarkEnd w:id="339"/>
      <w:bookmarkStart w:id="340" w:name="_Toc184314479"/>
      <w:bookmarkEnd w:id="340"/>
      <w:bookmarkStart w:id="341" w:name="_Toc184314434"/>
      <w:bookmarkEnd w:id="341"/>
      <w:bookmarkStart w:id="342" w:name="_Toc184308052"/>
      <w:bookmarkEnd w:id="342"/>
      <w:bookmarkStart w:id="343" w:name="_Toc184314480"/>
      <w:bookmarkEnd w:id="343"/>
      <w:bookmarkStart w:id="344" w:name="_Toc184312118"/>
      <w:bookmarkEnd w:id="344"/>
      <w:bookmarkStart w:id="345" w:name="_Toc184313309"/>
      <w:bookmarkEnd w:id="345"/>
      <w:bookmarkStart w:id="346" w:name="_Toc184313305"/>
      <w:bookmarkEnd w:id="346"/>
      <w:bookmarkStart w:id="347" w:name="_Toc184314444"/>
      <w:bookmarkEnd w:id="347"/>
      <w:bookmarkStart w:id="348" w:name="_Toc184310282"/>
      <w:bookmarkEnd w:id="348"/>
      <w:bookmarkStart w:id="349" w:name="_Toc184312094"/>
      <w:bookmarkEnd w:id="349"/>
      <w:bookmarkStart w:id="350" w:name="_Toc184314455"/>
      <w:bookmarkEnd w:id="350"/>
      <w:bookmarkStart w:id="351" w:name="_Toc184308091"/>
      <w:bookmarkEnd w:id="351"/>
      <w:bookmarkStart w:id="352" w:name="_Toc184308085"/>
      <w:bookmarkEnd w:id="352"/>
      <w:bookmarkStart w:id="353" w:name="_Toc184308099"/>
      <w:bookmarkEnd w:id="353"/>
      <w:bookmarkStart w:id="354" w:name="_Toc184313310"/>
      <w:bookmarkEnd w:id="354"/>
      <w:bookmarkStart w:id="355" w:name="_Toc184310296"/>
      <w:bookmarkEnd w:id="355"/>
      <w:bookmarkStart w:id="356" w:name="_Toc184308098"/>
      <w:bookmarkEnd w:id="356"/>
      <w:bookmarkStart w:id="357" w:name="_Toc184310344"/>
      <w:bookmarkEnd w:id="357"/>
      <w:bookmarkStart w:id="358" w:name="_Toc184312128"/>
      <w:bookmarkEnd w:id="358"/>
      <w:bookmarkStart w:id="359" w:name="_Toc184310337"/>
      <w:bookmarkEnd w:id="359"/>
      <w:bookmarkStart w:id="360" w:name="_Toc184308057"/>
      <w:bookmarkEnd w:id="360"/>
      <w:bookmarkStart w:id="361" w:name="_Toc184308106"/>
      <w:bookmarkEnd w:id="361"/>
      <w:bookmarkStart w:id="362" w:name="_Toc184313278"/>
      <w:bookmarkEnd w:id="362"/>
      <w:bookmarkStart w:id="363" w:name="_Toc184314436"/>
      <w:bookmarkEnd w:id="363"/>
      <w:bookmarkStart w:id="364" w:name="_Toc184314419"/>
      <w:bookmarkEnd w:id="364"/>
      <w:bookmarkStart w:id="365" w:name="_Toc184310330"/>
      <w:bookmarkEnd w:id="365"/>
      <w:bookmarkStart w:id="366" w:name="_Toc184312082"/>
      <w:bookmarkEnd w:id="366"/>
      <w:bookmarkStart w:id="367" w:name="_Toc184312121"/>
      <w:bookmarkEnd w:id="367"/>
      <w:bookmarkStart w:id="368" w:name="_Toc184312067"/>
      <w:bookmarkEnd w:id="368"/>
      <w:bookmarkStart w:id="369" w:name="_Toc184312073"/>
      <w:bookmarkEnd w:id="369"/>
      <w:bookmarkStart w:id="370" w:name="_Toc184310303"/>
      <w:bookmarkEnd w:id="370"/>
      <w:bookmarkStart w:id="371" w:name="_Toc184312132"/>
      <w:bookmarkEnd w:id="371"/>
      <w:bookmarkStart w:id="372" w:name="_Toc184308043"/>
      <w:bookmarkEnd w:id="372"/>
      <w:bookmarkStart w:id="373" w:name="_Toc184313258"/>
      <w:bookmarkEnd w:id="373"/>
      <w:bookmarkStart w:id="374" w:name="_Toc184312078"/>
      <w:bookmarkEnd w:id="374"/>
      <w:bookmarkStart w:id="375" w:name="_Toc184312104"/>
      <w:bookmarkEnd w:id="375"/>
      <w:bookmarkStart w:id="376" w:name="_Toc184310312"/>
      <w:bookmarkEnd w:id="376"/>
      <w:bookmarkStart w:id="377" w:name="_Toc184308036"/>
      <w:bookmarkEnd w:id="377"/>
      <w:bookmarkStart w:id="378" w:name="_Toc184312080"/>
      <w:bookmarkEnd w:id="378"/>
      <w:bookmarkStart w:id="379" w:name="_Toc184308072"/>
      <w:bookmarkEnd w:id="379"/>
      <w:bookmarkStart w:id="380" w:name="_Toc184312087"/>
      <w:bookmarkEnd w:id="380"/>
      <w:bookmarkStart w:id="381" w:name="_Toc184313266"/>
      <w:bookmarkEnd w:id="381"/>
      <w:bookmarkStart w:id="382" w:name="_Toc184308039"/>
      <w:bookmarkEnd w:id="382"/>
      <w:bookmarkStart w:id="383" w:name="_Toc184313238"/>
      <w:bookmarkEnd w:id="383"/>
      <w:bookmarkStart w:id="384" w:name="_Toc184308069"/>
      <w:bookmarkEnd w:id="384"/>
      <w:bookmarkStart w:id="385" w:name="_Toc184310299"/>
      <w:bookmarkEnd w:id="385"/>
      <w:bookmarkStart w:id="386" w:name="_Toc184313269"/>
      <w:bookmarkEnd w:id="386"/>
      <w:bookmarkStart w:id="387" w:name="_Toc184312139"/>
      <w:bookmarkEnd w:id="387"/>
      <w:bookmarkStart w:id="388" w:name="_Toc184313303"/>
      <w:bookmarkEnd w:id="388"/>
      <w:bookmarkStart w:id="389" w:name="_Toc184314450"/>
      <w:bookmarkEnd w:id="389"/>
      <w:bookmarkStart w:id="390" w:name="_Toc184313275"/>
      <w:bookmarkEnd w:id="390"/>
      <w:bookmarkStart w:id="391" w:name="_Toc184312123"/>
      <w:bookmarkEnd w:id="391"/>
      <w:bookmarkStart w:id="392" w:name="_Toc184314427"/>
      <w:bookmarkEnd w:id="392"/>
      <w:r>
        <w:rPr>
          <w:rFonts w:hint="eastAsia" w:ascii="宋体" w:hAnsi="宋体" w:eastAsia="宋体" w:cs="宋体"/>
          <w:b/>
          <w:color w:val="auto"/>
          <w:sz w:val="36"/>
          <w:szCs w:val="36"/>
          <w:highlight w:val="none"/>
        </w:rPr>
        <w:t>评标办法</w:t>
      </w:r>
    </w:p>
    <w:p w14:paraId="52599CF6">
      <w:pPr>
        <w:snapToGrid w:val="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288"/>
        <w:gridCol w:w="4352"/>
        <w:gridCol w:w="715"/>
        <w:gridCol w:w="1039"/>
        <w:gridCol w:w="1375"/>
      </w:tblGrid>
      <w:tr w14:paraId="4224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1" w:type="dxa"/>
            <w:noWrap w:val="0"/>
            <w:vAlign w:val="center"/>
          </w:tcPr>
          <w:p w14:paraId="31938AFB">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288" w:type="dxa"/>
            <w:noWrap w:val="0"/>
            <w:vAlign w:val="center"/>
          </w:tcPr>
          <w:p w14:paraId="7A26DF48">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评分内容</w:t>
            </w:r>
          </w:p>
        </w:tc>
        <w:tc>
          <w:tcPr>
            <w:tcW w:w="4352" w:type="dxa"/>
            <w:noWrap w:val="0"/>
            <w:vAlign w:val="center"/>
          </w:tcPr>
          <w:p w14:paraId="624956E0">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715" w:type="dxa"/>
            <w:noWrap w:val="0"/>
            <w:vAlign w:val="center"/>
          </w:tcPr>
          <w:p w14:paraId="65EF2D91">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权值</w:t>
            </w:r>
          </w:p>
        </w:tc>
        <w:tc>
          <w:tcPr>
            <w:tcW w:w="1039" w:type="dxa"/>
            <w:noWrap w:val="0"/>
            <w:vAlign w:val="center"/>
          </w:tcPr>
          <w:p w14:paraId="1926B954">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375" w:type="dxa"/>
            <w:noWrap w:val="0"/>
            <w:vAlign w:val="center"/>
          </w:tcPr>
          <w:p w14:paraId="61022D45">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6086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noWrap w:val="0"/>
            <w:vAlign w:val="center"/>
          </w:tcPr>
          <w:p w14:paraId="1B8B5DC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88" w:type="dxa"/>
            <w:noWrap w:val="0"/>
            <w:vAlign w:val="center"/>
          </w:tcPr>
          <w:p w14:paraId="35C96C8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w:t>
            </w:r>
          </w:p>
        </w:tc>
        <w:tc>
          <w:tcPr>
            <w:tcW w:w="4352" w:type="dxa"/>
            <w:noWrap w:val="0"/>
            <w:vAlign w:val="center"/>
          </w:tcPr>
          <w:p w14:paraId="31C39E07">
            <w:pPr>
              <w:widowControl/>
              <w:snapToGrid w:val="0"/>
              <w:spacing w:line="340" w:lineRule="exac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投标人通过质量认证体系的，得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通过环境认证体系的，得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通过</w:t>
            </w:r>
            <w:r>
              <w:rPr>
                <w:rFonts w:hint="eastAsia" w:ascii="宋体" w:hAnsi="宋体" w:eastAsia="宋体" w:cs="宋体"/>
                <w:color w:val="auto"/>
                <w:szCs w:val="21"/>
                <w:highlight w:val="none"/>
                <w:lang w:eastAsia="zh-CN"/>
              </w:rPr>
              <w:t>职业健康安全管理体系</w:t>
            </w:r>
            <w:r>
              <w:rPr>
                <w:rFonts w:hint="eastAsia" w:ascii="宋体" w:hAnsi="宋体" w:eastAsia="宋体" w:cs="宋体"/>
                <w:color w:val="auto"/>
                <w:szCs w:val="21"/>
                <w:highlight w:val="none"/>
                <w:lang w:val="en-US" w:eastAsia="zh-CN"/>
              </w:rPr>
              <w:t>认证的，得1分。</w:t>
            </w:r>
          </w:p>
          <w:p w14:paraId="725C0F71">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证明材料：有效期内的体系认证证书，复印件加盖公章。</w:t>
            </w:r>
          </w:p>
        </w:tc>
        <w:tc>
          <w:tcPr>
            <w:tcW w:w="715" w:type="dxa"/>
            <w:noWrap w:val="0"/>
            <w:vAlign w:val="center"/>
          </w:tcPr>
          <w:p w14:paraId="32BCAE84">
            <w:pPr>
              <w:widowControl/>
              <w:snapToGrid w:val="0"/>
              <w:spacing w:line="34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039" w:type="dxa"/>
            <w:noWrap w:val="0"/>
            <w:vAlign w:val="center"/>
          </w:tcPr>
          <w:p w14:paraId="455D40DB">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w:t>
            </w:r>
          </w:p>
        </w:tc>
        <w:tc>
          <w:tcPr>
            <w:tcW w:w="1375" w:type="dxa"/>
            <w:noWrap w:val="0"/>
            <w:vAlign w:val="center"/>
          </w:tcPr>
          <w:p w14:paraId="65B675C3">
            <w:pPr>
              <w:widowControl/>
              <w:snapToGrid w:val="0"/>
              <w:spacing w:line="340" w:lineRule="exact"/>
              <w:jc w:val="center"/>
              <w:textAlignment w:val="center"/>
              <w:rPr>
                <w:rFonts w:hint="eastAsia" w:ascii="宋体" w:hAnsi="宋体" w:eastAsia="宋体" w:cs="宋体"/>
                <w:color w:val="auto"/>
                <w:szCs w:val="21"/>
                <w:highlight w:val="none"/>
              </w:rPr>
            </w:pPr>
          </w:p>
        </w:tc>
      </w:tr>
      <w:tr w14:paraId="2943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noWrap w:val="0"/>
            <w:vAlign w:val="center"/>
          </w:tcPr>
          <w:p w14:paraId="23E6F55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88" w:type="dxa"/>
            <w:noWrap w:val="0"/>
            <w:vAlign w:val="center"/>
          </w:tcPr>
          <w:p w14:paraId="3942C59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4352" w:type="dxa"/>
            <w:noWrap w:val="0"/>
            <w:vAlign w:val="center"/>
          </w:tcPr>
          <w:p w14:paraId="4D62E112">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投标人提供自投标截止时间前三年以来（自投标截止日起往前追溯3年，以合同签订时间为准）已成功实施的同类项目业绩，每个业绩得1分，最多得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分。有效证明材料为</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合同及竣工验收报告并加盖公章。</w:t>
            </w:r>
          </w:p>
        </w:tc>
        <w:tc>
          <w:tcPr>
            <w:tcW w:w="715" w:type="dxa"/>
            <w:noWrap w:val="0"/>
            <w:vAlign w:val="center"/>
          </w:tcPr>
          <w:p w14:paraId="1FE05CE8">
            <w:pPr>
              <w:widowControl/>
              <w:snapToGrid w:val="0"/>
              <w:spacing w:line="34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039" w:type="dxa"/>
            <w:noWrap w:val="0"/>
            <w:vAlign w:val="center"/>
          </w:tcPr>
          <w:p w14:paraId="653E52EB">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w:t>
            </w:r>
          </w:p>
        </w:tc>
        <w:tc>
          <w:tcPr>
            <w:tcW w:w="1375" w:type="dxa"/>
            <w:noWrap w:val="0"/>
            <w:vAlign w:val="center"/>
          </w:tcPr>
          <w:p w14:paraId="7C0D9ED4">
            <w:pPr>
              <w:widowControl/>
              <w:snapToGrid w:val="0"/>
              <w:spacing w:line="340" w:lineRule="exact"/>
              <w:jc w:val="center"/>
              <w:textAlignment w:val="center"/>
              <w:rPr>
                <w:rFonts w:hint="eastAsia" w:ascii="宋体" w:hAnsi="宋体" w:eastAsia="宋体" w:cs="宋体"/>
                <w:color w:val="auto"/>
                <w:szCs w:val="21"/>
                <w:highlight w:val="none"/>
              </w:rPr>
            </w:pPr>
          </w:p>
        </w:tc>
      </w:tr>
      <w:tr w14:paraId="5753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noWrap w:val="0"/>
            <w:vAlign w:val="center"/>
          </w:tcPr>
          <w:p w14:paraId="19F2EC9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88" w:type="dxa"/>
            <w:noWrap w:val="0"/>
            <w:vAlign w:val="center"/>
          </w:tcPr>
          <w:p w14:paraId="6B1DCC2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后续保障服务能力</w:t>
            </w:r>
          </w:p>
        </w:tc>
        <w:tc>
          <w:tcPr>
            <w:tcW w:w="4352" w:type="dxa"/>
            <w:noWrap w:val="0"/>
            <w:vAlign w:val="center"/>
          </w:tcPr>
          <w:p w14:paraId="047672C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投标人设备维保、回收场所的面积范围、距离项目地远近以及服务措施保障等进行评分。（0或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715" w:type="dxa"/>
            <w:noWrap w:val="0"/>
            <w:vAlign w:val="center"/>
          </w:tcPr>
          <w:p w14:paraId="5DEC2AC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39" w:type="dxa"/>
            <w:noWrap w:val="0"/>
            <w:vAlign w:val="center"/>
          </w:tcPr>
          <w:p w14:paraId="4F74F28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w:t>
            </w:r>
          </w:p>
        </w:tc>
        <w:tc>
          <w:tcPr>
            <w:tcW w:w="1375" w:type="dxa"/>
            <w:noWrap w:val="0"/>
            <w:vAlign w:val="center"/>
          </w:tcPr>
          <w:p w14:paraId="59D7AC4B">
            <w:pPr>
              <w:widowControl/>
              <w:snapToGrid w:val="0"/>
              <w:spacing w:line="340" w:lineRule="exact"/>
              <w:jc w:val="center"/>
              <w:textAlignment w:val="center"/>
              <w:rPr>
                <w:rFonts w:hint="eastAsia" w:ascii="宋体" w:hAnsi="宋体" w:eastAsia="宋体" w:cs="宋体"/>
                <w:color w:val="auto"/>
                <w:szCs w:val="21"/>
                <w:highlight w:val="none"/>
              </w:rPr>
            </w:pPr>
          </w:p>
        </w:tc>
      </w:tr>
      <w:tr w14:paraId="19B0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81" w:type="dxa"/>
            <w:vMerge w:val="restart"/>
            <w:noWrap w:val="0"/>
            <w:vAlign w:val="center"/>
          </w:tcPr>
          <w:p w14:paraId="50654DF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88" w:type="dxa"/>
            <w:vMerge w:val="restart"/>
            <w:noWrap w:val="0"/>
            <w:vAlign w:val="center"/>
          </w:tcPr>
          <w:p w14:paraId="4D318875">
            <w:pPr>
              <w:widowControl/>
              <w:wordWrap w:val="0"/>
              <w:snapToGrid w:val="0"/>
              <w:spacing w:line="34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技术</w:t>
            </w:r>
            <w:r>
              <w:rPr>
                <w:rFonts w:hint="eastAsia" w:ascii="宋体" w:hAnsi="宋体" w:eastAsia="宋体" w:cs="宋体"/>
                <w:color w:val="auto"/>
                <w:szCs w:val="21"/>
                <w:highlight w:val="none"/>
                <w:lang w:val="en-US" w:eastAsia="zh-CN"/>
              </w:rPr>
              <w:t>服务</w:t>
            </w:r>
          </w:p>
          <w:p w14:paraId="45836D77">
            <w:pPr>
              <w:widowControl/>
              <w:wordWrap w:val="0"/>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方案</w:t>
            </w:r>
          </w:p>
        </w:tc>
        <w:tc>
          <w:tcPr>
            <w:tcW w:w="4352" w:type="dxa"/>
            <w:noWrap w:val="0"/>
            <w:vAlign w:val="center"/>
          </w:tcPr>
          <w:p w14:paraId="7C411B8D">
            <w:pPr>
              <w:widowControl/>
              <w:wordWrap w:val="0"/>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针对本项目各项管理制度</w:t>
            </w:r>
            <w:r>
              <w:rPr>
                <w:rFonts w:hint="eastAsia" w:ascii="宋体" w:hAnsi="宋体" w:eastAsia="宋体" w:cs="宋体"/>
                <w:color w:val="auto"/>
                <w:szCs w:val="21"/>
                <w:highlight w:val="none"/>
                <w:lang w:val="en-US" w:eastAsia="zh-CN"/>
              </w:rPr>
              <w:t>全面</w:t>
            </w:r>
            <w:r>
              <w:rPr>
                <w:rFonts w:hint="eastAsia" w:ascii="宋体" w:hAnsi="宋体" w:eastAsia="宋体" w:cs="宋体"/>
                <w:color w:val="auto"/>
                <w:szCs w:val="21"/>
                <w:highlight w:val="none"/>
              </w:rPr>
              <w:t>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、合理性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进行综合评分</w:t>
            </w:r>
          </w:p>
        </w:tc>
        <w:tc>
          <w:tcPr>
            <w:tcW w:w="715" w:type="dxa"/>
            <w:noWrap w:val="0"/>
            <w:vAlign w:val="center"/>
          </w:tcPr>
          <w:p w14:paraId="44BAF288">
            <w:pPr>
              <w:widowControl/>
              <w:wordWrap w:val="0"/>
              <w:snapToGrid w:val="0"/>
              <w:spacing w:line="340" w:lineRule="exact"/>
              <w:jc w:val="center"/>
              <w:textAlignment w:val="center"/>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18</w:t>
            </w:r>
          </w:p>
        </w:tc>
        <w:tc>
          <w:tcPr>
            <w:tcW w:w="1039" w:type="dxa"/>
            <w:vMerge w:val="restart"/>
            <w:noWrap w:val="0"/>
            <w:vAlign w:val="center"/>
          </w:tcPr>
          <w:p w14:paraId="779CFE04">
            <w:pPr>
              <w:widowControl/>
              <w:wordWrap w:val="0"/>
              <w:snapToGrid w:val="0"/>
              <w:spacing w:line="34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主</w:t>
            </w:r>
            <w:r>
              <w:rPr>
                <w:rFonts w:hint="eastAsia" w:ascii="宋体" w:hAnsi="宋体" w:eastAsia="宋体" w:cs="宋体"/>
                <w:color w:val="auto"/>
                <w:szCs w:val="21"/>
                <w:highlight w:val="none"/>
              </w:rPr>
              <w:t>观</w:t>
            </w:r>
          </w:p>
        </w:tc>
        <w:tc>
          <w:tcPr>
            <w:tcW w:w="1375" w:type="dxa"/>
            <w:noWrap w:val="0"/>
            <w:vAlign w:val="center"/>
          </w:tcPr>
          <w:p w14:paraId="0E1D28D8">
            <w:pPr>
              <w:widowControl/>
              <w:snapToGrid w:val="0"/>
              <w:spacing w:line="340" w:lineRule="exact"/>
              <w:jc w:val="center"/>
              <w:textAlignment w:val="center"/>
              <w:rPr>
                <w:rFonts w:hint="eastAsia" w:ascii="宋体" w:hAnsi="宋体" w:eastAsia="宋体" w:cs="宋体"/>
                <w:color w:val="auto"/>
                <w:szCs w:val="21"/>
                <w:highlight w:val="none"/>
              </w:rPr>
            </w:pPr>
          </w:p>
        </w:tc>
      </w:tr>
      <w:tr w14:paraId="179E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81" w:type="dxa"/>
            <w:vMerge w:val="continue"/>
            <w:noWrap w:val="0"/>
            <w:vAlign w:val="center"/>
          </w:tcPr>
          <w:p w14:paraId="50A777F0">
            <w:pPr>
              <w:snapToGrid w:val="0"/>
              <w:jc w:val="center"/>
              <w:rPr>
                <w:rFonts w:hint="eastAsia" w:ascii="宋体" w:hAnsi="宋体" w:eastAsia="宋体" w:cs="宋体"/>
                <w:color w:val="auto"/>
                <w:szCs w:val="21"/>
                <w:highlight w:val="none"/>
              </w:rPr>
            </w:pPr>
          </w:p>
        </w:tc>
        <w:tc>
          <w:tcPr>
            <w:tcW w:w="1288" w:type="dxa"/>
            <w:vMerge w:val="continue"/>
            <w:noWrap w:val="0"/>
            <w:vAlign w:val="center"/>
          </w:tcPr>
          <w:p w14:paraId="53A74231">
            <w:pPr>
              <w:widowControl/>
              <w:wordWrap w:val="0"/>
              <w:snapToGrid w:val="0"/>
              <w:spacing w:line="340" w:lineRule="exact"/>
              <w:jc w:val="center"/>
              <w:textAlignment w:val="center"/>
              <w:rPr>
                <w:rFonts w:hint="eastAsia" w:ascii="宋体" w:hAnsi="宋体" w:eastAsia="宋体" w:cs="宋体"/>
                <w:color w:val="auto"/>
                <w:szCs w:val="21"/>
                <w:highlight w:val="none"/>
              </w:rPr>
            </w:pPr>
          </w:p>
        </w:tc>
        <w:tc>
          <w:tcPr>
            <w:tcW w:w="4352" w:type="dxa"/>
            <w:noWrap w:val="0"/>
            <w:vAlign w:val="center"/>
          </w:tcPr>
          <w:p w14:paraId="1A3A97DF">
            <w:pPr>
              <w:widowControl/>
              <w:numPr>
                <w:ilvl w:val="0"/>
                <w:numId w:val="0"/>
              </w:numPr>
              <w:wordWrap w:val="0"/>
              <w:snapToGrid w:val="0"/>
              <w:spacing w:line="340" w:lineRule="exac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根据投标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制定的</w:t>
            </w:r>
          </w:p>
          <w:p w14:paraId="79EC857F">
            <w:pPr>
              <w:widowControl/>
              <w:numPr>
                <w:ilvl w:val="0"/>
                <w:numId w:val="0"/>
              </w:numPr>
              <w:wordWrap w:val="0"/>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质量保证措施（0-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分）、安全措施（0-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分）、管理措施（0-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分）的合理性、完整性进行综合评分</w:t>
            </w:r>
          </w:p>
        </w:tc>
        <w:tc>
          <w:tcPr>
            <w:tcW w:w="715" w:type="dxa"/>
            <w:noWrap w:val="0"/>
            <w:vAlign w:val="center"/>
          </w:tcPr>
          <w:p w14:paraId="5E1F536C">
            <w:pPr>
              <w:widowControl/>
              <w:wordWrap w:val="0"/>
              <w:snapToGrid w:val="0"/>
              <w:spacing w:line="340" w:lineRule="exact"/>
              <w:jc w:val="center"/>
              <w:textAlignment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15</w:t>
            </w:r>
          </w:p>
        </w:tc>
        <w:tc>
          <w:tcPr>
            <w:tcW w:w="1039" w:type="dxa"/>
            <w:vMerge w:val="continue"/>
            <w:noWrap w:val="0"/>
            <w:vAlign w:val="center"/>
          </w:tcPr>
          <w:p w14:paraId="7F0C690A">
            <w:pPr>
              <w:widowControl/>
              <w:wordWrap w:val="0"/>
              <w:snapToGrid w:val="0"/>
              <w:spacing w:line="340" w:lineRule="exact"/>
              <w:jc w:val="left"/>
              <w:textAlignment w:val="center"/>
              <w:rPr>
                <w:rFonts w:hint="eastAsia" w:ascii="宋体" w:hAnsi="宋体" w:eastAsia="宋体" w:cs="宋体"/>
                <w:color w:val="auto"/>
                <w:szCs w:val="21"/>
                <w:highlight w:val="none"/>
              </w:rPr>
            </w:pPr>
          </w:p>
        </w:tc>
        <w:tc>
          <w:tcPr>
            <w:tcW w:w="1375" w:type="dxa"/>
            <w:noWrap w:val="0"/>
            <w:vAlign w:val="center"/>
          </w:tcPr>
          <w:p w14:paraId="46C102A7">
            <w:pPr>
              <w:widowControl/>
              <w:snapToGrid w:val="0"/>
              <w:spacing w:line="340" w:lineRule="exact"/>
              <w:jc w:val="center"/>
              <w:textAlignment w:val="center"/>
              <w:rPr>
                <w:rFonts w:hint="eastAsia" w:ascii="宋体" w:hAnsi="宋体" w:eastAsia="宋体" w:cs="宋体"/>
                <w:color w:val="auto"/>
                <w:szCs w:val="21"/>
                <w:highlight w:val="none"/>
              </w:rPr>
            </w:pPr>
          </w:p>
        </w:tc>
      </w:tr>
      <w:tr w14:paraId="378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81" w:type="dxa"/>
            <w:vMerge w:val="continue"/>
            <w:noWrap w:val="0"/>
            <w:vAlign w:val="center"/>
          </w:tcPr>
          <w:p w14:paraId="3CB47C72">
            <w:pPr>
              <w:snapToGrid w:val="0"/>
              <w:jc w:val="center"/>
              <w:rPr>
                <w:rFonts w:hint="eastAsia" w:ascii="宋体" w:hAnsi="宋体" w:eastAsia="宋体" w:cs="宋体"/>
                <w:color w:val="auto"/>
                <w:szCs w:val="21"/>
                <w:highlight w:val="none"/>
              </w:rPr>
            </w:pPr>
          </w:p>
        </w:tc>
        <w:tc>
          <w:tcPr>
            <w:tcW w:w="1288" w:type="dxa"/>
            <w:vMerge w:val="continue"/>
            <w:noWrap w:val="0"/>
            <w:vAlign w:val="center"/>
          </w:tcPr>
          <w:p w14:paraId="6ED605B9">
            <w:pPr>
              <w:widowControl/>
              <w:wordWrap w:val="0"/>
              <w:snapToGrid w:val="0"/>
              <w:spacing w:line="340" w:lineRule="exact"/>
              <w:jc w:val="center"/>
              <w:textAlignment w:val="center"/>
              <w:rPr>
                <w:rFonts w:hint="eastAsia" w:ascii="宋体" w:hAnsi="宋体" w:eastAsia="宋体" w:cs="宋体"/>
                <w:color w:val="auto"/>
                <w:szCs w:val="21"/>
                <w:highlight w:val="none"/>
              </w:rPr>
            </w:pPr>
          </w:p>
        </w:tc>
        <w:tc>
          <w:tcPr>
            <w:tcW w:w="4352" w:type="dxa"/>
            <w:noWrap w:val="0"/>
            <w:vAlign w:val="center"/>
          </w:tcPr>
          <w:p w14:paraId="5FF371B4">
            <w:pPr>
              <w:widowControl/>
              <w:wordWrap w:val="0"/>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bCs w:val="0"/>
                <w:color w:val="auto"/>
                <w:szCs w:val="21"/>
                <w:highlight w:val="none"/>
              </w:rPr>
              <w:t>拟派人员的业务培训、</w:t>
            </w:r>
            <w:r>
              <w:rPr>
                <w:rFonts w:hint="eastAsia" w:ascii="宋体" w:hAnsi="宋体" w:eastAsia="宋体" w:cs="宋体"/>
                <w:color w:val="auto"/>
                <w:szCs w:val="21"/>
                <w:highlight w:val="none"/>
              </w:rPr>
              <w:t>安全文明礼貌的承诺及</w:t>
            </w:r>
            <w:r>
              <w:rPr>
                <w:rFonts w:hint="eastAsia" w:ascii="宋体" w:hAnsi="宋体" w:eastAsia="宋体" w:cs="宋体"/>
                <w:color w:val="auto"/>
                <w:szCs w:val="21"/>
                <w:highlight w:val="none"/>
                <w:lang w:val="en-US" w:eastAsia="zh-CN"/>
              </w:rPr>
              <w:t>规范化服务</w:t>
            </w:r>
            <w:r>
              <w:rPr>
                <w:rFonts w:hint="eastAsia" w:ascii="宋体" w:hAnsi="宋体" w:eastAsia="宋体" w:cs="宋体"/>
                <w:color w:val="auto"/>
                <w:szCs w:val="21"/>
                <w:highlight w:val="none"/>
              </w:rPr>
              <w:t>。（0或</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715" w:type="dxa"/>
            <w:noWrap w:val="0"/>
            <w:vAlign w:val="center"/>
          </w:tcPr>
          <w:p w14:paraId="1BD55B5C">
            <w:pPr>
              <w:widowControl/>
              <w:wordWrap w:val="0"/>
              <w:snapToGrid w:val="0"/>
              <w:spacing w:line="3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039" w:type="dxa"/>
            <w:vMerge w:val="continue"/>
            <w:noWrap w:val="0"/>
            <w:vAlign w:val="center"/>
          </w:tcPr>
          <w:p w14:paraId="6F9FF940">
            <w:pPr>
              <w:widowControl/>
              <w:wordWrap w:val="0"/>
              <w:snapToGrid w:val="0"/>
              <w:spacing w:line="340" w:lineRule="exact"/>
              <w:jc w:val="left"/>
              <w:textAlignment w:val="center"/>
              <w:rPr>
                <w:rFonts w:hint="eastAsia" w:ascii="宋体" w:hAnsi="宋体" w:eastAsia="宋体" w:cs="宋体"/>
                <w:color w:val="auto"/>
                <w:szCs w:val="21"/>
                <w:highlight w:val="none"/>
              </w:rPr>
            </w:pPr>
          </w:p>
        </w:tc>
        <w:tc>
          <w:tcPr>
            <w:tcW w:w="1375" w:type="dxa"/>
            <w:vMerge w:val="restart"/>
            <w:noWrap w:val="0"/>
            <w:vAlign w:val="center"/>
          </w:tcPr>
          <w:p w14:paraId="23D7750D">
            <w:pPr>
              <w:widowControl/>
              <w:snapToGrid w:val="0"/>
              <w:spacing w:line="340" w:lineRule="exact"/>
              <w:jc w:val="center"/>
              <w:textAlignment w:val="center"/>
              <w:rPr>
                <w:rFonts w:hint="eastAsia" w:ascii="宋体" w:hAnsi="宋体" w:eastAsia="宋体" w:cs="宋体"/>
                <w:color w:val="auto"/>
                <w:szCs w:val="21"/>
                <w:highlight w:val="none"/>
              </w:rPr>
            </w:pPr>
          </w:p>
        </w:tc>
      </w:tr>
      <w:tr w14:paraId="4A05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81" w:type="dxa"/>
            <w:vMerge w:val="continue"/>
            <w:noWrap w:val="0"/>
            <w:vAlign w:val="center"/>
          </w:tcPr>
          <w:p w14:paraId="37D23547">
            <w:pPr>
              <w:snapToGrid w:val="0"/>
              <w:jc w:val="center"/>
              <w:rPr>
                <w:rFonts w:hint="eastAsia" w:ascii="宋体" w:hAnsi="宋体" w:eastAsia="宋体" w:cs="宋体"/>
                <w:color w:val="auto"/>
                <w:szCs w:val="21"/>
                <w:highlight w:val="none"/>
              </w:rPr>
            </w:pPr>
          </w:p>
        </w:tc>
        <w:tc>
          <w:tcPr>
            <w:tcW w:w="1288" w:type="dxa"/>
            <w:vMerge w:val="continue"/>
            <w:noWrap w:val="0"/>
            <w:vAlign w:val="center"/>
          </w:tcPr>
          <w:p w14:paraId="4B1B4B52">
            <w:pPr>
              <w:widowControl/>
              <w:wordWrap w:val="0"/>
              <w:snapToGrid w:val="0"/>
              <w:spacing w:line="340" w:lineRule="exact"/>
              <w:jc w:val="center"/>
              <w:textAlignment w:val="center"/>
              <w:rPr>
                <w:rFonts w:hint="eastAsia" w:ascii="宋体" w:hAnsi="宋体" w:eastAsia="宋体" w:cs="宋体"/>
                <w:color w:val="auto"/>
                <w:szCs w:val="21"/>
                <w:highlight w:val="none"/>
              </w:rPr>
            </w:pPr>
          </w:p>
        </w:tc>
        <w:tc>
          <w:tcPr>
            <w:tcW w:w="4352" w:type="dxa"/>
            <w:noWrap w:val="0"/>
            <w:vAlign w:val="center"/>
          </w:tcPr>
          <w:p w14:paraId="3D24CA36">
            <w:pPr>
              <w:widowControl/>
              <w:wordWrap w:val="0"/>
              <w:snapToGrid w:val="0"/>
              <w:spacing w:line="34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应急处理方案，根据应急情况预测的全面性、处理方案及措施是否完整、可行评分。</w:t>
            </w:r>
            <w:r>
              <w:rPr>
                <w:rFonts w:hint="eastAsia" w:ascii="宋体" w:hAnsi="宋体" w:eastAsia="宋体" w:cs="宋体"/>
                <w:bCs w:val="0"/>
                <w:color w:val="auto"/>
                <w:szCs w:val="21"/>
                <w:highlight w:val="none"/>
              </w:rPr>
              <w:t>（</w:t>
            </w:r>
            <w:r>
              <w:rPr>
                <w:rFonts w:hint="eastAsia" w:ascii="宋体" w:hAnsi="宋体" w:eastAsia="宋体" w:cs="宋体"/>
                <w:color w:val="auto"/>
                <w:kern w:val="2"/>
                <w:szCs w:val="21"/>
                <w:highlight w:val="none"/>
              </w:rPr>
              <w:t>0或</w:t>
            </w:r>
            <w:r>
              <w:rPr>
                <w:rFonts w:hint="eastAsia" w:ascii="宋体" w:hAnsi="宋体" w:cs="宋体"/>
                <w:color w:val="auto"/>
                <w:kern w:val="2"/>
                <w:szCs w:val="21"/>
                <w:highlight w:val="none"/>
                <w:lang w:val="en-US" w:eastAsia="zh-CN"/>
              </w:rPr>
              <w:t>6</w:t>
            </w:r>
            <w:r>
              <w:rPr>
                <w:rFonts w:hint="eastAsia" w:ascii="宋体" w:hAnsi="宋体" w:eastAsia="宋体" w:cs="宋体"/>
                <w:color w:val="auto"/>
                <w:kern w:val="2"/>
                <w:szCs w:val="21"/>
                <w:highlight w:val="none"/>
              </w:rPr>
              <w:t>-</w:t>
            </w:r>
            <w:r>
              <w:rPr>
                <w:rFonts w:hint="eastAsia" w:ascii="宋体" w:hAnsi="宋体" w:cs="宋体"/>
                <w:bCs w:val="0"/>
                <w:color w:val="auto"/>
                <w:szCs w:val="21"/>
                <w:highlight w:val="none"/>
                <w:lang w:val="en-US" w:eastAsia="zh-CN"/>
              </w:rPr>
              <w:t>11</w:t>
            </w:r>
            <w:r>
              <w:rPr>
                <w:rFonts w:hint="eastAsia" w:ascii="宋体" w:hAnsi="宋体" w:eastAsia="宋体" w:cs="宋体"/>
                <w:bCs w:val="0"/>
                <w:color w:val="auto"/>
                <w:szCs w:val="21"/>
                <w:highlight w:val="none"/>
              </w:rPr>
              <w:t>分）</w:t>
            </w:r>
          </w:p>
        </w:tc>
        <w:tc>
          <w:tcPr>
            <w:tcW w:w="715" w:type="dxa"/>
            <w:noWrap w:val="0"/>
            <w:vAlign w:val="center"/>
          </w:tcPr>
          <w:p w14:paraId="152F8486">
            <w:pPr>
              <w:widowControl/>
              <w:wordWrap w:val="0"/>
              <w:snapToGrid w:val="0"/>
              <w:spacing w:line="340" w:lineRule="exact"/>
              <w:jc w:val="center"/>
              <w:textAlignment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11</w:t>
            </w:r>
          </w:p>
        </w:tc>
        <w:tc>
          <w:tcPr>
            <w:tcW w:w="1039" w:type="dxa"/>
            <w:vMerge w:val="continue"/>
            <w:noWrap w:val="0"/>
            <w:vAlign w:val="center"/>
          </w:tcPr>
          <w:p w14:paraId="1615B519">
            <w:pPr>
              <w:widowControl/>
              <w:wordWrap w:val="0"/>
              <w:snapToGrid w:val="0"/>
              <w:spacing w:line="340" w:lineRule="exact"/>
              <w:jc w:val="left"/>
              <w:textAlignment w:val="center"/>
              <w:rPr>
                <w:rFonts w:hint="eastAsia" w:ascii="宋体" w:hAnsi="宋体" w:eastAsia="宋体" w:cs="宋体"/>
                <w:color w:val="auto"/>
                <w:szCs w:val="21"/>
                <w:highlight w:val="none"/>
              </w:rPr>
            </w:pPr>
          </w:p>
        </w:tc>
        <w:tc>
          <w:tcPr>
            <w:tcW w:w="1375" w:type="dxa"/>
            <w:noWrap w:val="0"/>
            <w:vAlign w:val="center"/>
          </w:tcPr>
          <w:p w14:paraId="0D96ED7F">
            <w:pPr>
              <w:widowControl/>
              <w:snapToGrid w:val="0"/>
              <w:spacing w:line="340" w:lineRule="exact"/>
              <w:jc w:val="center"/>
              <w:textAlignment w:val="center"/>
              <w:rPr>
                <w:rFonts w:hint="eastAsia" w:ascii="宋体" w:hAnsi="宋体" w:eastAsia="宋体" w:cs="宋体"/>
                <w:color w:val="auto"/>
                <w:szCs w:val="21"/>
                <w:highlight w:val="none"/>
              </w:rPr>
            </w:pPr>
          </w:p>
        </w:tc>
      </w:tr>
      <w:tr w14:paraId="430E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noWrap w:val="0"/>
            <w:vAlign w:val="center"/>
          </w:tcPr>
          <w:p w14:paraId="645CE5F6">
            <w:pPr>
              <w:snapToGrid w:val="0"/>
              <w:jc w:val="center"/>
              <w:rPr>
                <w:rFonts w:hint="eastAsia" w:ascii="宋体" w:hAnsi="宋体" w:eastAsia="宋体" w:cs="宋体"/>
                <w:color w:val="auto"/>
                <w:szCs w:val="21"/>
                <w:highlight w:val="none"/>
              </w:rPr>
            </w:pPr>
          </w:p>
        </w:tc>
        <w:tc>
          <w:tcPr>
            <w:tcW w:w="1288" w:type="dxa"/>
            <w:vMerge w:val="continue"/>
            <w:noWrap w:val="0"/>
            <w:vAlign w:val="center"/>
          </w:tcPr>
          <w:p w14:paraId="114B0A4E">
            <w:pPr>
              <w:widowControl/>
              <w:wordWrap w:val="0"/>
              <w:snapToGrid w:val="0"/>
              <w:spacing w:line="340" w:lineRule="exact"/>
              <w:jc w:val="center"/>
              <w:textAlignment w:val="center"/>
              <w:rPr>
                <w:rFonts w:hint="eastAsia" w:ascii="宋体" w:hAnsi="宋体" w:eastAsia="宋体" w:cs="宋体"/>
                <w:color w:val="auto"/>
                <w:szCs w:val="21"/>
                <w:highlight w:val="none"/>
              </w:rPr>
            </w:pPr>
          </w:p>
        </w:tc>
        <w:tc>
          <w:tcPr>
            <w:tcW w:w="4352" w:type="dxa"/>
            <w:noWrap w:val="0"/>
            <w:vAlign w:val="center"/>
          </w:tcPr>
          <w:p w14:paraId="06A9392E">
            <w:pPr>
              <w:widowControl/>
              <w:wordWrap w:val="0"/>
              <w:snapToGrid w:val="0"/>
              <w:spacing w:line="340" w:lineRule="exact"/>
              <w:textAlignment w:val="center"/>
              <w:rPr>
                <w:rFonts w:hint="eastAsia" w:ascii="宋体" w:hAnsi="宋体" w:eastAsia="宋体" w:cs="宋体"/>
                <w:color w:val="auto"/>
                <w:szCs w:val="21"/>
                <w:highlight w:val="none"/>
              </w:rPr>
            </w:pPr>
            <w:bookmarkStart w:id="525" w:name="_GoBack"/>
            <w:r>
              <w:rPr>
                <w:rFonts w:hint="eastAsia" w:ascii="宋体" w:hAnsi="宋体" w:eastAsia="宋体" w:cs="宋体"/>
                <w:color w:val="auto"/>
                <w:szCs w:val="21"/>
                <w:highlight w:val="none"/>
              </w:rPr>
              <w:t>针对本项目的合理化建议及改进措施，根据科学性（0-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分）、合理性（0-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分）、可行性（0-</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分）综合评分</w:t>
            </w:r>
            <w:bookmarkEnd w:id="525"/>
          </w:p>
        </w:tc>
        <w:tc>
          <w:tcPr>
            <w:tcW w:w="715" w:type="dxa"/>
            <w:noWrap w:val="0"/>
            <w:vAlign w:val="center"/>
          </w:tcPr>
          <w:p w14:paraId="01488D71">
            <w:pPr>
              <w:widowControl/>
              <w:wordWrap w:val="0"/>
              <w:snapToGrid w:val="0"/>
              <w:spacing w:line="340" w:lineRule="exact"/>
              <w:jc w:val="center"/>
              <w:textAlignment w:val="center"/>
              <w:rPr>
                <w:rFonts w:hint="eastAsia" w:ascii="宋体" w:hAnsi="宋体" w:eastAsia="宋体" w:cs="宋体"/>
                <w:color w:val="auto"/>
                <w:szCs w:val="21"/>
                <w:highlight w:val="none"/>
                <w:lang w:val="en-US"/>
              </w:rPr>
            </w:pPr>
            <w:r>
              <w:rPr>
                <w:rFonts w:hint="eastAsia" w:ascii="宋体" w:hAnsi="宋体" w:eastAsia="宋体" w:cs="宋体"/>
                <w:color w:val="auto"/>
                <w:sz w:val="21"/>
                <w:szCs w:val="21"/>
                <w:highlight w:val="none"/>
                <w:lang w:val="en-US" w:eastAsia="zh-CN"/>
              </w:rPr>
              <w:t>12</w:t>
            </w:r>
          </w:p>
        </w:tc>
        <w:tc>
          <w:tcPr>
            <w:tcW w:w="1039" w:type="dxa"/>
            <w:vMerge w:val="continue"/>
            <w:noWrap w:val="0"/>
            <w:vAlign w:val="center"/>
          </w:tcPr>
          <w:p w14:paraId="5672C21A">
            <w:pPr>
              <w:widowControl/>
              <w:wordWrap w:val="0"/>
              <w:snapToGrid w:val="0"/>
              <w:spacing w:line="340" w:lineRule="exact"/>
              <w:jc w:val="left"/>
              <w:textAlignment w:val="center"/>
              <w:rPr>
                <w:rFonts w:hint="eastAsia" w:ascii="宋体" w:hAnsi="宋体" w:eastAsia="宋体" w:cs="宋体"/>
                <w:color w:val="auto"/>
                <w:szCs w:val="21"/>
                <w:highlight w:val="none"/>
              </w:rPr>
            </w:pPr>
          </w:p>
        </w:tc>
        <w:tc>
          <w:tcPr>
            <w:tcW w:w="1375" w:type="dxa"/>
            <w:noWrap w:val="0"/>
            <w:vAlign w:val="center"/>
          </w:tcPr>
          <w:p w14:paraId="59AC0D15">
            <w:pPr>
              <w:widowControl/>
              <w:snapToGrid w:val="0"/>
              <w:spacing w:line="340" w:lineRule="exact"/>
              <w:jc w:val="center"/>
              <w:textAlignment w:val="center"/>
              <w:rPr>
                <w:rFonts w:hint="eastAsia" w:ascii="宋体" w:hAnsi="宋体" w:eastAsia="宋体" w:cs="宋体"/>
                <w:color w:val="auto"/>
                <w:szCs w:val="21"/>
                <w:highlight w:val="none"/>
              </w:rPr>
            </w:pPr>
          </w:p>
        </w:tc>
      </w:tr>
      <w:tr w14:paraId="230B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noWrap w:val="0"/>
            <w:vAlign w:val="center"/>
          </w:tcPr>
          <w:p w14:paraId="3B471D15">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288" w:type="dxa"/>
            <w:noWrap w:val="0"/>
            <w:vAlign w:val="center"/>
          </w:tcPr>
          <w:p w14:paraId="7146D42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14:paraId="336F9E1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4352" w:type="dxa"/>
            <w:noWrap w:val="0"/>
            <w:vAlign w:val="center"/>
          </w:tcPr>
          <w:p w14:paraId="6667AE83">
            <w:pPr>
              <w:widowControl/>
              <w:snapToGrid w:val="0"/>
              <w:spacing w:line="3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605B9718">
            <w:pPr>
              <w:widowControl/>
              <w:snapToGrid w:val="0"/>
              <w:spacing w:line="340" w:lineRule="exact"/>
              <w:textAlignment w:val="center"/>
              <w:rPr>
                <w:rFonts w:hint="eastAsia" w:ascii="宋体" w:hAnsi="宋体" w:eastAsia="宋体" w:cs="宋体"/>
                <w:color w:val="auto"/>
                <w:highlight w:val="none"/>
              </w:rPr>
            </w:pPr>
            <w:r>
              <w:rPr>
                <w:rFonts w:hint="eastAsia" w:ascii="宋体" w:hAnsi="宋体" w:eastAsia="宋体" w:cs="宋体"/>
                <w:color w:val="auto"/>
                <w:szCs w:val="21"/>
                <w:highlight w:val="none"/>
              </w:rPr>
              <w:t>评标过程中，不得去掉报价中的最高报价和最低报价。</w:t>
            </w:r>
          </w:p>
        </w:tc>
        <w:tc>
          <w:tcPr>
            <w:tcW w:w="715" w:type="dxa"/>
            <w:noWrap w:val="0"/>
            <w:vAlign w:val="center"/>
          </w:tcPr>
          <w:p w14:paraId="047CAAA3">
            <w:pPr>
              <w:widowControl/>
              <w:snapToGrid w:val="0"/>
              <w:spacing w:line="34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039" w:type="dxa"/>
            <w:noWrap w:val="0"/>
            <w:vAlign w:val="center"/>
          </w:tcPr>
          <w:p w14:paraId="5F1CBD18">
            <w:pPr>
              <w:widowControl/>
              <w:snapToGrid w:val="0"/>
              <w:spacing w:line="3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75" w:type="dxa"/>
            <w:noWrap w:val="0"/>
            <w:vAlign w:val="center"/>
          </w:tcPr>
          <w:p w14:paraId="5BCF3A59">
            <w:pPr>
              <w:widowControl/>
              <w:snapToGrid w:val="0"/>
              <w:spacing w:line="340" w:lineRule="exact"/>
              <w:jc w:val="center"/>
              <w:textAlignment w:val="center"/>
              <w:rPr>
                <w:rFonts w:hint="eastAsia" w:ascii="宋体" w:hAnsi="宋体" w:eastAsia="宋体" w:cs="宋体"/>
                <w:color w:val="auto"/>
                <w:szCs w:val="21"/>
                <w:highlight w:val="none"/>
              </w:rPr>
            </w:pPr>
          </w:p>
        </w:tc>
      </w:tr>
    </w:tbl>
    <w:p w14:paraId="5D1E5C5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rPr>
        <w:t>备注：上述内容缺项不得分，投标人编制投标文件（商务技术文件部分）时，建议按此目录（序号和内容）提供评标标准相应的商务技术资料。 </w:t>
      </w:r>
    </w:p>
    <w:p w14:paraId="49A19AB8">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一、评标方法</w:t>
      </w:r>
    </w:p>
    <w:p w14:paraId="7352CEAF">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14:paraId="5AD7FC19">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二、评标标准</w:t>
      </w:r>
    </w:p>
    <w:p w14:paraId="6F4924D2">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14:paraId="6B08F78A">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14:paraId="39485703">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 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58597DC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14:paraId="5A200AA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 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14:paraId="52D7BF9D">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 报价评审。</w:t>
      </w:r>
    </w:p>
    <w:p w14:paraId="42CAD25C">
      <w:pPr>
        <w:pStyle w:val="135"/>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 投标文件报价出现前后不一致的，按照下列规定修正：</w:t>
      </w:r>
    </w:p>
    <w:p w14:paraId="73858A6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 投标文件中开标一览表(报价表)内容与投标文件中相应内容不一致的，以开标一览表(报价表)为准；</w:t>
      </w:r>
    </w:p>
    <w:p w14:paraId="37A8B1FC">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 大写金额和小写金额不一致的，以大写金额为准；</w:t>
      </w:r>
    </w:p>
    <w:p w14:paraId="4918B919">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 单价金额小数点或者百分比有明显错位的，以开标一览表的总价为准，并修改单价；</w:t>
      </w:r>
    </w:p>
    <w:p w14:paraId="66DB9961">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 总价金额与按单价汇总金额不一致的，以单价金额计算结果为准。</w:t>
      </w:r>
    </w:p>
    <w:p w14:paraId="53A26B0F">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 同时出现两种以上不一致的，按照3.4.1规定的顺序修正。修正后的报价按照财政部第87号</w:t>
      </w:r>
    </w:p>
    <w:p w14:paraId="1B8FA1C8">
      <w:pPr>
        <w:pStyle w:val="135"/>
        <w:wordWrap w:val="0"/>
        <w:topLinePunct/>
        <w:spacing w:before="0"/>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令《政府采购货物和服务招标投标管理办法》第五十一条第二款的规定经投标人确认后产生约束力。</w:t>
      </w:r>
    </w:p>
    <w:p w14:paraId="491440D1">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 投标文件出现不是唯一的、有选择性投标报价的，投标无效。</w:t>
      </w:r>
    </w:p>
    <w:p w14:paraId="1DB449FC">
      <w:pPr>
        <w:pStyle w:val="135"/>
        <w:wordWrap w:val="0"/>
        <w:topLinePunct/>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 投标报价超过招标文件中规定的预算金额或者最高限价的，投标无效。</w:t>
      </w:r>
    </w:p>
    <w:p w14:paraId="4F708722">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F5FE78">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 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C848B2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 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751A16">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636170">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3883E7">
      <w:pPr>
        <w:snapToGrid w:val="0"/>
        <w:spacing w:before="319" w:beforeLines="100" w:after="319" w:afterLine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四、评标中的其他事项</w:t>
      </w:r>
    </w:p>
    <w:p w14:paraId="30582611">
      <w:pPr>
        <w:pStyle w:val="135"/>
        <w:spacing w:before="0"/>
        <w:ind w:firstLine="422"/>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 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B9423B">
      <w:pPr>
        <w:pStyle w:val="18"/>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 投标无效。</w:t>
      </w:r>
      <w:r>
        <w:rPr>
          <w:rFonts w:hint="eastAsia" w:ascii="宋体" w:hAnsi="宋体" w:eastAsia="宋体" w:cs="宋体"/>
          <w:color w:val="auto"/>
          <w:sz w:val="21"/>
          <w:szCs w:val="21"/>
          <w:highlight w:val="none"/>
        </w:rPr>
        <w:t>有下列情况之一的，投标无效：</w:t>
      </w:r>
    </w:p>
    <w:p w14:paraId="6AC2AD5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 投标人不具备招标文件中规定的资格要求的（投标人未提供有效的资格文件的，视为投标人不具备招标文件中规定的资格要求）；</w:t>
      </w:r>
    </w:p>
    <w:p w14:paraId="569E43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 投标文件未按照招标文件要求签署、盖章的；</w:t>
      </w:r>
    </w:p>
    <w:p w14:paraId="470349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 采购人拟采购的产品属于政府强制采购的节能产品品目清单范围的，投标人相应的投标产品未获得国家确定的认证机构出具的、处于有效期之内的节能产品认证证书的；</w:t>
      </w:r>
    </w:p>
    <w:p w14:paraId="533AC9A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 投标文件含有采购人不能接受的附加条件的；</w:t>
      </w:r>
    </w:p>
    <w:p w14:paraId="78611F3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 投标文件中承诺的投标有效期少于招标文件中载明的投标有效期的；</w:t>
      </w:r>
    </w:p>
    <w:p w14:paraId="7C8790D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4.2.6 投标文件出现不是唯一的、有选择性投标报价的；</w:t>
      </w:r>
    </w:p>
    <w:p w14:paraId="03550B1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4.2.7 投标报价超过招标文件中规定的预算金额或者最高限价的；</w:t>
      </w:r>
    </w:p>
    <w:p w14:paraId="7A1B1E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4.2.8 报价明显低于其他通过符合性审查投标人的报价，有可能影响产品质量或者不能诚信履约的，未能按要求提供书面说明或者提交相关证明材料，不能证明其报价合理性的；</w:t>
      </w:r>
    </w:p>
    <w:p w14:paraId="37919B8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 投标人对根据修正原则修正后的报价不确认的；</w:t>
      </w:r>
    </w:p>
    <w:p w14:paraId="3A31F9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 投标人提供虚假材料投标的；</w:t>
      </w:r>
    </w:p>
    <w:p w14:paraId="0076BE6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4.2.11 投标人有恶意串通、妨碍其他投标人的竞争行为、损害采购人或者其他投标人的合法权益情形的；</w:t>
      </w:r>
    </w:p>
    <w:p w14:paraId="01141F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4.2.12 </w:t>
      </w:r>
      <w:r>
        <w:rPr>
          <w:rFonts w:hint="eastAsia" w:ascii="宋体" w:hAnsi="宋体" w:eastAsia="宋体" w:cs="宋体"/>
          <w:color w:val="auto"/>
          <w:kern w:val="0"/>
          <w:szCs w:val="21"/>
          <w:highlight w:val="none"/>
        </w:rPr>
        <w:t>参与同一个采购包（标段）的供应商存在下列情形之一且无法合理解释的：</w:t>
      </w:r>
    </w:p>
    <w:p w14:paraId="65897A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b/>
          <w:bCs/>
          <w:color w:val="auto"/>
          <w:kern w:val="0"/>
          <w:szCs w:val="21"/>
          <w:highlight w:val="none"/>
        </w:rPr>
        <w:t>不同供应商的电子投标（响应）文件上传计算机的网卡MAC地址或硬盘序列号等硬件信息相同的；</w:t>
      </w:r>
    </w:p>
    <w:p w14:paraId="6ED045E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1CD6539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不同供应商的投标（响应）文件的内容存在3处（含）以上错误一致的；</w:t>
      </w:r>
    </w:p>
    <w:p w14:paraId="42D2B73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不同供应商联系人为同一人或不同联系人的联系电话一致的。</w:t>
      </w:r>
    </w:p>
    <w:p w14:paraId="67C9893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投标人仅提交备份投标文件，未在电子交易平台传输递交投标文件的，投标无效；</w:t>
      </w:r>
    </w:p>
    <w:p w14:paraId="4C18F349">
      <w:pPr>
        <w:keepNext/>
        <w:keepLines/>
        <w:tabs>
          <w:tab w:val="left" w:pos="432"/>
        </w:tabs>
        <w:adjustRightInd/>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投标文件不满足招标文件的其它实质性要求的；</w:t>
      </w:r>
    </w:p>
    <w:p w14:paraId="22B2248B">
      <w:pPr>
        <w:wordWrap w:val="0"/>
        <w:topLinePunct/>
        <w:spacing w:line="360" w:lineRule="auto"/>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法律、法规、规章（适用本市的）及省级以上规范性文件（适用本市的）规定的其他无效情形。</w:t>
      </w:r>
    </w:p>
    <w:p w14:paraId="2CDB2F28">
      <w:pPr>
        <w:wordWrap w:val="0"/>
        <w:topLinePunct/>
        <w:spacing w:line="360" w:lineRule="auto"/>
        <w:ind w:left="210" w:leftChars="100"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5.废标。根据《中华人民共和国政府采购法》第三十六条之规定，在采购中，出现下列情形之一的，应予废标：</w:t>
      </w:r>
    </w:p>
    <w:p w14:paraId="62395B58">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符合专业条件的供应商或者对招标文件作实质响应的供应商不足3家的；</w:t>
      </w:r>
    </w:p>
    <w:p w14:paraId="2887BE33">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出现影响采购公正的违法、违规行为的；</w:t>
      </w:r>
    </w:p>
    <w:p w14:paraId="2B0C185C">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投标人的报价均超过了采购预算，采购人不能支付的；</w:t>
      </w:r>
    </w:p>
    <w:p w14:paraId="52D6DEC1">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因重大变故，采购任务取消的。</w:t>
      </w:r>
    </w:p>
    <w:p w14:paraId="6E0661F7">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797038AF">
      <w:pPr>
        <w:pStyle w:val="18"/>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D13BC7">
      <w:pPr>
        <w:pStyle w:val="18"/>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14:paraId="52D21837">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3D08D32C">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ADF3122">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AFE868E">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096C97E2">
      <w:pPr>
        <w:pStyle w:val="18"/>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513679">
      <w:pPr>
        <w:pStyle w:val="17"/>
        <w:rPr>
          <w:rFonts w:hint="eastAsia" w:ascii="宋体" w:hAnsi="宋体" w:eastAsia="宋体" w:cs="宋体"/>
          <w:highlight w:val="none"/>
        </w:rPr>
      </w:pPr>
    </w:p>
    <w:p w14:paraId="1EBBC3C6">
      <w:pPr>
        <w:pStyle w:val="17"/>
        <w:rPr>
          <w:rFonts w:hint="eastAsia" w:ascii="宋体" w:hAnsi="宋体" w:eastAsia="宋体" w:cs="宋体"/>
          <w:color w:val="auto"/>
          <w:highlight w:val="none"/>
        </w:rPr>
      </w:pPr>
    </w:p>
    <w:bookmarkEnd w:id="26"/>
    <w:p w14:paraId="13286BD8">
      <w:pPr>
        <w:spacing w:before="319" w:beforeLines="100" w:after="319" w:afterLines="100"/>
        <w:jc w:val="center"/>
        <w:outlineLvl w:val="0"/>
        <w:rPr>
          <w:rFonts w:hint="eastAsia" w:ascii="宋体" w:hAnsi="宋体" w:eastAsia="宋体" w:cs="宋体"/>
          <w:b/>
          <w:color w:val="auto"/>
          <w:sz w:val="36"/>
          <w:szCs w:val="36"/>
          <w:highlight w:val="none"/>
        </w:rPr>
      </w:pPr>
      <w:bookmarkStart w:id="393" w:name="第五部分"/>
      <w:bookmarkStart w:id="394" w:name="_Toc86217003"/>
    </w:p>
    <w:p w14:paraId="10228996">
      <w:pPr>
        <w:rPr>
          <w:rFonts w:hint="eastAsia" w:ascii="宋体" w:hAnsi="宋体" w:eastAsia="宋体" w:cs="宋体"/>
          <w:color w:val="auto"/>
          <w:highlight w:val="none"/>
        </w:rPr>
      </w:pPr>
    </w:p>
    <w:p w14:paraId="0803893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4B3B034">
      <w:pPr>
        <w:spacing w:before="319" w:beforeLines="100" w:after="319"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4F15DA">
      <w:pPr>
        <w:spacing w:before="319" w:beforeLines="100" w:after="319" w:afterLines="1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合同编号：</w:t>
      </w:r>
    </w:p>
    <w:p w14:paraId="74B7259C">
      <w:pPr>
        <w:spacing w:line="360" w:lineRule="auto"/>
        <w:rPr>
          <w:rFonts w:hint="eastAsia" w:ascii="宋体" w:hAnsi="宋体" w:eastAsia="宋体" w:cs="宋体"/>
          <w:color w:val="auto"/>
          <w:sz w:val="28"/>
          <w:highlight w:val="none"/>
        </w:rPr>
      </w:pPr>
    </w:p>
    <w:p w14:paraId="4CF41225">
      <w:pPr>
        <w:spacing w:line="360" w:lineRule="auto"/>
        <w:rPr>
          <w:rFonts w:hint="eastAsia" w:ascii="宋体" w:hAnsi="宋体" w:eastAsia="宋体" w:cs="宋体"/>
          <w:color w:val="auto"/>
          <w:sz w:val="28"/>
          <w:highlight w:val="none"/>
        </w:rPr>
      </w:pPr>
    </w:p>
    <w:p w14:paraId="5894414A">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5C3689FF">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7C37A437">
      <w:pPr>
        <w:spacing w:line="360" w:lineRule="auto"/>
        <w:rPr>
          <w:rFonts w:hint="eastAsia" w:ascii="宋体" w:hAnsi="宋体" w:eastAsia="宋体" w:cs="宋体"/>
          <w:color w:val="auto"/>
          <w:sz w:val="28"/>
          <w:highlight w:val="none"/>
        </w:rPr>
      </w:pPr>
    </w:p>
    <w:p w14:paraId="35708B76">
      <w:pPr>
        <w:pStyle w:val="50"/>
        <w:spacing w:before="20" w:after="20"/>
        <w:rPr>
          <w:rFonts w:hint="eastAsia" w:ascii="宋体" w:hAnsi="宋体" w:eastAsia="宋体" w:cs="宋体"/>
          <w:color w:val="auto"/>
          <w:sz w:val="32"/>
          <w:highlight w:val="none"/>
        </w:rPr>
      </w:pPr>
      <w:bookmarkStart w:id="395" w:name="_Toc97118341"/>
      <w:bookmarkStart w:id="396" w:name="_Toc104208269"/>
      <w:bookmarkStart w:id="397" w:name="_Toc132308033"/>
      <w:bookmarkStart w:id="398" w:name="_Toc97118735"/>
      <w:bookmarkStart w:id="399" w:name="_Toc117259210"/>
      <w:r>
        <w:rPr>
          <w:rFonts w:hint="eastAsia" w:ascii="宋体" w:hAnsi="宋体" w:eastAsia="宋体" w:cs="宋体"/>
          <w:color w:val="auto"/>
          <w:sz w:val="32"/>
          <w:highlight w:val="none"/>
        </w:rPr>
        <w:t>第一部分 合同书</w:t>
      </w:r>
      <w:bookmarkEnd w:id="395"/>
      <w:bookmarkEnd w:id="396"/>
      <w:bookmarkEnd w:id="397"/>
      <w:bookmarkEnd w:id="398"/>
      <w:bookmarkEnd w:id="399"/>
    </w:p>
    <w:p w14:paraId="006FCA70">
      <w:pPr>
        <w:spacing w:line="360" w:lineRule="auto"/>
        <w:rPr>
          <w:rFonts w:hint="eastAsia" w:ascii="宋体" w:hAnsi="宋体" w:eastAsia="宋体" w:cs="宋体"/>
          <w:color w:val="auto"/>
          <w:sz w:val="28"/>
          <w:highlight w:val="none"/>
        </w:rPr>
      </w:pPr>
    </w:p>
    <w:p w14:paraId="2E76D438">
      <w:pPr>
        <w:spacing w:line="360" w:lineRule="auto"/>
        <w:rPr>
          <w:rFonts w:hint="eastAsia" w:ascii="宋体" w:hAnsi="宋体" w:eastAsia="宋体" w:cs="宋体"/>
          <w:color w:val="auto"/>
          <w:sz w:val="28"/>
          <w:highlight w:val="none"/>
        </w:rPr>
      </w:pPr>
    </w:p>
    <w:tbl>
      <w:tblPr>
        <w:tblStyle w:val="6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14:paraId="5B24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5FCBAA5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项目名称：</w:t>
            </w:r>
            <w:r>
              <w:rPr>
                <w:rFonts w:hint="eastAsia" w:ascii="宋体" w:hAnsi="宋体" w:cs="宋体"/>
                <w:color w:val="auto"/>
                <w:sz w:val="28"/>
                <w:highlight w:val="none"/>
                <w:lang w:eastAsia="zh-CN"/>
              </w:rPr>
              <w:t>2025年秀洲区油车港镇6个小区垃圾分类运维项目</w:t>
            </w:r>
          </w:p>
        </w:tc>
      </w:tr>
      <w:tr w14:paraId="666A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65CB1634">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甲    方：</w:t>
            </w:r>
            <w:r>
              <w:rPr>
                <w:rFonts w:hint="eastAsia" w:ascii="宋体" w:hAnsi="宋体" w:eastAsia="宋体" w:cs="宋体"/>
                <w:color w:val="auto"/>
                <w:sz w:val="28"/>
                <w:highlight w:val="none"/>
                <w:lang w:eastAsia="zh-CN"/>
              </w:rPr>
              <w:t>嘉兴市秀洲区油车港镇人民政府</w:t>
            </w:r>
          </w:p>
        </w:tc>
      </w:tr>
      <w:tr w14:paraId="5F26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2F141DEB">
            <w:pPr>
              <w:rPr>
                <w:rFonts w:hint="eastAsia" w:ascii="宋体" w:hAnsi="宋体" w:eastAsia="宋体" w:cs="宋体"/>
                <w:color w:val="auto"/>
                <w:sz w:val="28"/>
                <w:highlight w:val="none"/>
              </w:rPr>
            </w:pPr>
            <w:r>
              <w:rPr>
                <w:rFonts w:hint="eastAsia" w:ascii="宋体" w:hAnsi="宋体" w:eastAsia="宋体" w:cs="宋体"/>
                <w:color w:val="auto"/>
                <w:sz w:val="28"/>
                <w:highlight w:val="none"/>
              </w:rPr>
              <w:t>乙    方：</w:t>
            </w:r>
            <w:r>
              <w:rPr>
                <w:rFonts w:hint="eastAsia" w:ascii="宋体" w:hAnsi="宋体" w:eastAsia="宋体" w:cs="宋体"/>
                <w:color w:val="auto"/>
                <w:sz w:val="28"/>
                <w:highlight w:val="none"/>
                <w:u w:val="single"/>
              </w:rPr>
              <w:t>（中标人名称）</w:t>
            </w:r>
          </w:p>
        </w:tc>
      </w:tr>
      <w:tr w14:paraId="097C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F6A889E">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签 订 地：</w:t>
            </w:r>
          </w:p>
        </w:tc>
      </w:tr>
      <w:tr w14:paraId="120F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5" w:type="dxa"/>
            <w:vAlign w:val="center"/>
          </w:tcPr>
          <w:p w14:paraId="10D61759">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   年  月  日</w:t>
            </w:r>
          </w:p>
        </w:tc>
      </w:tr>
    </w:tbl>
    <w:p w14:paraId="43E1B92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400" w:name="_Toc22618"/>
      <w:bookmarkStart w:id="401" w:name="_Toc1814"/>
      <w:bookmarkStart w:id="402" w:name="_Toc10340"/>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u w:val="single"/>
        </w:rPr>
        <w:t xml:space="preserve">   （政府采购方式）  </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项目进行了采购。经</w:t>
      </w:r>
      <w:r>
        <w:rPr>
          <w:rFonts w:hint="eastAsia" w:ascii="宋体" w:hAnsi="宋体" w:eastAsia="宋体" w:cs="宋体"/>
          <w:color w:val="auto"/>
          <w:szCs w:val="21"/>
          <w:highlight w:val="none"/>
          <w:u w:val="single"/>
        </w:rPr>
        <w:t xml:space="preserve">   （相关评定主体名称）   </w:t>
      </w:r>
      <w:r>
        <w:rPr>
          <w:rFonts w:hint="eastAsia" w:ascii="宋体" w:hAnsi="宋体" w:eastAsia="宋体" w:cs="宋体"/>
          <w:color w:val="auto"/>
          <w:szCs w:val="21"/>
          <w:highlight w:val="none"/>
        </w:rPr>
        <w:t>评定，</w:t>
      </w:r>
      <w:r>
        <w:rPr>
          <w:rFonts w:hint="eastAsia" w:ascii="宋体" w:hAnsi="宋体" w:eastAsia="宋体" w:cs="宋体"/>
          <w:color w:val="auto"/>
          <w:szCs w:val="21"/>
          <w:highlight w:val="none"/>
          <w:u w:val="single"/>
        </w:rPr>
        <w:t xml:space="preserve">   （中标或者成交供应商名称） </w:t>
      </w:r>
      <w:r>
        <w:rPr>
          <w:rFonts w:hint="eastAsia" w:ascii="宋体" w:hAnsi="宋体" w:eastAsia="宋体" w:cs="宋体"/>
          <w:color w:val="auto"/>
          <w:szCs w:val="21"/>
          <w:highlight w:val="none"/>
        </w:rPr>
        <w:t>为该项目中标或者成交供应商。现于中标或者成交通知书发出之日起10个工作日内，按照采购文件确定的事项签订本合同。</w:t>
      </w:r>
    </w:p>
    <w:p w14:paraId="7700371D">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lang w:val="zh-CN"/>
        </w:rPr>
        <w:t>(以下简称：甲方)和</w:t>
      </w:r>
      <w:r>
        <w:rPr>
          <w:rFonts w:hint="eastAsia" w:ascii="宋体" w:hAnsi="宋体" w:eastAsia="宋体" w:cs="宋体"/>
          <w:color w:val="auto"/>
          <w:szCs w:val="21"/>
          <w:highlight w:val="none"/>
          <w:u w:val="single"/>
        </w:rPr>
        <w:t xml:space="preserve">   （中或者成交标供应商名称）   </w:t>
      </w:r>
      <w:r>
        <w:rPr>
          <w:rFonts w:hint="eastAsia" w:ascii="宋体" w:hAnsi="宋体" w:eastAsia="宋体" w:cs="宋体"/>
          <w:color w:val="auto"/>
          <w:szCs w:val="21"/>
          <w:highlight w:val="none"/>
          <w:lang w:val="zh-CN"/>
        </w:rPr>
        <w:t>(以下简称：乙方)协商一致，约定以下合同</w:t>
      </w:r>
      <w:r>
        <w:rPr>
          <w:rFonts w:hint="eastAsia" w:ascii="宋体" w:hAnsi="宋体" w:eastAsia="宋体" w:cs="宋体"/>
          <w:color w:val="auto"/>
          <w:szCs w:val="21"/>
          <w:highlight w:val="none"/>
        </w:rPr>
        <w:t>条款，以兹共同遵守、全面履行。</w:t>
      </w:r>
    </w:p>
    <w:p w14:paraId="6E85BFA1">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3" w:name="_Toc20421"/>
      <w:bookmarkStart w:id="404" w:name="_Toc28855"/>
      <w:bookmarkStart w:id="405" w:name="_Toc15367"/>
      <w:bookmarkStart w:id="406" w:name="_Toc22967"/>
      <w:bookmarkStart w:id="407" w:name="_Toc19273"/>
      <w:r>
        <w:rPr>
          <w:rFonts w:hint="eastAsia" w:ascii="宋体" w:hAnsi="宋体" w:eastAsia="宋体" w:cs="宋体"/>
          <w:color w:val="auto"/>
          <w:sz w:val="21"/>
          <w:szCs w:val="21"/>
          <w:highlight w:val="none"/>
        </w:rPr>
        <w:t>1.1 合同组成部分</w:t>
      </w:r>
      <w:bookmarkEnd w:id="403"/>
      <w:bookmarkEnd w:id="404"/>
      <w:bookmarkEnd w:id="405"/>
      <w:bookmarkEnd w:id="406"/>
      <w:bookmarkEnd w:id="407"/>
    </w:p>
    <w:p w14:paraId="5BFD35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EFE42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1.1.1本合同及其补充合同、变更协议；</w:t>
      </w:r>
    </w:p>
    <w:p w14:paraId="55D29E5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1.1.2中标或者成交通知书；</w:t>
      </w:r>
    </w:p>
    <w:p w14:paraId="0E5D030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1.1.3投标或者响应文件（含澄清或者说明文件）；</w:t>
      </w:r>
    </w:p>
    <w:p w14:paraId="4878B93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1.1.4采购文件（含澄清或者修改文件）；</w:t>
      </w:r>
    </w:p>
    <w:p w14:paraId="5B8B934A">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1.1.5其他相关采购文件。</w:t>
      </w:r>
    </w:p>
    <w:p w14:paraId="4EF0F57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08" w:name="_Toc18585"/>
      <w:bookmarkStart w:id="409" w:name="_Toc6311"/>
      <w:bookmarkStart w:id="410" w:name="_Toc6773"/>
      <w:bookmarkStart w:id="411" w:name="_Toc2918"/>
      <w:bookmarkStart w:id="412" w:name="_Toc22185"/>
      <w:r>
        <w:rPr>
          <w:rFonts w:hint="eastAsia" w:ascii="宋体" w:hAnsi="宋体" w:eastAsia="宋体" w:cs="宋体"/>
          <w:color w:val="auto"/>
          <w:sz w:val="21"/>
          <w:szCs w:val="21"/>
          <w:highlight w:val="none"/>
        </w:rPr>
        <w:t>1.2 标的</w:t>
      </w:r>
      <w:bookmarkEnd w:id="408"/>
      <w:bookmarkEnd w:id="409"/>
      <w:bookmarkEnd w:id="410"/>
      <w:bookmarkEnd w:id="411"/>
      <w:bookmarkEnd w:id="412"/>
    </w:p>
    <w:p w14:paraId="3D23A4D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1.2.1服务内容：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AC67A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1.2.2服务标准：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741FB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1.2.3技术保障：</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E487CC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1.2.4服务人员组成：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687E9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1.2.5合同（是/否）涉及货物。若涉及货物的的，则：</w:t>
      </w:r>
    </w:p>
    <w:p w14:paraId="5C1D703D">
      <w:pPr>
        <w:adjustRightInd/>
        <w:spacing w:line="360" w:lineRule="auto"/>
        <w:ind w:firstLine="420" w:firstLineChars="200"/>
        <w:rPr>
          <w:rFonts w:hint="eastAsia" w:ascii="宋体" w:hAnsi="宋体" w:eastAsia="宋体" w:cs="宋体"/>
          <w:color w:val="auto"/>
          <w:szCs w:val="21"/>
          <w:highlight w:val="none"/>
        </w:rPr>
      </w:pPr>
      <w:bookmarkStart w:id="413" w:name="_Toc5635"/>
      <w:bookmarkStart w:id="414" w:name="_Toc13918"/>
      <w:bookmarkStart w:id="415" w:name="_Toc4929"/>
      <w:bookmarkStart w:id="416" w:name="_Toc21124"/>
      <w:bookmarkStart w:id="417" w:name="_Toc1386"/>
      <w:r>
        <w:rPr>
          <w:rFonts w:hint="eastAsia" w:ascii="宋体" w:hAnsi="宋体" w:eastAsia="宋体" w:cs="宋体"/>
          <w:color w:val="auto"/>
          <w:szCs w:val="21"/>
          <w:highlight w:val="none"/>
        </w:rPr>
        <w:t>1.2.5.1货物名称、品牌、规格型号、花色：；</w:t>
      </w:r>
    </w:p>
    <w:p w14:paraId="2C262DB8">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1.2.5.2货物数量：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FECC19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1.2.5.3货物质量：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CD081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价款</w:t>
      </w:r>
      <w:bookmarkEnd w:id="413"/>
      <w:bookmarkEnd w:id="414"/>
      <w:bookmarkEnd w:id="415"/>
      <w:bookmarkEnd w:id="416"/>
      <w:bookmarkEnd w:id="417"/>
    </w:p>
    <w:p w14:paraId="5E94FA61">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本项目采用以下第1.3.1条款规定的计价方式计价。</w:t>
      </w:r>
    </w:p>
    <w:p w14:paraId="3252E9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1.3.1总价合同，本合同总价（含税）为：￥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35C2A68C">
      <w:pPr>
        <w:adjustRightInd/>
        <w:spacing w:line="360" w:lineRule="auto"/>
        <w:ind w:firstLine="420" w:firstLineChars="20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420"/>
        <w:gridCol w:w="2581"/>
      </w:tblGrid>
      <w:tr w14:paraId="27CB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90" w:type="dxa"/>
            <w:vAlign w:val="center"/>
          </w:tcPr>
          <w:p w14:paraId="64F613B1">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20" w:type="dxa"/>
            <w:vAlign w:val="center"/>
          </w:tcPr>
          <w:p w14:paraId="7659C4F3">
            <w:pPr>
              <w:pStyle w:val="324"/>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81" w:type="dxa"/>
            <w:vAlign w:val="center"/>
          </w:tcPr>
          <w:p w14:paraId="60ECA985">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C05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EAEB22A">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5376297F">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E577E08">
            <w:pPr>
              <w:pStyle w:val="324"/>
              <w:spacing w:line="560" w:lineRule="exact"/>
              <w:ind w:firstLine="200"/>
              <w:jc w:val="center"/>
              <w:rPr>
                <w:rFonts w:hint="eastAsia" w:ascii="宋体" w:hAnsi="宋体" w:eastAsia="宋体" w:cs="宋体"/>
                <w:color w:val="auto"/>
                <w:sz w:val="21"/>
                <w:szCs w:val="21"/>
                <w:highlight w:val="none"/>
              </w:rPr>
            </w:pPr>
          </w:p>
        </w:tc>
      </w:tr>
      <w:tr w14:paraId="6DF0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21538645">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9D2F717">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8EBFDFD">
            <w:pPr>
              <w:pStyle w:val="324"/>
              <w:spacing w:line="560" w:lineRule="exact"/>
              <w:ind w:firstLine="200"/>
              <w:jc w:val="center"/>
              <w:rPr>
                <w:rFonts w:hint="eastAsia" w:ascii="宋体" w:hAnsi="宋体" w:eastAsia="宋体" w:cs="宋体"/>
                <w:color w:val="auto"/>
                <w:sz w:val="21"/>
                <w:szCs w:val="21"/>
                <w:highlight w:val="none"/>
              </w:rPr>
            </w:pPr>
          </w:p>
        </w:tc>
      </w:tr>
      <w:tr w14:paraId="618F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41B3BEF2">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2A3E9D16">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04B11832">
            <w:pPr>
              <w:pStyle w:val="324"/>
              <w:spacing w:line="560" w:lineRule="exact"/>
              <w:ind w:firstLine="200"/>
              <w:jc w:val="center"/>
              <w:rPr>
                <w:rFonts w:hint="eastAsia" w:ascii="宋体" w:hAnsi="宋体" w:eastAsia="宋体" w:cs="宋体"/>
                <w:color w:val="auto"/>
                <w:sz w:val="21"/>
                <w:szCs w:val="21"/>
                <w:highlight w:val="none"/>
              </w:rPr>
            </w:pPr>
          </w:p>
        </w:tc>
      </w:tr>
      <w:tr w14:paraId="52C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0" w:type="dxa"/>
            <w:vAlign w:val="center"/>
          </w:tcPr>
          <w:p w14:paraId="747A8487">
            <w:pPr>
              <w:pStyle w:val="324"/>
              <w:spacing w:line="560" w:lineRule="exact"/>
              <w:ind w:firstLine="200"/>
              <w:jc w:val="center"/>
              <w:rPr>
                <w:rFonts w:hint="eastAsia" w:ascii="宋体" w:hAnsi="宋体" w:eastAsia="宋体" w:cs="宋体"/>
                <w:color w:val="auto"/>
                <w:sz w:val="21"/>
                <w:szCs w:val="21"/>
                <w:highlight w:val="none"/>
              </w:rPr>
            </w:pPr>
          </w:p>
        </w:tc>
        <w:tc>
          <w:tcPr>
            <w:tcW w:w="4420" w:type="dxa"/>
            <w:vAlign w:val="center"/>
          </w:tcPr>
          <w:p w14:paraId="6142A99C">
            <w:pPr>
              <w:pStyle w:val="324"/>
              <w:spacing w:line="560" w:lineRule="exact"/>
              <w:ind w:firstLine="200"/>
              <w:jc w:val="center"/>
              <w:rPr>
                <w:rFonts w:hint="eastAsia" w:ascii="宋体" w:hAnsi="宋体" w:eastAsia="宋体" w:cs="宋体"/>
                <w:color w:val="auto"/>
                <w:sz w:val="21"/>
                <w:szCs w:val="21"/>
                <w:highlight w:val="none"/>
              </w:rPr>
            </w:pPr>
          </w:p>
        </w:tc>
        <w:tc>
          <w:tcPr>
            <w:tcW w:w="2581" w:type="dxa"/>
            <w:vAlign w:val="center"/>
          </w:tcPr>
          <w:p w14:paraId="70CE9CCB">
            <w:pPr>
              <w:pStyle w:val="324"/>
              <w:spacing w:line="560" w:lineRule="exact"/>
              <w:ind w:firstLine="200"/>
              <w:jc w:val="center"/>
              <w:rPr>
                <w:rFonts w:hint="eastAsia" w:ascii="宋体" w:hAnsi="宋体" w:eastAsia="宋体" w:cs="宋体"/>
                <w:color w:val="auto"/>
                <w:sz w:val="21"/>
                <w:szCs w:val="21"/>
                <w:highlight w:val="none"/>
              </w:rPr>
            </w:pPr>
          </w:p>
        </w:tc>
      </w:tr>
      <w:tr w14:paraId="3D45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310" w:type="dxa"/>
            <w:gridSpan w:val="2"/>
            <w:vAlign w:val="center"/>
          </w:tcPr>
          <w:p w14:paraId="626CBDF0">
            <w:pPr>
              <w:pStyle w:val="32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81" w:type="dxa"/>
            <w:vAlign w:val="center"/>
          </w:tcPr>
          <w:p w14:paraId="4582D24C">
            <w:pPr>
              <w:pStyle w:val="324"/>
              <w:spacing w:line="560" w:lineRule="exact"/>
              <w:ind w:firstLine="200"/>
              <w:jc w:val="center"/>
              <w:rPr>
                <w:rFonts w:hint="eastAsia" w:ascii="宋体" w:hAnsi="宋体" w:eastAsia="宋体" w:cs="宋体"/>
                <w:color w:val="auto"/>
                <w:sz w:val="21"/>
                <w:szCs w:val="21"/>
                <w:highlight w:val="none"/>
              </w:rPr>
            </w:pPr>
          </w:p>
        </w:tc>
      </w:tr>
    </w:tbl>
    <w:p w14:paraId="1B6754FE">
      <w:pPr>
        <w:adjustRightInd/>
        <w:spacing w:line="360" w:lineRule="auto"/>
        <w:ind w:firstLine="420" w:firstLineChars="200"/>
        <w:rPr>
          <w:rFonts w:hint="eastAsia" w:ascii="宋体" w:hAnsi="宋体" w:eastAsia="宋体" w:cs="宋体"/>
          <w:color w:val="auto"/>
          <w:szCs w:val="21"/>
          <w:highlight w:val="none"/>
        </w:rPr>
      </w:pPr>
      <w:bookmarkStart w:id="418" w:name="_Toc31421"/>
      <w:bookmarkStart w:id="419" w:name="_Toc3625"/>
      <w:bookmarkStart w:id="420" w:name="_Toc4760"/>
      <w:bookmarkStart w:id="421" w:name="_Toc8772"/>
      <w:bookmarkStart w:id="422" w:name="_Toc11108"/>
      <w:r>
        <w:rPr>
          <w:rFonts w:hint="eastAsia" w:ascii="宋体" w:hAnsi="宋体" w:eastAsia="宋体" w:cs="宋体"/>
          <w:color w:val="auto"/>
          <w:szCs w:val="21"/>
          <w:highlight w:val="none"/>
        </w:rPr>
        <w:t>1.3.2单价合同，本合同单价（含税）标准为：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。服务工作量的计量方式为：</w:t>
      </w:r>
      <w:r>
        <w:rPr>
          <w:rFonts w:hint="eastAsia" w:ascii="宋体" w:hAnsi="宋体" w:eastAsia="宋体" w:cs="宋体"/>
          <w:b/>
          <w:bCs/>
          <w:i/>
          <w:iCs/>
          <w:color w:val="auto"/>
          <w:szCs w:val="21"/>
          <w:highlight w:val="none"/>
          <w:u w:val="single"/>
        </w:rPr>
        <w:t>合同专用条款</w:t>
      </w:r>
      <w:r>
        <w:rPr>
          <w:rFonts w:hint="eastAsia" w:ascii="宋体" w:hAnsi="宋体" w:eastAsia="宋体" w:cs="宋体"/>
          <w:color w:val="auto"/>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4DD8D955">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1.3.3其他计价方式：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BB96D1">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1.4履约保证金</w:t>
      </w:r>
    </w:p>
    <w:p w14:paraId="78EE54AF">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乙方（是/否）需要支付履约保证金。若需要支付履约保证金的，则：</w:t>
      </w:r>
    </w:p>
    <w:p w14:paraId="0AD15039">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1.4.1履约保证金的比例为合同金额的</w:t>
      </w:r>
      <w:r>
        <w:rPr>
          <w:rFonts w:hint="eastAsia" w:ascii="宋体" w:hAnsi="宋体" w:eastAsia="宋体" w:cs="宋体"/>
          <w:b/>
          <w:i/>
          <w:color w:val="auto"/>
          <w:szCs w:val="21"/>
          <w:highlight w:val="none"/>
          <w:u w:val="single"/>
        </w:rPr>
        <w:t xml:space="preserve">      </w:t>
      </w:r>
      <w:r>
        <w:rPr>
          <w:rFonts w:hint="eastAsia" w:ascii="宋体" w:hAnsi="宋体" w:eastAsia="宋体" w:cs="宋体"/>
          <w:color w:val="auto"/>
          <w:kern w:val="0"/>
          <w:szCs w:val="21"/>
          <w:highlight w:val="none"/>
        </w:rPr>
        <w:t>%；</w:t>
      </w:r>
    </w:p>
    <w:p w14:paraId="71AC6B23">
      <w:pPr>
        <w:adjustRightInd/>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1.4.2履约保证金支付方式详见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260D3FAC">
      <w:pPr>
        <w:pStyle w:val="3"/>
        <w:tabs>
          <w:tab w:val="left" w:pos="0"/>
        </w:tabs>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C6C9F2">
      <w:pPr>
        <w:adjustRightInd/>
        <w:spacing w:line="360" w:lineRule="auto"/>
        <w:ind w:firstLine="42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Cs w:val="21"/>
          <w:highlight w:val="none"/>
          <w:u w:val="single"/>
        </w:rPr>
        <w:t xml:space="preserve">  0.05  </w:t>
      </w:r>
      <w:r>
        <w:rPr>
          <w:rFonts w:hint="eastAsia" w:ascii="宋体" w:hAnsi="宋体" w:eastAsia="宋体" w:cs="宋体"/>
          <w:color w:val="auto"/>
          <w:kern w:val="0"/>
          <w:szCs w:val="21"/>
          <w:highlight w:val="none"/>
        </w:rPr>
        <w:t>%计算，最高限额为本合同履约保证金的</w:t>
      </w:r>
      <w:r>
        <w:rPr>
          <w:rFonts w:hint="eastAsia" w:ascii="宋体" w:hAnsi="宋体" w:eastAsia="宋体" w:cs="宋体"/>
          <w:color w:val="auto"/>
          <w:kern w:val="0"/>
          <w:szCs w:val="21"/>
          <w:highlight w:val="none"/>
          <w:u w:val="single"/>
        </w:rPr>
        <w:t xml:space="preserve">  20  </w:t>
      </w:r>
      <w:r>
        <w:rPr>
          <w:rFonts w:hint="eastAsia" w:ascii="宋体" w:hAnsi="宋体" w:eastAsia="宋体" w:cs="宋体"/>
          <w:color w:val="auto"/>
          <w:kern w:val="0"/>
          <w:szCs w:val="21"/>
          <w:highlight w:val="none"/>
        </w:rPr>
        <w:t xml:space="preserve"> %。</w:t>
      </w:r>
    </w:p>
    <w:p w14:paraId="6D19F10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1.5预付款</w:t>
      </w:r>
    </w:p>
    <w:p w14:paraId="4F658498">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甲方（是/否）需要支付预付款。若需要支付预付款的，则：</w:t>
      </w:r>
    </w:p>
    <w:p w14:paraId="09E44A13">
      <w:pPr>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1.5.1预付款比例、支付方式、时间详见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kern w:val="0"/>
          <w:szCs w:val="21"/>
          <w:highlight w:val="none"/>
        </w:rPr>
        <w:t>；</w:t>
      </w:r>
    </w:p>
    <w:p w14:paraId="71B37104">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523EE0C">
      <w:pPr>
        <w:pStyle w:val="961"/>
        <w:spacing w:before="0" w:beforeAutospacing="0" w:after="0" w:afterAutospacing="0"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90ED21D">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1.6资金支付</w:t>
      </w:r>
    </w:p>
    <w:p w14:paraId="1952FBB5">
      <w:pPr>
        <w:pStyle w:val="961"/>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73940E">
      <w:pPr>
        <w:adjustRightInd/>
        <w:spacing w:line="360" w:lineRule="auto"/>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1.6.2资金支付的方式、时间和条件详见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BCDCFA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履行期限、地点和方式</w:t>
      </w:r>
      <w:bookmarkEnd w:id="418"/>
      <w:bookmarkEnd w:id="419"/>
      <w:bookmarkEnd w:id="420"/>
      <w:bookmarkEnd w:id="421"/>
      <w:bookmarkEnd w:id="422"/>
    </w:p>
    <w:p w14:paraId="6370704E">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1.7.1服务交付（实施）的时间（期限）：</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CBB7B4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1.7.2服务交付（实施）的地点（地域范围）：</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207A8C8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1.7.3服务交付（实施）的方式：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3A0F23B1">
      <w:pPr>
        <w:adjustRightInd/>
        <w:spacing w:line="360" w:lineRule="auto"/>
        <w:ind w:firstLine="420" w:firstLineChars="200"/>
        <w:outlineLvl w:val="0"/>
        <w:rPr>
          <w:rFonts w:hint="eastAsia" w:ascii="宋体" w:hAnsi="宋体" w:eastAsia="宋体" w:cs="宋体"/>
          <w:bCs/>
          <w:color w:val="auto"/>
          <w:szCs w:val="21"/>
          <w:highlight w:val="none"/>
        </w:rPr>
      </w:pPr>
      <w:bookmarkStart w:id="423" w:name="_Toc8586"/>
      <w:bookmarkStart w:id="424" w:name="_Toc2375"/>
      <w:bookmarkStart w:id="425" w:name="_Toc5698"/>
      <w:bookmarkStart w:id="426" w:name="_Toc3079"/>
      <w:bookmarkStart w:id="427" w:name="_Toc24662"/>
      <w:r>
        <w:rPr>
          <w:rFonts w:hint="eastAsia" w:ascii="宋体" w:hAnsi="宋体" w:eastAsia="宋体" w:cs="宋体"/>
          <w:bCs/>
          <w:color w:val="auto"/>
          <w:szCs w:val="21"/>
          <w:highlight w:val="none"/>
        </w:rPr>
        <w:t>1.7.4若服务涉及货物的，则货物的：</w:t>
      </w:r>
    </w:p>
    <w:p w14:paraId="4C048232">
      <w:pPr>
        <w:adjustRightInd/>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1.7.4.1交付期限：详见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BFF1F5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1.7.4.2交付地点：</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70F1DD4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1.7.4.3交付方式：</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4EE6CF53">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1.8违约责任</w:t>
      </w:r>
      <w:bookmarkEnd w:id="423"/>
      <w:bookmarkEnd w:id="424"/>
      <w:bookmarkEnd w:id="425"/>
      <w:bookmarkEnd w:id="426"/>
      <w:bookmarkEnd w:id="427"/>
    </w:p>
    <w:p w14:paraId="2C70141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Cs w:val="21"/>
          <w:highlight w:val="none"/>
          <w:u w:val="single"/>
        </w:rPr>
        <w:t xml:space="preserve">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%；迟延履行的违约金计算数额达到前述最高限额之日起，甲方有权在要求乙方支付违约金的同时，书面通知乙方解除本合同；</w:t>
      </w:r>
    </w:p>
    <w:p w14:paraId="4D41A6BC">
      <w:pPr>
        <w:pStyle w:val="3"/>
        <w:ind w:left="0"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0.05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1B54FE72">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Cs w:val="21"/>
          <w:highlight w:val="none"/>
          <w:u w:val="single"/>
        </w:rPr>
        <w:t xml:space="preserve">   0.05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20   </w:t>
      </w:r>
      <w:r>
        <w:rPr>
          <w:rFonts w:hint="eastAsia" w:ascii="宋体" w:hAnsi="宋体" w:eastAsia="宋体" w:cs="宋体"/>
          <w:color w:val="auto"/>
          <w:szCs w:val="21"/>
          <w:highlight w:val="none"/>
        </w:rPr>
        <w:t>%；迟延付款的违约金计算数额达到前述最高限额之日起，乙方有权在要求甲方支付违约金的同时，书面通知甲方解除本合同；</w:t>
      </w:r>
    </w:p>
    <w:p w14:paraId="391FE420">
      <w:pPr>
        <w:adjustRightInd/>
        <w:spacing w:line="360" w:lineRule="auto"/>
        <w:ind w:firstLine="420" w:firstLineChars="200"/>
        <w:rPr>
          <w:rFonts w:hint="eastAsia" w:ascii="宋体" w:hAnsi="宋体" w:eastAsia="宋体" w:cs="宋体"/>
          <w:color w:val="auto"/>
          <w:szCs w:val="21"/>
          <w:highlight w:val="none"/>
        </w:rPr>
      </w:pPr>
      <w:bookmarkStart w:id="428" w:name="_Toc30329"/>
      <w:bookmarkStart w:id="429" w:name="_Toc9497"/>
      <w:bookmarkStart w:id="430" w:name="_Toc32454"/>
      <w:bookmarkStart w:id="431" w:name="_Toc26807"/>
      <w:bookmarkStart w:id="432" w:name="_Toc18683"/>
      <w:r>
        <w:rPr>
          <w:rFonts w:hint="eastAsia" w:ascii="宋体" w:hAnsi="宋体" w:eastAsia="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C7A6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D6373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82E218">
      <w:pPr>
        <w:adjustRightIn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1.8.7违约责任</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另有约定的，从其约定。</w:t>
      </w:r>
    </w:p>
    <w:bookmarkEnd w:id="428"/>
    <w:bookmarkEnd w:id="429"/>
    <w:bookmarkEnd w:id="430"/>
    <w:bookmarkEnd w:id="431"/>
    <w:bookmarkEnd w:id="432"/>
    <w:p w14:paraId="097C0FC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3" w:name="_Toc28375"/>
      <w:bookmarkStart w:id="434" w:name="_Toc16021"/>
      <w:bookmarkStart w:id="435" w:name="_Toc15583"/>
      <w:r>
        <w:rPr>
          <w:rFonts w:hint="eastAsia" w:ascii="宋体" w:hAnsi="宋体" w:eastAsia="宋体" w:cs="宋体"/>
          <w:color w:val="auto"/>
          <w:sz w:val="21"/>
          <w:szCs w:val="21"/>
          <w:highlight w:val="none"/>
        </w:rPr>
        <w:t>1.9附加条款</w:t>
      </w:r>
    </w:p>
    <w:p w14:paraId="39F14671">
      <w:pPr>
        <w:pStyle w:val="6"/>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1.9.1</w:t>
      </w:r>
      <w:r>
        <w:rPr>
          <w:rFonts w:hint="eastAsia" w:ascii="宋体" w:hAnsi="宋体" w:eastAsia="宋体" w:cs="宋体"/>
          <w:color w:val="auto"/>
          <w:szCs w:val="21"/>
          <w:highlight w:val="none"/>
          <w:shd w:val="clear" w:color="auto" w:fill="FFFFFF"/>
        </w:rPr>
        <w:t>开展浙江省交通运输科技项目研发，申报科研计划，完成大纲、中期、成果等主管部门组织的鉴定和验收，实现科技创新并推广应用，</w:t>
      </w:r>
      <w:r>
        <w:rPr>
          <w:rFonts w:hint="eastAsia" w:ascii="宋体" w:hAnsi="宋体" w:eastAsia="宋体" w:cs="宋体"/>
          <w:color w:val="auto"/>
          <w:szCs w:val="21"/>
          <w:highlight w:val="none"/>
          <w:shd w:val="clear" w:color="auto" w:fill="FFFFFF"/>
          <w:lang w:val="en-US" w:eastAsia="zh-CN"/>
        </w:rPr>
        <w:t>乙方须确保</w:t>
      </w:r>
      <w:r>
        <w:rPr>
          <w:rFonts w:hint="eastAsia" w:ascii="宋体" w:hAnsi="宋体" w:eastAsia="宋体" w:cs="宋体"/>
          <w:color w:val="auto"/>
          <w:szCs w:val="21"/>
          <w:highlight w:val="none"/>
          <w:shd w:val="clear" w:color="auto" w:fill="FFFFFF"/>
        </w:rPr>
        <w:t>研究成果创部省相关科技奖项。</w:t>
      </w:r>
    </w:p>
    <w:p w14:paraId="6016CC64">
      <w:pPr>
        <w:pStyle w:val="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2</w:t>
      </w:r>
      <w:r>
        <w:rPr>
          <w:rFonts w:hint="eastAsia" w:ascii="宋体" w:hAnsi="宋体" w:eastAsia="宋体" w:cs="宋体"/>
          <w:color w:val="auto"/>
          <w:kern w:val="0"/>
          <w:highlight w:val="none"/>
        </w:rPr>
        <w:t>乙方在履行服务期间，如被上级检查发现重大隐患，而乙方检查中未发现，视情按照合同款项的1%比例扣除。</w:t>
      </w:r>
    </w:p>
    <w:p w14:paraId="6907990F">
      <w:pPr>
        <w:pStyle w:val="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kern w:val="0"/>
          <w:highlight w:val="none"/>
        </w:rPr>
        <w:t>乙方服务期间，如发生一般等级以上事故的，且在乙方服务范畴以内，视情按照一定比例扣除合同款项，不低于合同款项的2%且不高过合同款项的10%。</w:t>
      </w:r>
    </w:p>
    <w:p w14:paraId="1AAA02F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2.0合同争议的解决</w:t>
      </w:r>
      <w:bookmarkEnd w:id="433"/>
      <w:bookmarkEnd w:id="434"/>
      <w:bookmarkEnd w:id="435"/>
    </w:p>
    <w:p w14:paraId="4ECC68C3">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Cs w:val="21"/>
          <w:highlight w:val="none"/>
          <w:u w:val="single"/>
        </w:rPr>
        <w:t xml:space="preserve"> 2.0.2 </w:t>
      </w:r>
      <w:r>
        <w:rPr>
          <w:rFonts w:hint="eastAsia" w:ascii="宋体" w:hAnsi="宋体" w:eastAsia="宋体" w:cs="宋体"/>
          <w:color w:val="auto"/>
          <w:szCs w:val="21"/>
          <w:highlight w:val="none"/>
        </w:rPr>
        <w:t>条款规定的方式解决：</w:t>
      </w:r>
    </w:p>
    <w:p w14:paraId="59FA838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2.0.1将争议提交</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仲裁委员会依申请仲裁时其现行有效的仲裁规则裁决；</w:t>
      </w:r>
    </w:p>
    <w:p w14:paraId="4B2E10F6">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2.0.2向</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人民法院起诉。</w:t>
      </w:r>
    </w:p>
    <w:p w14:paraId="7D93F7D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36" w:name="_Toc7245"/>
      <w:bookmarkStart w:id="437" w:name="_Toc15322"/>
      <w:bookmarkStart w:id="438" w:name="_Toc11173"/>
      <w:r>
        <w:rPr>
          <w:rFonts w:hint="eastAsia" w:ascii="宋体" w:hAnsi="宋体" w:eastAsia="宋体" w:cs="宋体"/>
          <w:color w:val="auto"/>
          <w:sz w:val="21"/>
          <w:szCs w:val="21"/>
          <w:highlight w:val="none"/>
        </w:rPr>
        <w:t>2.1 合同生效</w:t>
      </w:r>
      <w:bookmarkEnd w:id="436"/>
      <w:bookmarkEnd w:id="437"/>
      <w:bookmarkEnd w:id="438"/>
    </w:p>
    <w:p w14:paraId="4386B598">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本合同自双方当事人盖章签字时生效。</w:t>
      </w:r>
    </w:p>
    <w:p w14:paraId="5300C8E0">
      <w:pPr>
        <w:autoSpaceDE w:val="0"/>
        <w:autoSpaceDN w:val="0"/>
        <w:spacing w:line="360" w:lineRule="auto"/>
        <w:ind w:firstLine="422" w:firstLineChars="200"/>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甲方</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lang w:val="zh-CN"/>
        </w:rPr>
        <w:t xml:space="preserve">      乙方</w:t>
      </w:r>
      <w:r>
        <w:rPr>
          <w:rFonts w:hint="eastAsia" w:ascii="宋体" w:hAnsi="宋体" w:eastAsia="宋体" w:cs="宋体"/>
          <w:color w:val="auto"/>
          <w:szCs w:val="21"/>
          <w:highlight w:val="none"/>
          <w:lang w:val="zh-CN"/>
        </w:rPr>
        <w:t>：</w:t>
      </w:r>
    </w:p>
    <w:p w14:paraId="0D350752">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统一社会信用代码：                        统一社会信用代码或身份证号码：</w:t>
      </w:r>
    </w:p>
    <w:p w14:paraId="3EDA0AD4">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                                   住所：</w:t>
      </w:r>
    </w:p>
    <w:p w14:paraId="2E3C0451">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                             法定代表人或</w:t>
      </w:r>
    </w:p>
    <w:p w14:paraId="189F5550">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授权代表（签字）：                       授权代表（签字）： </w:t>
      </w:r>
    </w:p>
    <w:p w14:paraId="7286F0FA">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联系人：                                 联系人：</w:t>
      </w:r>
    </w:p>
    <w:p w14:paraId="5E665765">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约定送达地址：                           约定送达地址：</w:t>
      </w:r>
    </w:p>
    <w:p w14:paraId="4717EAD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邮政编码：                               邮政编码：</w:t>
      </w:r>
    </w:p>
    <w:p w14:paraId="0B6F6C9D">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电话：                                    电话： </w:t>
      </w:r>
    </w:p>
    <w:p w14:paraId="48BE9A2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传真：                                    传真：</w:t>
      </w:r>
    </w:p>
    <w:p w14:paraId="02EAB6BE">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电子邮箱：                               电子邮箱：</w:t>
      </w:r>
    </w:p>
    <w:p w14:paraId="34F2DAD7">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26676038">
      <w:pPr>
        <w:autoSpaceDE w:val="0"/>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开户名称： </w:t>
      </w:r>
    </w:p>
    <w:p w14:paraId="41950D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开户账号：                               开户账号：</w:t>
      </w:r>
    </w:p>
    <w:bookmarkEnd w:id="400"/>
    <w:bookmarkEnd w:id="401"/>
    <w:bookmarkEnd w:id="402"/>
    <w:p w14:paraId="3519753D">
      <w:pPr>
        <w:pStyle w:val="50"/>
        <w:rPr>
          <w:rFonts w:hint="eastAsia" w:ascii="宋体" w:hAnsi="宋体" w:eastAsia="宋体" w:cs="宋体"/>
          <w:color w:val="auto"/>
          <w:highlight w:val="none"/>
        </w:rPr>
      </w:pPr>
      <w:bookmarkStart w:id="439" w:name="_Toc331685783"/>
      <w:r>
        <w:rPr>
          <w:rFonts w:hint="eastAsia" w:ascii="宋体" w:hAnsi="宋体" w:eastAsia="宋体" w:cs="宋体"/>
          <w:color w:val="auto"/>
          <w:highlight w:val="none"/>
        </w:rPr>
        <w:br w:type="page"/>
      </w:r>
      <w:bookmarkStart w:id="440" w:name="_Toc126654845"/>
      <w:bookmarkStart w:id="441" w:name="_Toc132308034"/>
      <w:bookmarkStart w:id="442" w:name="_Toc97118342"/>
      <w:bookmarkStart w:id="443" w:name="_Toc97118736"/>
      <w:r>
        <w:rPr>
          <w:rFonts w:hint="eastAsia" w:ascii="宋体" w:hAnsi="宋体" w:eastAsia="宋体" w:cs="宋体"/>
          <w:color w:val="auto"/>
          <w:sz w:val="32"/>
          <w:highlight w:val="none"/>
        </w:rPr>
        <w:t>第二部分 合同一般条款</w:t>
      </w:r>
      <w:bookmarkEnd w:id="439"/>
      <w:bookmarkEnd w:id="440"/>
      <w:bookmarkEnd w:id="441"/>
      <w:bookmarkEnd w:id="442"/>
      <w:bookmarkEnd w:id="443"/>
    </w:p>
    <w:p w14:paraId="315241A5">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4" w:name="_Toc31297"/>
      <w:bookmarkStart w:id="445" w:name="_Toc25079"/>
      <w:bookmarkStart w:id="446" w:name="_Toc14021"/>
      <w:bookmarkStart w:id="447" w:name="_Toc19680"/>
      <w:bookmarkStart w:id="448" w:name="_Toc5228"/>
      <w:r>
        <w:rPr>
          <w:rFonts w:hint="eastAsia" w:ascii="宋体" w:hAnsi="宋体" w:eastAsia="宋体" w:cs="宋体"/>
          <w:color w:val="auto"/>
          <w:sz w:val="21"/>
          <w:szCs w:val="21"/>
          <w:highlight w:val="none"/>
        </w:rPr>
        <w:t>2.1 定义</w:t>
      </w:r>
      <w:bookmarkEnd w:id="444"/>
      <w:bookmarkEnd w:id="445"/>
      <w:bookmarkEnd w:id="446"/>
      <w:bookmarkEnd w:id="447"/>
      <w:bookmarkEnd w:id="448"/>
    </w:p>
    <w:p w14:paraId="6A27ED2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本合同中的下列词语应按以下内容进行解释：</w:t>
      </w:r>
    </w:p>
    <w:p w14:paraId="7FBF86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2.1.1“合同”系指采购人和中标或成交供应商签订的载明双方当事人所达成的协议，并包括所有的附件、附录和构成合同的其他文件。</w:t>
      </w:r>
    </w:p>
    <w:p w14:paraId="2DDED4A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2.1.2“合同价”系指根据合同约定，中标或成交供应商在完全履行合同义务后，采购人应支付给中标或成交供应商的价格。</w:t>
      </w:r>
    </w:p>
    <w:p w14:paraId="475D2AA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6728769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2.1.4“甲方”系指与中标或成交供应商签署合同的采购人；采购人委托采购代理机构代表其与乙方签订合同的，采购人的授权委托书作为合同附件。</w:t>
      </w:r>
    </w:p>
    <w:p w14:paraId="57522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307D4F">
      <w:pPr>
        <w:adjustRightInd/>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2.1.6“现场”系指合同约定提供服务的地点。</w:t>
      </w:r>
    </w:p>
    <w:p w14:paraId="3D196C0D">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49" w:name="_Toc16752"/>
      <w:bookmarkStart w:id="450" w:name="_Toc19539"/>
      <w:bookmarkStart w:id="451" w:name="_Toc23289"/>
      <w:bookmarkStart w:id="452" w:name="_Toc31402"/>
      <w:bookmarkStart w:id="453" w:name="_Toc3769"/>
      <w:r>
        <w:rPr>
          <w:rFonts w:hint="eastAsia" w:ascii="宋体" w:hAnsi="宋体" w:eastAsia="宋体" w:cs="宋体"/>
          <w:color w:val="auto"/>
          <w:sz w:val="21"/>
          <w:szCs w:val="21"/>
          <w:highlight w:val="none"/>
        </w:rPr>
        <w:t>2.2 技术规范</w:t>
      </w:r>
      <w:bookmarkEnd w:id="449"/>
      <w:bookmarkEnd w:id="450"/>
      <w:bookmarkEnd w:id="451"/>
      <w:bookmarkEnd w:id="452"/>
      <w:bookmarkEnd w:id="453"/>
    </w:p>
    <w:p w14:paraId="6D90BC0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5AEA15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4" w:name="_Toc9161"/>
      <w:bookmarkStart w:id="455" w:name="_Toc4133"/>
      <w:bookmarkStart w:id="456" w:name="_Toc27945"/>
      <w:bookmarkStart w:id="457" w:name="_Toc13673"/>
      <w:bookmarkStart w:id="458" w:name="_Toc12412"/>
      <w:r>
        <w:rPr>
          <w:rFonts w:hint="eastAsia" w:ascii="宋体" w:hAnsi="宋体" w:eastAsia="宋体" w:cs="宋体"/>
          <w:color w:val="auto"/>
          <w:sz w:val="21"/>
          <w:szCs w:val="21"/>
          <w:highlight w:val="none"/>
        </w:rPr>
        <w:t>2.3 知识产权</w:t>
      </w:r>
      <w:bookmarkEnd w:id="454"/>
      <w:bookmarkEnd w:id="455"/>
      <w:bookmarkEnd w:id="456"/>
      <w:bookmarkEnd w:id="457"/>
      <w:bookmarkEnd w:id="458"/>
    </w:p>
    <w:p w14:paraId="4746994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AE5553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2.3.2合同涉及技术成果的归属和收益的分成办法的，详见合同专用条款。</w:t>
      </w:r>
    </w:p>
    <w:p w14:paraId="7469796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履约检查和问题反馈</w:t>
      </w:r>
    </w:p>
    <w:p w14:paraId="43C3213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C151A1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2.4.2合同履行期间，甲方有权将履行过程中出现的问题反馈给乙方，双方当事人应以书面形式约定需要完善和改进的内容。</w:t>
      </w:r>
    </w:p>
    <w:p w14:paraId="5F989B89">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59" w:name="_Toc32670"/>
      <w:bookmarkStart w:id="460" w:name="_Toc22011"/>
      <w:bookmarkStart w:id="461" w:name="_Toc26555"/>
      <w:bookmarkStart w:id="462" w:name="_Toc15447"/>
      <w:bookmarkStart w:id="463" w:name="_Toc31233"/>
      <w:r>
        <w:rPr>
          <w:rFonts w:hint="eastAsia" w:ascii="宋体" w:hAnsi="宋体" w:eastAsia="宋体" w:cs="宋体"/>
          <w:color w:val="auto"/>
          <w:sz w:val="21"/>
          <w:szCs w:val="21"/>
          <w:highlight w:val="none"/>
        </w:rPr>
        <w:t>2.5 结算方式和付款条件</w:t>
      </w:r>
      <w:bookmarkEnd w:id="459"/>
      <w:bookmarkEnd w:id="460"/>
      <w:bookmarkEnd w:id="461"/>
      <w:bookmarkEnd w:id="462"/>
      <w:bookmarkEnd w:id="463"/>
    </w:p>
    <w:p w14:paraId="52588255">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067A145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4" w:name="_Toc13154"/>
      <w:bookmarkStart w:id="465" w:name="_Toc18990"/>
      <w:bookmarkStart w:id="466" w:name="_Toc16163"/>
      <w:bookmarkStart w:id="467" w:name="_Toc30507"/>
      <w:bookmarkStart w:id="468" w:name="_Toc13467"/>
      <w:r>
        <w:rPr>
          <w:rFonts w:hint="eastAsia" w:ascii="宋体" w:hAnsi="宋体" w:eastAsia="宋体" w:cs="宋体"/>
          <w:color w:val="auto"/>
          <w:sz w:val="21"/>
          <w:szCs w:val="21"/>
          <w:highlight w:val="none"/>
        </w:rPr>
        <w:t>2.6 技术资料和保密义务</w:t>
      </w:r>
      <w:bookmarkEnd w:id="464"/>
      <w:bookmarkEnd w:id="465"/>
      <w:bookmarkEnd w:id="466"/>
      <w:bookmarkEnd w:id="467"/>
      <w:bookmarkEnd w:id="468"/>
    </w:p>
    <w:p w14:paraId="0CEF808F">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2.6.1乙方有权依据合同约定和项目需要，向甲方了解有关情况，调阅有关资料等，甲方应予积极配合；</w:t>
      </w:r>
    </w:p>
    <w:p w14:paraId="2B05D30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2.6.2乙方有义务妥善保管和保护由甲方提供的前款信息和资料等；</w:t>
      </w:r>
    </w:p>
    <w:p w14:paraId="1A8673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B3C130">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69" w:name="_Toc19069"/>
      <w:r>
        <w:rPr>
          <w:rFonts w:hint="eastAsia" w:ascii="宋体" w:hAnsi="宋体" w:eastAsia="宋体" w:cs="宋体"/>
          <w:color w:val="auto"/>
          <w:sz w:val="21"/>
          <w:szCs w:val="21"/>
          <w:highlight w:val="none"/>
        </w:rPr>
        <w:t>2.7 质量保证</w:t>
      </w:r>
      <w:bookmarkEnd w:id="469"/>
    </w:p>
    <w:p w14:paraId="667B86CC">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2.7.1乙方应建立和完善履行合同的内部质量保证体系，并提供相关内部规章制度给甲方，以便甲方进行监督检查；</w:t>
      </w:r>
    </w:p>
    <w:p w14:paraId="68DC6DB4">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2.7.2乙方应保证履行合同的人员数量和素质、软件和硬件设备的配置、场地、环境和设施等满足全面履行合同的要求，并应接受甲方的监督检查。</w:t>
      </w:r>
    </w:p>
    <w:p w14:paraId="1983F01B">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0" w:name="_Toc22267"/>
      <w:r>
        <w:rPr>
          <w:rFonts w:hint="eastAsia" w:ascii="宋体" w:hAnsi="宋体" w:eastAsia="宋体" w:cs="宋体"/>
          <w:color w:val="auto"/>
          <w:sz w:val="21"/>
          <w:szCs w:val="21"/>
          <w:highlight w:val="none"/>
        </w:rPr>
        <w:t>2.8 延迟履行</w:t>
      </w:r>
      <w:bookmarkEnd w:id="470"/>
    </w:p>
    <w:p w14:paraId="4E19A67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3D501C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1" w:name="_Toc10611"/>
      <w:r>
        <w:rPr>
          <w:rFonts w:hint="eastAsia" w:ascii="宋体" w:hAnsi="宋体" w:eastAsia="宋体" w:cs="宋体"/>
          <w:color w:val="auto"/>
          <w:sz w:val="21"/>
          <w:szCs w:val="21"/>
          <w:highlight w:val="none"/>
        </w:rPr>
        <w:t>2.9 合同变更</w:t>
      </w:r>
      <w:bookmarkEnd w:id="471"/>
    </w:p>
    <w:p w14:paraId="3C30D0B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748B982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2" w:name="_Toc23368"/>
      <w:bookmarkStart w:id="473" w:name="_Toc10663"/>
      <w:bookmarkStart w:id="474" w:name="_Toc42"/>
      <w:bookmarkStart w:id="475" w:name="_Toc21830"/>
      <w:bookmarkStart w:id="476" w:name="_Toc26689"/>
      <w:r>
        <w:rPr>
          <w:rFonts w:hint="eastAsia" w:ascii="宋体" w:hAnsi="宋体" w:eastAsia="宋体" w:cs="宋体"/>
          <w:color w:val="auto"/>
          <w:sz w:val="21"/>
          <w:szCs w:val="21"/>
          <w:highlight w:val="none"/>
        </w:rPr>
        <w:t>2.10 合同转让和分包</w:t>
      </w:r>
      <w:bookmarkEnd w:id="472"/>
      <w:bookmarkEnd w:id="473"/>
      <w:bookmarkEnd w:id="474"/>
      <w:bookmarkEnd w:id="475"/>
      <w:bookmarkEnd w:id="476"/>
    </w:p>
    <w:p w14:paraId="503C341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8730FF">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77" w:name="_Toc26633"/>
      <w:bookmarkStart w:id="478" w:name="_Toc14371"/>
      <w:bookmarkStart w:id="479" w:name="_Toc4720"/>
      <w:bookmarkStart w:id="480" w:name="_Toc32494"/>
      <w:bookmarkStart w:id="481" w:name="_Toc25571"/>
      <w:r>
        <w:rPr>
          <w:rFonts w:hint="eastAsia" w:ascii="宋体" w:hAnsi="宋体" w:eastAsia="宋体" w:cs="宋体"/>
          <w:color w:val="auto"/>
          <w:sz w:val="21"/>
          <w:szCs w:val="21"/>
          <w:highlight w:val="none"/>
        </w:rPr>
        <w:t>2.11 不可抗力</w:t>
      </w:r>
      <w:bookmarkEnd w:id="477"/>
      <w:bookmarkEnd w:id="478"/>
      <w:bookmarkEnd w:id="479"/>
      <w:bookmarkEnd w:id="480"/>
      <w:bookmarkEnd w:id="481"/>
    </w:p>
    <w:p w14:paraId="066DD0B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2.11.1如果任何一方遭遇法律规定的不可抗力，致使合同履行受阻时，履行合同的期限应予延长，延长的期限应相当于不可抗力所影响的时间；</w:t>
      </w:r>
    </w:p>
    <w:p w14:paraId="002DF52E">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2.11.2因不可抗力致使不能实现合同目的的，当事人可以解除合同；</w:t>
      </w:r>
    </w:p>
    <w:p w14:paraId="7CD1AA56">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2.11.3因不可抗力致使合同有变更必要的，双方当事人应在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约定时间内以书面形式变更合同；</w:t>
      </w:r>
    </w:p>
    <w:p w14:paraId="70355A2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2.11.4受不可抗力影响的一方在不可抗力发生后，应在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约定时间内以书面形式通知对方当事人，并在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约定时间内，将有关部门出具的证明文件送达对方当事人。</w:t>
      </w:r>
    </w:p>
    <w:p w14:paraId="7FFAB878">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2" w:name="_Toc25783"/>
      <w:bookmarkStart w:id="483" w:name="_Toc23854"/>
      <w:bookmarkStart w:id="484" w:name="_Toc14115"/>
      <w:bookmarkStart w:id="485" w:name="_Toc3638"/>
      <w:bookmarkStart w:id="486" w:name="_Toc24465"/>
      <w:r>
        <w:rPr>
          <w:rFonts w:hint="eastAsia" w:ascii="宋体" w:hAnsi="宋体" w:eastAsia="宋体" w:cs="宋体"/>
          <w:color w:val="auto"/>
          <w:sz w:val="21"/>
          <w:szCs w:val="21"/>
          <w:highlight w:val="none"/>
        </w:rPr>
        <w:t>2.12 税费</w:t>
      </w:r>
      <w:bookmarkEnd w:id="482"/>
      <w:bookmarkEnd w:id="483"/>
      <w:bookmarkEnd w:id="484"/>
      <w:bookmarkEnd w:id="485"/>
      <w:bookmarkEnd w:id="486"/>
    </w:p>
    <w:p w14:paraId="79C4909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与合同有关的一切税费，均按照中华人民共和国法律的相关规定缴纳。</w:t>
      </w:r>
    </w:p>
    <w:p w14:paraId="28DE9E9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87" w:name="_Toc14814"/>
      <w:bookmarkStart w:id="488" w:name="_Toc7315"/>
      <w:bookmarkStart w:id="489" w:name="_Toc30105"/>
      <w:bookmarkStart w:id="490" w:name="_Toc25525"/>
      <w:bookmarkStart w:id="491" w:name="_Toc26883"/>
      <w:r>
        <w:rPr>
          <w:rFonts w:hint="eastAsia" w:ascii="宋体" w:hAnsi="宋体" w:eastAsia="宋体" w:cs="宋体"/>
          <w:color w:val="auto"/>
          <w:sz w:val="21"/>
          <w:szCs w:val="21"/>
          <w:highlight w:val="none"/>
        </w:rPr>
        <w:t>2.13 乙方破产</w:t>
      </w:r>
      <w:bookmarkEnd w:id="487"/>
      <w:bookmarkEnd w:id="488"/>
      <w:bookmarkEnd w:id="489"/>
      <w:bookmarkEnd w:id="490"/>
      <w:bookmarkEnd w:id="491"/>
    </w:p>
    <w:p w14:paraId="57A12C8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6012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2" w:name="_Toc23323"/>
      <w:bookmarkStart w:id="493" w:name="_Toc1123"/>
      <w:bookmarkStart w:id="494" w:name="_Toc2016"/>
      <w:r>
        <w:rPr>
          <w:rFonts w:hint="eastAsia" w:ascii="宋体" w:hAnsi="宋体" w:eastAsia="宋体" w:cs="宋体"/>
          <w:color w:val="auto"/>
          <w:sz w:val="21"/>
          <w:szCs w:val="21"/>
          <w:highlight w:val="none"/>
        </w:rPr>
        <w:t>2.14 合同中止、终止</w:t>
      </w:r>
      <w:bookmarkEnd w:id="492"/>
      <w:bookmarkEnd w:id="493"/>
      <w:bookmarkEnd w:id="494"/>
    </w:p>
    <w:p w14:paraId="6C530D3D">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2.14.1双方当事人不得擅自中止或者终止合同；</w:t>
      </w:r>
    </w:p>
    <w:p w14:paraId="375A02FB">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6A08928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5" w:name="_Toc14525"/>
      <w:bookmarkStart w:id="496" w:name="_Toc1969"/>
      <w:bookmarkStart w:id="497" w:name="_Toc17363"/>
      <w:r>
        <w:rPr>
          <w:rFonts w:hint="eastAsia" w:ascii="宋体" w:hAnsi="宋体" w:eastAsia="宋体" w:cs="宋体"/>
          <w:color w:val="auto"/>
          <w:sz w:val="21"/>
          <w:szCs w:val="21"/>
          <w:highlight w:val="none"/>
        </w:rPr>
        <w:t>2.15 检验和验收</w:t>
      </w:r>
      <w:bookmarkEnd w:id="495"/>
      <w:bookmarkEnd w:id="496"/>
      <w:bookmarkEnd w:id="497"/>
    </w:p>
    <w:p w14:paraId="62C5EC2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2.15.1乙方按照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的约定，定期提交服务报告，甲方按照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的约定进行定期验收；</w:t>
      </w:r>
    </w:p>
    <w:p w14:paraId="5EECE011">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E43365">
      <w:pPr>
        <w:tabs>
          <w:tab w:val="left" w:pos="360"/>
          <w:tab w:val="left" w:pos="540"/>
          <w:tab w:val="left" w:pos="1080"/>
        </w:tabs>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2.15.3检验和验收标准、程序等具体内容以及前述验收书的效力详见</w:t>
      </w:r>
      <w:r>
        <w:rPr>
          <w:rFonts w:hint="eastAsia" w:ascii="宋体" w:hAnsi="宋体" w:eastAsia="宋体" w:cs="宋体"/>
          <w:b/>
          <w:i/>
          <w:color w:val="auto"/>
          <w:szCs w:val="21"/>
          <w:highlight w:val="none"/>
          <w:u w:val="single"/>
        </w:rPr>
        <w:t>合同专用条款</w:t>
      </w:r>
      <w:r>
        <w:rPr>
          <w:rFonts w:hint="eastAsia" w:ascii="宋体" w:hAnsi="宋体" w:eastAsia="宋体" w:cs="宋体"/>
          <w:i/>
          <w:color w:val="auto"/>
          <w:szCs w:val="21"/>
          <w:highlight w:val="none"/>
        </w:rPr>
        <w:t>。</w:t>
      </w:r>
    </w:p>
    <w:p w14:paraId="61123BE2">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498" w:name="_Toc2308"/>
      <w:bookmarkStart w:id="499" w:name="_Toc9808"/>
      <w:bookmarkStart w:id="500" w:name="_Toc31892"/>
      <w:bookmarkStart w:id="501" w:name="_Toc12666"/>
      <w:bookmarkStart w:id="502" w:name="_Toc25198"/>
      <w:r>
        <w:rPr>
          <w:rFonts w:hint="eastAsia" w:ascii="宋体" w:hAnsi="宋体" w:eastAsia="宋体" w:cs="宋体"/>
          <w:color w:val="auto"/>
          <w:sz w:val="21"/>
          <w:szCs w:val="21"/>
          <w:highlight w:val="none"/>
        </w:rPr>
        <w:t>2.16 通知和送达</w:t>
      </w:r>
      <w:bookmarkEnd w:id="498"/>
      <w:bookmarkEnd w:id="499"/>
      <w:bookmarkEnd w:id="500"/>
      <w:bookmarkEnd w:id="501"/>
      <w:bookmarkEnd w:id="502"/>
    </w:p>
    <w:p w14:paraId="535A403F">
      <w:pPr>
        <w:wordWrap w:val="0"/>
        <w:adjustRightInd/>
        <w:spacing w:line="360" w:lineRule="auto"/>
        <w:ind w:firstLine="420" w:firstLineChars="200"/>
        <w:rPr>
          <w:rFonts w:hint="eastAsia" w:ascii="宋体" w:hAnsi="宋体" w:eastAsia="宋体" w:cs="宋体"/>
          <w:color w:val="auto"/>
          <w:szCs w:val="21"/>
          <w:highlight w:val="none"/>
        </w:rPr>
      </w:pPr>
      <w:bookmarkStart w:id="503" w:name="_Toc18401"/>
      <w:bookmarkStart w:id="504" w:name="_Toc27674"/>
      <w:r>
        <w:rPr>
          <w:rFonts w:hint="eastAsia" w:ascii="宋体" w:hAnsi="宋体" w:eastAsia="宋体" w:cs="宋体"/>
          <w:color w:val="auto"/>
          <w:szCs w:val="21"/>
          <w:highlight w:val="none"/>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2DEB167">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25206C7E">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05" w:name="_Toc12254"/>
      <w:bookmarkStart w:id="506" w:name="_Toc5063"/>
      <w:bookmarkStart w:id="507" w:name="_Toc27644"/>
      <w:bookmarkStart w:id="508" w:name="_Toc20808"/>
      <w:bookmarkStart w:id="509" w:name="_Toc28906"/>
      <w:r>
        <w:rPr>
          <w:rFonts w:hint="eastAsia" w:ascii="宋体" w:hAnsi="宋体" w:eastAsia="宋体" w:cs="宋体"/>
          <w:color w:val="auto"/>
          <w:sz w:val="21"/>
          <w:szCs w:val="21"/>
          <w:highlight w:val="none"/>
        </w:rPr>
        <w:t>2.17 合同使用的文字和适用的法律</w:t>
      </w:r>
      <w:bookmarkEnd w:id="505"/>
      <w:bookmarkEnd w:id="506"/>
      <w:bookmarkEnd w:id="507"/>
      <w:bookmarkEnd w:id="508"/>
      <w:bookmarkEnd w:id="509"/>
    </w:p>
    <w:p w14:paraId="69D4B0C0">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2.17.1 合同使用汉语书就、变更和解释；</w:t>
      </w:r>
    </w:p>
    <w:p w14:paraId="063C7D5A">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2.17.2 合同适用中华人民共和国法律。</w:t>
      </w:r>
    </w:p>
    <w:p w14:paraId="5BC67A79">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bookmarkStart w:id="510" w:name="_Toc18540"/>
      <w:bookmarkStart w:id="511" w:name="_Toc4355"/>
      <w:bookmarkStart w:id="512" w:name="_Toc30599"/>
      <w:r>
        <w:rPr>
          <w:rFonts w:hint="eastAsia" w:ascii="宋体" w:hAnsi="宋体" w:eastAsia="宋体" w:cs="宋体"/>
          <w:color w:val="auto"/>
          <w:sz w:val="21"/>
          <w:szCs w:val="21"/>
          <w:highlight w:val="none"/>
        </w:rPr>
        <w:t>2.18 计量单位</w:t>
      </w:r>
      <w:bookmarkEnd w:id="510"/>
      <w:bookmarkEnd w:id="511"/>
      <w:bookmarkEnd w:id="512"/>
    </w:p>
    <w:p w14:paraId="38B063C0">
      <w:pPr>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除技术规范中另有规定外,合同的计量单位均使用国家法定计量单位。</w:t>
      </w:r>
    </w:p>
    <w:p w14:paraId="683BDDC7">
      <w:pPr>
        <w:pStyle w:val="5"/>
        <w:adjustRightInd/>
        <w:spacing w:before="319" w:beforeLines="100" w:after="319" w:afterLines="100" w:line="240" w:lineRule="auto"/>
        <w:ind w:lef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2.19合同份数</w:t>
      </w:r>
    </w:p>
    <w:p w14:paraId="0DB1F099">
      <w:pPr>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合同份数按</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规定，每份均具有同等法律效力。</w:t>
      </w:r>
    </w:p>
    <w:p w14:paraId="67160B69">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p>
    <w:p w14:paraId="243056FD">
      <w:pPr>
        <w:pStyle w:val="50"/>
        <w:spacing w:before="319" w:beforeLines="100" w:after="319" w:afterLines="100"/>
        <w:rPr>
          <w:rFonts w:hint="eastAsia" w:ascii="宋体" w:hAnsi="宋体" w:eastAsia="宋体" w:cs="宋体"/>
          <w:color w:val="auto"/>
          <w:sz w:val="32"/>
          <w:highlight w:val="none"/>
        </w:rPr>
      </w:pPr>
      <w:bookmarkStart w:id="513" w:name="_Toc126654846"/>
      <w:bookmarkStart w:id="514" w:name="_Toc132308035"/>
      <w:r>
        <w:rPr>
          <w:rFonts w:hint="eastAsia" w:ascii="宋体" w:hAnsi="宋体" w:eastAsia="宋体" w:cs="宋体"/>
          <w:color w:val="auto"/>
          <w:sz w:val="32"/>
          <w:highlight w:val="none"/>
        </w:rPr>
        <w:t>第三部分 合同专用条款</w:t>
      </w:r>
      <w:bookmarkEnd w:id="513"/>
      <w:bookmarkEnd w:id="514"/>
    </w:p>
    <w:p w14:paraId="6AF13A2F">
      <w:pPr>
        <w:pStyle w:val="6"/>
        <w:adjustRightInd/>
        <w:spacing w:line="360" w:lineRule="auto"/>
        <w:ind w:firstLine="420" w:firstLineChars="200"/>
        <w:rPr>
          <w:rFonts w:hint="eastAsia" w:ascii="宋体" w:hAnsi="宋体" w:eastAsia="宋体" w:cs="宋体"/>
          <w:b/>
          <w:i/>
          <w:color w:val="auto"/>
          <w:sz w:val="24"/>
          <w:szCs w:val="24"/>
          <w:highlight w:val="none"/>
          <w:u w:val="singl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41"/>
        <w:gridCol w:w="8560"/>
      </w:tblGrid>
      <w:tr w14:paraId="3B2A2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633" w:type="pct"/>
            <w:tcBorders>
              <w:tl2br w:val="nil"/>
              <w:tr2bl w:val="nil"/>
            </w:tcBorders>
            <w:vAlign w:val="center"/>
          </w:tcPr>
          <w:p w14:paraId="76BEEFCD">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4366" w:type="pct"/>
            <w:tcBorders>
              <w:tl2br w:val="nil"/>
              <w:tr2bl w:val="nil"/>
            </w:tcBorders>
            <w:vAlign w:val="center"/>
          </w:tcPr>
          <w:p w14:paraId="5ADA125F">
            <w:pPr>
              <w:keepLines/>
              <w:wordWrap w:val="0"/>
              <w:topLinePunct/>
              <w:adjustRightInd/>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约定内容</w:t>
            </w:r>
          </w:p>
        </w:tc>
      </w:tr>
      <w:tr w14:paraId="0B90E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633" w:type="pct"/>
            <w:tcBorders>
              <w:tl2br w:val="nil"/>
              <w:tr2bl w:val="nil"/>
            </w:tcBorders>
            <w:vAlign w:val="center"/>
          </w:tcPr>
          <w:p w14:paraId="698AFDDD">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4366" w:type="pct"/>
            <w:tcBorders>
              <w:tl2br w:val="nil"/>
              <w:tr2bl w:val="nil"/>
            </w:tcBorders>
            <w:vAlign w:val="center"/>
          </w:tcPr>
          <w:p w14:paraId="1F90AB98">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服务工作量的计量方式：</w:t>
            </w:r>
            <w:r>
              <w:rPr>
                <w:rFonts w:hint="eastAsia" w:ascii="宋体" w:hAnsi="宋体" w:eastAsia="宋体" w:cs="宋体"/>
                <w:color w:val="auto"/>
                <w:szCs w:val="21"/>
                <w:highlight w:val="none"/>
                <w:u w:val="single"/>
              </w:rPr>
              <w:t xml:space="preserve"> / </w:t>
            </w:r>
          </w:p>
        </w:tc>
      </w:tr>
      <w:tr w14:paraId="3C16F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301C6E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4366" w:type="pct"/>
            <w:tcBorders>
              <w:tl2br w:val="nil"/>
              <w:tr2bl w:val="nil"/>
            </w:tcBorders>
            <w:vAlign w:val="center"/>
          </w:tcPr>
          <w:p w14:paraId="7AFE96B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履约保证金支付方式：</w:t>
            </w:r>
            <w:r>
              <w:rPr>
                <w:rFonts w:hint="eastAsia" w:ascii="宋体" w:hAnsi="宋体" w:eastAsia="宋体" w:cs="宋体"/>
                <w:color w:val="auto"/>
                <w:szCs w:val="21"/>
                <w:highlight w:val="none"/>
                <w:u w:val="single"/>
              </w:rPr>
              <w:t xml:space="preserve"> / </w:t>
            </w:r>
          </w:p>
        </w:tc>
      </w:tr>
      <w:tr w14:paraId="52167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13" w:hRule="exact"/>
          <w:jc w:val="center"/>
        </w:trPr>
        <w:tc>
          <w:tcPr>
            <w:tcW w:w="633" w:type="pct"/>
            <w:tcBorders>
              <w:tl2br w:val="nil"/>
              <w:tr2bl w:val="nil"/>
            </w:tcBorders>
            <w:vAlign w:val="center"/>
          </w:tcPr>
          <w:p w14:paraId="53F6186B">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4366" w:type="pct"/>
            <w:tcBorders>
              <w:tl2br w:val="nil"/>
              <w:tr2bl w:val="nil"/>
            </w:tcBorders>
            <w:vAlign w:val="center"/>
          </w:tcPr>
          <w:p w14:paraId="521FA993">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预付款比例：</w:t>
            </w:r>
            <w:r>
              <w:rPr>
                <w:rFonts w:hint="eastAsia" w:ascii="宋体" w:hAnsi="宋体" w:eastAsia="宋体" w:cs="宋体"/>
                <w:color w:val="auto"/>
                <w:szCs w:val="21"/>
                <w:highlight w:val="none"/>
                <w:u w:val="single"/>
              </w:rPr>
              <w:t xml:space="preserve">                   </w:t>
            </w:r>
          </w:p>
          <w:p w14:paraId="63390F4A">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预付款支付方式：</w:t>
            </w:r>
            <w:r>
              <w:rPr>
                <w:rFonts w:hint="eastAsia" w:ascii="宋体" w:hAnsi="宋体" w:eastAsia="宋体" w:cs="宋体"/>
                <w:color w:val="auto"/>
                <w:szCs w:val="21"/>
                <w:highlight w:val="none"/>
                <w:u w:val="single"/>
              </w:rPr>
              <w:t xml:space="preserve">               </w:t>
            </w:r>
          </w:p>
          <w:p w14:paraId="2C33811F">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预付款支付时间：</w:t>
            </w:r>
            <w:r>
              <w:rPr>
                <w:rFonts w:hint="eastAsia" w:ascii="宋体" w:hAnsi="宋体" w:eastAsia="宋体" w:cs="宋体"/>
                <w:color w:val="auto"/>
                <w:szCs w:val="21"/>
                <w:highlight w:val="none"/>
                <w:u w:val="single"/>
              </w:rPr>
              <w:t xml:space="preserve">               </w:t>
            </w:r>
          </w:p>
        </w:tc>
      </w:tr>
      <w:tr w14:paraId="76C06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C1599A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4366" w:type="pct"/>
            <w:tcBorders>
              <w:tl2br w:val="nil"/>
              <w:tr2bl w:val="nil"/>
            </w:tcBorders>
            <w:vAlign w:val="center"/>
          </w:tcPr>
          <w:p w14:paraId="34479597">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预付款的扣回方式：</w:t>
            </w:r>
            <w:r>
              <w:rPr>
                <w:rFonts w:hint="eastAsia" w:ascii="宋体" w:hAnsi="宋体" w:eastAsia="宋体" w:cs="宋体"/>
                <w:color w:val="auto"/>
                <w:szCs w:val="21"/>
                <w:highlight w:val="none"/>
                <w:u w:val="single"/>
              </w:rPr>
              <w:t>不扣回，资金支付时转为合同款</w:t>
            </w:r>
          </w:p>
        </w:tc>
      </w:tr>
      <w:tr w14:paraId="4F8B7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107C3B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4366" w:type="pct"/>
            <w:tcBorders>
              <w:tl2br w:val="nil"/>
              <w:tr2bl w:val="nil"/>
            </w:tcBorders>
            <w:vAlign w:val="center"/>
          </w:tcPr>
          <w:p w14:paraId="1F98476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预付款的担保措施：</w:t>
            </w:r>
            <w:r>
              <w:rPr>
                <w:rFonts w:hint="eastAsia" w:ascii="宋体" w:hAnsi="宋体" w:eastAsia="宋体" w:cs="宋体"/>
                <w:color w:val="auto"/>
                <w:szCs w:val="21"/>
                <w:highlight w:val="none"/>
                <w:u w:val="single"/>
              </w:rPr>
              <w:t xml:space="preserve"> 无 </w:t>
            </w:r>
          </w:p>
        </w:tc>
      </w:tr>
      <w:tr w14:paraId="01BF4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767FA61">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4366" w:type="pct"/>
            <w:tcBorders>
              <w:tl2br w:val="nil"/>
              <w:tr2bl w:val="nil"/>
            </w:tcBorders>
            <w:vAlign w:val="center"/>
          </w:tcPr>
          <w:p w14:paraId="6CD723B3">
            <w:pPr>
              <w:keepLines/>
              <w:wordWrap w:val="0"/>
              <w:topLinePunct/>
              <w:adjustRightInd/>
              <w:spacing w:line="360" w:lineRule="auto"/>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资金支付的方式、时间和条件：                   </w:t>
            </w:r>
          </w:p>
        </w:tc>
      </w:tr>
      <w:tr w14:paraId="78BDD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1361EB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4366" w:type="pct"/>
            <w:tcBorders>
              <w:tl2br w:val="nil"/>
              <w:tr2bl w:val="nil"/>
            </w:tcBorders>
            <w:vAlign w:val="center"/>
          </w:tcPr>
          <w:p w14:paraId="01730A8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服务交付（实施）的时间（期限）：</w:t>
            </w:r>
            <w:r>
              <w:rPr>
                <w:rFonts w:hint="eastAsia" w:ascii="宋体" w:hAnsi="宋体" w:eastAsia="宋体" w:cs="宋体"/>
                <w:color w:val="auto"/>
                <w:szCs w:val="21"/>
                <w:highlight w:val="none"/>
                <w:u w:val="single"/>
              </w:rPr>
              <w:t xml:space="preserve">             </w:t>
            </w:r>
          </w:p>
        </w:tc>
      </w:tr>
      <w:tr w14:paraId="7AB42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3C5F030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4366" w:type="pct"/>
            <w:tcBorders>
              <w:tl2br w:val="nil"/>
              <w:tr2bl w:val="nil"/>
            </w:tcBorders>
            <w:vAlign w:val="center"/>
          </w:tcPr>
          <w:p w14:paraId="2D1365E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服务交付（实施）的地点（地域范围）：</w:t>
            </w:r>
            <w:r>
              <w:rPr>
                <w:rFonts w:hint="eastAsia" w:ascii="宋体" w:hAnsi="宋体" w:eastAsia="宋体" w:cs="宋体"/>
                <w:color w:val="auto"/>
                <w:szCs w:val="21"/>
                <w:highlight w:val="none"/>
                <w:u w:val="single"/>
              </w:rPr>
              <w:t xml:space="preserve">         </w:t>
            </w:r>
          </w:p>
        </w:tc>
      </w:tr>
      <w:tr w14:paraId="30F7F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6" w:hRule="exact"/>
          <w:jc w:val="center"/>
        </w:trPr>
        <w:tc>
          <w:tcPr>
            <w:tcW w:w="633" w:type="pct"/>
            <w:tcBorders>
              <w:tl2br w:val="nil"/>
              <w:tr2bl w:val="nil"/>
            </w:tcBorders>
            <w:vAlign w:val="center"/>
          </w:tcPr>
          <w:p w14:paraId="6C1CD45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p>
        </w:tc>
        <w:tc>
          <w:tcPr>
            <w:tcW w:w="4366" w:type="pct"/>
            <w:tcBorders>
              <w:tl2br w:val="nil"/>
              <w:tr2bl w:val="nil"/>
            </w:tcBorders>
            <w:vAlign w:val="center"/>
          </w:tcPr>
          <w:p w14:paraId="1D4E1BB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服务交付（实施）的方式：</w:t>
            </w:r>
            <w:r>
              <w:rPr>
                <w:rFonts w:hint="eastAsia" w:ascii="宋体" w:hAnsi="宋体" w:eastAsia="宋体" w:cs="宋体"/>
                <w:color w:val="auto"/>
                <w:szCs w:val="21"/>
                <w:highlight w:val="none"/>
                <w:u w:val="single"/>
              </w:rPr>
              <w:t>采购标的的所有内容均由乙方负责，完成本项目各项服务可能发生的全部费用均包含在合同总价中。</w:t>
            </w:r>
          </w:p>
        </w:tc>
      </w:tr>
      <w:tr w14:paraId="045CC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57C649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4366" w:type="pct"/>
            <w:tcBorders>
              <w:tl2br w:val="nil"/>
              <w:tr2bl w:val="nil"/>
            </w:tcBorders>
            <w:vAlign w:val="center"/>
          </w:tcPr>
          <w:p w14:paraId="62ACF792">
            <w:pPr>
              <w:keepLines/>
              <w:wordWrap w:val="0"/>
              <w:topLinePunct/>
              <w:adjustRightInd/>
              <w:ind w:left="105" w:leftChars="50" w:right="105" w:right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交付期限：</w:t>
            </w:r>
            <w:r>
              <w:rPr>
                <w:rFonts w:hint="eastAsia" w:ascii="宋体" w:hAnsi="宋体" w:eastAsia="宋体" w:cs="宋体"/>
                <w:color w:val="auto"/>
                <w:szCs w:val="21"/>
                <w:highlight w:val="none"/>
                <w:u w:val="single"/>
              </w:rPr>
              <w:t>同1.7.1款</w:t>
            </w:r>
          </w:p>
        </w:tc>
      </w:tr>
      <w:tr w14:paraId="6A8B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A83AC9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1.7.4.2</w:t>
            </w:r>
          </w:p>
        </w:tc>
        <w:tc>
          <w:tcPr>
            <w:tcW w:w="4366" w:type="pct"/>
            <w:tcBorders>
              <w:tl2br w:val="nil"/>
              <w:tr2bl w:val="nil"/>
            </w:tcBorders>
            <w:vAlign w:val="center"/>
          </w:tcPr>
          <w:p w14:paraId="4AC8340F">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w:t>
            </w:r>
            <w:r>
              <w:rPr>
                <w:rFonts w:hint="eastAsia" w:ascii="宋体" w:hAnsi="宋体" w:eastAsia="宋体" w:cs="宋体"/>
                <w:color w:val="auto"/>
                <w:szCs w:val="21"/>
                <w:highlight w:val="none"/>
                <w:u w:val="single"/>
              </w:rPr>
              <w:t>甲方指定地点</w:t>
            </w:r>
          </w:p>
        </w:tc>
      </w:tr>
      <w:tr w14:paraId="1B37F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773DDDC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1.7.4.3</w:t>
            </w:r>
          </w:p>
        </w:tc>
        <w:tc>
          <w:tcPr>
            <w:tcW w:w="4366" w:type="pct"/>
            <w:tcBorders>
              <w:tl2br w:val="nil"/>
              <w:tr2bl w:val="nil"/>
            </w:tcBorders>
            <w:vAlign w:val="center"/>
          </w:tcPr>
          <w:p w14:paraId="48DC1232">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r>
              <w:rPr>
                <w:rFonts w:hint="eastAsia" w:ascii="宋体" w:hAnsi="宋体" w:eastAsia="宋体" w:cs="宋体"/>
                <w:color w:val="auto"/>
                <w:szCs w:val="21"/>
                <w:highlight w:val="none"/>
                <w:u w:val="single"/>
              </w:rPr>
              <w:t>同1.7.3款</w:t>
            </w:r>
          </w:p>
        </w:tc>
      </w:tr>
      <w:tr w14:paraId="53F61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061AE30">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w:t>
            </w:r>
          </w:p>
        </w:tc>
        <w:tc>
          <w:tcPr>
            <w:tcW w:w="4366" w:type="pct"/>
            <w:tcBorders>
              <w:tl2br w:val="nil"/>
              <w:tr2bl w:val="nil"/>
            </w:tcBorders>
            <w:vAlign w:val="center"/>
          </w:tcPr>
          <w:p w14:paraId="4FF8C750">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违约责任特殊约定：</w:t>
            </w:r>
            <w:r>
              <w:rPr>
                <w:rFonts w:hint="eastAsia" w:ascii="宋体" w:hAnsi="宋体" w:eastAsia="宋体" w:cs="宋体"/>
                <w:color w:val="auto"/>
                <w:szCs w:val="21"/>
                <w:highlight w:val="none"/>
                <w:u w:val="single"/>
              </w:rPr>
              <w:t xml:space="preserve"> / </w:t>
            </w:r>
          </w:p>
        </w:tc>
      </w:tr>
      <w:tr w14:paraId="4303D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BA3DE4C">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4366" w:type="pct"/>
            <w:tcBorders>
              <w:tl2br w:val="nil"/>
              <w:tr2bl w:val="nil"/>
            </w:tcBorders>
            <w:vAlign w:val="center"/>
          </w:tcPr>
          <w:p w14:paraId="73C2516D">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仲裁委员会名称：</w:t>
            </w:r>
            <w:r>
              <w:rPr>
                <w:rFonts w:hint="eastAsia" w:ascii="宋体" w:hAnsi="宋体" w:eastAsia="宋体" w:cs="宋体"/>
                <w:color w:val="auto"/>
                <w:szCs w:val="21"/>
                <w:highlight w:val="none"/>
                <w:u w:val="single"/>
              </w:rPr>
              <w:t xml:space="preserve"> / </w:t>
            </w:r>
          </w:p>
        </w:tc>
      </w:tr>
      <w:tr w14:paraId="67DA8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0AFD6D7E">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4366" w:type="pct"/>
            <w:tcBorders>
              <w:tl2br w:val="nil"/>
              <w:tr2bl w:val="nil"/>
            </w:tcBorders>
            <w:vAlign w:val="center"/>
          </w:tcPr>
          <w:p w14:paraId="3239E48E">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起诉机构：</w:t>
            </w:r>
            <w:r>
              <w:rPr>
                <w:rFonts w:hint="eastAsia" w:ascii="宋体" w:hAnsi="宋体" w:eastAsia="宋体" w:cs="宋体"/>
                <w:color w:val="auto"/>
                <w:szCs w:val="21"/>
                <w:highlight w:val="none"/>
                <w:u w:val="single"/>
              </w:rPr>
              <w:t>甲方所在地人民法院</w:t>
            </w:r>
          </w:p>
        </w:tc>
      </w:tr>
      <w:tr w14:paraId="70111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5" w:hRule="exact"/>
          <w:jc w:val="center"/>
        </w:trPr>
        <w:tc>
          <w:tcPr>
            <w:tcW w:w="633" w:type="pct"/>
            <w:tcBorders>
              <w:tl2br w:val="nil"/>
              <w:tr2bl w:val="nil"/>
            </w:tcBorders>
            <w:vAlign w:val="center"/>
          </w:tcPr>
          <w:p w14:paraId="74260D8F">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4366" w:type="pct"/>
            <w:tcBorders>
              <w:tl2br w:val="nil"/>
              <w:tr2bl w:val="nil"/>
            </w:tcBorders>
            <w:vAlign w:val="center"/>
          </w:tcPr>
          <w:p w14:paraId="328A6A49">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技术成果的归属和收益：</w:t>
            </w:r>
            <w:r>
              <w:rPr>
                <w:rFonts w:hint="eastAsia" w:ascii="宋体" w:hAnsi="宋体" w:eastAsia="宋体" w:cs="宋体"/>
                <w:color w:val="auto"/>
                <w:szCs w:val="21"/>
                <w:highlight w:val="none"/>
                <w:u w:val="single"/>
                <w:lang w:val="en-US" w:eastAsia="zh-CN"/>
              </w:rPr>
              <w:t>甲方所有</w:t>
            </w:r>
            <w:r>
              <w:rPr>
                <w:rFonts w:hint="eastAsia" w:ascii="宋体" w:hAnsi="宋体" w:eastAsia="宋体" w:cs="宋体"/>
                <w:color w:val="auto"/>
                <w:szCs w:val="21"/>
                <w:highlight w:val="none"/>
                <w:u w:val="single"/>
              </w:rPr>
              <w:t>，未经</w:t>
            </w:r>
            <w:r>
              <w:rPr>
                <w:rFonts w:hint="eastAsia" w:ascii="宋体" w:hAnsi="宋体" w:eastAsia="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同意，</w:t>
            </w:r>
            <w:r>
              <w:rPr>
                <w:rFonts w:hint="eastAsia" w:ascii="宋体" w:hAnsi="宋体" w:eastAsia="宋体" w:cs="宋体"/>
                <w:color w:val="auto"/>
                <w:szCs w:val="21"/>
                <w:highlight w:val="none"/>
                <w:u w:val="single"/>
                <w:lang w:val="en-US" w:eastAsia="zh-CN"/>
              </w:rPr>
              <w:t>乙方</w:t>
            </w:r>
            <w:r>
              <w:rPr>
                <w:rFonts w:hint="eastAsia" w:ascii="宋体" w:hAnsi="宋体" w:eastAsia="宋体" w:cs="宋体"/>
                <w:color w:val="auto"/>
                <w:szCs w:val="21"/>
                <w:highlight w:val="none"/>
                <w:u w:val="single"/>
              </w:rPr>
              <w:t>不得将资料、文件提供给与本项目无关的第三方使用。</w:t>
            </w:r>
          </w:p>
        </w:tc>
      </w:tr>
      <w:tr w14:paraId="04D3C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285899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366" w:type="pct"/>
            <w:tcBorders>
              <w:tl2br w:val="nil"/>
              <w:tr2bl w:val="nil"/>
            </w:tcBorders>
            <w:vAlign w:val="center"/>
          </w:tcPr>
          <w:p w14:paraId="23715D29">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同1.6.2款</w:t>
            </w:r>
          </w:p>
        </w:tc>
      </w:tr>
      <w:tr w14:paraId="477EB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1EF0A47">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w:t>
            </w:r>
          </w:p>
        </w:tc>
        <w:tc>
          <w:tcPr>
            <w:tcW w:w="4366" w:type="pct"/>
            <w:tcBorders>
              <w:tl2br w:val="nil"/>
              <w:tr2bl w:val="nil"/>
            </w:tcBorders>
            <w:vAlign w:val="center"/>
          </w:tcPr>
          <w:p w14:paraId="2ABB37BA">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因不可抗力致使合同有变更必要的，双方当事人应在3个工作日内以书面形式变更合同</w:t>
            </w:r>
          </w:p>
        </w:tc>
      </w:tr>
      <w:tr w14:paraId="7C0B5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5" w:hRule="exact"/>
          <w:jc w:val="center"/>
        </w:trPr>
        <w:tc>
          <w:tcPr>
            <w:tcW w:w="633" w:type="pct"/>
            <w:tcBorders>
              <w:tl2br w:val="nil"/>
              <w:tr2bl w:val="nil"/>
            </w:tcBorders>
            <w:vAlign w:val="center"/>
          </w:tcPr>
          <w:p w14:paraId="75177802">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w:t>
            </w:r>
          </w:p>
        </w:tc>
        <w:tc>
          <w:tcPr>
            <w:tcW w:w="4366" w:type="pct"/>
            <w:tcBorders>
              <w:tl2br w:val="nil"/>
              <w:tr2bl w:val="nil"/>
            </w:tcBorders>
            <w:vAlign w:val="center"/>
          </w:tcPr>
          <w:p w14:paraId="7CFB1837">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受不可抗力影响的一方在不可抗力发生后，应在1个工作日内以书面形式通知对方当事人，并在3个工作日约定时间内，将有关部门出具的证明文件送达对方当事人</w:t>
            </w:r>
          </w:p>
        </w:tc>
      </w:tr>
      <w:tr w14:paraId="448FF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460926A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w:t>
            </w:r>
          </w:p>
        </w:tc>
        <w:tc>
          <w:tcPr>
            <w:tcW w:w="4366" w:type="pct"/>
            <w:tcBorders>
              <w:tl2br w:val="nil"/>
              <w:tr2bl w:val="nil"/>
            </w:tcBorders>
            <w:vAlign w:val="center"/>
          </w:tcPr>
          <w:p w14:paraId="07FC1908">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乙方按合同要求提供服务，甲方每月根据相关要求及考核办法进行验收</w:t>
            </w:r>
          </w:p>
        </w:tc>
      </w:tr>
      <w:tr w14:paraId="5905D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exact"/>
          <w:jc w:val="center"/>
        </w:trPr>
        <w:tc>
          <w:tcPr>
            <w:tcW w:w="633" w:type="pct"/>
            <w:tcBorders>
              <w:tl2br w:val="nil"/>
              <w:tr2bl w:val="nil"/>
            </w:tcBorders>
            <w:vAlign w:val="center"/>
          </w:tcPr>
          <w:p w14:paraId="06385A16">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w:t>
            </w:r>
          </w:p>
        </w:tc>
        <w:tc>
          <w:tcPr>
            <w:tcW w:w="4366" w:type="pct"/>
            <w:tcBorders>
              <w:tl2br w:val="nil"/>
              <w:tr2bl w:val="nil"/>
            </w:tcBorders>
            <w:vAlign w:val="center"/>
          </w:tcPr>
          <w:p w14:paraId="1B3BB69E">
            <w:pPr>
              <w:keepLines/>
              <w:wordWrap w:val="0"/>
              <w:topLinePunct/>
              <w:adjustRightInd/>
              <w:spacing w:line="360" w:lineRule="auto"/>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检验和验收标准、程序等具体内容以及前述验收书的效力：</w:t>
            </w:r>
            <w:r>
              <w:rPr>
                <w:rFonts w:hint="eastAsia" w:ascii="宋体" w:hAnsi="宋体" w:eastAsia="宋体" w:cs="宋体"/>
                <w:color w:val="auto"/>
                <w:szCs w:val="21"/>
                <w:highlight w:val="none"/>
                <w:u w:val="single"/>
              </w:rPr>
              <w:t>满足相关规范要求以及甲方制定的考核办法（如有）。</w:t>
            </w:r>
          </w:p>
        </w:tc>
      </w:tr>
      <w:tr w14:paraId="6834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33" w:type="pct"/>
            <w:tcBorders>
              <w:tl2br w:val="nil"/>
              <w:tr2bl w:val="nil"/>
            </w:tcBorders>
            <w:vAlign w:val="center"/>
          </w:tcPr>
          <w:p w14:paraId="2E150275">
            <w:pPr>
              <w:keepLines/>
              <w:wordWrap w:val="0"/>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w:t>
            </w:r>
          </w:p>
        </w:tc>
        <w:tc>
          <w:tcPr>
            <w:tcW w:w="4366" w:type="pct"/>
            <w:tcBorders>
              <w:tl2br w:val="nil"/>
              <w:tr2bl w:val="nil"/>
            </w:tcBorders>
            <w:vAlign w:val="center"/>
          </w:tcPr>
          <w:p w14:paraId="465AE345">
            <w:pPr>
              <w:keepLines/>
              <w:wordWrap w:val="0"/>
              <w:topLinePunct/>
              <w:adjustRightInd/>
              <w:ind w:left="105" w:leftChars="50"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w:t>
            </w:r>
            <w:r>
              <w:rPr>
                <w:rFonts w:hint="eastAsia" w:ascii="宋体" w:hAnsi="宋体" w:eastAsia="宋体" w:cs="宋体"/>
                <w:color w:val="auto"/>
                <w:szCs w:val="21"/>
                <w:highlight w:val="none"/>
                <w:u w:val="single"/>
              </w:rPr>
              <w:t>一式肆份，双方各执贰份</w:t>
            </w:r>
          </w:p>
        </w:tc>
      </w:tr>
    </w:tbl>
    <w:p w14:paraId="37A9CEC3">
      <w:pPr>
        <w:pStyle w:val="6"/>
        <w:snapToGrid w:val="0"/>
        <w:spacing w:before="120" w:after="120" w:line="360" w:lineRule="auto"/>
        <w:rPr>
          <w:rFonts w:hint="eastAsia" w:ascii="宋体" w:hAnsi="宋体" w:eastAsia="宋体" w:cs="宋体"/>
          <w:color w:val="auto"/>
          <w:highlight w:val="none"/>
        </w:rPr>
      </w:pPr>
    </w:p>
    <w:p w14:paraId="113CB5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BED90D7">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 xml:space="preserve"> 应提交的有关格式范例</w:t>
      </w:r>
    </w:p>
    <w:p w14:paraId="7F9A6227">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14:paraId="63278C4C">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241E4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(1)符合参加政府采购活动应当具备的一般条件的承诺函………………（页码）</w:t>
      </w:r>
    </w:p>
    <w:p w14:paraId="1A52A0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(2)联合协议…………………………………………………………………（页码）</w:t>
      </w:r>
    </w:p>
    <w:p w14:paraId="01AF11A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(3)落实政府采购政策需满足的资格要求…………………………………（页码）</w:t>
      </w:r>
    </w:p>
    <w:p w14:paraId="3E110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(4)本项目的特定资格要求…………………………………………………（页码）</w:t>
      </w:r>
    </w:p>
    <w:p w14:paraId="430F430B">
      <w:pPr>
        <w:snapToGrid w:val="0"/>
        <w:spacing w:line="360" w:lineRule="auto"/>
        <w:ind w:firstLine="480" w:firstLineChars="200"/>
        <w:rPr>
          <w:rFonts w:hint="eastAsia" w:ascii="宋体" w:hAnsi="宋体" w:eastAsia="宋体" w:cs="宋体"/>
          <w:color w:val="auto"/>
          <w:sz w:val="24"/>
          <w:highlight w:val="none"/>
        </w:rPr>
      </w:pPr>
    </w:p>
    <w:p w14:paraId="4D430929">
      <w:pPr>
        <w:spacing w:line="360" w:lineRule="auto"/>
        <w:ind w:firstLine="480" w:firstLineChars="200"/>
        <w:rPr>
          <w:rFonts w:hint="eastAsia" w:ascii="宋体" w:hAnsi="宋体" w:eastAsia="宋体" w:cs="宋体"/>
          <w:color w:val="auto"/>
          <w:sz w:val="24"/>
          <w:highlight w:val="none"/>
        </w:rPr>
      </w:pPr>
    </w:p>
    <w:p w14:paraId="30742DE3">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p>
    <w:p w14:paraId="2B7D52CE">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 符合参加政府采购活动应当具备的一般条件的承诺函</w:t>
      </w:r>
    </w:p>
    <w:p w14:paraId="3CF180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148C13F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我方参与（项目名称）【招标编号：（采购编号）】政府采购活动，郑重承诺：</w:t>
      </w:r>
    </w:p>
    <w:p w14:paraId="240E23C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（一）具备《中华人民共和国政府采购法》第二十二条第一款规定的条件：</w:t>
      </w:r>
    </w:p>
    <w:p w14:paraId="13C0677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3151E4C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14:paraId="66D189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6BD73F6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DBB1A4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83E245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6、具有法律、行政法规规定的其他条件。</w:t>
      </w:r>
    </w:p>
    <w:p w14:paraId="47556A4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（二）未被信用中国（www.creditchina.gov.cn)、中国政府采购网（www.ccgp.gov.cn）列入失信被执行人、重大税收违法案件当事人名单、政府采购严重违法失信行为记录名单。</w:t>
      </w:r>
    </w:p>
    <w:p w14:paraId="59A4199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（三）不存在以下情况：</w:t>
      </w:r>
    </w:p>
    <w:p w14:paraId="136EB55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1、单位负责人为同一人或者存在直接控股、管理关系的不同供应商参加同一合同项下的政府采购活动的；</w:t>
      </w:r>
    </w:p>
    <w:p w14:paraId="48EB20B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43163D1A">
      <w:pPr>
        <w:snapToGrid w:val="0"/>
        <w:spacing w:line="360" w:lineRule="auto"/>
        <w:ind w:firstLine="4830" w:firstLineChars="2300"/>
        <w:rPr>
          <w:rFonts w:hint="eastAsia" w:ascii="宋体" w:hAnsi="宋体" w:eastAsia="宋体" w:cs="宋体"/>
          <w:color w:val="auto"/>
          <w:kern w:val="0"/>
          <w:szCs w:val="21"/>
          <w:highlight w:val="none"/>
          <w:lang w:val="zh-CN"/>
        </w:rPr>
      </w:pPr>
    </w:p>
    <w:p w14:paraId="1C5F9FFC">
      <w:pPr>
        <w:snapToGrid w:val="0"/>
        <w:spacing w:line="360" w:lineRule="auto"/>
        <w:ind w:firstLine="4620" w:firstLineChars="2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28FEA14A">
      <w:pPr>
        <w:snapToGrid w:val="0"/>
        <w:spacing w:line="360" w:lineRule="auto"/>
        <w:ind w:firstLine="4620" w:firstLineChars="2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1FC475C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5F647768">
      <w:pPr>
        <w:snapToGrid w:val="0"/>
        <w:spacing w:line="360" w:lineRule="auto"/>
        <w:ind w:firstLine="4620" w:firstLineChars="2200"/>
        <w:jc w:val="left"/>
        <w:rPr>
          <w:rFonts w:hint="eastAsia" w:ascii="宋体" w:hAnsi="宋体" w:eastAsia="宋体" w:cs="宋体"/>
          <w:color w:val="auto"/>
          <w:kern w:val="0"/>
          <w:szCs w:val="21"/>
          <w:highlight w:val="none"/>
          <w:lang w:val="zh-CN"/>
        </w:rPr>
      </w:pPr>
    </w:p>
    <w:p w14:paraId="71C7219E">
      <w:pPr>
        <w:snapToGrid w:val="0"/>
        <w:spacing w:line="360" w:lineRule="auto"/>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bCs/>
          <w:color w:val="auto"/>
          <w:kern w:val="0"/>
          <w:szCs w:val="21"/>
          <w:highlight w:val="none"/>
          <w:u w:val="single"/>
          <w:lang w:val="zh-CN"/>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4CAF76">
      <w:pPr>
        <w:snapToGrid w:val="0"/>
        <w:spacing w:line="360" w:lineRule="auto"/>
        <w:ind w:right="480"/>
        <w:jc w:val="center"/>
        <w:rPr>
          <w:rFonts w:hint="eastAsia" w:ascii="宋体" w:hAnsi="宋体" w:eastAsia="宋体" w:cs="宋体"/>
          <w:b/>
          <w:color w:val="auto"/>
          <w:kern w:val="0"/>
          <w:sz w:val="32"/>
          <w:szCs w:val="32"/>
          <w:highlight w:val="none"/>
        </w:rPr>
      </w:pPr>
    </w:p>
    <w:p w14:paraId="7281E27B">
      <w:pPr>
        <w:pStyle w:val="3"/>
        <w:rPr>
          <w:rFonts w:hint="eastAsia" w:ascii="宋体" w:hAnsi="宋体" w:eastAsia="宋体" w:cs="宋体"/>
          <w:color w:val="auto"/>
          <w:kern w:val="0"/>
          <w:highlight w:val="none"/>
        </w:rPr>
      </w:pPr>
    </w:p>
    <w:p w14:paraId="1CEA9B67">
      <w:pPr>
        <w:rPr>
          <w:rFonts w:hint="eastAsia" w:ascii="宋体" w:hAnsi="宋体" w:eastAsia="宋体" w:cs="宋体"/>
          <w:b/>
          <w:color w:val="auto"/>
          <w:kern w:val="0"/>
          <w:sz w:val="32"/>
          <w:szCs w:val="32"/>
          <w:highlight w:val="none"/>
        </w:rPr>
      </w:pPr>
    </w:p>
    <w:p w14:paraId="1546FF9A">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二、联合协议（如果有）</w:t>
      </w:r>
    </w:p>
    <w:p w14:paraId="0AE84B0D">
      <w:pPr>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[以联合体形式投标的，提供联合协议（附件5）；本项目不接受联合体投标或者投标人不以联合体形式投标的，则不需要提供。]</w:t>
      </w:r>
    </w:p>
    <w:p w14:paraId="6903BB29">
      <w:pPr>
        <w:snapToGrid w:val="0"/>
        <w:spacing w:before="319" w:beforeLines="100" w:after="319" w:afterLines="100"/>
        <w:jc w:val="center"/>
        <w:rPr>
          <w:rFonts w:hint="eastAsia" w:ascii="宋体" w:hAnsi="宋体" w:eastAsia="宋体" w:cs="宋体"/>
          <w:b/>
          <w:color w:val="auto"/>
          <w:kern w:val="0"/>
          <w:sz w:val="28"/>
          <w:szCs w:val="28"/>
          <w:highlight w:val="none"/>
        </w:rPr>
      </w:pPr>
    </w:p>
    <w:p w14:paraId="044D36F3">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3C54FE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3439DC92">
      <w:pPr>
        <w:snapToGrid w:val="0"/>
        <w:spacing w:before="319" w:beforeLines="100" w:after="319" w:afterLines="100"/>
        <w:jc w:val="center"/>
        <w:rPr>
          <w:rFonts w:hint="eastAsia" w:ascii="宋体" w:hAnsi="宋体" w:eastAsia="宋体" w:cs="宋体"/>
          <w:b/>
          <w:color w:val="auto"/>
          <w:kern w:val="0"/>
          <w:sz w:val="28"/>
          <w:szCs w:val="28"/>
          <w:highlight w:val="none"/>
        </w:rPr>
      </w:pPr>
    </w:p>
    <w:p w14:paraId="29995A38">
      <w:pPr>
        <w:pStyle w:val="3"/>
        <w:rPr>
          <w:rFonts w:hint="eastAsia" w:ascii="宋体" w:hAnsi="宋体" w:eastAsia="宋体" w:cs="宋体"/>
          <w:color w:val="auto"/>
          <w:kern w:val="0"/>
          <w:sz w:val="28"/>
          <w:szCs w:val="28"/>
          <w:highlight w:val="none"/>
        </w:rPr>
      </w:pPr>
    </w:p>
    <w:p w14:paraId="413A4FBB">
      <w:pPr>
        <w:rPr>
          <w:rFonts w:hint="eastAsia" w:ascii="宋体" w:hAnsi="宋体" w:eastAsia="宋体" w:cs="宋体"/>
          <w:b/>
          <w:color w:val="auto"/>
          <w:kern w:val="0"/>
          <w:sz w:val="28"/>
          <w:szCs w:val="28"/>
          <w:highlight w:val="none"/>
        </w:rPr>
      </w:pPr>
    </w:p>
    <w:p w14:paraId="2D8D2141">
      <w:pPr>
        <w:pStyle w:val="3"/>
        <w:rPr>
          <w:rFonts w:hint="eastAsia" w:ascii="宋体" w:hAnsi="宋体" w:eastAsia="宋体" w:cs="宋体"/>
          <w:color w:val="auto"/>
          <w:kern w:val="0"/>
          <w:sz w:val="28"/>
          <w:szCs w:val="28"/>
          <w:highlight w:val="none"/>
        </w:rPr>
      </w:pPr>
    </w:p>
    <w:p w14:paraId="2FC53871">
      <w:pPr>
        <w:rPr>
          <w:rFonts w:hint="eastAsia" w:ascii="宋体" w:hAnsi="宋体" w:eastAsia="宋体" w:cs="宋体"/>
          <w:b/>
          <w:color w:val="auto"/>
          <w:kern w:val="0"/>
          <w:sz w:val="28"/>
          <w:szCs w:val="28"/>
          <w:highlight w:val="none"/>
        </w:rPr>
      </w:pPr>
    </w:p>
    <w:p w14:paraId="41CA8DCE">
      <w:pPr>
        <w:pStyle w:val="3"/>
        <w:rPr>
          <w:rFonts w:hint="eastAsia" w:ascii="宋体" w:hAnsi="宋体" w:eastAsia="宋体" w:cs="宋体"/>
          <w:color w:val="auto"/>
          <w:kern w:val="0"/>
          <w:sz w:val="28"/>
          <w:szCs w:val="28"/>
          <w:highlight w:val="none"/>
        </w:rPr>
      </w:pPr>
    </w:p>
    <w:p w14:paraId="1812ACD0">
      <w:pPr>
        <w:rPr>
          <w:rFonts w:hint="eastAsia" w:ascii="宋体" w:hAnsi="宋体" w:eastAsia="宋体" w:cs="宋体"/>
          <w:b/>
          <w:color w:val="auto"/>
          <w:kern w:val="0"/>
          <w:sz w:val="28"/>
          <w:szCs w:val="28"/>
          <w:highlight w:val="none"/>
        </w:rPr>
      </w:pPr>
    </w:p>
    <w:p w14:paraId="46F3EFD5">
      <w:pPr>
        <w:pStyle w:val="3"/>
        <w:rPr>
          <w:rFonts w:hint="eastAsia" w:ascii="宋体" w:hAnsi="宋体" w:eastAsia="宋体" w:cs="宋体"/>
          <w:color w:val="auto"/>
          <w:kern w:val="0"/>
          <w:sz w:val="28"/>
          <w:szCs w:val="28"/>
          <w:highlight w:val="none"/>
        </w:rPr>
      </w:pPr>
    </w:p>
    <w:p w14:paraId="0997A9C7">
      <w:pPr>
        <w:rPr>
          <w:rFonts w:hint="eastAsia" w:ascii="宋体" w:hAnsi="宋体" w:eastAsia="宋体" w:cs="宋体"/>
          <w:b/>
          <w:color w:val="auto"/>
          <w:kern w:val="0"/>
          <w:sz w:val="28"/>
          <w:szCs w:val="28"/>
          <w:highlight w:val="none"/>
        </w:rPr>
      </w:pPr>
    </w:p>
    <w:p w14:paraId="4B335C67">
      <w:pPr>
        <w:pStyle w:val="3"/>
        <w:rPr>
          <w:rFonts w:hint="eastAsia" w:ascii="宋体" w:hAnsi="宋体" w:eastAsia="宋体" w:cs="宋体"/>
          <w:color w:val="auto"/>
          <w:kern w:val="0"/>
          <w:sz w:val="28"/>
          <w:szCs w:val="28"/>
          <w:highlight w:val="none"/>
        </w:rPr>
      </w:pPr>
    </w:p>
    <w:p w14:paraId="66F1AA7F">
      <w:pPr>
        <w:rPr>
          <w:rFonts w:hint="eastAsia" w:ascii="宋体" w:hAnsi="宋体" w:eastAsia="宋体" w:cs="宋体"/>
          <w:b/>
          <w:color w:val="auto"/>
          <w:kern w:val="0"/>
          <w:sz w:val="28"/>
          <w:szCs w:val="28"/>
          <w:highlight w:val="none"/>
        </w:rPr>
      </w:pPr>
    </w:p>
    <w:p w14:paraId="64E87202">
      <w:pPr>
        <w:pStyle w:val="3"/>
        <w:rPr>
          <w:rFonts w:hint="eastAsia" w:ascii="宋体" w:hAnsi="宋体" w:eastAsia="宋体" w:cs="宋体"/>
          <w:color w:val="auto"/>
          <w:kern w:val="0"/>
          <w:sz w:val="28"/>
          <w:szCs w:val="28"/>
          <w:highlight w:val="none"/>
        </w:rPr>
      </w:pPr>
    </w:p>
    <w:p w14:paraId="194C84E0">
      <w:pPr>
        <w:rPr>
          <w:rFonts w:hint="eastAsia" w:ascii="宋体" w:hAnsi="宋体" w:eastAsia="宋体" w:cs="宋体"/>
          <w:b/>
          <w:color w:val="auto"/>
          <w:kern w:val="0"/>
          <w:sz w:val="28"/>
          <w:szCs w:val="28"/>
          <w:highlight w:val="none"/>
        </w:rPr>
      </w:pPr>
    </w:p>
    <w:p w14:paraId="399D50BF">
      <w:pPr>
        <w:pStyle w:val="3"/>
        <w:rPr>
          <w:rFonts w:hint="eastAsia" w:ascii="宋体" w:hAnsi="宋体" w:eastAsia="宋体" w:cs="宋体"/>
          <w:color w:val="auto"/>
          <w:kern w:val="0"/>
          <w:sz w:val="28"/>
          <w:szCs w:val="28"/>
          <w:highlight w:val="none"/>
        </w:rPr>
      </w:pPr>
    </w:p>
    <w:p w14:paraId="30C82294">
      <w:pPr>
        <w:rPr>
          <w:rFonts w:hint="eastAsia" w:ascii="宋体" w:hAnsi="宋体" w:eastAsia="宋体" w:cs="宋体"/>
          <w:b/>
          <w:color w:val="auto"/>
          <w:kern w:val="0"/>
          <w:sz w:val="28"/>
          <w:szCs w:val="28"/>
          <w:highlight w:val="none"/>
        </w:rPr>
      </w:pPr>
    </w:p>
    <w:p w14:paraId="51901A68">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三、落实政府采购政策需满足的资格要求</w:t>
      </w:r>
    </w:p>
    <w:p w14:paraId="351F67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[根据招标公告落实政府采购政策需满足的资格要求选择提供相应的材料；未要求的，无需提供。]</w:t>
      </w:r>
    </w:p>
    <w:p w14:paraId="053DBA63">
      <w:pPr>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w:t>
      </w:r>
      <w:r>
        <w:rPr>
          <w:rFonts w:hint="eastAsia" w:ascii="宋体" w:hAnsi="宋体" w:eastAsia="宋体" w:cs="宋体"/>
          <w:color w:val="auto"/>
          <w:szCs w:val="21"/>
          <w:highlight w:val="none"/>
        </w:rPr>
        <w:t>.专门面向中小企业，服务全部由符合政策要求的中小企业（或小微企业）承接的，提供相应的中小企业声明函（附件7）。</w:t>
      </w:r>
    </w:p>
    <w:p w14:paraId="3B68A1A2">
      <w:pPr>
        <w:widowControl/>
        <w:spacing w:line="360" w:lineRule="auto"/>
        <w:ind w:firstLine="420" w:firstLineChars="200"/>
        <w:jc w:val="left"/>
        <w:rPr>
          <w:rFonts w:hint="eastAsia" w:ascii="宋体" w:hAnsi="宋体" w:eastAsia="宋体" w:cs="宋体"/>
          <w:color w:val="auto"/>
          <w:szCs w:val="21"/>
          <w:highlight w:val="none"/>
        </w:rPr>
      </w:pPr>
    </w:p>
    <w:p w14:paraId="78530C8C">
      <w:pPr>
        <w:widowControl/>
        <w:spacing w:line="360" w:lineRule="auto"/>
        <w:ind w:firstLine="422" w:firstLineChars="200"/>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B.</w:t>
      </w:r>
      <w:r>
        <w:rPr>
          <w:rFonts w:hint="eastAsia" w:ascii="宋体" w:hAnsi="宋体" w:eastAsia="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2E9E8507">
      <w:pPr>
        <w:spacing w:line="360" w:lineRule="auto"/>
        <w:ind w:firstLine="422" w:firstLineChars="200"/>
        <w:rPr>
          <w:rFonts w:hint="eastAsia" w:ascii="宋体" w:hAnsi="宋体" w:eastAsia="宋体" w:cs="宋体"/>
          <w:b/>
          <w:color w:val="auto"/>
          <w:szCs w:val="21"/>
          <w:highlight w:val="none"/>
        </w:rPr>
      </w:pPr>
    </w:p>
    <w:p w14:paraId="6934FD66">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C.</w:t>
      </w:r>
      <w:r>
        <w:rPr>
          <w:rFonts w:hint="eastAsia" w:ascii="宋体" w:hAnsi="宋体" w:eastAsia="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BCFD542">
      <w:pPr>
        <w:spacing w:line="360" w:lineRule="auto"/>
        <w:jc w:val="center"/>
        <w:rPr>
          <w:rFonts w:hint="eastAsia" w:ascii="宋体" w:hAnsi="宋体" w:eastAsia="宋体" w:cs="宋体"/>
          <w:color w:val="auto"/>
          <w:kern w:val="0"/>
          <w:sz w:val="24"/>
          <w:highlight w:val="none"/>
          <w:lang w:val="zh-CN"/>
        </w:rPr>
      </w:pPr>
    </w:p>
    <w:p w14:paraId="1F0486BD">
      <w:pPr>
        <w:widowControl/>
        <w:spacing w:line="360" w:lineRule="auto"/>
        <w:ind w:left="150"/>
        <w:jc w:val="center"/>
        <w:rPr>
          <w:rFonts w:hint="eastAsia" w:ascii="宋体" w:hAnsi="宋体" w:eastAsia="宋体" w:cs="宋体"/>
          <w:b/>
          <w:color w:val="auto"/>
          <w:kern w:val="0"/>
          <w:sz w:val="32"/>
          <w:szCs w:val="32"/>
          <w:highlight w:val="none"/>
        </w:rPr>
      </w:pPr>
    </w:p>
    <w:p w14:paraId="1ED7FB18">
      <w:pPr>
        <w:widowControl/>
        <w:spacing w:line="360" w:lineRule="auto"/>
        <w:ind w:left="150"/>
        <w:jc w:val="center"/>
        <w:rPr>
          <w:rFonts w:hint="eastAsia" w:ascii="宋体" w:hAnsi="宋体" w:eastAsia="宋体" w:cs="宋体"/>
          <w:b/>
          <w:color w:val="auto"/>
          <w:kern w:val="0"/>
          <w:sz w:val="32"/>
          <w:szCs w:val="32"/>
          <w:highlight w:val="none"/>
        </w:rPr>
      </w:pPr>
    </w:p>
    <w:p w14:paraId="0AFF9E53">
      <w:pPr>
        <w:widowControl/>
        <w:spacing w:line="360" w:lineRule="auto"/>
        <w:ind w:left="150"/>
        <w:jc w:val="center"/>
        <w:rPr>
          <w:rFonts w:hint="eastAsia" w:ascii="宋体" w:hAnsi="宋体" w:eastAsia="宋体" w:cs="宋体"/>
          <w:b/>
          <w:color w:val="auto"/>
          <w:kern w:val="0"/>
          <w:sz w:val="32"/>
          <w:szCs w:val="32"/>
          <w:highlight w:val="none"/>
        </w:rPr>
      </w:pPr>
    </w:p>
    <w:p w14:paraId="07E8D8FC">
      <w:pPr>
        <w:widowControl/>
        <w:spacing w:line="360" w:lineRule="auto"/>
        <w:ind w:left="150"/>
        <w:jc w:val="center"/>
        <w:rPr>
          <w:rFonts w:hint="eastAsia" w:ascii="宋体" w:hAnsi="宋体" w:eastAsia="宋体" w:cs="宋体"/>
          <w:b/>
          <w:color w:val="auto"/>
          <w:kern w:val="0"/>
          <w:sz w:val="32"/>
          <w:szCs w:val="32"/>
          <w:highlight w:val="none"/>
        </w:rPr>
      </w:pPr>
    </w:p>
    <w:p w14:paraId="44BE7F1D">
      <w:pPr>
        <w:widowControl/>
        <w:spacing w:line="360" w:lineRule="auto"/>
        <w:ind w:left="150"/>
        <w:jc w:val="center"/>
        <w:rPr>
          <w:rFonts w:hint="eastAsia" w:ascii="宋体" w:hAnsi="宋体" w:eastAsia="宋体" w:cs="宋体"/>
          <w:b/>
          <w:color w:val="auto"/>
          <w:kern w:val="0"/>
          <w:sz w:val="32"/>
          <w:szCs w:val="32"/>
          <w:highlight w:val="none"/>
        </w:rPr>
      </w:pPr>
    </w:p>
    <w:p w14:paraId="6589DD7C">
      <w:pPr>
        <w:widowControl/>
        <w:spacing w:line="360" w:lineRule="auto"/>
        <w:ind w:left="150"/>
        <w:jc w:val="center"/>
        <w:rPr>
          <w:rFonts w:hint="eastAsia" w:ascii="宋体" w:hAnsi="宋体" w:eastAsia="宋体" w:cs="宋体"/>
          <w:b/>
          <w:color w:val="auto"/>
          <w:kern w:val="0"/>
          <w:sz w:val="32"/>
          <w:szCs w:val="32"/>
          <w:highlight w:val="none"/>
        </w:rPr>
      </w:pPr>
    </w:p>
    <w:p w14:paraId="4E380563">
      <w:pPr>
        <w:widowControl/>
        <w:spacing w:line="360" w:lineRule="auto"/>
        <w:ind w:left="150"/>
        <w:jc w:val="center"/>
        <w:rPr>
          <w:rFonts w:hint="eastAsia" w:ascii="宋体" w:hAnsi="宋体" w:eastAsia="宋体" w:cs="宋体"/>
          <w:b/>
          <w:color w:val="auto"/>
          <w:kern w:val="0"/>
          <w:sz w:val="32"/>
          <w:szCs w:val="32"/>
          <w:highlight w:val="none"/>
        </w:rPr>
      </w:pPr>
    </w:p>
    <w:p w14:paraId="47FC1EB4">
      <w:pPr>
        <w:widowControl/>
        <w:spacing w:line="360" w:lineRule="auto"/>
        <w:ind w:left="150"/>
        <w:jc w:val="center"/>
        <w:rPr>
          <w:rFonts w:hint="eastAsia" w:ascii="宋体" w:hAnsi="宋体" w:eastAsia="宋体" w:cs="宋体"/>
          <w:b/>
          <w:color w:val="auto"/>
          <w:kern w:val="0"/>
          <w:sz w:val="32"/>
          <w:szCs w:val="32"/>
          <w:highlight w:val="none"/>
        </w:rPr>
      </w:pPr>
    </w:p>
    <w:p w14:paraId="3CD5E58B">
      <w:pPr>
        <w:widowControl/>
        <w:spacing w:line="360" w:lineRule="auto"/>
        <w:ind w:left="150"/>
        <w:jc w:val="center"/>
        <w:rPr>
          <w:rFonts w:hint="eastAsia" w:ascii="宋体" w:hAnsi="宋体" w:eastAsia="宋体" w:cs="宋体"/>
          <w:b/>
          <w:color w:val="auto"/>
          <w:kern w:val="0"/>
          <w:sz w:val="32"/>
          <w:szCs w:val="32"/>
          <w:highlight w:val="none"/>
        </w:rPr>
      </w:pPr>
    </w:p>
    <w:p w14:paraId="03A0A7F4">
      <w:pPr>
        <w:snapToGrid w:val="0"/>
        <w:spacing w:before="319" w:beforeLines="100" w:after="319" w:afterLines="100"/>
        <w:jc w:val="center"/>
        <w:rPr>
          <w:rFonts w:hint="eastAsia" w:ascii="宋体" w:hAnsi="宋体" w:eastAsia="宋体" w:cs="宋体"/>
          <w:b/>
          <w:color w:val="auto"/>
          <w:kern w:val="0"/>
          <w:sz w:val="28"/>
          <w:szCs w:val="28"/>
          <w:highlight w:val="none"/>
        </w:rPr>
      </w:pPr>
    </w:p>
    <w:p w14:paraId="18D7EE27">
      <w:pPr>
        <w:snapToGrid w:val="0"/>
        <w:spacing w:before="319" w:beforeLines="100" w:after="319" w:afterLines="100"/>
        <w:jc w:val="center"/>
        <w:rPr>
          <w:rFonts w:hint="eastAsia" w:ascii="宋体" w:hAnsi="宋体" w:eastAsia="宋体" w:cs="宋体"/>
          <w:b/>
          <w:color w:val="auto"/>
          <w:kern w:val="0"/>
          <w:sz w:val="28"/>
          <w:szCs w:val="28"/>
          <w:highlight w:val="none"/>
        </w:rPr>
      </w:pPr>
    </w:p>
    <w:p w14:paraId="571FD051">
      <w:pPr>
        <w:snapToGrid w:val="0"/>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四、本项目的特定资格要求</w:t>
      </w:r>
    </w:p>
    <w:p w14:paraId="1CD005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[根据招标公告本项目的特定资格要求提供相应的材料；未要求的，无需提供。]</w:t>
      </w:r>
    </w:p>
    <w:p w14:paraId="064377EE">
      <w:pPr>
        <w:rPr>
          <w:rFonts w:hint="eastAsia" w:ascii="宋体" w:hAnsi="宋体" w:eastAsia="宋体" w:cs="宋体"/>
          <w:color w:val="auto"/>
          <w:highlight w:val="none"/>
        </w:rPr>
      </w:pPr>
    </w:p>
    <w:p w14:paraId="207E1309">
      <w:pPr>
        <w:snapToGrid w:val="0"/>
        <w:spacing w:line="360" w:lineRule="auto"/>
        <w:ind w:right="480"/>
        <w:jc w:val="center"/>
        <w:rPr>
          <w:rFonts w:hint="eastAsia" w:ascii="宋体" w:hAnsi="宋体" w:eastAsia="宋体" w:cs="宋体"/>
          <w:b/>
          <w:color w:val="auto"/>
          <w:kern w:val="0"/>
          <w:sz w:val="32"/>
          <w:szCs w:val="32"/>
          <w:highlight w:val="none"/>
        </w:rPr>
      </w:pPr>
    </w:p>
    <w:p w14:paraId="76BB3191">
      <w:pPr>
        <w:snapToGrid w:val="0"/>
        <w:spacing w:line="360" w:lineRule="auto"/>
        <w:ind w:right="480"/>
        <w:jc w:val="center"/>
        <w:rPr>
          <w:rFonts w:hint="eastAsia" w:ascii="宋体" w:hAnsi="宋体" w:eastAsia="宋体" w:cs="宋体"/>
          <w:b/>
          <w:color w:val="auto"/>
          <w:kern w:val="0"/>
          <w:sz w:val="32"/>
          <w:szCs w:val="32"/>
          <w:highlight w:val="none"/>
        </w:rPr>
      </w:pPr>
    </w:p>
    <w:p w14:paraId="0EF775EF">
      <w:pPr>
        <w:snapToGrid w:val="0"/>
        <w:spacing w:line="360" w:lineRule="auto"/>
        <w:ind w:right="480"/>
        <w:jc w:val="center"/>
        <w:rPr>
          <w:rFonts w:hint="eastAsia" w:ascii="宋体" w:hAnsi="宋体" w:eastAsia="宋体" w:cs="宋体"/>
          <w:b/>
          <w:color w:val="auto"/>
          <w:kern w:val="0"/>
          <w:sz w:val="32"/>
          <w:szCs w:val="32"/>
          <w:highlight w:val="none"/>
        </w:rPr>
      </w:pPr>
    </w:p>
    <w:p w14:paraId="2396577F">
      <w:pPr>
        <w:snapToGrid w:val="0"/>
        <w:spacing w:line="360" w:lineRule="auto"/>
        <w:ind w:right="480"/>
        <w:jc w:val="center"/>
        <w:rPr>
          <w:rFonts w:hint="eastAsia" w:ascii="宋体" w:hAnsi="宋体" w:eastAsia="宋体" w:cs="宋体"/>
          <w:b/>
          <w:color w:val="auto"/>
          <w:kern w:val="0"/>
          <w:sz w:val="32"/>
          <w:szCs w:val="32"/>
          <w:highlight w:val="none"/>
        </w:rPr>
      </w:pPr>
    </w:p>
    <w:p w14:paraId="4C047938">
      <w:pPr>
        <w:snapToGrid w:val="0"/>
        <w:spacing w:line="360" w:lineRule="auto"/>
        <w:ind w:right="480"/>
        <w:jc w:val="center"/>
        <w:rPr>
          <w:rFonts w:hint="eastAsia" w:ascii="宋体" w:hAnsi="宋体" w:eastAsia="宋体" w:cs="宋体"/>
          <w:b/>
          <w:color w:val="auto"/>
          <w:kern w:val="0"/>
          <w:sz w:val="32"/>
          <w:szCs w:val="32"/>
          <w:highlight w:val="none"/>
        </w:rPr>
      </w:pPr>
    </w:p>
    <w:p w14:paraId="6B0F7DA0">
      <w:pPr>
        <w:snapToGrid w:val="0"/>
        <w:spacing w:line="360" w:lineRule="auto"/>
        <w:ind w:right="480"/>
        <w:jc w:val="center"/>
        <w:rPr>
          <w:rFonts w:hint="eastAsia" w:ascii="宋体" w:hAnsi="宋体" w:eastAsia="宋体" w:cs="宋体"/>
          <w:b/>
          <w:color w:val="auto"/>
          <w:kern w:val="0"/>
          <w:sz w:val="32"/>
          <w:szCs w:val="32"/>
          <w:highlight w:val="none"/>
        </w:rPr>
      </w:pPr>
    </w:p>
    <w:p w14:paraId="016C4225">
      <w:pPr>
        <w:spacing w:line="360" w:lineRule="auto"/>
        <w:jc w:val="center"/>
        <w:outlineLvl w:val="0"/>
        <w:rPr>
          <w:rFonts w:hint="eastAsia" w:ascii="宋体" w:hAnsi="宋体" w:eastAsia="宋体" w:cs="宋体"/>
          <w:b/>
          <w:color w:val="auto"/>
          <w:kern w:val="0"/>
          <w:sz w:val="36"/>
          <w:szCs w:val="36"/>
          <w:highlight w:val="none"/>
        </w:rPr>
      </w:pPr>
    </w:p>
    <w:p w14:paraId="4D34757D">
      <w:pPr>
        <w:snapToGrid w:val="0"/>
        <w:spacing w:line="360" w:lineRule="auto"/>
        <w:ind w:right="480"/>
        <w:jc w:val="center"/>
        <w:rPr>
          <w:rFonts w:hint="eastAsia" w:ascii="宋体" w:hAnsi="宋体" w:eastAsia="宋体" w:cs="宋体"/>
          <w:b/>
          <w:color w:val="auto"/>
          <w:kern w:val="0"/>
          <w:sz w:val="32"/>
          <w:szCs w:val="32"/>
          <w:highlight w:val="none"/>
        </w:rPr>
      </w:pPr>
    </w:p>
    <w:p w14:paraId="311A1F04">
      <w:pPr>
        <w:spacing w:line="360" w:lineRule="auto"/>
        <w:jc w:val="center"/>
        <w:outlineLvl w:val="0"/>
        <w:rPr>
          <w:rFonts w:hint="eastAsia" w:ascii="宋体" w:hAnsi="宋体" w:eastAsia="宋体" w:cs="宋体"/>
          <w:b/>
          <w:color w:val="auto"/>
          <w:kern w:val="0"/>
          <w:sz w:val="36"/>
          <w:szCs w:val="36"/>
          <w:highlight w:val="none"/>
        </w:rPr>
      </w:pPr>
    </w:p>
    <w:p w14:paraId="5D778BE3">
      <w:pPr>
        <w:snapToGrid w:val="0"/>
        <w:spacing w:line="360" w:lineRule="auto"/>
        <w:ind w:right="480"/>
        <w:jc w:val="center"/>
        <w:rPr>
          <w:rFonts w:hint="eastAsia" w:ascii="宋体" w:hAnsi="宋体" w:eastAsia="宋体" w:cs="宋体"/>
          <w:b/>
          <w:color w:val="auto"/>
          <w:kern w:val="0"/>
          <w:sz w:val="32"/>
          <w:szCs w:val="32"/>
          <w:highlight w:val="none"/>
        </w:rPr>
      </w:pPr>
    </w:p>
    <w:p w14:paraId="7AB0E906">
      <w:pPr>
        <w:spacing w:line="360" w:lineRule="auto"/>
        <w:jc w:val="center"/>
        <w:outlineLvl w:val="0"/>
        <w:rPr>
          <w:rFonts w:hint="eastAsia" w:ascii="宋体" w:hAnsi="宋体" w:eastAsia="宋体" w:cs="宋体"/>
          <w:b/>
          <w:color w:val="auto"/>
          <w:kern w:val="0"/>
          <w:sz w:val="36"/>
          <w:szCs w:val="36"/>
          <w:highlight w:val="none"/>
        </w:rPr>
      </w:pPr>
    </w:p>
    <w:p w14:paraId="3390A846">
      <w:pPr>
        <w:adjustRightInd/>
        <w:spacing w:before="319" w:beforeLines="100" w:after="319" w:afterLines="10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28"/>
          <w:szCs w:val="28"/>
          <w:highlight w:val="none"/>
        </w:rPr>
        <w:t>商务技术文件部分</w:t>
      </w:r>
    </w:p>
    <w:p w14:paraId="5B921F1D">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46D375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(1)投标函…………………………………………………………………………（页码）</w:t>
      </w:r>
    </w:p>
    <w:p w14:paraId="29F328EA">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(2)授权委托书或法定代表人（单位负责人、自然人本人）身份证明………（页码）</w:t>
      </w:r>
    </w:p>
    <w:p w14:paraId="643A2DFB">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(3)分包意向协议…………………………………………………………………（页码）</w:t>
      </w:r>
    </w:p>
    <w:p w14:paraId="33CD69E5">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(4)符合性审查资料………………………………………………………………（页码）</w:t>
      </w:r>
    </w:p>
    <w:p w14:paraId="6DEE3228">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(5)评标标准相应的商务技术资料………………………………………………（页码）</w:t>
      </w:r>
    </w:p>
    <w:p w14:paraId="4D2F6C4D">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(6)商务技术偏离表………………………………………………………………（页码）</w:t>
      </w:r>
    </w:p>
    <w:p w14:paraId="0EC14920">
      <w:pPr>
        <w:wordWrap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政府采购供应商廉洁自律承诺书</w:t>
      </w:r>
      <w:r>
        <w:rPr>
          <w:rFonts w:hint="eastAsia" w:ascii="宋体" w:hAnsi="宋体" w:eastAsia="宋体" w:cs="宋体"/>
          <w:color w:val="auto"/>
          <w:szCs w:val="21"/>
          <w:highlight w:val="none"/>
        </w:rPr>
        <w:t>……………………………………………（页码）</w:t>
      </w:r>
    </w:p>
    <w:p w14:paraId="3207919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8C16F2F">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一、投标函</w:t>
      </w:r>
    </w:p>
    <w:p w14:paraId="3A015F26">
      <w:pPr>
        <w:snapToGrid w:val="0"/>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989E0E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我方参加你方组织的（项目名称）【招标编号：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（采购编号）】招标的有关活动，并对此项目进行投标。为此：</w:t>
      </w:r>
    </w:p>
    <w:p w14:paraId="789992C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1、我方承诺投标有效期从提交投标文件的截止之日起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天（不少于90天），本投标文件在投标有效期满之前均具有约束力。</w:t>
      </w:r>
    </w:p>
    <w:p w14:paraId="1A0E15F2">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2、我方的投标文件包括以下内容：</w:t>
      </w:r>
    </w:p>
    <w:p w14:paraId="2F9487CD">
      <w:pPr>
        <w:snapToGrid w:val="0"/>
        <w:spacing w:line="312" w:lineRule="auto"/>
        <w:ind w:firstLine="630" w:firstLineChars="3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 资格文件：</w:t>
      </w:r>
    </w:p>
    <w:p w14:paraId="7F8C979E">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承诺函；</w:t>
      </w:r>
    </w:p>
    <w:p w14:paraId="67251F85">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联合协议（如果有）；</w:t>
      </w:r>
    </w:p>
    <w:p w14:paraId="778019B9">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落实政府采购政策需满足的资格要求（如果有）；</w:t>
      </w:r>
    </w:p>
    <w:p w14:paraId="358A431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 本项目的特定资格要求（如果有）。</w:t>
      </w:r>
    </w:p>
    <w:p w14:paraId="7626AE32">
      <w:pPr>
        <w:snapToGrid w:val="0"/>
        <w:spacing w:line="312" w:lineRule="auto"/>
        <w:ind w:firstLine="630" w:firstLine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 商务技术</w:t>
      </w:r>
      <w:r>
        <w:rPr>
          <w:rFonts w:hint="eastAsia" w:ascii="宋体" w:hAnsi="宋体" w:eastAsia="宋体" w:cs="宋体"/>
          <w:color w:val="auto"/>
          <w:szCs w:val="21"/>
          <w:highlight w:val="none"/>
          <w:lang w:val="zh-CN"/>
        </w:rPr>
        <w:t>文件：</w:t>
      </w:r>
    </w:p>
    <w:p w14:paraId="1AC11EA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投标函；</w:t>
      </w:r>
    </w:p>
    <w:p w14:paraId="25EB58E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授权委托书或法定代表人（单位负责人）身份证明；</w:t>
      </w:r>
    </w:p>
    <w:p w14:paraId="694378D7">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分包意向协议（如果有）；</w:t>
      </w:r>
    </w:p>
    <w:p w14:paraId="5D80A39B">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符合性审查资料；</w:t>
      </w:r>
    </w:p>
    <w:p w14:paraId="408714EC">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 评标标准相应的商务技术资料；</w:t>
      </w:r>
    </w:p>
    <w:p w14:paraId="5A03ECB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2.2.6 商务技术偏离表；</w:t>
      </w:r>
    </w:p>
    <w:p w14:paraId="321AA23F">
      <w:pPr>
        <w:snapToGrid w:val="0"/>
        <w:spacing w:line="312"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val="zh-CN"/>
        </w:rPr>
        <w:t>政府采购供应商廉洁自律承诺书；</w:t>
      </w:r>
    </w:p>
    <w:p w14:paraId="31774D79">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 报价文件</w:t>
      </w:r>
    </w:p>
    <w:p w14:paraId="6FB478D6">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开标一览表（报价表）；</w:t>
      </w:r>
    </w:p>
    <w:p w14:paraId="5A12D871">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报价明细表；</w:t>
      </w:r>
    </w:p>
    <w:p w14:paraId="3B2A943A">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报价情况说明（如有）；</w:t>
      </w:r>
    </w:p>
    <w:p w14:paraId="7BBC6F44">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中小企业声明函（如果有，招标公告中明确本项目专门面向中小企业采购的，此处可不提供）。</w:t>
      </w:r>
    </w:p>
    <w:p w14:paraId="2FF9C070">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3、我方承诺除商务技术偏离表列出的偏离外，我方响应招标文件的全部要求。</w:t>
      </w:r>
    </w:p>
    <w:p w14:paraId="3F2ADA7D">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75F2CD01">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 在收到中标通知书后，在中标通知书规定的期限内与你方签订合同； </w:t>
      </w:r>
    </w:p>
    <w:p w14:paraId="1DE918D6">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在签订合同时不向你方提出附加条件； </w:t>
      </w:r>
    </w:p>
    <w:p w14:paraId="7FB0F41A">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4.3 按照招标文件要求提交履约保证金； </w:t>
      </w:r>
    </w:p>
    <w:p w14:paraId="696AC718">
      <w:pPr>
        <w:snapToGrid w:val="0"/>
        <w:spacing w:line="312"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4.4 在合同约定的期限内完成合同规定的全部义务。 </w:t>
      </w:r>
    </w:p>
    <w:p w14:paraId="50EDCC33">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5、其他补充说明：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7E09CE">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78F8E533">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  年   月   日</w:t>
      </w:r>
    </w:p>
    <w:p w14:paraId="36594354">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按本格式和要求提供。</w:t>
      </w:r>
    </w:p>
    <w:p w14:paraId="7082735A">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F7E58F3">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3764EA3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0CE46CE6">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274896E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37E7AEA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2B2FF0AE">
      <w:pPr>
        <w:snapToGrid w:val="0"/>
        <w:spacing w:line="360" w:lineRule="auto"/>
        <w:ind w:firstLine="4620" w:firstLineChars="2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6CD7D3E6">
      <w:pPr>
        <w:snapToGrid w:val="0"/>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签发日期：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8DF98E">
      <w:pPr>
        <w:snapToGrid w:val="0"/>
        <w:spacing w:line="360" w:lineRule="auto"/>
        <w:rPr>
          <w:rFonts w:hint="eastAsia" w:ascii="宋体" w:hAnsi="宋体" w:eastAsia="宋体" w:cs="宋体"/>
          <w:color w:val="auto"/>
          <w:sz w:val="24"/>
          <w:highlight w:val="none"/>
        </w:rPr>
      </w:pPr>
    </w:p>
    <w:p w14:paraId="23763703">
      <w:pPr>
        <w:jc w:val="center"/>
        <w:rPr>
          <w:rFonts w:hint="eastAsia" w:ascii="宋体" w:hAnsi="宋体" w:eastAsia="宋体" w:cs="宋体"/>
          <w:b/>
          <w:color w:val="auto"/>
          <w:kern w:val="0"/>
          <w:sz w:val="32"/>
          <w:szCs w:val="32"/>
          <w:highlight w:val="none"/>
          <w:lang w:val="zh-CN"/>
        </w:rPr>
      </w:pPr>
    </w:p>
    <w:p w14:paraId="30970127">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7D2B574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7DDB78C9">
      <w:pPr>
        <w:wordWrap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政府采购投标的一切事项，其法律后果由我方承担。</w:t>
      </w:r>
    </w:p>
    <w:p w14:paraId="77667D4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日止。</w:t>
      </w:r>
    </w:p>
    <w:p w14:paraId="7F799A0F">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4041E30B">
      <w:pPr>
        <w:spacing w:line="360" w:lineRule="auto"/>
        <w:jc w:val="center"/>
        <w:rPr>
          <w:rFonts w:hint="eastAsia" w:ascii="宋体" w:hAnsi="宋体" w:eastAsia="宋体" w:cs="宋体"/>
          <w:b/>
          <w:color w:val="auto"/>
          <w:kern w:val="0"/>
          <w:szCs w:val="21"/>
          <w:highlight w:val="none"/>
        </w:rPr>
      </w:pPr>
    </w:p>
    <w:p w14:paraId="7F37780C">
      <w:pPr>
        <w:spacing w:line="360" w:lineRule="auto"/>
        <w:rPr>
          <w:rFonts w:hint="eastAsia" w:ascii="宋体" w:hAnsi="宋体" w:eastAsia="宋体" w:cs="宋体"/>
          <w:color w:val="auto"/>
          <w:szCs w:val="21"/>
          <w:highlight w:val="none"/>
        </w:rPr>
      </w:pPr>
    </w:p>
    <w:p w14:paraId="354BCC2F">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B9D40E5">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44357383">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05BF96F3">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702BFE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2BFD02D">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法定代表人、单位负责人或自然人本人的身份证明（适用于法定代表人、单位负责人或者自然人本人代表投标人参加投标）</w:t>
      </w:r>
    </w:p>
    <w:p w14:paraId="23ACED52">
      <w:pPr>
        <w:pStyle w:val="153"/>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身份证件扫描件：</w:t>
      </w:r>
    </w:p>
    <w:tbl>
      <w:tblPr>
        <w:tblStyle w:val="65"/>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902"/>
        <w:gridCol w:w="4829"/>
      </w:tblGrid>
      <w:tr w14:paraId="48F93ED3">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812" w:hRule="atLeast"/>
          <w:jc w:val="center"/>
        </w:trPr>
        <w:tc>
          <w:tcPr>
            <w:tcW w:w="4902" w:type="dxa"/>
            <w:tcBorders>
              <w:tl2br w:val="nil"/>
              <w:tr2bl w:val="nil"/>
            </w:tcBorders>
          </w:tcPr>
          <w:p w14:paraId="356FFBF3">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正面：</w:t>
            </w:r>
          </w:p>
          <w:p w14:paraId="63B23D33">
            <w:pPr>
              <w:pStyle w:val="153"/>
              <w:adjustRightInd w:val="0"/>
              <w:spacing w:line="360" w:lineRule="auto"/>
              <w:rPr>
                <w:rFonts w:hint="eastAsia" w:ascii="宋体" w:hAnsi="宋体" w:eastAsia="宋体" w:cs="宋体"/>
                <w:bCs/>
                <w:color w:val="auto"/>
                <w:highlight w:val="none"/>
              </w:rPr>
            </w:pPr>
          </w:p>
        </w:tc>
        <w:tc>
          <w:tcPr>
            <w:tcW w:w="4829" w:type="dxa"/>
            <w:tcBorders>
              <w:tl2br w:val="nil"/>
              <w:tr2bl w:val="nil"/>
            </w:tcBorders>
          </w:tcPr>
          <w:p w14:paraId="496C3F2E">
            <w:pPr>
              <w:pStyle w:val="153"/>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反面：</w:t>
            </w:r>
          </w:p>
        </w:tc>
      </w:tr>
    </w:tbl>
    <w:p w14:paraId="67C1FA08">
      <w:pPr>
        <w:snapToGrid w:val="0"/>
        <w:spacing w:line="360" w:lineRule="auto"/>
        <w:ind w:firstLine="576"/>
        <w:jc w:val="center"/>
        <w:rPr>
          <w:rFonts w:hint="eastAsia" w:ascii="宋体" w:hAnsi="宋体" w:eastAsia="宋体" w:cs="宋体"/>
          <w:color w:val="auto"/>
          <w:kern w:val="0"/>
          <w:szCs w:val="21"/>
          <w:highlight w:val="none"/>
          <w:lang w:val="zh-CN"/>
        </w:rPr>
      </w:pPr>
    </w:p>
    <w:p w14:paraId="0391FD36">
      <w:pPr>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6DA11B3C">
      <w:pPr>
        <w:spacing w:line="360" w:lineRule="auto"/>
        <w:ind w:firstLine="462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2511C74">
      <w:pPr>
        <w:jc w:val="center"/>
        <w:rPr>
          <w:rFonts w:hint="eastAsia" w:ascii="宋体" w:hAnsi="宋体" w:eastAsia="宋体" w:cs="宋体"/>
          <w:b/>
          <w:color w:val="auto"/>
          <w:kern w:val="0"/>
          <w:sz w:val="32"/>
          <w:szCs w:val="32"/>
          <w:highlight w:val="none"/>
        </w:rPr>
      </w:pPr>
    </w:p>
    <w:p w14:paraId="6238C9F7">
      <w:pPr>
        <w:jc w:val="center"/>
        <w:rPr>
          <w:rFonts w:hint="eastAsia" w:ascii="宋体" w:hAnsi="宋体" w:eastAsia="宋体" w:cs="宋体"/>
          <w:b/>
          <w:color w:val="auto"/>
          <w:kern w:val="0"/>
          <w:sz w:val="32"/>
          <w:szCs w:val="32"/>
          <w:highlight w:val="none"/>
        </w:rPr>
      </w:pPr>
    </w:p>
    <w:p w14:paraId="7005A8C6">
      <w:pPr>
        <w:jc w:val="center"/>
        <w:rPr>
          <w:rFonts w:hint="eastAsia" w:ascii="宋体" w:hAnsi="宋体" w:eastAsia="宋体" w:cs="宋体"/>
          <w:b/>
          <w:color w:val="auto"/>
          <w:kern w:val="0"/>
          <w:sz w:val="32"/>
          <w:szCs w:val="32"/>
          <w:highlight w:val="none"/>
        </w:rPr>
      </w:pPr>
    </w:p>
    <w:p w14:paraId="61B44798">
      <w:pPr>
        <w:jc w:val="center"/>
        <w:rPr>
          <w:rFonts w:hint="eastAsia" w:ascii="宋体" w:hAnsi="宋体" w:eastAsia="宋体" w:cs="宋体"/>
          <w:b/>
          <w:color w:val="auto"/>
          <w:kern w:val="0"/>
          <w:sz w:val="32"/>
          <w:szCs w:val="32"/>
          <w:highlight w:val="none"/>
        </w:rPr>
      </w:pPr>
    </w:p>
    <w:p w14:paraId="17C47808">
      <w:pPr>
        <w:jc w:val="center"/>
        <w:rPr>
          <w:rFonts w:hint="eastAsia" w:ascii="宋体" w:hAnsi="宋体" w:eastAsia="宋体" w:cs="宋体"/>
          <w:b/>
          <w:color w:val="auto"/>
          <w:kern w:val="0"/>
          <w:sz w:val="32"/>
          <w:szCs w:val="32"/>
          <w:highlight w:val="none"/>
        </w:rPr>
      </w:pPr>
    </w:p>
    <w:p w14:paraId="5445B4DA">
      <w:pPr>
        <w:jc w:val="center"/>
        <w:rPr>
          <w:rFonts w:hint="eastAsia" w:ascii="宋体" w:hAnsi="宋体" w:eastAsia="宋体" w:cs="宋体"/>
          <w:b/>
          <w:color w:val="auto"/>
          <w:kern w:val="0"/>
          <w:sz w:val="32"/>
          <w:szCs w:val="32"/>
          <w:highlight w:val="none"/>
        </w:rPr>
      </w:pPr>
    </w:p>
    <w:p w14:paraId="3573D926">
      <w:pPr>
        <w:jc w:val="center"/>
        <w:rPr>
          <w:rFonts w:hint="eastAsia" w:ascii="宋体" w:hAnsi="宋体" w:eastAsia="宋体" w:cs="宋体"/>
          <w:b/>
          <w:color w:val="auto"/>
          <w:kern w:val="0"/>
          <w:sz w:val="32"/>
          <w:szCs w:val="32"/>
          <w:highlight w:val="none"/>
        </w:rPr>
      </w:pPr>
    </w:p>
    <w:p w14:paraId="758EF3E8">
      <w:pPr>
        <w:jc w:val="center"/>
        <w:rPr>
          <w:rFonts w:hint="eastAsia" w:ascii="宋体" w:hAnsi="宋体" w:eastAsia="宋体" w:cs="宋体"/>
          <w:b/>
          <w:color w:val="auto"/>
          <w:kern w:val="0"/>
          <w:sz w:val="32"/>
          <w:szCs w:val="32"/>
          <w:highlight w:val="none"/>
        </w:rPr>
      </w:pPr>
    </w:p>
    <w:p w14:paraId="702D9C9B">
      <w:pPr>
        <w:widowControl/>
        <w:adjustRightInd/>
        <w:spacing w:before="319" w:beforeLines="100" w:after="319" w:afterLines="10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rPr>
        <w:t>三</w:t>
      </w:r>
      <w:r>
        <w:rPr>
          <w:rFonts w:hint="eastAsia" w:ascii="宋体" w:hAnsi="宋体" w:eastAsia="宋体" w:cs="宋体"/>
          <w:b/>
          <w:color w:val="auto"/>
          <w:kern w:val="0"/>
          <w:sz w:val="28"/>
          <w:szCs w:val="28"/>
          <w:highlight w:val="none"/>
          <w:lang w:val="zh-CN"/>
        </w:rPr>
        <w:t>、分包意向协议（</w:t>
      </w:r>
      <w:r>
        <w:rPr>
          <w:rFonts w:hint="eastAsia" w:ascii="宋体" w:hAnsi="宋体" w:eastAsia="宋体" w:cs="宋体"/>
          <w:b/>
          <w:color w:val="auto"/>
          <w:kern w:val="0"/>
          <w:sz w:val="28"/>
          <w:szCs w:val="28"/>
          <w:highlight w:val="none"/>
        </w:rPr>
        <w:t>如果有</w:t>
      </w:r>
      <w:r>
        <w:rPr>
          <w:rFonts w:hint="eastAsia" w:ascii="宋体" w:hAnsi="宋体" w:eastAsia="宋体" w:cs="宋体"/>
          <w:b/>
          <w:color w:val="auto"/>
          <w:kern w:val="0"/>
          <w:sz w:val="28"/>
          <w:szCs w:val="28"/>
          <w:highlight w:val="none"/>
          <w:lang w:val="zh-CN"/>
        </w:rPr>
        <w:t>）</w:t>
      </w:r>
    </w:p>
    <w:p w14:paraId="41A24684">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[中标后以分包方式履行合同的，提供分包意向协议（附件6）；采购人不同意分包或者投标人中标后不以分包方式履行合同的，则不需要提供。]</w:t>
      </w:r>
    </w:p>
    <w:p w14:paraId="2B7ECDB1">
      <w:pPr>
        <w:snapToGrid w:val="0"/>
        <w:spacing w:line="360" w:lineRule="auto"/>
        <w:rPr>
          <w:rFonts w:hint="eastAsia" w:ascii="宋体" w:hAnsi="宋体" w:eastAsia="宋体" w:cs="宋体"/>
          <w:color w:val="auto"/>
          <w:kern w:val="0"/>
          <w:sz w:val="24"/>
          <w:highlight w:val="none"/>
          <w:lang w:val="zh-CN"/>
        </w:rPr>
      </w:pPr>
    </w:p>
    <w:p w14:paraId="1F77F79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F9C7C2">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四、符合性审查资料</w:t>
      </w:r>
    </w:p>
    <w:tbl>
      <w:tblPr>
        <w:tblStyle w:val="65"/>
        <w:tblW w:w="96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441"/>
        <w:gridCol w:w="3173"/>
        <w:gridCol w:w="2508"/>
      </w:tblGrid>
      <w:tr w14:paraId="486D4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5" w:type="dxa"/>
            <w:tcBorders>
              <w:tl2br w:val="nil"/>
              <w:tr2bl w:val="nil"/>
            </w:tcBorders>
            <w:vAlign w:val="center"/>
          </w:tcPr>
          <w:p w14:paraId="4DC0F69E">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3441" w:type="dxa"/>
            <w:tcBorders>
              <w:tl2br w:val="nil"/>
              <w:tr2bl w:val="nil"/>
            </w:tcBorders>
            <w:vAlign w:val="center"/>
          </w:tcPr>
          <w:p w14:paraId="1EBE0A0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实质性要求</w:t>
            </w:r>
          </w:p>
        </w:tc>
        <w:tc>
          <w:tcPr>
            <w:tcW w:w="3173" w:type="dxa"/>
            <w:tcBorders>
              <w:tl2br w:val="nil"/>
              <w:tr2bl w:val="nil"/>
            </w:tcBorders>
            <w:vAlign w:val="center"/>
          </w:tcPr>
          <w:p w14:paraId="450F7FE2">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需要提供的符合性审查资料</w:t>
            </w:r>
          </w:p>
        </w:tc>
        <w:tc>
          <w:tcPr>
            <w:tcW w:w="2508" w:type="dxa"/>
            <w:tcBorders>
              <w:tl2br w:val="nil"/>
              <w:tr2bl w:val="nil"/>
            </w:tcBorders>
            <w:vAlign w:val="center"/>
          </w:tcPr>
          <w:p w14:paraId="5E03328A">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投标文件中的</w:t>
            </w:r>
          </w:p>
          <w:p w14:paraId="37F59C1C">
            <w:pPr>
              <w:snapToGrid w:val="0"/>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页码位置</w:t>
            </w:r>
          </w:p>
        </w:tc>
      </w:tr>
      <w:tr w14:paraId="00F0B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5" w:type="dxa"/>
            <w:tcBorders>
              <w:tl2br w:val="nil"/>
              <w:tr2bl w:val="nil"/>
            </w:tcBorders>
            <w:vAlign w:val="center"/>
          </w:tcPr>
          <w:p w14:paraId="6F21DF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41" w:type="dxa"/>
            <w:tcBorders>
              <w:tl2br w:val="nil"/>
              <w:tr2bl w:val="nil"/>
            </w:tcBorders>
            <w:vAlign w:val="center"/>
          </w:tcPr>
          <w:p w14:paraId="4DA03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投标文件按照招标文件要求签署、盖章。</w:t>
            </w:r>
          </w:p>
        </w:tc>
        <w:tc>
          <w:tcPr>
            <w:tcW w:w="3173" w:type="dxa"/>
            <w:tcBorders>
              <w:tl2br w:val="nil"/>
              <w:tr2bl w:val="nil"/>
            </w:tcBorders>
            <w:vAlign w:val="center"/>
          </w:tcPr>
          <w:p w14:paraId="37D6B8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需要使用电子签名或者签字盖章的投标文件的组成部分</w:t>
            </w:r>
          </w:p>
        </w:tc>
        <w:tc>
          <w:tcPr>
            <w:tcW w:w="2508" w:type="dxa"/>
            <w:tcBorders>
              <w:tl2br w:val="nil"/>
              <w:tr2bl w:val="nil"/>
            </w:tcBorders>
            <w:vAlign w:val="center"/>
          </w:tcPr>
          <w:p w14:paraId="05AC87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50CAA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DBD87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441" w:type="dxa"/>
            <w:tcBorders>
              <w:tl2br w:val="nil"/>
              <w:tr2bl w:val="nil"/>
            </w:tcBorders>
            <w:vAlign w:val="center"/>
          </w:tcPr>
          <w:p w14:paraId="646CF9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投标文件中承诺的投标有效期不少于招标文件中载明的投标有效期。</w:t>
            </w:r>
          </w:p>
        </w:tc>
        <w:tc>
          <w:tcPr>
            <w:tcW w:w="3173" w:type="dxa"/>
            <w:tcBorders>
              <w:tl2br w:val="nil"/>
              <w:tr2bl w:val="nil"/>
            </w:tcBorders>
            <w:vAlign w:val="center"/>
          </w:tcPr>
          <w:p w14:paraId="2CD8A7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2508" w:type="dxa"/>
            <w:tcBorders>
              <w:tl2br w:val="nil"/>
              <w:tr2bl w:val="nil"/>
            </w:tcBorders>
            <w:vAlign w:val="center"/>
          </w:tcPr>
          <w:p w14:paraId="73092B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14:paraId="492F1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5" w:type="dxa"/>
            <w:tcBorders>
              <w:tl2br w:val="nil"/>
              <w:tr2bl w:val="nil"/>
            </w:tcBorders>
            <w:vAlign w:val="center"/>
          </w:tcPr>
          <w:p w14:paraId="5018C9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441" w:type="dxa"/>
            <w:tcBorders>
              <w:tl2br w:val="nil"/>
              <w:tr2bl w:val="nil"/>
            </w:tcBorders>
            <w:vAlign w:val="center"/>
          </w:tcPr>
          <w:p w14:paraId="1B1E80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投标文件满足招标文件的其它实质性要求。</w:t>
            </w:r>
          </w:p>
        </w:tc>
        <w:tc>
          <w:tcPr>
            <w:tcW w:w="3173" w:type="dxa"/>
            <w:tcBorders>
              <w:tl2br w:val="nil"/>
              <w:tr2bl w:val="nil"/>
            </w:tcBorders>
            <w:vAlign w:val="center"/>
          </w:tcPr>
          <w:p w14:paraId="45CB6711">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招标文件其它实质性要求相应的材料（“▲”系指实质性要求条款，招标文件无其它实质性要求的，无需提供）</w:t>
            </w:r>
          </w:p>
        </w:tc>
        <w:tc>
          <w:tcPr>
            <w:tcW w:w="2508" w:type="dxa"/>
            <w:tcBorders>
              <w:tl2br w:val="nil"/>
              <w:tr2bl w:val="nil"/>
            </w:tcBorders>
            <w:vAlign w:val="center"/>
          </w:tcPr>
          <w:p w14:paraId="7A0B8A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14:paraId="0D4E4574">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注：按本格式和要求提供。</w:t>
      </w:r>
    </w:p>
    <w:p w14:paraId="0B1C676E">
      <w:pPr>
        <w:rPr>
          <w:rFonts w:hint="eastAsia" w:ascii="宋体" w:hAnsi="宋体" w:eastAsia="宋体" w:cs="宋体"/>
          <w:b/>
          <w:color w:val="auto"/>
          <w:kern w:val="0"/>
          <w:sz w:val="32"/>
          <w:szCs w:val="32"/>
          <w:highlight w:val="none"/>
        </w:rPr>
      </w:pPr>
    </w:p>
    <w:p w14:paraId="15BC2F2D">
      <w:pPr>
        <w:jc w:val="center"/>
        <w:rPr>
          <w:rFonts w:hint="eastAsia" w:ascii="宋体" w:hAnsi="宋体" w:eastAsia="宋体" w:cs="宋体"/>
          <w:b/>
          <w:color w:val="auto"/>
          <w:kern w:val="0"/>
          <w:sz w:val="32"/>
          <w:szCs w:val="32"/>
          <w:highlight w:val="none"/>
        </w:rPr>
      </w:pPr>
    </w:p>
    <w:p w14:paraId="2B26E3A5">
      <w:pPr>
        <w:jc w:val="center"/>
        <w:rPr>
          <w:rFonts w:hint="eastAsia" w:ascii="宋体" w:hAnsi="宋体" w:eastAsia="宋体" w:cs="宋体"/>
          <w:b/>
          <w:color w:val="auto"/>
          <w:kern w:val="0"/>
          <w:sz w:val="32"/>
          <w:szCs w:val="32"/>
          <w:highlight w:val="none"/>
        </w:rPr>
      </w:pPr>
    </w:p>
    <w:p w14:paraId="02FD9305">
      <w:pPr>
        <w:jc w:val="center"/>
        <w:rPr>
          <w:rFonts w:hint="eastAsia" w:ascii="宋体" w:hAnsi="宋体" w:eastAsia="宋体" w:cs="宋体"/>
          <w:b/>
          <w:color w:val="auto"/>
          <w:kern w:val="0"/>
          <w:sz w:val="32"/>
          <w:szCs w:val="32"/>
          <w:highlight w:val="none"/>
        </w:rPr>
      </w:pPr>
    </w:p>
    <w:p w14:paraId="2A90CDC6">
      <w:pPr>
        <w:jc w:val="center"/>
        <w:rPr>
          <w:rFonts w:hint="eastAsia" w:ascii="宋体" w:hAnsi="宋体" w:eastAsia="宋体" w:cs="宋体"/>
          <w:b/>
          <w:color w:val="auto"/>
          <w:kern w:val="0"/>
          <w:sz w:val="32"/>
          <w:szCs w:val="32"/>
          <w:highlight w:val="none"/>
        </w:rPr>
      </w:pPr>
    </w:p>
    <w:p w14:paraId="3B152E09">
      <w:pPr>
        <w:jc w:val="center"/>
        <w:rPr>
          <w:rFonts w:hint="eastAsia" w:ascii="宋体" w:hAnsi="宋体" w:eastAsia="宋体" w:cs="宋体"/>
          <w:b/>
          <w:color w:val="auto"/>
          <w:kern w:val="0"/>
          <w:sz w:val="32"/>
          <w:szCs w:val="32"/>
          <w:highlight w:val="none"/>
        </w:rPr>
      </w:pPr>
    </w:p>
    <w:p w14:paraId="50CD34F2">
      <w:pPr>
        <w:jc w:val="center"/>
        <w:rPr>
          <w:rFonts w:hint="eastAsia" w:ascii="宋体" w:hAnsi="宋体" w:eastAsia="宋体" w:cs="宋体"/>
          <w:b/>
          <w:color w:val="auto"/>
          <w:kern w:val="0"/>
          <w:sz w:val="32"/>
          <w:szCs w:val="32"/>
          <w:highlight w:val="none"/>
        </w:rPr>
      </w:pPr>
    </w:p>
    <w:p w14:paraId="47FFA7FA">
      <w:pPr>
        <w:jc w:val="center"/>
        <w:rPr>
          <w:rFonts w:hint="eastAsia" w:ascii="宋体" w:hAnsi="宋体" w:eastAsia="宋体" w:cs="宋体"/>
          <w:b/>
          <w:color w:val="auto"/>
          <w:kern w:val="0"/>
          <w:sz w:val="32"/>
          <w:szCs w:val="32"/>
          <w:highlight w:val="none"/>
        </w:rPr>
      </w:pPr>
    </w:p>
    <w:p w14:paraId="0EA78E1A">
      <w:pPr>
        <w:jc w:val="center"/>
        <w:rPr>
          <w:rFonts w:hint="eastAsia" w:ascii="宋体" w:hAnsi="宋体" w:eastAsia="宋体" w:cs="宋体"/>
          <w:b/>
          <w:color w:val="auto"/>
          <w:kern w:val="0"/>
          <w:sz w:val="32"/>
          <w:szCs w:val="32"/>
          <w:highlight w:val="none"/>
        </w:rPr>
      </w:pPr>
    </w:p>
    <w:p w14:paraId="23A815B6">
      <w:pPr>
        <w:jc w:val="center"/>
        <w:rPr>
          <w:rFonts w:hint="eastAsia" w:ascii="宋体" w:hAnsi="宋体" w:eastAsia="宋体" w:cs="宋体"/>
          <w:b/>
          <w:color w:val="auto"/>
          <w:kern w:val="0"/>
          <w:sz w:val="32"/>
          <w:szCs w:val="32"/>
          <w:highlight w:val="none"/>
        </w:rPr>
      </w:pPr>
    </w:p>
    <w:p w14:paraId="50194E0E">
      <w:pPr>
        <w:jc w:val="center"/>
        <w:rPr>
          <w:rFonts w:hint="eastAsia" w:ascii="宋体" w:hAnsi="宋体" w:eastAsia="宋体" w:cs="宋体"/>
          <w:b/>
          <w:color w:val="auto"/>
          <w:kern w:val="0"/>
          <w:sz w:val="32"/>
          <w:szCs w:val="32"/>
          <w:highlight w:val="none"/>
        </w:rPr>
      </w:pPr>
    </w:p>
    <w:p w14:paraId="2152A8E2">
      <w:pPr>
        <w:jc w:val="center"/>
        <w:rPr>
          <w:rFonts w:hint="eastAsia" w:ascii="宋体" w:hAnsi="宋体" w:eastAsia="宋体" w:cs="宋体"/>
          <w:b/>
          <w:color w:val="auto"/>
          <w:kern w:val="0"/>
          <w:sz w:val="32"/>
          <w:szCs w:val="32"/>
          <w:highlight w:val="none"/>
        </w:rPr>
      </w:pPr>
    </w:p>
    <w:p w14:paraId="37809874">
      <w:pPr>
        <w:jc w:val="center"/>
        <w:rPr>
          <w:rFonts w:hint="eastAsia" w:ascii="宋体" w:hAnsi="宋体" w:eastAsia="宋体" w:cs="宋体"/>
          <w:b/>
          <w:color w:val="auto"/>
          <w:kern w:val="0"/>
          <w:sz w:val="32"/>
          <w:szCs w:val="32"/>
          <w:highlight w:val="none"/>
        </w:rPr>
      </w:pPr>
    </w:p>
    <w:p w14:paraId="7C378585">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五、评标标准相应的商务技术资料</w:t>
      </w:r>
    </w:p>
    <w:p w14:paraId="0AE014F6">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[按招标文件第四部分评标办法前附表中“投标文件中评标标准相应的商务技术资料目录”提供资料。]</w:t>
      </w:r>
    </w:p>
    <w:p w14:paraId="4A67F269">
      <w:pPr>
        <w:jc w:val="center"/>
        <w:rPr>
          <w:rFonts w:hint="eastAsia" w:ascii="宋体" w:hAnsi="宋体" w:eastAsia="宋体" w:cs="宋体"/>
          <w:b/>
          <w:color w:val="auto"/>
          <w:kern w:val="0"/>
          <w:sz w:val="32"/>
          <w:szCs w:val="32"/>
          <w:highlight w:val="none"/>
        </w:rPr>
      </w:pPr>
    </w:p>
    <w:p w14:paraId="5EBB7949">
      <w:pPr>
        <w:jc w:val="center"/>
        <w:rPr>
          <w:rFonts w:hint="eastAsia" w:ascii="宋体" w:hAnsi="宋体" w:eastAsia="宋体" w:cs="宋体"/>
          <w:b/>
          <w:color w:val="auto"/>
          <w:kern w:val="0"/>
          <w:sz w:val="32"/>
          <w:szCs w:val="32"/>
          <w:highlight w:val="none"/>
        </w:rPr>
      </w:pPr>
    </w:p>
    <w:p w14:paraId="24830DC0">
      <w:pPr>
        <w:pStyle w:val="6"/>
        <w:spacing w:line="360" w:lineRule="auto"/>
        <w:jc w:val="left"/>
        <w:rPr>
          <w:rFonts w:hint="eastAsia" w:ascii="宋体" w:hAnsi="宋体" w:eastAsia="宋体" w:cs="宋体"/>
          <w:color w:val="auto"/>
          <w:sz w:val="24"/>
          <w:highlight w:val="none"/>
        </w:rPr>
      </w:pPr>
    </w:p>
    <w:p w14:paraId="6275AB9E">
      <w:pPr>
        <w:jc w:val="center"/>
        <w:rPr>
          <w:rFonts w:hint="eastAsia" w:ascii="宋体" w:hAnsi="宋体" w:eastAsia="宋体" w:cs="宋体"/>
          <w:b/>
          <w:color w:val="auto"/>
          <w:kern w:val="0"/>
          <w:sz w:val="32"/>
          <w:szCs w:val="32"/>
          <w:highlight w:val="none"/>
        </w:rPr>
      </w:pPr>
    </w:p>
    <w:p w14:paraId="42D2A341">
      <w:pPr>
        <w:jc w:val="center"/>
        <w:rPr>
          <w:rFonts w:hint="eastAsia" w:ascii="宋体" w:hAnsi="宋体" w:eastAsia="宋体" w:cs="宋体"/>
          <w:b/>
          <w:color w:val="auto"/>
          <w:kern w:val="0"/>
          <w:sz w:val="32"/>
          <w:szCs w:val="32"/>
          <w:highlight w:val="none"/>
        </w:rPr>
      </w:pPr>
    </w:p>
    <w:p w14:paraId="24A65EE9">
      <w:pPr>
        <w:jc w:val="center"/>
        <w:rPr>
          <w:rFonts w:hint="eastAsia" w:ascii="宋体" w:hAnsi="宋体" w:eastAsia="宋体" w:cs="宋体"/>
          <w:b/>
          <w:color w:val="auto"/>
          <w:kern w:val="0"/>
          <w:sz w:val="32"/>
          <w:szCs w:val="32"/>
          <w:highlight w:val="none"/>
        </w:rPr>
      </w:pPr>
    </w:p>
    <w:p w14:paraId="61DF603C">
      <w:pPr>
        <w:jc w:val="center"/>
        <w:rPr>
          <w:rFonts w:hint="eastAsia" w:ascii="宋体" w:hAnsi="宋体" w:eastAsia="宋体" w:cs="宋体"/>
          <w:b/>
          <w:color w:val="auto"/>
          <w:kern w:val="0"/>
          <w:sz w:val="32"/>
          <w:szCs w:val="32"/>
          <w:highlight w:val="none"/>
        </w:rPr>
      </w:pPr>
    </w:p>
    <w:p w14:paraId="1B74039C">
      <w:pPr>
        <w:jc w:val="center"/>
        <w:rPr>
          <w:rFonts w:hint="eastAsia" w:ascii="宋体" w:hAnsi="宋体" w:eastAsia="宋体" w:cs="宋体"/>
          <w:b/>
          <w:color w:val="auto"/>
          <w:kern w:val="0"/>
          <w:sz w:val="32"/>
          <w:szCs w:val="32"/>
          <w:highlight w:val="none"/>
        </w:rPr>
      </w:pPr>
    </w:p>
    <w:p w14:paraId="3780B6A1">
      <w:pPr>
        <w:jc w:val="center"/>
        <w:rPr>
          <w:rFonts w:hint="eastAsia" w:ascii="宋体" w:hAnsi="宋体" w:eastAsia="宋体" w:cs="宋体"/>
          <w:b/>
          <w:color w:val="auto"/>
          <w:kern w:val="0"/>
          <w:sz w:val="32"/>
          <w:szCs w:val="32"/>
          <w:highlight w:val="none"/>
        </w:rPr>
      </w:pPr>
    </w:p>
    <w:p w14:paraId="591E724A">
      <w:pPr>
        <w:jc w:val="center"/>
        <w:rPr>
          <w:rFonts w:hint="eastAsia" w:ascii="宋体" w:hAnsi="宋体" w:eastAsia="宋体" w:cs="宋体"/>
          <w:b/>
          <w:color w:val="auto"/>
          <w:kern w:val="0"/>
          <w:sz w:val="32"/>
          <w:szCs w:val="32"/>
          <w:highlight w:val="none"/>
        </w:rPr>
      </w:pPr>
    </w:p>
    <w:p w14:paraId="4A9D3457">
      <w:pPr>
        <w:jc w:val="center"/>
        <w:rPr>
          <w:rFonts w:hint="eastAsia" w:ascii="宋体" w:hAnsi="宋体" w:eastAsia="宋体" w:cs="宋体"/>
          <w:b/>
          <w:color w:val="auto"/>
          <w:kern w:val="0"/>
          <w:sz w:val="32"/>
          <w:szCs w:val="32"/>
          <w:highlight w:val="none"/>
        </w:rPr>
      </w:pPr>
    </w:p>
    <w:p w14:paraId="17FED926">
      <w:pPr>
        <w:jc w:val="center"/>
        <w:rPr>
          <w:rFonts w:hint="eastAsia" w:ascii="宋体" w:hAnsi="宋体" w:eastAsia="宋体" w:cs="宋体"/>
          <w:b/>
          <w:color w:val="auto"/>
          <w:kern w:val="0"/>
          <w:sz w:val="32"/>
          <w:szCs w:val="32"/>
          <w:highlight w:val="none"/>
        </w:rPr>
      </w:pPr>
    </w:p>
    <w:p w14:paraId="77A4927B">
      <w:pPr>
        <w:jc w:val="center"/>
        <w:rPr>
          <w:rFonts w:hint="eastAsia" w:ascii="宋体" w:hAnsi="宋体" w:eastAsia="宋体" w:cs="宋体"/>
          <w:b/>
          <w:color w:val="auto"/>
          <w:kern w:val="0"/>
          <w:sz w:val="32"/>
          <w:szCs w:val="32"/>
          <w:highlight w:val="none"/>
        </w:rPr>
      </w:pPr>
    </w:p>
    <w:p w14:paraId="27AA98D6">
      <w:pPr>
        <w:rPr>
          <w:rFonts w:hint="eastAsia" w:ascii="宋体" w:hAnsi="宋体" w:eastAsia="宋体" w:cs="宋体"/>
          <w:b/>
          <w:color w:val="auto"/>
          <w:kern w:val="0"/>
          <w:sz w:val="32"/>
          <w:szCs w:val="32"/>
          <w:highlight w:val="none"/>
        </w:rPr>
      </w:pPr>
    </w:p>
    <w:p w14:paraId="045A7FE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BFEBA3">
      <w:pPr>
        <w:widowControl/>
        <w:adjustRightInd/>
        <w:spacing w:before="319" w:before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六、商务技术偏离表</w:t>
      </w:r>
    </w:p>
    <w:tbl>
      <w:tblPr>
        <w:tblStyle w:val="66"/>
        <w:tblW w:w="97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31"/>
        <w:gridCol w:w="2995"/>
        <w:gridCol w:w="2687"/>
      </w:tblGrid>
      <w:tr w14:paraId="6CBCF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833" w:type="dxa"/>
            <w:tcBorders>
              <w:tl2br w:val="nil"/>
              <w:tr2bl w:val="nil"/>
            </w:tcBorders>
            <w:vAlign w:val="center"/>
          </w:tcPr>
          <w:p w14:paraId="4DE185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31" w:type="dxa"/>
            <w:tcBorders>
              <w:tl2br w:val="nil"/>
              <w:tr2bl w:val="nil"/>
            </w:tcBorders>
            <w:vAlign w:val="center"/>
          </w:tcPr>
          <w:p w14:paraId="3AF576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招标文件章节及具体内容</w:t>
            </w:r>
          </w:p>
        </w:tc>
        <w:tc>
          <w:tcPr>
            <w:tcW w:w="2995" w:type="dxa"/>
            <w:tcBorders>
              <w:tl2br w:val="nil"/>
              <w:tr2bl w:val="nil"/>
            </w:tcBorders>
            <w:vAlign w:val="center"/>
          </w:tcPr>
          <w:p w14:paraId="11AA13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投标文件章节及具体内容</w:t>
            </w:r>
          </w:p>
        </w:tc>
        <w:tc>
          <w:tcPr>
            <w:tcW w:w="2687" w:type="dxa"/>
            <w:tcBorders>
              <w:tl2br w:val="nil"/>
              <w:tr2bl w:val="nil"/>
            </w:tcBorders>
            <w:vAlign w:val="center"/>
          </w:tcPr>
          <w:p w14:paraId="7614F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F028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3AC5622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231" w:type="dxa"/>
            <w:tcBorders>
              <w:tl2br w:val="nil"/>
              <w:tr2bl w:val="nil"/>
            </w:tcBorders>
            <w:vAlign w:val="center"/>
          </w:tcPr>
          <w:p w14:paraId="2F94B0F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76BEA7C9">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7A1E2619">
            <w:pPr>
              <w:jc w:val="center"/>
              <w:rPr>
                <w:rFonts w:hint="eastAsia" w:ascii="宋体" w:hAnsi="宋体" w:eastAsia="宋体" w:cs="宋体"/>
                <w:b/>
                <w:color w:val="auto"/>
                <w:kern w:val="0"/>
                <w:szCs w:val="21"/>
                <w:highlight w:val="none"/>
              </w:rPr>
            </w:pPr>
          </w:p>
        </w:tc>
      </w:tr>
      <w:tr w14:paraId="1C831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2547BA65">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231" w:type="dxa"/>
            <w:tcBorders>
              <w:tl2br w:val="nil"/>
              <w:tr2bl w:val="nil"/>
            </w:tcBorders>
            <w:vAlign w:val="center"/>
          </w:tcPr>
          <w:p w14:paraId="7846C10F">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691C3085">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3CE9551D">
            <w:pPr>
              <w:jc w:val="center"/>
              <w:rPr>
                <w:rFonts w:hint="eastAsia" w:ascii="宋体" w:hAnsi="宋体" w:eastAsia="宋体" w:cs="宋体"/>
                <w:b/>
                <w:color w:val="auto"/>
                <w:kern w:val="0"/>
                <w:szCs w:val="21"/>
                <w:highlight w:val="none"/>
              </w:rPr>
            </w:pPr>
          </w:p>
        </w:tc>
      </w:tr>
      <w:tr w14:paraId="39016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3" w:type="dxa"/>
            <w:tcBorders>
              <w:tl2br w:val="nil"/>
              <w:tr2bl w:val="nil"/>
            </w:tcBorders>
            <w:vAlign w:val="center"/>
          </w:tcPr>
          <w:p w14:paraId="77B00CF8">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231" w:type="dxa"/>
            <w:tcBorders>
              <w:tl2br w:val="nil"/>
              <w:tr2bl w:val="nil"/>
            </w:tcBorders>
            <w:vAlign w:val="center"/>
          </w:tcPr>
          <w:p w14:paraId="61E936E1">
            <w:pPr>
              <w:jc w:val="center"/>
              <w:rPr>
                <w:rFonts w:hint="eastAsia" w:ascii="宋体" w:hAnsi="宋体" w:eastAsia="宋体" w:cs="宋体"/>
                <w:b/>
                <w:color w:val="auto"/>
                <w:kern w:val="0"/>
                <w:szCs w:val="21"/>
                <w:highlight w:val="none"/>
              </w:rPr>
            </w:pPr>
          </w:p>
        </w:tc>
        <w:tc>
          <w:tcPr>
            <w:tcW w:w="2995" w:type="dxa"/>
            <w:tcBorders>
              <w:tl2br w:val="nil"/>
              <w:tr2bl w:val="nil"/>
            </w:tcBorders>
            <w:vAlign w:val="center"/>
          </w:tcPr>
          <w:p w14:paraId="08CA74C4">
            <w:pPr>
              <w:jc w:val="center"/>
              <w:rPr>
                <w:rFonts w:hint="eastAsia" w:ascii="宋体" w:hAnsi="宋体" w:eastAsia="宋体" w:cs="宋体"/>
                <w:b/>
                <w:color w:val="auto"/>
                <w:kern w:val="0"/>
                <w:szCs w:val="21"/>
                <w:highlight w:val="none"/>
              </w:rPr>
            </w:pPr>
          </w:p>
        </w:tc>
        <w:tc>
          <w:tcPr>
            <w:tcW w:w="2687" w:type="dxa"/>
            <w:tcBorders>
              <w:tl2br w:val="nil"/>
              <w:tr2bl w:val="nil"/>
            </w:tcBorders>
            <w:vAlign w:val="center"/>
          </w:tcPr>
          <w:p w14:paraId="59BC9E41">
            <w:pPr>
              <w:jc w:val="center"/>
              <w:rPr>
                <w:rFonts w:hint="eastAsia" w:ascii="宋体" w:hAnsi="宋体" w:eastAsia="宋体" w:cs="宋体"/>
                <w:b/>
                <w:color w:val="auto"/>
                <w:kern w:val="0"/>
                <w:szCs w:val="21"/>
                <w:highlight w:val="none"/>
              </w:rPr>
            </w:pPr>
          </w:p>
        </w:tc>
      </w:tr>
    </w:tbl>
    <w:p w14:paraId="6F204C3E">
      <w:p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投标人保证：除商务技术偏离表列出的偏离外，投标人响应招标文件的全部要求。</w:t>
      </w:r>
    </w:p>
    <w:p w14:paraId="30BFE2A9">
      <w:pPr>
        <w:pStyle w:val="3"/>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注：按本格式和要求提供。</w:t>
      </w:r>
    </w:p>
    <w:p w14:paraId="7552EFE8">
      <w:pPr>
        <w:pStyle w:val="3"/>
        <w:rPr>
          <w:rFonts w:hint="eastAsia" w:ascii="宋体" w:hAnsi="宋体" w:eastAsia="宋体" w:cs="宋体"/>
          <w:color w:val="auto"/>
          <w:highlight w:val="none"/>
          <w:lang w:val="en-US"/>
        </w:rPr>
      </w:pPr>
    </w:p>
    <w:p w14:paraId="0C626507">
      <w:pPr>
        <w:jc w:val="center"/>
        <w:rPr>
          <w:rFonts w:hint="eastAsia" w:ascii="宋体" w:hAnsi="宋体" w:eastAsia="宋体" w:cs="宋体"/>
          <w:b/>
          <w:color w:val="auto"/>
          <w:kern w:val="0"/>
          <w:sz w:val="32"/>
          <w:szCs w:val="32"/>
          <w:highlight w:val="none"/>
        </w:rPr>
      </w:pPr>
    </w:p>
    <w:p w14:paraId="4E4FBA6C">
      <w:pPr>
        <w:jc w:val="center"/>
        <w:rPr>
          <w:rFonts w:hint="eastAsia" w:ascii="宋体" w:hAnsi="宋体" w:eastAsia="宋体" w:cs="宋体"/>
          <w:b/>
          <w:color w:val="auto"/>
          <w:kern w:val="0"/>
          <w:sz w:val="32"/>
          <w:szCs w:val="32"/>
          <w:highlight w:val="none"/>
        </w:rPr>
      </w:pPr>
    </w:p>
    <w:p w14:paraId="0B863AA2">
      <w:pPr>
        <w:jc w:val="center"/>
        <w:rPr>
          <w:rFonts w:hint="eastAsia" w:ascii="宋体" w:hAnsi="宋体" w:eastAsia="宋体" w:cs="宋体"/>
          <w:b/>
          <w:color w:val="auto"/>
          <w:kern w:val="0"/>
          <w:sz w:val="32"/>
          <w:szCs w:val="32"/>
          <w:highlight w:val="none"/>
        </w:rPr>
      </w:pPr>
    </w:p>
    <w:p w14:paraId="626405D9">
      <w:pPr>
        <w:jc w:val="center"/>
        <w:rPr>
          <w:rFonts w:hint="eastAsia" w:ascii="宋体" w:hAnsi="宋体" w:eastAsia="宋体" w:cs="宋体"/>
          <w:b/>
          <w:color w:val="auto"/>
          <w:kern w:val="0"/>
          <w:sz w:val="32"/>
          <w:szCs w:val="32"/>
          <w:highlight w:val="none"/>
        </w:rPr>
      </w:pPr>
    </w:p>
    <w:p w14:paraId="19CA6E23">
      <w:pPr>
        <w:jc w:val="center"/>
        <w:rPr>
          <w:rFonts w:hint="eastAsia" w:ascii="宋体" w:hAnsi="宋体" w:eastAsia="宋体" w:cs="宋体"/>
          <w:b/>
          <w:color w:val="auto"/>
          <w:kern w:val="0"/>
          <w:sz w:val="32"/>
          <w:szCs w:val="32"/>
          <w:highlight w:val="none"/>
        </w:rPr>
      </w:pPr>
    </w:p>
    <w:p w14:paraId="560FA735">
      <w:pPr>
        <w:jc w:val="center"/>
        <w:rPr>
          <w:rFonts w:hint="eastAsia" w:ascii="宋体" w:hAnsi="宋体" w:eastAsia="宋体" w:cs="宋体"/>
          <w:b/>
          <w:color w:val="auto"/>
          <w:kern w:val="0"/>
          <w:sz w:val="32"/>
          <w:szCs w:val="32"/>
          <w:highlight w:val="none"/>
        </w:rPr>
      </w:pPr>
    </w:p>
    <w:p w14:paraId="63DFA1A4">
      <w:pPr>
        <w:jc w:val="center"/>
        <w:rPr>
          <w:rFonts w:hint="eastAsia" w:ascii="宋体" w:hAnsi="宋体" w:eastAsia="宋体" w:cs="宋体"/>
          <w:b/>
          <w:color w:val="auto"/>
          <w:kern w:val="0"/>
          <w:sz w:val="32"/>
          <w:szCs w:val="32"/>
          <w:highlight w:val="none"/>
        </w:rPr>
      </w:pPr>
    </w:p>
    <w:p w14:paraId="237206C5">
      <w:pPr>
        <w:jc w:val="center"/>
        <w:rPr>
          <w:rFonts w:hint="eastAsia" w:ascii="宋体" w:hAnsi="宋体" w:eastAsia="宋体" w:cs="宋体"/>
          <w:b/>
          <w:color w:val="auto"/>
          <w:kern w:val="0"/>
          <w:sz w:val="32"/>
          <w:szCs w:val="32"/>
          <w:highlight w:val="none"/>
        </w:rPr>
      </w:pPr>
    </w:p>
    <w:p w14:paraId="30897FF4">
      <w:pPr>
        <w:jc w:val="center"/>
        <w:rPr>
          <w:rFonts w:hint="eastAsia" w:ascii="宋体" w:hAnsi="宋体" w:eastAsia="宋体" w:cs="宋体"/>
          <w:b/>
          <w:color w:val="auto"/>
          <w:kern w:val="0"/>
          <w:sz w:val="32"/>
          <w:szCs w:val="32"/>
          <w:highlight w:val="none"/>
        </w:rPr>
      </w:pPr>
    </w:p>
    <w:p w14:paraId="72246FDC">
      <w:pPr>
        <w:jc w:val="center"/>
        <w:rPr>
          <w:rFonts w:hint="eastAsia" w:ascii="宋体" w:hAnsi="宋体" w:eastAsia="宋体" w:cs="宋体"/>
          <w:b/>
          <w:color w:val="auto"/>
          <w:kern w:val="0"/>
          <w:sz w:val="32"/>
          <w:szCs w:val="32"/>
          <w:highlight w:val="none"/>
        </w:rPr>
      </w:pPr>
    </w:p>
    <w:p w14:paraId="47507317">
      <w:pPr>
        <w:jc w:val="center"/>
        <w:rPr>
          <w:rFonts w:hint="eastAsia" w:ascii="宋体" w:hAnsi="宋体" w:eastAsia="宋体" w:cs="宋体"/>
          <w:b/>
          <w:color w:val="auto"/>
          <w:kern w:val="0"/>
          <w:sz w:val="32"/>
          <w:szCs w:val="32"/>
          <w:highlight w:val="none"/>
        </w:rPr>
      </w:pPr>
    </w:p>
    <w:p w14:paraId="7B884263">
      <w:pPr>
        <w:jc w:val="center"/>
        <w:rPr>
          <w:rFonts w:hint="eastAsia" w:ascii="宋体" w:hAnsi="宋体" w:eastAsia="宋体" w:cs="宋体"/>
          <w:b/>
          <w:color w:val="auto"/>
          <w:kern w:val="0"/>
          <w:sz w:val="32"/>
          <w:szCs w:val="32"/>
          <w:highlight w:val="none"/>
        </w:rPr>
      </w:pPr>
    </w:p>
    <w:p w14:paraId="04949279">
      <w:pPr>
        <w:ind w:firstLine="2891" w:firstLineChars="900"/>
        <w:rPr>
          <w:rFonts w:hint="eastAsia" w:ascii="宋体" w:hAnsi="宋体" w:eastAsia="宋体" w:cs="宋体"/>
          <w:b/>
          <w:bCs/>
          <w:color w:val="auto"/>
          <w:sz w:val="32"/>
          <w:szCs w:val="32"/>
          <w:highlight w:val="none"/>
        </w:rPr>
      </w:pPr>
    </w:p>
    <w:p w14:paraId="1B2AAC54">
      <w:pPr>
        <w:ind w:firstLine="2891" w:firstLineChars="900"/>
        <w:rPr>
          <w:rFonts w:hint="eastAsia" w:ascii="宋体" w:hAnsi="宋体" w:eastAsia="宋体" w:cs="宋体"/>
          <w:b/>
          <w:bCs/>
          <w:color w:val="auto"/>
          <w:sz w:val="32"/>
          <w:szCs w:val="32"/>
          <w:highlight w:val="none"/>
        </w:rPr>
      </w:pPr>
    </w:p>
    <w:p w14:paraId="13341E76">
      <w:pPr>
        <w:widowControl/>
        <w:adjustRightInd/>
        <w:spacing w:before="319" w:beforeLines="100" w:after="319" w:afterLine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七、</w:t>
      </w:r>
      <w:r>
        <w:rPr>
          <w:rFonts w:hint="eastAsia" w:ascii="宋体" w:hAnsi="宋体" w:eastAsia="宋体" w:cs="宋体"/>
          <w:b/>
          <w:color w:val="auto"/>
          <w:kern w:val="0"/>
          <w:sz w:val="28"/>
          <w:szCs w:val="28"/>
          <w:highlight w:val="none"/>
          <w:lang w:val="zh-CN"/>
        </w:rPr>
        <w:t>政府采购供应商廉洁自律承诺书</w:t>
      </w:r>
    </w:p>
    <w:p w14:paraId="077453B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486C3D4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我单位响应你单位项目招标要求参加投标。在这次投标过程中和中标后，我们将严格遵守国家法律法规要求，并郑重承诺：</w:t>
      </w:r>
    </w:p>
    <w:p w14:paraId="7AD295B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p>
    <w:p w14:paraId="48E2D156">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二、不为项目有关人员及部门报销应由你方单位或个人支付的费用；</w:t>
      </w:r>
    </w:p>
    <w:p w14:paraId="38F4553F">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三、不向项目有关人员及部门提供有可能影响公正的宴请和健身娱乐等活动；</w:t>
      </w:r>
    </w:p>
    <w:p w14:paraId="0E156620">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四、不为项目有关人员及部门出国（境）、旅游等提供方便；</w:t>
      </w:r>
    </w:p>
    <w:p w14:paraId="7F8E8749">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五、不为项目有关人员个人装修住房、婚丧嫁娶、配偶子女工作安排等提供好处；</w:t>
      </w:r>
    </w:p>
    <w:p w14:paraId="0DC7E24F">
      <w:pPr>
        <w:wordWrap w:val="0"/>
        <w:autoSpaceDE w:val="0"/>
        <w:autoSpaceDN w:val="0"/>
        <w:spacing w:line="360" w:lineRule="auto"/>
        <w:ind w:left="420" w:left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六、</w:t>
      </w:r>
      <w:r>
        <w:rPr>
          <w:rFonts w:hint="eastAsia" w:ascii="宋体" w:hAnsi="宋体" w:eastAsia="宋体" w:cs="宋体"/>
          <w:color w:val="auto"/>
          <w:kern w:val="0"/>
          <w:szCs w:val="21"/>
          <w:highlight w:val="none"/>
          <w:lang w:val="zh-CN"/>
        </w:rPr>
        <w:t>严格遵守《</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政府采购法》《</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招标投标法》</w:t>
      </w:r>
      <w:r>
        <w:rPr>
          <w:rFonts w:hint="eastAsia" w:ascii="宋体" w:hAnsi="宋体" w:eastAsia="宋体" w:cs="宋体"/>
          <w:color w:val="auto"/>
          <w:szCs w:val="21"/>
          <w:highlight w:val="none"/>
          <w:lang w:val="zh-CN"/>
        </w:rPr>
        <w:t>《中华人民共和国民法典》</w:t>
      </w:r>
      <w:r>
        <w:rPr>
          <w:rFonts w:hint="eastAsia" w:ascii="宋体" w:hAnsi="宋体" w:eastAsia="宋体" w:cs="宋体"/>
          <w:color w:val="auto"/>
          <w:kern w:val="0"/>
          <w:szCs w:val="21"/>
          <w:highlight w:val="none"/>
          <w:lang w:val="zh-CN"/>
        </w:rPr>
        <w:t>等法律法规，诚实守信，合法经营，坚决抵制各种违法违纪行为。</w:t>
      </w:r>
    </w:p>
    <w:p w14:paraId="19369746">
      <w:pPr>
        <w:wordWrap w:val="0"/>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如违反上述承诺，你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进行项目建设或其他经营活动，并通报市财政局。由此引起的相应损失均由我单位承担。</w:t>
      </w:r>
    </w:p>
    <w:p w14:paraId="6F100205">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p>
    <w:p w14:paraId="11066DF4">
      <w:pPr>
        <w:autoSpaceDE w:val="0"/>
        <w:autoSpaceDN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szCs w:val="21"/>
          <w:highlight w:val="none"/>
        </w:rPr>
        <w:t>电子签名</w:t>
      </w:r>
      <w:r>
        <w:rPr>
          <w:rFonts w:hint="eastAsia" w:ascii="宋体" w:hAnsi="宋体" w:eastAsia="宋体" w:cs="宋体"/>
          <w:color w:val="auto"/>
          <w:kern w:val="0"/>
          <w:szCs w:val="21"/>
          <w:highlight w:val="none"/>
          <w:lang w:val="zh-CN"/>
        </w:rPr>
        <w:t>）：</w:t>
      </w:r>
    </w:p>
    <w:p w14:paraId="23CBAADB">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35CC970D">
      <w:pPr>
        <w:spacing w:line="360" w:lineRule="auto"/>
        <w:jc w:val="center"/>
        <w:rPr>
          <w:rFonts w:hint="eastAsia" w:ascii="宋体" w:hAnsi="宋体" w:eastAsia="宋体" w:cs="宋体"/>
          <w:b/>
          <w:bCs/>
          <w:color w:val="auto"/>
          <w:sz w:val="24"/>
          <w:highlight w:val="none"/>
        </w:rPr>
      </w:pPr>
    </w:p>
    <w:p w14:paraId="1836DDC9">
      <w:pPr>
        <w:pStyle w:val="3"/>
        <w:rPr>
          <w:rFonts w:hint="eastAsia" w:ascii="宋体" w:hAnsi="宋体" w:eastAsia="宋体" w:cs="宋体"/>
          <w:color w:val="auto"/>
          <w:sz w:val="24"/>
          <w:highlight w:val="none"/>
        </w:rPr>
      </w:pPr>
    </w:p>
    <w:p w14:paraId="0C0BB809">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注：按本格式和要求提供。</w:t>
      </w:r>
    </w:p>
    <w:p w14:paraId="0D973113">
      <w:pPr>
        <w:spacing w:line="360" w:lineRule="auto"/>
        <w:jc w:val="center"/>
        <w:rPr>
          <w:rFonts w:hint="eastAsia" w:ascii="宋体" w:hAnsi="宋体" w:eastAsia="宋体" w:cs="宋体"/>
          <w:b/>
          <w:bCs/>
          <w:color w:val="auto"/>
          <w:sz w:val="24"/>
          <w:highlight w:val="none"/>
        </w:rPr>
        <w:sectPr>
          <w:footerReference r:id="rId8" w:type="default"/>
          <w:pgSz w:w="11905" w:h="16838"/>
          <w:pgMar w:top="1440" w:right="1080" w:bottom="1440" w:left="1080" w:header="851" w:footer="992" w:gutter="0"/>
          <w:cols w:space="0" w:num="1"/>
          <w:docGrid w:type="lines" w:linePitch="319" w:charSpace="0"/>
        </w:sectPr>
      </w:pPr>
    </w:p>
    <w:p w14:paraId="27884CEB">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报价文件部分</w:t>
      </w:r>
    </w:p>
    <w:p w14:paraId="32841442">
      <w:pPr>
        <w:spacing w:before="319" w:beforeLines="100" w:after="319" w:afterLines="10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AEFDB2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(1)开标一览表（报价表）………………………………………………………（页码）</w:t>
      </w:r>
    </w:p>
    <w:p w14:paraId="7F2164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(2)报价情况说明…………………………………………………………………（页码）</w:t>
      </w:r>
    </w:p>
    <w:p w14:paraId="149F7E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(3)中小企业声明函………………………………………………………………（页码）</w:t>
      </w:r>
    </w:p>
    <w:p w14:paraId="516F2776">
      <w:pPr>
        <w:snapToGrid w:val="0"/>
        <w:spacing w:line="360" w:lineRule="auto"/>
        <w:rPr>
          <w:rFonts w:hint="eastAsia" w:ascii="宋体" w:hAnsi="宋体" w:eastAsia="宋体" w:cs="宋体"/>
          <w:color w:val="auto"/>
          <w:szCs w:val="21"/>
          <w:highlight w:val="none"/>
        </w:rPr>
        <w:sectPr>
          <w:headerReference r:id="rId10" w:type="first"/>
          <w:footerReference r:id="rId12" w:type="first"/>
          <w:headerReference r:id="rId9" w:type="default"/>
          <w:footerReference r:id="rId11" w:type="default"/>
          <w:pgSz w:w="11905" w:h="16838"/>
          <w:pgMar w:top="1440" w:right="1080" w:bottom="1440" w:left="1080" w:header="851" w:footer="992" w:gutter="0"/>
          <w:cols w:space="0" w:num="1"/>
          <w:docGrid w:type="lines" w:linePitch="319" w:charSpace="0"/>
        </w:sectPr>
      </w:pPr>
    </w:p>
    <w:p w14:paraId="674C98C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5575297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39574329">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lang w:val="zh-CN"/>
        </w:rPr>
        <w:t>【招标编号：</w:t>
      </w:r>
      <w:r>
        <w:rPr>
          <w:rFonts w:hint="eastAsia" w:ascii="宋体" w:hAnsi="宋体" w:eastAsia="宋体" w:cs="宋体"/>
          <w:color w:val="auto"/>
          <w:szCs w:val="21"/>
          <w:highlight w:val="none"/>
        </w:rPr>
        <w:t>（采购编号）】的实施</w:t>
      </w:r>
      <w:r>
        <w:rPr>
          <w:rFonts w:hint="eastAsia" w:ascii="宋体" w:hAnsi="宋体" w:eastAsia="宋体" w:cs="宋体"/>
          <w:color w:val="auto"/>
          <w:kern w:val="0"/>
          <w:szCs w:val="21"/>
          <w:highlight w:val="none"/>
          <w:lang w:val="zh-CN"/>
        </w:rPr>
        <w:t>。</w:t>
      </w:r>
    </w:p>
    <w:p w14:paraId="63CF991F">
      <w:pPr>
        <w:spacing w:line="360" w:lineRule="auto"/>
        <w:jc w:val="center"/>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开标一览表（报价表）(单位均为人民币元)</w:t>
      </w:r>
    </w:p>
    <w:tbl>
      <w:tblPr>
        <w:tblStyle w:val="65"/>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019"/>
        <w:gridCol w:w="795"/>
        <w:gridCol w:w="915"/>
        <w:gridCol w:w="870"/>
        <w:gridCol w:w="1155"/>
        <w:gridCol w:w="3223"/>
      </w:tblGrid>
      <w:tr w14:paraId="7053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8EF765">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序号</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365E655D">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名称</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3043B7E7">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单位</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3B5CB943">
            <w:pPr>
              <w:widowControl/>
              <w:jc w:val="center"/>
              <w:rPr>
                <w:rFonts w:ascii="仿宋_GB2312" w:hAnsi="宋体" w:cs="宋体"/>
                <w:color w:val="auto"/>
                <w:kern w:val="0"/>
                <w:sz w:val="20"/>
                <w:szCs w:val="20"/>
                <w:highlight w:val="none"/>
              </w:rPr>
            </w:pPr>
            <w:r>
              <w:rPr>
                <w:rFonts w:ascii="仿宋_GB2312" w:hAnsi="宋体" w:cs="宋体"/>
                <w:color w:val="auto"/>
                <w:kern w:val="0"/>
                <w:sz w:val="20"/>
                <w:szCs w:val="20"/>
                <w:highlight w:val="none"/>
              </w:rPr>
              <w:t>数量</w:t>
            </w:r>
          </w:p>
        </w:tc>
        <w:tc>
          <w:tcPr>
            <w:tcW w:w="431" w:type="pct"/>
            <w:tcBorders>
              <w:top w:val="single" w:color="auto" w:sz="4" w:space="0"/>
              <w:left w:val="nil"/>
              <w:bottom w:val="single" w:color="auto" w:sz="4" w:space="0"/>
              <w:right w:val="single" w:color="auto" w:sz="4" w:space="0"/>
            </w:tcBorders>
            <w:shd w:val="clear" w:color="auto" w:fill="FFFFFF"/>
            <w:noWrap w:val="0"/>
            <w:vAlign w:val="center"/>
          </w:tcPr>
          <w:p w14:paraId="1FEE2FC8">
            <w:pPr>
              <w:widowControl/>
              <w:jc w:val="center"/>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单价（元）</w:t>
            </w:r>
          </w:p>
        </w:tc>
        <w:tc>
          <w:tcPr>
            <w:tcW w:w="572" w:type="pct"/>
            <w:tcBorders>
              <w:top w:val="single" w:color="auto" w:sz="4" w:space="0"/>
              <w:left w:val="nil"/>
              <w:bottom w:val="single" w:color="auto" w:sz="4" w:space="0"/>
              <w:right w:val="single" w:color="auto" w:sz="4" w:space="0"/>
            </w:tcBorders>
            <w:shd w:val="clear" w:color="auto" w:fill="FFFFFF"/>
            <w:noWrap w:val="0"/>
            <w:vAlign w:val="center"/>
          </w:tcPr>
          <w:p w14:paraId="57855E23">
            <w:pPr>
              <w:widowControl/>
              <w:jc w:val="center"/>
              <w:rPr>
                <w:rFonts w:hint="default"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合计（元）</w:t>
            </w:r>
          </w:p>
        </w:tc>
        <w:tc>
          <w:tcPr>
            <w:tcW w:w="1598" w:type="pct"/>
            <w:tcBorders>
              <w:top w:val="single" w:color="auto" w:sz="4" w:space="0"/>
              <w:left w:val="nil"/>
              <w:bottom w:val="single" w:color="auto" w:sz="4" w:space="0"/>
              <w:right w:val="single" w:color="auto" w:sz="4" w:space="0"/>
            </w:tcBorders>
            <w:shd w:val="clear" w:color="auto" w:fill="FFFFFF"/>
            <w:noWrap w:val="0"/>
            <w:vAlign w:val="center"/>
          </w:tcPr>
          <w:p w14:paraId="1317B1C4">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备注</w:t>
            </w:r>
          </w:p>
        </w:tc>
      </w:tr>
      <w:tr w14:paraId="0A08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430994">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1</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477D90BF">
            <w:pPr>
              <w:jc w:val="center"/>
              <w:rPr>
                <w:rFonts w:ascii="宋体" w:hAnsi="宋体"/>
                <w:color w:val="000000"/>
                <w:kern w:val="2"/>
                <w:sz w:val="20"/>
                <w:szCs w:val="20"/>
                <w:lang w:val="en-US" w:eastAsia="zh-CN" w:bidi="ar-SA"/>
              </w:rPr>
            </w:pPr>
            <w:r>
              <w:rPr>
                <w:rFonts w:hint="eastAsia"/>
                <w:color w:val="000000"/>
                <w:sz w:val="20"/>
                <w:szCs w:val="20"/>
              </w:rPr>
              <w:t>云数据管理平台</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7869F3D3">
            <w:pPr>
              <w:jc w:val="center"/>
              <w:rPr>
                <w:rFonts w:ascii="宋体" w:hAnsi="宋体"/>
                <w:color w:val="auto"/>
                <w:sz w:val="20"/>
                <w:szCs w:val="20"/>
                <w:highlight w:val="none"/>
              </w:rPr>
            </w:pPr>
            <w:r>
              <w:rPr>
                <w:rFonts w:hint="eastAsia"/>
                <w:color w:val="auto"/>
                <w:sz w:val="20"/>
                <w:szCs w:val="20"/>
                <w:highlight w:val="none"/>
              </w:rPr>
              <w:t>户</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42ABBE57">
            <w:pPr>
              <w:jc w:val="center"/>
              <w:rPr>
                <w:rFonts w:hint="default" w:ascii="宋体" w:hAnsi="宋体" w:eastAsia="宋体"/>
                <w:color w:val="000000"/>
                <w:kern w:val="2"/>
                <w:sz w:val="20"/>
                <w:szCs w:val="20"/>
                <w:lang w:val="en-US" w:eastAsia="zh-CN" w:bidi="ar-SA"/>
              </w:rPr>
            </w:pPr>
            <w:r>
              <w:rPr>
                <w:rFonts w:hint="eastAsia" w:ascii="宋体" w:hAnsi="宋体"/>
                <w:color w:val="000000"/>
                <w:sz w:val="20"/>
                <w:szCs w:val="20"/>
                <w:lang w:val="en-US" w:eastAsia="zh-CN"/>
              </w:rPr>
              <w:t>5381</w:t>
            </w:r>
          </w:p>
        </w:tc>
        <w:tc>
          <w:tcPr>
            <w:tcW w:w="431" w:type="pct"/>
            <w:tcBorders>
              <w:top w:val="single" w:color="auto" w:sz="4" w:space="0"/>
              <w:left w:val="nil"/>
              <w:bottom w:val="single" w:color="auto" w:sz="4" w:space="0"/>
              <w:right w:val="single" w:color="auto" w:sz="4" w:space="0"/>
            </w:tcBorders>
            <w:noWrap w:val="0"/>
            <w:vAlign w:val="center"/>
          </w:tcPr>
          <w:p w14:paraId="7E36C825">
            <w:pPr>
              <w:jc w:val="center"/>
              <w:rPr>
                <w:rFonts w:hint="eastAsia"/>
                <w:color w:val="auto"/>
                <w:sz w:val="20"/>
                <w:szCs w:val="20"/>
                <w:highlight w:val="none"/>
              </w:rPr>
            </w:pPr>
          </w:p>
        </w:tc>
        <w:tc>
          <w:tcPr>
            <w:tcW w:w="572" w:type="pct"/>
            <w:tcBorders>
              <w:top w:val="single" w:color="auto" w:sz="4" w:space="0"/>
              <w:left w:val="nil"/>
              <w:bottom w:val="single" w:color="auto" w:sz="4" w:space="0"/>
              <w:right w:val="single" w:color="auto" w:sz="4" w:space="0"/>
            </w:tcBorders>
            <w:noWrap w:val="0"/>
            <w:vAlign w:val="center"/>
          </w:tcPr>
          <w:p w14:paraId="66753BF6">
            <w:pPr>
              <w:jc w:val="center"/>
              <w:rPr>
                <w:rFonts w:hint="eastAsia"/>
                <w:color w:val="auto"/>
                <w:sz w:val="20"/>
                <w:szCs w:val="20"/>
                <w:highlight w:val="none"/>
              </w:rPr>
            </w:pPr>
          </w:p>
        </w:tc>
        <w:tc>
          <w:tcPr>
            <w:tcW w:w="1598" w:type="pct"/>
            <w:tcBorders>
              <w:top w:val="single" w:color="auto" w:sz="4" w:space="0"/>
              <w:left w:val="nil"/>
              <w:bottom w:val="single" w:color="auto" w:sz="4" w:space="0"/>
              <w:right w:val="single" w:color="auto" w:sz="4" w:space="0"/>
            </w:tcBorders>
            <w:noWrap w:val="0"/>
            <w:vAlign w:val="center"/>
          </w:tcPr>
          <w:p w14:paraId="7152C396">
            <w:pPr>
              <w:jc w:val="center"/>
              <w:rPr>
                <w:rFonts w:ascii="宋体" w:hAnsi="宋体"/>
                <w:color w:val="auto"/>
                <w:sz w:val="20"/>
                <w:szCs w:val="20"/>
                <w:highlight w:val="none"/>
              </w:rPr>
            </w:pPr>
          </w:p>
        </w:tc>
      </w:tr>
      <w:tr w14:paraId="041D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192DEB">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2E356868">
            <w:pPr>
              <w:jc w:val="center"/>
              <w:rPr>
                <w:rFonts w:ascii="宋体" w:hAnsi="宋体"/>
                <w:kern w:val="2"/>
                <w:sz w:val="20"/>
                <w:szCs w:val="20"/>
                <w:lang w:val="en-US" w:eastAsia="zh-CN" w:bidi="ar-SA"/>
              </w:rPr>
            </w:pPr>
            <w:r>
              <w:rPr>
                <w:rFonts w:hint="eastAsia"/>
                <w:sz w:val="20"/>
                <w:szCs w:val="20"/>
              </w:rPr>
              <w:t>管理人员</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7A57D802">
            <w:pPr>
              <w:jc w:val="center"/>
              <w:rPr>
                <w:rFonts w:ascii="宋体" w:hAnsi="宋体"/>
                <w:color w:val="auto"/>
                <w:sz w:val="20"/>
                <w:szCs w:val="20"/>
                <w:highlight w:val="none"/>
              </w:rPr>
            </w:pPr>
            <w:r>
              <w:rPr>
                <w:rFonts w:hint="eastAsia"/>
                <w:color w:val="auto"/>
                <w:sz w:val="20"/>
                <w:szCs w:val="20"/>
                <w:highlight w:val="none"/>
              </w:rPr>
              <w:t>人</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7F337665">
            <w:pPr>
              <w:jc w:val="center"/>
              <w:rPr>
                <w:rFonts w:hint="default" w:ascii="宋体" w:hAnsi="宋体" w:eastAsia="宋体"/>
                <w:kern w:val="2"/>
                <w:sz w:val="20"/>
                <w:szCs w:val="20"/>
                <w:lang w:val="en-US" w:eastAsia="zh-CN" w:bidi="ar-SA"/>
              </w:rPr>
            </w:pPr>
            <w:r>
              <w:rPr>
                <w:rFonts w:hint="eastAsia" w:ascii="宋体" w:hAnsi="宋体"/>
                <w:sz w:val="20"/>
                <w:szCs w:val="20"/>
                <w:lang w:val="en-US" w:eastAsia="zh-CN"/>
              </w:rPr>
              <w:t>4</w:t>
            </w:r>
          </w:p>
        </w:tc>
        <w:tc>
          <w:tcPr>
            <w:tcW w:w="431" w:type="pct"/>
            <w:tcBorders>
              <w:top w:val="single" w:color="auto" w:sz="4" w:space="0"/>
              <w:left w:val="nil"/>
              <w:bottom w:val="single" w:color="auto" w:sz="4" w:space="0"/>
              <w:right w:val="single" w:color="auto" w:sz="4" w:space="0"/>
            </w:tcBorders>
            <w:noWrap w:val="0"/>
            <w:vAlign w:val="center"/>
          </w:tcPr>
          <w:p w14:paraId="001F68EF">
            <w:pPr>
              <w:jc w:val="center"/>
              <w:rPr>
                <w:rFonts w:hint="eastAsia"/>
                <w:color w:val="auto"/>
                <w:sz w:val="20"/>
                <w:szCs w:val="20"/>
                <w:highlight w:val="none"/>
              </w:rPr>
            </w:pPr>
          </w:p>
        </w:tc>
        <w:tc>
          <w:tcPr>
            <w:tcW w:w="572" w:type="pct"/>
            <w:tcBorders>
              <w:top w:val="single" w:color="auto" w:sz="4" w:space="0"/>
              <w:left w:val="nil"/>
              <w:bottom w:val="single" w:color="auto" w:sz="4" w:space="0"/>
              <w:right w:val="single" w:color="auto" w:sz="4" w:space="0"/>
            </w:tcBorders>
            <w:noWrap w:val="0"/>
            <w:vAlign w:val="center"/>
          </w:tcPr>
          <w:p w14:paraId="19658B99">
            <w:pPr>
              <w:jc w:val="center"/>
              <w:rPr>
                <w:rFonts w:hint="eastAsia"/>
                <w:color w:val="auto"/>
                <w:sz w:val="20"/>
                <w:szCs w:val="20"/>
                <w:highlight w:val="none"/>
              </w:rPr>
            </w:pPr>
          </w:p>
        </w:tc>
        <w:tc>
          <w:tcPr>
            <w:tcW w:w="1598" w:type="pct"/>
            <w:tcBorders>
              <w:top w:val="single" w:color="auto" w:sz="4" w:space="0"/>
              <w:left w:val="nil"/>
              <w:bottom w:val="single" w:color="auto" w:sz="4" w:space="0"/>
              <w:right w:val="single" w:color="auto" w:sz="4" w:space="0"/>
            </w:tcBorders>
            <w:noWrap w:val="0"/>
            <w:vAlign w:val="center"/>
          </w:tcPr>
          <w:p w14:paraId="4E91BE96">
            <w:pPr>
              <w:jc w:val="center"/>
              <w:rPr>
                <w:rFonts w:ascii="宋体" w:hAnsi="宋体"/>
                <w:color w:val="auto"/>
                <w:sz w:val="20"/>
                <w:szCs w:val="20"/>
                <w:highlight w:val="none"/>
              </w:rPr>
            </w:pPr>
          </w:p>
        </w:tc>
      </w:tr>
      <w:tr w14:paraId="10CF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4DA32B">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3A326DAF">
            <w:pPr>
              <w:jc w:val="center"/>
              <w:rPr>
                <w:rFonts w:ascii="宋体" w:hAnsi="宋体"/>
                <w:color w:val="000000"/>
                <w:kern w:val="2"/>
                <w:sz w:val="20"/>
                <w:szCs w:val="20"/>
                <w:lang w:val="en-US" w:eastAsia="zh-CN" w:bidi="ar-SA"/>
              </w:rPr>
            </w:pPr>
            <w:r>
              <w:rPr>
                <w:rFonts w:hint="eastAsia"/>
                <w:color w:val="000000"/>
                <w:sz w:val="20"/>
                <w:szCs w:val="20"/>
              </w:rPr>
              <w:t>居民积分奖励</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0E9ACE8E">
            <w:pPr>
              <w:jc w:val="center"/>
              <w:rPr>
                <w:rFonts w:ascii="宋体" w:hAnsi="宋体"/>
                <w:color w:val="auto"/>
                <w:sz w:val="20"/>
                <w:szCs w:val="20"/>
                <w:highlight w:val="none"/>
              </w:rPr>
            </w:pPr>
            <w:r>
              <w:rPr>
                <w:rFonts w:hint="eastAsia"/>
                <w:color w:val="auto"/>
                <w:sz w:val="20"/>
                <w:szCs w:val="20"/>
                <w:highlight w:val="none"/>
              </w:rPr>
              <w:t>户</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7803129A">
            <w:pPr>
              <w:jc w:val="center"/>
              <w:rPr>
                <w:rFonts w:hint="default" w:ascii="宋体" w:hAnsi="宋体" w:eastAsia="宋体"/>
                <w:color w:val="000000"/>
                <w:kern w:val="2"/>
                <w:sz w:val="20"/>
                <w:szCs w:val="20"/>
                <w:lang w:val="en-US" w:eastAsia="zh-CN" w:bidi="ar-SA"/>
              </w:rPr>
            </w:pPr>
            <w:r>
              <w:rPr>
                <w:rFonts w:hint="eastAsia" w:ascii="宋体" w:hAnsi="宋体"/>
                <w:color w:val="000000"/>
                <w:sz w:val="20"/>
                <w:szCs w:val="20"/>
                <w:lang w:val="en-US" w:eastAsia="zh-CN"/>
              </w:rPr>
              <w:t>5381</w:t>
            </w:r>
          </w:p>
        </w:tc>
        <w:tc>
          <w:tcPr>
            <w:tcW w:w="431" w:type="pct"/>
            <w:tcBorders>
              <w:top w:val="single" w:color="auto" w:sz="4" w:space="0"/>
              <w:left w:val="nil"/>
              <w:bottom w:val="single" w:color="auto" w:sz="4" w:space="0"/>
              <w:right w:val="single" w:color="auto" w:sz="4" w:space="0"/>
            </w:tcBorders>
            <w:noWrap w:val="0"/>
            <w:vAlign w:val="center"/>
          </w:tcPr>
          <w:p w14:paraId="5F91DB58">
            <w:pPr>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w:t>
            </w:r>
          </w:p>
        </w:tc>
        <w:tc>
          <w:tcPr>
            <w:tcW w:w="572" w:type="pct"/>
            <w:tcBorders>
              <w:top w:val="single" w:color="auto" w:sz="4" w:space="0"/>
              <w:left w:val="nil"/>
              <w:bottom w:val="single" w:color="auto" w:sz="4" w:space="0"/>
              <w:right w:val="single" w:color="auto" w:sz="4" w:space="0"/>
            </w:tcBorders>
            <w:noWrap w:val="0"/>
            <w:vAlign w:val="center"/>
          </w:tcPr>
          <w:p w14:paraId="1B4B9282">
            <w:pPr>
              <w:jc w:val="center"/>
              <w:rPr>
                <w:rFonts w:ascii="宋体" w:hAnsi="宋体"/>
                <w:color w:val="auto"/>
                <w:sz w:val="20"/>
                <w:szCs w:val="20"/>
                <w:highlight w:val="none"/>
              </w:rPr>
            </w:pPr>
          </w:p>
        </w:tc>
        <w:tc>
          <w:tcPr>
            <w:tcW w:w="1598" w:type="pct"/>
            <w:tcBorders>
              <w:top w:val="single" w:color="auto" w:sz="4" w:space="0"/>
              <w:left w:val="nil"/>
              <w:bottom w:val="single" w:color="auto" w:sz="4" w:space="0"/>
              <w:right w:val="single" w:color="auto" w:sz="4" w:space="0"/>
            </w:tcBorders>
            <w:noWrap w:val="0"/>
            <w:vAlign w:val="center"/>
          </w:tcPr>
          <w:p w14:paraId="06C88576">
            <w:pPr>
              <w:jc w:val="center"/>
              <w:rPr>
                <w:rFonts w:hint="default" w:ascii="宋体" w:hAnsi="宋体"/>
                <w:color w:val="auto"/>
                <w:sz w:val="20"/>
                <w:szCs w:val="20"/>
                <w:highlight w:val="none"/>
                <w:lang w:val="en-US"/>
              </w:rPr>
            </w:pPr>
            <w:r>
              <w:rPr>
                <w:rFonts w:hint="eastAsia" w:ascii="宋体" w:hAnsi="宋体"/>
                <w:color w:val="auto"/>
                <w:sz w:val="20"/>
                <w:szCs w:val="20"/>
                <w:highlight w:val="none"/>
                <w:lang w:val="en-US" w:eastAsia="zh-CN"/>
              </w:rPr>
              <w:t>按不低于78563元填报</w:t>
            </w:r>
          </w:p>
        </w:tc>
      </w:tr>
      <w:tr w14:paraId="6A67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EC719">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4</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0010C2FF">
            <w:pPr>
              <w:jc w:val="center"/>
              <w:rPr>
                <w:rFonts w:ascii="宋体" w:hAnsi="宋体"/>
                <w:color w:val="000000"/>
                <w:kern w:val="2"/>
                <w:sz w:val="20"/>
                <w:szCs w:val="20"/>
                <w:lang w:val="en-US" w:eastAsia="zh-CN" w:bidi="ar-SA"/>
              </w:rPr>
            </w:pPr>
            <w:r>
              <w:rPr>
                <w:rFonts w:hint="eastAsia"/>
                <w:color w:val="000000"/>
                <w:sz w:val="20"/>
                <w:szCs w:val="20"/>
              </w:rPr>
              <w:t>4G</w:t>
            </w:r>
            <w:r>
              <w:rPr>
                <w:rFonts w:hint="eastAsia" w:ascii="宋体" w:hAnsi="宋体"/>
                <w:color w:val="000000"/>
                <w:sz w:val="20"/>
                <w:szCs w:val="20"/>
              </w:rPr>
              <w:t>无线宽带</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1CB88681">
            <w:pPr>
              <w:jc w:val="center"/>
              <w:rPr>
                <w:rFonts w:ascii="宋体" w:hAnsi="宋体"/>
                <w:color w:val="auto"/>
                <w:sz w:val="20"/>
                <w:szCs w:val="20"/>
                <w:highlight w:val="none"/>
              </w:rPr>
            </w:pPr>
            <w:r>
              <w:rPr>
                <w:rFonts w:hint="eastAsia"/>
                <w:color w:val="auto"/>
                <w:sz w:val="20"/>
                <w:szCs w:val="20"/>
                <w:highlight w:val="none"/>
              </w:rPr>
              <w:t>条</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34C133F9">
            <w:pPr>
              <w:jc w:val="center"/>
              <w:rPr>
                <w:rFonts w:hint="default" w:ascii="宋体" w:hAnsi="宋体" w:eastAsia="宋体"/>
                <w:color w:val="000000"/>
                <w:kern w:val="2"/>
                <w:sz w:val="20"/>
                <w:szCs w:val="20"/>
                <w:lang w:val="en-US" w:eastAsia="zh-CN" w:bidi="ar-SA"/>
              </w:rPr>
            </w:pPr>
            <w:r>
              <w:rPr>
                <w:rFonts w:hint="eastAsia" w:ascii="宋体" w:hAnsi="宋体"/>
                <w:color w:val="000000"/>
                <w:sz w:val="20"/>
                <w:szCs w:val="20"/>
                <w:lang w:val="en-US" w:eastAsia="zh-CN"/>
              </w:rPr>
              <w:t>6</w:t>
            </w:r>
          </w:p>
        </w:tc>
        <w:tc>
          <w:tcPr>
            <w:tcW w:w="431" w:type="pct"/>
            <w:tcBorders>
              <w:top w:val="single" w:color="auto" w:sz="4" w:space="0"/>
              <w:left w:val="nil"/>
              <w:bottom w:val="single" w:color="auto" w:sz="4" w:space="0"/>
              <w:right w:val="single" w:color="auto" w:sz="4" w:space="0"/>
            </w:tcBorders>
            <w:noWrap w:val="0"/>
            <w:vAlign w:val="center"/>
          </w:tcPr>
          <w:p w14:paraId="2098D88F">
            <w:pPr>
              <w:jc w:val="center"/>
              <w:rPr>
                <w:rFonts w:hint="eastAsia"/>
                <w:color w:val="auto"/>
                <w:sz w:val="20"/>
                <w:szCs w:val="20"/>
                <w:highlight w:val="none"/>
              </w:rPr>
            </w:pPr>
          </w:p>
        </w:tc>
        <w:tc>
          <w:tcPr>
            <w:tcW w:w="572" w:type="pct"/>
            <w:tcBorders>
              <w:top w:val="single" w:color="auto" w:sz="4" w:space="0"/>
              <w:left w:val="nil"/>
              <w:bottom w:val="single" w:color="auto" w:sz="4" w:space="0"/>
              <w:right w:val="single" w:color="auto" w:sz="4" w:space="0"/>
            </w:tcBorders>
            <w:noWrap w:val="0"/>
            <w:vAlign w:val="center"/>
          </w:tcPr>
          <w:p w14:paraId="3033D017">
            <w:pPr>
              <w:jc w:val="center"/>
              <w:rPr>
                <w:rFonts w:hint="eastAsia"/>
                <w:color w:val="auto"/>
                <w:sz w:val="20"/>
                <w:szCs w:val="20"/>
                <w:highlight w:val="none"/>
              </w:rPr>
            </w:pPr>
          </w:p>
        </w:tc>
        <w:tc>
          <w:tcPr>
            <w:tcW w:w="1598" w:type="pct"/>
            <w:tcBorders>
              <w:top w:val="single" w:color="auto" w:sz="4" w:space="0"/>
              <w:left w:val="nil"/>
              <w:bottom w:val="single" w:color="auto" w:sz="4" w:space="0"/>
              <w:right w:val="single" w:color="auto" w:sz="4" w:space="0"/>
            </w:tcBorders>
            <w:noWrap w:val="0"/>
            <w:vAlign w:val="center"/>
          </w:tcPr>
          <w:p w14:paraId="0D2111B4">
            <w:pPr>
              <w:jc w:val="center"/>
              <w:rPr>
                <w:rFonts w:ascii="宋体" w:hAnsi="宋体"/>
                <w:color w:val="auto"/>
                <w:sz w:val="20"/>
                <w:szCs w:val="20"/>
                <w:highlight w:val="none"/>
              </w:rPr>
            </w:pPr>
            <w:r>
              <w:rPr>
                <w:rFonts w:hint="eastAsia"/>
                <w:color w:val="auto"/>
                <w:sz w:val="20"/>
                <w:szCs w:val="20"/>
                <w:highlight w:val="none"/>
              </w:rPr>
              <w:t>　</w:t>
            </w:r>
          </w:p>
        </w:tc>
      </w:tr>
      <w:tr w14:paraId="409A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6C2B3">
            <w:pPr>
              <w:widowControl/>
              <w:jc w:val="center"/>
              <w:rPr>
                <w:rFonts w:ascii="宋体" w:hAnsi="宋体"/>
                <w:color w:val="auto"/>
                <w:kern w:val="0"/>
                <w:sz w:val="20"/>
                <w:szCs w:val="20"/>
                <w:highlight w:val="none"/>
              </w:rPr>
            </w:pPr>
            <w:r>
              <w:rPr>
                <w:rFonts w:hint="eastAsia" w:ascii="宋体" w:hAnsi="宋体"/>
                <w:color w:val="auto"/>
                <w:kern w:val="0"/>
                <w:sz w:val="20"/>
                <w:szCs w:val="20"/>
                <w:highlight w:val="none"/>
              </w:rPr>
              <w:t>5</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23288129">
            <w:pPr>
              <w:jc w:val="center"/>
              <w:rPr>
                <w:rFonts w:ascii="宋体" w:hAnsi="宋体"/>
                <w:color w:val="000000"/>
                <w:kern w:val="2"/>
                <w:sz w:val="20"/>
                <w:szCs w:val="20"/>
                <w:lang w:val="en-US" w:eastAsia="zh-CN" w:bidi="ar-SA"/>
              </w:rPr>
            </w:pPr>
            <w:r>
              <w:rPr>
                <w:rFonts w:hint="eastAsia"/>
                <w:color w:val="000000"/>
                <w:sz w:val="20"/>
                <w:szCs w:val="20"/>
              </w:rPr>
              <w:t>设备维护费</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183DB2CA">
            <w:pPr>
              <w:jc w:val="center"/>
              <w:rPr>
                <w:rFonts w:ascii="宋体" w:hAnsi="宋体"/>
                <w:color w:val="auto"/>
                <w:sz w:val="20"/>
                <w:szCs w:val="20"/>
                <w:highlight w:val="none"/>
              </w:rPr>
            </w:pPr>
            <w:r>
              <w:rPr>
                <w:rFonts w:hint="eastAsia"/>
                <w:color w:val="auto"/>
                <w:sz w:val="20"/>
                <w:szCs w:val="20"/>
                <w:highlight w:val="none"/>
              </w:rPr>
              <w:t>座</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00A16477">
            <w:pPr>
              <w:jc w:val="center"/>
              <w:rPr>
                <w:rFonts w:hint="default" w:ascii="宋体" w:hAnsi="宋体" w:eastAsia="宋体"/>
                <w:color w:val="000000"/>
                <w:kern w:val="2"/>
                <w:sz w:val="20"/>
                <w:szCs w:val="20"/>
                <w:lang w:val="en-US" w:eastAsia="zh-CN" w:bidi="ar-SA"/>
              </w:rPr>
            </w:pPr>
            <w:r>
              <w:rPr>
                <w:rFonts w:hint="eastAsia" w:ascii="宋体" w:hAnsi="宋体"/>
                <w:color w:val="000000"/>
                <w:sz w:val="20"/>
                <w:szCs w:val="20"/>
                <w:lang w:val="en-US" w:eastAsia="zh-CN"/>
              </w:rPr>
              <w:t>15</w:t>
            </w:r>
          </w:p>
        </w:tc>
        <w:tc>
          <w:tcPr>
            <w:tcW w:w="431" w:type="pct"/>
            <w:tcBorders>
              <w:top w:val="single" w:color="auto" w:sz="4" w:space="0"/>
              <w:left w:val="nil"/>
              <w:bottom w:val="single" w:color="auto" w:sz="4" w:space="0"/>
              <w:right w:val="single" w:color="auto" w:sz="4" w:space="0"/>
            </w:tcBorders>
            <w:noWrap w:val="0"/>
            <w:vAlign w:val="center"/>
          </w:tcPr>
          <w:p w14:paraId="2D1F1C58">
            <w:pPr>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w:t>
            </w:r>
          </w:p>
        </w:tc>
        <w:tc>
          <w:tcPr>
            <w:tcW w:w="572" w:type="pct"/>
            <w:tcBorders>
              <w:top w:val="single" w:color="auto" w:sz="4" w:space="0"/>
              <w:left w:val="nil"/>
              <w:bottom w:val="single" w:color="auto" w:sz="4" w:space="0"/>
              <w:right w:val="single" w:color="auto" w:sz="4" w:space="0"/>
            </w:tcBorders>
            <w:noWrap w:val="0"/>
            <w:vAlign w:val="center"/>
          </w:tcPr>
          <w:p w14:paraId="583EDA9F">
            <w:pPr>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50000</w:t>
            </w:r>
          </w:p>
        </w:tc>
        <w:tc>
          <w:tcPr>
            <w:tcW w:w="1598" w:type="pct"/>
            <w:tcBorders>
              <w:top w:val="single" w:color="auto" w:sz="4" w:space="0"/>
              <w:left w:val="nil"/>
              <w:bottom w:val="single" w:color="auto" w:sz="4" w:space="0"/>
              <w:right w:val="single" w:color="auto" w:sz="4" w:space="0"/>
            </w:tcBorders>
            <w:noWrap w:val="0"/>
            <w:vAlign w:val="center"/>
          </w:tcPr>
          <w:p w14:paraId="54D38851">
            <w:pPr>
              <w:jc w:val="center"/>
              <w:rPr>
                <w:rFonts w:hint="default" w:ascii="宋体" w:hAnsi="宋体"/>
                <w:color w:val="auto"/>
                <w:sz w:val="20"/>
                <w:szCs w:val="20"/>
                <w:highlight w:val="none"/>
                <w:lang w:val="en-US"/>
              </w:rPr>
            </w:pPr>
            <w:r>
              <w:rPr>
                <w:rFonts w:hint="eastAsia" w:ascii="宋体" w:hAnsi="宋体"/>
                <w:color w:val="auto"/>
                <w:sz w:val="20"/>
                <w:szCs w:val="20"/>
                <w:highlight w:val="none"/>
                <w:lang w:val="en-US" w:eastAsia="zh-CN"/>
              </w:rPr>
              <w:t>设备一年维护费按50000元填报，采购人按实际发生支出</w:t>
            </w:r>
          </w:p>
        </w:tc>
      </w:tr>
      <w:tr w14:paraId="3003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3412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001" w:type="pct"/>
            <w:tcBorders>
              <w:top w:val="single" w:color="auto" w:sz="4" w:space="0"/>
              <w:left w:val="nil"/>
              <w:bottom w:val="single" w:color="auto" w:sz="4" w:space="0"/>
              <w:right w:val="single" w:color="auto" w:sz="4" w:space="0"/>
            </w:tcBorders>
            <w:shd w:val="clear" w:color="auto" w:fill="FFFFFF"/>
            <w:noWrap w:val="0"/>
            <w:vAlign w:val="center"/>
          </w:tcPr>
          <w:p w14:paraId="04BBF080">
            <w:pPr>
              <w:jc w:val="center"/>
              <w:rPr>
                <w:rFonts w:hint="eastAsia"/>
                <w:color w:val="000000"/>
                <w:kern w:val="2"/>
                <w:sz w:val="20"/>
                <w:szCs w:val="20"/>
                <w:lang w:val="en-US" w:eastAsia="zh-CN" w:bidi="ar-SA"/>
              </w:rPr>
            </w:pPr>
            <w:r>
              <w:rPr>
                <w:rFonts w:hint="eastAsia"/>
                <w:color w:val="000000"/>
                <w:sz w:val="20"/>
                <w:szCs w:val="20"/>
              </w:rPr>
              <w:t>设备</w:t>
            </w:r>
            <w:r>
              <w:rPr>
                <w:rFonts w:hint="eastAsia"/>
                <w:color w:val="000000"/>
                <w:sz w:val="20"/>
                <w:szCs w:val="20"/>
                <w:lang w:eastAsia="zh-CN"/>
              </w:rPr>
              <w:t>水、</w:t>
            </w:r>
            <w:r>
              <w:rPr>
                <w:rFonts w:hint="eastAsia"/>
                <w:color w:val="000000"/>
                <w:sz w:val="20"/>
                <w:szCs w:val="20"/>
              </w:rPr>
              <w:t>电费</w:t>
            </w:r>
          </w:p>
        </w:tc>
        <w:tc>
          <w:tcPr>
            <w:tcW w:w="394" w:type="pct"/>
            <w:tcBorders>
              <w:top w:val="single" w:color="auto" w:sz="4" w:space="0"/>
              <w:left w:val="nil"/>
              <w:bottom w:val="single" w:color="auto" w:sz="4" w:space="0"/>
              <w:right w:val="single" w:color="auto" w:sz="4" w:space="0"/>
            </w:tcBorders>
            <w:shd w:val="clear" w:color="auto" w:fill="FFFFFF"/>
            <w:noWrap w:val="0"/>
            <w:vAlign w:val="center"/>
          </w:tcPr>
          <w:p w14:paraId="53D66713">
            <w:pPr>
              <w:jc w:val="center"/>
              <w:rPr>
                <w:rFonts w:hint="eastAsia"/>
                <w:color w:val="auto"/>
                <w:sz w:val="20"/>
                <w:szCs w:val="20"/>
                <w:highlight w:val="none"/>
              </w:rPr>
            </w:pPr>
            <w:r>
              <w:rPr>
                <w:rFonts w:hint="eastAsia"/>
                <w:color w:val="auto"/>
                <w:sz w:val="20"/>
                <w:szCs w:val="20"/>
                <w:highlight w:val="none"/>
              </w:rPr>
              <w:t>座</w:t>
            </w:r>
          </w:p>
        </w:tc>
        <w:tc>
          <w:tcPr>
            <w:tcW w:w="453" w:type="pct"/>
            <w:tcBorders>
              <w:top w:val="single" w:color="auto" w:sz="4" w:space="0"/>
              <w:left w:val="nil"/>
              <w:bottom w:val="single" w:color="auto" w:sz="4" w:space="0"/>
              <w:right w:val="single" w:color="auto" w:sz="4" w:space="0"/>
            </w:tcBorders>
            <w:shd w:val="clear" w:color="auto" w:fill="FFFFFF"/>
            <w:noWrap w:val="0"/>
            <w:vAlign w:val="center"/>
          </w:tcPr>
          <w:p w14:paraId="63C5FBA6">
            <w:pPr>
              <w:jc w:val="center"/>
              <w:rPr>
                <w:rFonts w:hint="eastAsia" w:eastAsia="宋体"/>
                <w:color w:val="000000"/>
                <w:kern w:val="2"/>
                <w:sz w:val="20"/>
                <w:szCs w:val="20"/>
                <w:lang w:val="en-US" w:eastAsia="zh-CN" w:bidi="ar-SA"/>
              </w:rPr>
            </w:pPr>
            <w:r>
              <w:rPr>
                <w:rFonts w:hint="eastAsia"/>
                <w:color w:val="000000"/>
                <w:sz w:val="20"/>
                <w:szCs w:val="20"/>
                <w:lang w:val="en-US" w:eastAsia="zh-CN"/>
              </w:rPr>
              <w:t>15</w:t>
            </w:r>
          </w:p>
        </w:tc>
        <w:tc>
          <w:tcPr>
            <w:tcW w:w="431" w:type="pct"/>
            <w:tcBorders>
              <w:top w:val="single" w:color="auto" w:sz="4" w:space="0"/>
              <w:left w:val="nil"/>
              <w:bottom w:val="single" w:color="auto" w:sz="4" w:space="0"/>
              <w:right w:val="single" w:color="auto" w:sz="4" w:space="0"/>
            </w:tcBorders>
            <w:noWrap w:val="0"/>
            <w:vAlign w:val="center"/>
          </w:tcPr>
          <w:p w14:paraId="3A512099">
            <w:pPr>
              <w:jc w:val="center"/>
              <w:rPr>
                <w:rFonts w:ascii="宋体" w:hAnsi="宋体"/>
                <w:color w:val="auto"/>
                <w:sz w:val="20"/>
                <w:szCs w:val="20"/>
                <w:highlight w:val="none"/>
              </w:rPr>
            </w:pPr>
          </w:p>
        </w:tc>
        <w:tc>
          <w:tcPr>
            <w:tcW w:w="572" w:type="pct"/>
            <w:tcBorders>
              <w:top w:val="single" w:color="auto" w:sz="4" w:space="0"/>
              <w:left w:val="nil"/>
              <w:bottom w:val="single" w:color="auto" w:sz="4" w:space="0"/>
              <w:right w:val="single" w:color="auto" w:sz="4" w:space="0"/>
            </w:tcBorders>
            <w:noWrap w:val="0"/>
            <w:vAlign w:val="center"/>
          </w:tcPr>
          <w:p w14:paraId="5029B506">
            <w:pPr>
              <w:jc w:val="center"/>
              <w:rPr>
                <w:rFonts w:ascii="宋体" w:hAnsi="宋体"/>
                <w:color w:val="auto"/>
                <w:sz w:val="20"/>
                <w:szCs w:val="20"/>
                <w:highlight w:val="none"/>
              </w:rPr>
            </w:pPr>
          </w:p>
        </w:tc>
        <w:tc>
          <w:tcPr>
            <w:tcW w:w="1598" w:type="pct"/>
            <w:tcBorders>
              <w:top w:val="single" w:color="auto" w:sz="4" w:space="0"/>
              <w:left w:val="nil"/>
              <w:bottom w:val="single" w:color="auto" w:sz="4" w:space="0"/>
              <w:right w:val="single" w:color="auto" w:sz="4" w:space="0"/>
            </w:tcBorders>
            <w:noWrap w:val="0"/>
            <w:vAlign w:val="center"/>
          </w:tcPr>
          <w:p w14:paraId="3AAC7B12">
            <w:pPr>
              <w:jc w:val="center"/>
              <w:rPr>
                <w:rFonts w:ascii="宋体" w:hAnsi="宋体"/>
                <w:color w:val="auto"/>
                <w:sz w:val="20"/>
                <w:szCs w:val="20"/>
                <w:highlight w:val="none"/>
              </w:rPr>
            </w:pPr>
          </w:p>
        </w:tc>
      </w:tr>
      <w:tr w14:paraId="2C27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29"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B9EAFB">
            <w:pPr>
              <w:jc w:val="center"/>
              <w:rPr>
                <w:rFonts w:ascii="宋体" w:hAnsi="宋体"/>
                <w:color w:val="auto"/>
                <w:sz w:val="20"/>
                <w:szCs w:val="20"/>
                <w:highlight w:val="none"/>
              </w:rPr>
            </w:pPr>
            <w:r>
              <w:rPr>
                <w:rFonts w:hint="eastAsia" w:ascii="宋体" w:hAnsi="宋体" w:eastAsia="宋体" w:cs="宋体"/>
                <w:bCs/>
                <w:color w:val="auto"/>
                <w:szCs w:val="21"/>
                <w:highlight w:val="none"/>
              </w:rPr>
              <w:t>投标报价（小写）</w:t>
            </w:r>
          </w:p>
        </w:tc>
        <w:tc>
          <w:tcPr>
            <w:tcW w:w="572" w:type="pct"/>
            <w:tcBorders>
              <w:top w:val="single" w:color="auto" w:sz="4" w:space="0"/>
              <w:left w:val="nil"/>
              <w:bottom w:val="single" w:color="auto" w:sz="4" w:space="0"/>
              <w:right w:val="single" w:color="auto" w:sz="4" w:space="0"/>
            </w:tcBorders>
            <w:noWrap w:val="0"/>
            <w:vAlign w:val="center"/>
          </w:tcPr>
          <w:p w14:paraId="152A0133">
            <w:pPr>
              <w:jc w:val="center"/>
              <w:rPr>
                <w:rFonts w:ascii="宋体" w:hAnsi="宋体"/>
                <w:color w:val="auto"/>
                <w:sz w:val="20"/>
                <w:szCs w:val="20"/>
                <w:highlight w:val="none"/>
              </w:rPr>
            </w:pPr>
          </w:p>
        </w:tc>
        <w:tc>
          <w:tcPr>
            <w:tcW w:w="1598" w:type="pct"/>
            <w:vMerge w:val="restart"/>
            <w:tcBorders>
              <w:top w:val="single" w:color="auto" w:sz="4" w:space="0"/>
              <w:left w:val="nil"/>
              <w:right w:val="single" w:color="auto" w:sz="4" w:space="0"/>
            </w:tcBorders>
            <w:noWrap w:val="0"/>
            <w:vAlign w:val="center"/>
          </w:tcPr>
          <w:p w14:paraId="4F2279F2">
            <w:pPr>
              <w:jc w:val="center"/>
              <w:rPr>
                <w:rFonts w:hint="default"/>
                <w:color w:val="auto"/>
                <w:sz w:val="21"/>
                <w:szCs w:val="21"/>
                <w:highlight w:val="none"/>
                <w:lang w:val="en-US" w:eastAsia="zh-CN"/>
              </w:rPr>
            </w:pPr>
            <w:r>
              <w:rPr>
                <w:rFonts w:hint="eastAsia" w:ascii="宋体" w:hAnsi="宋体" w:eastAsia="宋体" w:cs="宋体"/>
                <w:bCs/>
                <w:color w:val="auto"/>
                <w:sz w:val="21"/>
                <w:szCs w:val="21"/>
                <w:highlight w:val="none"/>
              </w:rPr>
              <w:t>投标报价</w:t>
            </w:r>
            <w:r>
              <w:rPr>
                <w:rFonts w:hint="eastAsia" w:ascii="宋体" w:hAnsi="宋体" w:eastAsia="宋体" w:cs="宋体"/>
                <w:bCs/>
                <w:color w:val="auto"/>
                <w:sz w:val="21"/>
                <w:szCs w:val="21"/>
                <w:highlight w:val="none"/>
                <w:lang w:val="en-US" w:eastAsia="zh-CN"/>
              </w:rPr>
              <w:t>=1+2+3+4+5+6</w:t>
            </w:r>
          </w:p>
        </w:tc>
      </w:tr>
      <w:tr w14:paraId="696E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29"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7C4A75">
            <w:pPr>
              <w:jc w:val="center"/>
              <w:rPr>
                <w:rFonts w:ascii="宋体" w:hAnsi="宋体"/>
                <w:color w:val="auto"/>
                <w:sz w:val="20"/>
                <w:szCs w:val="20"/>
                <w:highlight w:val="none"/>
              </w:rPr>
            </w:pPr>
            <w:r>
              <w:rPr>
                <w:rFonts w:hint="eastAsia" w:ascii="宋体" w:hAnsi="宋体" w:eastAsia="宋体" w:cs="宋体"/>
                <w:bCs/>
                <w:color w:val="auto"/>
                <w:szCs w:val="21"/>
                <w:highlight w:val="none"/>
                <w:lang w:val="en-US" w:eastAsia="zh-CN"/>
              </w:rPr>
              <w:t>投标报价</w:t>
            </w:r>
            <w:r>
              <w:rPr>
                <w:rFonts w:hint="eastAsia" w:ascii="宋体" w:hAnsi="宋体" w:eastAsia="宋体" w:cs="宋体"/>
                <w:bCs/>
                <w:color w:val="auto"/>
                <w:szCs w:val="21"/>
                <w:highlight w:val="none"/>
              </w:rPr>
              <w:t>（大写）</w:t>
            </w:r>
          </w:p>
        </w:tc>
        <w:tc>
          <w:tcPr>
            <w:tcW w:w="572" w:type="pct"/>
            <w:tcBorders>
              <w:top w:val="single" w:color="auto" w:sz="4" w:space="0"/>
              <w:left w:val="nil"/>
              <w:bottom w:val="single" w:color="auto" w:sz="4" w:space="0"/>
              <w:right w:val="single" w:color="auto" w:sz="4" w:space="0"/>
            </w:tcBorders>
            <w:noWrap w:val="0"/>
            <w:vAlign w:val="center"/>
          </w:tcPr>
          <w:p w14:paraId="2EA07B13">
            <w:pPr>
              <w:jc w:val="center"/>
              <w:rPr>
                <w:rFonts w:ascii="宋体" w:hAnsi="宋体"/>
                <w:color w:val="auto"/>
                <w:sz w:val="20"/>
                <w:szCs w:val="20"/>
                <w:highlight w:val="none"/>
              </w:rPr>
            </w:pPr>
          </w:p>
        </w:tc>
        <w:tc>
          <w:tcPr>
            <w:tcW w:w="1598" w:type="pct"/>
            <w:vMerge w:val="continue"/>
            <w:tcBorders>
              <w:left w:val="nil"/>
              <w:bottom w:val="single" w:color="auto" w:sz="4" w:space="0"/>
              <w:right w:val="single" w:color="auto" w:sz="4" w:space="0"/>
            </w:tcBorders>
            <w:noWrap w:val="0"/>
            <w:vAlign w:val="center"/>
          </w:tcPr>
          <w:p w14:paraId="42A90472">
            <w:pPr>
              <w:jc w:val="center"/>
              <w:rPr>
                <w:rFonts w:ascii="宋体" w:hAnsi="宋体"/>
                <w:color w:val="auto"/>
                <w:sz w:val="20"/>
                <w:szCs w:val="20"/>
                <w:highlight w:val="none"/>
              </w:rPr>
            </w:pPr>
          </w:p>
        </w:tc>
      </w:tr>
    </w:tbl>
    <w:p w14:paraId="41D9E44D">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w:t>
      </w:r>
    </w:p>
    <w:p w14:paraId="3BC70C1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w:t>
      </w:r>
      <w:r>
        <w:rPr>
          <w:rFonts w:hint="eastAsia" w:ascii="宋体" w:hAnsi="宋体" w:eastAsia="宋体" w:cs="宋体"/>
          <w:b/>
          <w:bCs/>
          <w:color w:val="auto"/>
          <w:kern w:val="0"/>
          <w:szCs w:val="21"/>
          <w:highlight w:val="none"/>
          <w:lang w:val="zh-CN"/>
        </w:rPr>
        <w:t>否则视为投标文件含有采购人不能接受的附加条件，投标无效。</w:t>
      </w:r>
    </w:p>
    <w:p w14:paraId="31C411E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2、有关本项目实施所涉及的一切费用均计入报价。</w:t>
      </w:r>
      <w:r>
        <w:rPr>
          <w:rFonts w:hint="eastAsia" w:ascii="宋体" w:hAnsi="宋体" w:eastAsia="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不得出现“0元”“免费赠送”等形式的无偿报价，</w:t>
      </w:r>
      <w:r>
        <w:rPr>
          <w:rFonts w:hint="eastAsia" w:ascii="宋体" w:hAnsi="宋体" w:eastAsia="宋体" w:cs="宋体"/>
          <w:b/>
          <w:color w:val="auto"/>
          <w:kern w:val="0"/>
          <w:szCs w:val="21"/>
          <w:highlight w:val="none"/>
        </w:rPr>
        <w:t>否则视为</w:t>
      </w:r>
      <w:r>
        <w:rPr>
          <w:rFonts w:hint="eastAsia" w:ascii="宋体" w:hAnsi="宋体" w:eastAsia="宋体" w:cs="宋体"/>
          <w:b/>
          <w:color w:val="auto"/>
          <w:szCs w:val="21"/>
          <w:highlight w:val="none"/>
        </w:rPr>
        <w:t>投标文件含有采购人不能接受的附加条件的，投标无效</w:t>
      </w:r>
      <w:r>
        <w:rPr>
          <w:rFonts w:hint="eastAsia" w:ascii="宋体" w:hAnsi="宋体" w:eastAsia="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3620BBF6">
      <w:pPr>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、特别提示：采购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55B91137">
      <w:pPr>
        <w:snapToGrid w:val="0"/>
        <w:spacing w:line="360" w:lineRule="auto"/>
        <w:ind w:firstLine="420" w:firstLineChars="200"/>
        <w:rPr>
          <w:rFonts w:hint="eastAsia" w:ascii="宋体" w:hAnsi="宋体" w:eastAsia="宋体" w:cs="宋体"/>
          <w:color w:val="auto"/>
          <w:kern w:val="0"/>
          <w:szCs w:val="21"/>
          <w:highlight w:val="none"/>
          <w:lang w:val="zh-CN"/>
        </w:rPr>
        <w:sectPr>
          <w:pgSz w:w="11905" w:h="16838"/>
          <w:pgMar w:top="1440" w:right="1083" w:bottom="1440" w:left="1083" w:header="851" w:footer="992" w:gutter="0"/>
          <w:cols w:space="0" w:num="1"/>
          <w:docGrid w:type="lines" w:linePitch="319" w:charSpace="0"/>
        </w:sect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E6E616">
      <w:pPr>
        <w:pStyle w:val="695"/>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二、报价情况说明（如果有）</w:t>
      </w:r>
    </w:p>
    <w:p w14:paraId="148A9285">
      <w:pPr>
        <w:widowControl/>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（如供应商报价低于项目预算50%的，应当提交本文档，详细阐述不影响产品质量或者诚信履约的具体原因，否则投标无效。）</w:t>
      </w:r>
    </w:p>
    <w:p w14:paraId="7F28EDE6">
      <w:pPr>
        <w:pStyle w:val="695"/>
        <w:keepNext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三、中小企业声明函（如果有）</w:t>
      </w:r>
    </w:p>
    <w:p w14:paraId="69DF9432">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D298AF">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722066">
      <w:pPr>
        <w:pStyle w:val="2"/>
        <w:keepNext w:val="0"/>
        <w:keepLines w:val="0"/>
        <w:pageBreakBefore/>
        <w:widowControl/>
        <w:spacing w:before="319" w:beforeLines="100" w:after="319" w:afterLines="100" w:line="240" w:lineRule="auto"/>
        <w:ind w:left="0" w:firstLine="0"/>
        <w:jc w:val="center"/>
        <w:rPr>
          <w:rFonts w:hint="eastAsia" w:ascii="宋体" w:hAnsi="宋体" w:eastAsia="宋体" w:cs="宋体"/>
          <w:color w:val="auto"/>
          <w:highlight w:val="none"/>
        </w:rPr>
      </w:pPr>
      <w:bookmarkStart w:id="515" w:name="_Toc465665161"/>
      <w:r>
        <w:rPr>
          <w:rFonts w:hint="eastAsia" w:ascii="宋体" w:hAnsi="宋体" w:eastAsia="宋体" w:cs="宋体"/>
          <w:color w:val="auto"/>
          <w:highlight w:val="none"/>
        </w:rPr>
        <w:t>附件</w:t>
      </w:r>
      <w:bookmarkEnd w:id="515"/>
    </w:p>
    <w:p w14:paraId="0826D1B8">
      <w:pPr>
        <w:spacing w:before="319" w:beforeLines="100" w:after="319" w:afterLine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370AB48D">
      <w:pPr>
        <w:pStyle w:val="695"/>
        <w:keepNext w:val="0"/>
        <w:pageBreakBefore w:val="0"/>
        <w:tabs>
          <w:tab w:val="clear" w:pos="720"/>
        </w:tabs>
        <w:snapToGrid w:val="0"/>
        <w:spacing w:before="319" w:beforeLines="100" w:line="240" w:lineRule="auto"/>
        <w:outlineLvl w:val="9"/>
        <w:rPr>
          <w:rFonts w:hint="eastAsia" w:ascii="宋体" w:hAnsi="宋体" w:eastAsia="宋体" w:cs="宋体"/>
          <w:color w:val="auto"/>
          <w:kern w:val="2"/>
          <w:sz w:val="28"/>
          <w:szCs w:val="28"/>
          <w:highlight w:val="none"/>
        </w:rPr>
      </w:pPr>
      <w:bookmarkStart w:id="516" w:name="OLE_LINK13"/>
      <w:bookmarkStart w:id="517" w:name="OLE_LINK14"/>
      <w:r>
        <w:rPr>
          <w:rFonts w:hint="eastAsia" w:ascii="宋体" w:hAnsi="宋体" w:eastAsia="宋体" w:cs="宋体"/>
          <w:color w:val="auto"/>
          <w:kern w:val="2"/>
          <w:sz w:val="28"/>
          <w:szCs w:val="28"/>
          <w:highlight w:val="none"/>
        </w:rPr>
        <w:t>残疾人福利性单位声明函</w:t>
      </w:r>
    </w:p>
    <w:bookmarkEnd w:id="516"/>
    <w:bookmarkEnd w:id="517"/>
    <w:p w14:paraId="2A7EC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（采购人）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6A856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A1EDCC6">
      <w:pPr>
        <w:spacing w:line="360" w:lineRule="auto"/>
        <w:ind w:firstLine="420" w:firstLineChars="200"/>
        <w:rPr>
          <w:rFonts w:hint="eastAsia" w:ascii="宋体" w:hAnsi="宋体" w:eastAsia="宋体" w:cs="宋体"/>
          <w:color w:val="auto"/>
          <w:szCs w:val="21"/>
          <w:highlight w:val="none"/>
        </w:rPr>
      </w:pPr>
    </w:p>
    <w:p w14:paraId="65659399">
      <w:pPr>
        <w:spacing w:line="360" w:lineRule="auto"/>
        <w:ind w:firstLine="420" w:firstLineChars="200"/>
        <w:rPr>
          <w:rFonts w:hint="eastAsia" w:ascii="宋体" w:hAnsi="宋体" w:eastAsia="宋体" w:cs="宋体"/>
          <w:color w:val="auto"/>
          <w:szCs w:val="21"/>
          <w:highlight w:val="none"/>
        </w:rPr>
      </w:pPr>
    </w:p>
    <w:p w14:paraId="55B2F67E">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投标人名称（电子签名）</w:t>
      </w:r>
      <w:r>
        <w:rPr>
          <w:rFonts w:hint="eastAsia" w:ascii="宋体" w:hAnsi="宋体" w:eastAsia="宋体" w:cs="宋体"/>
          <w:color w:val="auto"/>
          <w:szCs w:val="21"/>
          <w:highlight w:val="none"/>
        </w:rPr>
        <w:t>：</w:t>
      </w:r>
    </w:p>
    <w:p w14:paraId="77F93921">
      <w:pPr>
        <w:tabs>
          <w:tab w:val="left" w:pos="4860"/>
        </w:tabs>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812C11A">
      <w:pPr>
        <w:spacing w:line="360" w:lineRule="auto"/>
        <w:ind w:firstLine="480" w:firstLineChars="200"/>
        <w:rPr>
          <w:rFonts w:hint="eastAsia" w:ascii="宋体" w:hAnsi="宋体" w:eastAsia="宋体" w:cs="宋体"/>
          <w:color w:val="auto"/>
          <w:sz w:val="24"/>
          <w:highlight w:val="none"/>
        </w:rPr>
      </w:pPr>
    </w:p>
    <w:p w14:paraId="35E85F54">
      <w:pPr>
        <w:spacing w:line="360" w:lineRule="auto"/>
        <w:ind w:firstLine="420" w:firstLineChars="200"/>
        <w:rPr>
          <w:rFonts w:hint="eastAsia" w:ascii="宋体" w:hAnsi="宋体" w:eastAsia="宋体" w:cs="宋体"/>
          <w:color w:val="auto"/>
          <w:highlight w:val="none"/>
        </w:rPr>
      </w:pPr>
    </w:p>
    <w:p w14:paraId="1F7DD283">
      <w:pPr>
        <w:spacing w:line="360" w:lineRule="auto"/>
        <w:ind w:firstLine="420" w:firstLineChars="200"/>
        <w:rPr>
          <w:rFonts w:hint="eastAsia" w:ascii="宋体" w:hAnsi="宋体" w:eastAsia="宋体" w:cs="宋体"/>
          <w:color w:val="auto"/>
          <w:highlight w:val="none"/>
        </w:rPr>
      </w:pPr>
    </w:p>
    <w:p w14:paraId="37F4ABCE">
      <w:pPr>
        <w:spacing w:line="360" w:lineRule="auto"/>
        <w:ind w:firstLine="420" w:firstLineChars="200"/>
        <w:rPr>
          <w:rFonts w:hint="eastAsia" w:ascii="宋体" w:hAnsi="宋体" w:eastAsia="宋体" w:cs="宋体"/>
          <w:color w:val="auto"/>
          <w:highlight w:val="none"/>
        </w:rPr>
      </w:pPr>
    </w:p>
    <w:p w14:paraId="48B91975">
      <w:pPr>
        <w:spacing w:line="360" w:lineRule="auto"/>
        <w:ind w:firstLine="420" w:firstLineChars="200"/>
        <w:rPr>
          <w:rFonts w:hint="eastAsia" w:ascii="宋体" w:hAnsi="宋体" w:eastAsia="宋体" w:cs="宋体"/>
          <w:color w:val="auto"/>
          <w:highlight w:val="none"/>
        </w:rPr>
      </w:pPr>
    </w:p>
    <w:p w14:paraId="7D800E07">
      <w:pPr>
        <w:spacing w:line="360" w:lineRule="auto"/>
        <w:rPr>
          <w:rFonts w:hint="eastAsia" w:ascii="宋体" w:hAnsi="宋体" w:eastAsia="宋体" w:cs="宋体"/>
          <w:b/>
          <w:color w:val="auto"/>
          <w:sz w:val="24"/>
          <w:highlight w:val="none"/>
        </w:rPr>
      </w:pPr>
    </w:p>
    <w:p w14:paraId="0AB0AE6B">
      <w:pPr>
        <w:spacing w:line="360" w:lineRule="auto"/>
        <w:rPr>
          <w:rFonts w:hint="eastAsia" w:ascii="宋体" w:hAnsi="宋体" w:eastAsia="宋体" w:cs="宋体"/>
          <w:b/>
          <w:color w:val="auto"/>
          <w:sz w:val="24"/>
          <w:highlight w:val="none"/>
        </w:rPr>
      </w:pPr>
    </w:p>
    <w:p w14:paraId="7675DE46">
      <w:pPr>
        <w:spacing w:line="360" w:lineRule="auto"/>
        <w:rPr>
          <w:rFonts w:hint="eastAsia" w:ascii="宋体" w:hAnsi="宋体" w:eastAsia="宋体" w:cs="宋体"/>
          <w:b/>
          <w:color w:val="auto"/>
          <w:sz w:val="24"/>
          <w:highlight w:val="none"/>
        </w:rPr>
      </w:pPr>
    </w:p>
    <w:p w14:paraId="4E6ECACE">
      <w:pPr>
        <w:spacing w:line="360" w:lineRule="auto"/>
        <w:rPr>
          <w:rFonts w:hint="eastAsia" w:ascii="宋体" w:hAnsi="宋体" w:eastAsia="宋体" w:cs="宋体"/>
          <w:b/>
          <w:color w:val="auto"/>
          <w:sz w:val="24"/>
          <w:highlight w:val="none"/>
        </w:rPr>
      </w:pPr>
    </w:p>
    <w:p w14:paraId="16EE3F4A">
      <w:pPr>
        <w:spacing w:line="360" w:lineRule="auto"/>
        <w:rPr>
          <w:rFonts w:hint="eastAsia" w:ascii="宋体" w:hAnsi="宋体" w:eastAsia="宋体" w:cs="宋体"/>
          <w:b/>
          <w:color w:val="auto"/>
          <w:sz w:val="24"/>
          <w:highlight w:val="none"/>
        </w:rPr>
      </w:pPr>
    </w:p>
    <w:p w14:paraId="0AD0D37A">
      <w:pPr>
        <w:spacing w:line="360" w:lineRule="auto"/>
        <w:rPr>
          <w:rFonts w:hint="eastAsia" w:ascii="宋体" w:hAnsi="宋体" w:eastAsia="宋体" w:cs="宋体"/>
          <w:b/>
          <w:color w:val="auto"/>
          <w:sz w:val="24"/>
          <w:highlight w:val="none"/>
        </w:rPr>
      </w:pPr>
    </w:p>
    <w:p w14:paraId="68B215A2">
      <w:pPr>
        <w:spacing w:line="360" w:lineRule="auto"/>
        <w:rPr>
          <w:rFonts w:hint="eastAsia" w:ascii="宋体" w:hAnsi="宋体" w:eastAsia="宋体" w:cs="宋体"/>
          <w:b/>
          <w:color w:val="auto"/>
          <w:sz w:val="24"/>
          <w:highlight w:val="none"/>
        </w:rPr>
      </w:pPr>
    </w:p>
    <w:p w14:paraId="75595C2B">
      <w:pPr>
        <w:spacing w:before="319" w:beforeLines="100" w:after="319" w:afterLines="100"/>
        <w:jc w:val="left"/>
        <w:rPr>
          <w:rFonts w:hint="eastAsia" w:ascii="宋体" w:hAnsi="宋体" w:eastAsia="宋体" w:cs="宋体"/>
          <w:b/>
          <w:color w:val="auto"/>
          <w:sz w:val="28"/>
          <w:szCs w:val="28"/>
          <w:highlight w:val="none"/>
        </w:rPr>
      </w:pPr>
    </w:p>
    <w:p w14:paraId="14049D6D">
      <w:pPr>
        <w:spacing w:before="319" w:beforeLines="100" w:after="319" w:afterLines="1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附件2：质疑函范本及制作说明</w:t>
      </w:r>
    </w:p>
    <w:p w14:paraId="55BB3215">
      <w:pPr>
        <w:spacing w:before="319" w:beforeLines="100" w:after="319"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701E6E0E">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625CDCF7">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14:paraId="5EB2AB3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7B4863D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p w14:paraId="48E9A2C5">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14:paraId="21EDE4C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5E4D766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0652905D">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5D08DD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14:paraId="29F89D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质疑项目的编号：包号：</w:t>
      </w:r>
    </w:p>
    <w:p w14:paraId="02366AF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14:paraId="566F1BB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14:paraId="1F448E8B">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721A15A3">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14:paraId="7C80B3CA">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14:paraId="02BD040B">
      <w:pPr>
        <w:snapToGrid w:val="0"/>
        <w:spacing w:line="360" w:lineRule="auto"/>
        <w:rPr>
          <w:rFonts w:hint="eastAsia" w:ascii="宋体" w:hAnsi="宋体" w:eastAsia="宋体" w:cs="宋体"/>
          <w:color w:val="auto"/>
          <w:szCs w:val="21"/>
          <w:highlight w:val="none"/>
        </w:rPr>
      </w:pPr>
    </w:p>
    <w:p w14:paraId="5D730AC8">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14:paraId="33CBBC13">
      <w:pPr>
        <w:snapToGrid w:val="0"/>
        <w:spacing w:line="360" w:lineRule="auto"/>
        <w:rPr>
          <w:rFonts w:hint="eastAsia" w:ascii="宋体" w:hAnsi="宋体" w:eastAsia="宋体" w:cs="宋体"/>
          <w:color w:val="auto"/>
          <w:szCs w:val="21"/>
          <w:highlight w:val="none"/>
          <w:u w:val="dotted"/>
        </w:rPr>
      </w:pPr>
    </w:p>
    <w:p w14:paraId="753A52E6">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5C24C1B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1EB85FF">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21A611C">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14:paraId="5D83046B">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3200C3D4">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C235964">
      <w:pPr>
        <w:spacing w:line="360" w:lineRule="auto"/>
        <w:rPr>
          <w:rFonts w:hint="eastAsia" w:ascii="宋体" w:hAnsi="宋体" w:eastAsia="宋体" w:cs="宋体"/>
          <w:b/>
          <w:color w:val="auto"/>
          <w:szCs w:val="21"/>
          <w:highlight w:val="none"/>
        </w:rPr>
      </w:pPr>
    </w:p>
    <w:p w14:paraId="0451BF5F">
      <w:pPr>
        <w:spacing w:line="360" w:lineRule="auto"/>
        <w:rPr>
          <w:rFonts w:hint="eastAsia" w:ascii="宋体" w:hAnsi="宋体" w:eastAsia="宋体" w:cs="宋体"/>
          <w:b/>
          <w:color w:val="auto"/>
          <w:szCs w:val="21"/>
          <w:highlight w:val="none"/>
        </w:rPr>
      </w:pPr>
    </w:p>
    <w:p w14:paraId="376F9293">
      <w:pPr>
        <w:spacing w:line="360" w:lineRule="auto"/>
        <w:rPr>
          <w:rFonts w:hint="eastAsia" w:ascii="宋体" w:hAnsi="宋体" w:eastAsia="宋体" w:cs="宋体"/>
          <w:b/>
          <w:color w:val="auto"/>
          <w:szCs w:val="21"/>
          <w:highlight w:val="none"/>
        </w:rPr>
      </w:pPr>
    </w:p>
    <w:p w14:paraId="68C7C6D1">
      <w:pPr>
        <w:spacing w:line="360" w:lineRule="auto"/>
        <w:rPr>
          <w:rFonts w:hint="eastAsia" w:ascii="宋体" w:hAnsi="宋体" w:eastAsia="宋体" w:cs="宋体"/>
          <w:b/>
          <w:color w:val="auto"/>
          <w:szCs w:val="21"/>
          <w:highlight w:val="none"/>
        </w:rPr>
      </w:pPr>
    </w:p>
    <w:p w14:paraId="439887B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4DA72FC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46CF103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BBD63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5B98AFB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108CB18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2FB7F9D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3D7888D6">
      <w:pPr>
        <w:widowControl/>
        <w:spacing w:line="360" w:lineRule="auto"/>
        <w:ind w:firstLine="600" w:firstLineChars="200"/>
        <w:jc w:val="left"/>
        <w:rPr>
          <w:rFonts w:hint="eastAsia" w:ascii="宋体" w:hAnsi="宋体" w:eastAsia="宋体" w:cs="宋体"/>
          <w:color w:val="auto"/>
          <w:sz w:val="30"/>
          <w:szCs w:val="30"/>
          <w:highlight w:val="none"/>
        </w:rPr>
      </w:pPr>
    </w:p>
    <w:p w14:paraId="151D7839">
      <w:pPr>
        <w:spacing w:line="360" w:lineRule="auto"/>
        <w:jc w:val="center"/>
        <w:rPr>
          <w:rFonts w:hint="eastAsia" w:ascii="宋体" w:hAnsi="宋体" w:eastAsia="宋体" w:cs="宋体"/>
          <w:b/>
          <w:color w:val="auto"/>
          <w:spacing w:val="6"/>
          <w:sz w:val="32"/>
          <w:szCs w:val="32"/>
          <w:highlight w:val="none"/>
        </w:rPr>
      </w:pPr>
    </w:p>
    <w:p w14:paraId="5D12B791">
      <w:pPr>
        <w:spacing w:line="360" w:lineRule="auto"/>
        <w:jc w:val="center"/>
        <w:rPr>
          <w:rFonts w:hint="eastAsia" w:ascii="宋体" w:hAnsi="宋体" w:eastAsia="宋体" w:cs="宋体"/>
          <w:b/>
          <w:color w:val="auto"/>
          <w:spacing w:val="6"/>
          <w:sz w:val="32"/>
          <w:szCs w:val="32"/>
          <w:highlight w:val="none"/>
        </w:rPr>
      </w:pPr>
    </w:p>
    <w:p w14:paraId="4466775C">
      <w:pPr>
        <w:spacing w:line="360" w:lineRule="auto"/>
        <w:jc w:val="center"/>
        <w:rPr>
          <w:rFonts w:hint="eastAsia" w:ascii="宋体" w:hAnsi="宋体" w:eastAsia="宋体" w:cs="宋体"/>
          <w:b/>
          <w:color w:val="auto"/>
          <w:spacing w:val="6"/>
          <w:sz w:val="32"/>
          <w:szCs w:val="32"/>
          <w:highlight w:val="none"/>
        </w:rPr>
      </w:pPr>
    </w:p>
    <w:p w14:paraId="07187128">
      <w:pPr>
        <w:spacing w:line="360" w:lineRule="auto"/>
        <w:jc w:val="center"/>
        <w:rPr>
          <w:rFonts w:hint="eastAsia" w:ascii="宋体" w:hAnsi="宋体" w:eastAsia="宋体" w:cs="宋体"/>
          <w:b/>
          <w:color w:val="auto"/>
          <w:spacing w:val="6"/>
          <w:sz w:val="32"/>
          <w:szCs w:val="32"/>
          <w:highlight w:val="none"/>
        </w:rPr>
      </w:pPr>
    </w:p>
    <w:p w14:paraId="63CDD471">
      <w:pPr>
        <w:spacing w:line="360" w:lineRule="auto"/>
        <w:jc w:val="center"/>
        <w:rPr>
          <w:rFonts w:hint="eastAsia" w:ascii="宋体" w:hAnsi="宋体" w:eastAsia="宋体" w:cs="宋体"/>
          <w:b/>
          <w:color w:val="auto"/>
          <w:spacing w:val="6"/>
          <w:sz w:val="32"/>
          <w:szCs w:val="32"/>
          <w:highlight w:val="none"/>
        </w:rPr>
      </w:pPr>
    </w:p>
    <w:p w14:paraId="514F9466">
      <w:pPr>
        <w:spacing w:line="360" w:lineRule="auto"/>
        <w:jc w:val="center"/>
        <w:rPr>
          <w:rFonts w:hint="eastAsia" w:ascii="宋体" w:hAnsi="宋体" w:eastAsia="宋体" w:cs="宋体"/>
          <w:b/>
          <w:color w:val="auto"/>
          <w:spacing w:val="6"/>
          <w:sz w:val="32"/>
          <w:szCs w:val="32"/>
          <w:highlight w:val="none"/>
        </w:rPr>
      </w:pPr>
    </w:p>
    <w:p w14:paraId="35AD16AB">
      <w:pPr>
        <w:spacing w:line="360" w:lineRule="auto"/>
        <w:jc w:val="center"/>
        <w:rPr>
          <w:rFonts w:hint="eastAsia" w:ascii="宋体" w:hAnsi="宋体" w:eastAsia="宋体" w:cs="宋体"/>
          <w:b/>
          <w:color w:val="auto"/>
          <w:spacing w:val="6"/>
          <w:sz w:val="32"/>
          <w:szCs w:val="32"/>
          <w:highlight w:val="none"/>
        </w:rPr>
      </w:pPr>
    </w:p>
    <w:p w14:paraId="7B4403DB">
      <w:pPr>
        <w:spacing w:line="360" w:lineRule="auto"/>
        <w:jc w:val="center"/>
        <w:rPr>
          <w:rFonts w:hint="eastAsia" w:ascii="宋体" w:hAnsi="宋体" w:eastAsia="宋体" w:cs="宋体"/>
          <w:b/>
          <w:color w:val="auto"/>
          <w:spacing w:val="6"/>
          <w:sz w:val="32"/>
          <w:szCs w:val="32"/>
          <w:highlight w:val="none"/>
        </w:rPr>
      </w:pPr>
    </w:p>
    <w:p w14:paraId="462F9BD1">
      <w:pPr>
        <w:spacing w:line="360" w:lineRule="auto"/>
        <w:jc w:val="center"/>
        <w:rPr>
          <w:rFonts w:hint="eastAsia" w:ascii="宋体" w:hAnsi="宋体" w:eastAsia="宋体" w:cs="宋体"/>
          <w:b/>
          <w:color w:val="auto"/>
          <w:spacing w:val="6"/>
          <w:sz w:val="32"/>
          <w:szCs w:val="32"/>
          <w:highlight w:val="none"/>
        </w:rPr>
      </w:pPr>
    </w:p>
    <w:p w14:paraId="4D7FAC4C">
      <w:pPr>
        <w:spacing w:line="360" w:lineRule="auto"/>
        <w:jc w:val="center"/>
        <w:rPr>
          <w:rFonts w:hint="eastAsia" w:ascii="宋体" w:hAnsi="宋体" w:eastAsia="宋体" w:cs="宋体"/>
          <w:b/>
          <w:color w:val="auto"/>
          <w:spacing w:val="6"/>
          <w:sz w:val="32"/>
          <w:szCs w:val="32"/>
          <w:highlight w:val="none"/>
        </w:rPr>
      </w:pPr>
    </w:p>
    <w:p w14:paraId="55CE63C1">
      <w:pPr>
        <w:spacing w:line="360" w:lineRule="auto"/>
        <w:jc w:val="center"/>
        <w:rPr>
          <w:rFonts w:hint="eastAsia" w:ascii="宋体" w:hAnsi="宋体" w:eastAsia="宋体" w:cs="宋体"/>
          <w:b/>
          <w:color w:val="auto"/>
          <w:spacing w:val="6"/>
          <w:sz w:val="32"/>
          <w:szCs w:val="32"/>
          <w:highlight w:val="none"/>
        </w:rPr>
      </w:pPr>
    </w:p>
    <w:p w14:paraId="556C95C6">
      <w:pPr>
        <w:spacing w:line="360" w:lineRule="auto"/>
        <w:jc w:val="center"/>
        <w:rPr>
          <w:rFonts w:hint="eastAsia" w:ascii="宋体" w:hAnsi="宋体" w:eastAsia="宋体" w:cs="宋体"/>
          <w:b/>
          <w:color w:val="auto"/>
          <w:spacing w:val="6"/>
          <w:sz w:val="32"/>
          <w:szCs w:val="32"/>
          <w:highlight w:val="none"/>
        </w:rPr>
      </w:pPr>
    </w:p>
    <w:p w14:paraId="5145AC4F">
      <w:pPr>
        <w:spacing w:before="319" w:beforeLines="100" w:after="319" w:afterLines="100"/>
        <w:jc w:val="left"/>
        <w:rPr>
          <w:rFonts w:hint="eastAsia" w:ascii="宋体" w:hAnsi="宋体" w:eastAsia="宋体" w:cs="宋体"/>
          <w:b/>
          <w:color w:val="auto"/>
          <w:spacing w:val="6"/>
          <w:sz w:val="28"/>
          <w:szCs w:val="28"/>
          <w:highlight w:val="none"/>
        </w:rPr>
      </w:pPr>
    </w:p>
    <w:p w14:paraId="7AFE545D">
      <w:pPr>
        <w:spacing w:before="319" w:beforeLines="100" w:after="319" w:afterLines="100"/>
        <w:jc w:val="lef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p>
    <w:p w14:paraId="1E8A5EEB">
      <w:pPr>
        <w:spacing w:before="319" w:beforeLines="100" w:after="319" w:afterLines="10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0A52AB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一、投诉相关主体基本情况</w:t>
      </w:r>
    </w:p>
    <w:p w14:paraId="2EF99791">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w:t>
      </w:r>
    </w:p>
    <w:p w14:paraId="693C6A6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0BD3ECBA">
      <w:pPr>
        <w:tabs>
          <w:tab w:val="left" w:pos="651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法定代表人/主要负责人：</w:t>
      </w:r>
    </w:p>
    <w:p w14:paraId="0EADF110">
      <w:pPr>
        <w:tabs>
          <w:tab w:val="left" w:pos="6510"/>
        </w:tabs>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联系电话：</w:t>
      </w:r>
    </w:p>
    <w:p w14:paraId="34736B8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授权代表：联系电话：</w:t>
      </w:r>
    </w:p>
    <w:p w14:paraId="00C34425">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地址：邮编：</w:t>
      </w:r>
    </w:p>
    <w:p w14:paraId="57327F2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被投诉人1：</w:t>
      </w:r>
    </w:p>
    <w:p w14:paraId="77CA34A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3E207F1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193842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被投诉人2</w:t>
      </w:r>
    </w:p>
    <w:p w14:paraId="05C8F19E">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F0094C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相关供应商：</w:t>
      </w:r>
    </w:p>
    <w:p w14:paraId="51A5BEE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地址：邮编：</w:t>
      </w:r>
    </w:p>
    <w:p w14:paraId="1492F7F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联系人：联系电话：</w:t>
      </w:r>
    </w:p>
    <w:p w14:paraId="360F55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二、投诉项目基本情况</w:t>
      </w:r>
    </w:p>
    <w:p w14:paraId="4F85221F">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采购项目名称：</w:t>
      </w:r>
    </w:p>
    <w:p w14:paraId="5AEBD65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采购项目编号：包号：</w:t>
      </w:r>
    </w:p>
    <w:p w14:paraId="29399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4337807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代理机构名称：</w:t>
      </w:r>
    </w:p>
    <w:p w14:paraId="2A553E23">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采购文件公告：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3246B43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采购结果公告：</w:t>
      </w:r>
      <w:r>
        <w:rPr>
          <w:rFonts w:hint="eastAsia" w:ascii="宋体" w:hAnsi="宋体" w:eastAsia="宋体" w:cs="宋体"/>
          <w:color w:val="auto"/>
          <w:szCs w:val="21"/>
          <w:highlight w:val="none"/>
          <w:u w:val="dotted"/>
        </w:rPr>
        <w:t xml:space="preserve">是/否 </w:t>
      </w:r>
      <w:r>
        <w:rPr>
          <w:rFonts w:hint="eastAsia" w:ascii="宋体" w:hAnsi="宋体" w:eastAsia="宋体" w:cs="宋体"/>
          <w:color w:val="auto"/>
          <w:szCs w:val="21"/>
          <w:highlight w:val="none"/>
        </w:rPr>
        <w:t>公告期限：</w:t>
      </w:r>
    </w:p>
    <w:p w14:paraId="4ACE2C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三、质疑基本情况</w:t>
      </w:r>
    </w:p>
    <w:p w14:paraId="77180C3C">
      <w:pPr>
        <w:wordWrap w:val="0"/>
        <w:spacing w:line="360" w:lineRule="auto"/>
        <w:ind w:left="630" w:leftChars="200" w:hanging="210" w:hangingChars="100"/>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投诉人于年月日,向提出质疑，质疑事项为：</w:t>
      </w:r>
    </w:p>
    <w:p w14:paraId="408EB4A0">
      <w:pPr>
        <w:wordWrap w:val="0"/>
        <w:spacing w:line="360" w:lineRule="auto"/>
        <w:rPr>
          <w:rFonts w:hint="eastAsia" w:ascii="宋体" w:hAnsi="宋体" w:eastAsia="宋体" w:cs="宋体"/>
          <w:color w:val="auto"/>
          <w:szCs w:val="21"/>
          <w:highlight w:val="none"/>
          <w:u w:val="dotted"/>
        </w:rPr>
      </w:pPr>
    </w:p>
    <w:p w14:paraId="38FD2C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采购人/代理机构</w:t>
      </w:r>
      <w:r>
        <w:rPr>
          <w:rFonts w:hint="eastAsia" w:ascii="宋体" w:hAnsi="宋体" w:eastAsia="宋体" w:cs="宋体"/>
          <w:color w:val="auto"/>
          <w:szCs w:val="21"/>
          <w:highlight w:val="none"/>
        </w:rPr>
        <w:t>于年月日,就质疑事项作出了答复/没有在法定期限内作出答复。</w:t>
      </w:r>
    </w:p>
    <w:p w14:paraId="61A399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四、投诉事项具体内容</w:t>
      </w:r>
    </w:p>
    <w:p w14:paraId="27985D6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投诉事项1：</w:t>
      </w:r>
    </w:p>
    <w:p w14:paraId="0596C2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p>
    <w:p w14:paraId="1CB2E5FD">
      <w:pPr>
        <w:spacing w:line="360" w:lineRule="auto"/>
        <w:rPr>
          <w:rFonts w:hint="eastAsia" w:ascii="宋体" w:hAnsi="宋体" w:eastAsia="宋体" w:cs="宋体"/>
          <w:color w:val="auto"/>
          <w:szCs w:val="21"/>
          <w:highlight w:val="none"/>
          <w:u w:val="dotted"/>
        </w:rPr>
      </w:pPr>
    </w:p>
    <w:p w14:paraId="3D6A1B1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法律依据：</w:t>
      </w:r>
    </w:p>
    <w:p w14:paraId="145C23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投诉事项2</w:t>
      </w:r>
    </w:p>
    <w:p w14:paraId="081101FC">
      <w:pPr>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w:t>
      </w:r>
    </w:p>
    <w:p w14:paraId="05E7D7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五、与投诉事项相关的投诉请求</w:t>
      </w:r>
    </w:p>
    <w:p w14:paraId="69B98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p>
    <w:p w14:paraId="75F58A2E">
      <w:pPr>
        <w:spacing w:line="360" w:lineRule="auto"/>
        <w:rPr>
          <w:rFonts w:hint="eastAsia" w:ascii="宋体" w:hAnsi="宋体" w:eastAsia="宋体" w:cs="宋体"/>
          <w:color w:val="auto"/>
          <w:szCs w:val="21"/>
          <w:highlight w:val="none"/>
          <w:u w:val="single"/>
        </w:rPr>
      </w:pPr>
    </w:p>
    <w:p w14:paraId="50EBC82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0F98F3E7">
      <w:pPr>
        <w:spacing w:line="360" w:lineRule="auto"/>
        <w:ind w:firstLine="4620" w:firstLineChars="2200"/>
        <w:rPr>
          <w:rFonts w:hint="eastAsia" w:ascii="宋体" w:hAnsi="宋体" w:eastAsia="宋体" w:cs="宋体"/>
          <w:color w:val="auto"/>
          <w:sz w:val="24"/>
          <w:highlight w:val="none"/>
        </w:rPr>
      </w:pPr>
      <w:r>
        <w:rPr>
          <w:rFonts w:hint="eastAsia" w:ascii="宋体" w:hAnsi="宋体" w:eastAsia="宋体" w:cs="宋体"/>
          <w:color w:val="auto"/>
          <w:szCs w:val="21"/>
          <w:highlight w:val="none"/>
        </w:rPr>
        <w:t>日期：</w:t>
      </w:r>
    </w:p>
    <w:p w14:paraId="150164D1">
      <w:pPr>
        <w:spacing w:line="360" w:lineRule="auto"/>
        <w:rPr>
          <w:rFonts w:hint="eastAsia" w:ascii="宋体" w:hAnsi="宋体" w:eastAsia="宋体" w:cs="宋体"/>
          <w:b/>
          <w:color w:val="auto"/>
          <w:sz w:val="24"/>
          <w:highlight w:val="none"/>
        </w:rPr>
      </w:pPr>
    </w:p>
    <w:p w14:paraId="4D28B674">
      <w:pPr>
        <w:spacing w:line="360" w:lineRule="auto"/>
        <w:rPr>
          <w:rFonts w:hint="eastAsia" w:ascii="宋体" w:hAnsi="宋体" w:eastAsia="宋体" w:cs="宋体"/>
          <w:b/>
          <w:color w:val="auto"/>
          <w:sz w:val="24"/>
          <w:highlight w:val="none"/>
        </w:rPr>
      </w:pPr>
    </w:p>
    <w:p w14:paraId="7209C22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投诉书制作说明：</w:t>
      </w:r>
    </w:p>
    <w:p w14:paraId="530D8BB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1.投诉人提起投诉时，应当提交投诉书和必要的证明材料，并按照被投诉人和与投诉事项有关的供应商数量提供投诉书副本。</w:t>
      </w:r>
    </w:p>
    <w:p w14:paraId="65F4403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2B2CF0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3.投诉人若对项目的某一分包进行投诉，投诉书应列明具体分包号。</w:t>
      </w:r>
    </w:p>
    <w:p w14:paraId="4A88C9C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4.投诉书应简要列明质疑事项，质疑函、质疑答复等作为附件材料提供。</w:t>
      </w:r>
    </w:p>
    <w:p w14:paraId="623BF310">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5.投诉书的投诉事项应具体、明确，并有必要的事实依据和法律依据。</w:t>
      </w:r>
    </w:p>
    <w:p w14:paraId="3817F88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6.投诉书的投诉请求应与投诉事项相关。</w:t>
      </w:r>
    </w:p>
    <w:p w14:paraId="7E4049D2">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0D248DB8">
      <w:pPr>
        <w:spacing w:line="360" w:lineRule="auto"/>
        <w:rPr>
          <w:rFonts w:hint="eastAsia" w:ascii="宋体" w:hAnsi="宋体" w:eastAsia="宋体" w:cs="宋体"/>
          <w:b/>
          <w:color w:val="auto"/>
          <w:sz w:val="24"/>
          <w:highlight w:val="none"/>
        </w:rPr>
      </w:pPr>
    </w:p>
    <w:p w14:paraId="0304675C">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C792C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41D4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我方</w:t>
      </w:r>
      <w:r>
        <w:rPr>
          <w:rFonts w:hint="eastAsia" w:ascii="宋体" w:hAnsi="宋体" w:eastAsia="宋体" w:cs="宋体"/>
          <w:color w:val="auto"/>
          <w:szCs w:val="21"/>
          <w:highlight w:val="none"/>
        </w:rPr>
        <w:t>(投标人全称)是中华人民共和国依法登记注册的合法企业，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宋体"/>
          <w:color w:val="auto"/>
          <w:szCs w:val="21"/>
          <w:highlight w:val="none"/>
        </w:rPr>
        <w:t>你方组织的（项目名称）项目【招标编号：（采购编号）】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我方所使用的“XX专用章”与法定名称章具有同等的法律效力，对使用“XX专用章”的行为予以完全承认，并愿意承担相应责任。</w:t>
      </w:r>
    </w:p>
    <w:p w14:paraId="65780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7FE5616">
      <w:pPr>
        <w:spacing w:line="360" w:lineRule="auto"/>
        <w:ind w:firstLine="494"/>
        <w:rPr>
          <w:rFonts w:hint="eastAsia" w:ascii="宋体" w:hAnsi="宋体" w:eastAsia="宋体" w:cs="宋体"/>
          <w:color w:val="auto"/>
          <w:sz w:val="24"/>
          <w:highlight w:val="none"/>
        </w:rPr>
      </w:pPr>
    </w:p>
    <w:p w14:paraId="3002C527">
      <w:pPr>
        <w:spacing w:line="360" w:lineRule="auto"/>
        <w:ind w:firstLine="494"/>
        <w:rPr>
          <w:rFonts w:hint="eastAsia" w:ascii="宋体" w:hAnsi="宋体" w:eastAsia="宋体" w:cs="宋体"/>
          <w:color w:val="auto"/>
          <w:sz w:val="24"/>
          <w:highlight w:val="none"/>
        </w:rPr>
      </w:pPr>
    </w:p>
    <w:p w14:paraId="27937016">
      <w:pPr>
        <w:spacing w:line="360" w:lineRule="auto"/>
        <w:ind w:firstLine="494"/>
        <w:rPr>
          <w:rFonts w:hint="eastAsia" w:ascii="宋体" w:hAnsi="宋体" w:eastAsia="宋体" w:cs="宋体"/>
          <w:color w:val="auto"/>
          <w:sz w:val="24"/>
          <w:highlight w:val="none"/>
        </w:rPr>
      </w:pPr>
    </w:p>
    <w:p w14:paraId="79363A8A">
      <w:pPr>
        <w:spacing w:line="360" w:lineRule="auto"/>
        <w:ind w:firstLine="494"/>
        <w:rPr>
          <w:rFonts w:hint="eastAsia" w:ascii="宋体" w:hAnsi="宋体" w:eastAsia="宋体" w:cs="宋体"/>
          <w:color w:val="auto"/>
          <w:sz w:val="24"/>
          <w:highlight w:val="none"/>
        </w:rPr>
      </w:pPr>
    </w:p>
    <w:p w14:paraId="47E23C93">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投标单位（法定名称章）：</w:t>
      </w:r>
    </w:p>
    <w:p w14:paraId="79DCF1D8">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0F850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14:paraId="5739C3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Cs w:val="21"/>
          <w:highlight w:val="none"/>
        </w:rPr>
        <w:t>投标单位法定名称章（印模）投标单位“XX专用章”（印模）</w:t>
      </w:r>
    </w:p>
    <w:p w14:paraId="2ACCDCE8">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50800</wp:posOffset>
                </wp:positionV>
                <wp:extent cx="2704465" cy="2270760"/>
                <wp:effectExtent l="4445" t="4445" r="8890" b="1079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7076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4pt;height:178.8pt;width:212.95pt;z-index:-251657216;mso-width-relative:page;mso-height-relative:page;" fillcolor="#FFFFFF" filled="t" stroked="t" coordsize="21600,21600" o:gfxdata="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sEBbZAAAACQEAAA8AAAAAAAAAAQAgAAAAIgAAAGRycy9kb3ducmV2LnhtbFBL&#10;AQIUABQAAAAIAIdO4kAOYnMpLgIAAIIEAAAOAAAAAAAAAAEAIAAAACgBAABkcnMvZTJvRG9jLnht&#10;bFBLBQYAAAAABgAGAFkBAADIBQAAAAA=&#10;">
                <v:fill on="t" focussize="0,0"/>
                <v:stroke color="#000000" miterlimit="2" joinstyle="miter"/>
                <v:imagedata o:title=""/>
                <o:lock v:ext="edit" aspectratio="f"/>
              </v:rect>
            </w:pict>
          </mc:Fallback>
        </mc:AlternateContent>
      </w:r>
    </w:p>
    <w:p w14:paraId="14D148AF">
      <w:pPr>
        <w:autoSpaceDE w:val="0"/>
        <w:autoSpaceDN w:val="0"/>
        <w:jc w:val="center"/>
        <w:rPr>
          <w:rFonts w:hint="eastAsia" w:ascii="宋体" w:hAnsi="宋体" w:eastAsia="宋体" w:cs="宋体"/>
          <w:b/>
          <w:color w:val="auto"/>
          <w:spacing w:val="6"/>
          <w:sz w:val="32"/>
          <w:szCs w:val="32"/>
          <w:highlight w:val="none"/>
        </w:rPr>
      </w:pPr>
    </w:p>
    <w:p w14:paraId="74E4C80E">
      <w:pPr>
        <w:autoSpaceDE w:val="0"/>
        <w:autoSpaceDN w:val="0"/>
        <w:jc w:val="center"/>
        <w:rPr>
          <w:rFonts w:hint="eastAsia" w:ascii="宋体" w:hAnsi="宋体" w:eastAsia="宋体" w:cs="宋体"/>
          <w:b/>
          <w:color w:val="auto"/>
          <w:spacing w:val="6"/>
          <w:sz w:val="32"/>
          <w:szCs w:val="32"/>
          <w:highlight w:val="none"/>
        </w:rPr>
      </w:pPr>
    </w:p>
    <w:p w14:paraId="31CAE864">
      <w:pPr>
        <w:autoSpaceDE w:val="0"/>
        <w:autoSpaceDN w:val="0"/>
        <w:jc w:val="center"/>
        <w:rPr>
          <w:rFonts w:hint="eastAsia" w:ascii="宋体" w:hAnsi="宋体" w:eastAsia="宋体" w:cs="宋体"/>
          <w:b/>
          <w:color w:val="auto"/>
          <w:spacing w:val="6"/>
          <w:sz w:val="32"/>
          <w:szCs w:val="32"/>
          <w:highlight w:val="none"/>
        </w:rPr>
      </w:pPr>
    </w:p>
    <w:p w14:paraId="786BFABA">
      <w:pPr>
        <w:autoSpaceDE w:val="0"/>
        <w:autoSpaceDN w:val="0"/>
        <w:jc w:val="center"/>
        <w:rPr>
          <w:rFonts w:hint="eastAsia" w:ascii="宋体" w:hAnsi="宋体" w:eastAsia="宋体" w:cs="宋体"/>
          <w:b/>
          <w:color w:val="auto"/>
          <w:spacing w:val="6"/>
          <w:sz w:val="32"/>
          <w:szCs w:val="32"/>
          <w:highlight w:val="none"/>
        </w:rPr>
      </w:pPr>
    </w:p>
    <w:p w14:paraId="558A5AF3">
      <w:pPr>
        <w:autoSpaceDE w:val="0"/>
        <w:autoSpaceDN w:val="0"/>
        <w:jc w:val="center"/>
        <w:rPr>
          <w:rFonts w:hint="eastAsia" w:ascii="宋体" w:hAnsi="宋体" w:eastAsia="宋体" w:cs="宋体"/>
          <w:b/>
          <w:color w:val="auto"/>
          <w:spacing w:val="6"/>
          <w:sz w:val="32"/>
          <w:szCs w:val="32"/>
          <w:highlight w:val="none"/>
        </w:rPr>
      </w:pPr>
    </w:p>
    <w:p w14:paraId="1D0B4126">
      <w:pPr>
        <w:autoSpaceDE w:val="0"/>
        <w:autoSpaceDN w:val="0"/>
        <w:jc w:val="center"/>
        <w:rPr>
          <w:rFonts w:hint="eastAsia" w:ascii="宋体" w:hAnsi="宋体" w:eastAsia="宋体" w:cs="宋体"/>
          <w:b/>
          <w:color w:val="auto"/>
          <w:spacing w:val="6"/>
          <w:sz w:val="32"/>
          <w:szCs w:val="32"/>
          <w:highlight w:val="none"/>
        </w:rPr>
      </w:pPr>
    </w:p>
    <w:p w14:paraId="112272A7">
      <w:pPr>
        <w:autoSpaceDE w:val="0"/>
        <w:autoSpaceDN w:val="0"/>
        <w:jc w:val="center"/>
        <w:rPr>
          <w:rFonts w:hint="eastAsia" w:ascii="宋体" w:hAnsi="宋体" w:eastAsia="宋体" w:cs="宋体"/>
          <w:b/>
          <w:color w:val="auto"/>
          <w:spacing w:val="6"/>
          <w:sz w:val="32"/>
          <w:szCs w:val="32"/>
          <w:highlight w:val="none"/>
        </w:rPr>
      </w:pPr>
    </w:p>
    <w:p w14:paraId="68EFE699">
      <w:pPr>
        <w:autoSpaceDE w:val="0"/>
        <w:autoSpaceDN w:val="0"/>
        <w:jc w:val="center"/>
        <w:rPr>
          <w:rFonts w:hint="eastAsia" w:ascii="宋体" w:hAnsi="宋体" w:eastAsia="宋体" w:cs="宋体"/>
          <w:b/>
          <w:color w:val="auto"/>
          <w:spacing w:val="6"/>
          <w:sz w:val="32"/>
          <w:szCs w:val="32"/>
          <w:highlight w:val="none"/>
        </w:rPr>
      </w:pPr>
    </w:p>
    <w:p w14:paraId="6BEAB1D4">
      <w:pPr>
        <w:autoSpaceDE w:val="0"/>
        <w:autoSpaceDN w:val="0"/>
        <w:jc w:val="center"/>
        <w:rPr>
          <w:rFonts w:hint="eastAsia" w:ascii="宋体" w:hAnsi="宋体" w:eastAsia="宋体" w:cs="宋体"/>
          <w:b/>
          <w:color w:val="auto"/>
          <w:spacing w:val="6"/>
          <w:sz w:val="32"/>
          <w:szCs w:val="32"/>
          <w:highlight w:val="none"/>
        </w:rPr>
      </w:pPr>
    </w:p>
    <w:p w14:paraId="1EF1490B">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79168168">
      <w:pPr>
        <w:widowControl/>
        <w:wordWrap w:val="0"/>
        <w:topLinePunct/>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[以联合体形式投标的，提供联合协议；本项目不接受联合体投标或者投标人不以联合体形式投标的，则不需要提供。]</w:t>
      </w:r>
    </w:p>
    <w:p w14:paraId="2A965E5A">
      <w:pPr>
        <w:wordWrap w:val="0"/>
        <w:topLinePunct/>
        <w:snapToGrid w:val="0"/>
        <w:spacing w:line="360" w:lineRule="auto"/>
        <w:ind w:firstLine="420" w:firstLineChars="200"/>
        <w:rPr>
          <w:rFonts w:hint="eastAsia" w:ascii="宋体" w:hAnsi="宋体" w:eastAsia="宋体" w:cs="宋体"/>
          <w:color w:val="auto"/>
          <w:kern w:val="0"/>
          <w:szCs w:val="21"/>
          <w:highlight w:val="none"/>
          <w:u w:val="single"/>
        </w:rPr>
      </w:pPr>
    </w:p>
    <w:p w14:paraId="3E68693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64A4E6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5573C02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B7F122F">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4FECD33B">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754A223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w:t>
      </w:r>
    </w:p>
    <w:p w14:paraId="6B3891B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5C8658FD">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0431C80D">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18" w:name="_Hlk101131882"/>
      <w:r>
        <w:rPr>
          <w:rFonts w:hint="eastAsia" w:ascii="宋体" w:hAnsi="宋体" w:eastAsia="宋体" w:cs="宋体"/>
          <w:color w:val="auto"/>
          <w:kern w:val="0"/>
          <w:szCs w:val="21"/>
          <w:highlight w:val="none"/>
          <w:u w:val="single"/>
        </w:rPr>
        <w:t>联合体成员X，……</w:t>
      </w:r>
      <w:bookmarkEnd w:id="518"/>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9"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19"/>
      <w:r>
        <w:rPr>
          <w:rFonts w:hint="eastAsia" w:ascii="宋体" w:hAnsi="宋体" w:eastAsia="宋体" w:cs="宋体"/>
          <w:b/>
          <w:color w:val="auto"/>
          <w:kern w:val="0"/>
          <w:szCs w:val="21"/>
          <w:highlight w:val="none"/>
          <w:lang w:val="zh-CN"/>
        </w:rPr>
        <w:t>）</w:t>
      </w:r>
    </w:p>
    <w:p w14:paraId="14188EE8">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0"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0"/>
    </w:p>
    <w:p w14:paraId="44185FC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74D9B1A0">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797C306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39FB382">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C09E6A4">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386F14ED">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0A796DB7">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62B0787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0CF6E112">
      <w:pPr>
        <w:wordWrap w:val="0"/>
        <w:topLinePunct/>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0ADAB4DE">
      <w:pPr>
        <w:wordWrap w:val="0"/>
        <w:topLinePunct/>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0D1F7DB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4660ECC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DE71EEB">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61E5713">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1CDDE56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38BB918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47E441">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739420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7A826909">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19F8C37">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000746E8">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68CA3BB0">
      <w:pPr>
        <w:autoSpaceDE w:val="0"/>
        <w:autoSpaceDN w:val="0"/>
        <w:spacing w:before="319" w:beforeLines="100" w:after="319" w:afterLines="100"/>
        <w:jc w:val="center"/>
        <w:rPr>
          <w:rFonts w:hint="eastAsia" w:ascii="宋体" w:hAnsi="宋体" w:eastAsia="宋体" w:cs="宋体"/>
          <w:b/>
          <w:color w:val="auto"/>
          <w:spacing w:val="6"/>
          <w:sz w:val="32"/>
          <w:szCs w:val="32"/>
          <w:highlight w:val="none"/>
        </w:rPr>
      </w:pPr>
    </w:p>
    <w:p w14:paraId="52CDA5CA">
      <w:pPr>
        <w:autoSpaceDE w:val="0"/>
        <w:autoSpaceDN w:val="0"/>
        <w:spacing w:before="319" w:beforeLines="100" w:after="319" w:afterLines="10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spacing w:val="6"/>
          <w:sz w:val="32"/>
          <w:szCs w:val="32"/>
          <w:highlight w:val="none"/>
          <w:lang w:val="zh-CN"/>
        </w:rPr>
        <w:t>分包意向协议</w:t>
      </w:r>
    </w:p>
    <w:p w14:paraId="4BC2732E">
      <w:pPr>
        <w:widowControl/>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[中标后以分包方式履行合同的，提供分包意向协议；采购人不同意分包或者投标人中标后不以分包方式履行合同的，则不需要提供。]</w:t>
      </w:r>
    </w:p>
    <w:p w14:paraId="7166B5B4">
      <w:pPr>
        <w:wordWrap w:val="0"/>
        <w:snapToGrid w:val="0"/>
        <w:spacing w:line="312" w:lineRule="auto"/>
        <w:ind w:firstLine="420" w:firstLineChars="200"/>
        <w:rPr>
          <w:rFonts w:hint="eastAsia" w:ascii="宋体" w:hAnsi="宋体" w:eastAsia="宋体" w:cs="宋体"/>
          <w:color w:val="auto"/>
          <w:kern w:val="0"/>
          <w:szCs w:val="21"/>
          <w:highlight w:val="none"/>
          <w:u w:val="single"/>
        </w:rPr>
      </w:pPr>
    </w:p>
    <w:p w14:paraId="4E397A5A">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0DB60058">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39F3B0CC">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04435AA1">
      <w:pPr>
        <w:tabs>
          <w:tab w:val="left" w:pos="432"/>
        </w:tabs>
        <w:wordWrap w:val="0"/>
        <w:topLinePunct/>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1CFBA4D0">
      <w:pPr>
        <w:wordWrap w:val="0"/>
        <w:topLinePunct/>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4EC791D2">
      <w:pPr>
        <w:wordWrap w:val="0"/>
        <w:topLinePunct/>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05FC34EA">
      <w:pPr>
        <w:wordWrap w:val="0"/>
        <w:topLinePunct/>
        <w:snapToGrid w:val="0"/>
        <w:spacing w:line="360" w:lineRule="auto"/>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3ECD9BFE">
      <w:pPr>
        <w:wordWrap w:val="0"/>
        <w:topLinePunct/>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23C85B10">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79452364">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0BFC2D58">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614A1D7D">
      <w:pPr>
        <w:wordWrap w:val="0"/>
        <w:snapToGrid w:val="0"/>
        <w:spacing w:line="312"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3360E25A">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2C1AE3F1">
      <w:pPr>
        <w:wordWrap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p>
    <w:p w14:paraId="51881CED">
      <w:pPr>
        <w:wordWrap w:val="0"/>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投标人名称(电子签名)：</w:t>
      </w:r>
    </w:p>
    <w:p w14:paraId="4C959C8B">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7B931B5F">
      <w:pPr>
        <w:snapToGrid w:val="0"/>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49F2A590">
      <w:pPr>
        <w:snapToGrid w:val="0"/>
        <w:spacing w:line="360" w:lineRule="auto"/>
        <w:ind w:firstLine="4620" w:firstLineChars="2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5AE5BE63">
      <w:pPr>
        <w:spacing w:line="312"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t>注：按本格式和要求提供。</w:t>
      </w:r>
    </w:p>
    <w:p w14:paraId="2C22C1BF">
      <w:pPr>
        <w:spacing w:before="319" w:beforeLines="100" w:after="319" w:afterLines="100"/>
        <w:jc w:val="center"/>
        <w:rPr>
          <w:rFonts w:hint="eastAsia" w:ascii="宋体" w:hAnsi="宋体" w:eastAsia="宋体" w:cs="宋体"/>
          <w:b/>
          <w:color w:val="auto"/>
          <w:sz w:val="32"/>
          <w:szCs w:val="32"/>
          <w:highlight w:val="none"/>
        </w:rPr>
      </w:pPr>
    </w:p>
    <w:p w14:paraId="4404B767">
      <w:pPr>
        <w:spacing w:before="319" w:beforeLines="100" w:after="319" w:after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213DDD27">
      <w:pPr>
        <w:spacing w:before="319" w:beforeLine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77D6817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7D37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中型企业、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小型企业、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微型企业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FCB0BD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 xml:space="preserve">；承建（承接）企业为 </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 xml:space="preserve"> ，从业人员人，营业收入为万元，资产总额为万元属于</w:t>
      </w:r>
      <w:r>
        <w:rPr>
          <w:rFonts w:hint="eastAsia" w:ascii="宋体" w:hAnsi="宋体" w:eastAsia="宋体" w:cs="宋体"/>
          <w:color w:val="auto"/>
          <w:szCs w:val="21"/>
          <w:highlight w:val="none"/>
          <w:u w:val="single"/>
        </w:rPr>
        <w:t xml:space="preserve"> （</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中型企业、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小型企业、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微型企业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BE5E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0451E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6B48C22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26F6AA5">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3A11F306">
      <w:pPr>
        <w:spacing w:line="360" w:lineRule="auto"/>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101344A">
      <w:pPr>
        <w:spacing w:line="360" w:lineRule="auto"/>
        <w:ind w:firstLine="422" w:firstLineChars="200"/>
        <w:jc w:val="left"/>
        <w:rPr>
          <w:rFonts w:hint="eastAsia" w:ascii="宋体" w:hAnsi="宋体" w:eastAsia="宋体" w:cs="宋体"/>
          <w:b/>
          <w:color w:val="auto"/>
          <w:szCs w:val="21"/>
          <w:highlight w:val="none"/>
        </w:rPr>
      </w:pPr>
    </w:p>
    <w:p w14:paraId="4BED3A00">
      <w:pPr>
        <w:spacing w:line="360" w:lineRule="auto"/>
        <w:ind w:firstLine="422" w:firstLineChars="200"/>
        <w:jc w:val="left"/>
        <w:rPr>
          <w:rFonts w:hint="eastAsia" w:ascii="宋体" w:hAnsi="宋体" w:eastAsia="宋体" w:cs="宋体"/>
          <w:b/>
          <w:color w:val="auto"/>
          <w:szCs w:val="21"/>
          <w:highlight w:val="none"/>
        </w:rPr>
      </w:pPr>
    </w:p>
    <w:p w14:paraId="6A985FB4">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从业人员、营业收入、资产总额填报上一年度数据，无上一年度数据的新成立企业可不填报。</w:t>
      </w:r>
    </w:p>
    <w:p w14:paraId="781F8BF5">
      <w:pPr>
        <w:spacing w:line="360" w:lineRule="auto"/>
        <w:ind w:firstLine="420" w:firstLineChars="200"/>
        <w:rPr>
          <w:rFonts w:hint="eastAsia" w:ascii="宋体" w:hAnsi="宋体" w:eastAsia="宋体" w:cs="宋体"/>
          <w:color w:val="auto"/>
          <w:szCs w:val="21"/>
          <w:highlight w:val="none"/>
        </w:rPr>
      </w:pPr>
    </w:p>
    <w:p w14:paraId="702476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F4FE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C3EE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38EEF0">
      <w:pPr>
        <w:numPr>
          <w:ilvl w:val="0"/>
          <w:numId w:val="0"/>
        </w:numPr>
        <w:snapToGrid w:val="0"/>
        <w:spacing w:line="360" w:lineRule="auto"/>
        <w:ind w:firstLine="632" w:firstLineChars="3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3.根据实际情况，在（</w:t>
      </w:r>
      <w:r>
        <w:rPr>
          <w:rFonts w:hint="eastAsia" w:ascii="宋体" w:hAnsi="宋体" w:eastAsia="宋体" w:cs="宋体"/>
          <w:b/>
          <w:bCs/>
          <w:highlight w:val="none"/>
        </w:rPr>
        <w:sym w:font="Wingdings" w:char="00A8"/>
      </w:r>
      <w:r>
        <w:rPr>
          <w:rFonts w:hint="eastAsia" w:ascii="宋体" w:hAnsi="宋体" w:eastAsia="宋体" w:cs="宋体"/>
          <w:b/>
          <w:bCs/>
          <w:highlight w:val="none"/>
          <w:u w:val="none"/>
        </w:rPr>
        <w:t>中型企业、</w:t>
      </w:r>
      <w:r>
        <w:rPr>
          <w:rFonts w:hint="eastAsia" w:ascii="宋体" w:hAnsi="宋体" w:eastAsia="宋体" w:cs="宋体"/>
          <w:b/>
          <w:bCs/>
          <w:highlight w:val="none"/>
          <w:u w:val="none"/>
        </w:rPr>
        <w:sym w:font="Wingdings" w:char="00A8"/>
      </w:r>
      <w:r>
        <w:rPr>
          <w:rFonts w:hint="eastAsia" w:ascii="宋体" w:hAnsi="宋体" w:eastAsia="宋体" w:cs="宋体"/>
          <w:b/>
          <w:bCs/>
          <w:highlight w:val="none"/>
          <w:u w:val="none"/>
        </w:rPr>
        <w:t>小型企业、</w:t>
      </w:r>
      <w:r>
        <w:rPr>
          <w:rFonts w:hint="eastAsia" w:ascii="宋体" w:hAnsi="宋体" w:eastAsia="宋体" w:cs="宋体"/>
          <w:b/>
          <w:bCs/>
          <w:highlight w:val="none"/>
          <w:u w:val="none"/>
        </w:rPr>
        <w:sym w:font="Wingdings" w:char="00A8"/>
      </w:r>
      <w:r>
        <w:rPr>
          <w:rFonts w:hint="eastAsia" w:ascii="宋体" w:hAnsi="宋体" w:eastAsia="宋体" w:cs="宋体"/>
          <w:b/>
          <w:bCs/>
          <w:highlight w:val="none"/>
          <w:u w:val="none"/>
        </w:rPr>
        <w:t>微型企业</w:t>
      </w:r>
      <w:r>
        <w:rPr>
          <w:rFonts w:hint="eastAsia" w:ascii="宋体" w:hAnsi="宋体" w:eastAsia="宋体" w:cs="宋体"/>
          <w:b/>
          <w:bCs/>
          <w:highlight w:val="none"/>
          <w:lang w:val="en-US" w:eastAsia="zh-CN"/>
        </w:rPr>
        <w:t>）处进行勾选。</w:t>
      </w:r>
    </w:p>
    <w:p w14:paraId="2B4851B1">
      <w:pPr>
        <w:spacing w:line="360" w:lineRule="auto"/>
        <w:ind w:right="420"/>
        <w:rPr>
          <w:rFonts w:hint="eastAsia" w:ascii="宋体" w:hAnsi="宋体" w:eastAsia="宋体" w:cs="宋体"/>
          <w:color w:val="auto"/>
          <w:highlight w:val="none"/>
        </w:rPr>
      </w:pPr>
    </w:p>
    <w:p w14:paraId="0A077FE1">
      <w:pPr>
        <w:spacing w:line="360" w:lineRule="auto"/>
        <w:rPr>
          <w:rFonts w:hint="eastAsia" w:ascii="宋体" w:hAnsi="宋体" w:eastAsia="宋体" w:cs="宋体"/>
          <w:bCs/>
          <w:color w:val="auto"/>
          <w:sz w:val="24"/>
          <w:highlight w:val="none"/>
        </w:rPr>
      </w:pPr>
    </w:p>
    <w:sectPr>
      <w:headerReference r:id="rId13" w:type="first"/>
      <w:footerReference r:id="rId16" w:type="first"/>
      <w:footerReference r:id="rId14" w:type="default"/>
      <w:footerReference r:id="rId15" w:type="even"/>
      <w:pgSz w:w="11905" w:h="16838"/>
      <w:pgMar w:top="1440" w:right="1083" w:bottom="1440" w:left="10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CCD">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22</w:t>
    </w:r>
    <w:r>
      <w:rPr>
        <w:rFonts w:hint="eastAsia" w:ascii="幼圆" w:hAnsi="幼圆" w:eastAsia="幼圆" w:cs="幼圆"/>
        <w:kern w:val="0"/>
      </w:rPr>
      <w:fldChar w:fldCharType="end"/>
    </w:r>
    <w:r>
      <w:rPr>
        <w:rFonts w:hint="eastAsia" w:ascii="幼圆" w:hAnsi="幼圆" w:eastAsia="幼圆" w:cs="幼圆"/>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A204">
    <w:pPr>
      <w:pStyle w:val="42"/>
      <w:framePr w:wrap="around" w:vAnchor="text" w:hAnchor="margin" w:xAlign="right" w:y="1"/>
      <w:rPr>
        <w:rStyle w:val="75"/>
      </w:rPr>
    </w:pPr>
    <w:r>
      <w:fldChar w:fldCharType="begin"/>
    </w:r>
    <w:r>
      <w:rPr>
        <w:rStyle w:val="75"/>
      </w:rPr>
      <w:instrText xml:space="preserve">PAGE  </w:instrText>
    </w:r>
    <w:r>
      <w:fldChar w:fldCharType="end"/>
    </w:r>
  </w:p>
  <w:p w14:paraId="5A900F2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59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CF04">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56</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5FD1F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03DA">
    <w:pPr>
      <w:pStyle w:val="42"/>
      <w:jc w:val="center"/>
      <w:rPr>
        <w:rFonts w:ascii="仿宋_GB2312" w:eastAsia="仿宋_GB2312"/>
      </w:rPr>
    </w:pPr>
    <w:r>
      <w:rPr>
        <w:rFonts w:hint="eastAsia" w:ascii="幼圆" w:hAnsi="幼圆" w:eastAsia="幼圆" w:cs="幼圆"/>
        <w:kern w:val="0"/>
      </w:rPr>
      <w:t xml:space="preserve">第 </w:t>
    </w:r>
    <w:r>
      <w:rPr>
        <w:rFonts w:hint="eastAsia" w:ascii="幼圆" w:hAnsi="幼圆" w:eastAsia="幼圆" w:cs="幼圆"/>
        <w:kern w:val="0"/>
      </w:rPr>
      <w:fldChar w:fldCharType="begin"/>
    </w:r>
    <w:r>
      <w:rPr>
        <w:rFonts w:hint="eastAsia" w:ascii="幼圆" w:hAnsi="幼圆" w:eastAsia="幼圆" w:cs="幼圆"/>
        <w:kern w:val="0"/>
      </w:rPr>
      <w:instrText xml:space="preserve"> PAGE </w:instrText>
    </w:r>
    <w:r>
      <w:rPr>
        <w:rFonts w:hint="eastAsia" w:ascii="幼圆" w:hAnsi="幼圆" w:eastAsia="幼圆" w:cs="幼圆"/>
        <w:kern w:val="0"/>
      </w:rPr>
      <w:fldChar w:fldCharType="separate"/>
    </w:r>
    <w:r>
      <w:rPr>
        <w:rFonts w:ascii="幼圆" w:hAnsi="幼圆" w:eastAsia="幼圆" w:cs="幼圆"/>
        <w:kern w:val="0"/>
      </w:rPr>
      <w:t>58</w:t>
    </w:r>
    <w:r>
      <w:rPr>
        <w:rFonts w:hint="eastAsia" w:ascii="幼圆" w:hAnsi="幼圆" w:eastAsia="幼圆" w:cs="幼圆"/>
        <w:kern w:val="0"/>
      </w:rPr>
      <w:fldChar w:fldCharType="end"/>
    </w:r>
    <w:r>
      <w:rPr>
        <w:rFonts w:hint="eastAsia" w:ascii="幼圆" w:hAnsi="幼圆" w:eastAsia="幼圆" w:cs="幼圆"/>
        <w:kern w:val="0"/>
      </w:rPr>
      <w:t xml:space="preserve"> 页 共 </w:t>
    </w:r>
    <w:r>
      <w:rPr>
        <w:rFonts w:hint="eastAsia" w:ascii="幼圆" w:hAnsi="幼圆" w:eastAsia="幼圆" w:cs="幼圆"/>
        <w:kern w:val="0"/>
      </w:rPr>
      <w:fldChar w:fldCharType="begin"/>
    </w:r>
    <w:r>
      <w:rPr>
        <w:rFonts w:hint="eastAsia" w:ascii="幼圆" w:hAnsi="幼圆" w:eastAsia="幼圆" w:cs="幼圆"/>
        <w:kern w:val="0"/>
      </w:rPr>
      <w:instrText xml:space="preserve"> NUMPAGES </w:instrText>
    </w:r>
    <w:r>
      <w:rPr>
        <w:rFonts w:hint="eastAsia" w:ascii="幼圆" w:hAnsi="幼圆" w:eastAsia="幼圆" w:cs="幼圆"/>
        <w:kern w:val="0"/>
      </w:rPr>
      <w:fldChar w:fldCharType="separate"/>
    </w:r>
    <w:r>
      <w:rPr>
        <w:rFonts w:ascii="幼圆" w:hAnsi="幼圆" w:eastAsia="幼圆" w:cs="幼圆"/>
        <w:kern w:val="0"/>
      </w:rPr>
      <w:t>71</w:t>
    </w:r>
    <w:r>
      <w:rPr>
        <w:rFonts w:hint="eastAsia" w:ascii="幼圆" w:hAnsi="幼圆" w:eastAsia="幼圆" w:cs="幼圆"/>
        <w:kern w:val="0"/>
      </w:rPr>
      <w:fldChar w:fldCharType="end"/>
    </w:r>
    <w:r>
      <w:rPr>
        <w:rFonts w:hint="eastAsia" w:ascii="幼圆" w:hAnsi="幼圆" w:eastAsia="幼圆" w:cs="幼圆"/>
        <w:kern w:val="0"/>
      </w:rPr>
      <w:t xml:space="preserve"> 页</w:t>
    </w:r>
  </w:p>
  <w:p w14:paraId="4BABD9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9C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5967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0900">
    <w:pPr>
      <w:pStyle w:val="42"/>
      <w:jc w:val="center"/>
      <w:rPr>
        <w:rFonts w:ascii="幼圆" w:hAnsi="幼圆" w:eastAsia="幼圆" w:cs="幼圆"/>
        <w:szCs w:val="24"/>
      </w:rPr>
    </w:pPr>
    <w:r>
      <w:rPr>
        <w:rFonts w:hint="eastAsia" w:ascii="幼圆" w:hAnsi="幼圆" w:eastAsia="幼圆" w:cs="幼圆"/>
        <w:kern w:val="0"/>
        <w:szCs w:val="21"/>
      </w:rPr>
      <w:t xml:space="preserve">第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PAGE </w:instrText>
    </w:r>
    <w:r>
      <w:rPr>
        <w:rFonts w:hint="eastAsia" w:ascii="幼圆" w:hAnsi="幼圆" w:eastAsia="幼圆" w:cs="幼圆"/>
        <w:kern w:val="0"/>
        <w:szCs w:val="21"/>
      </w:rPr>
      <w:fldChar w:fldCharType="separate"/>
    </w:r>
    <w:r>
      <w:rPr>
        <w:rFonts w:ascii="幼圆" w:hAnsi="幼圆" w:eastAsia="幼圆" w:cs="幼圆"/>
        <w:kern w:val="0"/>
        <w:szCs w:val="21"/>
      </w:rPr>
      <w:t>68</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 共 </w:t>
    </w:r>
    <w:r>
      <w:rPr>
        <w:rFonts w:hint="eastAsia" w:ascii="幼圆" w:hAnsi="幼圆" w:eastAsia="幼圆" w:cs="幼圆"/>
        <w:kern w:val="0"/>
        <w:szCs w:val="21"/>
      </w:rPr>
      <w:fldChar w:fldCharType="begin"/>
    </w:r>
    <w:r>
      <w:rPr>
        <w:rFonts w:hint="eastAsia" w:ascii="幼圆" w:hAnsi="幼圆" w:eastAsia="幼圆" w:cs="幼圆"/>
        <w:kern w:val="0"/>
        <w:szCs w:val="21"/>
      </w:rPr>
      <w:instrText xml:space="preserve"> NUMPAGES </w:instrText>
    </w:r>
    <w:r>
      <w:rPr>
        <w:rFonts w:hint="eastAsia" w:ascii="幼圆" w:hAnsi="幼圆" w:eastAsia="幼圆" w:cs="幼圆"/>
        <w:kern w:val="0"/>
        <w:szCs w:val="21"/>
      </w:rPr>
      <w:fldChar w:fldCharType="separate"/>
    </w:r>
    <w:r>
      <w:rPr>
        <w:rFonts w:ascii="幼圆" w:hAnsi="幼圆" w:eastAsia="幼圆" w:cs="幼圆"/>
        <w:kern w:val="0"/>
        <w:szCs w:val="21"/>
      </w:rPr>
      <w:t>71</w:t>
    </w:r>
    <w:r>
      <w:rPr>
        <w:rFonts w:hint="eastAsia" w:ascii="幼圆" w:hAnsi="幼圆" w:eastAsia="幼圆" w:cs="幼圆"/>
        <w:kern w:val="0"/>
        <w:szCs w:val="21"/>
      </w:rPr>
      <w:fldChar w:fldCharType="end"/>
    </w:r>
    <w:r>
      <w:rPr>
        <w:rFonts w:hint="eastAsia" w:ascii="幼圆" w:hAnsi="幼圆" w:eastAsia="幼圆" w:cs="幼圆"/>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2409">
    <w:pPr>
      <w:pStyle w:val="42"/>
      <w:framePr w:wrap="around" w:vAnchor="text" w:hAnchor="margin" w:xAlign="right" w:y="1"/>
      <w:rPr>
        <w:rStyle w:val="75"/>
      </w:rPr>
    </w:pPr>
    <w:r>
      <w:fldChar w:fldCharType="begin"/>
    </w:r>
    <w:r>
      <w:rPr>
        <w:rStyle w:val="75"/>
      </w:rPr>
      <w:instrText xml:space="preserve">PAGE  </w:instrText>
    </w:r>
    <w:r>
      <w:fldChar w:fldCharType="end"/>
    </w:r>
  </w:p>
  <w:p w14:paraId="19BEBA95">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D37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64085800"/>
    <w:bookmarkStart w:id="522" w:name="_Toc36110187"/>
    <w:bookmarkStart w:id="523" w:name="_Toc91899912"/>
    <w:bookmarkStart w:id="524" w:name="_Toc131845147"/>
    <w:r>
      <w:rPr>
        <w:rFonts w:hint="eastAsia" w:ascii="仿宋_GB2312" w:eastAsia="仿宋_GB2312"/>
        <w:kern w:val="0"/>
        <w:szCs w:val="21"/>
      </w:rPr>
      <w:t xml:space="preserve"> 页</w:t>
    </w:r>
    <w:bookmarkEnd w:id="521"/>
    <w:bookmarkEnd w:id="522"/>
    <w:bookmarkEnd w:id="523"/>
    <w:bookmarkEnd w:id="5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9B63">
    <w:pPr>
      <w:pStyle w:val="62"/>
      <w:pBdr>
        <w:bottom w:val="thickThinLargeGap" w:color="auto" w:sz="4" w:space="0"/>
      </w:pBdr>
      <w:tabs>
        <w:tab w:val="center" w:pos="4535"/>
        <w:tab w:val="right" w:pos="9070"/>
      </w:tabs>
      <w:jc w:val="both"/>
      <w:rPr>
        <w:rFonts w:hint="eastAsia" w:ascii="仿宋_GB2312" w:eastAsia="黑体"/>
        <w:b w:val="0"/>
        <w:i/>
        <w:color w:val="auto"/>
        <w:sz w:val="18"/>
        <w:u w:val="single"/>
        <w:lang w:val="en-US" w:eastAsia="zh-CN"/>
      </w:rPr>
    </w:pPr>
    <w:r>
      <w:rPr>
        <w:rFonts w:hint="eastAsia" w:ascii="幼圆" w:hAnsi="幼圆" w:eastAsia="幼圆" w:cs="幼圆"/>
        <w:b w:val="0"/>
        <w:color w:val="auto"/>
        <w:kern w:val="2"/>
        <w:sz w:val="18"/>
        <w:szCs w:val="18"/>
        <w:lang w:val="en-US" w:eastAsia="zh-CN"/>
      </w:rPr>
      <w:t>2025年秀洲区油车港镇6个小区垃圾分类运维项目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D2A3">
    <w:pPr>
      <w:pStyle w:val="44"/>
      <w:pBdr>
        <w:bottom w:val="thickThinLargeGap" w:color="auto" w:sz="4" w:space="0"/>
      </w:pBdr>
      <w:tabs>
        <w:tab w:val="center" w:pos="4535"/>
        <w:tab w:val="right" w:pos="9070"/>
        <w:tab w:val="clear" w:pos="4153"/>
        <w:tab w:val="clear" w:pos="8306"/>
      </w:tabs>
      <w:jc w:val="both"/>
      <w:rPr>
        <w:rFonts w:hint="eastAsia" w:eastAsia="宋体"/>
        <w:lang w:eastAsia="zh-CN"/>
      </w:rPr>
    </w:pPr>
    <w:r>
      <w:rPr>
        <w:rFonts w:hint="eastAsia" w:ascii="幼圆" w:hAnsi="幼圆" w:eastAsia="幼圆" w:cs="幼圆"/>
        <w:lang w:eastAsia="zh-CN"/>
      </w:rPr>
      <w:t>2025年秀洲区油车港镇6个小区垃圾分类运维项目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CE98">
    <w:pPr>
      <w:pStyle w:val="44"/>
      <w:pBdr>
        <w:bottom w:val="thickThinLargeGap" w:color="auto" w:sz="4" w:space="1"/>
      </w:pBdr>
      <w:jc w:val="both"/>
      <w:rPr>
        <w:rFonts w:hint="eastAsia" w:ascii="仿宋_GB2312" w:eastAsia="黑体"/>
        <w:b/>
        <w:i/>
        <w:color w:val="auto"/>
        <w:u w:val="single"/>
        <w:lang w:eastAsia="zh-CN"/>
      </w:rPr>
    </w:pPr>
    <w:r>
      <w:rPr>
        <w:rFonts w:hint="eastAsia" w:ascii="幼圆" w:hAnsi="幼圆" w:eastAsia="幼圆" w:cs="幼圆"/>
        <w:color w:val="auto"/>
        <w:lang w:eastAsia="zh-CN"/>
      </w:rPr>
      <w:t>2025年秀洲区油车港镇6个小区垃圾分类运维项目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70E4">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2F7A">
    <w:pPr>
      <w:pStyle w:val="4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4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EF9"/>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2E0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238"/>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0B24"/>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22A"/>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D0F"/>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CAD"/>
    <w:rsid w:val="0028316D"/>
    <w:rsid w:val="00283296"/>
    <w:rsid w:val="0028583E"/>
    <w:rsid w:val="00285853"/>
    <w:rsid w:val="00285B1A"/>
    <w:rsid w:val="00285FF3"/>
    <w:rsid w:val="002866EC"/>
    <w:rsid w:val="0028744E"/>
    <w:rsid w:val="002876D2"/>
    <w:rsid w:val="00287936"/>
    <w:rsid w:val="00287BB7"/>
    <w:rsid w:val="002903C5"/>
    <w:rsid w:val="0029041B"/>
    <w:rsid w:val="00290638"/>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65FF"/>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3F"/>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09C"/>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0914"/>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62C"/>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3DA"/>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E06"/>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A69"/>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883"/>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309"/>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80F"/>
    <w:rsid w:val="00660AF7"/>
    <w:rsid w:val="00660D3E"/>
    <w:rsid w:val="00661691"/>
    <w:rsid w:val="00661DD9"/>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3E4"/>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ADF"/>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610"/>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3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A9F"/>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6A69"/>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5ECA"/>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6BF8"/>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05E"/>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A53"/>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08AD"/>
    <w:rsid w:val="00A6170B"/>
    <w:rsid w:val="00A61991"/>
    <w:rsid w:val="00A61B7F"/>
    <w:rsid w:val="00A61B91"/>
    <w:rsid w:val="00A61C3A"/>
    <w:rsid w:val="00A620E8"/>
    <w:rsid w:val="00A620FA"/>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EC7"/>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068"/>
    <w:rsid w:val="00AB3466"/>
    <w:rsid w:val="00AB38B2"/>
    <w:rsid w:val="00AB3BBB"/>
    <w:rsid w:val="00AB3C57"/>
    <w:rsid w:val="00AB408C"/>
    <w:rsid w:val="00AB43AF"/>
    <w:rsid w:val="00AB4E41"/>
    <w:rsid w:val="00AB547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070"/>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19"/>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B7"/>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FD0"/>
    <w:rsid w:val="00BE4222"/>
    <w:rsid w:val="00BE472D"/>
    <w:rsid w:val="00BE4C03"/>
    <w:rsid w:val="00BE6067"/>
    <w:rsid w:val="00BE67D5"/>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13B"/>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2D78"/>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5E3A"/>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0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8E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5F4D"/>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B1"/>
    <w:rsid w:val="00F54E5E"/>
    <w:rsid w:val="00F551DB"/>
    <w:rsid w:val="00F55810"/>
    <w:rsid w:val="00F559BE"/>
    <w:rsid w:val="00F56F7E"/>
    <w:rsid w:val="00F56FEF"/>
    <w:rsid w:val="00F57521"/>
    <w:rsid w:val="00F60938"/>
    <w:rsid w:val="00F60A34"/>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0C"/>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D7C27"/>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377B2A"/>
    <w:rsid w:val="019232C4"/>
    <w:rsid w:val="019F7441"/>
    <w:rsid w:val="01B37585"/>
    <w:rsid w:val="01D55165"/>
    <w:rsid w:val="01DF6BF8"/>
    <w:rsid w:val="01EC2C57"/>
    <w:rsid w:val="026B2E25"/>
    <w:rsid w:val="02824D4D"/>
    <w:rsid w:val="02DC4B10"/>
    <w:rsid w:val="02DD76CE"/>
    <w:rsid w:val="02F208C2"/>
    <w:rsid w:val="02F36323"/>
    <w:rsid w:val="02F5619C"/>
    <w:rsid w:val="0326446A"/>
    <w:rsid w:val="032D5555"/>
    <w:rsid w:val="035703C5"/>
    <w:rsid w:val="036634D2"/>
    <w:rsid w:val="037D56E7"/>
    <w:rsid w:val="03DD35E4"/>
    <w:rsid w:val="04076900"/>
    <w:rsid w:val="041A5A3B"/>
    <w:rsid w:val="042311BA"/>
    <w:rsid w:val="042B157A"/>
    <w:rsid w:val="04325B30"/>
    <w:rsid w:val="04637523"/>
    <w:rsid w:val="048F763B"/>
    <w:rsid w:val="049F330E"/>
    <w:rsid w:val="04AA775C"/>
    <w:rsid w:val="04AF1889"/>
    <w:rsid w:val="04E7136E"/>
    <w:rsid w:val="04F66F48"/>
    <w:rsid w:val="04F85F7D"/>
    <w:rsid w:val="05251E14"/>
    <w:rsid w:val="05524952"/>
    <w:rsid w:val="05A16594"/>
    <w:rsid w:val="05A7762D"/>
    <w:rsid w:val="05C67771"/>
    <w:rsid w:val="060E5941"/>
    <w:rsid w:val="06110FAF"/>
    <w:rsid w:val="06493CA7"/>
    <w:rsid w:val="065A6178"/>
    <w:rsid w:val="066F1CF3"/>
    <w:rsid w:val="06925398"/>
    <w:rsid w:val="06930BB8"/>
    <w:rsid w:val="069B7C33"/>
    <w:rsid w:val="07064C57"/>
    <w:rsid w:val="07245D42"/>
    <w:rsid w:val="07264C62"/>
    <w:rsid w:val="0779354C"/>
    <w:rsid w:val="07F3387A"/>
    <w:rsid w:val="08061376"/>
    <w:rsid w:val="08452D77"/>
    <w:rsid w:val="086401F8"/>
    <w:rsid w:val="08751CAA"/>
    <w:rsid w:val="087E4C40"/>
    <w:rsid w:val="08B60D54"/>
    <w:rsid w:val="08D66AD6"/>
    <w:rsid w:val="08DA33A3"/>
    <w:rsid w:val="08E51639"/>
    <w:rsid w:val="08E80F13"/>
    <w:rsid w:val="08F460BB"/>
    <w:rsid w:val="08F814C2"/>
    <w:rsid w:val="09335624"/>
    <w:rsid w:val="0944690F"/>
    <w:rsid w:val="09535675"/>
    <w:rsid w:val="095D0750"/>
    <w:rsid w:val="095F057D"/>
    <w:rsid w:val="09624DC1"/>
    <w:rsid w:val="09642282"/>
    <w:rsid w:val="09733572"/>
    <w:rsid w:val="09772C16"/>
    <w:rsid w:val="098353B5"/>
    <w:rsid w:val="09975825"/>
    <w:rsid w:val="09A92330"/>
    <w:rsid w:val="09B06B87"/>
    <w:rsid w:val="09C13146"/>
    <w:rsid w:val="09E04166"/>
    <w:rsid w:val="09F75AC8"/>
    <w:rsid w:val="0A0F2E11"/>
    <w:rsid w:val="0A1C0718"/>
    <w:rsid w:val="0A3E7710"/>
    <w:rsid w:val="0A402FCB"/>
    <w:rsid w:val="0A5B7E63"/>
    <w:rsid w:val="0AA374A5"/>
    <w:rsid w:val="0AAB7649"/>
    <w:rsid w:val="0ABC5606"/>
    <w:rsid w:val="0ADB7197"/>
    <w:rsid w:val="0B0E131B"/>
    <w:rsid w:val="0B2C7471"/>
    <w:rsid w:val="0B30404E"/>
    <w:rsid w:val="0B4C6C14"/>
    <w:rsid w:val="0B631A88"/>
    <w:rsid w:val="0B683D45"/>
    <w:rsid w:val="0B7F3F11"/>
    <w:rsid w:val="0B884417"/>
    <w:rsid w:val="0BEA40E5"/>
    <w:rsid w:val="0BF6188C"/>
    <w:rsid w:val="0BF73C91"/>
    <w:rsid w:val="0C170175"/>
    <w:rsid w:val="0C571A41"/>
    <w:rsid w:val="0C5C1171"/>
    <w:rsid w:val="0C5E1CBC"/>
    <w:rsid w:val="0C615B50"/>
    <w:rsid w:val="0C7F7D0C"/>
    <w:rsid w:val="0C8445DA"/>
    <w:rsid w:val="0C87121B"/>
    <w:rsid w:val="0CB56B73"/>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B74B8"/>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0FF22FB9"/>
    <w:rsid w:val="100E1DEC"/>
    <w:rsid w:val="10421E87"/>
    <w:rsid w:val="10646583"/>
    <w:rsid w:val="107D4B15"/>
    <w:rsid w:val="108A3C80"/>
    <w:rsid w:val="10B63FE7"/>
    <w:rsid w:val="10C26171"/>
    <w:rsid w:val="10F33360"/>
    <w:rsid w:val="10FC16EA"/>
    <w:rsid w:val="110F1D40"/>
    <w:rsid w:val="11266F33"/>
    <w:rsid w:val="118963A1"/>
    <w:rsid w:val="119473D2"/>
    <w:rsid w:val="11C6522A"/>
    <w:rsid w:val="11CA1674"/>
    <w:rsid w:val="11E104CC"/>
    <w:rsid w:val="11E20309"/>
    <w:rsid w:val="12255233"/>
    <w:rsid w:val="12530213"/>
    <w:rsid w:val="126F1207"/>
    <w:rsid w:val="127723A9"/>
    <w:rsid w:val="12862074"/>
    <w:rsid w:val="12883966"/>
    <w:rsid w:val="129E45B4"/>
    <w:rsid w:val="12B855CF"/>
    <w:rsid w:val="12D81596"/>
    <w:rsid w:val="13072A44"/>
    <w:rsid w:val="135F4BE2"/>
    <w:rsid w:val="139B1A0A"/>
    <w:rsid w:val="139D25C7"/>
    <w:rsid w:val="13BF3CE4"/>
    <w:rsid w:val="13D30E93"/>
    <w:rsid w:val="13DF72EE"/>
    <w:rsid w:val="141008D8"/>
    <w:rsid w:val="14125FE6"/>
    <w:rsid w:val="146D271E"/>
    <w:rsid w:val="14982588"/>
    <w:rsid w:val="149A5AD9"/>
    <w:rsid w:val="14A41574"/>
    <w:rsid w:val="14A7619D"/>
    <w:rsid w:val="14D70121"/>
    <w:rsid w:val="14E326F3"/>
    <w:rsid w:val="150536C3"/>
    <w:rsid w:val="150C1963"/>
    <w:rsid w:val="151447A0"/>
    <w:rsid w:val="154A6454"/>
    <w:rsid w:val="15762120"/>
    <w:rsid w:val="15D05B4B"/>
    <w:rsid w:val="15D27773"/>
    <w:rsid w:val="15D54F0F"/>
    <w:rsid w:val="15FB5702"/>
    <w:rsid w:val="16155B22"/>
    <w:rsid w:val="162D57EF"/>
    <w:rsid w:val="16A8729C"/>
    <w:rsid w:val="16B33777"/>
    <w:rsid w:val="16BC70A7"/>
    <w:rsid w:val="16C6339E"/>
    <w:rsid w:val="16D72F09"/>
    <w:rsid w:val="16F438E5"/>
    <w:rsid w:val="16F97B5B"/>
    <w:rsid w:val="16FB4122"/>
    <w:rsid w:val="16FC6A01"/>
    <w:rsid w:val="1705609A"/>
    <w:rsid w:val="170F1DAE"/>
    <w:rsid w:val="172E00FB"/>
    <w:rsid w:val="172F2D79"/>
    <w:rsid w:val="17337946"/>
    <w:rsid w:val="17557BEF"/>
    <w:rsid w:val="175C6F6A"/>
    <w:rsid w:val="179A2834"/>
    <w:rsid w:val="17B82142"/>
    <w:rsid w:val="17C94182"/>
    <w:rsid w:val="17D349C1"/>
    <w:rsid w:val="1830729E"/>
    <w:rsid w:val="1870062C"/>
    <w:rsid w:val="18817102"/>
    <w:rsid w:val="18824C15"/>
    <w:rsid w:val="18830A15"/>
    <w:rsid w:val="18852B28"/>
    <w:rsid w:val="188B5321"/>
    <w:rsid w:val="18A63149"/>
    <w:rsid w:val="18C80D5B"/>
    <w:rsid w:val="18D101A4"/>
    <w:rsid w:val="193F6FDA"/>
    <w:rsid w:val="19932372"/>
    <w:rsid w:val="19A20DD5"/>
    <w:rsid w:val="19AE03F1"/>
    <w:rsid w:val="1A071A03"/>
    <w:rsid w:val="1A1F16AE"/>
    <w:rsid w:val="1A3B5C77"/>
    <w:rsid w:val="1A984BAD"/>
    <w:rsid w:val="1A9C233C"/>
    <w:rsid w:val="1AB8220E"/>
    <w:rsid w:val="1AE4166C"/>
    <w:rsid w:val="1AF06CFB"/>
    <w:rsid w:val="1AF11B8D"/>
    <w:rsid w:val="1AFE4706"/>
    <w:rsid w:val="1B11359C"/>
    <w:rsid w:val="1B1A33C4"/>
    <w:rsid w:val="1B2A271F"/>
    <w:rsid w:val="1B530544"/>
    <w:rsid w:val="1B713184"/>
    <w:rsid w:val="1B841FD5"/>
    <w:rsid w:val="1BA209CF"/>
    <w:rsid w:val="1BB4777D"/>
    <w:rsid w:val="1BD75AB8"/>
    <w:rsid w:val="1C0459C2"/>
    <w:rsid w:val="1C0C56FB"/>
    <w:rsid w:val="1C1B3B4A"/>
    <w:rsid w:val="1C88086E"/>
    <w:rsid w:val="1CF81355"/>
    <w:rsid w:val="1D266CE1"/>
    <w:rsid w:val="1D2D3883"/>
    <w:rsid w:val="1D3963AF"/>
    <w:rsid w:val="1D50293C"/>
    <w:rsid w:val="1D504EC1"/>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F0A0FF3"/>
    <w:rsid w:val="1F5771FF"/>
    <w:rsid w:val="1FE76643"/>
    <w:rsid w:val="1FE868A9"/>
    <w:rsid w:val="1FF92231"/>
    <w:rsid w:val="2001023E"/>
    <w:rsid w:val="20034907"/>
    <w:rsid w:val="20037D9C"/>
    <w:rsid w:val="20173E4B"/>
    <w:rsid w:val="20314109"/>
    <w:rsid w:val="204E48BC"/>
    <w:rsid w:val="2079293B"/>
    <w:rsid w:val="208921B3"/>
    <w:rsid w:val="20973DEB"/>
    <w:rsid w:val="20B26522"/>
    <w:rsid w:val="20B44310"/>
    <w:rsid w:val="20C85AF0"/>
    <w:rsid w:val="211116EB"/>
    <w:rsid w:val="2116462E"/>
    <w:rsid w:val="216133FC"/>
    <w:rsid w:val="21D56769"/>
    <w:rsid w:val="21DA281F"/>
    <w:rsid w:val="21DF070C"/>
    <w:rsid w:val="21DF6686"/>
    <w:rsid w:val="21E52EF3"/>
    <w:rsid w:val="21FB5D7B"/>
    <w:rsid w:val="220B1C3D"/>
    <w:rsid w:val="220D3C83"/>
    <w:rsid w:val="221D1D20"/>
    <w:rsid w:val="221D25B7"/>
    <w:rsid w:val="221F59EE"/>
    <w:rsid w:val="221F78FD"/>
    <w:rsid w:val="22334A87"/>
    <w:rsid w:val="22BE6801"/>
    <w:rsid w:val="233500BF"/>
    <w:rsid w:val="23377FF7"/>
    <w:rsid w:val="236B425F"/>
    <w:rsid w:val="237C266D"/>
    <w:rsid w:val="23836192"/>
    <w:rsid w:val="23901F29"/>
    <w:rsid w:val="239C0061"/>
    <w:rsid w:val="23B908A4"/>
    <w:rsid w:val="23D41D37"/>
    <w:rsid w:val="23E95BEF"/>
    <w:rsid w:val="23FD0064"/>
    <w:rsid w:val="245375B0"/>
    <w:rsid w:val="24642C0A"/>
    <w:rsid w:val="24863BB4"/>
    <w:rsid w:val="24B22173"/>
    <w:rsid w:val="24B95AD9"/>
    <w:rsid w:val="24BE24DA"/>
    <w:rsid w:val="24CF5825"/>
    <w:rsid w:val="24D663E6"/>
    <w:rsid w:val="24D77F2B"/>
    <w:rsid w:val="25005CA4"/>
    <w:rsid w:val="251063F9"/>
    <w:rsid w:val="25684B40"/>
    <w:rsid w:val="258B00E2"/>
    <w:rsid w:val="25A917A6"/>
    <w:rsid w:val="25BE27CC"/>
    <w:rsid w:val="25F74A5C"/>
    <w:rsid w:val="2628662C"/>
    <w:rsid w:val="262D45DE"/>
    <w:rsid w:val="26370614"/>
    <w:rsid w:val="263712CE"/>
    <w:rsid w:val="266F000B"/>
    <w:rsid w:val="268309AC"/>
    <w:rsid w:val="26A53EF9"/>
    <w:rsid w:val="26A94201"/>
    <w:rsid w:val="26AC274F"/>
    <w:rsid w:val="27044A29"/>
    <w:rsid w:val="271D34C8"/>
    <w:rsid w:val="27271343"/>
    <w:rsid w:val="272717DA"/>
    <w:rsid w:val="27425763"/>
    <w:rsid w:val="276142BF"/>
    <w:rsid w:val="27723941"/>
    <w:rsid w:val="27783712"/>
    <w:rsid w:val="27907362"/>
    <w:rsid w:val="27CE49D7"/>
    <w:rsid w:val="28333E1D"/>
    <w:rsid w:val="28454BD6"/>
    <w:rsid w:val="28455253"/>
    <w:rsid w:val="28551971"/>
    <w:rsid w:val="285B1C53"/>
    <w:rsid w:val="289F7086"/>
    <w:rsid w:val="28C32028"/>
    <w:rsid w:val="28CC490F"/>
    <w:rsid w:val="28DA4193"/>
    <w:rsid w:val="28DE40AA"/>
    <w:rsid w:val="29345E77"/>
    <w:rsid w:val="294C65AD"/>
    <w:rsid w:val="2969358F"/>
    <w:rsid w:val="29806583"/>
    <w:rsid w:val="298B3C4C"/>
    <w:rsid w:val="29932CBF"/>
    <w:rsid w:val="29EB7F9B"/>
    <w:rsid w:val="29F26D24"/>
    <w:rsid w:val="2A15033F"/>
    <w:rsid w:val="2A1662C1"/>
    <w:rsid w:val="2A1C7367"/>
    <w:rsid w:val="2A2815FA"/>
    <w:rsid w:val="2A6D6092"/>
    <w:rsid w:val="2A7D76B4"/>
    <w:rsid w:val="2B2F1CAA"/>
    <w:rsid w:val="2B431325"/>
    <w:rsid w:val="2B437463"/>
    <w:rsid w:val="2B487D7C"/>
    <w:rsid w:val="2B7807EE"/>
    <w:rsid w:val="2BBE2C91"/>
    <w:rsid w:val="2BBF00EC"/>
    <w:rsid w:val="2BC37CFD"/>
    <w:rsid w:val="2BD5237F"/>
    <w:rsid w:val="2BE536CE"/>
    <w:rsid w:val="2BE758D9"/>
    <w:rsid w:val="2BEB1704"/>
    <w:rsid w:val="2C09049E"/>
    <w:rsid w:val="2C0A653C"/>
    <w:rsid w:val="2C191F85"/>
    <w:rsid w:val="2C212804"/>
    <w:rsid w:val="2C574D97"/>
    <w:rsid w:val="2C711F40"/>
    <w:rsid w:val="2CCD46A4"/>
    <w:rsid w:val="2CE82D6F"/>
    <w:rsid w:val="2D143B41"/>
    <w:rsid w:val="2D343236"/>
    <w:rsid w:val="2D7A60D5"/>
    <w:rsid w:val="2DD15014"/>
    <w:rsid w:val="2DE73489"/>
    <w:rsid w:val="2DF72DE4"/>
    <w:rsid w:val="2E0220AF"/>
    <w:rsid w:val="2E2D690F"/>
    <w:rsid w:val="2E4B082A"/>
    <w:rsid w:val="2E5D4E86"/>
    <w:rsid w:val="2E5D790B"/>
    <w:rsid w:val="2E907CAC"/>
    <w:rsid w:val="2E9A3C18"/>
    <w:rsid w:val="2EAE5EE7"/>
    <w:rsid w:val="2EB96E75"/>
    <w:rsid w:val="2EBB0FEE"/>
    <w:rsid w:val="2EC63002"/>
    <w:rsid w:val="2F0A6B38"/>
    <w:rsid w:val="2F427356"/>
    <w:rsid w:val="2F8310E0"/>
    <w:rsid w:val="2F946CCB"/>
    <w:rsid w:val="2FD25781"/>
    <w:rsid w:val="2FEE50F3"/>
    <w:rsid w:val="2FFB6945"/>
    <w:rsid w:val="2FFD7934"/>
    <w:rsid w:val="3027350F"/>
    <w:rsid w:val="304229F7"/>
    <w:rsid w:val="30703C65"/>
    <w:rsid w:val="30733ACD"/>
    <w:rsid w:val="308C3862"/>
    <w:rsid w:val="309379D8"/>
    <w:rsid w:val="30A16923"/>
    <w:rsid w:val="30A270F7"/>
    <w:rsid w:val="30D1169A"/>
    <w:rsid w:val="30DF1478"/>
    <w:rsid w:val="30E40B8A"/>
    <w:rsid w:val="30EC586F"/>
    <w:rsid w:val="31590FFB"/>
    <w:rsid w:val="319C6071"/>
    <w:rsid w:val="31A443E9"/>
    <w:rsid w:val="31AC537E"/>
    <w:rsid w:val="31E3679B"/>
    <w:rsid w:val="31E732FD"/>
    <w:rsid w:val="322C6AFC"/>
    <w:rsid w:val="32517576"/>
    <w:rsid w:val="32BE5C2C"/>
    <w:rsid w:val="32E22BD4"/>
    <w:rsid w:val="32FB6478"/>
    <w:rsid w:val="33026E1D"/>
    <w:rsid w:val="33263B3F"/>
    <w:rsid w:val="336963EB"/>
    <w:rsid w:val="33816EEB"/>
    <w:rsid w:val="338B4ADF"/>
    <w:rsid w:val="33AD49A1"/>
    <w:rsid w:val="33D83D04"/>
    <w:rsid w:val="33EB55CD"/>
    <w:rsid w:val="33EC4C02"/>
    <w:rsid w:val="33FB67AC"/>
    <w:rsid w:val="340D2360"/>
    <w:rsid w:val="3410665D"/>
    <w:rsid w:val="34211214"/>
    <w:rsid w:val="342E63AB"/>
    <w:rsid w:val="346769BB"/>
    <w:rsid w:val="34950E68"/>
    <w:rsid w:val="34986E94"/>
    <w:rsid w:val="34AF62C9"/>
    <w:rsid w:val="34CB4388"/>
    <w:rsid w:val="34FA6E12"/>
    <w:rsid w:val="358D5588"/>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9D2F5B"/>
    <w:rsid w:val="37EE7094"/>
    <w:rsid w:val="37F87D3F"/>
    <w:rsid w:val="38296C89"/>
    <w:rsid w:val="383002EB"/>
    <w:rsid w:val="383511CC"/>
    <w:rsid w:val="383F2383"/>
    <w:rsid w:val="38586797"/>
    <w:rsid w:val="385C6928"/>
    <w:rsid w:val="38743CBC"/>
    <w:rsid w:val="38BC0149"/>
    <w:rsid w:val="38D417C5"/>
    <w:rsid w:val="38D87D1C"/>
    <w:rsid w:val="38E044AD"/>
    <w:rsid w:val="39636459"/>
    <w:rsid w:val="396B7F6C"/>
    <w:rsid w:val="39B417A9"/>
    <w:rsid w:val="39FC5695"/>
    <w:rsid w:val="3A006D8E"/>
    <w:rsid w:val="3A213D07"/>
    <w:rsid w:val="3A3651E5"/>
    <w:rsid w:val="3A396D11"/>
    <w:rsid w:val="3A661D2A"/>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CF3BB7"/>
    <w:rsid w:val="3CD17D17"/>
    <w:rsid w:val="3CD45671"/>
    <w:rsid w:val="3D2F666C"/>
    <w:rsid w:val="3D3C7F39"/>
    <w:rsid w:val="3D440F09"/>
    <w:rsid w:val="3D4504A0"/>
    <w:rsid w:val="3D4E5423"/>
    <w:rsid w:val="3D8734BB"/>
    <w:rsid w:val="3D9A11D4"/>
    <w:rsid w:val="3DA16D89"/>
    <w:rsid w:val="3DA364BE"/>
    <w:rsid w:val="3DAF7496"/>
    <w:rsid w:val="3DE041CB"/>
    <w:rsid w:val="3E0D48F6"/>
    <w:rsid w:val="3E1868B4"/>
    <w:rsid w:val="3E377251"/>
    <w:rsid w:val="3E42664B"/>
    <w:rsid w:val="3E5A7334"/>
    <w:rsid w:val="3E7B5D6B"/>
    <w:rsid w:val="3E843E66"/>
    <w:rsid w:val="3E8F51FE"/>
    <w:rsid w:val="3E91236D"/>
    <w:rsid w:val="3E926F87"/>
    <w:rsid w:val="3E9A59DE"/>
    <w:rsid w:val="3EAF4836"/>
    <w:rsid w:val="3EC33DFA"/>
    <w:rsid w:val="3F060E16"/>
    <w:rsid w:val="3F1D1096"/>
    <w:rsid w:val="3F2E6D77"/>
    <w:rsid w:val="3F2F0234"/>
    <w:rsid w:val="3F6363FE"/>
    <w:rsid w:val="3F6E9E01"/>
    <w:rsid w:val="3F756B8F"/>
    <w:rsid w:val="3F95482B"/>
    <w:rsid w:val="3FAC23E3"/>
    <w:rsid w:val="4019356B"/>
    <w:rsid w:val="40592157"/>
    <w:rsid w:val="406E1CAE"/>
    <w:rsid w:val="40814F73"/>
    <w:rsid w:val="40A0133A"/>
    <w:rsid w:val="40B64990"/>
    <w:rsid w:val="40C31A53"/>
    <w:rsid w:val="40E01788"/>
    <w:rsid w:val="40FF2192"/>
    <w:rsid w:val="40FF545D"/>
    <w:rsid w:val="410067C8"/>
    <w:rsid w:val="4122312A"/>
    <w:rsid w:val="412D35A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63DA"/>
    <w:rsid w:val="43977AB6"/>
    <w:rsid w:val="43A3342B"/>
    <w:rsid w:val="43C77C27"/>
    <w:rsid w:val="43DE09EE"/>
    <w:rsid w:val="43FB3B18"/>
    <w:rsid w:val="44002FAD"/>
    <w:rsid w:val="442F05D4"/>
    <w:rsid w:val="44887711"/>
    <w:rsid w:val="449101DD"/>
    <w:rsid w:val="44B82185"/>
    <w:rsid w:val="44BC0EC5"/>
    <w:rsid w:val="44DE1391"/>
    <w:rsid w:val="44E1092B"/>
    <w:rsid w:val="451B225C"/>
    <w:rsid w:val="452410C9"/>
    <w:rsid w:val="45317DFB"/>
    <w:rsid w:val="454F7F8B"/>
    <w:rsid w:val="456D3CE4"/>
    <w:rsid w:val="4579042C"/>
    <w:rsid w:val="457F0571"/>
    <w:rsid w:val="45801494"/>
    <w:rsid w:val="45851176"/>
    <w:rsid w:val="45AF18A8"/>
    <w:rsid w:val="45C63B94"/>
    <w:rsid w:val="460E7DA5"/>
    <w:rsid w:val="46326F64"/>
    <w:rsid w:val="463C5764"/>
    <w:rsid w:val="46412D7A"/>
    <w:rsid w:val="46422483"/>
    <w:rsid w:val="4659254A"/>
    <w:rsid w:val="465B0637"/>
    <w:rsid w:val="465E3F0D"/>
    <w:rsid w:val="466A16E6"/>
    <w:rsid w:val="46893F2B"/>
    <w:rsid w:val="46B24D85"/>
    <w:rsid w:val="46C4686E"/>
    <w:rsid w:val="47282841"/>
    <w:rsid w:val="47477F6F"/>
    <w:rsid w:val="47583623"/>
    <w:rsid w:val="477B778F"/>
    <w:rsid w:val="478203EC"/>
    <w:rsid w:val="47B025FA"/>
    <w:rsid w:val="47C22C96"/>
    <w:rsid w:val="4809698F"/>
    <w:rsid w:val="4811697D"/>
    <w:rsid w:val="487A3E25"/>
    <w:rsid w:val="487B0469"/>
    <w:rsid w:val="488B5503"/>
    <w:rsid w:val="48937E21"/>
    <w:rsid w:val="489A0361"/>
    <w:rsid w:val="489C26F7"/>
    <w:rsid w:val="48B94FF3"/>
    <w:rsid w:val="48D72771"/>
    <w:rsid w:val="48E37AAB"/>
    <w:rsid w:val="48FD4B4C"/>
    <w:rsid w:val="48FE4B50"/>
    <w:rsid w:val="49016555"/>
    <w:rsid w:val="490A68E0"/>
    <w:rsid w:val="491055FE"/>
    <w:rsid w:val="49307104"/>
    <w:rsid w:val="495F5B3E"/>
    <w:rsid w:val="496F77D7"/>
    <w:rsid w:val="497654FD"/>
    <w:rsid w:val="49B64211"/>
    <w:rsid w:val="49D47CC4"/>
    <w:rsid w:val="49F6167F"/>
    <w:rsid w:val="4A064FA0"/>
    <w:rsid w:val="4A16615C"/>
    <w:rsid w:val="4A4424D7"/>
    <w:rsid w:val="4A792E07"/>
    <w:rsid w:val="4AB82D0F"/>
    <w:rsid w:val="4ACC2F2D"/>
    <w:rsid w:val="4AEB7664"/>
    <w:rsid w:val="4AFD7C19"/>
    <w:rsid w:val="4B0567D1"/>
    <w:rsid w:val="4B1650A7"/>
    <w:rsid w:val="4B236AAE"/>
    <w:rsid w:val="4B707271"/>
    <w:rsid w:val="4B9739F7"/>
    <w:rsid w:val="4B9D56FF"/>
    <w:rsid w:val="4BEE2503"/>
    <w:rsid w:val="4BF278C2"/>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227A9"/>
    <w:rsid w:val="50E772C9"/>
    <w:rsid w:val="50E97CFC"/>
    <w:rsid w:val="50FA4028"/>
    <w:rsid w:val="510D65B7"/>
    <w:rsid w:val="511157AB"/>
    <w:rsid w:val="5142540C"/>
    <w:rsid w:val="51883119"/>
    <w:rsid w:val="518832C8"/>
    <w:rsid w:val="51A0432A"/>
    <w:rsid w:val="51A85D4C"/>
    <w:rsid w:val="51A86090"/>
    <w:rsid w:val="51B7396D"/>
    <w:rsid w:val="51ED4B41"/>
    <w:rsid w:val="522E4CC3"/>
    <w:rsid w:val="5244713B"/>
    <w:rsid w:val="52615633"/>
    <w:rsid w:val="52977FD4"/>
    <w:rsid w:val="52A25790"/>
    <w:rsid w:val="52A96B6F"/>
    <w:rsid w:val="52B256B5"/>
    <w:rsid w:val="52B45975"/>
    <w:rsid w:val="52D94AA4"/>
    <w:rsid w:val="52EA3A62"/>
    <w:rsid w:val="52F50BB8"/>
    <w:rsid w:val="53097272"/>
    <w:rsid w:val="53422A0F"/>
    <w:rsid w:val="53544462"/>
    <w:rsid w:val="536E566D"/>
    <w:rsid w:val="5397158E"/>
    <w:rsid w:val="53D53D51"/>
    <w:rsid w:val="54013861"/>
    <w:rsid w:val="54487265"/>
    <w:rsid w:val="544D6070"/>
    <w:rsid w:val="54605E1E"/>
    <w:rsid w:val="546A0AE5"/>
    <w:rsid w:val="5474385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8A0B6B"/>
    <w:rsid w:val="55923347"/>
    <w:rsid w:val="55925180"/>
    <w:rsid w:val="55983B1B"/>
    <w:rsid w:val="55A8376B"/>
    <w:rsid w:val="55DC29B6"/>
    <w:rsid w:val="55DD4241"/>
    <w:rsid w:val="566B6D1E"/>
    <w:rsid w:val="56A6554F"/>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D15549"/>
    <w:rsid w:val="59EC194C"/>
    <w:rsid w:val="59F80043"/>
    <w:rsid w:val="5A09252F"/>
    <w:rsid w:val="5A0B2778"/>
    <w:rsid w:val="5A2A7C7B"/>
    <w:rsid w:val="5A3E2560"/>
    <w:rsid w:val="5A4F343E"/>
    <w:rsid w:val="5A5D3B6E"/>
    <w:rsid w:val="5A637A76"/>
    <w:rsid w:val="5A6D33BA"/>
    <w:rsid w:val="5A792B1F"/>
    <w:rsid w:val="5A874767"/>
    <w:rsid w:val="5AAD6F28"/>
    <w:rsid w:val="5AD63A24"/>
    <w:rsid w:val="5AEB31F8"/>
    <w:rsid w:val="5B2E1A1D"/>
    <w:rsid w:val="5B50724B"/>
    <w:rsid w:val="5B694D7F"/>
    <w:rsid w:val="5B843A1C"/>
    <w:rsid w:val="5B873E3F"/>
    <w:rsid w:val="5C02690E"/>
    <w:rsid w:val="5C196DA7"/>
    <w:rsid w:val="5C28123C"/>
    <w:rsid w:val="5C2A048C"/>
    <w:rsid w:val="5C80234E"/>
    <w:rsid w:val="5C8A680C"/>
    <w:rsid w:val="5CB17682"/>
    <w:rsid w:val="5CDA0FB4"/>
    <w:rsid w:val="5CEE378D"/>
    <w:rsid w:val="5D0C4701"/>
    <w:rsid w:val="5D0F0395"/>
    <w:rsid w:val="5D0F619A"/>
    <w:rsid w:val="5D221076"/>
    <w:rsid w:val="5D397964"/>
    <w:rsid w:val="5D5A391C"/>
    <w:rsid w:val="5D5F10C0"/>
    <w:rsid w:val="5D891B7B"/>
    <w:rsid w:val="5D9562FF"/>
    <w:rsid w:val="5DAD38EE"/>
    <w:rsid w:val="5E006862"/>
    <w:rsid w:val="5E0207B9"/>
    <w:rsid w:val="5E1834A1"/>
    <w:rsid w:val="5E261785"/>
    <w:rsid w:val="5E4A7017"/>
    <w:rsid w:val="5E552BBA"/>
    <w:rsid w:val="5E611C10"/>
    <w:rsid w:val="5E734892"/>
    <w:rsid w:val="5E7F2C2E"/>
    <w:rsid w:val="5EFC7377"/>
    <w:rsid w:val="5EFF3E55"/>
    <w:rsid w:val="5F06174D"/>
    <w:rsid w:val="5F3A3602"/>
    <w:rsid w:val="5F6277C6"/>
    <w:rsid w:val="5F6D0B1D"/>
    <w:rsid w:val="5F8D0B82"/>
    <w:rsid w:val="5FACCEA0"/>
    <w:rsid w:val="5FB52C88"/>
    <w:rsid w:val="5FCC5339"/>
    <w:rsid w:val="5FE34A5B"/>
    <w:rsid w:val="5FE7410A"/>
    <w:rsid w:val="5FFE1E36"/>
    <w:rsid w:val="60232584"/>
    <w:rsid w:val="607330CE"/>
    <w:rsid w:val="60753D8B"/>
    <w:rsid w:val="60825176"/>
    <w:rsid w:val="608C37ED"/>
    <w:rsid w:val="609547DB"/>
    <w:rsid w:val="609F2AC4"/>
    <w:rsid w:val="60BD3BA3"/>
    <w:rsid w:val="60FA2EE8"/>
    <w:rsid w:val="61054A27"/>
    <w:rsid w:val="610A52BC"/>
    <w:rsid w:val="611D2366"/>
    <w:rsid w:val="61421856"/>
    <w:rsid w:val="615227C4"/>
    <w:rsid w:val="61654E3F"/>
    <w:rsid w:val="6182292A"/>
    <w:rsid w:val="619F7F92"/>
    <w:rsid w:val="61F94C26"/>
    <w:rsid w:val="62000E56"/>
    <w:rsid w:val="621059E3"/>
    <w:rsid w:val="624F3E49"/>
    <w:rsid w:val="62632286"/>
    <w:rsid w:val="62885958"/>
    <w:rsid w:val="62A170A1"/>
    <w:rsid w:val="62C3746A"/>
    <w:rsid w:val="62F40B65"/>
    <w:rsid w:val="62FC2CFE"/>
    <w:rsid w:val="63024505"/>
    <w:rsid w:val="63037672"/>
    <w:rsid w:val="631303F2"/>
    <w:rsid w:val="63436839"/>
    <w:rsid w:val="635B1DB5"/>
    <w:rsid w:val="63711FED"/>
    <w:rsid w:val="63880DDC"/>
    <w:rsid w:val="638D750D"/>
    <w:rsid w:val="63AC6CC0"/>
    <w:rsid w:val="63AD09C1"/>
    <w:rsid w:val="64055776"/>
    <w:rsid w:val="640D3093"/>
    <w:rsid w:val="64240056"/>
    <w:rsid w:val="643E143A"/>
    <w:rsid w:val="648B6EEF"/>
    <w:rsid w:val="64C158BF"/>
    <w:rsid w:val="64CE2EAA"/>
    <w:rsid w:val="65044496"/>
    <w:rsid w:val="653C3090"/>
    <w:rsid w:val="657F1D6E"/>
    <w:rsid w:val="65854376"/>
    <w:rsid w:val="658767BE"/>
    <w:rsid w:val="65892531"/>
    <w:rsid w:val="659336FC"/>
    <w:rsid w:val="660B715E"/>
    <w:rsid w:val="66195831"/>
    <w:rsid w:val="662B3D98"/>
    <w:rsid w:val="662E75B1"/>
    <w:rsid w:val="66342C2E"/>
    <w:rsid w:val="663E784C"/>
    <w:rsid w:val="668B6A45"/>
    <w:rsid w:val="672C3830"/>
    <w:rsid w:val="672F3F24"/>
    <w:rsid w:val="673E055F"/>
    <w:rsid w:val="67551CE3"/>
    <w:rsid w:val="67962066"/>
    <w:rsid w:val="67A22552"/>
    <w:rsid w:val="67B22DCC"/>
    <w:rsid w:val="67BE71AA"/>
    <w:rsid w:val="67D90273"/>
    <w:rsid w:val="67DE5875"/>
    <w:rsid w:val="67E55852"/>
    <w:rsid w:val="67EB1AB4"/>
    <w:rsid w:val="67FA1285"/>
    <w:rsid w:val="68201B7F"/>
    <w:rsid w:val="68431BC8"/>
    <w:rsid w:val="68551F4F"/>
    <w:rsid w:val="687C10C9"/>
    <w:rsid w:val="68840C16"/>
    <w:rsid w:val="68876EFB"/>
    <w:rsid w:val="68884654"/>
    <w:rsid w:val="689F444F"/>
    <w:rsid w:val="68B96DBB"/>
    <w:rsid w:val="68BA580F"/>
    <w:rsid w:val="68CA2805"/>
    <w:rsid w:val="68E937A3"/>
    <w:rsid w:val="692C3458"/>
    <w:rsid w:val="693E15D3"/>
    <w:rsid w:val="69496731"/>
    <w:rsid w:val="69513A22"/>
    <w:rsid w:val="69627681"/>
    <w:rsid w:val="696A4C67"/>
    <w:rsid w:val="6977531D"/>
    <w:rsid w:val="69831701"/>
    <w:rsid w:val="69BA1155"/>
    <w:rsid w:val="69CC2BFF"/>
    <w:rsid w:val="69FD55B8"/>
    <w:rsid w:val="69FF347E"/>
    <w:rsid w:val="6A0B1C62"/>
    <w:rsid w:val="6A2406C8"/>
    <w:rsid w:val="6A732DB2"/>
    <w:rsid w:val="6A876FCF"/>
    <w:rsid w:val="6ADE0BD1"/>
    <w:rsid w:val="6AE96859"/>
    <w:rsid w:val="6B147746"/>
    <w:rsid w:val="6B19056F"/>
    <w:rsid w:val="6B24787C"/>
    <w:rsid w:val="6B573233"/>
    <w:rsid w:val="6B5B6274"/>
    <w:rsid w:val="6B935D53"/>
    <w:rsid w:val="6BFF57BE"/>
    <w:rsid w:val="6C196F71"/>
    <w:rsid w:val="6C1D047C"/>
    <w:rsid w:val="6C226FCB"/>
    <w:rsid w:val="6C31226F"/>
    <w:rsid w:val="6C552F0B"/>
    <w:rsid w:val="6C8C67B7"/>
    <w:rsid w:val="6C9360FF"/>
    <w:rsid w:val="6C9D744C"/>
    <w:rsid w:val="6CC12C6C"/>
    <w:rsid w:val="6D167928"/>
    <w:rsid w:val="6D26299B"/>
    <w:rsid w:val="6D4772EC"/>
    <w:rsid w:val="6D9078AF"/>
    <w:rsid w:val="6DAA3FEF"/>
    <w:rsid w:val="6DC0172B"/>
    <w:rsid w:val="6DCB690C"/>
    <w:rsid w:val="6DD41A5B"/>
    <w:rsid w:val="6DF43C2E"/>
    <w:rsid w:val="6DF51CA3"/>
    <w:rsid w:val="6E8335BD"/>
    <w:rsid w:val="6E8509E0"/>
    <w:rsid w:val="6E8E12EF"/>
    <w:rsid w:val="6E972936"/>
    <w:rsid w:val="6EAF1DA8"/>
    <w:rsid w:val="6EBEB0B9"/>
    <w:rsid w:val="6ED250CB"/>
    <w:rsid w:val="6ED446C5"/>
    <w:rsid w:val="6F2A7D94"/>
    <w:rsid w:val="6F8331F1"/>
    <w:rsid w:val="6FAE1A09"/>
    <w:rsid w:val="6FB67F93"/>
    <w:rsid w:val="6FD75BF8"/>
    <w:rsid w:val="703D260A"/>
    <w:rsid w:val="704406B6"/>
    <w:rsid w:val="707723D0"/>
    <w:rsid w:val="70E31AFB"/>
    <w:rsid w:val="70F5661B"/>
    <w:rsid w:val="71184396"/>
    <w:rsid w:val="71276082"/>
    <w:rsid w:val="71360107"/>
    <w:rsid w:val="713B688E"/>
    <w:rsid w:val="71B13274"/>
    <w:rsid w:val="71D43752"/>
    <w:rsid w:val="71F1796A"/>
    <w:rsid w:val="72120343"/>
    <w:rsid w:val="72147AEE"/>
    <w:rsid w:val="72154626"/>
    <w:rsid w:val="72262B5D"/>
    <w:rsid w:val="72283FF7"/>
    <w:rsid w:val="722E7212"/>
    <w:rsid w:val="723A0474"/>
    <w:rsid w:val="724101BC"/>
    <w:rsid w:val="725923E4"/>
    <w:rsid w:val="72864BF7"/>
    <w:rsid w:val="729023FC"/>
    <w:rsid w:val="731A5A90"/>
    <w:rsid w:val="73C0646E"/>
    <w:rsid w:val="742222F5"/>
    <w:rsid w:val="7440009B"/>
    <w:rsid w:val="74476126"/>
    <w:rsid w:val="7468752D"/>
    <w:rsid w:val="74706664"/>
    <w:rsid w:val="747F3682"/>
    <w:rsid w:val="749C4185"/>
    <w:rsid w:val="74B135C7"/>
    <w:rsid w:val="74E12D89"/>
    <w:rsid w:val="75067759"/>
    <w:rsid w:val="751A5B91"/>
    <w:rsid w:val="752E6DCD"/>
    <w:rsid w:val="7551380D"/>
    <w:rsid w:val="75600BE5"/>
    <w:rsid w:val="7564475C"/>
    <w:rsid w:val="75684014"/>
    <w:rsid w:val="7583797F"/>
    <w:rsid w:val="75D20F1D"/>
    <w:rsid w:val="75DA2C18"/>
    <w:rsid w:val="75F54412"/>
    <w:rsid w:val="761D08E0"/>
    <w:rsid w:val="764B7247"/>
    <w:rsid w:val="765D347C"/>
    <w:rsid w:val="766E23EF"/>
    <w:rsid w:val="76826699"/>
    <w:rsid w:val="76A31123"/>
    <w:rsid w:val="76C87133"/>
    <w:rsid w:val="76CD08D5"/>
    <w:rsid w:val="76DB4B92"/>
    <w:rsid w:val="76FFC109"/>
    <w:rsid w:val="77052AA4"/>
    <w:rsid w:val="77136511"/>
    <w:rsid w:val="77340A39"/>
    <w:rsid w:val="77351FD0"/>
    <w:rsid w:val="77472422"/>
    <w:rsid w:val="777F31F2"/>
    <w:rsid w:val="779A2A38"/>
    <w:rsid w:val="77D1700D"/>
    <w:rsid w:val="77E37649"/>
    <w:rsid w:val="77E5672B"/>
    <w:rsid w:val="77EC04CC"/>
    <w:rsid w:val="78064B00"/>
    <w:rsid w:val="78775729"/>
    <w:rsid w:val="78836C56"/>
    <w:rsid w:val="78A42DB0"/>
    <w:rsid w:val="78A656AB"/>
    <w:rsid w:val="78B2245C"/>
    <w:rsid w:val="78E172CC"/>
    <w:rsid w:val="78EA1D1F"/>
    <w:rsid w:val="78ED2851"/>
    <w:rsid w:val="78EF20EA"/>
    <w:rsid w:val="7904172F"/>
    <w:rsid w:val="790F7E27"/>
    <w:rsid w:val="792A231A"/>
    <w:rsid w:val="79316829"/>
    <w:rsid w:val="7977EA49"/>
    <w:rsid w:val="797E66A9"/>
    <w:rsid w:val="79A93A84"/>
    <w:rsid w:val="79A97383"/>
    <w:rsid w:val="79B53B59"/>
    <w:rsid w:val="79E27E8B"/>
    <w:rsid w:val="79EB4D7F"/>
    <w:rsid w:val="79F65524"/>
    <w:rsid w:val="79F850CE"/>
    <w:rsid w:val="79FD443C"/>
    <w:rsid w:val="79FED13D"/>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12AAC"/>
    <w:rsid w:val="7BA94FF8"/>
    <w:rsid w:val="7BEC0580"/>
    <w:rsid w:val="7BEE0103"/>
    <w:rsid w:val="7BFFCC1E"/>
    <w:rsid w:val="7BFFF802"/>
    <w:rsid w:val="7C0A0FE4"/>
    <w:rsid w:val="7C254906"/>
    <w:rsid w:val="7C564D04"/>
    <w:rsid w:val="7C590818"/>
    <w:rsid w:val="7C7C10F6"/>
    <w:rsid w:val="7C853BEA"/>
    <w:rsid w:val="7C881368"/>
    <w:rsid w:val="7CD85819"/>
    <w:rsid w:val="7CDF94D1"/>
    <w:rsid w:val="7CE0713F"/>
    <w:rsid w:val="7CE27788"/>
    <w:rsid w:val="7D0C32F1"/>
    <w:rsid w:val="7D0F408D"/>
    <w:rsid w:val="7D1A12F3"/>
    <w:rsid w:val="7D36B030"/>
    <w:rsid w:val="7D491C6C"/>
    <w:rsid w:val="7D5429C0"/>
    <w:rsid w:val="7D6E6D43"/>
    <w:rsid w:val="7DB1596A"/>
    <w:rsid w:val="7DB57A34"/>
    <w:rsid w:val="7DBA4CD5"/>
    <w:rsid w:val="7DE60973"/>
    <w:rsid w:val="7DEF0916"/>
    <w:rsid w:val="7E1E5218"/>
    <w:rsid w:val="7E3F7E95"/>
    <w:rsid w:val="7E9A4E1F"/>
    <w:rsid w:val="7EA7723A"/>
    <w:rsid w:val="7ECA04D2"/>
    <w:rsid w:val="7EF56FBB"/>
    <w:rsid w:val="7F0768EB"/>
    <w:rsid w:val="7F0F7BEC"/>
    <w:rsid w:val="7F143BEC"/>
    <w:rsid w:val="7F310387"/>
    <w:rsid w:val="7F352A2A"/>
    <w:rsid w:val="7F715AF2"/>
    <w:rsid w:val="7F886E69"/>
    <w:rsid w:val="7FBB51DD"/>
    <w:rsid w:val="87FE36AB"/>
    <w:rsid w:val="BAFB0BF7"/>
    <w:rsid w:val="BAFFF6D6"/>
    <w:rsid w:val="BB7FA927"/>
    <w:rsid w:val="BBFF1826"/>
    <w:rsid w:val="CF7BB829"/>
    <w:rsid w:val="DE7168F2"/>
    <w:rsid w:val="DFB6AA09"/>
    <w:rsid w:val="E8F7693D"/>
    <w:rsid w:val="F19F5883"/>
    <w:rsid w:val="F5EFB1AA"/>
    <w:rsid w:val="F5FFD31F"/>
    <w:rsid w:val="F9FF4410"/>
    <w:rsid w:val="FB6E7303"/>
    <w:rsid w:val="FBBEFEB1"/>
    <w:rsid w:val="FBFEF1E0"/>
    <w:rsid w:val="FCF31AF3"/>
    <w:rsid w:val="FDEB657F"/>
    <w:rsid w:val="FF2773E3"/>
    <w:rsid w:val="FFE53874"/>
    <w:rsid w:val="FFE66B80"/>
    <w:rsid w:val="FFED6A97"/>
    <w:rsid w:val="FFFF6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Plain Text"/>
    <w:basedOn w:val="1"/>
    <w:next w:val="1"/>
    <w:link w:val="129"/>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9"/>
    <w:qFormat/>
    <w:uiPriority w:val="0"/>
    <w:pPr>
      <w:spacing w:line="480" w:lineRule="exact"/>
      <w:ind w:firstLine="480" w:firstLineChars="200"/>
    </w:pPr>
    <w:rPr>
      <w:rFonts w:ascii="宋体" w:hAnsi="宋体"/>
      <w:sz w:val="24"/>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1"/>
    <w:next w:val="28"/>
    <w:link w:val="325"/>
    <w:qFormat/>
    <w:uiPriority w:val="0"/>
    <w:pPr>
      <w:ind w:firstLine="420"/>
    </w:pPr>
    <w:rPr>
      <w:rFonts w:hAnsi="Calibri"/>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仿宋_GB2312" w:cs="Arial"/>
      <w:sz w:val="32"/>
      <w:szCs w:val="32"/>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0"/>
    <w:qFormat/>
    <w:uiPriority w:val="0"/>
    <w:rPr>
      <w:b/>
      <w:bCs/>
    </w:rPr>
  </w:style>
  <w:style w:type="paragraph" w:styleId="64">
    <w:name w:val="Body Text First Indent 2"/>
    <w:basedOn w:val="18"/>
    <w:link w:val="125"/>
    <w:qFormat/>
    <w:uiPriority w:val="0"/>
    <w:pPr>
      <w:adjustRightInd/>
      <w:spacing w:after="120" w:line="240" w:lineRule="auto"/>
      <w:ind w:left="420" w:leftChars="200" w:firstLine="210"/>
    </w:pPr>
    <w:rPr>
      <w:sz w:val="21"/>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缩进）"/>
    <w:basedOn w:val="1"/>
    <w:qFormat/>
    <w:uiPriority w:val="0"/>
    <w:pPr>
      <w:spacing w:beforeLines="50" w:afterLines="50" w:line="360" w:lineRule="auto"/>
      <w:ind w:firstLine="480" w:firstLineChars="200"/>
    </w:pPr>
    <w:rPr>
      <w:kern w:val="0"/>
      <w:sz w:val="24"/>
    </w:rPr>
  </w:style>
  <w:style w:type="character" w:customStyle="1" w:styleId="83">
    <w:name w:val="标题 1 字符"/>
    <w:qFormat/>
    <w:uiPriority w:val="9"/>
    <w:rPr>
      <w:rFonts w:ascii="Arial" w:hAnsi="Arial" w:eastAsia="黑体" w:cs="Arial"/>
      <w:b/>
      <w:bCs/>
      <w:snapToGrid w:val="0"/>
      <w:kern w:val="44"/>
      <w:sz w:val="44"/>
      <w:szCs w:val="44"/>
    </w:rPr>
  </w:style>
  <w:style w:type="paragraph" w:customStyle="1" w:styleId="84">
    <w:name w:val="表格文字"/>
    <w:basedOn w:val="85"/>
    <w:qFormat/>
    <w:uiPriority w:val="0"/>
    <w:pPr>
      <w:adjustRightInd/>
      <w:ind w:firstLine="200" w:firstLineChars="200"/>
    </w:pPr>
    <w:rPr>
      <w:rFonts w:ascii="Arial" w:hAnsi="Arial"/>
      <w:spacing w:val="-5"/>
      <w:kern w:val="0"/>
      <w:sz w:val="24"/>
      <w:szCs w:val="20"/>
    </w:rPr>
  </w:style>
  <w:style w:type="paragraph" w:customStyle="1" w:styleId="85">
    <w:name w:val="表格文字（两侧对齐）"/>
    <w:basedOn w:val="1"/>
    <w:qFormat/>
    <w:uiPriority w:val="0"/>
    <w:pPr>
      <w:snapToGrid w:val="0"/>
    </w:pPr>
    <w:rPr>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1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2"/>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2"/>
    <w:qFormat/>
    <w:uiPriority w:val="0"/>
  </w:style>
  <w:style w:type="table" w:customStyle="1" w:styleId="972">
    <w:name w:val="Table Normal"/>
    <w:semiHidden/>
    <w:unhideWhenUsed/>
    <w:qFormat/>
    <w:uiPriority w:val="0"/>
    <w:tblPr>
      <w:tblCellMar>
        <w:top w:w="0" w:type="dxa"/>
        <w:left w:w="0" w:type="dxa"/>
        <w:bottom w:w="0" w:type="dxa"/>
        <w:right w:w="0" w:type="dxa"/>
      </w:tblCellMar>
    </w:tblPr>
  </w:style>
  <w:style w:type="paragraph" w:customStyle="1" w:styleId="973">
    <w:name w:val="0-shiw-正文 4号宋体"/>
    <w:qFormat/>
    <w:uiPriority w:val="0"/>
    <w:pPr>
      <w:widowControl w:val="0"/>
      <w:adjustRightInd w:val="0"/>
      <w:snapToGrid w:val="0"/>
      <w:spacing w:line="520" w:lineRule="exact"/>
      <w:ind w:firstLine="200"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18246</Words>
  <Characters>19502</Characters>
  <Lines>300</Lines>
  <Paragraphs>84</Paragraphs>
  <TotalTime>28</TotalTime>
  <ScaleCrop>false</ScaleCrop>
  <LinksUpToDate>false</LinksUpToDate>
  <CharactersWithSpaces>19961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2024-07-07T02:05:00Z</dcterms:created>
  <dc:creator>Mx.</dc:creator>
  <cp:lastModifiedBy>浙江展图工程咨询有限公司</cp:lastModifiedBy>
  <cp:lastPrinted>2022-03-05T06:10:00Z</cp:lastPrinted>
  <dcterms:modified xsi:type="dcterms:W3CDTF">2025-07-17T02:35:16Z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A2FE83A26A6E43ADA612DB2E0E952223_13</vt:lpwstr>
  </property>
  <property fmtid="{D5CDD505-2E9C-101B-9397-08002B2CF9AE}" pid="5" name="KSOTemplateDocerSaveRecord">
    <vt:lpwstr>eyJoZGlkIjoiYWI4N2ZkNjVlYmExYzdkZWMwZTFkNmYxY2JiOTYyZGYiLCJ1c2VySWQiOiIxNDAzMzc3MDc2In0=</vt:lpwstr>
  </property>
</Properties>
</file>